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22" w:rsidRPr="00FF13B1" w:rsidRDefault="00AF1FB3" w:rsidP="00CF1E2F">
      <w:pPr>
        <w:pStyle w:val="PITITLE"/>
      </w:pPr>
      <w:r w:rsidRPr="00FF13B1">
        <w:t>PRODUCT INFORMATION</w:t>
      </w:r>
      <w:r w:rsidR="003C5BED" w:rsidRPr="00FF13B1">
        <w:t xml:space="preserve"> </w:t>
      </w:r>
    </w:p>
    <w:p w:rsidR="00AF1FB3" w:rsidRPr="00FF13B1" w:rsidRDefault="00A97DF2" w:rsidP="00CF1E2F">
      <w:pPr>
        <w:pStyle w:val="PISubtitle"/>
        <w:rPr>
          <w:sz w:val="20"/>
        </w:rPr>
      </w:pPr>
      <w:r w:rsidRPr="00FF13B1">
        <w:rPr>
          <w:rStyle w:val="PITradename"/>
        </w:rPr>
        <w:t>PLEGRIDY</w:t>
      </w:r>
      <w:r w:rsidR="00B00C69">
        <w:rPr>
          <w:rStyle w:val="PIRegisteredTrademarkSign"/>
        </w:rPr>
        <w:t>®</w:t>
      </w:r>
      <w:r w:rsidR="00B33A9D" w:rsidRPr="00FF13B1">
        <w:rPr>
          <w:sz w:val="20"/>
        </w:rPr>
        <w:t xml:space="preserve"> </w:t>
      </w:r>
      <w:r w:rsidRPr="00FF13B1">
        <w:t>(</w:t>
      </w:r>
      <w:proofErr w:type="spellStart"/>
      <w:r w:rsidRPr="00FF13B1">
        <w:t>peginterferon</w:t>
      </w:r>
      <w:proofErr w:type="spellEnd"/>
      <w:r w:rsidRPr="00FF13B1">
        <w:t xml:space="preserve"> beta-1a</w:t>
      </w:r>
      <w:r w:rsidR="009C763B">
        <w:t xml:space="preserve"> (</w:t>
      </w:r>
      <w:proofErr w:type="spellStart"/>
      <w:r w:rsidR="009C763B">
        <w:t>rch</w:t>
      </w:r>
      <w:proofErr w:type="spellEnd"/>
      <w:r w:rsidR="009C763B">
        <w:t>)</w:t>
      </w:r>
      <w:r w:rsidRPr="00FF13B1">
        <w:t>)</w:t>
      </w:r>
    </w:p>
    <w:p w:rsidR="00B33A9D" w:rsidRPr="00FF13B1" w:rsidRDefault="00B33A9D" w:rsidP="00CF1E2F">
      <w:pPr>
        <w:pStyle w:val="PIHeading1"/>
      </w:pPr>
      <w:r w:rsidRPr="00FF13B1">
        <w:t xml:space="preserve">Name of THE medicine </w:t>
      </w:r>
    </w:p>
    <w:p w:rsidR="00B33A9D" w:rsidRPr="00A938CE" w:rsidRDefault="00AD6110" w:rsidP="00AD6110">
      <w:pPr>
        <w:pStyle w:val="PINormal"/>
        <w:rPr>
          <w:szCs w:val="24"/>
        </w:rPr>
      </w:pPr>
      <w:proofErr w:type="spellStart"/>
      <w:r w:rsidRPr="00FF13B1">
        <w:rPr>
          <w:szCs w:val="24"/>
        </w:rPr>
        <w:t>Peginterferon</w:t>
      </w:r>
      <w:proofErr w:type="spellEnd"/>
      <w:r w:rsidRPr="00FF13B1">
        <w:rPr>
          <w:szCs w:val="24"/>
        </w:rPr>
        <w:t xml:space="preserve"> beta-1a</w:t>
      </w:r>
      <w:r w:rsidR="00794ABD">
        <w:rPr>
          <w:szCs w:val="24"/>
        </w:rPr>
        <w:t xml:space="preserve"> (</w:t>
      </w:r>
      <w:proofErr w:type="spellStart"/>
      <w:r w:rsidR="00794ABD">
        <w:rPr>
          <w:szCs w:val="24"/>
        </w:rPr>
        <w:t>rch</w:t>
      </w:r>
      <w:proofErr w:type="spellEnd"/>
      <w:r w:rsidR="00794ABD">
        <w:rPr>
          <w:szCs w:val="24"/>
        </w:rPr>
        <w:t>)</w:t>
      </w:r>
      <w:r w:rsidRPr="00FF13B1">
        <w:rPr>
          <w:szCs w:val="24"/>
        </w:rPr>
        <w:t xml:space="preserve"> is recombinant interferon</w:t>
      </w:r>
      <w:r w:rsidRPr="006246B1">
        <w:rPr>
          <w:szCs w:val="24"/>
        </w:rPr>
        <w:t xml:space="preserve"> beta-1a conjugated to 20 </w:t>
      </w:r>
      <w:proofErr w:type="spellStart"/>
      <w:r w:rsidRPr="006246B1">
        <w:rPr>
          <w:szCs w:val="24"/>
        </w:rPr>
        <w:t>kDa</w:t>
      </w:r>
      <w:proofErr w:type="spellEnd"/>
      <w:r w:rsidRPr="006246B1">
        <w:rPr>
          <w:szCs w:val="24"/>
        </w:rPr>
        <w:t xml:space="preserve"> </w:t>
      </w:r>
      <w:proofErr w:type="spellStart"/>
      <w:r w:rsidRPr="006246B1">
        <w:rPr>
          <w:szCs w:val="24"/>
        </w:rPr>
        <w:t>methoxy</w:t>
      </w:r>
      <w:proofErr w:type="spellEnd"/>
      <w:r w:rsidRPr="006246B1">
        <w:rPr>
          <w:szCs w:val="24"/>
        </w:rPr>
        <w:t xml:space="preserve"> </w:t>
      </w:r>
      <w:proofErr w:type="gramStart"/>
      <w:r w:rsidRPr="006246B1">
        <w:rPr>
          <w:szCs w:val="24"/>
        </w:rPr>
        <w:t>poly(</w:t>
      </w:r>
      <w:proofErr w:type="gramEnd"/>
      <w:r w:rsidRPr="006246B1">
        <w:rPr>
          <w:szCs w:val="24"/>
        </w:rPr>
        <w:t xml:space="preserve">ethylene glycol) using an -O-2-methylpropionaldehyde linker. </w:t>
      </w:r>
      <w:r w:rsidR="0033795E" w:rsidRPr="00A938CE">
        <w:rPr>
          <w:szCs w:val="24"/>
        </w:rPr>
        <w:t xml:space="preserve">It is expressed in mammalian cells and has the same sequence as naturally-occurring human interferon beta. The 20 </w:t>
      </w:r>
      <w:proofErr w:type="spellStart"/>
      <w:r w:rsidR="00866193" w:rsidRPr="00A938CE">
        <w:rPr>
          <w:szCs w:val="24"/>
        </w:rPr>
        <w:t>k</w:t>
      </w:r>
      <w:r w:rsidR="0033795E" w:rsidRPr="00A938CE">
        <w:rPr>
          <w:szCs w:val="24"/>
        </w:rPr>
        <w:t>Da</w:t>
      </w:r>
      <w:proofErr w:type="spellEnd"/>
      <w:r w:rsidR="0033795E" w:rsidRPr="00A938CE">
        <w:rPr>
          <w:szCs w:val="24"/>
        </w:rPr>
        <w:t xml:space="preserve"> mPEG-O-2-methylpropionaldehyde is attached to the a-amino group of the N-terminal amino acid residue using reductive </w:t>
      </w:r>
      <w:proofErr w:type="spellStart"/>
      <w:r w:rsidR="0033795E" w:rsidRPr="00A938CE">
        <w:rPr>
          <w:szCs w:val="24"/>
        </w:rPr>
        <w:t>amination</w:t>
      </w:r>
      <w:proofErr w:type="spellEnd"/>
      <w:r w:rsidR="0033795E" w:rsidRPr="00A938CE">
        <w:rPr>
          <w:szCs w:val="24"/>
        </w:rPr>
        <w:t xml:space="preserve"> chemistry.</w:t>
      </w:r>
    </w:p>
    <w:p w:rsidR="00605CDB" w:rsidRPr="006246B1" w:rsidRDefault="0033795E" w:rsidP="00605CDB">
      <w:pPr>
        <w:pStyle w:val="PINormal"/>
        <w:rPr>
          <w:szCs w:val="24"/>
        </w:rPr>
      </w:pPr>
      <w:r w:rsidRPr="00A938CE">
        <w:rPr>
          <w:szCs w:val="24"/>
        </w:rPr>
        <w:t>The CAS Registry Number is 1211327-92-2.</w:t>
      </w:r>
      <w:r>
        <w:rPr>
          <w:szCs w:val="24"/>
        </w:rPr>
        <w:t xml:space="preserve"> </w:t>
      </w:r>
    </w:p>
    <w:p w:rsidR="00AF1FB3" w:rsidRDefault="00AF1FB3" w:rsidP="00CF1E2F">
      <w:pPr>
        <w:pStyle w:val="PIHeading1"/>
      </w:pPr>
      <w:r w:rsidRPr="00FF13B1">
        <w:t>DESCRIPTION</w:t>
      </w:r>
      <w:r w:rsidR="003C5BED" w:rsidRPr="00FF13B1">
        <w:t xml:space="preserve"> </w:t>
      </w:r>
    </w:p>
    <w:p w:rsidR="0033795E" w:rsidRPr="00866193" w:rsidRDefault="0033795E" w:rsidP="0033795E">
      <w:pPr>
        <w:pStyle w:val="PINormal"/>
        <w:rPr>
          <w:szCs w:val="24"/>
        </w:rPr>
      </w:pPr>
      <w:r w:rsidRPr="00866193">
        <w:rPr>
          <w:szCs w:val="24"/>
        </w:rPr>
        <w:t>PLEGRIDY is produced by recombinant DNA technology and is manufactured in three strengths, 63 micrograms</w:t>
      </w:r>
      <w:r w:rsidR="00F91068" w:rsidRPr="00866193">
        <w:rPr>
          <w:szCs w:val="24"/>
        </w:rPr>
        <w:t xml:space="preserve">, 94 micrograms, and 125 micrograms. PLEGRIDY is supplied as pre-filled pen </w:t>
      </w:r>
      <w:r w:rsidR="00866193">
        <w:rPr>
          <w:szCs w:val="24"/>
        </w:rPr>
        <w:t>and</w:t>
      </w:r>
      <w:r w:rsidR="00F91068" w:rsidRPr="00866193">
        <w:rPr>
          <w:szCs w:val="24"/>
        </w:rPr>
        <w:t xml:space="preserve"> pre-filled syringe. </w:t>
      </w:r>
    </w:p>
    <w:p w:rsidR="0033795E" w:rsidRPr="00F91068" w:rsidRDefault="00F91068" w:rsidP="00F91068">
      <w:pPr>
        <w:pStyle w:val="PINormal"/>
        <w:rPr>
          <w:szCs w:val="24"/>
        </w:rPr>
      </w:pPr>
      <w:r w:rsidRPr="0033795E">
        <w:rPr>
          <w:szCs w:val="24"/>
        </w:rPr>
        <w:t>PLEGRIDY</w:t>
      </w:r>
      <w:r>
        <w:rPr>
          <w:szCs w:val="24"/>
        </w:rPr>
        <w:t xml:space="preserve"> also contains </w:t>
      </w:r>
      <w:r w:rsidR="00866193">
        <w:rPr>
          <w:szCs w:val="24"/>
        </w:rPr>
        <w:t>s</w:t>
      </w:r>
      <w:r w:rsidRPr="00F91068">
        <w:rPr>
          <w:szCs w:val="24"/>
        </w:rPr>
        <w:t xml:space="preserve">odium </w:t>
      </w:r>
      <w:r w:rsidR="00DA3337">
        <w:rPr>
          <w:szCs w:val="24"/>
        </w:rPr>
        <w:t>a</w:t>
      </w:r>
      <w:r w:rsidRPr="00F91068">
        <w:rPr>
          <w:szCs w:val="24"/>
        </w:rPr>
        <w:t xml:space="preserve">cetate </w:t>
      </w:r>
      <w:proofErr w:type="spellStart"/>
      <w:r w:rsidR="00DA3337">
        <w:rPr>
          <w:szCs w:val="24"/>
        </w:rPr>
        <w:t>t</w:t>
      </w:r>
      <w:r w:rsidRPr="00F91068">
        <w:rPr>
          <w:szCs w:val="24"/>
        </w:rPr>
        <w:t>rihydrate</w:t>
      </w:r>
      <w:proofErr w:type="spellEnd"/>
      <w:r w:rsidRPr="00F91068">
        <w:rPr>
          <w:szCs w:val="24"/>
        </w:rPr>
        <w:t xml:space="preserve">, </w:t>
      </w:r>
      <w:r w:rsidR="00866193">
        <w:rPr>
          <w:szCs w:val="24"/>
        </w:rPr>
        <w:t>g</w:t>
      </w:r>
      <w:r w:rsidRPr="00F91068">
        <w:rPr>
          <w:szCs w:val="24"/>
        </w:rPr>
        <w:t xml:space="preserve">lacial </w:t>
      </w:r>
      <w:r w:rsidR="00DA3337">
        <w:rPr>
          <w:szCs w:val="24"/>
        </w:rPr>
        <w:t>a</w:t>
      </w:r>
      <w:r w:rsidRPr="00F91068">
        <w:rPr>
          <w:szCs w:val="24"/>
        </w:rPr>
        <w:t xml:space="preserve">cetic </w:t>
      </w:r>
      <w:r w:rsidR="00DA3337">
        <w:rPr>
          <w:szCs w:val="24"/>
        </w:rPr>
        <w:t>a</w:t>
      </w:r>
      <w:r w:rsidRPr="00F91068">
        <w:rPr>
          <w:szCs w:val="24"/>
        </w:rPr>
        <w:t xml:space="preserve">cid, </w:t>
      </w:r>
      <w:r w:rsidR="009C763B">
        <w:rPr>
          <w:szCs w:val="24"/>
        </w:rPr>
        <w:t>L-</w:t>
      </w:r>
      <w:r w:rsidR="00866193">
        <w:rPr>
          <w:szCs w:val="24"/>
        </w:rPr>
        <w:t>a</w:t>
      </w:r>
      <w:r w:rsidRPr="00F91068">
        <w:rPr>
          <w:szCs w:val="24"/>
        </w:rPr>
        <w:t xml:space="preserve">rginine </w:t>
      </w:r>
      <w:r w:rsidR="00DA3337">
        <w:rPr>
          <w:szCs w:val="24"/>
        </w:rPr>
        <w:t>h</w:t>
      </w:r>
      <w:r w:rsidRPr="00F91068">
        <w:rPr>
          <w:szCs w:val="24"/>
        </w:rPr>
        <w:t xml:space="preserve">ydrochloride, and </w:t>
      </w:r>
      <w:proofErr w:type="spellStart"/>
      <w:r w:rsidR="00866193">
        <w:rPr>
          <w:szCs w:val="24"/>
        </w:rPr>
        <w:t>p</w:t>
      </w:r>
      <w:r w:rsidRPr="00F91068">
        <w:rPr>
          <w:szCs w:val="24"/>
        </w:rPr>
        <w:t>olysorbate</w:t>
      </w:r>
      <w:proofErr w:type="spellEnd"/>
      <w:r w:rsidRPr="00F91068">
        <w:rPr>
          <w:szCs w:val="24"/>
        </w:rPr>
        <w:t xml:space="preserve"> 20 in </w:t>
      </w:r>
      <w:r w:rsidR="00866193">
        <w:rPr>
          <w:szCs w:val="24"/>
        </w:rPr>
        <w:t>w</w:t>
      </w:r>
      <w:r w:rsidRPr="00F91068">
        <w:rPr>
          <w:szCs w:val="24"/>
        </w:rPr>
        <w:t xml:space="preserve">ater for </w:t>
      </w:r>
      <w:r w:rsidR="00DA3337">
        <w:rPr>
          <w:szCs w:val="24"/>
        </w:rPr>
        <w:t>i</w:t>
      </w:r>
      <w:r w:rsidRPr="00F91068">
        <w:rPr>
          <w:szCs w:val="24"/>
        </w:rPr>
        <w:t>njection</w:t>
      </w:r>
      <w:r w:rsidR="00DA3337">
        <w:rPr>
          <w:szCs w:val="24"/>
        </w:rPr>
        <w:t>s</w:t>
      </w:r>
      <w:r>
        <w:rPr>
          <w:szCs w:val="24"/>
        </w:rPr>
        <w:t xml:space="preserve">. </w:t>
      </w:r>
    </w:p>
    <w:p w:rsidR="00514885" w:rsidRPr="00FF13B1" w:rsidRDefault="00514885" w:rsidP="00BB1F40">
      <w:pPr>
        <w:pStyle w:val="PIHeading1"/>
      </w:pPr>
      <w:r w:rsidRPr="00FF13B1">
        <w:t>PHARMACOLOGY</w:t>
      </w:r>
      <w:r w:rsidR="003C5BED" w:rsidRPr="00FF13B1">
        <w:t xml:space="preserve"> </w:t>
      </w:r>
      <w:bookmarkStart w:id="0" w:name="_GoBack"/>
      <w:bookmarkEnd w:id="0"/>
    </w:p>
    <w:p w:rsidR="00514885" w:rsidRPr="00FF13B1" w:rsidRDefault="00514885" w:rsidP="00BB1F40">
      <w:pPr>
        <w:pStyle w:val="PIHeading2"/>
        <w:rPr>
          <w:sz w:val="28"/>
          <w:szCs w:val="28"/>
        </w:rPr>
      </w:pPr>
      <w:r w:rsidRPr="00FF13B1">
        <w:t>Pharmacodynamics</w:t>
      </w:r>
      <w:r w:rsidR="003C5BED" w:rsidRPr="00FF13B1">
        <w:t xml:space="preserve"> </w:t>
      </w:r>
    </w:p>
    <w:p w:rsidR="00641FC1" w:rsidRPr="00FF13B1" w:rsidRDefault="008F5062" w:rsidP="00641FC1">
      <w:pPr>
        <w:pStyle w:val="PINormal"/>
        <w:rPr>
          <w:szCs w:val="24"/>
        </w:rPr>
      </w:pPr>
      <w:r w:rsidRPr="00FF13B1">
        <w:rPr>
          <w:szCs w:val="24"/>
        </w:rPr>
        <w:t>PLEGRIDY</w:t>
      </w:r>
      <w:r w:rsidR="00641FC1" w:rsidRPr="00FF13B1">
        <w:rPr>
          <w:szCs w:val="24"/>
        </w:rPr>
        <w:t xml:space="preserve"> is interferon beta-1a conjugated to a single, linear 20 </w:t>
      </w:r>
      <w:proofErr w:type="spellStart"/>
      <w:r w:rsidR="00641FC1" w:rsidRPr="00FF13B1">
        <w:rPr>
          <w:szCs w:val="24"/>
        </w:rPr>
        <w:t>kDa</w:t>
      </w:r>
      <w:proofErr w:type="spellEnd"/>
      <w:r w:rsidR="00641FC1" w:rsidRPr="00FF13B1">
        <w:rPr>
          <w:szCs w:val="24"/>
        </w:rPr>
        <w:t xml:space="preserve"> </w:t>
      </w:r>
      <w:proofErr w:type="spellStart"/>
      <w:r w:rsidR="00641FC1" w:rsidRPr="00FF13B1">
        <w:rPr>
          <w:szCs w:val="24"/>
        </w:rPr>
        <w:t>methoxy</w:t>
      </w:r>
      <w:proofErr w:type="spellEnd"/>
      <w:r w:rsidR="00641FC1" w:rsidRPr="00FF13B1">
        <w:rPr>
          <w:szCs w:val="24"/>
        </w:rPr>
        <w:t xml:space="preserve"> </w:t>
      </w:r>
      <w:proofErr w:type="gramStart"/>
      <w:r w:rsidR="00641FC1" w:rsidRPr="00FF13B1">
        <w:rPr>
          <w:szCs w:val="24"/>
        </w:rPr>
        <w:t>poly(</w:t>
      </w:r>
      <w:proofErr w:type="spellStart"/>
      <w:proofErr w:type="gramEnd"/>
      <w:r w:rsidR="00641FC1" w:rsidRPr="00FF13B1">
        <w:rPr>
          <w:szCs w:val="24"/>
        </w:rPr>
        <w:t>ethyleneglycol</w:t>
      </w:r>
      <w:proofErr w:type="spellEnd"/>
      <w:r w:rsidR="00641FC1" w:rsidRPr="00FF13B1">
        <w:rPr>
          <w:szCs w:val="24"/>
        </w:rPr>
        <w:t xml:space="preserve">) molecule to the alpha-amino group of the N-terminal amino acid residue. </w:t>
      </w:r>
    </w:p>
    <w:p w:rsidR="00641FC1" w:rsidRPr="00FF13B1" w:rsidRDefault="00641FC1" w:rsidP="00641FC1">
      <w:pPr>
        <w:pStyle w:val="PINormal"/>
        <w:rPr>
          <w:szCs w:val="24"/>
        </w:rPr>
      </w:pPr>
      <w:proofErr w:type="spellStart"/>
      <w:r w:rsidRPr="00FF13B1">
        <w:rPr>
          <w:szCs w:val="24"/>
        </w:rPr>
        <w:t>Interferons</w:t>
      </w:r>
      <w:proofErr w:type="spellEnd"/>
      <w:r w:rsidRPr="00FF13B1">
        <w:rPr>
          <w:szCs w:val="24"/>
        </w:rPr>
        <w:t xml:space="preserve"> are a family of naturally occurring proteins that are induced by cells in response to </w:t>
      </w:r>
      <w:proofErr w:type="gramStart"/>
      <w:r w:rsidRPr="00FF13B1">
        <w:rPr>
          <w:szCs w:val="24"/>
        </w:rPr>
        <w:t>biological</w:t>
      </w:r>
      <w:proofErr w:type="gramEnd"/>
      <w:r w:rsidRPr="00FF13B1">
        <w:rPr>
          <w:szCs w:val="24"/>
        </w:rPr>
        <w:t xml:space="preserve"> and chemical stimuli, and mediate numerous cellular responses that have been classified as antiviral, </w:t>
      </w:r>
      <w:proofErr w:type="spellStart"/>
      <w:r w:rsidRPr="00FF13B1">
        <w:rPr>
          <w:szCs w:val="24"/>
        </w:rPr>
        <w:t>antiproliferative</w:t>
      </w:r>
      <w:proofErr w:type="spellEnd"/>
      <w:r w:rsidRPr="00FF13B1">
        <w:rPr>
          <w:szCs w:val="24"/>
        </w:rPr>
        <w:t xml:space="preserve">, and </w:t>
      </w:r>
      <w:proofErr w:type="spellStart"/>
      <w:r w:rsidRPr="00FF13B1">
        <w:rPr>
          <w:szCs w:val="24"/>
        </w:rPr>
        <w:t>immunomodulatory</w:t>
      </w:r>
      <w:proofErr w:type="spellEnd"/>
      <w:r w:rsidRPr="00FF13B1">
        <w:rPr>
          <w:szCs w:val="24"/>
        </w:rPr>
        <w:t xml:space="preserve"> in nature. </w:t>
      </w:r>
    </w:p>
    <w:p w:rsidR="003C5BED" w:rsidRPr="00FF13B1" w:rsidRDefault="00641FC1" w:rsidP="00641FC1">
      <w:pPr>
        <w:pStyle w:val="PINormal"/>
        <w:rPr>
          <w:szCs w:val="24"/>
        </w:rPr>
      </w:pPr>
      <w:r w:rsidRPr="00FF13B1">
        <w:rPr>
          <w:szCs w:val="24"/>
        </w:rPr>
        <w:t xml:space="preserve">The pharmacological properties of </w:t>
      </w:r>
      <w:r w:rsidR="008F5062" w:rsidRPr="00FF13B1">
        <w:rPr>
          <w:szCs w:val="24"/>
        </w:rPr>
        <w:t>PLEGRIDY</w:t>
      </w:r>
      <w:r w:rsidRPr="00FF13B1">
        <w:rPr>
          <w:szCs w:val="24"/>
        </w:rPr>
        <w:t xml:space="preserve"> are consistent with those of interferon beta-1a and are believed to be mediated by the protein portion of the molecule. </w:t>
      </w:r>
    </w:p>
    <w:p w:rsidR="000C1D2F" w:rsidRPr="00FF13B1" w:rsidRDefault="000C1D2F" w:rsidP="000C1D2F">
      <w:pPr>
        <w:pStyle w:val="PINormal"/>
        <w:rPr>
          <w:szCs w:val="24"/>
        </w:rPr>
      </w:pPr>
      <w:r w:rsidRPr="00FF13B1">
        <w:rPr>
          <w:szCs w:val="24"/>
        </w:rPr>
        <w:t xml:space="preserve">A definitive mechanism of action of </w:t>
      </w:r>
      <w:r w:rsidR="008F5062" w:rsidRPr="00FF13B1">
        <w:rPr>
          <w:szCs w:val="24"/>
        </w:rPr>
        <w:t>PLEGRIDY</w:t>
      </w:r>
      <w:r w:rsidRPr="00FF13B1">
        <w:rPr>
          <w:szCs w:val="24"/>
        </w:rPr>
        <w:t xml:space="preserve"> in multiple sclerosis is not known.  However, as the biological effects of </w:t>
      </w:r>
      <w:r w:rsidR="008F5062" w:rsidRPr="00FF13B1">
        <w:rPr>
          <w:szCs w:val="24"/>
        </w:rPr>
        <w:t>PLEGRIDY</w:t>
      </w:r>
      <w:r w:rsidRPr="00FF13B1">
        <w:rPr>
          <w:szCs w:val="24"/>
        </w:rPr>
        <w:t xml:space="preserve"> are consistent with those of non-</w:t>
      </w:r>
      <w:proofErr w:type="spellStart"/>
      <w:r w:rsidRPr="00FF13B1">
        <w:rPr>
          <w:szCs w:val="24"/>
        </w:rPr>
        <w:t>pegylated</w:t>
      </w:r>
      <w:proofErr w:type="spellEnd"/>
      <w:r w:rsidRPr="00FF13B1">
        <w:rPr>
          <w:szCs w:val="24"/>
        </w:rPr>
        <w:t xml:space="preserve"> interferon beta-1a, the mechanism of action of </w:t>
      </w:r>
      <w:r w:rsidR="008F5062" w:rsidRPr="00FF13B1">
        <w:rPr>
          <w:szCs w:val="24"/>
        </w:rPr>
        <w:t>PLEGRIDY</w:t>
      </w:r>
      <w:r w:rsidRPr="00FF13B1">
        <w:rPr>
          <w:szCs w:val="24"/>
        </w:rPr>
        <w:t xml:space="preserve"> is likely to be similar. </w:t>
      </w:r>
      <w:r w:rsidR="008F5062" w:rsidRPr="00FF13B1">
        <w:rPr>
          <w:szCs w:val="24"/>
        </w:rPr>
        <w:t>PLEGRIDY</w:t>
      </w:r>
      <w:r w:rsidRPr="00FF13B1">
        <w:rPr>
          <w:szCs w:val="24"/>
        </w:rPr>
        <w:t xml:space="preserve"> binds to the type I interferon receptor on the surface of cells and elicits a cascade of intracellular events leading to the regulation of interferon-responsive gene expression. These genes, and their gene products, are believed to mediate the efficacy of </w:t>
      </w:r>
      <w:r w:rsidR="008F5062" w:rsidRPr="00FF13B1">
        <w:rPr>
          <w:szCs w:val="24"/>
        </w:rPr>
        <w:t>PLEGRIDY</w:t>
      </w:r>
      <w:r w:rsidRPr="00FF13B1">
        <w:rPr>
          <w:szCs w:val="24"/>
        </w:rPr>
        <w:t xml:space="preserve"> in multiple sclerosis.</w:t>
      </w:r>
    </w:p>
    <w:p w:rsidR="000C1D2F" w:rsidRPr="00FF13B1" w:rsidRDefault="000C1D2F" w:rsidP="000C1D2F">
      <w:pPr>
        <w:pStyle w:val="PINormal"/>
        <w:rPr>
          <w:szCs w:val="24"/>
        </w:rPr>
      </w:pPr>
      <w:r w:rsidRPr="00FF13B1">
        <w:rPr>
          <w:szCs w:val="24"/>
        </w:rPr>
        <w:t xml:space="preserve">As an interferon beta, </w:t>
      </w:r>
      <w:r w:rsidR="008F5062" w:rsidRPr="00FF13B1">
        <w:rPr>
          <w:szCs w:val="24"/>
        </w:rPr>
        <w:t>PLEGRIDY</w:t>
      </w:r>
      <w:r w:rsidRPr="00FF13B1">
        <w:rPr>
          <w:szCs w:val="24"/>
        </w:rPr>
        <w:t xml:space="preserve"> modulates immune responses that are believed to play a role in the pathogenesis of multiple sclerosis. While the pathogenesis of the disease is complex and multifaceted, </w:t>
      </w:r>
      <w:r w:rsidR="008F5062" w:rsidRPr="00FF13B1">
        <w:rPr>
          <w:szCs w:val="24"/>
        </w:rPr>
        <w:t>PLEGRIDY</w:t>
      </w:r>
      <w:r w:rsidRPr="00FF13B1">
        <w:rPr>
          <w:szCs w:val="24"/>
        </w:rPr>
        <w:t xml:space="preserve"> may act at several levels including up-regulation of anti-inflammatory cytokines (e.g. IL-4, IL-10, IL-27), down-regulation of pro-inflammatory cytokines (e.g. IL-2, IL-12, IFN-γ, TNF-α) and inhibiting the migration of activated T cells across the blood brain barrier; however additional mechanisms have been proposed.</w:t>
      </w:r>
    </w:p>
    <w:p w:rsidR="000C1D2F" w:rsidRPr="00FF13B1" w:rsidRDefault="000C1D2F" w:rsidP="000C1D2F">
      <w:pPr>
        <w:pStyle w:val="PINormal"/>
        <w:rPr>
          <w:szCs w:val="24"/>
        </w:rPr>
      </w:pPr>
      <w:proofErr w:type="spellStart"/>
      <w:r w:rsidRPr="00FF13B1">
        <w:rPr>
          <w:szCs w:val="24"/>
        </w:rPr>
        <w:lastRenderedPageBreak/>
        <w:t>Pharmacodynamic</w:t>
      </w:r>
      <w:proofErr w:type="spellEnd"/>
      <w:r w:rsidRPr="00FF13B1">
        <w:rPr>
          <w:szCs w:val="24"/>
        </w:rPr>
        <w:t xml:space="preserve"> responses were evaluated by measuring the induction of interferon-responsive genes including those encoding 2′,5′-oligoadenylate </w:t>
      </w:r>
      <w:proofErr w:type="spellStart"/>
      <w:r w:rsidRPr="00FF13B1">
        <w:rPr>
          <w:szCs w:val="24"/>
        </w:rPr>
        <w:t>synthetase</w:t>
      </w:r>
      <w:proofErr w:type="spellEnd"/>
      <w:r w:rsidRPr="00FF13B1">
        <w:rPr>
          <w:szCs w:val="24"/>
        </w:rPr>
        <w:t xml:space="preserve"> (2′,5′-OAS), </w:t>
      </w:r>
      <w:proofErr w:type="spellStart"/>
      <w:r w:rsidRPr="00FF13B1">
        <w:rPr>
          <w:szCs w:val="24"/>
        </w:rPr>
        <w:t>myxovirus</w:t>
      </w:r>
      <w:proofErr w:type="spellEnd"/>
      <w:r w:rsidRPr="00FF13B1">
        <w:rPr>
          <w:szCs w:val="24"/>
        </w:rPr>
        <w:t xml:space="preserve"> resistance protein A (</w:t>
      </w:r>
      <w:proofErr w:type="spellStart"/>
      <w:r w:rsidRPr="00FF13B1">
        <w:rPr>
          <w:szCs w:val="24"/>
        </w:rPr>
        <w:t>MxA</w:t>
      </w:r>
      <w:proofErr w:type="spellEnd"/>
      <w:r w:rsidRPr="00FF13B1">
        <w:rPr>
          <w:szCs w:val="24"/>
        </w:rPr>
        <w:t xml:space="preserve">), and several </w:t>
      </w:r>
      <w:proofErr w:type="spellStart"/>
      <w:r w:rsidRPr="00FF13B1">
        <w:rPr>
          <w:szCs w:val="24"/>
        </w:rPr>
        <w:t>chemokines</w:t>
      </w:r>
      <w:proofErr w:type="spellEnd"/>
      <w:r w:rsidRPr="00FF13B1">
        <w:rPr>
          <w:szCs w:val="24"/>
        </w:rPr>
        <w:t xml:space="preserve"> and cytokines, as well as the gene product </w:t>
      </w:r>
      <w:proofErr w:type="spellStart"/>
      <w:r w:rsidRPr="00FF13B1">
        <w:rPr>
          <w:szCs w:val="24"/>
        </w:rPr>
        <w:t>neopterin</w:t>
      </w:r>
      <w:proofErr w:type="spellEnd"/>
      <w:r w:rsidRPr="00FF13B1">
        <w:rPr>
          <w:szCs w:val="24"/>
        </w:rPr>
        <w:t xml:space="preserve"> (D-erythro-1, 2, 3,-trihydroxypropylpterin), a product of the interferon-inducible enzyme, GTP-</w:t>
      </w:r>
      <w:proofErr w:type="spellStart"/>
      <w:r w:rsidRPr="00FF13B1">
        <w:rPr>
          <w:szCs w:val="24"/>
        </w:rPr>
        <w:t>cyclohydrolase</w:t>
      </w:r>
      <w:proofErr w:type="spellEnd"/>
      <w:r w:rsidRPr="00FF13B1">
        <w:rPr>
          <w:szCs w:val="24"/>
        </w:rPr>
        <w:t xml:space="preserve"> I.  Gene induction in healthy human subjects was greater in terms of peak level and exposure (area under the effect curve) for </w:t>
      </w:r>
      <w:r w:rsidR="008F5062" w:rsidRPr="00FF13B1">
        <w:rPr>
          <w:szCs w:val="24"/>
        </w:rPr>
        <w:t>PLEGRIDY</w:t>
      </w:r>
      <w:r w:rsidRPr="00FF13B1">
        <w:rPr>
          <w:szCs w:val="24"/>
        </w:rPr>
        <w:t xml:space="preserve"> compared to non-</w:t>
      </w:r>
      <w:proofErr w:type="spellStart"/>
      <w:r w:rsidRPr="00FF13B1">
        <w:rPr>
          <w:szCs w:val="24"/>
        </w:rPr>
        <w:t>pegylated</w:t>
      </w:r>
      <w:proofErr w:type="spellEnd"/>
      <w:r w:rsidRPr="00FF13B1">
        <w:rPr>
          <w:szCs w:val="24"/>
        </w:rPr>
        <w:t xml:space="preserve"> interferon beta-1a (IM) when both were given at </w:t>
      </w:r>
      <w:r w:rsidR="00AD5204" w:rsidRPr="00AD5204">
        <w:rPr>
          <w:szCs w:val="24"/>
        </w:rPr>
        <w:t xml:space="preserve">equivalent doses as measured by in vitro activity in a </w:t>
      </w:r>
      <w:proofErr w:type="spellStart"/>
      <w:r w:rsidR="00AD5204" w:rsidRPr="00AD5204">
        <w:rPr>
          <w:szCs w:val="24"/>
        </w:rPr>
        <w:t>cytopathic</w:t>
      </w:r>
      <w:proofErr w:type="spellEnd"/>
      <w:r w:rsidR="00AD5204" w:rsidRPr="00AD5204">
        <w:rPr>
          <w:szCs w:val="24"/>
        </w:rPr>
        <w:t xml:space="preserve"> effect assay </w:t>
      </w:r>
      <w:r w:rsidRPr="00FF13B1">
        <w:rPr>
          <w:szCs w:val="24"/>
        </w:rPr>
        <w:t xml:space="preserve">(6 MIU). The duration of this response was sustained and prolonged for </w:t>
      </w:r>
      <w:r w:rsidR="008F5062" w:rsidRPr="00FF13B1">
        <w:rPr>
          <w:szCs w:val="24"/>
        </w:rPr>
        <w:t>PLEGRIDY</w:t>
      </w:r>
      <w:r w:rsidRPr="00FF13B1">
        <w:rPr>
          <w:szCs w:val="24"/>
        </w:rPr>
        <w:t>, with elevations detected up to 15 days compared to 4 days for non-</w:t>
      </w:r>
      <w:proofErr w:type="spellStart"/>
      <w:r w:rsidRPr="00FF13B1">
        <w:rPr>
          <w:szCs w:val="24"/>
        </w:rPr>
        <w:t>pegylated</w:t>
      </w:r>
      <w:proofErr w:type="spellEnd"/>
      <w:r w:rsidRPr="00FF13B1">
        <w:rPr>
          <w:szCs w:val="24"/>
        </w:rPr>
        <w:t xml:space="preserve"> interferon beta-1a.  Increased concentrations of </w:t>
      </w:r>
      <w:proofErr w:type="spellStart"/>
      <w:r w:rsidRPr="00FF13B1">
        <w:rPr>
          <w:szCs w:val="24"/>
        </w:rPr>
        <w:t>neopterin</w:t>
      </w:r>
      <w:proofErr w:type="spellEnd"/>
      <w:r w:rsidRPr="00FF13B1">
        <w:rPr>
          <w:szCs w:val="24"/>
        </w:rPr>
        <w:t xml:space="preserve"> were observed in both healthy subjects and multiple sclerosis patients treated with </w:t>
      </w:r>
      <w:r w:rsidR="008F5062" w:rsidRPr="00FF13B1">
        <w:rPr>
          <w:szCs w:val="24"/>
        </w:rPr>
        <w:t>PLEGRIDY</w:t>
      </w:r>
      <w:r w:rsidRPr="00FF13B1">
        <w:rPr>
          <w:szCs w:val="24"/>
        </w:rPr>
        <w:t>, with a sustained and prolonged elevation over 10 days compared to 5 days observed for non-</w:t>
      </w:r>
      <w:proofErr w:type="spellStart"/>
      <w:r w:rsidRPr="00FF13B1">
        <w:rPr>
          <w:szCs w:val="24"/>
        </w:rPr>
        <w:t>pegylated</w:t>
      </w:r>
      <w:proofErr w:type="spellEnd"/>
      <w:r w:rsidRPr="00FF13B1">
        <w:rPr>
          <w:szCs w:val="24"/>
        </w:rPr>
        <w:t xml:space="preserve"> interferon beta-1a.  </w:t>
      </w:r>
      <w:proofErr w:type="spellStart"/>
      <w:r w:rsidRPr="00FF13B1">
        <w:rPr>
          <w:szCs w:val="24"/>
        </w:rPr>
        <w:t>Neopterin</w:t>
      </w:r>
      <w:proofErr w:type="spellEnd"/>
      <w:r w:rsidRPr="00FF13B1">
        <w:rPr>
          <w:szCs w:val="24"/>
        </w:rPr>
        <w:t xml:space="preserve"> concentrations return to baseline </w:t>
      </w:r>
      <w:r w:rsidR="00FB1F30">
        <w:rPr>
          <w:szCs w:val="24"/>
        </w:rPr>
        <w:t>within</w:t>
      </w:r>
      <w:r w:rsidRPr="00FF13B1">
        <w:rPr>
          <w:szCs w:val="24"/>
        </w:rPr>
        <w:t xml:space="preserve"> the two week dosing interval.</w:t>
      </w:r>
    </w:p>
    <w:p w:rsidR="00565C36" w:rsidRPr="00FF13B1" w:rsidRDefault="00565C36" w:rsidP="00BB1F40">
      <w:pPr>
        <w:pStyle w:val="PIHeading2"/>
        <w:rPr>
          <w:sz w:val="28"/>
          <w:szCs w:val="28"/>
        </w:rPr>
      </w:pPr>
      <w:r w:rsidRPr="00FF13B1">
        <w:t>Pharmacokinetics</w:t>
      </w:r>
      <w:r w:rsidR="003C5BED" w:rsidRPr="00FF13B1">
        <w:t xml:space="preserve"> </w:t>
      </w:r>
    </w:p>
    <w:p w:rsidR="000C1D2F" w:rsidRPr="00FF13B1" w:rsidRDefault="000C1D2F" w:rsidP="000C1D2F">
      <w:pPr>
        <w:pStyle w:val="PINormal"/>
        <w:rPr>
          <w:szCs w:val="24"/>
        </w:rPr>
      </w:pPr>
      <w:r w:rsidRPr="00FF13B1">
        <w:rPr>
          <w:szCs w:val="24"/>
        </w:rPr>
        <w:t xml:space="preserve">The serum half-life of </w:t>
      </w:r>
      <w:r w:rsidR="008F5062" w:rsidRPr="00FF13B1">
        <w:rPr>
          <w:szCs w:val="24"/>
        </w:rPr>
        <w:t>PLEGRIDY</w:t>
      </w:r>
      <w:r w:rsidRPr="00FF13B1">
        <w:rPr>
          <w:szCs w:val="24"/>
        </w:rPr>
        <w:t xml:space="preserve"> </w:t>
      </w:r>
      <w:proofErr w:type="spellStart"/>
      <w:r w:rsidRPr="00FF13B1">
        <w:rPr>
          <w:szCs w:val="24"/>
        </w:rPr>
        <w:t>peginterferon</w:t>
      </w:r>
      <w:proofErr w:type="spellEnd"/>
      <w:r w:rsidRPr="00FF13B1">
        <w:rPr>
          <w:szCs w:val="24"/>
        </w:rPr>
        <w:t xml:space="preserve"> beta-1a is prolonged compared with non-</w:t>
      </w:r>
      <w:proofErr w:type="spellStart"/>
      <w:r w:rsidRPr="00FF13B1">
        <w:rPr>
          <w:szCs w:val="24"/>
        </w:rPr>
        <w:t>pegylated</w:t>
      </w:r>
      <w:proofErr w:type="spellEnd"/>
      <w:r w:rsidRPr="00FF13B1">
        <w:rPr>
          <w:szCs w:val="24"/>
        </w:rPr>
        <w:t xml:space="preserve"> interferon beta-1a. Serum concentration of </w:t>
      </w:r>
      <w:proofErr w:type="spellStart"/>
      <w:r w:rsidRPr="00FF13B1">
        <w:rPr>
          <w:szCs w:val="24"/>
        </w:rPr>
        <w:t>peginterferon</w:t>
      </w:r>
      <w:proofErr w:type="spellEnd"/>
      <w:r w:rsidRPr="00FF13B1">
        <w:rPr>
          <w:szCs w:val="24"/>
        </w:rPr>
        <w:t xml:space="preserve"> beta-1a was dose-proportional in the range of 63 – 188 micrograms as observed in a single dose and a multiple dose study in healthy subjects.  Pharmacokinetics observed in multiple sclerosis patients was consistent with those seen in healthy subjects.  </w:t>
      </w:r>
    </w:p>
    <w:p w:rsidR="00565C36" w:rsidRPr="00FF13B1" w:rsidRDefault="00565C36" w:rsidP="00BB1F40">
      <w:pPr>
        <w:pStyle w:val="PIHeading3"/>
      </w:pPr>
      <w:r w:rsidRPr="00FF13B1">
        <w:t>Absorption</w:t>
      </w:r>
      <w:r w:rsidR="003C5BED" w:rsidRPr="00FF13B1">
        <w:t xml:space="preserve"> </w:t>
      </w:r>
    </w:p>
    <w:p w:rsidR="000C1D2F" w:rsidRPr="00FF13B1" w:rsidRDefault="000C1D2F" w:rsidP="000C1D2F">
      <w:pPr>
        <w:pStyle w:val="PINormal"/>
        <w:rPr>
          <w:szCs w:val="24"/>
        </w:rPr>
      </w:pPr>
      <w:r w:rsidRPr="00FF13B1">
        <w:rPr>
          <w:szCs w:val="24"/>
        </w:rPr>
        <w:t xml:space="preserve">Following subcutaneous administration of </w:t>
      </w:r>
      <w:proofErr w:type="spellStart"/>
      <w:r w:rsidRPr="00FF13B1">
        <w:rPr>
          <w:szCs w:val="24"/>
        </w:rPr>
        <w:t>peginterferon</w:t>
      </w:r>
      <w:proofErr w:type="spellEnd"/>
      <w:r w:rsidRPr="00FF13B1">
        <w:rPr>
          <w:szCs w:val="24"/>
        </w:rPr>
        <w:t xml:space="preserve"> beta-1a in multiple sclerosis patients, the peak concentration was reached between 1 – 1.5 days post-dose.  The observed </w:t>
      </w:r>
      <w:proofErr w:type="spellStart"/>
      <w:r w:rsidRPr="00FF13B1">
        <w:rPr>
          <w:szCs w:val="24"/>
        </w:rPr>
        <w:t>C</w:t>
      </w:r>
      <w:r w:rsidRPr="004C0FEB">
        <w:rPr>
          <w:szCs w:val="24"/>
          <w:vertAlign w:val="subscript"/>
        </w:rPr>
        <w:t>max</w:t>
      </w:r>
      <w:proofErr w:type="spellEnd"/>
      <w:r w:rsidRPr="00FF13B1">
        <w:rPr>
          <w:szCs w:val="24"/>
        </w:rPr>
        <w:t xml:space="preserve"> (</w:t>
      </w:r>
      <w:proofErr w:type="spellStart"/>
      <w:r w:rsidRPr="00FF13B1">
        <w:rPr>
          <w:szCs w:val="24"/>
        </w:rPr>
        <w:t>mean±SE</w:t>
      </w:r>
      <w:proofErr w:type="spellEnd"/>
      <w:r w:rsidRPr="00FF13B1">
        <w:rPr>
          <w:szCs w:val="24"/>
        </w:rPr>
        <w:t xml:space="preserve">) was </w:t>
      </w:r>
      <w:proofErr w:type="gramStart"/>
      <w:r w:rsidRPr="00FF13B1">
        <w:rPr>
          <w:szCs w:val="24"/>
        </w:rPr>
        <w:t xml:space="preserve">280 ± 79 </w:t>
      </w:r>
      <w:proofErr w:type="spellStart"/>
      <w:r w:rsidRPr="00FF13B1">
        <w:rPr>
          <w:szCs w:val="24"/>
        </w:rPr>
        <w:t>pg</w:t>
      </w:r>
      <w:proofErr w:type="spellEnd"/>
      <w:r w:rsidRPr="00FF13B1">
        <w:rPr>
          <w:szCs w:val="24"/>
        </w:rPr>
        <w:t>/mL following repeat dosing of 125 micrograms every two weeks</w:t>
      </w:r>
      <w:proofErr w:type="gramEnd"/>
      <w:r w:rsidRPr="00FF13B1">
        <w:rPr>
          <w:szCs w:val="24"/>
        </w:rPr>
        <w:t xml:space="preserve">.  </w:t>
      </w:r>
    </w:p>
    <w:p w:rsidR="003C5BED" w:rsidRPr="00FF13B1" w:rsidRDefault="000C1D2F" w:rsidP="000C1D2F">
      <w:pPr>
        <w:pStyle w:val="PINormal"/>
        <w:rPr>
          <w:szCs w:val="24"/>
        </w:rPr>
      </w:pPr>
      <w:r w:rsidRPr="00FF13B1">
        <w:rPr>
          <w:szCs w:val="24"/>
        </w:rPr>
        <w:t xml:space="preserve">Subcutaneous </w:t>
      </w:r>
      <w:proofErr w:type="spellStart"/>
      <w:r w:rsidRPr="00FF13B1">
        <w:rPr>
          <w:szCs w:val="24"/>
        </w:rPr>
        <w:t>peginterferon</w:t>
      </w:r>
      <w:proofErr w:type="spellEnd"/>
      <w:r w:rsidRPr="00FF13B1">
        <w:rPr>
          <w:szCs w:val="24"/>
        </w:rPr>
        <w:t xml:space="preserve"> beta-1a resulted in approximately 4-, 9-, and 13-fold higher exposure (AUC168h) values and approximately 2, 3.5 and 5-fold higher </w:t>
      </w:r>
      <w:proofErr w:type="spellStart"/>
      <w:r w:rsidRPr="00FF13B1">
        <w:rPr>
          <w:szCs w:val="24"/>
        </w:rPr>
        <w:t>C</w:t>
      </w:r>
      <w:r w:rsidRPr="008E6031">
        <w:rPr>
          <w:szCs w:val="24"/>
          <w:vertAlign w:val="subscript"/>
        </w:rPr>
        <w:t>max</w:t>
      </w:r>
      <w:proofErr w:type="spellEnd"/>
      <w:r w:rsidRPr="00FF13B1">
        <w:rPr>
          <w:szCs w:val="24"/>
        </w:rPr>
        <w:t>, following single doses of 63 (6MIU), 125 (12MIU), and 188 (18MIU) micrograms respectively, compared to intramuscular administration of 30 (6MIU) micrograms non-</w:t>
      </w:r>
      <w:proofErr w:type="spellStart"/>
      <w:r w:rsidRPr="00FF13B1">
        <w:rPr>
          <w:szCs w:val="24"/>
        </w:rPr>
        <w:t>pegylated</w:t>
      </w:r>
      <w:proofErr w:type="spellEnd"/>
      <w:r w:rsidRPr="00FF13B1">
        <w:rPr>
          <w:szCs w:val="24"/>
        </w:rPr>
        <w:t xml:space="preserve"> beta-1a. </w:t>
      </w:r>
    </w:p>
    <w:p w:rsidR="00F939BD" w:rsidRPr="00FF13B1" w:rsidRDefault="00F939BD" w:rsidP="00BB1F40">
      <w:pPr>
        <w:pStyle w:val="PIHeading3"/>
      </w:pPr>
      <w:r w:rsidRPr="00FF13B1">
        <w:t>Distribution</w:t>
      </w:r>
      <w:r w:rsidR="003C5BED" w:rsidRPr="00FF13B1">
        <w:t xml:space="preserve"> </w:t>
      </w:r>
    </w:p>
    <w:p w:rsidR="003C5BED" w:rsidRPr="00FF13B1" w:rsidRDefault="000C1D2F" w:rsidP="003C5BED">
      <w:pPr>
        <w:pStyle w:val="PINormal"/>
        <w:rPr>
          <w:szCs w:val="24"/>
        </w:rPr>
      </w:pPr>
      <w:r w:rsidRPr="00FF13B1">
        <w:rPr>
          <w:szCs w:val="24"/>
        </w:rPr>
        <w:t xml:space="preserve">Following repeat dosing of 125 microgram doses every two weeks by subcutaneous administration in multiple sclerosis patients, </w:t>
      </w:r>
      <w:proofErr w:type="spellStart"/>
      <w:r w:rsidRPr="00FF13B1">
        <w:rPr>
          <w:szCs w:val="24"/>
        </w:rPr>
        <w:t>peginterferon</w:t>
      </w:r>
      <w:proofErr w:type="spellEnd"/>
      <w:r w:rsidRPr="00FF13B1">
        <w:rPr>
          <w:szCs w:val="24"/>
        </w:rPr>
        <w:t xml:space="preserve"> beta-1a was widely distributed with a volume of distribution of 481 ± 105 L (</w:t>
      </w:r>
      <w:proofErr w:type="spellStart"/>
      <w:r w:rsidRPr="00FF13B1">
        <w:rPr>
          <w:szCs w:val="24"/>
        </w:rPr>
        <w:t>mean±SE</w:t>
      </w:r>
      <w:proofErr w:type="spellEnd"/>
      <w:r w:rsidRPr="00FF13B1">
        <w:rPr>
          <w:szCs w:val="24"/>
        </w:rPr>
        <w:t xml:space="preserve">). </w:t>
      </w:r>
    </w:p>
    <w:p w:rsidR="00F939BD" w:rsidRPr="00FF13B1" w:rsidRDefault="000C1D2F" w:rsidP="00BB1F40">
      <w:pPr>
        <w:pStyle w:val="PIHeading3"/>
      </w:pPr>
      <w:r w:rsidRPr="00FF13B1">
        <w:t xml:space="preserve">Biotransformation and Elimination </w:t>
      </w:r>
    </w:p>
    <w:p w:rsidR="00AD5204" w:rsidRDefault="00AD5204" w:rsidP="003C5BED">
      <w:pPr>
        <w:pStyle w:val="PINormal"/>
        <w:rPr>
          <w:szCs w:val="24"/>
        </w:rPr>
      </w:pPr>
      <w:r w:rsidRPr="00AD5204">
        <w:rPr>
          <w:szCs w:val="24"/>
        </w:rPr>
        <w:t>Clearance mechanisms for PLEGRIDY include catabolism and ex</w:t>
      </w:r>
      <w:r>
        <w:rPr>
          <w:szCs w:val="24"/>
        </w:rPr>
        <w:t xml:space="preserve">cretion. The major pathway of </w:t>
      </w:r>
      <w:r w:rsidRPr="00AD5204">
        <w:rPr>
          <w:szCs w:val="24"/>
        </w:rPr>
        <w:t xml:space="preserve">elimination of </w:t>
      </w:r>
      <w:proofErr w:type="spellStart"/>
      <w:r w:rsidRPr="00AD5204">
        <w:rPr>
          <w:szCs w:val="24"/>
        </w:rPr>
        <w:t>peginterferon</w:t>
      </w:r>
      <w:proofErr w:type="spellEnd"/>
      <w:r w:rsidRPr="00AD5204">
        <w:rPr>
          <w:szCs w:val="24"/>
        </w:rPr>
        <w:t xml:space="preserve"> beta-1a is renal. </w:t>
      </w:r>
      <w:r w:rsidR="000C1D2F" w:rsidRPr="00FF13B1">
        <w:rPr>
          <w:szCs w:val="24"/>
        </w:rPr>
        <w:t xml:space="preserve">Renal elimination is postulated to be a major excretory pathway for </w:t>
      </w:r>
      <w:r>
        <w:rPr>
          <w:szCs w:val="24"/>
        </w:rPr>
        <w:t>the PEG moiety</w:t>
      </w:r>
      <w:r w:rsidR="000C1D2F" w:rsidRPr="00FF13B1">
        <w:rPr>
          <w:szCs w:val="24"/>
        </w:rPr>
        <w:t xml:space="preserve">. </w:t>
      </w:r>
      <w:r w:rsidRPr="00AD5204">
        <w:rPr>
          <w:szCs w:val="24"/>
        </w:rPr>
        <w:t>Other potential minor routes of elimination for the PEG moiety include hepatic metabolism and biliary excretion.</w:t>
      </w:r>
      <w:r>
        <w:rPr>
          <w:szCs w:val="24"/>
        </w:rPr>
        <w:t xml:space="preserve"> </w:t>
      </w:r>
    </w:p>
    <w:p w:rsidR="003C5BED" w:rsidRPr="00FF13B1" w:rsidRDefault="000C1D2F" w:rsidP="003C5BED">
      <w:pPr>
        <w:pStyle w:val="PINormal"/>
        <w:rPr>
          <w:szCs w:val="24"/>
        </w:rPr>
      </w:pPr>
      <w:r w:rsidRPr="00FF13B1">
        <w:rPr>
          <w:szCs w:val="24"/>
        </w:rPr>
        <w:t xml:space="preserve">The process of covalently conjugating a PEG moiety to a protein can alter the </w:t>
      </w:r>
      <w:r w:rsidRPr="008E6031">
        <w:rPr>
          <w:i/>
          <w:szCs w:val="24"/>
        </w:rPr>
        <w:t>in vivo</w:t>
      </w:r>
      <w:r w:rsidRPr="00FF13B1">
        <w:rPr>
          <w:szCs w:val="24"/>
        </w:rPr>
        <w:t xml:space="preserve"> properties of the unmodified protein, including decreased renal clearance and decreased proteolysis thus extending the circulating half-life. Accordingly, the half-life (t</w:t>
      </w:r>
      <w:r w:rsidRPr="004C0FEB">
        <w:rPr>
          <w:szCs w:val="24"/>
          <w:vertAlign w:val="subscript"/>
        </w:rPr>
        <w:t>1/2</w:t>
      </w:r>
      <w:r w:rsidRPr="00FF13B1">
        <w:rPr>
          <w:szCs w:val="24"/>
        </w:rPr>
        <w:t xml:space="preserve">) of </w:t>
      </w:r>
      <w:proofErr w:type="spellStart"/>
      <w:r w:rsidRPr="00FF13B1">
        <w:rPr>
          <w:szCs w:val="24"/>
        </w:rPr>
        <w:t>peginterferon</w:t>
      </w:r>
      <w:proofErr w:type="spellEnd"/>
      <w:r w:rsidRPr="00FF13B1">
        <w:rPr>
          <w:szCs w:val="24"/>
        </w:rPr>
        <w:t xml:space="preserve"> beta-1a is approximately 2-fold longer than non-</w:t>
      </w:r>
      <w:proofErr w:type="spellStart"/>
      <w:r w:rsidRPr="00FF13B1">
        <w:rPr>
          <w:szCs w:val="24"/>
        </w:rPr>
        <w:t>pegylated</w:t>
      </w:r>
      <w:proofErr w:type="spellEnd"/>
      <w:r w:rsidRPr="00FF13B1">
        <w:rPr>
          <w:szCs w:val="24"/>
        </w:rPr>
        <w:t xml:space="preserve"> interferon beta-1a in healthy volunteers.  In multiple sclerosis patients, the t</w:t>
      </w:r>
      <w:r w:rsidRPr="004C0FEB">
        <w:rPr>
          <w:szCs w:val="24"/>
          <w:vertAlign w:val="subscript"/>
        </w:rPr>
        <w:t>1/2</w:t>
      </w:r>
      <w:r w:rsidRPr="00FF13B1">
        <w:rPr>
          <w:szCs w:val="24"/>
        </w:rPr>
        <w:t xml:space="preserve"> (</w:t>
      </w:r>
      <w:proofErr w:type="spellStart"/>
      <w:r w:rsidRPr="00FF13B1">
        <w:rPr>
          <w:szCs w:val="24"/>
        </w:rPr>
        <w:t>mean±SE</w:t>
      </w:r>
      <w:proofErr w:type="spellEnd"/>
      <w:r w:rsidRPr="00FF13B1">
        <w:rPr>
          <w:szCs w:val="24"/>
        </w:rPr>
        <w:t xml:space="preserve">) of </w:t>
      </w:r>
      <w:proofErr w:type="spellStart"/>
      <w:r w:rsidRPr="00FF13B1">
        <w:rPr>
          <w:szCs w:val="24"/>
        </w:rPr>
        <w:t>peginterferon</w:t>
      </w:r>
      <w:proofErr w:type="spellEnd"/>
      <w:r w:rsidRPr="00FF13B1">
        <w:rPr>
          <w:szCs w:val="24"/>
        </w:rPr>
        <w:t xml:space="preserve"> beta-1a was 78 ± 15 hours at steady state.  The mean steady state clearance of </w:t>
      </w:r>
      <w:proofErr w:type="spellStart"/>
      <w:r w:rsidRPr="00FF13B1">
        <w:rPr>
          <w:szCs w:val="24"/>
        </w:rPr>
        <w:t>peginterferon</w:t>
      </w:r>
      <w:proofErr w:type="spellEnd"/>
      <w:r w:rsidRPr="00FF13B1">
        <w:rPr>
          <w:szCs w:val="24"/>
        </w:rPr>
        <w:t xml:space="preserve"> beta-1a was 4.1 ± 0.4 L/hr. </w:t>
      </w:r>
    </w:p>
    <w:p w:rsidR="00313584" w:rsidRPr="00FF13B1" w:rsidRDefault="00313584" w:rsidP="00BB1F40">
      <w:pPr>
        <w:pStyle w:val="PIHeading3"/>
      </w:pPr>
      <w:r w:rsidRPr="00FF13B1">
        <w:lastRenderedPageBreak/>
        <w:t>Special Populations</w:t>
      </w:r>
      <w:r w:rsidR="00F37A41" w:rsidRPr="00FF13B1">
        <w:t xml:space="preserve"> </w:t>
      </w:r>
    </w:p>
    <w:p w:rsidR="00313584" w:rsidRPr="00FF13B1" w:rsidRDefault="00313584" w:rsidP="00BB1F40">
      <w:pPr>
        <w:pStyle w:val="PIHeading4"/>
      </w:pPr>
      <w:r w:rsidRPr="00FF13B1">
        <w:t>Elderly (&gt;65 years)</w:t>
      </w:r>
      <w:r w:rsidR="00F37A41" w:rsidRPr="00FF13B1">
        <w:t xml:space="preserve"> </w:t>
      </w:r>
    </w:p>
    <w:p w:rsidR="00F37A41" w:rsidRPr="00FF13B1" w:rsidRDefault="000C1D2F" w:rsidP="00F37A41">
      <w:pPr>
        <w:pStyle w:val="PINormal"/>
        <w:rPr>
          <w:szCs w:val="24"/>
        </w:rPr>
      </w:pPr>
      <w:r w:rsidRPr="00FF13B1">
        <w:rPr>
          <w:szCs w:val="24"/>
        </w:rPr>
        <w:t xml:space="preserve">Clinical experience in patients aged above 65 years is limited. However, results from a population pharmacokinetic analysis suggest that age does not impact </w:t>
      </w:r>
      <w:proofErr w:type="spellStart"/>
      <w:r w:rsidRPr="00FF13B1">
        <w:rPr>
          <w:szCs w:val="24"/>
        </w:rPr>
        <w:t>peginterferon</w:t>
      </w:r>
      <w:proofErr w:type="spellEnd"/>
      <w:r w:rsidRPr="00FF13B1">
        <w:rPr>
          <w:szCs w:val="24"/>
        </w:rPr>
        <w:t xml:space="preserve"> beta-1a clearance.  </w:t>
      </w:r>
    </w:p>
    <w:p w:rsidR="00AA3820" w:rsidRPr="00FF13B1" w:rsidRDefault="00AA3820" w:rsidP="00BB1F40">
      <w:pPr>
        <w:pStyle w:val="PIHeading4"/>
        <w:rPr>
          <w:i w:val="0"/>
        </w:rPr>
      </w:pPr>
      <w:r w:rsidRPr="00FF13B1">
        <w:t>Gender</w:t>
      </w:r>
      <w:r w:rsidR="00F37A41" w:rsidRPr="00FF13B1">
        <w:t xml:space="preserve"> </w:t>
      </w:r>
    </w:p>
    <w:p w:rsidR="00F37A41" w:rsidRPr="00FF13B1" w:rsidRDefault="000C1D2F" w:rsidP="00F37A41">
      <w:pPr>
        <w:pStyle w:val="PINormal"/>
        <w:rPr>
          <w:szCs w:val="24"/>
        </w:rPr>
      </w:pPr>
      <w:r w:rsidRPr="00FF13B1">
        <w:rPr>
          <w:szCs w:val="24"/>
        </w:rPr>
        <w:t xml:space="preserve">No gender effect on the pharmacokinetics of </w:t>
      </w:r>
      <w:proofErr w:type="spellStart"/>
      <w:r w:rsidRPr="00FF13B1">
        <w:rPr>
          <w:szCs w:val="24"/>
        </w:rPr>
        <w:t>peginterferon</w:t>
      </w:r>
      <w:proofErr w:type="spellEnd"/>
      <w:r w:rsidRPr="00FF13B1">
        <w:rPr>
          <w:szCs w:val="24"/>
        </w:rPr>
        <w:t xml:space="preserve"> beta-1a was found in a population pharmacokinetic analysis. </w:t>
      </w:r>
    </w:p>
    <w:p w:rsidR="00F37A41" w:rsidRPr="00FF13B1" w:rsidRDefault="00AA3820" w:rsidP="00F37A41">
      <w:pPr>
        <w:pStyle w:val="PIHeading4"/>
        <w:rPr>
          <w:i w:val="0"/>
        </w:rPr>
      </w:pPr>
      <w:r w:rsidRPr="00FF13B1">
        <w:t>Race</w:t>
      </w:r>
      <w:r w:rsidR="00F37A41" w:rsidRPr="00FF13B1">
        <w:t xml:space="preserve"> </w:t>
      </w:r>
    </w:p>
    <w:p w:rsidR="00F37A41" w:rsidRPr="007C47A4" w:rsidRDefault="000C1D2F" w:rsidP="00F37A41">
      <w:pPr>
        <w:pStyle w:val="PINormal"/>
        <w:rPr>
          <w:szCs w:val="24"/>
        </w:rPr>
      </w:pPr>
      <w:r w:rsidRPr="007C47A4">
        <w:rPr>
          <w:szCs w:val="24"/>
        </w:rPr>
        <w:t xml:space="preserve">Race had no effect on the pharmacokinetics of </w:t>
      </w:r>
      <w:proofErr w:type="spellStart"/>
      <w:r w:rsidRPr="007C47A4">
        <w:rPr>
          <w:szCs w:val="24"/>
        </w:rPr>
        <w:t>peginterferon</w:t>
      </w:r>
      <w:proofErr w:type="spellEnd"/>
      <w:r w:rsidRPr="007C47A4">
        <w:rPr>
          <w:szCs w:val="24"/>
        </w:rPr>
        <w:t xml:space="preserve"> beta-1a in a population pharmacokinetic analysis. </w:t>
      </w:r>
    </w:p>
    <w:p w:rsidR="00F37A41" w:rsidRPr="00FF13B1" w:rsidRDefault="00F948E7" w:rsidP="00F37A41">
      <w:pPr>
        <w:pStyle w:val="PIHeading4"/>
        <w:rPr>
          <w:i w:val="0"/>
        </w:rPr>
      </w:pPr>
      <w:r w:rsidRPr="00FF13B1">
        <w:t>Renal Impairment</w:t>
      </w:r>
      <w:r w:rsidR="00F37A41" w:rsidRPr="00FF13B1">
        <w:t xml:space="preserve"> </w:t>
      </w:r>
    </w:p>
    <w:p w:rsidR="00F37A41" w:rsidRPr="007C47A4" w:rsidRDefault="000C1D2F" w:rsidP="00F37A41">
      <w:pPr>
        <w:pStyle w:val="PINormal"/>
        <w:rPr>
          <w:szCs w:val="24"/>
        </w:rPr>
      </w:pPr>
      <w:r w:rsidRPr="007C47A4">
        <w:rPr>
          <w:szCs w:val="24"/>
        </w:rPr>
        <w:t>A single-dose study in healthy subjects</w:t>
      </w:r>
      <w:r w:rsidR="00FD62D7">
        <w:rPr>
          <w:szCs w:val="24"/>
        </w:rPr>
        <w:t xml:space="preserve"> </w:t>
      </w:r>
      <w:r w:rsidR="00FD62D7" w:rsidRPr="00FD62D7">
        <w:rPr>
          <w:szCs w:val="24"/>
        </w:rPr>
        <w:t>(creatinine clearance &gt;80 mL/minute)</w:t>
      </w:r>
      <w:r w:rsidRPr="007C47A4">
        <w:rPr>
          <w:szCs w:val="24"/>
        </w:rPr>
        <w:t xml:space="preserve"> and subjects with various degree of renal impairment showed a fractional increase in </w:t>
      </w:r>
      <w:r w:rsidR="00FD62D7" w:rsidRPr="00FD62D7">
        <w:rPr>
          <w:szCs w:val="24"/>
        </w:rPr>
        <w:t>AUC336h (30</w:t>
      </w:r>
      <w:r w:rsidR="00FD62D7">
        <w:rPr>
          <w:szCs w:val="24"/>
        </w:rPr>
        <w:t>%</w:t>
      </w:r>
      <w:r w:rsidR="00FD62D7" w:rsidRPr="00FD62D7">
        <w:rPr>
          <w:szCs w:val="24"/>
        </w:rPr>
        <w:t xml:space="preserve">, 40% and 53%) </w:t>
      </w:r>
      <w:r w:rsidRPr="007C47A4">
        <w:rPr>
          <w:szCs w:val="24"/>
        </w:rPr>
        <w:t xml:space="preserve">and </w:t>
      </w:r>
      <w:proofErr w:type="spellStart"/>
      <w:r w:rsidRPr="007C47A4">
        <w:rPr>
          <w:szCs w:val="24"/>
        </w:rPr>
        <w:t>C</w:t>
      </w:r>
      <w:r w:rsidRPr="004C0FEB">
        <w:rPr>
          <w:szCs w:val="24"/>
          <w:vertAlign w:val="subscript"/>
        </w:rPr>
        <w:t>max</w:t>
      </w:r>
      <w:proofErr w:type="spellEnd"/>
      <w:r w:rsidRPr="007C47A4">
        <w:rPr>
          <w:szCs w:val="24"/>
        </w:rPr>
        <w:t xml:space="preserve"> </w:t>
      </w:r>
      <w:r w:rsidR="00FD62D7">
        <w:rPr>
          <w:szCs w:val="24"/>
        </w:rPr>
        <w:t>(27%, 26% and 42%)</w:t>
      </w:r>
      <w:r w:rsidRPr="007C47A4">
        <w:rPr>
          <w:szCs w:val="24"/>
        </w:rPr>
        <w:t xml:space="preserve"> in subjects with mild (creatinine clearance 50 to ≤ 80 mL/minute), moderate (creatinine clearance 30 to </w:t>
      </w:r>
      <w:r w:rsidR="0079765A" w:rsidRPr="0079765A">
        <w:rPr>
          <w:szCs w:val="24"/>
        </w:rPr>
        <w:t>&lt;</w:t>
      </w:r>
      <w:r w:rsidRPr="007C47A4">
        <w:rPr>
          <w:szCs w:val="24"/>
        </w:rPr>
        <w:t>50 mL/minute), and severe (creatinine clearance &lt;30 mL/minute) renal impairment</w:t>
      </w:r>
      <w:r w:rsidR="00FD62D7" w:rsidRPr="00190CE8">
        <w:rPr>
          <w:noProof/>
        </w:rPr>
        <w:t xml:space="preserve"> respectively</w:t>
      </w:r>
      <w:r w:rsidRPr="007C47A4">
        <w:rPr>
          <w:szCs w:val="24"/>
        </w:rPr>
        <w:t xml:space="preserve">, compared to subjects with normal renal function (creatinine clearance &gt;80 mL/minute).  Subjects with end stage renal disease requiring </w:t>
      </w:r>
      <w:r w:rsidR="00A938CE" w:rsidRPr="007C47A4">
        <w:rPr>
          <w:szCs w:val="24"/>
        </w:rPr>
        <w:t>h</w:t>
      </w:r>
      <w:r w:rsidR="00A938CE">
        <w:rPr>
          <w:szCs w:val="24"/>
        </w:rPr>
        <w:t>a</w:t>
      </w:r>
      <w:r w:rsidR="00A938CE" w:rsidRPr="007C47A4">
        <w:rPr>
          <w:szCs w:val="24"/>
        </w:rPr>
        <w:t xml:space="preserve">emodialysis </w:t>
      </w:r>
      <w:r w:rsidRPr="007C47A4">
        <w:rPr>
          <w:szCs w:val="24"/>
        </w:rPr>
        <w:t>2-3 times weekly showed similar AUC</w:t>
      </w:r>
      <w:r w:rsidR="00FD62D7" w:rsidRPr="00FD62D7">
        <w:rPr>
          <w:szCs w:val="24"/>
        </w:rPr>
        <w:t>336h</w:t>
      </w:r>
      <w:r w:rsidRPr="007C47A4">
        <w:rPr>
          <w:szCs w:val="24"/>
        </w:rPr>
        <w:t xml:space="preserve"> and </w:t>
      </w:r>
      <w:proofErr w:type="spellStart"/>
      <w:r w:rsidRPr="007C47A4">
        <w:rPr>
          <w:szCs w:val="24"/>
        </w:rPr>
        <w:t>C</w:t>
      </w:r>
      <w:r w:rsidRPr="004C0FEB">
        <w:rPr>
          <w:szCs w:val="24"/>
          <w:vertAlign w:val="subscript"/>
        </w:rPr>
        <w:t>max</w:t>
      </w:r>
      <w:proofErr w:type="spellEnd"/>
      <w:r w:rsidRPr="007C47A4">
        <w:rPr>
          <w:szCs w:val="24"/>
        </w:rPr>
        <w:t xml:space="preserve"> as compared to subjects with normal renal function.  Each h</w:t>
      </w:r>
      <w:r w:rsidR="00312C3E">
        <w:rPr>
          <w:szCs w:val="24"/>
        </w:rPr>
        <w:t>a</w:t>
      </w:r>
      <w:r w:rsidRPr="007C47A4">
        <w:rPr>
          <w:szCs w:val="24"/>
        </w:rPr>
        <w:t xml:space="preserve">emodialysis reduced </w:t>
      </w:r>
      <w:proofErr w:type="spellStart"/>
      <w:r w:rsidRPr="007C47A4">
        <w:rPr>
          <w:szCs w:val="24"/>
        </w:rPr>
        <w:t>peginterferon</w:t>
      </w:r>
      <w:proofErr w:type="spellEnd"/>
      <w:r w:rsidRPr="007C47A4">
        <w:rPr>
          <w:szCs w:val="24"/>
        </w:rPr>
        <w:t xml:space="preserve"> beta-1a concentration by approximately 24%, suggesting that h</w:t>
      </w:r>
      <w:r w:rsidR="00312C3E">
        <w:rPr>
          <w:szCs w:val="24"/>
        </w:rPr>
        <w:t>a</w:t>
      </w:r>
      <w:r w:rsidRPr="007C47A4">
        <w:rPr>
          <w:szCs w:val="24"/>
        </w:rPr>
        <w:t xml:space="preserve">emodialysis partially removes </w:t>
      </w:r>
      <w:proofErr w:type="spellStart"/>
      <w:r w:rsidRPr="007C47A4">
        <w:rPr>
          <w:szCs w:val="24"/>
        </w:rPr>
        <w:t>peginterferon</w:t>
      </w:r>
      <w:proofErr w:type="spellEnd"/>
      <w:r w:rsidRPr="007C47A4">
        <w:rPr>
          <w:szCs w:val="24"/>
        </w:rPr>
        <w:t xml:space="preserve"> beta-1a from systemic circulation. </w:t>
      </w:r>
    </w:p>
    <w:p w:rsidR="00F37A41" w:rsidRPr="00FF13B1" w:rsidRDefault="006D3F94" w:rsidP="00F37A41">
      <w:pPr>
        <w:pStyle w:val="PIHeading4"/>
        <w:rPr>
          <w:i w:val="0"/>
        </w:rPr>
      </w:pPr>
      <w:r w:rsidRPr="00FF13B1">
        <w:t>Hepatic Impairment</w:t>
      </w:r>
      <w:r w:rsidR="00F37A41" w:rsidRPr="00FF13B1">
        <w:t xml:space="preserve"> </w:t>
      </w:r>
    </w:p>
    <w:p w:rsidR="00F37A41" w:rsidRPr="007C47A4" w:rsidRDefault="000C1D2F" w:rsidP="00F37A41">
      <w:pPr>
        <w:pStyle w:val="PINormal"/>
        <w:rPr>
          <w:szCs w:val="24"/>
        </w:rPr>
      </w:pPr>
      <w:r w:rsidRPr="007C47A4">
        <w:rPr>
          <w:szCs w:val="24"/>
        </w:rPr>
        <w:t xml:space="preserve">The pharmacokinetics of </w:t>
      </w:r>
      <w:proofErr w:type="spellStart"/>
      <w:r w:rsidRPr="007C47A4">
        <w:rPr>
          <w:szCs w:val="24"/>
        </w:rPr>
        <w:t>peginterferon</w:t>
      </w:r>
      <w:proofErr w:type="spellEnd"/>
      <w:r w:rsidRPr="007C47A4">
        <w:rPr>
          <w:szCs w:val="24"/>
        </w:rPr>
        <w:t xml:space="preserve"> beta-1a </w:t>
      </w:r>
      <w:proofErr w:type="gramStart"/>
      <w:r w:rsidRPr="007C47A4">
        <w:rPr>
          <w:szCs w:val="24"/>
        </w:rPr>
        <w:t>have</w:t>
      </w:r>
      <w:proofErr w:type="gramEnd"/>
      <w:r w:rsidRPr="007C47A4">
        <w:rPr>
          <w:szCs w:val="24"/>
        </w:rPr>
        <w:t xml:space="preserve"> not been evaluated in patients with hepatic insufficiency.</w:t>
      </w:r>
    </w:p>
    <w:p w:rsidR="006D3F94" w:rsidRPr="00FF13B1" w:rsidRDefault="006D3F94" w:rsidP="00056EF5">
      <w:pPr>
        <w:pStyle w:val="PIHeading1"/>
      </w:pPr>
      <w:r w:rsidRPr="00FF13B1">
        <w:t>CLINICAL TRIALS</w:t>
      </w:r>
      <w:r w:rsidR="00F37A41" w:rsidRPr="00FF13B1">
        <w:t xml:space="preserve"> </w:t>
      </w:r>
    </w:p>
    <w:p w:rsidR="002321D5" w:rsidRPr="007C47A4" w:rsidRDefault="002321D5" w:rsidP="002321D5">
      <w:pPr>
        <w:pStyle w:val="PINormal"/>
        <w:rPr>
          <w:szCs w:val="24"/>
        </w:rPr>
      </w:pPr>
      <w:r w:rsidRPr="007C47A4">
        <w:rPr>
          <w:szCs w:val="24"/>
        </w:rPr>
        <w:t xml:space="preserve">The efficacy and safety of </w:t>
      </w:r>
      <w:r w:rsidR="008F5062" w:rsidRPr="007C47A4">
        <w:rPr>
          <w:szCs w:val="24"/>
        </w:rPr>
        <w:t>PLEGRIDY</w:t>
      </w:r>
      <w:r w:rsidRPr="007C47A4">
        <w:rPr>
          <w:szCs w:val="24"/>
        </w:rPr>
        <w:t xml:space="preserve"> was assessed from the first year of a 2-year randomi</w:t>
      </w:r>
      <w:r w:rsidR="00F241F6">
        <w:rPr>
          <w:szCs w:val="24"/>
        </w:rPr>
        <w:t>s</w:t>
      </w:r>
      <w:r w:rsidRPr="007C47A4">
        <w:rPr>
          <w:szCs w:val="24"/>
        </w:rPr>
        <w:t xml:space="preserve">ed, double-blind, clinical study in patients with relapsing remitting multiple sclerosis (the ADVANCE study). </w:t>
      </w:r>
      <w:r w:rsidR="00445ADB" w:rsidRPr="007C47A4">
        <w:rPr>
          <w:szCs w:val="24"/>
        </w:rPr>
        <w:t>Efficacy results were derived from the placebo-controlled first year of the study</w:t>
      </w:r>
      <w:r w:rsidR="00445ADB">
        <w:rPr>
          <w:szCs w:val="24"/>
        </w:rPr>
        <w:t xml:space="preserve">. </w:t>
      </w:r>
      <w:r w:rsidRPr="007C47A4">
        <w:rPr>
          <w:szCs w:val="24"/>
        </w:rPr>
        <w:t>At study entry 1512 patients were randomi</w:t>
      </w:r>
      <w:r w:rsidR="00F241F6">
        <w:rPr>
          <w:szCs w:val="24"/>
        </w:rPr>
        <w:t>s</w:t>
      </w:r>
      <w:r w:rsidRPr="007C47A4">
        <w:rPr>
          <w:szCs w:val="24"/>
        </w:rPr>
        <w:t xml:space="preserve">ed and dosed to 125 micrograms </w:t>
      </w:r>
      <w:r w:rsidR="008F5062" w:rsidRPr="007C47A4">
        <w:rPr>
          <w:szCs w:val="24"/>
        </w:rPr>
        <w:t>PLEGRIDY</w:t>
      </w:r>
      <w:r w:rsidRPr="007C47A4">
        <w:rPr>
          <w:szCs w:val="24"/>
        </w:rPr>
        <w:t xml:space="preserve"> injected subcutaneously every 2 (n=512) or 4 (n=500) weeks versus placebo (n=500). At the end of the first year, patients who received placebo were randomi</w:t>
      </w:r>
      <w:r w:rsidR="00F241F6">
        <w:rPr>
          <w:szCs w:val="24"/>
        </w:rPr>
        <w:t>s</w:t>
      </w:r>
      <w:r w:rsidRPr="007C47A4">
        <w:rPr>
          <w:szCs w:val="24"/>
        </w:rPr>
        <w:t xml:space="preserve">ed to </w:t>
      </w:r>
      <w:r w:rsidR="008F5062" w:rsidRPr="007C47A4">
        <w:rPr>
          <w:szCs w:val="24"/>
        </w:rPr>
        <w:t>PLEGRIDY</w:t>
      </w:r>
      <w:r w:rsidRPr="007C47A4">
        <w:rPr>
          <w:szCs w:val="24"/>
        </w:rPr>
        <w:t xml:space="preserve"> every 2 or every 4 weeks while the patients randomi</w:t>
      </w:r>
      <w:r w:rsidR="00F241F6">
        <w:rPr>
          <w:szCs w:val="24"/>
        </w:rPr>
        <w:t>s</w:t>
      </w:r>
      <w:r w:rsidRPr="007C47A4">
        <w:rPr>
          <w:szCs w:val="24"/>
        </w:rPr>
        <w:t xml:space="preserve">ed to </w:t>
      </w:r>
      <w:r w:rsidR="008F5062" w:rsidRPr="007C47A4">
        <w:rPr>
          <w:szCs w:val="24"/>
        </w:rPr>
        <w:t>PLEGRIDY</w:t>
      </w:r>
      <w:r w:rsidRPr="007C47A4">
        <w:rPr>
          <w:szCs w:val="24"/>
        </w:rPr>
        <w:t xml:space="preserve"> in the first year remained on their original dose assignment.  </w:t>
      </w:r>
    </w:p>
    <w:p w:rsidR="002321D5" w:rsidRPr="007C47A4" w:rsidRDefault="002321D5" w:rsidP="002321D5">
      <w:pPr>
        <w:pStyle w:val="PINormal"/>
        <w:rPr>
          <w:szCs w:val="24"/>
        </w:rPr>
      </w:pPr>
      <w:r w:rsidRPr="007C47A4">
        <w:rPr>
          <w:szCs w:val="24"/>
        </w:rPr>
        <w:t xml:space="preserve">The study enrolled patients who had experienced at least </w:t>
      </w:r>
      <w:r w:rsidR="00F241F6">
        <w:rPr>
          <w:szCs w:val="24"/>
        </w:rPr>
        <w:t>two</w:t>
      </w:r>
      <w:r w:rsidRPr="007C47A4">
        <w:rPr>
          <w:szCs w:val="24"/>
        </w:rPr>
        <w:t xml:space="preserve"> relapses within the prior three years including at least </w:t>
      </w:r>
      <w:r w:rsidR="00F241F6">
        <w:rPr>
          <w:szCs w:val="24"/>
        </w:rPr>
        <w:t>one</w:t>
      </w:r>
      <w:r w:rsidRPr="007C47A4">
        <w:rPr>
          <w:szCs w:val="24"/>
        </w:rPr>
        <w:t xml:space="preserve"> in the year prior to randomi</w:t>
      </w:r>
      <w:r w:rsidR="00F241F6">
        <w:rPr>
          <w:szCs w:val="24"/>
        </w:rPr>
        <w:t>s</w:t>
      </w:r>
      <w:r w:rsidRPr="007C47A4">
        <w:rPr>
          <w:szCs w:val="24"/>
        </w:rPr>
        <w:t xml:space="preserve">ation and had an Expanded Disability Status Scale (EDSS) score ranging from 0 to 5. Neurological evaluations were performed at baseline, every 12 weeks and at time of suspected relapse. Brain MRI evaluations were performed at baseline, weeks 24 and 48. The primary endpoint was the annualized relapse rate (ARR) over </w:t>
      </w:r>
      <w:r w:rsidR="00F241F6">
        <w:rPr>
          <w:szCs w:val="24"/>
        </w:rPr>
        <w:t>one</w:t>
      </w:r>
      <w:r w:rsidRPr="007C47A4">
        <w:rPr>
          <w:szCs w:val="24"/>
        </w:rPr>
        <w:t xml:space="preserve"> year. Secondary endpoints included the proportion of subjects relapsing, new or newly enlarging T2 </w:t>
      </w:r>
      <w:proofErr w:type="spellStart"/>
      <w:r w:rsidRPr="007C47A4">
        <w:rPr>
          <w:szCs w:val="24"/>
        </w:rPr>
        <w:t>hyperintense</w:t>
      </w:r>
      <w:proofErr w:type="spellEnd"/>
      <w:r w:rsidRPr="007C47A4">
        <w:rPr>
          <w:szCs w:val="24"/>
        </w:rPr>
        <w:t xml:space="preserve"> lesions and time to confirmed disability progression, defined as at least a 1 point </w:t>
      </w:r>
      <w:r w:rsidRPr="007C47A4">
        <w:rPr>
          <w:szCs w:val="24"/>
        </w:rPr>
        <w:lastRenderedPageBreak/>
        <w:t xml:space="preserve">increase from baseline EDSS ≥ 1 or 1.5 point increase for patients with baseline EDSS of 0, sustained for 12 weeks. </w:t>
      </w:r>
    </w:p>
    <w:p w:rsidR="002321D5" w:rsidRPr="007C47A4" w:rsidRDefault="002321D5" w:rsidP="002321D5">
      <w:pPr>
        <w:pStyle w:val="PINormal"/>
        <w:rPr>
          <w:szCs w:val="24"/>
        </w:rPr>
      </w:pPr>
      <w:r w:rsidRPr="007C47A4">
        <w:rPr>
          <w:szCs w:val="24"/>
        </w:rPr>
        <w:t xml:space="preserve">The mean age of the study population was 37 years, the mean disease duration was 3.6 years and the mean EDSS at baseline was 2.46. The majority of the patients were female (71%). </w:t>
      </w:r>
    </w:p>
    <w:p w:rsidR="002321D5" w:rsidRPr="007C47A4" w:rsidRDefault="008F5062" w:rsidP="002321D5">
      <w:pPr>
        <w:pStyle w:val="PINormal"/>
        <w:rPr>
          <w:szCs w:val="24"/>
        </w:rPr>
      </w:pPr>
      <w:r w:rsidRPr="007C47A4">
        <w:rPr>
          <w:szCs w:val="24"/>
        </w:rPr>
        <w:t>PLEGRIDY</w:t>
      </w:r>
      <w:r w:rsidR="002321D5" w:rsidRPr="007C47A4">
        <w:rPr>
          <w:szCs w:val="24"/>
        </w:rPr>
        <w:t xml:space="preserve"> had a statistically significant effect on the primary and all secondary endpoints.</w:t>
      </w:r>
    </w:p>
    <w:p w:rsidR="002321D5" w:rsidRPr="007C47A4" w:rsidRDefault="008F5062" w:rsidP="002321D5">
      <w:pPr>
        <w:pStyle w:val="PINormal"/>
        <w:rPr>
          <w:szCs w:val="24"/>
        </w:rPr>
      </w:pPr>
      <w:r w:rsidRPr="007C47A4">
        <w:rPr>
          <w:szCs w:val="24"/>
        </w:rPr>
        <w:t>PLEGRIDY</w:t>
      </w:r>
      <w:r w:rsidR="002321D5" w:rsidRPr="007C47A4">
        <w:rPr>
          <w:szCs w:val="24"/>
        </w:rPr>
        <w:t xml:space="preserve"> every </w:t>
      </w:r>
      <w:r w:rsidR="00F241F6">
        <w:rPr>
          <w:szCs w:val="24"/>
        </w:rPr>
        <w:t>two</w:t>
      </w:r>
      <w:r w:rsidR="002321D5" w:rsidRPr="007C47A4">
        <w:rPr>
          <w:szCs w:val="24"/>
        </w:rPr>
        <w:t xml:space="preserve"> weeks reduced the ARR by 36% compared to placebo (p=0.0007) at one year (Table </w:t>
      </w:r>
      <w:r w:rsidR="00312C3E">
        <w:rPr>
          <w:szCs w:val="24"/>
        </w:rPr>
        <w:t>1</w:t>
      </w:r>
      <w:r w:rsidR="002321D5" w:rsidRPr="007C47A4">
        <w:rPr>
          <w:szCs w:val="24"/>
        </w:rPr>
        <w:t xml:space="preserve">).  There was a consistent reduction of the ARR noted in subgroups defined by demographic and baseline disease characteristics. </w:t>
      </w:r>
      <w:r w:rsidRPr="007C47A4">
        <w:rPr>
          <w:szCs w:val="24"/>
        </w:rPr>
        <w:t>PLEGRIDY</w:t>
      </w:r>
      <w:r w:rsidR="002321D5" w:rsidRPr="007C47A4">
        <w:rPr>
          <w:szCs w:val="24"/>
        </w:rPr>
        <w:t xml:space="preserve"> reduced the proportion of subjects who relapsed by 39% (p=0.0003), the proportion of subjects with sustained disability progression by 38% (p=0.0383), the number of new or newly enlarging T2 lesions by 67% (p&lt;0.0001), the number of </w:t>
      </w:r>
      <w:proofErr w:type="spellStart"/>
      <w:r w:rsidR="002321D5" w:rsidRPr="007C47A4">
        <w:rPr>
          <w:szCs w:val="24"/>
        </w:rPr>
        <w:t>Gd</w:t>
      </w:r>
      <w:proofErr w:type="spellEnd"/>
      <w:r w:rsidR="002321D5" w:rsidRPr="007C47A4">
        <w:rPr>
          <w:szCs w:val="24"/>
        </w:rPr>
        <w:t xml:space="preserve">-enhancing lesions by 86% (p&lt;0.0001) and the number of T1 </w:t>
      </w:r>
      <w:proofErr w:type="spellStart"/>
      <w:r w:rsidR="002321D5" w:rsidRPr="007C47A4">
        <w:rPr>
          <w:szCs w:val="24"/>
        </w:rPr>
        <w:t>hypointense</w:t>
      </w:r>
      <w:proofErr w:type="spellEnd"/>
      <w:r w:rsidR="002321D5" w:rsidRPr="007C47A4">
        <w:rPr>
          <w:szCs w:val="24"/>
        </w:rPr>
        <w:t xml:space="preserve"> lesions by 53% (p&lt;0.0001). A treatment effect was observed as early as </w:t>
      </w:r>
      <w:r w:rsidR="00F241F6">
        <w:rPr>
          <w:szCs w:val="24"/>
        </w:rPr>
        <w:t>six</w:t>
      </w:r>
      <w:r w:rsidR="002321D5" w:rsidRPr="007C47A4">
        <w:rPr>
          <w:szCs w:val="24"/>
        </w:rPr>
        <w:t xml:space="preserve"> months, with the PLEGRIDY group demonstrating a 61% reduction (p&lt;0.0001) in new or newly enlarging T2 lesions as compared with placebo.</w:t>
      </w:r>
    </w:p>
    <w:p w:rsidR="002321D5" w:rsidRPr="007C47A4" w:rsidRDefault="002321D5" w:rsidP="002321D5">
      <w:pPr>
        <w:pStyle w:val="PINormal"/>
        <w:rPr>
          <w:szCs w:val="24"/>
        </w:rPr>
      </w:pPr>
      <w:r w:rsidRPr="007C47A4">
        <w:rPr>
          <w:szCs w:val="24"/>
        </w:rPr>
        <w:t xml:space="preserve">Across relapse and MRI endpoints </w:t>
      </w:r>
      <w:r w:rsidR="008F5062" w:rsidRPr="007C47A4">
        <w:rPr>
          <w:szCs w:val="24"/>
        </w:rPr>
        <w:t>PLEGRIDY</w:t>
      </w:r>
      <w:r w:rsidRPr="007C47A4">
        <w:rPr>
          <w:szCs w:val="24"/>
        </w:rPr>
        <w:t xml:space="preserve"> 125 micrograms every two weeks showed a numerically greater treatment effect over the </w:t>
      </w:r>
      <w:r w:rsidR="008F5062" w:rsidRPr="007C47A4">
        <w:rPr>
          <w:szCs w:val="24"/>
        </w:rPr>
        <w:t>PLEGRIDY</w:t>
      </w:r>
      <w:r w:rsidRPr="007C47A4">
        <w:rPr>
          <w:szCs w:val="24"/>
        </w:rPr>
        <w:t xml:space="preserve"> every four weeks dosing regimen. </w:t>
      </w:r>
    </w:p>
    <w:p w:rsidR="002321D5" w:rsidRPr="007C47A4" w:rsidRDefault="002321D5" w:rsidP="00B90298">
      <w:pPr>
        <w:pStyle w:val="PINormal"/>
        <w:rPr>
          <w:szCs w:val="24"/>
        </w:rPr>
      </w:pPr>
      <w:r w:rsidRPr="007C47A4">
        <w:rPr>
          <w:szCs w:val="24"/>
        </w:rPr>
        <w:t xml:space="preserve">Results for this study are shown in Table </w:t>
      </w:r>
      <w:r w:rsidR="00F241F6">
        <w:rPr>
          <w:szCs w:val="24"/>
        </w:rPr>
        <w:t>1</w:t>
      </w:r>
      <w:r w:rsidRPr="007C47A4">
        <w:rPr>
          <w:szCs w:val="24"/>
        </w:rPr>
        <w:t xml:space="preserve"> and Figure 1</w:t>
      </w:r>
    </w:p>
    <w:p w:rsidR="00DB5D71" w:rsidRPr="00FF13B1" w:rsidRDefault="002321D5" w:rsidP="00056EF5">
      <w:pPr>
        <w:pStyle w:val="PITableTitle"/>
        <w:rPr>
          <w:color w:val="auto"/>
        </w:rPr>
      </w:pPr>
      <w:r w:rsidRPr="00FF13B1">
        <w:rPr>
          <w:color w:val="auto"/>
        </w:rPr>
        <w:t xml:space="preserve">Table </w:t>
      </w:r>
      <w:r w:rsidR="00F241F6">
        <w:rPr>
          <w:color w:val="auto"/>
        </w:rPr>
        <w:t>1</w:t>
      </w:r>
      <w:r w:rsidRPr="00FF13B1">
        <w:rPr>
          <w:color w:val="auto"/>
        </w:rPr>
        <w:t>:  Clinical and MRI Results of Study 1*</w:t>
      </w:r>
    </w:p>
    <w:tbl>
      <w:tblPr>
        <w:tblW w:w="49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04"/>
        <w:gridCol w:w="2622"/>
        <w:gridCol w:w="2145"/>
        <w:gridCol w:w="2968"/>
      </w:tblGrid>
      <w:tr w:rsidR="00290A56" w:rsidRPr="00FF13B1" w:rsidTr="00301A3D">
        <w:trPr>
          <w:trHeight w:val="612"/>
        </w:trPr>
        <w:tc>
          <w:tcPr>
            <w:tcW w:w="2375" w:type="pct"/>
            <w:gridSpan w:val="2"/>
            <w:shd w:val="clear" w:color="auto" w:fill="auto"/>
            <w:vAlign w:val="bottom"/>
          </w:tcPr>
          <w:p w:rsidR="00290A56" w:rsidRPr="00FF13B1" w:rsidRDefault="00290A56" w:rsidP="00290A56">
            <w:pPr>
              <w:pStyle w:val="PITableText"/>
              <w:rPr>
                <w:b/>
                <w:color w:val="auto"/>
              </w:rPr>
            </w:pPr>
            <w:r w:rsidRPr="00FF13B1">
              <w:rPr>
                <w:b/>
                <w:bCs/>
                <w:color w:val="auto"/>
                <w:lang w:val="en-US"/>
              </w:rPr>
              <w:t>Endpoint</w:t>
            </w:r>
          </w:p>
        </w:tc>
        <w:tc>
          <w:tcPr>
            <w:tcW w:w="1101" w:type="pct"/>
            <w:shd w:val="clear" w:color="auto" w:fill="auto"/>
          </w:tcPr>
          <w:p w:rsidR="00290A56" w:rsidRPr="00FF13B1" w:rsidRDefault="00290A56" w:rsidP="004279A2">
            <w:pPr>
              <w:pStyle w:val="C-TableHeader"/>
              <w:keepLines/>
              <w:spacing w:before="0" w:after="0"/>
              <w:jc w:val="center"/>
              <w:rPr>
                <w:sz w:val="24"/>
                <w:szCs w:val="24"/>
              </w:rPr>
            </w:pPr>
            <w:r w:rsidRPr="00FF13B1">
              <w:rPr>
                <w:sz w:val="24"/>
                <w:szCs w:val="24"/>
              </w:rPr>
              <w:t>Placebo</w:t>
            </w:r>
          </w:p>
        </w:tc>
        <w:tc>
          <w:tcPr>
            <w:tcW w:w="1524" w:type="pct"/>
            <w:shd w:val="clear" w:color="auto" w:fill="auto"/>
          </w:tcPr>
          <w:p w:rsidR="00290A56" w:rsidRPr="00FF13B1" w:rsidRDefault="008F5062" w:rsidP="004279A2">
            <w:pPr>
              <w:pStyle w:val="C-TableHeader"/>
              <w:keepLines/>
              <w:spacing w:before="0" w:after="0"/>
              <w:jc w:val="center"/>
              <w:rPr>
                <w:sz w:val="24"/>
                <w:szCs w:val="24"/>
              </w:rPr>
            </w:pPr>
            <w:r w:rsidRPr="00FF13B1">
              <w:rPr>
                <w:sz w:val="24"/>
                <w:szCs w:val="24"/>
              </w:rPr>
              <w:t>PLEGRIDY</w:t>
            </w:r>
            <w:r w:rsidR="00290A56" w:rsidRPr="00FF13B1">
              <w:rPr>
                <w:sz w:val="24"/>
                <w:szCs w:val="24"/>
              </w:rPr>
              <w:t xml:space="preserve"> 125 micrograms every 2 weeks</w:t>
            </w:r>
          </w:p>
        </w:tc>
      </w:tr>
      <w:tr w:rsidR="00290A56" w:rsidRPr="00FF13B1" w:rsidTr="00D15178">
        <w:tc>
          <w:tcPr>
            <w:tcW w:w="2375" w:type="pct"/>
            <w:gridSpan w:val="2"/>
            <w:shd w:val="clear" w:color="auto" w:fill="auto"/>
          </w:tcPr>
          <w:p w:rsidR="00290A56" w:rsidRPr="00FF13B1" w:rsidRDefault="00290A56" w:rsidP="004279A2">
            <w:pPr>
              <w:pStyle w:val="C-TableHeader"/>
              <w:keepLines/>
              <w:spacing w:before="0" w:after="0"/>
              <w:rPr>
                <w:sz w:val="24"/>
                <w:szCs w:val="24"/>
              </w:rPr>
            </w:pPr>
            <w:r w:rsidRPr="00FF13B1">
              <w:rPr>
                <w:sz w:val="24"/>
                <w:szCs w:val="24"/>
              </w:rPr>
              <w:t>Clinical endpoints</w:t>
            </w:r>
          </w:p>
        </w:tc>
        <w:tc>
          <w:tcPr>
            <w:tcW w:w="1101" w:type="pct"/>
            <w:shd w:val="clear" w:color="auto" w:fill="auto"/>
          </w:tcPr>
          <w:p w:rsidR="00290A56" w:rsidRPr="00FF13B1" w:rsidRDefault="00290A56" w:rsidP="004279A2">
            <w:pPr>
              <w:pStyle w:val="C-TableHeader"/>
              <w:keepLines/>
              <w:spacing w:before="0" w:after="0"/>
              <w:jc w:val="center"/>
              <w:rPr>
                <w:sz w:val="24"/>
                <w:szCs w:val="24"/>
              </w:rPr>
            </w:pPr>
            <w:r w:rsidRPr="00FF13B1">
              <w:rPr>
                <w:sz w:val="24"/>
                <w:szCs w:val="24"/>
              </w:rPr>
              <w:t>n=500</w:t>
            </w:r>
          </w:p>
        </w:tc>
        <w:tc>
          <w:tcPr>
            <w:tcW w:w="1524" w:type="pct"/>
            <w:shd w:val="clear" w:color="auto" w:fill="auto"/>
          </w:tcPr>
          <w:p w:rsidR="00290A56" w:rsidRPr="00FF13B1" w:rsidRDefault="00290A56" w:rsidP="004279A2">
            <w:pPr>
              <w:pStyle w:val="C-TableHeader"/>
              <w:keepLines/>
              <w:spacing w:before="0" w:after="0"/>
              <w:jc w:val="center"/>
              <w:rPr>
                <w:sz w:val="24"/>
                <w:szCs w:val="24"/>
              </w:rPr>
            </w:pPr>
            <w:r w:rsidRPr="00FF13B1">
              <w:rPr>
                <w:sz w:val="24"/>
                <w:szCs w:val="24"/>
              </w:rPr>
              <w:t>n=512</w:t>
            </w:r>
          </w:p>
        </w:tc>
      </w:tr>
      <w:tr w:rsidR="00290A56" w:rsidRPr="00FF13B1" w:rsidTr="00D15178">
        <w:trPr>
          <w:trHeight w:val="393"/>
        </w:trPr>
        <w:tc>
          <w:tcPr>
            <w:tcW w:w="1029" w:type="pct"/>
            <w:vMerge w:val="restart"/>
            <w:shd w:val="clear" w:color="auto" w:fill="auto"/>
            <w:vAlign w:val="center"/>
          </w:tcPr>
          <w:p w:rsidR="00290A56" w:rsidRPr="00FF13B1" w:rsidRDefault="00290A56" w:rsidP="004279A2">
            <w:pPr>
              <w:pStyle w:val="C-TableText"/>
              <w:keepNext/>
              <w:keepLines/>
              <w:spacing w:before="0" w:after="0"/>
              <w:rPr>
                <w:b/>
                <w:sz w:val="24"/>
                <w:szCs w:val="24"/>
              </w:rPr>
            </w:pPr>
            <w:r w:rsidRPr="00FF13B1">
              <w:rPr>
                <w:b/>
                <w:sz w:val="24"/>
                <w:szCs w:val="24"/>
              </w:rPr>
              <w:t>Annualized relapse rate (primary endpoint)</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Adjusted rate  (95% CI)</w:t>
            </w:r>
            <w:r w:rsidRPr="00FF13B1" w:rsidDel="0060648E">
              <w:rPr>
                <w:sz w:val="24"/>
                <w:szCs w:val="24"/>
              </w:rPr>
              <w:t xml:space="preserve"> </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 xml:space="preserve">0.397 </w:t>
            </w:r>
          </w:p>
          <w:p w:rsidR="00290A56" w:rsidRPr="00FF13B1" w:rsidRDefault="00290A56" w:rsidP="004279A2">
            <w:pPr>
              <w:pStyle w:val="C-TableText"/>
              <w:keepNext/>
              <w:keepLines/>
              <w:spacing w:before="0" w:after="0"/>
              <w:jc w:val="center"/>
              <w:rPr>
                <w:sz w:val="24"/>
                <w:szCs w:val="24"/>
              </w:rPr>
            </w:pPr>
            <w:r w:rsidRPr="00FF13B1">
              <w:rPr>
                <w:sz w:val="24"/>
                <w:szCs w:val="24"/>
              </w:rPr>
              <w:t>(0.328, 0.481)</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0.256</w:t>
            </w:r>
            <w:r w:rsidRPr="00FF13B1">
              <w:rPr>
                <w:sz w:val="24"/>
                <w:szCs w:val="24"/>
              </w:rPr>
              <w:br/>
              <w:t>(0.206, 0.318)</w:t>
            </w:r>
          </w:p>
        </w:tc>
      </w:tr>
      <w:tr w:rsidR="00290A56" w:rsidRPr="00FF13B1" w:rsidTr="00D15178">
        <w:trPr>
          <w:trHeight w:val="625"/>
        </w:trPr>
        <w:tc>
          <w:tcPr>
            <w:tcW w:w="1029" w:type="pct"/>
            <w:vMerge/>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ind w:hanging="20"/>
              <w:rPr>
                <w:sz w:val="24"/>
                <w:szCs w:val="24"/>
              </w:rPr>
            </w:pPr>
            <w:r w:rsidRPr="00FF13B1">
              <w:rPr>
                <w:sz w:val="24"/>
                <w:szCs w:val="24"/>
              </w:rPr>
              <w:t xml:space="preserve">% reduction vs placebo </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p w:rsidR="00290A56" w:rsidRPr="00FF13B1" w:rsidRDefault="00290A56" w:rsidP="004279A2">
            <w:pPr>
              <w:pStyle w:val="C-TableText"/>
              <w:keepNext/>
              <w:keepLines/>
              <w:spacing w:before="0" w:after="0"/>
              <w:rPr>
                <w:sz w:val="24"/>
                <w:szCs w:val="24"/>
              </w:rPr>
            </w:pP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36</w:t>
            </w:r>
          </w:p>
          <w:p w:rsidR="00290A56" w:rsidRPr="00FF13B1" w:rsidRDefault="00290A56" w:rsidP="004279A2">
            <w:pPr>
              <w:pStyle w:val="C-TableText"/>
              <w:keepNext/>
              <w:keepLines/>
              <w:spacing w:before="0" w:after="0"/>
              <w:jc w:val="center"/>
              <w:rPr>
                <w:sz w:val="24"/>
                <w:szCs w:val="24"/>
              </w:rPr>
            </w:pPr>
            <w:r w:rsidRPr="00FF13B1">
              <w:rPr>
                <w:sz w:val="24"/>
                <w:szCs w:val="24"/>
              </w:rPr>
              <w:t>(p=0.0007)</w:t>
            </w:r>
          </w:p>
        </w:tc>
      </w:tr>
      <w:tr w:rsidR="00290A56" w:rsidRPr="00FF13B1" w:rsidTr="00D15178">
        <w:tc>
          <w:tcPr>
            <w:tcW w:w="1029" w:type="pct"/>
            <w:vMerge w:val="restart"/>
            <w:shd w:val="clear" w:color="auto" w:fill="auto"/>
            <w:vAlign w:val="center"/>
          </w:tcPr>
          <w:p w:rsidR="00290A56" w:rsidRPr="00FF13B1" w:rsidRDefault="00290A56" w:rsidP="004279A2">
            <w:pPr>
              <w:pStyle w:val="C-TableText"/>
              <w:keepNext/>
              <w:keepLines/>
              <w:spacing w:before="0" w:after="0"/>
              <w:rPr>
                <w:sz w:val="24"/>
                <w:szCs w:val="24"/>
              </w:rPr>
            </w:pPr>
            <w:r w:rsidRPr="00FF13B1">
              <w:rPr>
                <w:sz w:val="24"/>
                <w:szCs w:val="24"/>
              </w:rPr>
              <w:t>Proportion of subjects relapsed</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Estimated proportion</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0.291</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0.187</w:t>
            </w:r>
          </w:p>
        </w:tc>
      </w:tr>
      <w:tr w:rsidR="00290A56" w:rsidRPr="00FF13B1" w:rsidTr="00D15178">
        <w:trPr>
          <w:trHeight w:val="670"/>
        </w:trPr>
        <w:tc>
          <w:tcPr>
            <w:tcW w:w="1029" w:type="pct"/>
            <w:vMerge/>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risk reduction vs placebo</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39</w:t>
            </w:r>
          </w:p>
          <w:p w:rsidR="00290A56" w:rsidRPr="00FF13B1" w:rsidRDefault="00290A56" w:rsidP="004279A2">
            <w:pPr>
              <w:pStyle w:val="C-TableText"/>
              <w:keepNext/>
              <w:keepLines/>
              <w:spacing w:before="0" w:after="0"/>
              <w:jc w:val="center"/>
              <w:rPr>
                <w:sz w:val="24"/>
                <w:szCs w:val="24"/>
              </w:rPr>
            </w:pPr>
            <w:r w:rsidRPr="00FF13B1">
              <w:rPr>
                <w:sz w:val="24"/>
                <w:szCs w:val="24"/>
              </w:rPr>
              <w:t>(p=0.0003)</w:t>
            </w:r>
          </w:p>
        </w:tc>
      </w:tr>
      <w:tr w:rsidR="00290A56" w:rsidRPr="00FF13B1" w:rsidTr="00D15178">
        <w:tc>
          <w:tcPr>
            <w:tcW w:w="1029" w:type="pct"/>
            <w:vMerge w:val="restart"/>
            <w:shd w:val="clear" w:color="auto" w:fill="auto"/>
            <w:vAlign w:val="center"/>
          </w:tcPr>
          <w:p w:rsidR="00290A56" w:rsidRPr="00FF13B1" w:rsidRDefault="00290A56" w:rsidP="004279A2">
            <w:pPr>
              <w:pStyle w:val="C-TableText"/>
              <w:keepNext/>
              <w:keepLines/>
              <w:spacing w:before="0" w:after="0"/>
              <w:rPr>
                <w:sz w:val="24"/>
                <w:szCs w:val="24"/>
              </w:rPr>
            </w:pPr>
            <w:r w:rsidRPr="00FF13B1">
              <w:rPr>
                <w:sz w:val="24"/>
                <w:szCs w:val="24"/>
              </w:rPr>
              <w:t>Disability progression</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Estimated proportion of subjects progressed</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0.105</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0.068</w:t>
            </w:r>
          </w:p>
        </w:tc>
      </w:tr>
      <w:tr w:rsidR="00290A56" w:rsidRPr="00FF13B1" w:rsidTr="00D15178">
        <w:trPr>
          <w:trHeight w:val="603"/>
        </w:trPr>
        <w:tc>
          <w:tcPr>
            <w:tcW w:w="1029" w:type="pct"/>
            <w:vMerge/>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risk reduction vs placebo</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38</w:t>
            </w:r>
          </w:p>
          <w:p w:rsidR="00290A56" w:rsidRPr="00FF13B1" w:rsidRDefault="00290A56" w:rsidP="004279A2">
            <w:pPr>
              <w:pStyle w:val="C-TableText"/>
              <w:keepNext/>
              <w:keepLines/>
              <w:spacing w:before="0" w:after="0"/>
              <w:jc w:val="center"/>
              <w:rPr>
                <w:sz w:val="24"/>
                <w:szCs w:val="24"/>
              </w:rPr>
            </w:pPr>
            <w:r w:rsidRPr="00FF13B1">
              <w:rPr>
                <w:sz w:val="24"/>
                <w:szCs w:val="24"/>
              </w:rPr>
              <w:t>(p=0.0383)</w:t>
            </w:r>
          </w:p>
        </w:tc>
      </w:tr>
      <w:tr w:rsidR="00290A56" w:rsidRPr="00FF13B1" w:rsidTr="00D15178">
        <w:trPr>
          <w:cantSplit/>
        </w:trPr>
        <w:tc>
          <w:tcPr>
            <w:tcW w:w="2375" w:type="pct"/>
            <w:gridSpan w:val="2"/>
            <w:shd w:val="clear" w:color="auto" w:fill="auto"/>
          </w:tcPr>
          <w:p w:rsidR="00290A56" w:rsidRPr="00FF13B1" w:rsidRDefault="00290A56" w:rsidP="004279A2">
            <w:pPr>
              <w:pStyle w:val="GTCTitle"/>
              <w:spacing w:before="0" w:after="0"/>
              <w:jc w:val="left"/>
              <w:rPr>
                <w:rFonts w:ascii="Times New Roman" w:hAnsi="Times New Roman" w:cs="Times New Roman"/>
                <w:sz w:val="24"/>
                <w:szCs w:val="24"/>
              </w:rPr>
            </w:pPr>
            <w:r w:rsidRPr="00FF13B1">
              <w:rPr>
                <w:rFonts w:ascii="Times New Roman" w:hAnsi="Times New Roman" w:cs="Times New Roman"/>
                <w:sz w:val="24"/>
                <w:szCs w:val="24"/>
              </w:rPr>
              <w:t>MRI endpoints</w:t>
            </w:r>
          </w:p>
        </w:tc>
        <w:tc>
          <w:tcPr>
            <w:tcW w:w="1101" w:type="pct"/>
            <w:shd w:val="clear" w:color="auto" w:fill="auto"/>
          </w:tcPr>
          <w:p w:rsidR="00290A56" w:rsidRPr="00FF13B1" w:rsidRDefault="00290A56" w:rsidP="004279A2">
            <w:pPr>
              <w:pStyle w:val="GTCTitle"/>
              <w:spacing w:before="0" w:after="0"/>
              <w:jc w:val="center"/>
              <w:rPr>
                <w:rFonts w:ascii="Times New Roman" w:hAnsi="Times New Roman" w:cs="Times New Roman"/>
                <w:sz w:val="24"/>
                <w:szCs w:val="24"/>
              </w:rPr>
            </w:pPr>
            <w:r w:rsidRPr="00FF13B1">
              <w:rPr>
                <w:rFonts w:ascii="Times New Roman" w:hAnsi="Times New Roman" w:cs="Times New Roman"/>
                <w:sz w:val="24"/>
                <w:szCs w:val="24"/>
              </w:rPr>
              <w:t>n=476</w:t>
            </w:r>
          </w:p>
        </w:tc>
        <w:tc>
          <w:tcPr>
            <w:tcW w:w="1524" w:type="pct"/>
            <w:shd w:val="clear" w:color="auto" w:fill="auto"/>
          </w:tcPr>
          <w:p w:rsidR="00290A56" w:rsidRPr="00FF13B1" w:rsidRDefault="00290A56" w:rsidP="004279A2">
            <w:pPr>
              <w:pStyle w:val="GTCTitle"/>
              <w:spacing w:before="0" w:after="0"/>
              <w:jc w:val="center"/>
              <w:rPr>
                <w:rFonts w:ascii="Times New Roman" w:hAnsi="Times New Roman" w:cs="Times New Roman"/>
                <w:sz w:val="24"/>
                <w:szCs w:val="24"/>
              </w:rPr>
            </w:pPr>
            <w:r w:rsidRPr="00FF13B1">
              <w:rPr>
                <w:rFonts w:ascii="Times New Roman" w:hAnsi="Times New Roman" w:cs="Times New Roman"/>
                <w:sz w:val="24"/>
                <w:szCs w:val="24"/>
              </w:rPr>
              <w:t>n=457</w:t>
            </w:r>
          </w:p>
        </w:tc>
      </w:tr>
      <w:tr w:rsidR="00290A56" w:rsidRPr="00FF13B1" w:rsidTr="00D15178">
        <w:trPr>
          <w:cantSplit/>
        </w:trPr>
        <w:tc>
          <w:tcPr>
            <w:tcW w:w="1029" w:type="pct"/>
            <w:vMerge w:val="restart"/>
            <w:shd w:val="clear" w:color="auto" w:fill="auto"/>
            <w:vAlign w:val="center"/>
          </w:tcPr>
          <w:p w:rsidR="00290A56" w:rsidRPr="00FF13B1" w:rsidRDefault="00290A56" w:rsidP="004279A2">
            <w:pPr>
              <w:pStyle w:val="C-TableText"/>
              <w:keepNext/>
              <w:keepLines/>
              <w:spacing w:before="0" w:after="0"/>
              <w:rPr>
                <w:sz w:val="24"/>
                <w:szCs w:val="24"/>
              </w:rPr>
            </w:pPr>
            <w:r w:rsidRPr="00FF13B1">
              <w:rPr>
                <w:sz w:val="24"/>
                <w:szCs w:val="24"/>
              </w:rPr>
              <w:lastRenderedPageBreak/>
              <w:t xml:space="preserve">New or newly enlarging T2 </w:t>
            </w:r>
            <w:proofErr w:type="spellStart"/>
            <w:r w:rsidRPr="00FF13B1">
              <w:rPr>
                <w:sz w:val="24"/>
                <w:szCs w:val="24"/>
              </w:rPr>
              <w:t>hyperintense</w:t>
            </w:r>
            <w:proofErr w:type="spellEnd"/>
            <w:r w:rsidRPr="00FF13B1">
              <w:rPr>
                <w:sz w:val="24"/>
                <w:szCs w:val="24"/>
              </w:rPr>
              <w:t xml:space="preserve"> lesions</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Adjusted mean</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10.9</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3.6</w:t>
            </w:r>
          </w:p>
        </w:tc>
      </w:tr>
      <w:tr w:rsidR="00290A56" w:rsidRPr="00FF13B1" w:rsidTr="00D15178">
        <w:trPr>
          <w:cantSplit/>
        </w:trPr>
        <w:tc>
          <w:tcPr>
            <w:tcW w:w="1029" w:type="pct"/>
            <w:vMerge/>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xml:space="preserve">% reduction vs placebo </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67</w:t>
            </w:r>
          </w:p>
          <w:p w:rsidR="00290A56" w:rsidRPr="00FF13B1" w:rsidRDefault="00290A56" w:rsidP="004279A2">
            <w:pPr>
              <w:pStyle w:val="C-TableText"/>
              <w:keepNext/>
              <w:keepLines/>
              <w:spacing w:before="0" w:after="0"/>
              <w:jc w:val="center"/>
              <w:rPr>
                <w:sz w:val="24"/>
                <w:szCs w:val="24"/>
              </w:rPr>
            </w:pPr>
            <w:r w:rsidRPr="00FF13B1">
              <w:rPr>
                <w:sz w:val="24"/>
                <w:szCs w:val="24"/>
              </w:rPr>
              <w:t>(p&lt;0.0001)</w:t>
            </w:r>
          </w:p>
        </w:tc>
      </w:tr>
      <w:tr w:rsidR="00290A56" w:rsidRPr="00FF13B1" w:rsidTr="00D15178">
        <w:trPr>
          <w:cantSplit/>
        </w:trPr>
        <w:tc>
          <w:tcPr>
            <w:tcW w:w="1029" w:type="pct"/>
            <w:shd w:val="clear" w:color="auto" w:fill="auto"/>
            <w:vAlign w:val="center"/>
          </w:tcPr>
          <w:p w:rsidR="00290A56" w:rsidRPr="00FF13B1" w:rsidRDefault="00290A56" w:rsidP="004279A2">
            <w:pPr>
              <w:pStyle w:val="C-TableText"/>
              <w:keepNext/>
              <w:keepLines/>
              <w:spacing w:before="0" w:after="0"/>
              <w:rPr>
                <w:sz w:val="24"/>
                <w:szCs w:val="24"/>
              </w:rPr>
            </w:pPr>
            <w:proofErr w:type="spellStart"/>
            <w:r w:rsidRPr="00FF13B1">
              <w:rPr>
                <w:sz w:val="24"/>
                <w:szCs w:val="24"/>
              </w:rPr>
              <w:t>Gd</w:t>
            </w:r>
            <w:proofErr w:type="spellEnd"/>
            <w:r w:rsidRPr="00FF13B1">
              <w:rPr>
                <w:sz w:val="24"/>
                <w:szCs w:val="24"/>
              </w:rPr>
              <w:t xml:space="preserve"> enhancing lesions</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xml:space="preserve">Mean </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1.4^</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0.2</w:t>
            </w:r>
          </w:p>
        </w:tc>
      </w:tr>
      <w:tr w:rsidR="00290A56" w:rsidRPr="00FF13B1" w:rsidTr="00D15178">
        <w:trPr>
          <w:cantSplit/>
        </w:trPr>
        <w:tc>
          <w:tcPr>
            <w:tcW w:w="1029" w:type="pct"/>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reduction vs placebo</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 xml:space="preserve">86 </w:t>
            </w:r>
          </w:p>
          <w:p w:rsidR="00290A56" w:rsidRPr="00FF13B1" w:rsidRDefault="00290A56" w:rsidP="004279A2">
            <w:pPr>
              <w:pStyle w:val="C-TableText"/>
              <w:keepNext/>
              <w:keepLines/>
              <w:spacing w:before="0" w:after="0"/>
              <w:jc w:val="center"/>
              <w:rPr>
                <w:sz w:val="24"/>
                <w:szCs w:val="24"/>
              </w:rPr>
            </w:pPr>
            <w:r w:rsidRPr="00FF13B1">
              <w:rPr>
                <w:sz w:val="24"/>
                <w:szCs w:val="24"/>
              </w:rPr>
              <w:t>(p&lt;0.0001)</w:t>
            </w:r>
          </w:p>
        </w:tc>
      </w:tr>
      <w:tr w:rsidR="00290A56" w:rsidRPr="00FF13B1" w:rsidTr="00D15178">
        <w:trPr>
          <w:cantSplit/>
        </w:trPr>
        <w:tc>
          <w:tcPr>
            <w:tcW w:w="1029"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xml:space="preserve">New T1 </w:t>
            </w:r>
            <w:proofErr w:type="spellStart"/>
            <w:r w:rsidRPr="00FF13B1">
              <w:rPr>
                <w:sz w:val="24"/>
                <w:szCs w:val="24"/>
              </w:rPr>
              <w:t>hypointense</w:t>
            </w:r>
            <w:proofErr w:type="spellEnd"/>
            <w:r w:rsidRPr="00FF13B1">
              <w:rPr>
                <w:sz w:val="24"/>
                <w:szCs w:val="24"/>
              </w:rPr>
              <w:t xml:space="preserve"> lesions</w:t>
            </w: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xml:space="preserve">Mean </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3.8</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1.8</w:t>
            </w:r>
          </w:p>
        </w:tc>
      </w:tr>
      <w:tr w:rsidR="00290A56" w:rsidRPr="00FF13B1" w:rsidTr="00D15178">
        <w:tc>
          <w:tcPr>
            <w:tcW w:w="1029" w:type="pct"/>
            <w:shd w:val="clear" w:color="auto" w:fill="auto"/>
          </w:tcPr>
          <w:p w:rsidR="00290A56" w:rsidRPr="00FF13B1" w:rsidRDefault="00290A56" w:rsidP="004279A2">
            <w:pPr>
              <w:pStyle w:val="C-TableText"/>
              <w:keepNext/>
              <w:keepLines/>
              <w:spacing w:before="0" w:after="0"/>
              <w:rPr>
                <w:sz w:val="24"/>
                <w:szCs w:val="24"/>
              </w:rPr>
            </w:pPr>
          </w:p>
        </w:tc>
        <w:tc>
          <w:tcPr>
            <w:tcW w:w="1345" w:type="pct"/>
            <w:shd w:val="clear" w:color="auto" w:fill="auto"/>
          </w:tcPr>
          <w:p w:rsidR="00290A56" w:rsidRPr="00FF13B1" w:rsidRDefault="00290A56" w:rsidP="004279A2">
            <w:pPr>
              <w:pStyle w:val="C-TableText"/>
              <w:keepNext/>
              <w:keepLines/>
              <w:spacing w:before="0" w:after="0"/>
              <w:rPr>
                <w:sz w:val="24"/>
                <w:szCs w:val="24"/>
              </w:rPr>
            </w:pPr>
            <w:r w:rsidRPr="00FF13B1">
              <w:rPr>
                <w:sz w:val="24"/>
                <w:szCs w:val="24"/>
              </w:rPr>
              <w:t>% reduction vs placebo</w:t>
            </w:r>
          </w:p>
        </w:tc>
        <w:tc>
          <w:tcPr>
            <w:tcW w:w="1101"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w:t>
            </w:r>
          </w:p>
        </w:tc>
        <w:tc>
          <w:tcPr>
            <w:tcW w:w="1524" w:type="pct"/>
            <w:shd w:val="clear" w:color="auto" w:fill="auto"/>
          </w:tcPr>
          <w:p w:rsidR="00290A56" w:rsidRPr="00FF13B1" w:rsidRDefault="00290A56" w:rsidP="004279A2">
            <w:pPr>
              <w:pStyle w:val="C-TableText"/>
              <w:keepNext/>
              <w:keepLines/>
              <w:spacing w:before="0" w:after="0"/>
              <w:jc w:val="center"/>
              <w:rPr>
                <w:sz w:val="24"/>
                <w:szCs w:val="24"/>
              </w:rPr>
            </w:pPr>
            <w:r w:rsidRPr="00FF13B1">
              <w:rPr>
                <w:sz w:val="24"/>
                <w:szCs w:val="24"/>
              </w:rPr>
              <w:t>53</w:t>
            </w:r>
          </w:p>
          <w:p w:rsidR="00290A56" w:rsidRPr="00FF13B1" w:rsidRDefault="00290A56" w:rsidP="004279A2">
            <w:pPr>
              <w:pStyle w:val="C-TableText"/>
              <w:keepNext/>
              <w:keepLines/>
              <w:spacing w:before="0" w:after="0"/>
              <w:jc w:val="center"/>
              <w:rPr>
                <w:sz w:val="24"/>
                <w:szCs w:val="24"/>
              </w:rPr>
            </w:pPr>
            <w:r w:rsidRPr="00FF13B1">
              <w:rPr>
                <w:sz w:val="24"/>
                <w:szCs w:val="24"/>
              </w:rPr>
              <w:t>(p&lt;0.0001)</w:t>
            </w:r>
          </w:p>
        </w:tc>
      </w:tr>
    </w:tbl>
    <w:p w:rsidR="00290A56" w:rsidRPr="00FF13B1" w:rsidRDefault="00290A56" w:rsidP="00290A56">
      <w:pPr>
        <w:rPr>
          <w:sz w:val="20"/>
          <w:szCs w:val="24"/>
        </w:rPr>
      </w:pPr>
      <w:r w:rsidRPr="00FF13B1">
        <w:rPr>
          <w:sz w:val="20"/>
          <w:szCs w:val="24"/>
        </w:rPr>
        <w:t>^n=477. * represents intent to treat analysis</w:t>
      </w:r>
    </w:p>
    <w:p w:rsidR="000C47BE" w:rsidRDefault="00290A56" w:rsidP="00290A56">
      <w:pPr>
        <w:pStyle w:val="PITableTitle"/>
        <w:rPr>
          <w:color w:val="auto"/>
        </w:rPr>
      </w:pPr>
      <w:proofErr w:type="gramStart"/>
      <w:r w:rsidRPr="00DC6FEB">
        <w:rPr>
          <w:color w:val="auto"/>
        </w:rPr>
        <w:t>Figure 1.</w:t>
      </w:r>
      <w:proofErr w:type="gramEnd"/>
      <w:r w:rsidRPr="00DC6FEB">
        <w:rPr>
          <w:color w:val="auto"/>
        </w:rPr>
        <w:t xml:space="preserve"> </w:t>
      </w:r>
      <w:r w:rsidR="00716A85" w:rsidRPr="00716A85">
        <w:rPr>
          <w:color w:val="auto"/>
        </w:rPr>
        <w:t xml:space="preserve">Progression of Disability </w:t>
      </w:r>
    </w:p>
    <w:p w:rsidR="00651E0B" w:rsidRPr="00FF13B1" w:rsidRDefault="000D467A" w:rsidP="00290A56">
      <w:pPr>
        <w:pStyle w:val="PITableTitle"/>
        <w:rPr>
          <w:color w:val="auto"/>
        </w:rPr>
      </w:pPr>
      <w:bookmarkStart w:id="1" w:name="IDX"/>
      <w:bookmarkEnd w:id="1"/>
      <w:r>
        <w:rPr>
          <w:noProof/>
          <w:lang w:eastAsia="en-AU"/>
        </w:rPr>
        <w:drawing>
          <wp:inline distT="0" distB="0" distL="0" distR="0">
            <wp:extent cx="5947410" cy="548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5486400"/>
                    </a:xfrm>
                    <a:prstGeom prst="rect">
                      <a:avLst/>
                    </a:prstGeom>
                    <a:noFill/>
                    <a:ln>
                      <a:noFill/>
                    </a:ln>
                  </pic:spPr>
                </pic:pic>
              </a:graphicData>
            </a:graphic>
          </wp:inline>
        </w:drawing>
      </w:r>
    </w:p>
    <w:p w:rsidR="00290A56" w:rsidRPr="00FF13B1" w:rsidRDefault="00290A56" w:rsidP="00290A56">
      <w:pPr>
        <w:pStyle w:val="PINormal"/>
        <w:rPr>
          <w:szCs w:val="24"/>
        </w:rPr>
      </w:pPr>
    </w:p>
    <w:p w:rsidR="003130E1" w:rsidRPr="00FF13B1" w:rsidRDefault="007310AC" w:rsidP="00056EF5">
      <w:pPr>
        <w:pStyle w:val="PIHeading1"/>
      </w:pPr>
      <w:r w:rsidRPr="00FF13B1">
        <w:lastRenderedPageBreak/>
        <w:t>INDICATIONS</w:t>
      </w:r>
    </w:p>
    <w:p w:rsidR="008C6495" w:rsidRPr="00FF13B1" w:rsidRDefault="009F1840" w:rsidP="008C6495">
      <w:pPr>
        <w:pStyle w:val="PINormal"/>
        <w:rPr>
          <w:szCs w:val="24"/>
        </w:rPr>
      </w:pPr>
      <w:r w:rsidRPr="009F1840">
        <w:rPr>
          <w:szCs w:val="24"/>
        </w:rPr>
        <w:t xml:space="preserve">PLEGRIDY is indicated for the treatment of relapsing </w:t>
      </w:r>
      <w:r w:rsidR="00445ADB" w:rsidRPr="00445ADB">
        <w:rPr>
          <w:szCs w:val="24"/>
        </w:rPr>
        <w:t>forms of Multiple Sclerosis (MS)</w:t>
      </w:r>
      <w:r w:rsidR="004D0593">
        <w:rPr>
          <w:szCs w:val="24"/>
        </w:rPr>
        <w:t xml:space="preserve"> (see CLINICAL TRIALS)</w:t>
      </w:r>
      <w:r w:rsidR="00445ADB" w:rsidRPr="00445ADB">
        <w:rPr>
          <w:szCs w:val="24"/>
        </w:rPr>
        <w:t>.</w:t>
      </w:r>
      <w:r w:rsidR="00445ADB">
        <w:rPr>
          <w:szCs w:val="24"/>
        </w:rPr>
        <w:t xml:space="preserve">  </w:t>
      </w:r>
    </w:p>
    <w:p w:rsidR="007310AC" w:rsidRPr="00FF13B1" w:rsidRDefault="007310AC" w:rsidP="00056EF5">
      <w:pPr>
        <w:pStyle w:val="PIHeading1"/>
      </w:pPr>
      <w:r w:rsidRPr="00FF13B1">
        <w:t>CONTRAINDICATIONS</w:t>
      </w:r>
      <w:r w:rsidR="008C6495" w:rsidRPr="00FF13B1">
        <w:t xml:space="preserve"> </w:t>
      </w:r>
    </w:p>
    <w:p w:rsidR="008C6495" w:rsidRDefault="00FF684A" w:rsidP="008C6495">
      <w:pPr>
        <w:pStyle w:val="PINormal"/>
        <w:rPr>
          <w:szCs w:val="24"/>
        </w:rPr>
      </w:pPr>
      <w:r w:rsidRPr="007C47A4">
        <w:rPr>
          <w:szCs w:val="24"/>
        </w:rPr>
        <w:t xml:space="preserve">PLEGRIDY is contraindicated in patients with a history of hypersensitivity to natural or recombinant interferon beta or </w:t>
      </w:r>
      <w:proofErr w:type="spellStart"/>
      <w:r w:rsidRPr="007C47A4">
        <w:rPr>
          <w:szCs w:val="24"/>
        </w:rPr>
        <w:t>peginterferon</w:t>
      </w:r>
      <w:proofErr w:type="spellEnd"/>
      <w:r w:rsidRPr="007C47A4">
        <w:rPr>
          <w:szCs w:val="24"/>
        </w:rPr>
        <w:t xml:space="preserve">, or any other component of the formulation. </w:t>
      </w:r>
    </w:p>
    <w:p w:rsidR="00FB1F30" w:rsidRPr="007C47A4" w:rsidRDefault="00FB1F30" w:rsidP="008C6495">
      <w:pPr>
        <w:pStyle w:val="PINormal"/>
        <w:rPr>
          <w:szCs w:val="24"/>
        </w:rPr>
      </w:pPr>
      <w:r w:rsidRPr="00FB1F30">
        <w:rPr>
          <w:szCs w:val="24"/>
        </w:rPr>
        <w:t>The initiation of treatment is contraindicated during pregnancy, and in patients with current severe depression and/or suicidal ideation.</w:t>
      </w:r>
    </w:p>
    <w:p w:rsidR="00981844" w:rsidRPr="00FF13B1" w:rsidRDefault="00981844" w:rsidP="00056EF5">
      <w:pPr>
        <w:pStyle w:val="PIHeading1"/>
      </w:pPr>
      <w:r w:rsidRPr="00FF13B1">
        <w:t>PRECAUTIONS</w:t>
      </w:r>
      <w:r w:rsidR="008C6495" w:rsidRPr="00FF13B1">
        <w:t xml:space="preserve"> </w:t>
      </w:r>
    </w:p>
    <w:p w:rsidR="000C47BE" w:rsidRPr="00FF13B1" w:rsidRDefault="00FF684A" w:rsidP="000C47BE">
      <w:pPr>
        <w:pStyle w:val="PIHeading2"/>
        <w:rPr>
          <w:i/>
        </w:rPr>
      </w:pPr>
      <w:r w:rsidRPr="00FF13B1">
        <w:t xml:space="preserve">Hepatic injury </w:t>
      </w:r>
    </w:p>
    <w:p w:rsidR="000C47BE" w:rsidRPr="007C47A4" w:rsidRDefault="00FF684A" w:rsidP="000C47BE">
      <w:pPr>
        <w:pStyle w:val="PINormal"/>
        <w:rPr>
          <w:szCs w:val="24"/>
        </w:rPr>
      </w:pPr>
      <w:r w:rsidRPr="007C47A4">
        <w:rPr>
          <w:szCs w:val="24"/>
        </w:rPr>
        <w:t xml:space="preserve">Hepatic injury, including elevated serum hepatic transaminase levels, hepatitis, and autoimmune hepatitis, and rare cases of severe hepatic failure, has been reported with interferon beta. Elevations in hepatic enzymes and hepatic injury have been observed with the use of </w:t>
      </w:r>
      <w:r w:rsidR="008F5062" w:rsidRPr="007C47A4">
        <w:rPr>
          <w:szCs w:val="24"/>
        </w:rPr>
        <w:t>PLEGRIDY</w:t>
      </w:r>
      <w:r w:rsidRPr="007C47A4">
        <w:rPr>
          <w:szCs w:val="24"/>
        </w:rPr>
        <w:t xml:space="preserve">. Patients should be monitored for signs of hepatic injury. </w:t>
      </w:r>
      <w:r w:rsidR="00445ADB" w:rsidRPr="00445ADB">
        <w:rPr>
          <w:szCs w:val="24"/>
        </w:rPr>
        <w:t xml:space="preserve">Withdrawal of treatment with PLEGRIDY should be considered if hepatic transaminase levels significantly increase or if they are associated with clinical symptoms such as jaundice. </w:t>
      </w:r>
      <w:r w:rsidR="00D864AA" w:rsidRPr="00D864AA">
        <w:rPr>
          <w:szCs w:val="24"/>
        </w:rPr>
        <w:t>(S</w:t>
      </w:r>
      <w:r w:rsidRPr="00D864AA">
        <w:rPr>
          <w:szCs w:val="24"/>
        </w:rPr>
        <w:t xml:space="preserve">ee </w:t>
      </w:r>
      <w:r w:rsidR="00D864AA" w:rsidRPr="00D864AA">
        <w:rPr>
          <w:szCs w:val="24"/>
        </w:rPr>
        <w:t>ADVERSE EFFECTS</w:t>
      </w:r>
      <w:r w:rsidRPr="00D864AA">
        <w:rPr>
          <w:szCs w:val="24"/>
        </w:rPr>
        <w:t>)</w:t>
      </w:r>
      <w:r w:rsidRPr="007C47A4">
        <w:rPr>
          <w:szCs w:val="24"/>
        </w:rPr>
        <w:t xml:space="preserve"> </w:t>
      </w:r>
    </w:p>
    <w:p w:rsidR="000C47BE" w:rsidRPr="00FF13B1" w:rsidRDefault="00FF684A" w:rsidP="000C47BE">
      <w:pPr>
        <w:pStyle w:val="PIHeading2"/>
        <w:rPr>
          <w:i/>
        </w:rPr>
      </w:pPr>
      <w:r w:rsidRPr="00FF13B1">
        <w:t xml:space="preserve">Depression and suicidal ideation </w:t>
      </w:r>
    </w:p>
    <w:p w:rsidR="000C47BE" w:rsidRPr="007C47A4" w:rsidRDefault="00FF684A" w:rsidP="000C47BE">
      <w:pPr>
        <w:pStyle w:val="PINormal"/>
        <w:rPr>
          <w:szCs w:val="24"/>
        </w:rPr>
      </w:pPr>
      <w:r w:rsidRPr="007C47A4">
        <w:rPr>
          <w:szCs w:val="24"/>
        </w:rPr>
        <w:t>Depression and suicidal ideation have been reported to occur with increased frequency in patients receiving interferon beta.</w:t>
      </w:r>
      <w:r w:rsidR="00DD551B">
        <w:t xml:space="preserve"> </w:t>
      </w:r>
      <w:r w:rsidR="00DD551B" w:rsidRPr="00DD551B">
        <w:rPr>
          <w:szCs w:val="24"/>
        </w:rPr>
        <w:t>Patients treated with PLEGRIDY should be advised to report immediately any symptoms of depression and/or suicidal ideation to their prescribing physician. Patients exhibiting depression should be monitored closely during therapy with PLEGRIDY and treated appropriately.</w:t>
      </w:r>
      <w:r w:rsidRPr="007C47A4">
        <w:rPr>
          <w:szCs w:val="24"/>
        </w:rPr>
        <w:t xml:space="preserve"> If a patient develops depression or other severe psychiatric symptoms, cessation of </w:t>
      </w:r>
      <w:r w:rsidR="008F5062" w:rsidRPr="007C47A4">
        <w:rPr>
          <w:szCs w:val="24"/>
        </w:rPr>
        <w:t>PLEGRIDY</w:t>
      </w:r>
      <w:r w:rsidRPr="007C47A4">
        <w:rPr>
          <w:szCs w:val="24"/>
        </w:rPr>
        <w:t xml:space="preserve"> therapy should be considered. (</w:t>
      </w:r>
      <w:r w:rsidR="00D864AA" w:rsidRPr="00D864AA">
        <w:rPr>
          <w:szCs w:val="24"/>
        </w:rPr>
        <w:t xml:space="preserve">See </w:t>
      </w:r>
      <w:r w:rsidR="00DD551B" w:rsidRPr="00DD551B">
        <w:rPr>
          <w:szCs w:val="24"/>
        </w:rPr>
        <w:t>CONTRAINDICATIONS</w:t>
      </w:r>
      <w:r w:rsidR="00786D68">
        <w:rPr>
          <w:szCs w:val="24"/>
        </w:rPr>
        <w:t xml:space="preserve"> and </w:t>
      </w:r>
      <w:r w:rsidR="00D864AA" w:rsidRPr="00D864AA">
        <w:rPr>
          <w:szCs w:val="24"/>
        </w:rPr>
        <w:t>ADVERSE EFFECTS</w:t>
      </w:r>
      <w:r w:rsidRPr="007C47A4">
        <w:rPr>
          <w:szCs w:val="24"/>
        </w:rPr>
        <w:t xml:space="preserve">) </w:t>
      </w:r>
    </w:p>
    <w:p w:rsidR="000C47BE" w:rsidRPr="00FF13B1" w:rsidRDefault="0027001C" w:rsidP="000C47BE">
      <w:pPr>
        <w:pStyle w:val="PIHeading2"/>
        <w:rPr>
          <w:i/>
        </w:rPr>
      </w:pPr>
      <w:r w:rsidRPr="00FF13B1">
        <w:t>Hypersensitivity reactions</w:t>
      </w:r>
    </w:p>
    <w:p w:rsidR="000C47BE" w:rsidRPr="007C47A4" w:rsidRDefault="0027001C" w:rsidP="000C47BE">
      <w:pPr>
        <w:pStyle w:val="PINormal"/>
        <w:rPr>
          <w:szCs w:val="24"/>
        </w:rPr>
      </w:pPr>
      <w:r w:rsidRPr="007C47A4">
        <w:rPr>
          <w:szCs w:val="24"/>
        </w:rPr>
        <w:t xml:space="preserve">Serious hypersensitivity reactions have been reported as a rare complication of treatment with interferon beta, including </w:t>
      </w:r>
      <w:r w:rsidR="008F5062" w:rsidRPr="007C47A4">
        <w:rPr>
          <w:szCs w:val="24"/>
        </w:rPr>
        <w:t>PLEGRIDY</w:t>
      </w:r>
      <w:r w:rsidRPr="007C47A4">
        <w:rPr>
          <w:szCs w:val="24"/>
        </w:rPr>
        <w:t xml:space="preserve">. </w:t>
      </w:r>
      <w:r w:rsidRPr="00D864AA">
        <w:rPr>
          <w:szCs w:val="24"/>
        </w:rPr>
        <w:t xml:space="preserve">Discontinue </w:t>
      </w:r>
      <w:proofErr w:type="spellStart"/>
      <w:r w:rsidRPr="00D864AA">
        <w:rPr>
          <w:szCs w:val="24"/>
        </w:rPr>
        <w:t>peginterferon</w:t>
      </w:r>
      <w:proofErr w:type="spellEnd"/>
      <w:r w:rsidRPr="00D864AA">
        <w:rPr>
          <w:szCs w:val="24"/>
        </w:rPr>
        <w:t xml:space="preserve"> beta-1a if serious hypersensitivity reactions occur. (</w:t>
      </w:r>
      <w:r w:rsidR="00D864AA" w:rsidRPr="00D864AA">
        <w:rPr>
          <w:szCs w:val="24"/>
        </w:rPr>
        <w:t>See ADVERSE EFFECTS</w:t>
      </w:r>
      <w:r w:rsidRPr="00D864AA">
        <w:rPr>
          <w:szCs w:val="24"/>
        </w:rPr>
        <w:t>)</w:t>
      </w:r>
      <w:r w:rsidRPr="007C47A4">
        <w:rPr>
          <w:szCs w:val="24"/>
        </w:rPr>
        <w:t xml:space="preserve"> </w:t>
      </w:r>
    </w:p>
    <w:p w:rsidR="0027001C" w:rsidRPr="00FF13B1" w:rsidRDefault="0027001C" w:rsidP="0027001C">
      <w:pPr>
        <w:pStyle w:val="PIHeading2"/>
      </w:pPr>
      <w:r w:rsidRPr="00FF13B1">
        <w:t>Injection site reactions</w:t>
      </w:r>
    </w:p>
    <w:p w:rsidR="0027001C" w:rsidRPr="007C47A4" w:rsidRDefault="0027001C" w:rsidP="0027001C">
      <w:pPr>
        <w:pStyle w:val="PINormal"/>
        <w:rPr>
          <w:szCs w:val="24"/>
        </w:rPr>
      </w:pPr>
      <w:r w:rsidRPr="007C47A4">
        <w:rPr>
          <w:szCs w:val="24"/>
        </w:rPr>
        <w:t xml:space="preserve">Injection site reactions, including injection site necrosis, have been reported with the use of subcutaneous interferon beta. One patient treated with </w:t>
      </w:r>
      <w:r w:rsidR="008F5062" w:rsidRPr="007C47A4">
        <w:rPr>
          <w:szCs w:val="24"/>
        </w:rPr>
        <w:t>PLEGRIDY</w:t>
      </w:r>
      <w:r w:rsidRPr="007C47A4">
        <w:rPr>
          <w:szCs w:val="24"/>
        </w:rPr>
        <w:t xml:space="preserve"> in clinical trials experienced an injection site necrosis. Whether to discontinue therapy following a single site of necrosis is dependent on the extent of necrosis</w:t>
      </w:r>
      <w:r w:rsidRPr="00D864AA">
        <w:rPr>
          <w:szCs w:val="24"/>
        </w:rPr>
        <w:t>. (</w:t>
      </w:r>
      <w:r w:rsidR="00D864AA" w:rsidRPr="00D864AA">
        <w:rPr>
          <w:szCs w:val="24"/>
        </w:rPr>
        <w:t>See ADVERSE EFFECTS</w:t>
      </w:r>
      <w:r w:rsidRPr="00D864AA">
        <w:rPr>
          <w:szCs w:val="24"/>
        </w:rPr>
        <w:t>)</w:t>
      </w:r>
      <w:r w:rsidRPr="007C47A4">
        <w:rPr>
          <w:szCs w:val="24"/>
        </w:rPr>
        <w:t xml:space="preserve"> </w:t>
      </w:r>
    </w:p>
    <w:p w:rsidR="0027001C" w:rsidRPr="00FF13B1" w:rsidRDefault="00A242B2" w:rsidP="0027001C">
      <w:pPr>
        <w:pStyle w:val="PIHeading2"/>
      </w:pPr>
      <w:r w:rsidRPr="00FF13B1">
        <w:t>Decreased peripheral blood counts</w:t>
      </w:r>
    </w:p>
    <w:p w:rsidR="0027001C" w:rsidRPr="007C47A4" w:rsidRDefault="00A242B2" w:rsidP="0027001C">
      <w:pPr>
        <w:pStyle w:val="PINormal"/>
        <w:rPr>
          <w:szCs w:val="24"/>
        </w:rPr>
      </w:pPr>
      <w:r w:rsidRPr="007C47A4">
        <w:rPr>
          <w:szCs w:val="24"/>
        </w:rPr>
        <w:t xml:space="preserve">Decreased peripheral blood counts in all cell lines, including rare pancytopenia and severe thrombocytopenia, have been reported in patients receiving interferon beta. </w:t>
      </w:r>
      <w:proofErr w:type="spellStart"/>
      <w:r w:rsidRPr="007C47A4">
        <w:rPr>
          <w:szCs w:val="24"/>
        </w:rPr>
        <w:t>Cytopenias</w:t>
      </w:r>
      <w:proofErr w:type="spellEnd"/>
      <w:r w:rsidRPr="007C47A4">
        <w:rPr>
          <w:szCs w:val="24"/>
        </w:rPr>
        <w:t xml:space="preserve">, including rare severe neutropenia and thrombocytopenia, have been observed in patients treated with </w:t>
      </w:r>
      <w:r w:rsidR="008F5062" w:rsidRPr="007C47A4">
        <w:rPr>
          <w:szCs w:val="24"/>
        </w:rPr>
        <w:t>PLEGRIDY</w:t>
      </w:r>
      <w:r w:rsidRPr="007C47A4">
        <w:rPr>
          <w:szCs w:val="24"/>
        </w:rPr>
        <w:t>. Patients should be monitored for symptoms or signs of decreased peripheral blood counts. (</w:t>
      </w:r>
      <w:r w:rsidR="00D864AA" w:rsidRPr="00D864AA">
        <w:rPr>
          <w:szCs w:val="24"/>
        </w:rPr>
        <w:t>See ADVERSE EFFECTS</w:t>
      </w:r>
      <w:r w:rsidRPr="007C47A4">
        <w:rPr>
          <w:szCs w:val="24"/>
        </w:rPr>
        <w:t xml:space="preserve">) </w:t>
      </w:r>
    </w:p>
    <w:p w:rsidR="00A242B2" w:rsidRPr="00FF13B1" w:rsidRDefault="00A242B2" w:rsidP="00A242B2">
      <w:pPr>
        <w:pStyle w:val="PIHeading2"/>
        <w:rPr>
          <w:i/>
        </w:rPr>
      </w:pPr>
      <w:r w:rsidRPr="00FF13B1">
        <w:lastRenderedPageBreak/>
        <w:t xml:space="preserve">Seizure </w:t>
      </w:r>
    </w:p>
    <w:p w:rsidR="00A242B2" w:rsidRPr="007C47A4" w:rsidRDefault="00A242B2" w:rsidP="00A242B2">
      <w:pPr>
        <w:pStyle w:val="PINormal"/>
        <w:rPr>
          <w:szCs w:val="24"/>
        </w:rPr>
      </w:pPr>
      <w:r w:rsidRPr="007C47A4">
        <w:rPr>
          <w:szCs w:val="24"/>
        </w:rPr>
        <w:t xml:space="preserve">Seizures have been associated with the use of interferon beta. Caution should be exercised when administering </w:t>
      </w:r>
      <w:r w:rsidR="008F5062" w:rsidRPr="007C47A4">
        <w:rPr>
          <w:szCs w:val="24"/>
        </w:rPr>
        <w:t>PLEGRIDY</w:t>
      </w:r>
      <w:r w:rsidRPr="007C47A4">
        <w:rPr>
          <w:szCs w:val="24"/>
        </w:rPr>
        <w:t xml:space="preserve"> to patients with pre-existing seizure disorder. (</w:t>
      </w:r>
      <w:r w:rsidR="00D864AA" w:rsidRPr="00D864AA">
        <w:rPr>
          <w:szCs w:val="24"/>
        </w:rPr>
        <w:t>See ADVERSE EFFECTS</w:t>
      </w:r>
      <w:r w:rsidRPr="00D864AA">
        <w:rPr>
          <w:szCs w:val="24"/>
        </w:rPr>
        <w:t>)</w:t>
      </w:r>
      <w:r w:rsidRPr="007C47A4">
        <w:rPr>
          <w:szCs w:val="24"/>
        </w:rPr>
        <w:t xml:space="preserve"> </w:t>
      </w:r>
    </w:p>
    <w:p w:rsidR="00A242B2" w:rsidRPr="00FF13B1" w:rsidRDefault="00A242B2" w:rsidP="00A242B2">
      <w:pPr>
        <w:pStyle w:val="PIHeading2"/>
        <w:rPr>
          <w:i/>
        </w:rPr>
      </w:pPr>
      <w:r w:rsidRPr="00FF13B1">
        <w:t>Cardiac disease</w:t>
      </w:r>
    </w:p>
    <w:p w:rsidR="00A242B2" w:rsidRDefault="00A242B2" w:rsidP="00A242B2">
      <w:pPr>
        <w:pStyle w:val="PINormal"/>
        <w:rPr>
          <w:szCs w:val="24"/>
        </w:rPr>
      </w:pPr>
      <w:r w:rsidRPr="007C47A4">
        <w:rPr>
          <w:szCs w:val="24"/>
        </w:rPr>
        <w:t xml:space="preserve">Worsening of cardiac disease has been reported in patients receiving interferon beta. </w:t>
      </w:r>
      <w:r w:rsidR="00786D68" w:rsidRPr="00D15178">
        <w:t xml:space="preserve">The incidence of cardiovascular events was similar between PLEGRIDY (125 micrograms every 2 weeks) and placebo treatment groups (7% in each group). </w:t>
      </w:r>
      <w:r w:rsidRPr="00A023BA">
        <w:rPr>
          <w:szCs w:val="24"/>
        </w:rPr>
        <w:t>P</w:t>
      </w:r>
      <w:r w:rsidRPr="007C47A4">
        <w:rPr>
          <w:szCs w:val="24"/>
        </w:rPr>
        <w:t xml:space="preserve">atients with pre-existing significant cardiac disease, such as congestive heart failure, coronary artery disease or arrhythmia should be monitored for worsening of their cardiac condition, particularly during initiation of treatment. </w:t>
      </w:r>
      <w:r w:rsidR="00E16755" w:rsidRPr="00E16755">
        <w:rPr>
          <w:szCs w:val="24"/>
        </w:rPr>
        <w:t xml:space="preserve">PLEGRIDY does not have any known direct acting cardiac toxicity; however, symptoms of the flu-like syndrome seen with PLEGRIDY therapy may prove stressful to patients with cardiac conditions. </w:t>
      </w:r>
      <w:r w:rsidRPr="007C47A4">
        <w:rPr>
          <w:szCs w:val="24"/>
        </w:rPr>
        <w:t xml:space="preserve"> </w:t>
      </w:r>
    </w:p>
    <w:p w:rsidR="009C763B" w:rsidRPr="009C763B" w:rsidRDefault="006C5C9C" w:rsidP="00794ABD">
      <w:pPr>
        <w:pStyle w:val="PIHeading2"/>
      </w:pPr>
      <w:r>
        <w:t>End</w:t>
      </w:r>
      <w:r w:rsidR="009C763B">
        <w:t>ocrine d</w:t>
      </w:r>
      <w:r w:rsidR="009C763B" w:rsidRPr="009C763B">
        <w:t>isorders</w:t>
      </w:r>
    </w:p>
    <w:p w:rsidR="009C763B" w:rsidRDefault="009C763B" w:rsidP="00A242B2">
      <w:pPr>
        <w:pStyle w:val="PINormal"/>
        <w:rPr>
          <w:szCs w:val="24"/>
        </w:rPr>
      </w:pPr>
      <w:r w:rsidRPr="009C763B">
        <w:rPr>
          <w:szCs w:val="24"/>
        </w:rPr>
        <w:t>Hypothyroidism and hyperthyroidism have been observed with the use of interferon beta products. Regular thyroid function tests are recommended in patients with a history of thyroid dysfunction or as clinically indicated.</w:t>
      </w:r>
    </w:p>
    <w:p w:rsidR="00F938DC" w:rsidRPr="00F938DC" w:rsidRDefault="00F938DC" w:rsidP="00A242B2">
      <w:pPr>
        <w:pStyle w:val="PINormal"/>
        <w:rPr>
          <w:b/>
          <w:szCs w:val="24"/>
        </w:rPr>
      </w:pPr>
      <w:r w:rsidRPr="00F938DC">
        <w:rPr>
          <w:b/>
          <w:szCs w:val="24"/>
        </w:rPr>
        <w:t>Autoimmune disorders</w:t>
      </w:r>
    </w:p>
    <w:p w:rsidR="00F938DC" w:rsidRPr="00F938DC" w:rsidRDefault="00F938DC" w:rsidP="00F938DC">
      <w:pPr>
        <w:pStyle w:val="PINormal"/>
        <w:spacing w:after="0"/>
        <w:rPr>
          <w:szCs w:val="24"/>
        </w:rPr>
      </w:pPr>
      <w:r w:rsidRPr="00F938DC">
        <w:rPr>
          <w:szCs w:val="24"/>
        </w:rPr>
        <w:t>Autoimmune disorders of multiple target organs including idiopathic thrombocytopenia, hyper and hypothyroidism, and autoimmune hepatitis have been reported with interferon beta.</w:t>
      </w:r>
      <w:r>
        <w:rPr>
          <w:szCs w:val="24"/>
        </w:rPr>
        <w:t xml:space="preserve"> </w:t>
      </w:r>
      <w:r w:rsidRPr="00F938DC">
        <w:rPr>
          <w:szCs w:val="24"/>
        </w:rPr>
        <w:t>In clinical studies, the incidence of autoimmune disorders was less than 1% in both PLEGRIDY and placebo treatment groups.</w:t>
      </w:r>
    </w:p>
    <w:p w:rsidR="00F938DC" w:rsidRPr="007C47A4" w:rsidRDefault="00F938DC" w:rsidP="00F938DC">
      <w:pPr>
        <w:pStyle w:val="PINormal"/>
        <w:spacing w:after="0"/>
        <w:rPr>
          <w:szCs w:val="24"/>
        </w:rPr>
      </w:pPr>
      <w:r w:rsidRPr="00F938DC">
        <w:rPr>
          <w:szCs w:val="24"/>
        </w:rPr>
        <w:t>If patients develop a new autoimmune disorder, consider stopping PLEGRIDY.</w:t>
      </w:r>
    </w:p>
    <w:p w:rsidR="0090693D" w:rsidRPr="00FF13B1" w:rsidRDefault="0090693D" w:rsidP="0090693D">
      <w:pPr>
        <w:pStyle w:val="PIHeading2"/>
        <w:rPr>
          <w:i/>
        </w:rPr>
      </w:pPr>
      <w:r w:rsidRPr="00FF13B1">
        <w:t xml:space="preserve">Effects on Fertility </w:t>
      </w:r>
    </w:p>
    <w:p w:rsidR="0090693D" w:rsidRPr="007C47A4" w:rsidRDefault="00972DFD" w:rsidP="0090693D">
      <w:pPr>
        <w:pStyle w:val="PINormal"/>
        <w:rPr>
          <w:szCs w:val="24"/>
        </w:rPr>
      </w:pPr>
      <w:r w:rsidRPr="00972DFD">
        <w:rPr>
          <w:szCs w:val="24"/>
        </w:rPr>
        <w:t xml:space="preserve">The weekly subcutaneous administration of </w:t>
      </w:r>
      <w:proofErr w:type="spellStart"/>
      <w:r w:rsidRPr="00972DFD">
        <w:rPr>
          <w:szCs w:val="24"/>
        </w:rPr>
        <w:t>peginterferon</w:t>
      </w:r>
      <w:proofErr w:type="spellEnd"/>
      <w:r w:rsidRPr="00972DFD">
        <w:rPr>
          <w:szCs w:val="24"/>
        </w:rPr>
        <w:t xml:space="preserve"> beta-1a at </w:t>
      </w:r>
      <w:r w:rsidR="00DB72F3" w:rsidRPr="00DB72F3">
        <w:rPr>
          <w:szCs w:val="24"/>
        </w:rPr>
        <w:t xml:space="preserve">170 times the clinical exposure (based on </w:t>
      </w:r>
      <w:r w:rsidR="00DB72F3">
        <w:rPr>
          <w:szCs w:val="24"/>
        </w:rPr>
        <w:t>serum</w:t>
      </w:r>
      <w:r w:rsidR="00DB72F3" w:rsidRPr="00DB72F3">
        <w:rPr>
          <w:szCs w:val="24"/>
        </w:rPr>
        <w:t xml:space="preserve"> AUC) </w:t>
      </w:r>
      <w:r w:rsidRPr="00972DFD">
        <w:rPr>
          <w:szCs w:val="24"/>
        </w:rPr>
        <w:t xml:space="preserve">to sexually mature female rhesus monkeys over the course of one menstrual cycle (up to 5 weeks), resulted in menstrual irregularities, anovulation, and decreased serum progesterone. This is consistent with </w:t>
      </w:r>
      <w:r w:rsidR="00354477">
        <w:rPr>
          <w:szCs w:val="24"/>
        </w:rPr>
        <w:t xml:space="preserve">the </w:t>
      </w:r>
      <w:r w:rsidRPr="00972DFD">
        <w:rPr>
          <w:szCs w:val="24"/>
        </w:rPr>
        <w:t>effects observed with non-</w:t>
      </w:r>
      <w:proofErr w:type="spellStart"/>
      <w:r w:rsidRPr="00972DFD">
        <w:rPr>
          <w:szCs w:val="24"/>
        </w:rPr>
        <w:t>pegylated</w:t>
      </w:r>
      <w:proofErr w:type="spellEnd"/>
      <w:r w:rsidRPr="00972DFD">
        <w:rPr>
          <w:szCs w:val="24"/>
        </w:rPr>
        <w:t xml:space="preserve"> interferon beta. These effects were reversible after discontinuation of drug. The </w:t>
      </w:r>
      <w:r w:rsidR="00354477">
        <w:rPr>
          <w:szCs w:val="24"/>
        </w:rPr>
        <w:t>significance</w:t>
      </w:r>
      <w:r w:rsidRPr="00972DFD">
        <w:rPr>
          <w:szCs w:val="24"/>
        </w:rPr>
        <w:t xml:space="preserve"> of </w:t>
      </w:r>
      <w:r w:rsidR="00354477">
        <w:rPr>
          <w:szCs w:val="24"/>
        </w:rPr>
        <w:t>these</w:t>
      </w:r>
      <w:r w:rsidRPr="00972DFD">
        <w:rPr>
          <w:szCs w:val="24"/>
        </w:rPr>
        <w:t xml:space="preserve"> nonclinical </w:t>
      </w:r>
      <w:r w:rsidR="00354477">
        <w:rPr>
          <w:szCs w:val="24"/>
        </w:rPr>
        <w:t>effects</w:t>
      </w:r>
      <w:r w:rsidRPr="00972DFD">
        <w:rPr>
          <w:szCs w:val="24"/>
        </w:rPr>
        <w:t xml:space="preserve"> to humans is unknown.</w:t>
      </w:r>
      <w:r>
        <w:rPr>
          <w:szCs w:val="24"/>
        </w:rPr>
        <w:t xml:space="preserve">  </w:t>
      </w:r>
    </w:p>
    <w:p w:rsidR="0090693D" w:rsidRPr="00FF13B1" w:rsidRDefault="0090693D" w:rsidP="0090693D">
      <w:pPr>
        <w:pStyle w:val="PIHeading2"/>
      </w:pPr>
      <w:r w:rsidRPr="00FF13B1">
        <w:t>Use in Pregnancy</w:t>
      </w:r>
      <w:r w:rsidR="00A938CE">
        <w:t xml:space="preserve"> </w:t>
      </w:r>
      <w:r w:rsidR="00A938CE" w:rsidRPr="00A938CE">
        <w:t>(Category D)</w:t>
      </w:r>
      <w:r w:rsidRPr="00FF13B1">
        <w:t xml:space="preserve"> </w:t>
      </w:r>
    </w:p>
    <w:p w:rsidR="00FB1F30" w:rsidRDefault="00FB1F30" w:rsidP="0090693D">
      <w:pPr>
        <w:pStyle w:val="PINormal"/>
        <w:rPr>
          <w:szCs w:val="24"/>
        </w:rPr>
      </w:pPr>
      <w:r w:rsidRPr="00FB1F30">
        <w:rPr>
          <w:szCs w:val="24"/>
        </w:rPr>
        <w:t>Initiation of treatment is contraindicated during pregnancy (see CONTRAINDICATIONS)</w:t>
      </w:r>
      <w:r>
        <w:rPr>
          <w:szCs w:val="24"/>
        </w:rPr>
        <w:t xml:space="preserve">. </w:t>
      </w:r>
    </w:p>
    <w:p w:rsidR="00846559" w:rsidRDefault="00846559" w:rsidP="00846559">
      <w:pPr>
        <w:pStyle w:val="PINormal"/>
        <w:rPr>
          <w:szCs w:val="24"/>
        </w:rPr>
      </w:pPr>
      <w:proofErr w:type="spellStart"/>
      <w:r w:rsidRPr="00DB72F3">
        <w:rPr>
          <w:szCs w:val="24"/>
        </w:rPr>
        <w:t>Peginterferon</w:t>
      </w:r>
      <w:proofErr w:type="spellEnd"/>
      <w:r w:rsidRPr="00DB72F3">
        <w:rPr>
          <w:szCs w:val="24"/>
        </w:rPr>
        <w:t xml:space="preserve"> beta-1a has not been tested for reproductive toxicity in pregnant animals. Non-</w:t>
      </w:r>
      <w:proofErr w:type="spellStart"/>
      <w:r w:rsidRPr="00DB72F3">
        <w:rPr>
          <w:szCs w:val="24"/>
        </w:rPr>
        <w:t>pegylated</w:t>
      </w:r>
      <w:proofErr w:type="spellEnd"/>
      <w:r w:rsidRPr="00DB72F3">
        <w:rPr>
          <w:szCs w:val="24"/>
        </w:rPr>
        <w:t xml:space="preserve"> interferon beta-1a has shown no evidence of teratogenicity in pregnant animals.</w:t>
      </w:r>
      <w:r w:rsidR="00354477">
        <w:rPr>
          <w:szCs w:val="24"/>
        </w:rPr>
        <w:t xml:space="preserve"> </w:t>
      </w:r>
      <w:r w:rsidR="00354477" w:rsidRPr="00354477">
        <w:rPr>
          <w:szCs w:val="24"/>
        </w:rPr>
        <w:t xml:space="preserve">Similar results have been obtained with other </w:t>
      </w:r>
      <w:proofErr w:type="spellStart"/>
      <w:r w:rsidR="00354477" w:rsidRPr="00354477">
        <w:rPr>
          <w:szCs w:val="24"/>
        </w:rPr>
        <w:t>interferons</w:t>
      </w:r>
      <w:proofErr w:type="spellEnd"/>
      <w:r w:rsidR="00354477" w:rsidRPr="00354477">
        <w:rPr>
          <w:szCs w:val="24"/>
        </w:rPr>
        <w:t>.</w:t>
      </w:r>
    </w:p>
    <w:p w:rsidR="00430A87" w:rsidRPr="007C47A4" w:rsidRDefault="006B53A0" w:rsidP="00846559">
      <w:pPr>
        <w:pStyle w:val="PINormal"/>
        <w:rPr>
          <w:szCs w:val="24"/>
        </w:rPr>
      </w:pPr>
      <w:r w:rsidRPr="006B53A0">
        <w:rPr>
          <w:szCs w:val="24"/>
        </w:rPr>
        <w:t>Non-</w:t>
      </w:r>
      <w:proofErr w:type="spellStart"/>
      <w:r w:rsidRPr="006B53A0">
        <w:rPr>
          <w:szCs w:val="24"/>
        </w:rPr>
        <w:t>pegylated</w:t>
      </w:r>
      <w:proofErr w:type="spellEnd"/>
      <w:r w:rsidRPr="006B53A0">
        <w:rPr>
          <w:szCs w:val="24"/>
        </w:rPr>
        <w:t xml:space="preserve"> interferon beta-1a was not teratogenic in rhesus monkeys at doses up to 50 micrograms (10 million IU)/kg SC. </w:t>
      </w:r>
      <w:proofErr w:type="spellStart"/>
      <w:r w:rsidRPr="006B53A0">
        <w:rPr>
          <w:szCs w:val="24"/>
        </w:rPr>
        <w:t>Abortifacient</w:t>
      </w:r>
      <w:proofErr w:type="spellEnd"/>
      <w:r w:rsidRPr="006B53A0">
        <w:rPr>
          <w:szCs w:val="24"/>
        </w:rPr>
        <w:t xml:space="preserve"> activity was evident at this dose but not at 1.25 micrograms (0.25 million IU)/kg. Patients should be advised of the </w:t>
      </w:r>
      <w:proofErr w:type="spellStart"/>
      <w:r w:rsidRPr="006B53A0">
        <w:rPr>
          <w:szCs w:val="24"/>
        </w:rPr>
        <w:t>abortifacient</w:t>
      </w:r>
      <w:proofErr w:type="spellEnd"/>
      <w:r w:rsidRPr="006B53A0">
        <w:rPr>
          <w:szCs w:val="24"/>
        </w:rPr>
        <w:t xml:space="preserve"> potential of interferon beta observed in animal studies.</w:t>
      </w:r>
    </w:p>
    <w:p w:rsidR="00DB72F3" w:rsidRPr="007C47A4" w:rsidRDefault="00A242B2" w:rsidP="0090693D">
      <w:pPr>
        <w:pStyle w:val="PINormal"/>
        <w:rPr>
          <w:szCs w:val="24"/>
        </w:rPr>
      </w:pPr>
      <w:r w:rsidRPr="007C47A4">
        <w:rPr>
          <w:szCs w:val="24"/>
        </w:rPr>
        <w:t xml:space="preserve">There are no adequate and well-controlled studies in pregnant women. </w:t>
      </w:r>
      <w:r w:rsidR="00846559" w:rsidRPr="00846559">
        <w:rPr>
          <w:szCs w:val="24"/>
        </w:rPr>
        <w:t xml:space="preserve">Women of child-bearing potential should take appropriate contraceptive measures during treatment. If a patient becomes or </w:t>
      </w:r>
      <w:r w:rsidR="00846559" w:rsidRPr="00846559">
        <w:rPr>
          <w:szCs w:val="24"/>
        </w:rPr>
        <w:lastRenderedPageBreak/>
        <w:t>plans to become pregnant whilst on therapy they should be informed of</w:t>
      </w:r>
      <w:r w:rsidR="00354477">
        <w:rPr>
          <w:szCs w:val="24"/>
        </w:rPr>
        <w:t xml:space="preserve"> the potential hazards to the </w:t>
      </w:r>
      <w:proofErr w:type="spellStart"/>
      <w:r w:rsidR="00354477">
        <w:rPr>
          <w:szCs w:val="24"/>
        </w:rPr>
        <w:t>f</w:t>
      </w:r>
      <w:r w:rsidR="00846559" w:rsidRPr="00846559">
        <w:rPr>
          <w:szCs w:val="24"/>
        </w:rPr>
        <w:t>etus</w:t>
      </w:r>
      <w:proofErr w:type="spellEnd"/>
      <w:r w:rsidR="00846559" w:rsidRPr="00846559">
        <w:rPr>
          <w:szCs w:val="24"/>
        </w:rPr>
        <w:t xml:space="preserve">. </w:t>
      </w:r>
      <w:r w:rsidR="008F5062" w:rsidRPr="007C47A4">
        <w:rPr>
          <w:szCs w:val="24"/>
        </w:rPr>
        <w:t>PLEGRIDY</w:t>
      </w:r>
      <w:r w:rsidRPr="007C47A4">
        <w:rPr>
          <w:szCs w:val="24"/>
        </w:rPr>
        <w:t xml:space="preserve"> should be used during pregnancy only if the potential benefit justifies the potential risk to the </w:t>
      </w:r>
      <w:proofErr w:type="spellStart"/>
      <w:r w:rsidRPr="007C47A4">
        <w:rPr>
          <w:szCs w:val="24"/>
        </w:rPr>
        <w:t>fetus</w:t>
      </w:r>
      <w:proofErr w:type="spellEnd"/>
      <w:r w:rsidRPr="007C47A4">
        <w:rPr>
          <w:szCs w:val="24"/>
        </w:rPr>
        <w:t xml:space="preserve">. </w:t>
      </w:r>
    </w:p>
    <w:p w:rsidR="0090693D" w:rsidRPr="00FF13B1" w:rsidRDefault="0090693D" w:rsidP="0090693D">
      <w:pPr>
        <w:pStyle w:val="PIHeading2"/>
      </w:pPr>
      <w:r w:rsidRPr="00FF13B1">
        <w:t xml:space="preserve">Use in Lactation </w:t>
      </w:r>
    </w:p>
    <w:p w:rsidR="0090693D" w:rsidRPr="007C47A4" w:rsidRDefault="00A242B2" w:rsidP="0090693D">
      <w:pPr>
        <w:pStyle w:val="PINormal"/>
        <w:rPr>
          <w:szCs w:val="24"/>
        </w:rPr>
      </w:pPr>
      <w:r w:rsidRPr="007C47A4">
        <w:rPr>
          <w:szCs w:val="24"/>
        </w:rPr>
        <w:t xml:space="preserve">It is not known whether </w:t>
      </w:r>
      <w:r w:rsidR="008F5062" w:rsidRPr="007C47A4">
        <w:rPr>
          <w:szCs w:val="24"/>
        </w:rPr>
        <w:t>PLEGRIDY</w:t>
      </w:r>
      <w:r w:rsidRPr="007C47A4">
        <w:rPr>
          <w:szCs w:val="24"/>
        </w:rPr>
        <w:t xml:space="preserve"> is </w:t>
      </w:r>
      <w:r w:rsidR="00DB72F3" w:rsidRPr="00DB72F3">
        <w:rPr>
          <w:szCs w:val="24"/>
        </w:rPr>
        <w:t xml:space="preserve">excreted </w:t>
      </w:r>
      <w:r w:rsidRPr="007C47A4">
        <w:rPr>
          <w:szCs w:val="24"/>
        </w:rPr>
        <w:t xml:space="preserve">in human milk. </w:t>
      </w:r>
      <w:r w:rsidR="00354477" w:rsidRPr="00354477">
        <w:rPr>
          <w:szCs w:val="24"/>
        </w:rPr>
        <w:t>Because of the potential for serious adverse reactions in breast-feeding infants, a decision should be made either to discontinue breast-feeding or PLEGRIDY therapy.</w:t>
      </w:r>
    </w:p>
    <w:p w:rsidR="0090693D" w:rsidRPr="00FF13B1" w:rsidRDefault="0090693D" w:rsidP="0090693D">
      <w:pPr>
        <w:pStyle w:val="PIHeading2"/>
      </w:pPr>
      <w:r w:rsidRPr="00FF13B1">
        <w:t xml:space="preserve">Paediatric Use </w:t>
      </w:r>
    </w:p>
    <w:p w:rsidR="0090693D" w:rsidRPr="007C47A4" w:rsidRDefault="00A242B2" w:rsidP="0090693D">
      <w:pPr>
        <w:pStyle w:val="PINormal"/>
        <w:rPr>
          <w:szCs w:val="24"/>
        </w:rPr>
      </w:pPr>
      <w:r w:rsidRPr="007C47A4">
        <w:rPr>
          <w:szCs w:val="24"/>
        </w:rPr>
        <w:t xml:space="preserve">The safety and effectiveness of </w:t>
      </w:r>
      <w:r w:rsidR="008F5062" w:rsidRPr="007C47A4">
        <w:rPr>
          <w:szCs w:val="24"/>
        </w:rPr>
        <w:t>PLEGRIDY</w:t>
      </w:r>
      <w:r w:rsidRPr="007C47A4">
        <w:rPr>
          <w:szCs w:val="24"/>
        </w:rPr>
        <w:t xml:space="preserve"> in patients below the age of 18 have not been studied. </w:t>
      </w:r>
    </w:p>
    <w:p w:rsidR="0090693D" w:rsidRPr="00FF13B1" w:rsidRDefault="0090693D" w:rsidP="0090693D">
      <w:pPr>
        <w:pStyle w:val="PIHeading2"/>
      </w:pPr>
      <w:r w:rsidRPr="00FF13B1">
        <w:t xml:space="preserve">Use in the Elderly </w:t>
      </w:r>
    </w:p>
    <w:p w:rsidR="0090693D" w:rsidRPr="007C47A4" w:rsidRDefault="00A242B2" w:rsidP="0090693D">
      <w:pPr>
        <w:pStyle w:val="PINormal"/>
        <w:rPr>
          <w:szCs w:val="24"/>
        </w:rPr>
      </w:pPr>
      <w:r w:rsidRPr="007C47A4">
        <w:rPr>
          <w:szCs w:val="24"/>
        </w:rPr>
        <w:t xml:space="preserve">The safety and effectiveness of </w:t>
      </w:r>
      <w:r w:rsidR="008F5062" w:rsidRPr="007C47A4">
        <w:rPr>
          <w:szCs w:val="24"/>
        </w:rPr>
        <w:t>PLEGRIDY</w:t>
      </w:r>
      <w:r w:rsidRPr="007C47A4">
        <w:rPr>
          <w:szCs w:val="24"/>
        </w:rPr>
        <w:t xml:space="preserve"> in patients aged 65 and over have not been established. </w:t>
      </w:r>
    </w:p>
    <w:p w:rsidR="000C47BE" w:rsidRPr="00FF13B1" w:rsidRDefault="000C47BE" w:rsidP="000C47BE">
      <w:pPr>
        <w:pStyle w:val="PIHeading2"/>
      </w:pPr>
      <w:r w:rsidRPr="00FF13B1">
        <w:t xml:space="preserve">Use in Renal Impairment </w:t>
      </w:r>
    </w:p>
    <w:p w:rsidR="00A242B2" w:rsidRPr="007C47A4" w:rsidRDefault="00A242B2" w:rsidP="00A242B2">
      <w:pPr>
        <w:pStyle w:val="PINormal"/>
        <w:rPr>
          <w:szCs w:val="24"/>
        </w:rPr>
      </w:pPr>
      <w:r w:rsidRPr="007C47A4">
        <w:rPr>
          <w:szCs w:val="24"/>
        </w:rPr>
        <w:t xml:space="preserve">No dose adjustment is necessary for </w:t>
      </w:r>
      <w:r w:rsidR="00FA04F5" w:rsidRPr="00FA04F5">
        <w:rPr>
          <w:szCs w:val="24"/>
        </w:rPr>
        <w:t xml:space="preserve">PLEGRIDY </w:t>
      </w:r>
      <w:r w:rsidRPr="007C47A4">
        <w:rPr>
          <w:szCs w:val="24"/>
        </w:rPr>
        <w:t xml:space="preserve">in patients with mild to severe renal impairment, or end stage renal disease.  </w:t>
      </w:r>
    </w:p>
    <w:p w:rsidR="000C47BE" w:rsidRPr="007C47A4" w:rsidRDefault="00A242B2" w:rsidP="00A242B2">
      <w:pPr>
        <w:pStyle w:val="PINormal"/>
        <w:rPr>
          <w:szCs w:val="24"/>
        </w:rPr>
      </w:pPr>
      <w:r w:rsidRPr="007C47A4">
        <w:rPr>
          <w:szCs w:val="24"/>
        </w:rPr>
        <w:t xml:space="preserve">The pharmacokinetics of </w:t>
      </w:r>
      <w:r w:rsidR="008F5062" w:rsidRPr="007C47A4">
        <w:rPr>
          <w:szCs w:val="24"/>
        </w:rPr>
        <w:t>PLEGRIDY</w:t>
      </w:r>
      <w:r w:rsidRPr="007C47A4">
        <w:rPr>
          <w:szCs w:val="24"/>
        </w:rPr>
        <w:t xml:space="preserve"> </w:t>
      </w:r>
      <w:r w:rsidR="00271415">
        <w:rPr>
          <w:szCs w:val="24"/>
        </w:rPr>
        <w:t>were</w:t>
      </w:r>
      <w:r w:rsidRPr="007C47A4">
        <w:rPr>
          <w:szCs w:val="24"/>
        </w:rPr>
        <w:t xml:space="preserve"> assessed in a single-dose study in healthy volunteers and </w:t>
      </w:r>
      <w:r w:rsidR="00EE2008">
        <w:rPr>
          <w:szCs w:val="24"/>
        </w:rPr>
        <w:t xml:space="preserve">subjects </w:t>
      </w:r>
      <w:r w:rsidRPr="007C47A4">
        <w:rPr>
          <w:szCs w:val="24"/>
        </w:rPr>
        <w:t xml:space="preserve">with mild, moderate, and severe renal impairment as well as patients with end state renal disease. No clinically important differences in pharmacokinetic profiles were identified based on renal function. (See </w:t>
      </w:r>
      <w:r w:rsidR="00D864AA" w:rsidRPr="00D864AA">
        <w:rPr>
          <w:szCs w:val="24"/>
        </w:rPr>
        <w:t>Pharmacokinetics</w:t>
      </w:r>
      <w:r w:rsidRPr="007C47A4">
        <w:rPr>
          <w:szCs w:val="24"/>
        </w:rPr>
        <w:t xml:space="preserve">) </w:t>
      </w:r>
    </w:p>
    <w:p w:rsidR="000C47BE" w:rsidRPr="00FF13B1" w:rsidRDefault="000C47BE" w:rsidP="000C47BE">
      <w:pPr>
        <w:pStyle w:val="PIHeading2"/>
      </w:pPr>
      <w:r w:rsidRPr="00FF13B1">
        <w:t xml:space="preserve">Use in Hepatic Impairment </w:t>
      </w:r>
    </w:p>
    <w:p w:rsidR="000C47BE" w:rsidRPr="007C47A4" w:rsidRDefault="00DD551B" w:rsidP="000C47BE">
      <w:pPr>
        <w:pStyle w:val="PINormal"/>
        <w:rPr>
          <w:szCs w:val="24"/>
        </w:rPr>
      </w:pPr>
      <w:r w:rsidRPr="00DD551B">
        <w:rPr>
          <w:szCs w:val="24"/>
        </w:rPr>
        <w:t xml:space="preserve">It is recommended that liver function tests be undertaken prior to initiation of treatment with PLEGRIDY and monitored periodically thereafter. </w:t>
      </w:r>
      <w:r w:rsidR="00A242B2" w:rsidRPr="007C47A4">
        <w:rPr>
          <w:szCs w:val="24"/>
        </w:rPr>
        <w:t xml:space="preserve">Caution should be used and close monitoring considered when administering </w:t>
      </w:r>
      <w:r w:rsidR="008F5062" w:rsidRPr="007C47A4">
        <w:rPr>
          <w:szCs w:val="24"/>
        </w:rPr>
        <w:t>PLEGRIDY</w:t>
      </w:r>
      <w:r w:rsidR="00A242B2" w:rsidRPr="007C47A4">
        <w:rPr>
          <w:szCs w:val="24"/>
        </w:rPr>
        <w:t xml:space="preserve"> to patients with severe hepatic impairment. Patients should be monitored for signs of hepatic injury and caution exercised when </w:t>
      </w:r>
      <w:proofErr w:type="spellStart"/>
      <w:r w:rsidR="00A242B2" w:rsidRPr="007C47A4">
        <w:rPr>
          <w:szCs w:val="24"/>
        </w:rPr>
        <w:t>interferons</w:t>
      </w:r>
      <w:proofErr w:type="spellEnd"/>
      <w:r w:rsidR="00A242B2" w:rsidRPr="007C47A4">
        <w:rPr>
          <w:szCs w:val="24"/>
        </w:rPr>
        <w:t xml:space="preserve"> are used concomitantly with other drugs </w:t>
      </w:r>
      <w:r w:rsidRPr="00DD551B">
        <w:rPr>
          <w:szCs w:val="24"/>
        </w:rPr>
        <w:t>or hepatotoxic agents (</w:t>
      </w:r>
      <w:proofErr w:type="spellStart"/>
      <w:r w:rsidRPr="00DD551B">
        <w:rPr>
          <w:szCs w:val="24"/>
        </w:rPr>
        <w:t>eg</w:t>
      </w:r>
      <w:proofErr w:type="spellEnd"/>
      <w:r w:rsidRPr="00DD551B">
        <w:rPr>
          <w:szCs w:val="24"/>
        </w:rPr>
        <w:t xml:space="preserve"> alcohol) </w:t>
      </w:r>
      <w:r w:rsidR="00A242B2" w:rsidRPr="007C47A4">
        <w:rPr>
          <w:szCs w:val="24"/>
        </w:rPr>
        <w:t>associated with hepatic injury. (</w:t>
      </w:r>
      <w:r w:rsidR="00D864AA" w:rsidRPr="00D864AA">
        <w:rPr>
          <w:szCs w:val="24"/>
        </w:rPr>
        <w:t>See ADVERSE EFFECTS</w:t>
      </w:r>
      <w:r w:rsidR="00D864AA" w:rsidRPr="007C47A4">
        <w:rPr>
          <w:szCs w:val="24"/>
        </w:rPr>
        <w:t xml:space="preserve"> </w:t>
      </w:r>
      <w:r w:rsidR="00A242B2" w:rsidRPr="007C47A4">
        <w:rPr>
          <w:szCs w:val="24"/>
        </w:rPr>
        <w:t xml:space="preserve">and </w:t>
      </w:r>
      <w:r w:rsidR="00D864AA" w:rsidRPr="00D864AA">
        <w:rPr>
          <w:szCs w:val="24"/>
        </w:rPr>
        <w:t>Pharmacokinetics</w:t>
      </w:r>
      <w:r w:rsidR="00A242B2" w:rsidRPr="007C47A4">
        <w:rPr>
          <w:szCs w:val="24"/>
        </w:rPr>
        <w:t xml:space="preserve">) </w:t>
      </w:r>
    </w:p>
    <w:p w:rsidR="0090693D" w:rsidRPr="00FF13B1" w:rsidRDefault="0090693D" w:rsidP="0090693D">
      <w:pPr>
        <w:pStyle w:val="PIHeading2"/>
        <w:rPr>
          <w:i/>
        </w:rPr>
      </w:pPr>
      <w:proofErr w:type="spellStart"/>
      <w:r w:rsidRPr="00CE19A9">
        <w:t>Genotoxicity</w:t>
      </w:r>
      <w:proofErr w:type="spellEnd"/>
      <w:r w:rsidRPr="00FF13B1">
        <w:rPr>
          <w:i/>
        </w:rPr>
        <w:t xml:space="preserve"> </w:t>
      </w:r>
    </w:p>
    <w:p w:rsidR="0090693D" w:rsidRPr="007C47A4" w:rsidRDefault="005225BA" w:rsidP="0090693D">
      <w:pPr>
        <w:pStyle w:val="PINormal"/>
        <w:rPr>
          <w:szCs w:val="24"/>
        </w:rPr>
      </w:pPr>
      <w:proofErr w:type="spellStart"/>
      <w:r w:rsidRPr="005225BA">
        <w:rPr>
          <w:szCs w:val="24"/>
        </w:rPr>
        <w:t>Peginterferon</w:t>
      </w:r>
      <w:proofErr w:type="spellEnd"/>
      <w:r w:rsidRPr="005225BA">
        <w:rPr>
          <w:szCs w:val="24"/>
        </w:rPr>
        <w:t xml:space="preserve"> beta-1a was not mutagenic when tested in an </w:t>
      </w:r>
      <w:r w:rsidRPr="004C0FEB">
        <w:rPr>
          <w:i/>
          <w:szCs w:val="24"/>
        </w:rPr>
        <w:t>in vitro</w:t>
      </w:r>
      <w:r w:rsidRPr="005225BA">
        <w:rPr>
          <w:szCs w:val="24"/>
        </w:rPr>
        <w:t xml:space="preserve"> bacterial reverse mutation (Ames) test and was not </w:t>
      </w:r>
      <w:proofErr w:type="spellStart"/>
      <w:r w:rsidRPr="005225BA">
        <w:rPr>
          <w:szCs w:val="24"/>
        </w:rPr>
        <w:t>clastogenic</w:t>
      </w:r>
      <w:proofErr w:type="spellEnd"/>
      <w:r w:rsidRPr="005225BA">
        <w:rPr>
          <w:szCs w:val="24"/>
        </w:rPr>
        <w:t xml:space="preserve"> in an </w:t>
      </w:r>
      <w:r w:rsidRPr="004C0FEB">
        <w:rPr>
          <w:i/>
          <w:szCs w:val="24"/>
        </w:rPr>
        <w:t>in vitro</w:t>
      </w:r>
      <w:r w:rsidRPr="005225BA">
        <w:rPr>
          <w:szCs w:val="24"/>
        </w:rPr>
        <w:t xml:space="preserve"> assay in human lymphocytes.</w:t>
      </w:r>
    </w:p>
    <w:p w:rsidR="00143BB7" w:rsidRPr="00FF13B1" w:rsidRDefault="0090693D" w:rsidP="0090693D">
      <w:pPr>
        <w:pStyle w:val="PIHeading2"/>
        <w:rPr>
          <w:i/>
        </w:rPr>
      </w:pPr>
      <w:r w:rsidRPr="00CE19A9">
        <w:t>Carcinogenicity</w:t>
      </w:r>
      <w:r w:rsidR="008C6495" w:rsidRPr="00FF13B1">
        <w:rPr>
          <w:i/>
        </w:rPr>
        <w:t xml:space="preserve"> </w:t>
      </w:r>
    </w:p>
    <w:p w:rsidR="008C6495" w:rsidRDefault="005225BA" w:rsidP="008C6495">
      <w:pPr>
        <w:pStyle w:val="PINormal"/>
        <w:rPr>
          <w:szCs w:val="24"/>
        </w:rPr>
      </w:pPr>
      <w:proofErr w:type="spellStart"/>
      <w:r w:rsidRPr="005225BA">
        <w:rPr>
          <w:szCs w:val="24"/>
        </w:rPr>
        <w:t>Peginterferon</w:t>
      </w:r>
      <w:proofErr w:type="spellEnd"/>
      <w:r w:rsidRPr="005225BA">
        <w:rPr>
          <w:szCs w:val="24"/>
        </w:rPr>
        <w:t xml:space="preserve"> beta-1a has not been tested for carcinogenicity in animals.</w:t>
      </w:r>
      <w:r>
        <w:rPr>
          <w:szCs w:val="24"/>
        </w:rPr>
        <w:t xml:space="preserve"> </w:t>
      </w:r>
    </w:p>
    <w:p w:rsidR="00404A44" w:rsidRPr="00FF13B1" w:rsidRDefault="00404A44" w:rsidP="00404A44">
      <w:pPr>
        <w:pStyle w:val="PIHeading2"/>
      </w:pPr>
      <w:r w:rsidRPr="00FF13B1">
        <w:t xml:space="preserve">Toxicology </w:t>
      </w:r>
    </w:p>
    <w:p w:rsidR="00404A44" w:rsidRPr="007C47A4" w:rsidRDefault="00404A44" w:rsidP="00404A44">
      <w:pPr>
        <w:pStyle w:val="PINormal"/>
        <w:rPr>
          <w:szCs w:val="24"/>
        </w:rPr>
      </w:pPr>
      <w:r w:rsidRPr="007C47A4">
        <w:rPr>
          <w:szCs w:val="24"/>
        </w:rPr>
        <w:t xml:space="preserve">Human interferon beta-1a is pharmacologically active in rhesus monkeys. Due to the immunogenicity of human </w:t>
      </w:r>
      <w:proofErr w:type="spellStart"/>
      <w:r w:rsidRPr="007C47A4">
        <w:rPr>
          <w:szCs w:val="24"/>
        </w:rPr>
        <w:t>interferons</w:t>
      </w:r>
      <w:proofErr w:type="spellEnd"/>
      <w:r w:rsidRPr="007C47A4">
        <w:rPr>
          <w:szCs w:val="24"/>
        </w:rPr>
        <w:t xml:space="preserve"> in rhesus monkeys, the studies were limited to </w:t>
      </w:r>
      <w:r w:rsidR="00F241F6">
        <w:rPr>
          <w:szCs w:val="24"/>
        </w:rPr>
        <w:t>five</w:t>
      </w:r>
      <w:r w:rsidRPr="007C47A4">
        <w:rPr>
          <w:szCs w:val="24"/>
        </w:rPr>
        <w:t xml:space="preserve"> weeks duration.</w:t>
      </w:r>
      <w:r w:rsidR="00DB72F3">
        <w:rPr>
          <w:szCs w:val="24"/>
        </w:rPr>
        <w:t xml:space="preserve"> </w:t>
      </w:r>
      <w:r w:rsidR="00DB72F3" w:rsidRPr="00DB72F3">
        <w:rPr>
          <w:szCs w:val="24"/>
        </w:rPr>
        <w:t xml:space="preserve">Exposure to </w:t>
      </w:r>
      <w:proofErr w:type="spellStart"/>
      <w:r w:rsidR="00DB72F3" w:rsidRPr="00DB72F3">
        <w:rPr>
          <w:szCs w:val="24"/>
        </w:rPr>
        <w:t>peginterferon</w:t>
      </w:r>
      <w:proofErr w:type="spellEnd"/>
      <w:r w:rsidR="00DB72F3" w:rsidRPr="00DB72F3">
        <w:rPr>
          <w:szCs w:val="24"/>
        </w:rPr>
        <w:t xml:space="preserve"> beta-1a by subcutaneous administration up to 325 times the clinical exposure, based on </w:t>
      </w:r>
      <w:r w:rsidR="00DB72F3">
        <w:rPr>
          <w:szCs w:val="24"/>
        </w:rPr>
        <w:t>serum</w:t>
      </w:r>
      <w:r w:rsidR="00DB72F3" w:rsidRPr="00DB72F3">
        <w:rPr>
          <w:szCs w:val="24"/>
        </w:rPr>
        <w:t xml:space="preserve"> AUC, </w:t>
      </w:r>
      <w:r w:rsidRPr="007C47A4">
        <w:rPr>
          <w:szCs w:val="24"/>
        </w:rPr>
        <w:t xml:space="preserve">produced no signs of toxicity. </w:t>
      </w:r>
    </w:p>
    <w:p w:rsidR="000C47BE" w:rsidRPr="00FF13B1" w:rsidRDefault="000C47BE" w:rsidP="000C47BE">
      <w:pPr>
        <w:pStyle w:val="PIHeading2"/>
      </w:pPr>
      <w:r w:rsidRPr="00FF13B1">
        <w:t xml:space="preserve">Effects on Ability to Drive and Use of Machines </w:t>
      </w:r>
    </w:p>
    <w:p w:rsidR="000C47BE" w:rsidRPr="007C47A4" w:rsidRDefault="00A242B2" w:rsidP="000C47BE">
      <w:pPr>
        <w:pStyle w:val="PINormal"/>
        <w:rPr>
          <w:szCs w:val="24"/>
        </w:rPr>
      </w:pPr>
      <w:r w:rsidRPr="007C47A4">
        <w:rPr>
          <w:szCs w:val="24"/>
        </w:rPr>
        <w:t xml:space="preserve">No studies on the effects on the ability to drive and use machines have been performed. </w:t>
      </w:r>
    </w:p>
    <w:p w:rsidR="000C47BE" w:rsidRPr="00FF13B1" w:rsidRDefault="000C47BE" w:rsidP="000C47BE">
      <w:pPr>
        <w:pStyle w:val="PIHeading2"/>
      </w:pPr>
      <w:r w:rsidRPr="00FF13B1">
        <w:lastRenderedPageBreak/>
        <w:t xml:space="preserve">Effects on Laboratory Tests </w:t>
      </w:r>
    </w:p>
    <w:p w:rsidR="000C47BE" w:rsidRPr="007C47A4" w:rsidRDefault="00A242B2" w:rsidP="000C47BE">
      <w:pPr>
        <w:pStyle w:val="PINormal"/>
        <w:rPr>
          <w:szCs w:val="24"/>
        </w:rPr>
      </w:pPr>
      <w:r w:rsidRPr="007C47A4">
        <w:rPr>
          <w:szCs w:val="24"/>
        </w:rPr>
        <w:t xml:space="preserve">Laboratory abnormalities are associated with the use of </w:t>
      </w:r>
      <w:proofErr w:type="spellStart"/>
      <w:r w:rsidRPr="007C47A4">
        <w:rPr>
          <w:szCs w:val="24"/>
        </w:rPr>
        <w:t>interferons</w:t>
      </w:r>
      <w:proofErr w:type="spellEnd"/>
      <w:r w:rsidRPr="007C47A4">
        <w:rPr>
          <w:szCs w:val="24"/>
        </w:rPr>
        <w:t xml:space="preserve">. Complete and differential white blood cell counts, platelet counts, and blood chemistry, including liver function tests, are recommended during </w:t>
      </w:r>
      <w:r w:rsidR="008F5062" w:rsidRPr="007C47A4">
        <w:rPr>
          <w:szCs w:val="24"/>
        </w:rPr>
        <w:t>PLEGRIDY</w:t>
      </w:r>
      <w:r w:rsidRPr="007C47A4">
        <w:rPr>
          <w:szCs w:val="24"/>
        </w:rPr>
        <w:t xml:space="preserve"> therapy. Patients with </w:t>
      </w:r>
      <w:proofErr w:type="spellStart"/>
      <w:r w:rsidRPr="007C47A4">
        <w:rPr>
          <w:szCs w:val="24"/>
        </w:rPr>
        <w:t>myelosuppression</w:t>
      </w:r>
      <w:proofErr w:type="spellEnd"/>
      <w:r w:rsidRPr="007C47A4">
        <w:rPr>
          <w:szCs w:val="24"/>
        </w:rPr>
        <w:t xml:space="preserve"> may require more intensive monitoring of complete blood cell counts, with differential and platelet counts </w:t>
      </w:r>
    </w:p>
    <w:p w:rsidR="00B90298" w:rsidRPr="00FF13B1" w:rsidRDefault="00B90298" w:rsidP="00B90298">
      <w:pPr>
        <w:pStyle w:val="PIHeading2"/>
        <w:rPr>
          <w:i/>
        </w:rPr>
      </w:pPr>
      <w:r w:rsidRPr="00FF13B1">
        <w:t xml:space="preserve">Immunogenicity </w:t>
      </w:r>
    </w:p>
    <w:p w:rsidR="00B90298" w:rsidRPr="007C47A4" w:rsidRDefault="00B90298" w:rsidP="00B90298">
      <w:pPr>
        <w:pStyle w:val="PINormal"/>
        <w:rPr>
          <w:szCs w:val="24"/>
        </w:rPr>
      </w:pPr>
      <w:r w:rsidRPr="007C47A4">
        <w:rPr>
          <w:szCs w:val="24"/>
        </w:rPr>
        <w:t xml:space="preserve">Immunogenicity to </w:t>
      </w:r>
      <w:r w:rsidR="008F5062" w:rsidRPr="007C47A4">
        <w:rPr>
          <w:szCs w:val="24"/>
        </w:rPr>
        <w:t>PLEGRIDY</w:t>
      </w:r>
      <w:r w:rsidRPr="007C47A4">
        <w:rPr>
          <w:szCs w:val="24"/>
        </w:rPr>
        <w:t xml:space="preserve"> was evaluated in </w:t>
      </w:r>
      <w:proofErr w:type="gramStart"/>
      <w:r w:rsidRPr="007C47A4">
        <w:rPr>
          <w:szCs w:val="24"/>
        </w:rPr>
        <w:t>relapsing</w:t>
      </w:r>
      <w:proofErr w:type="gramEnd"/>
      <w:r w:rsidRPr="007C47A4">
        <w:rPr>
          <w:szCs w:val="24"/>
        </w:rPr>
        <w:t xml:space="preserve"> multiple sclerosis patients for a minimum of </w:t>
      </w:r>
      <w:r w:rsidR="00F241F6">
        <w:rPr>
          <w:szCs w:val="24"/>
        </w:rPr>
        <w:t>one</w:t>
      </w:r>
      <w:r w:rsidRPr="007C47A4">
        <w:rPr>
          <w:szCs w:val="24"/>
        </w:rPr>
        <w:t xml:space="preserve"> year and up to </w:t>
      </w:r>
      <w:r w:rsidR="00F241F6">
        <w:rPr>
          <w:szCs w:val="24"/>
        </w:rPr>
        <w:t>two</w:t>
      </w:r>
      <w:r w:rsidRPr="007C47A4">
        <w:rPr>
          <w:szCs w:val="24"/>
        </w:rPr>
        <w:t xml:space="preserve"> years. Less than 1% of patients (4/489) developed persistent treatment-emergent neutralizing antibodies to interferon beta-1a.  Persistent treatment-emergent antibodies to the PEG moiety were also seen in 2% of patients. </w:t>
      </w:r>
    </w:p>
    <w:p w:rsidR="00B90298" w:rsidRPr="007C47A4" w:rsidRDefault="00B90298" w:rsidP="00B90298">
      <w:pPr>
        <w:pStyle w:val="PINormal"/>
        <w:rPr>
          <w:szCs w:val="24"/>
        </w:rPr>
      </w:pPr>
      <w:r w:rsidRPr="007C47A4">
        <w:rPr>
          <w:szCs w:val="24"/>
        </w:rPr>
        <w:t xml:space="preserve">In the ADVANCE study, the development of antibodies against the interferon or PEG moiety of </w:t>
      </w:r>
      <w:r w:rsidR="008F5062" w:rsidRPr="007C47A4">
        <w:rPr>
          <w:szCs w:val="24"/>
        </w:rPr>
        <w:t>PLEGRIDY</w:t>
      </w:r>
      <w:r w:rsidRPr="007C47A4">
        <w:rPr>
          <w:szCs w:val="24"/>
        </w:rPr>
        <w:t xml:space="preserve"> had no discernible impact on the </w:t>
      </w:r>
      <w:proofErr w:type="spellStart"/>
      <w:r w:rsidRPr="007C47A4">
        <w:rPr>
          <w:szCs w:val="24"/>
        </w:rPr>
        <w:t>pharmacodynamic</w:t>
      </w:r>
      <w:proofErr w:type="spellEnd"/>
      <w:r w:rsidRPr="007C47A4">
        <w:rPr>
          <w:szCs w:val="24"/>
        </w:rPr>
        <w:t xml:space="preserve"> response, safety, or clinical efficacy. </w:t>
      </w:r>
    </w:p>
    <w:p w:rsidR="00EC69FE" w:rsidRPr="00FF13B1" w:rsidRDefault="00EC69FE" w:rsidP="0090693D">
      <w:pPr>
        <w:pStyle w:val="PIHeading1"/>
      </w:pPr>
      <w:r w:rsidRPr="00CE19A9">
        <w:t>Interaction</w:t>
      </w:r>
      <w:r w:rsidR="009F092C" w:rsidRPr="00CE19A9">
        <w:t>s</w:t>
      </w:r>
      <w:r w:rsidRPr="00CE19A9">
        <w:t xml:space="preserve"> with Other Medicines</w:t>
      </w:r>
      <w:r w:rsidR="00BC5FEB" w:rsidRPr="00FF13B1">
        <w:t xml:space="preserve"> </w:t>
      </w:r>
    </w:p>
    <w:p w:rsidR="00BC5FEB" w:rsidRPr="007C47A4" w:rsidRDefault="007C47A4" w:rsidP="00BC5FEB">
      <w:pPr>
        <w:pStyle w:val="PINormal"/>
        <w:rPr>
          <w:szCs w:val="24"/>
        </w:rPr>
      </w:pPr>
      <w:r w:rsidRPr="007C47A4">
        <w:rPr>
          <w:szCs w:val="24"/>
        </w:rPr>
        <w:t xml:space="preserve">No formal drug interaction studies have been conducted with PLEGRIDY.  Patients who experienced a relapse in the study could receive standard therapy with corticosteroids. </w:t>
      </w:r>
      <w:proofErr w:type="spellStart"/>
      <w:r w:rsidR="00AD5204" w:rsidRPr="00AD5204">
        <w:rPr>
          <w:szCs w:val="24"/>
        </w:rPr>
        <w:t>Interferons</w:t>
      </w:r>
      <w:proofErr w:type="spellEnd"/>
      <w:r w:rsidR="00AD5204" w:rsidRPr="00AD5204">
        <w:rPr>
          <w:szCs w:val="24"/>
        </w:rPr>
        <w:t xml:space="preserve"> have been reported to reduce the activity of hepatic cytochrome P450-dependent enzymes in humans and animals. Caution should be exercised when </w:t>
      </w:r>
      <w:proofErr w:type="spellStart"/>
      <w:r w:rsidR="00AD5204" w:rsidRPr="00AD5204">
        <w:rPr>
          <w:szCs w:val="24"/>
        </w:rPr>
        <w:t>Plegridy</w:t>
      </w:r>
      <w:proofErr w:type="spellEnd"/>
      <w:r w:rsidR="00AD5204" w:rsidRPr="00AD5204">
        <w:rPr>
          <w:szCs w:val="24"/>
        </w:rPr>
        <w:t xml:space="preserve"> is administered in combination with medicinal products that have a narrow therapeutic index and are largely dependent on the hepatic cytochrome P450 system for clearance, e.g. antiepileptic’s and some classes of antidepressants.</w:t>
      </w:r>
    </w:p>
    <w:p w:rsidR="002162E9" w:rsidRPr="00FF13B1" w:rsidRDefault="00C7315D" w:rsidP="00CC1938">
      <w:pPr>
        <w:pStyle w:val="PIHeading1"/>
      </w:pPr>
      <w:r w:rsidRPr="00FF13B1">
        <w:t xml:space="preserve">ADVERSE </w:t>
      </w:r>
      <w:r w:rsidR="00EC69FE" w:rsidRPr="00FF13B1">
        <w:t>Effects</w:t>
      </w:r>
    </w:p>
    <w:p w:rsidR="00BB352D" w:rsidRPr="007C47A4" w:rsidRDefault="00BB352D" w:rsidP="00BB352D">
      <w:pPr>
        <w:pStyle w:val="PINormal"/>
        <w:rPr>
          <w:szCs w:val="24"/>
        </w:rPr>
      </w:pPr>
      <w:r w:rsidRPr="007C47A4">
        <w:rPr>
          <w:szCs w:val="24"/>
        </w:rPr>
        <w:t xml:space="preserve">The most common adverse drug reactions (incidence ≥10%, and ≥ 2% compared to placebo) for </w:t>
      </w:r>
      <w:r w:rsidR="008F5062" w:rsidRPr="007C47A4">
        <w:rPr>
          <w:szCs w:val="24"/>
        </w:rPr>
        <w:t>PLEGRIDY</w:t>
      </w:r>
      <w:r w:rsidRPr="007C47A4">
        <w:rPr>
          <w:szCs w:val="24"/>
        </w:rPr>
        <w:t xml:space="preserve"> 125 micrograms subcutaneously every 2 weeks were injection site erythema, influenza like illness, pyrexia, headache, myalgia, chills, injection site pain, asthenia, injection site pruritus, and arthralgia.</w:t>
      </w:r>
    </w:p>
    <w:p w:rsidR="00851B65" w:rsidRPr="007C47A4" w:rsidRDefault="00BB352D" w:rsidP="00BB352D">
      <w:pPr>
        <w:pStyle w:val="PINormal"/>
        <w:rPr>
          <w:szCs w:val="24"/>
        </w:rPr>
      </w:pPr>
      <w:r w:rsidRPr="007C47A4">
        <w:rPr>
          <w:szCs w:val="24"/>
        </w:rPr>
        <w:t xml:space="preserve">The most commonly reported adverse events leading to discontinuation in patients treated with </w:t>
      </w:r>
      <w:r w:rsidR="008F5062" w:rsidRPr="007C47A4">
        <w:rPr>
          <w:szCs w:val="24"/>
        </w:rPr>
        <w:t>PLEGRIDY</w:t>
      </w:r>
      <w:r w:rsidRPr="007C47A4">
        <w:rPr>
          <w:szCs w:val="24"/>
        </w:rPr>
        <w:t xml:space="preserve"> 125 micrograms subcutaneously every 2 weeks was influenza-like illness (&lt;1%). </w:t>
      </w:r>
    </w:p>
    <w:p w:rsidR="00C7315D" w:rsidRPr="00FF13B1" w:rsidRDefault="00BB352D" w:rsidP="00CC1938">
      <w:pPr>
        <w:pStyle w:val="PIHeading2"/>
      </w:pPr>
      <w:r w:rsidRPr="00FF13B1">
        <w:t xml:space="preserve">Clinical Trials </w:t>
      </w:r>
    </w:p>
    <w:p w:rsidR="00BB352D" w:rsidRPr="007C47A4" w:rsidRDefault="00BB352D" w:rsidP="00BB352D">
      <w:pPr>
        <w:pStyle w:val="PINormal"/>
        <w:rPr>
          <w:szCs w:val="24"/>
        </w:rPr>
      </w:pPr>
      <w:r w:rsidRPr="007C47A4">
        <w:rPr>
          <w:szCs w:val="24"/>
        </w:rPr>
        <w:t xml:space="preserve">In clinical studies (ADVANCE, ATTAIN) , a total of 1468 patients with relapsing multiple sclerosis received </w:t>
      </w:r>
      <w:r w:rsidR="008F5062" w:rsidRPr="007C47A4">
        <w:rPr>
          <w:szCs w:val="24"/>
        </w:rPr>
        <w:t>PLEGRIDY</w:t>
      </w:r>
      <w:r w:rsidRPr="007C47A4">
        <w:rPr>
          <w:szCs w:val="24"/>
        </w:rPr>
        <w:t xml:space="preserve">  for up to 177 weeks (41 months) with an overall exposure equivalent to 1932 person-years. A total of 1093 patients received at least 1 year, and 415 patients have received at least 2 years of treatment with </w:t>
      </w:r>
      <w:r w:rsidR="008F5062" w:rsidRPr="007C47A4">
        <w:rPr>
          <w:szCs w:val="24"/>
        </w:rPr>
        <w:t>PLEGRIDY</w:t>
      </w:r>
      <w:r w:rsidRPr="007C47A4">
        <w:rPr>
          <w:szCs w:val="24"/>
        </w:rPr>
        <w:t xml:space="preserve">. A total of 512 and 500 patients, respectively, received </w:t>
      </w:r>
      <w:r w:rsidR="008F5062" w:rsidRPr="007C47A4">
        <w:rPr>
          <w:szCs w:val="24"/>
        </w:rPr>
        <w:t>PLEGRIDY</w:t>
      </w:r>
      <w:r w:rsidRPr="007C47A4">
        <w:rPr>
          <w:szCs w:val="24"/>
        </w:rPr>
        <w:t xml:space="preserve"> 125 micrograms every 2 weeks or every 4 weeks during the placebo-controlled phase of ADVANCE (Year 1). The experience in Year 2 of the ADVANCE study and in the 2 year safety extension study ATTAIN (all patients received </w:t>
      </w:r>
      <w:r w:rsidR="008F5062" w:rsidRPr="007C47A4">
        <w:rPr>
          <w:szCs w:val="24"/>
        </w:rPr>
        <w:t>PLEGRIDY</w:t>
      </w:r>
      <w:r w:rsidRPr="007C47A4">
        <w:rPr>
          <w:szCs w:val="24"/>
        </w:rPr>
        <w:t xml:space="preserve">) was consistent with the experience in the 1-year placebo-controlled phase of the ADVANCE study. </w:t>
      </w:r>
    </w:p>
    <w:p w:rsidR="00BB352D" w:rsidRPr="007C47A4" w:rsidRDefault="00BB352D" w:rsidP="00BB352D">
      <w:pPr>
        <w:pStyle w:val="PINormal"/>
        <w:rPr>
          <w:szCs w:val="24"/>
        </w:rPr>
      </w:pPr>
      <w:r w:rsidRPr="007C47A4">
        <w:rPr>
          <w:szCs w:val="24"/>
        </w:rPr>
        <w:t xml:space="preserve">Table 2 summarizes ADRs from 512 patients treated with </w:t>
      </w:r>
      <w:r w:rsidR="008F5062" w:rsidRPr="007C47A4">
        <w:rPr>
          <w:szCs w:val="24"/>
        </w:rPr>
        <w:t>PLEGRIDY</w:t>
      </w:r>
      <w:r w:rsidRPr="007C47A4">
        <w:rPr>
          <w:szCs w:val="24"/>
        </w:rPr>
        <w:t xml:space="preserve"> 125 micrograms subcutaneously every 2 weeks and 500 patients who received placebo for up to 48 weeks.</w:t>
      </w:r>
    </w:p>
    <w:p w:rsidR="00BB352D" w:rsidRPr="007C47A4" w:rsidRDefault="00BB352D" w:rsidP="00BB352D">
      <w:pPr>
        <w:pStyle w:val="PINormal"/>
        <w:rPr>
          <w:szCs w:val="24"/>
        </w:rPr>
      </w:pPr>
      <w:r w:rsidRPr="007C47A4">
        <w:rPr>
          <w:szCs w:val="24"/>
        </w:rPr>
        <w:lastRenderedPageBreak/>
        <w:t xml:space="preserve">The adverse reactions are presented as </w:t>
      </w:r>
      <w:proofErr w:type="spellStart"/>
      <w:r w:rsidRPr="007C47A4">
        <w:rPr>
          <w:szCs w:val="24"/>
        </w:rPr>
        <w:t>MedDRA</w:t>
      </w:r>
      <w:proofErr w:type="spellEnd"/>
      <w:r w:rsidRPr="007C47A4">
        <w:rPr>
          <w:szCs w:val="24"/>
        </w:rPr>
        <w:t xml:space="preserve"> preferred terms under the </w:t>
      </w:r>
      <w:proofErr w:type="spellStart"/>
      <w:r w:rsidRPr="007C47A4">
        <w:rPr>
          <w:szCs w:val="24"/>
        </w:rPr>
        <w:t>MedDRA</w:t>
      </w:r>
      <w:proofErr w:type="spellEnd"/>
      <w:r w:rsidRPr="007C47A4">
        <w:rPr>
          <w:szCs w:val="24"/>
        </w:rPr>
        <w:t xml:space="preserve"> system organ class (SOC).</w:t>
      </w:r>
    </w:p>
    <w:p w:rsidR="00BB352D" w:rsidRPr="00DC6FEB" w:rsidRDefault="00BB352D" w:rsidP="00BB352D">
      <w:pPr>
        <w:pStyle w:val="PITableTitle"/>
        <w:rPr>
          <w:color w:val="auto"/>
        </w:rPr>
      </w:pPr>
      <w:r w:rsidRPr="00DC6FEB">
        <w:rPr>
          <w:color w:val="auto"/>
        </w:rPr>
        <w:t xml:space="preserve">Table 2 Adverse Reactions reported for </w:t>
      </w:r>
      <w:r w:rsidR="008F5062" w:rsidRPr="00DC6FEB">
        <w:rPr>
          <w:color w:val="auto"/>
        </w:rPr>
        <w:t>PLEGRIDY</w:t>
      </w:r>
      <w:r w:rsidRPr="00DC6FEB">
        <w:rPr>
          <w:color w:val="auto"/>
        </w:rPr>
        <w:t xml:space="preserve"> 125 micrograms subcutaneously every 2 weeks at ≥ 2% higher incidence than placebo.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276"/>
        <w:gridCol w:w="1221"/>
        <w:gridCol w:w="1330"/>
        <w:gridCol w:w="1370"/>
      </w:tblGrid>
      <w:tr w:rsidR="00FF13B1" w:rsidRPr="00FF13B1" w:rsidTr="00FB3883">
        <w:trPr>
          <w:cantSplit/>
        </w:trPr>
        <w:tc>
          <w:tcPr>
            <w:tcW w:w="2410" w:type="dxa"/>
            <w:vMerge w:val="restart"/>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roofErr w:type="spellStart"/>
            <w:r w:rsidRPr="00FF13B1">
              <w:rPr>
                <w:rFonts w:ascii="Times New Roman" w:hAnsi="Times New Roman" w:cs="Times New Roman"/>
                <w:b w:val="0"/>
                <w:bCs w:val="0"/>
                <w:snapToGrid w:val="0"/>
                <w:sz w:val="24"/>
                <w:szCs w:val="24"/>
                <w:lang w:val="en-AU"/>
              </w:rPr>
              <w:t>MedDRA</w:t>
            </w:r>
            <w:proofErr w:type="spellEnd"/>
            <w:r w:rsidRPr="00FF13B1">
              <w:rPr>
                <w:rFonts w:ascii="Times New Roman" w:hAnsi="Times New Roman" w:cs="Times New Roman"/>
                <w:b w:val="0"/>
                <w:bCs w:val="0"/>
                <w:snapToGrid w:val="0"/>
                <w:sz w:val="24"/>
                <w:szCs w:val="24"/>
                <w:lang w:val="en-AU"/>
              </w:rPr>
              <w:t xml:space="preserve"> System Organ Class</w:t>
            </w:r>
          </w:p>
        </w:tc>
        <w:tc>
          <w:tcPr>
            <w:tcW w:w="1985" w:type="dxa"/>
            <w:vMerge w:val="restart"/>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roofErr w:type="spellStart"/>
            <w:r w:rsidRPr="00FF13B1">
              <w:rPr>
                <w:rFonts w:ascii="Times New Roman" w:hAnsi="Times New Roman" w:cs="Times New Roman"/>
                <w:b w:val="0"/>
                <w:bCs w:val="0"/>
                <w:snapToGrid w:val="0"/>
                <w:sz w:val="24"/>
                <w:szCs w:val="24"/>
                <w:lang w:val="en-AU"/>
              </w:rPr>
              <w:t>MedDRA</w:t>
            </w:r>
            <w:proofErr w:type="spellEnd"/>
            <w:r w:rsidRPr="00FF13B1">
              <w:rPr>
                <w:rFonts w:ascii="Times New Roman" w:hAnsi="Times New Roman" w:cs="Times New Roman"/>
                <w:b w:val="0"/>
                <w:bCs w:val="0"/>
                <w:snapToGrid w:val="0"/>
                <w:sz w:val="24"/>
                <w:szCs w:val="24"/>
                <w:lang w:val="en-AU"/>
              </w:rPr>
              <w:t xml:space="preserve"> preferred term</w:t>
            </w:r>
          </w:p>
        </w:tc>
        <w:tc>
          <w:tcPr>
            <w:tcW w:w="1276" w:type="dxa"/>
            <w:vMerge w:val="restart"/>
            <w:shd w:val="clear" w:color="auto" w:fill="auto"/>
          </w:tcPr>
          <w:p w:rsidR="00BB352D" w:rsidRPr="00FF13B1" w:rsidRDefault="008F5062"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PLEGRIDY</w:t>
            </w:r>
          </w:p>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(N=512)</w:t>
            </w:r>
          </w:p>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w:t>
            </w:r>
          </w:p>
        </w:tc>
        <w:tc>
          <w:tcPr>
            <w:tcW w:w="1221" w:type="dxa"/>
            <w:vMerge w:val="restart"/>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Placebo</w:t>
            </w:r>
          </w:p>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(N=500)</w:t>
            </w:r>
          </w:p>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w:t>
            </w:r>
          </w:p>
        </w:tc>
        <w:tc>
          <w:tcPr>
            <w:tcW w:w="2700" w:type="dxa"/>
            <w:gridSpan w:val="2"/>
            <w:shd w:val="clear" w:color="auto" w:fill="auto"/>
          </w:tcPr>
          <w:p w:rsidR="00BB352D" w:rsidRPr="00FF13B1" w:rsidRDefault="008F5062"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PLEGRIDY</w:t>
            </w:r>
            <w:r w:rsidR="00BB352D" w:rsidRPr="00FF13B1">
              <w:rPr>
                <w:rFonts w:ascii="Times New Roman" w:hAnsi="Times New Roman" w:cs="Times New Roman"/>
                <w:b w:val="0"/>
                <w:bCs w:val="0"/>
                <w:snapToGrid w:val="0"/>
                <w:sz w:val="24"/>
                <w:szCs w:val="24"/>
                <w:lang w:val="en-AU"/>
              </w:rPr>
              <w:t xml:space="preserve"> Frequency category* </w:t>
            </w:r>
          </w:p>
        </w:tc>
      </w:tr>
      <w:tr w:rsidR="00FF13B1" w:rsidRPr="00FF13B1" w:rsidTr="00FB3883">
        <w:trPr>
          <w:cantSplit/>
        </w:trPr>
        <w:tc>
          <w:tcPr>
            <w:tcW w:w="2410"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276"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221"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33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(≥1/10)</w:t>
            </w:r>
          </w:p>
        </w:tc>
        <w:tc>
          <w:tcPr>
            <w:tcW w:w="137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(≥1/100 - &lt;1/10)</w:t>
            </w:r>
          </w:p>
        </w:tc>
      </w:tr>
      <w:tr w:rsidR="00FF13B1" w:rsidRPr="00FF13B1" w:rsidTr="00FB3883">
        <w:trPr>
          <w:cantSplit/>
        </w:trPr>
        <w:tc>
          <w:tcPr>
            <w:tcW w:w="2410"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Nervous System Disorders</w:t>
            </w:r>
          </w:p>
        </w:tc>
        <w:tc>
          <w:tcPr>
            <w:tcW w:w="1985"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Headache</w:t>
            </w:r>
          </w:p>
        </w:tc>
        <w:tc>
          <w:tcPr>
            <w:tcW w:w="1276"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44</w:t>
            </w:r>
          </w:p>
        </w:tc>
        <w:tc>
          <w:tcPr>
            <w:tcW w:w="1221"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33</w:t>
            </w:r>
          </w:p>
        </w:tc>
        <w:tc>
          <w:tcPr>
            <w:tcW w:w="1330"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tcBorders>
              <w:top w:val="single" w:sz="8" w:space="0" w:color="auto"/>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Height w:val="231"/>
        </w:trPr>
        <w:tc>
          <w:tcPr>
            <w:tcW w:w="2410" w:type="dxa"/>
            <w:vMerge w:val="restart"/>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Gastrointestinal disorders</w:t>
            </w:r>
          </w:p>
        </w:tc>
        <w:tc>
          <w:tcPr>
            <w:tcW w:w="1985"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Nausea</w:t>
            </w:r>
          </w:p>
        </w:tc>
        <w:tc>
          <w:tcPr>
            <w:tcW w:w="1276"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9</w:t>
            </w:r>
          </w:p>
        </w:tc>
        <w:tc>
          <w:tcPr>
            <w:tcW w:w="1221"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6</w:t>
            </w:r>
          </w:p>
        </w:tc>
        <w:tc>
          <w:tcPr>
            <w:tcW w:w="133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Height w:val="231"/>
        </w:trPr>
        <w:tc>
          <w:tcPr>
            <w:tcW w:w="2410"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Vomiting</w:t>
            </w:r>
          </w:p>
        </w:tc>
        <w:tc>
          <w:tcPr>
            <w:tcW w:w="1276"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5</w:t>
            </w:r>
          </w:p>
        </w:tc>
        <w:tc>
          <w:tcPr>
            <w:tcW w:w="1221"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2</w:t>
            </w:r>
          </w:p>
        </w:tc>
        <w:tc>
          <w:tcPr>
            <w:tcW w:w="133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val="restart"/>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Musculoskeletal and Connective Tissue Disorders</w:t>
            </w:r>
          </w:p>
        </w:tc>
        <w:tc>
          <w:tcPr>
            <w:tcW w:w="1985"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Myalgia</w:t>
            </w:r>
          </w:p>
        </w:tc>
        <w:tc>
          <w:tcPr>
            <w:tcW w:w="1276"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19</w:t>
            </w:r>
          </w:p>
        </w:tc>
        <w:tc>
          <w:tcPr>
            <w:tcW w:w="1221"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6</w:t>
            </w:r>
          </w:p>
        </w:tc>
        <w:tc>
          <w:tcPr>
            <w:tcW w:w="133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Arthralgia</w:t>
            </w:r>
          </w:p>
        </w:tc>
        <w:tc>
          <w:tcPr>
            <w:tcW w:w="1276"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11</w:t>
            </w:r>
          </w:p>
        </w:tc>
        <w:tc>
          <w:tcPr>
            <w:tcW w:w="1221"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7</w:t>
            </w:r>
          </w:p>
        </w:tc>
        <w:tc>
          <w:tcPr>
            <w:tcW w:w="133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w:t>
            </w: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c>
          <w:tcPr>
            <w:tcW w:w="137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val="restart"/>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General Disorders and Administration Site Conditions</w:t>
            </w:r>
          </w:p>
        </w:tc>
        <w:tc>
          <w:tcPr>
            <w:tcW w:w="1985"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erythema</w:t>
            </w:r>
          </w:p>
        </w:tc>
        <w:tc>
          <w:tcPr>
            <w:tcW w:w="1276"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62</w:t>
            </w:r>
          </w:p>
        </w:tc>
        <w:tc>
          <w:tcPr>
            <w:tcW w:w="1221"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7</w:t>
            </w:r>
          </w:p>
        </w:tc>
        <w:tc>
          <w:tcPr>
            <w:tcW w:w="133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Influenza like illness</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47</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13</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Pyrexia</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45</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15</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Chills</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17</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5</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pain</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15</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Asthenia</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13</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8</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pruritus</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13</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Very Common</w:t>
            </w: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Hyperthermia</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Pain</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5</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oedema</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0</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warmth</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0</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hematoma</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vMerge/>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Injection site rash</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2</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0</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Investigations</w:t>
            </w:r>
          </w:p>
        </w:tc>
        <w:tc>
          <w:tcPr>
            <w:tcW w:w="1985"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Body temperature increased</w:t>
            </w:r>
          </w:p>
        </w:tc>
        <w:tc>
          <w:tcPr>
            <w:tcW w:w="1276"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6</w:t>
            </w:r>
          </w:p>
        </w:tc>
        <w:tc>
          <w:tcPr>
            <w:tcW w:w="1221"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33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Alanine aminotransferase increased</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6</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Aspartate aminotransferase increased</w:t>
            </w:r>
          </w:p>
        </w:tc>
        <w:tc>
          <w:tcPr>
            <w:tcW w:w="1276"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w:t>
            </w:r>
          </w:p>
        </w:tc>
        <w:tc>
          <w:tcPr>
            <w:tcW w:w="1221"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2</w:t>
            </w:r>
          </w:p>
        </w:tc>
        <w:tc>
          <w:tcPr>
            <w:tcW w:w="133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r>
      <w:tr w:rsidR="00FF13B1" w:rsidRPr="00FF13B1" w:rsidTr="00FB3883">
        <w:trPr>
          <w:cantSplit/>
        </w:trPr>
        <w:tc>
          <w:tcPr>
            <w:tcW w:w="2410" w:type="dxa"/>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p>
        </w:tc>
        <w:tc>
          <w:tcPr>
            <w:tcW w:w="1985" w:type="dxa"/>
            <w:tcBorders>
              <w:bottom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Gamma-</w:t>
            </w:r>
            <w:proofErr w:type="spellStart"/>
            <w:r w:rsidRPr="00FF13B1">
              <w:rPr>
                <w:rFonts w:ascii="Times New Roman" w:hAnsi="Times New Roman" w:cs="Times New Roman"/>
                <w:b w:val="0"/>
                <w:bCs w:val="0"/>
                <w:snapToGrid w:val="0"/>
                <w:sz w:val="24"/>
                <w:szCs w:val="24"/>
                <w:lang w:val="en-AU"/>
              </w:rPr>
              <w:t>glutamyl</w:t>
            </w:r>
            <w:proofErr w:type="spellEnd"/>
            <w:r w:rsidRPr="00FF13B1">
              <w:rPr>
                <w:rFonts w:ascii="Times New Roman" w:hAnsi="Times New Roman" w:cs="Times New Roman"/>
                <w:b w:val="0"/>
                <w:bCs w:val="0"/>
                <w:snapToGrid w:val="0"/>
                <w:sz w:val="24"/>
                <w:szCs w:val="24"/>
                <w:lang w:val="en-AU"/>
              </w:rPr>
              <w:t>-</w:t>
            </w:r>
            <w:proofErr w:type="spellStart"/>
            <w:r w:rsidRPr="00FF13B1">
              <w:rPr>
                <w:rFonts w:ascii="Times New Roman" w:hAnsi="Times New Roman" w:cs="Times New Roman"/>
                <w:b w:val="0"/>
                <w:bCs w:val="0"/>
                <w:snapToGrid w:val="0"/>
                <w:sz w:val="24"/>
                <w:szCs w:val="24"/>
                <w:lang w:val="en-AU"/>
              </w:rPr>
              <w:t>transferase</w:t>
            </w:r>
            <w:proofErr w:type="spellEnd"/>
            <w:r w:rsidRPr="00FF13B1">
              <w:rPr>
                <w:rFonts w:ascii="Times New Roman" w:hAnsi="Times New Roman" w:cs="Times New Roman"/>
                <w:b w:val="0"/>
                <w:bCs w:val="0"/>
                <w:snapToGrid w:val="0"/>
                <w:sz w:val="24"/>
                <w:szCs w:val="24"/>
                <w:lang w:val="en-AU"/>
              </w:rPr>
              <w:t xml:space="preserve"> increased</w:t>
            </w:r>
          </w:p>
        </w:tc>
        <w:tc>
          <w:tcPr>
            <w:tcW w:w="1276"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3</w:t>
            </w:r>
          </w:p>
        </w:tc>
        <w:tc>
          <w:tcPr>
            <w:tcW w:w="1221"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w:t>
            </w:r>
          </w:p>
        </w:tc>
        <w:tc>
          <w:tcPr>
            <w:tcW w:w="133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tcBorders>
              <w:bottom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r w:rsidR="00FF13B1" w:rsidRPr="00FF13B1" w:rsidTr="00FB3883">
        <w:trPr>
          <w:cantSplit/>
        </w:trPr>
        <w:tc>
          <w:tcPr>
            <w:tcW w:w="2410"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Skin and Subcutaneous Tissue Disorder</w:t>
            </w:r>
          </w:p>
        </w:tc>
        <w:tc>
          <w:tcPr>
            <w:tcW w:w="1985" w:type="dxa"/>
            <w:tcBorders>
              <w:top w:val="single" w:sz="8" w:space="0" w:color="auto"/>
            </w:tcBorders>
            <w:shd w:val="clear" w:color="auto" w:fill="auto"/>
          </w:tcPr>
          <w:p w:rsidR="00BB352D" w:rsidRPr="00FF13B1" w:rsidRDefault="00BB352D" w:rsidP="00C000A6">
            <w:pPr>
              <w:pStyle w:val="GTCTitle"/>
              <w:spacing w:before="0" w:after="0"/>
              <w:jc w:val="left"/>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Pruritus</w:t>
            </w:r>
          </w:p>
        </w:tc>
        <w:tc>
          <w:tcPr>
            <w:tcW w:w="1276"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4</w:t>
            </w:r>
          </w:p>
        </w:tc>
        <w:tc>
          <w:tcPr>
            <w:tcW w:w="1221"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1</w:t>
            </w:r>
          </w:p>
        </w:tc>
        <w:tc>
          <w:tcPr>
            <w:tcW w:w="133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p>
        </w:tc>
        <w:tc>
          <w:tcPr>
            <w:tcW w:w="1370" w:type="dxa"/>
            <w:tcBorders>
              <w:top w:val="single" w:sz="8" w:space="0" w:color="auto"/>
            </w:tcBorders>
            <w:shd w:val="clear" w:color="auto" w:fill="auto"/>
          </w:tcPr>
          <w:p w:rsidR="00BB352D" w:rsidRPr="00FF13B1" w:rsidRDefault="00BB352D" w:rsidP="00C000A6">
            <w:pPr>
              <w:pStyle w:val="GTCTitle"/>
              <w:spacing w:before="0" w:after="0"/>
              <w:jc w:val="center"/>
              <w:rPr>
                <w:rFonts w:ascii="Times New Roman" w:hAnsi="Times New Roman" w:cs="Times New Roman"/>
                <w:b w:val="0"/>
                <w:bCs w:val="0"/>
                <w:snapToGrid w:val="0"/>
                <w:sz w:val="24"/>
                <w:szCs w:val="24"/>
                <w:lang w:val="en-AU"/>
              </w:rPr>
            </w:pPr>
            <w:r w:rsidRPr="00FF13B1">
              <w:rPr>
                <w:rFonts w:ascii="Times New Roman" w:hAnsi="Times New Roman" w:cs="Times New Roman"/>
                <w:b w:val="0"/>
                <w:bCs w:val="0"/>
                <w:snapToGrid w:val="0"/>
                <w:sz w:val="24"/>
                <w:szCs w:val="24"/>
                <w:lang w:val="en-AU"/>
              </w:rPr>
              <w:t>Common</w:t>
            </w:r>
          </w:p>
        </w:tc>
      </w:tr>
    </w:tbl>
    <w:p w:rsidR="00BB352D" w:rsidRPr="00FF13B1" w:rsidRDefault="00BB352D" w:rsidP="00BB352D">
      <w:pPr>
        <w:pStyle w:val="PINormal"/>
        <w:rPr>
          <w:sz w:val="20"/>
          <w:szCs w:val="24"/>
        </w:rPr>
      </w:pPr>
      <w:r w:rsidRPr="00FF13B1">
        <w:rPr>
          <w:sz w:val="20"/>
          <w:szCs w:val="24"/>
        </w:rPr>
        <w:t>*ADR frequency is based upon the following scale: Very Common (≥1/10); Common (≥1/100 - &lt;1/10); Uncommon (≥1/1,000 - &lt;1/100); Rare (≥1/10,000 - &lt;1/1,000); Very Rare (&lt;1/10,000)</w:t>
      </w:r>
    </w:p>
    <w:p w:rsidR="00BB352D" w:rsidRPr="00FF13B1" w:rsidRDefault="00BB352D" w:rsidP="00CC1938">
      <w:pPr>
        <w:pStyle w:val="PIHeading3"/>
      </w:pPr>
      <w:r w:rsidRPr="00FF13B1">
        <w:t>Description of selected adverse events</w:t>
      </w:r>
    </w:p>
    <w:p w:rsidR="00812C64" w:rsidRPr="00FF13B1" w:rsidRDefault="00BB352D" w:rsidP="00CC1938">
      <w:pPr>
        <w:pStyle w:val="PIHeading3"/>
      </w:pPr>
      <w:r w:rsidRPr="00FF13B1">
        <w:t xml:space="preserve">Flu </w:t>
      </w:r>
      <w:proofErr w:type="gramStart"/>
      <w:r w:rsidRPr="00FF13B1">
        <w:t>Like</w:t>
      </w:r>
      <w:proofErr w:type="gramEnd"/>
      <w:r w:rsidRPr="00FF13B1">
        <w:t xml:space="preserve"> Symptoms</w:t>
      </w:r>
      <w:r w:rsidR="00FD575B" w:rsidRPr="00FF13B1">
        <w:t xml:space="preserve"> </w:t>
      </w:r>
    </w:p>
    <w:p w:rsidR="00BB352D" w:rsidRPr="007C47A4" w:rsidRDefault="00BB352D" w:rsidP="00BB352D">
      <w:pPr>
        <w:pStyle w:val="PINormal"/>
        <w:rPr>
          <w:szCs w:val="24"/>
        </w:rPr>
      </w:pPr>
      <w:r w:rsidRPr="007C47A4">
        <w:rPr>
          <w:szCs w:val="24"/>
        </w:rPr>
        <w:t xml:space="preserve">Influenza-like illness was experienced by 47% of patients receiving </w:t>
      </w:r>
      <w:r w:rsidR="008F5062" w:rsidRPr="007C47A4">
        <w:rPr>
          <w:szCs w:val="24"/>
        </w:rPr>
        <w:t>PLEGRIDY</w:t>
      </w:r>
      <w:r w:rsidRPr="007C47A4">
        <w:rPr>
          <w:szCs w:val="24"/>
        </w:rPr>
        <w:t xml:space="preserve"> 125 micrograms every 2 weeks and 13% of patients receiving placebo. The incidence of flu-like symptoms (e.g. influenza-like illness, chills, hyperpyrexia, musculoskeletal pain, myalgia, pain, pyrexia) was highest during the initiation of treatment and generally decreased over the first 6 months.  </w:t>
      </w:r>
    </w:p>
    <w:p w:rsidR="00EE1B2E" w:rsidRPr="007C47A4" w:rsidRDefault="00BB352D" w:rsidP="00BB352D">
      <w:pPr>
        <w:pStyle w:val="PINormal"/>
        <w:rPr>
          <w:szCs w:val="24"/>
        </w:rPr>
      </w:pPr>
      <w:r w:rsidRPr="007C47A4">
        <w:rPr>
          <w:szCs w:val="24"/>
        </w:rPr>
        <w:t xml:space="preserve">Of the patients who reported flu-like symptoms 90% reported them as mild or moderate in severity. None were considered serious in nature. Less than 1% of patients who received </w:t>
      </w:r>
      <w:r w:rsidR="008F5062" w:rsidRPr="007C47A4">
        <w:rPr>
          <w:szCs w:val="24"/>
        </w:rPr>
        <w:t>PLEGRIDY</w:t>
      </w:r>
      <w:r w:rsidRPr="007C47A4">
        <w:rPr>
          <w:szCs w:val="24"/>
        </w:rPr>
        <w:t xml:space="preserve"> during the placebo controlled phase of the ADVANCE study discontinued treatment due to flu-like symptoms. </w:t>
      </w:r>
    </w:p>
    <w:p w:rsidR="00812C64" w:rsidRPr="00FF13B1" w:rsidRDefault="00BB352D" w:rsidP="00CC1938">
      <w:pPr>
        <w:pStyle w:val="PIHeading3"/>
      </w:pPr>
      <w:r w:rsidRPr="00FF13B1">
        <w:t>Injection Site Reactions</w:t>
      </w:r>
    </w:p>
    <w:p w:rsidR="00EE1B2E" w:rsidRPr="007C47A4" w:rsidRDefault="00BB352D" w:rsidP="00EE1B2E">
      <w:pPr>
        <w:pStyle w:val="PINormal"/>
        <w:rPr>
          <w:szCs w:val="24"/>
        </w:rPr>
      </w:pPr>
      <w:r w:rsidRPr="007C47A4">
        <w:rPr>
          <w:szCs w:val="24"/>
        </w:rPr>
        <w:t xml:space="preserve">Injection site reactions (e.g. injection site erythema, pain, pruritus, or oedema) were reported by 66% of patients who received </w:t>
      </w:r>
      <w:r w:rsidR="008F5062" w:rsidRPr="007C47A4">
        <w:rPr>
          <w:szCs w:val="24"/>
        </w:rPr>
        <w:t>PLEGRIDY</w:t>
      </w:r>
      <w:r w:rsidRPr="007C47A4">
        <w:rPr>
          <w:szCs w:val="24"/>
        </w:rPr>
        <w:t xml:space="preserve"> 125 micrograms every 2 weeks compared to 11% of patients receiving placebo. Injection site erythema was the most commonly reported injection site reaction. Of the patients who experienced injection site reactions </w:t>
      </w:r>
      <w:r w:rsidR="003F2DAC" w:rsidRPr="007C47A4">
        <w:rPr>
          <w:szCs w:val="24"/>
        </w:rPr>
        <w:t>9</w:t>
      </w:r>
      <w:r w:rsidR="003F2DAC">
        <w:rPr>
          <w:szCs w:val="24"/>
        </w:rPr>
        <w:t>5</w:t>
      </w:r>
      <w:r w:rsidRPr="007C47A4">
        <w:rPr>
          <w:szCs w:val="24"/>
        </w:rPr>
        <w:t xml:space="preserve">% reported them as mild or moderate in severity. One patient out of 1468 patients who received </w:t>
      </w:r>
      <w:r w:rsidR="008F5062" w:rsidRPr="007C47A4">
        <w:rPr>
          <w:szCs w:val="24"/>
        </w:rPr>
        <w:t>PLEGRIDY</w:t>
      </w:r>
      <w:r w:rsidRPr="007C47A4">
        <w:rPr>
          <w:szCs w:val="24"/>
        </w:rPr>
        <w:t xml:space="preserve"> in clinical studies experienced an injection site necrosis which resolved with standard medical treatment. </w:t>
      </w:r>
    </w:p>
    <w:p w:rsidR="00812C64" w:rsidRPr="00FF13B1" w:rsidRDefault="00BB352D" w:rsidP="00CC1938">
      <w:pPr>
        <w:pStyle w:val="PIHeading3"/>
      </w:pPr>
      <w:r w:rsidRPr="00FF13B1">
        <w:t>Hepatic Transaminase Abnormalities</w:t>
      </w:r>
    </w:p>
    <w:p w:rsidR="00EE1B2E" w:rsidRPr="007C47A4" w:rsidRDefault="00BB352D" w:rsidP="00EE1B2E">
      <w:pPr>
        <w:pStyle w:val="PINormal"/>
        <w:rPr>
          <w:szCs w:val="24"/>
        </w:rPr>
      </w:pPr>
      <w:r w:rsidRPr="007C47A4">
        <w:rPr>
          <w:szCs w:val="24"/>
        </w:rPr>
        <w:t xml:space="preserve">The incidence of hepatic transaminase increases was greater in patients receiving </w:t>
      </w:r>
      <w:r w:rsidR="008F5062" w:rsidRPr="007C47A4">
        <w:rPr>
          <w:szCs w:val="24"/>
        </w:rPr>
        <w:t>PLEGRIDY</w:t>
      </w:r>
      <w:r w:rsidRPr="007C47A4">
        <w:rPr>
          <w:szCs w:val="24"/>
        </w:rPr>
        <w:t xml:space="preserve"> compared to placebo. The majority of enzyme elevations were &lt;3 times the upper limit of normal (ULN). Elevations of alanine aminotransferase and aspartate aminotransferase (&gt;5 times ULN), were reported in 1% and &lt;1% of placebo-treated patients and 2% and &lt;1% of patients treated with </w:t>
      </w:r>
      <w:r w:rsidR="008F5062" w:rsidRPr="007C47A4">
        <w:rPr>
          <w:szCs w:val="24"/>
        </w:rPr>
        <w:t>PLEGRIDY</w:t>
      </w:r>
      <w:r w:rsidRPr="007C47A4">
        <w:rPr>
          <w:szCs w:val="24"/>
        </w:rPr>
        <w:t xml:space="preserve"> respectively. </w:t>
      </w:r>
      <w:r w:rsidR="00153091" w:rsidRPr="00153091">
        <w:rPr>
          <w:szCs w:val="24"/>
        </w:rPr>
        <w:t xml:space="preserve">Elevations of serum hepatic transaminases combined with elevated bilirubin were observed in two patients who had pre-existing liver test abnormalities prior to receiving PLEGRIDY in the clinical trials. Both cases resolved following discontinuation of PLEGRIDY. </w:t>
      </w:r>
    </w:p>
    <w:p w:rsidR="00BB352D" w:rsidRPr="00FF13B1" w:rsidRDefault="00BB352D" w:rsidP="00BB352D">
      <w:pPr>
        <w:pStyle w:val="PIHeading3"/>
      </w:pPr>
      <w:r w:rsidRPr="00FF13B1">
        <w:t>H</w:t>
      </w:r>
      <w:r w:rsidR="00F241F6">
        <w:t>a</w:t>
      </w:r>
      <w:r w:rsidRPr="00FF13B1">
        <w:t xml:space="preserve">ematological Disorders </w:t>
      </w:r>
    </w:p>
    <w:p w:rsidR="00BB352D" w:rsidRPr="007C47A4" w:rsidRDefault="00BB352D" w:rsidP="00BB352D">
      <w:pPr>
        <w:pStyle w:val="PINormal"/>
        <w:rPr>
          <w:szCs w:val="24"/>
        </w:rPr>
      </w:pPr>
      <w:r w:rsidRPr="007C47A4">
        <w:rPr>
          <w:szCs w:val="24"/>
        </w:rPr>
        <w:t>Decreases in white blood cell counts of &lt;3.0 x 10</w:t>
      </w:r>
      <w:r w:rsidRPr="004C0FEB">
        <w:rPr>
          <w:szCs w:val="24"/>
          <w:vertAlign w:val="superscript"/>
        </w:rPr>
        <w:t>9</w:t>
      </w:r>
      <w:r w:rsidRPr="007C47A4">
        <w:rPr>
          <w:szCs w:val="24"/>
        </w:rPr>
        <w:t xml:space="preserve">/L were observed in 7% of patients receiving </w:t>
      </w:r>
      <w:r w:rsidR="008F5062" w:rsidRPr="007C47A4">
        <w:rPr>
          <w:szCs w:val="24"/>
        </w:rPr>
        <w:t>PLEGRIDY</w:t>
      </w:r>
      <w:r w:rsidRPr="007C47A4">
        <w:rPr>
          <w:szCs w:val="24"/>
        </w:rPr>
        <w:t xml:space="preserve"> and in 1% receiving placebo. Mean white blood cell counts remained within normal limits in patients treated with </w:t>
      </w:r>
      <w:r w:rsidR="008F5062" w:rsidRPr="007C47A4">
        <w:rPr>
          <w:szCs w:val="24"/>
        </w:rPr>
        <w:t>PLEGRIDY</w:t>
      </w:r>
      <w:r w:rsidRPr="007C47A4">
        <w:rPr>
          <w:szCs w:val="24"/>
        </w:rPr>
        <w:t>. Decreases in white blood cell counts were not associated with an increased risk of infections or serious infections. The incidence of potentially clinically significant decreases in lymphocyte counts (&lt;0.5 x 10</w:t>
      </w:r>
      <w:r w:rsidRPr="004C0FEB">
        <w:rPr>
          <w:szCs w:val="24"/>
          <w:vertAlign w:val="superscript"/>
        </w:rPr>
        <w:t>9</w:t>
      </w:r>
      <w:r w:rsidRPr="007C47A4">
        <w:rPr>
          <w:szCs w:val="24"/>
        </w:rPr>
        <w:t>/L) (&lt;1%), neutrophil (≤1.0 x 10</w:t>
      </w:r>
      <w:r w:rsidRPr="004C0FEB">
        <w:rPr>
          <w:szCs w:val="24"/>
          <w:vertAlign w:val="superscript"/>
        </w:rPr>
        <w:t>9</w:t>
      </w:r>
      <w:r w:rsidRPr="007C47A4">
        <w:rPr>
          <w:szCs w:val="24"/>
        </w:rPr>
        <w:t>/L) (&lt;1%) counts, platelet counts (≤100 x 10</w:t>
      </w:r>
      <w:r w:rsidRPr="004C0FEB">
        <w:rPr>
          <w:szCs w:val="24"/>
          <w:vertAlign w:val="superscript"/>
        </w:rPr>
        <w:t>9</w:t>
      </w:r>
      <w:r w:rsidRPr="007C47A4">
        <w:rPr>
          <w:szCs w:val="24"/>
        </w:rPr>
        <w:t xml:space="preserve">/L) (≤1%) was similar in </w:t>
      </w:r>
      <w:r w:rsidR="008F5062" w:rsidRPr="007C47A4">
        <w:rPr>
          <w:szCs w:val="24"/>
        </w:rPr>
        <w:t>PLEGRIDY</w:t>
      </w:r>
      <w:r w:rsidRPr="007C47A4">
        <w:rPr>
          <w:szCs w:val="24"/>
        </w:rPr>
        <w:t xml:space="preserve">-treated patients compared to placebo-treated patients.  Two serious cases were reported in patients treated with </w:t>
      </w:r>
      <w:r w:rsidR="008F5062" w:rsidRPr="007C47A4">
        <w:rPr>
          <w:szCs w:val="24"/>
        </w:rPr>
        <w:t>PLEGRIDY</w:t>
      </w:r>
      <w:r w:rsidRPr="007C47A4">
        <w:rPr>
          <w:szCs w:val="24"/>
        </w:rPr>
        <w:t xml:space="preserve">: one patient (&lt;1%) experienced severe thrombocytopenia (platelet count &lt;10 x </w:t>
      </w:r>
      <w:r w:rsidRPr="007C47A4">
        <w:rPr>
          <w:szCs w:val="24"/>
        </w:rPr>
        <w:lastRenderedPageBreak/>
        <w:t>10</w:t>
      </w:r>
      <w:r w:rsidRPr="004C0FEB">
        <w:rPr>
          <w:szCs w:val="24"/>
          <w:vertAlign w:val="superscript"/>
        </w:rPr>
        <w:t>9</w:t>
      </w:r>
      <w:r w:rsidRPr="007C47A4">
        <w:rPr>
          <w:szCs w:val="24"/>
        </w:rPr>
        <w:t>/L), another patient (&lt;1%) experienced severe neutropenia (neutrophil count &lt;0.5 x 10</w:t>
      </w:r>
      <w:r w:rsidRPr="004C0FEB">
        <w:rPr>
          <w:szCs w:val="24"/>
          <w:vertAlign w:val="superscript"/>
        </w:rPr>
        <w:t>9</w:t>
      </w:r>
      <w:r w:rsidRPr="007C47A4">
        <w:rPr>
          <w:szCs w:val="24"/>
        </w:rPr>
        <w:t xml:space="preserve">/L).  In both patients, cell counts recovered after discontinuation of </w:t>
      </w:r>
      <w:r w:rsidR="008F5062" w:rsidRPr="007C47A4">
        <w:rPr>
          <w:szCs w:val="24"/>
        </w:rPr>
        <w:t>PLEGRIDY</w:t>
      </w:r>
      <w:r w:rsidRPr="007C47A4">
        <w:rPr>
          <w:szCs w:val="24"/>
        </w:rPr>
        <w:t xml:space="preserve">. Compared to placebo, there were no significant differences observed in red blood cell counts in </w:t>
      </w:r>
      <w:r w:rsidR="00F241F6">
        <w:rPr>
          <w:szCs w:val="24"/>
        </w:rPr>
        <w:t xml:space="preserve">patients treated with </w:t>
      </w:r>
      <w:r w:rsidR="008F5062" w:rsidRPr="007C47A4">
        <w:rPr>
          <w:szCs w:val="24"/>
        </w:rPr>
        <w:t>PLEGRIDY</w:t>
      </w:r>
      <w:r w:rsidRPr="007C47A4">
        <w:rPr>
          <w:szCs w:val="24"/>
        </w:rPr>
        <w:t xml:space="preserve">. </w:t>
      </w:r>
    </w:p>
    <w:p w:rsidR="00BB352D" w:rsidRPr="00FF13B1" w:rsidRDefault="00BB352D" w:rsidP="00BB352D">
      <w:pPr>
        <w:pStyle w:val="PIHeading3"/>
      </w:pPr>
      <w:r w:rsidRPr="00FF13B1">
        <w:t xml:space="preserve">Hypersensitivity reactions </w:t>
      </w:r>
    </w:p>
    <w:p w:rsidR="00BB352D" w:rsidRPr="007C47A4" w:rsidRDefault="00BB352D" w:rsidP="00BB352D">
      <w:pPr>
        <w:pStyle w:val="PINormal"/>
        <w:rPr>
          <w:szCs w:val="24"/>
        </w:rPr>
      </w:pPr>
      <w:r w:rsidRPr="007C47A4">
        <w:rPr>
          <w:szCs w:val="24"/>
        </w:rPr>
        <w:t xml:space="preserve">Hypersensitivity events were reported in 16% of patients treated with </w:t>
      </w:r>
      <w:r w:rsidR="008F5062" w:rsidRPr="007C47A4">
        <w:rPr>
          <w:szCs w:val="24"/>
        </w:rPr>
        <w:t>PLEGRIDY</w:t>
      </w:r>
      <w:r w:rsidRPr="007C47A4">
        <w:rPr>
          <w:szCs w:val="24"/>
        </w:rPr>
        <w:t xml:space="preserve"> 125 micrograms every 2 weeks and 14% of patients who received placebo. Less than 1% of </w:t>
      </w:r>
      <w:r w:rsidR="008F5062" w:rsidRPr="007C47A4">
        <w:rPr>
          <w:szCs w:val="24"/>
        </w:rPr>
        <w:t>PLEGRIDY</w:t>
      </w:r>
      <w:r w:rsidRPr="007C47A4">
        <w:rPr>
          <w:szCs w:val="24"/>
        </w:rPr>
        <w:t xml:space="preserve">-treated patients experienced a serious hypersensitivity event (e.g. angioedema, </w:t>
      </w:r>
      <w:proofErr w:type="spellStart"/>
      <w:r w:rsidRPr="007C47A4">
        <w:rPr>
          <w:szCs w:val="24"/>
        </w:rPr>
        <w:t>urticaria</w:t>
      </w:r>
      <w:proofErr w:type="spellEnd"/>
      <w:r w:rsidRPr="007C47A4">
        <w:rPr>
          <w:szCs w:val="24"/>
        </w:rPr>
        <w:t>) and they recovered promptly after treatment with anti-histamines and/or corticos</w:t>
      </w:r>
      <w:r w:rsidR="007F108B">
        <w:rPr>
          <w:szCs w:val="24"/>
        </w:rPr>
        <w:t xml:space="preserve">teroids. </w:t>
      </w:r>
    </w:p>
    <w:p w:rsidR="00BB352D" w:rsidRPr="00FF13B1" w:rsidRDefault="00BB352D" w:rsidP="00BB352D">
      <w:pPr>
        <w:pStyle w:val="PIHeading3"/>
      </w:pPr>
      <w:r w:rsidRPr="00FF13B1">
        <w:t>Depression and suicidal ideation</w:t>
      </w:r>
      <w:r w:rsidRPr="00FF13B1">
        <w:rPr>
          <w:i w:val="0"/>
        </w:rPr>
        <w:t xml:space="preserve"> </w:t>
      </w:r>
    </w:p>
    <w:p w:rsidR="00BB352D" w:rsidRPr="007C47A4" w:rsidRDefault="00BB352D" w:rsidP="00BB352D">
      <w:pPr>
        <w:pStyle w:val="PINormal"/>
        <w:rPr>
          <w:szCs w:val="24"/>
        </w:rPr>
      </w:pPr>
      <w:r w:rsidRPr="007C47A4">
        <w:rPr>
          <w:szCs w:val="24"/>
        </w:rPr>
        <w:t xml:space="preserve">The overall incidence of adverse events related to depression and suicidal ideation was 8% for both </w:t>
      </w:r>
      <w:r w:rsidR="008F5062" w:rsidRPr="007C47A4">
        <w:rPr>
          <w:szCs w:val="24"/>
        </w:rPr>
        <w:t>PLEGRIDY</w:t>
      </w:r>
      <w:r w:rsidRPr="007C47A4">
        <w:rPr>
          <w:szCs w:val="24"/>
        </w:rPr>
        <w:t xml:space="preserve"> 125 micrograms every 2 weeks and placebo groups. The incidence of serious events related to depression and suicidal ideation were similar and low (&lt;1%) in both </w:t>
      </w:r>
      <w:r w:rsidR="008F5062" w:rsidRPr="007C47A4">
        <w:rPr>
          <w:szCs w:val="24"/>
        </w:rPr>
        <w:t>PLEGRIDY</w:t>
      </w:r>
      <w:r w:rsidRPr="007C47A4">
        <w:rPr>
          <w:szCs w:val="24"/>
        </w:rPr>
        <w:t xml:space="preserve"> 125 micrograms every 2 weeks and placebo-treated patients. </w:t>
      </w:r>
    </w:p>
    <w:p w:rsidR="00BB352D" w:rsidRPr="00FF13B1" w:rsidRDefault="00BB352D" w:rsidP="00BB352D">
      <w:pPr>
        <w:pStyle w:val="PIHeading3"/>
      </w:pPr>
      <w:r w:rsidRPr="00FF13B1">
        <w:t xml:space="preserve">Seizure </w:t>
      </w:r>
    </w:p>
    <w:p w:rsidR="00BB352D" w:rsidRPr="007C47A4" w:rsidRDefault="00CC61C6" w:rsidP="00BB352D">
      <w:pPr>
        <w:pStyle w:val="PINormal"/>
        <w:rPr>
          <w:szCs w:val="24"/>
        </w:rPr>
      </w:pPr>
      <w:r w:rsidRPr="007C47A4">
        <w:rPr>
          <w:szCs w:val="24"/>
        </w:rPr>
        <w:t xml:space="preserve">The incidence of seizure events was low and comparable in patients receiving </w:t>
      </w:r>
      <w:r w:rsidR="008F5062" w:rsidRPr="007C47A4">
        <w:rPr>
          <w:szCs w:val="24"/>
        </w:rPr>
        <w:t>PLEGRIDY</w:t>
      </w:r>
      <w:r w:rsidRPr="007C47A4">
        <w:rPr>
          <w:szCs w:val="24"/>
        </w:rPr>
        <w:t xml:space="preserve"> (125 micrograms every 2 weeks) and placebo (&lt;1% in each group). </w:t>
      </w:r>
    </w:p>
    <w:p w:rsidR="00812C64" w:rsidRPr="00FF13B1" w:rsidRDefault="00812C64" w:rsidP="00CC1938">
      <w:pPr>
        <w:pStyle w:val="PIHeading2"/>
      </w:pPr>
      <w:r w:rsidRPr="00FF13B1">
        <w:t>Post-Marketing Experience</w:t>
      </w:r>
      <w:r w:rsidR="00EE1B2E" w:rsidRPr="00FF13B1">
        <w:t xml:space="preserve"> </w:t>
      </w:r>
    </w:p>
    <w:p w:rsidR="00EE1B2E" w:rsidRPr="007C47A4" w:rsidRDefault="00B90298" w:rsidP="00EE1B2E">
      <w:pPr>
        <w:pStyle w:val="PINormal"/>
        <w:rPr>
          <w:szCs w:val="24"/>
        </w:rPr>
      </w:pPr>
      <w:r w:rsidRPr="007C47A4">
        <w:rPr>
          <w:szCs w:val="24"/>
        </w:rPr>
        <w:t xml:space="preserve">Not applicable </w:t>
      </w:r>
    </w:p>
    <w:p w:rsidR="00812C64" w:rsidRPr="00FF13B1" w:rsidRDefault="00812C64" w:rsidP="00CC1938">
      <w:pPr>
        <w:pStyle w:val="PIHeading1"/>
      </w:pPr>
      <w:r w:rsidRPr="00FF13B1">
        <w:t>DOSAGE AND ADMINISTRATION</w:t>
      </w:r>
      <w:r w:rsidR="00EE1B2E" w:rsidRPr="00FF13B1">
        <w:t xml:space="preserve"> </w:t>
      </w:r>
    </w:p>
    <w:p w:rsidR="00F07210" w:rsidRPr="00FF13B1" w:rsidRDefault="00F07210" w:rsidP="00F07210">
      <w:pPr>
        <w:pStyle w:val="PINormal"/>
        <w:rPr>
          <w:szCs w:val="24"/>
          <w:lang w:val="en-US"/>
        </w:rPr>
      </w:pPr>
      <w:r w:rsidRPr="00FF13B1">
        <w:rPr>
          <w:szCs w:val="24"/>
          <w:lang w:val="en-US"/>
        </w:rPr>
        <w:t>PLEGRIDY is administered subcutaneously using a single-use pre-filled pen</w:t>
      </w:r>
      <w:r w:rsidR="00A938CE">
        <w:rPr>
          <w:szCs w:val="24"/>
          <w:lang w:val="en-US"/>
        </w:rPr>
        <w:t xml:space="preserve"> </w:t>
      </w:r>
      <w:r w:rsidR="00A938CE" w:rsidRPr="00FF13B1">
        <w:rPr>
          <w:szCs w:val="24"/>
          <w:lang w:val="en-US"/>
        </w:rPr>
        <w:t xml:space="preserve">or </w:t>
      </w:r>
      <w:r w:rsidR="00A938CE">
        <w:rPr>
          <w:szCs w:val="24"/>
          <w:lang w:val="en-US"/>
        </w:rPr>
        <w:t>single</w:t>
      </w:r>
      <w:r w:rsidR="00271415">
        <w:rPr>
          <w:szCs w:val="24"/>
          <w:lang w:val="en-US"/>
        </w:rPr>
        <w:t xml:space="preserve">-use </w:t>
      </w:r>
      <w:r w:rsidRPr="00FF13B1">
        <w:rPr>
          <w:szCs w:val="24"/>
          <w:lang w:val="en-US"/>
        </w:rPr>
        <w:t>pre-filled syringe.</w:t>
      </w:r>
    </w:p>
    <w:p w:rsidR="00F07210" w:rsidRPr="00FF13B1" w:rsidRDefault="00F07210" w:rsidP="00F07210">
      <w:pPr>
        <w:pStyle w:val="PINormal"/>
        <w:rPr>
          <w:szCs w:val="24"/>
          <w:lang w:val="en-US"/>
        </w:rPr>
      </w:pPr>
      <w:r w:rsidRPr="00FF13B1">
        <w:rPr>
          <w:szCs w:val="24"/>
          <w:lang w:val="en-US"/>
        </w:rPr>
        <w:t>The recommended dosage of PLEGRIDY is 125 micrograms injected subcutaneously every 2 weeks.</w:t>
      </w:r>
    </w:p>
    <w:p w:rsidR="00F07210" w:rsidRPr="00FF13B1" w:rsidRDefault="00F07210" w:rsidP="00F07210">
      <w:pPr>
        <w:pStyle w:val="PINormal"/>
        <w:rPr>
          <w:bCs/>
          <w:szCs w:val="24"/>
          <w:u w:val="single"/>
          <w:lang w:val="en-US"/>
        </w:rPr>
      </w:pPr>
      <w:r w:rsidRPr="00FF13B1">
        <w:rPr>
          <w:bCs/>
          <w:szCs w:val="24"/>
          <w:u w:val="single"/>
          <w:lang w:val="en-US"/>
        </w:rPr>
        <w:t xml:space="preserve">Treatment initiation </w:t>
      </w:r>
    </w:p>
    <w:p w:rsidR="00F07210" w:rsidRPr="00FF13B1" w:rsidRDefault="00F07210" w:rsidP="00F07210">
      <w:pPr>
        <w:pStyle w:val="PINormal"/>
        <w:rPr>
          <w:bCs/>
          <w:szCs w:val="24"/>
          <w:lang w:val="en-US"/>
        </w:rPr>
      </w:pPr>
      <w:r w:rsidRPr="00FF13B1">
        <w:rPr>
          <w:bCs/>
          <w:szCs w:val="24"/>
          <w:lang w:val="en-US"/>
        </w:rPr>
        <w:t>It is generally recommended that patients start treatment with  63 micrograms at dose 1</w:t>
      </w:r>
      <w:r w:rsidR="00EE2008">
        <w:rPr>
          <w:bCs/>
          <w:szCs w:val="24"/>
          <w:lang w:val="en-US"/>
        </w:rPr>
        <w:t xml:space="preserve"> (day 0)</w:t>
      </w:r>
      <w:r w:rsidRPr="00FF13B1">
        <w:rPr>
          <w:bCs/>
          <w:szCs w:val="24"/>
          <w:lang w:val="en-US"/>
        </w:rPr>
        <w:t>, increasing to 94 micrograms at dose 2</w:t>
      </w:r>
      <w:r w:rsidR="00EE2008">
        <w:rPr>
          <w:bCs/>
          <w:szCs w:val="24"/>
          <w:lang w:val="en-US"/>
        </w:rPr>
        <w:t xml:space="preserve"> (day 14)</w:t>
      </w:r>
      <w:r w:rsidRPr="00FF13B1">
        <w:rPr>
          <w:bCs/>
          <w:szCs w:val="24"/>
          <w:lang w:val="en-US"/>
        </w:rPr>
        <w:t>, reaching the full dose of 125 micrograms by dose 3</w:t>
      </w:r>
      <w:r w:rsidR="00EE2008">
        <w:rPr>
          <w:bCs/>
          <w:szCs w:val="24"/>
          <w:lang w:val="en-US"/>
        </w:rPr>
        <w:t xml:space="preserve"> (day 28)</w:t>
      </w:r>
      <w:r w:rsidRPr="00FF13B1">
        <w:rPr>
          <w:bCs/>
          <w:szCs w:val="24"/>
          <w:lang w:val="en-US"/>
        </w:rPr>
        <w:t xml:space="preserve"> and continuing with the full dose (125 micrograms) every </w:t>
      </w:r>
      <w:r w:rsidR="00EE2008">
        <w:rPr>
          <w:bCs/>
          <w:szCs w:val="24"/>
          <w:lang w:val="en-US"/>
        </w:rPr>
        <w:t>14 days (</w:t>
      </w:r>
      <w:r w:rsidRPr="00FF13B1">
        <w:rPr>
          <w:bCs/>
          <w:szCs w:val="24"/>
          <w:lang w:val="en-US"/>
        </w:rPr>
        <w:t>2 weeks</w:t>
      </w:r>
      <w:r w:rsidR="00EE2008">
        <w:rPr>
          <w:bCs/>
          <w:szCs w:val="24"/>
          <w:lang w:val="en-US"/>
        </w:rPr>
        <w:t>)</w:t>
      </w:r>
      <w:r w:rsidRPr="00FF13B1">
        <w:rPr>
          <w:bCs/>
          <w:szCs w:val="24"/>
          <w:lang w:val="en-US"/>
        </w:rPr>
        <w:t xml:space="preserve"> thereafter (see </w:t>
      </w:r>
      <w:r w:rsidR="00F241F6">
        <w:rPr>
          <w:bCs/>
          <w:szCs w:val="24"/>
          <w:lang w:val="en-US"/>
        </w:rPr>
        <w:t>T</w:t>
      </w:r>
      <w:r w:rsidRPr="00FF13B1">
        <w:rPr>
          <w:bCs/>
          <w:szCs w:val="24"/>
          <w:lang w:val="en-US"/>
        </w:rPr>
        <w:t xml:space="preserve">able </w:t>
      </w:r>
      <w:r w:rsidR="00F241F6">
        <w:rPr>
          <w:bCs/>
          <w:szCs w:val="24"/>
          <w:lang w:val="en-US"/>
        </w:rPr>
        <w:t>3</w:t>
      </w:r>
      <w:r w:rsidRPr="00FF13B1">
        <w:rPr>
          <w:bCs/>
          <w:szCs w:val="24"/>
          <w:lang w:val="en-US"/>
        </w:rPr>
        <w:t xml:space="preserve">).  </w:t>
      </w:r>
    </w:p>
    <w:p w:rsidR="00F07210" w:rsidRPr="00A938CE" w:rsidRDefault="00F07210" w:rsidP="00F07210">
      <w:pPr>
        <w:pStyle w:val="PINormal"/>
        <w:rPr>
          <w:b/>
          <w:bCs/>
          <w:szCs w:val="24"/>
          <w:lang w:val="en-US"/>
        </w:rPr>
      </w:pPr>
      <w:r w:rsidRPr="00312C3E">
        <w:rPr>
          <w:b/>
          <w:bCs/>
          <w:szCs w:val="24"/>
          <w:lang w:val="en-US"/>
        </w:rPr>
        <w:t xml:space="preserve">Table </w:t>
      </w:r>
      <w:r w:rsidR="00F241F6" w:rsidRPr="00312C3E">
        <w:rPr>
          <w:b/>
          <w:bCs/>
          <w:szCs w:val="24"/>
          <w:lang w:val="en-US"/>
        </w:rPr>
        <w:t>3</w:t>
      </w:r>
      <w:r w:rsidRPr="00A938CE">
        <w:rPr>
          <w:b/>
          <w:bCs/>
          <w:szCs w:val="24"/>
          <w:lang w:val="en-US"/>
        </w:rPr>
        <w:t>: Titration Schedule at Initiation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521"/>
        <w:gridCol w:w="2746"/>
        <w:gridCol w:w="2845"/>
      </w:tblGrid>
      <w:tr w:rsidR="00F07210" w:rsidRPr="00FF13B1" w:rsidTr="00F07210">
        <w:tc>
          <w:tcPr>
            <w:tcW w:w="1422" w:type="dxa"/>
            <w:shd w:val="clear" w:color="auto" w:fill="auto"/>
          </w:tcPr>
          <w:p w:rsidR="00F07210" w:rsidRPr="00FF13B1" w:rsidRDefault="00F07210" w:rsidP="00F07210">
            <w:pPr>
              <w:pStyle w:val="PINormal"/>
              <w:rPr>
                <w:bCs/>
                <w:szCs w:val="24"/>
                <w:lang w:val="en-US"/>
              </w:rPr>
            </w:pPr>
            <w:r w:rsidRPr="00FF13B1">
              <w:rPr>
                <w:bCs/>
                <w:szCs w:val="24"/>
                <w:lang w:val="en-US"/>
              </w:rPr>
              <w:t>Dose</w:t>
            </w:r>
          </w:p>
        </w:tc>
        <w:tc>
          <w:tcPr>
            <w:tcW w:w="1521" w:type="dxa"/>
            <w:shd w:val="clear" w:color="auto" w:fill="auto"/>
          </w:tcPr>
          <w:p w:rsidR="00F07210" w:rsidRPr="00FF13B1" w:rsidRDefault="00F07210" w:rsidP="00F07210">
            <w:pPr>
              <w:pStyle w:val="PINormal"/>
              <w:rPr>
                <w:bCs/>
                <w:szCs w:val="24"/>
                <w:lang w:val="en-US"/>
              </w:rPr>
            </w:pPr>
            <w:r w:rsidRPr="00FF13B1">
              <w:rPr>
                <w:bCs/>
                <w:szCs w:val="24"/>
                <w:lang w:val="en-US"/>
              </w:rPr>
              <w:t>Time*</w:t>
            </w:r>
          </w:p>
        </w:tc>
        <w:tc>
          <w:tcPr>
            <w:tcW w:w="2746" w:type="dxa"/>
            <w:shd w:val="clear" w:color="auto" w:fill="auto"/>
          </w:tcPr>
          <w:p w:rsidR="00F07210" w:rsidRPr="00FF13B1" w:rsidRDefault="00F07210" w:rsidP="00F07210">
            <w:pPr>
              <w:pStyle w:val="PINormal"/>
              <w:rPr>
                <w:bCs/>
                <w:szCs w:val="24"/>
                <w:lang w:val="en-US"/>
              </w:rPr>
            </w:pPr>
            <w:r w:rsidRPr="00FF13B1">
              <w:rPr>
                <w:bCs/>
                <w:szCs w:val="24"/>
                <w:lang w:val="en-US"/>
              </w:rPr>
              <w:t>Amount (micrograms)</w:t>
            </w:r>
          </w:p>
        </w:tc>
        <w:tc>
          <w:tcPr>
            <w:tcW w:w="2845" w:type="dxa"/>
          </w:tcPr>
          <w:p w:rsidR="00F07210" w:rsidRPr="00FF13B1" w:rsidRDefault="00F07210" w:rsidP="00F07210">
            <w:pPr>
              <w:pStyle w:val="PINormal"/>
              <w:rPr>
                <w:bCs/>
                <w:szCs w:val="24"/>
                <w:lang w:val="en-US"/>
              </w:rPr>
            </w:pPr>
            <w:r w:rsidRPr="00FF13B1">
              <w:rPr>
                <w:bCs/>
                <w:szCs w:val="24"/>
                <w:lang w:val="en-US"/>
              </w:rPr>
              <w:t>Pen/Syringe label</w:t>
            </w:r>
          </w:p>
        </w:tc>
      </w:tr>
      <w:tr w:rsidR="00F07210" w:rsidRPr="00FF13B1" w:rsidTr="00F07210">
        <w:tc>
          <w:tcPr>
            <w:tcW w:w="1422"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Dose 1 </w:t>
            </w:r>
          </w:p>
        </w:tc>
        <w:tc>
          <w:tcPr>
            <w:tcW w:w="1521" w:type="dxa"/>
            <w:shd w:val="clear" w:color="auto" w:fill="auto"/>
          </w:tcPr>
          <w:p w:rsidR="00F07210" w:rsidRPr="00FF13B1" w:rsidRDefault="00F07210" w:rsidP="003F2DAC">
            <w:pPr>
              <w:pStyle w:val="PINormal"/>
              <w:rPr>
                <w:bCs/>
                <w:szCs w:val="24"/>
                <w:lang w:val="en-US"/>
              </w:rPr>
            </w:pPr>
            <w:r w:rsidRPr="00FF13B1">
              <w:rPr>
                <w:bCs/>
                <w:szCs w:val="24"/>
                <w:lang w:val="en-US"/>
              </w:rPr>
              <w:t xml:space="preserve"> Day </w:t>
            </w:r>
            <w:r w:rsidR="003F2DAC">
              <w:rPr>
                <w:bCs/>
                <w:szCs w:val="24"/>
                <w:lang w:val="en-US"/>
              </w:rPr>
              <w:t>0</w:t>
            </w:r>
          </w:p>
        </w:tc>
        <w:tc>
          <w:tcPr>
            <w:tcW w:w="2746"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63 </w:t>
            </w:r>
          </w:p>
        </w:tc>
        <w:tc>
          <w:tcPr>
            <w:tcW w:w="2845" w:type="dxa"/>
          </w:tcPr>
          <w:p w:rsidR="00F07210" w:rsidRPr="00FF13B1" w:rsidRDefault="00F07210" w:rsidP="00F07210">
            <w:pPr>
              <w:pStyle w:val="PINormal"/>
              <w:rPr>
                <w:bCs/>
                <w:szCs w:val="24"/>
                <w:lang w:val="en-US"/>
              </w:rPr>
            </w:pPr>
            <w:r w:rsidRPr="00FF13B1">
              <w:rPr>
                <w:bCs/>
                <w:szCs w:val="24"/>
                <w:lang w:val="en-US"/>
              </w:rPr>
              <w:t xml:space="preserve">Orange </w:t>
            </w:r>
          </w:p>
        </w:tc>
      </w:tr>
      <w:tr w:rsidR="00F07210" w:rsidRPr="00FF13B1" w:rsidTr="00F07210">
        <w:tc>
          <w:tcPr>
            <w:tcW w:w="1422"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Dose 2 </w:t>
            </w:r>
          </w:p>
        </w:tc>
        <w:tc>
          <w:tcPr>
            <w:tcW w:w="1521" w:type="dxa"/>
            <w:shd w:val="clear" w:color="auto" w:fill="auto"/>
          </w:tcPr>
          <w:p w:rsidR="00F07210" w:rsidRPr="00FF13B1" w:rsidRDefault="007A2EAD" w:rsidP="00F07210">
            <w:pPr>
              <w:pStyle w:val="PINormal"/>
              <w:rPr>
                <w:bCs/>
                <w:szCs w:val="24"/>
                <w:lang w:val="en-US"/>
              </w:rPr>
            </w:pPr>
            <w:r>
              <w:rPr>
                <w:bCs/>
                <w:szCs w:val="24"/>
                <w:lang w:val="en-US"/>
              </w:rPr>
              <w:t>Day 14</w:t>
            </w:r>
          </w:p>
        </w:tc>
        <w:tc>
          <w:tcPr>
            <w:tcW w:w="2746"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94 </w:t>
            </w:r>
          </w:p>
        </w:tc>
        <w:tc>
          <w:tcPr>
            <w:tcW w:w="2845" w:type="dxa"/>
          </w:tcPr>
          <w:p w:rsidR="00F07210" w:rsidRPr="00FF13B1" w:rsidRDefault="00F07210" w:rsidP="00F07210">
            <w:pPr>
              <w:pStyle w:val="PINormal"/>
              <w:rPr>
                <w:bCs/>
                <w:szCs w:val="24"/>
                <w:lang w:val="en-US"/>
              </w:rPr>
            </w:pPr>
            <w:r w:rsidRPr="00FF13B1">
              <w:rPr>
                <w:bCs/>
                <w:szCs w:val="24"/>
                <w:lang w:val="en-US"/>
              </w:rPr>
              <w:t>Blue</w:t>
            </w:r>
          </w:p>
        </w:tc>
      </w:tr>
      <w:tr w:rsidR="00F07210" w:rsidRPr="00FF13B1" w:rsidTr="00F07210">
        <w:tc>
          <w:tcPr>
            <w:tcW w:w="1422"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Dose 3 </w:t>
            </w:r>
          </w:p>
        </w:tc>
        <w:tc>
          <w:tcPr>
            <w:tcW w:w="1521" w:type="dxa"/>
            <w:shd w:val="clear" w:color="auto" w:fill="auto"/>
          </w:tcPr>
          <w:p w:rsidR="00F07210" w:rsidRPr="00FF13B1" w:rsidRDefault="007A2EAD" w:rsidP="00265AE5">
            <w:pPr>
              <w:pStyle w:val="PINormal"/>
              <w:rPr>
                <w:bCs/>
                <w:szCs w:val="24"/>
                <w:lang w:val="en-US"/>
              </w:rPr>
            </w:pPr>
            <w:r>
              <w:rPr>
                <w:bCs/>
                <w:szCs w:val="24"/>
                <w:lang w:val="en-US"/>
              </w:rPr>
              <w:t>Day 2</w:t>
            </w:r>
            <w:r w:rsidR="00265AE5">
              <w:rPr>
                <w:bCs/>
                <w:szCs w:val="24"/>
                <w:lang w:val="en-US"/>
              </w:rPr>
              <w:t>8</w:t>
            </w:r>
            <w:r>
              <w:rPr>
                <w:bCs/>
                <w:szCs w:val="24"/>
                <w:lang w:val="en-US"/>
              </w:rPr>
              <w:t xml:space="preserve"> </w:t>
            </w:r>
          </w:p>
        </w:tc>
        <w:tc>
          <w:tcPr>
            <w:tcW w:w="2746" w:type="dxa"/>
            <w:shd w:val="clear" w:color="auto" w:fill="auto"/>
          </w:tcPr>
          <w:p w:rsidR="00F07210" w:rsidRPr="00FF13B1" w:rsidRDefault="00F07210" w:rsidP="00F07210">
            <w:pPr>
              <w:pStyle w:val="PINormal"/>
              <w:rPr>
                <w:bCs/>
                <w:szCs w:val="24"/>
                <w:lang w:val="en-US"/>
              </w:rPr>
            </w:pPr>
            <w:r w:rsidRPr="00FF13B1">
              <w:rPr>
                <w:bCs/>
                <w:szCs w:val="24"/>
                <w:lang w:val="en-US"/>
              </w:rPr>
              <w:t xml:space="preserve">125 (full dose) </w:t>
            </w:r>
          </w:p>
        </w:tc>
        <w:tc>
          <w:tcPr>
            <w:tcW w:w="2845" w:type="dxa"/>
          </w:tcPr>
          <w:p w:rsidR="00F07210" w:rsidRPr="00FF13B1" w:rsidRDefault="00F07210" w:rsidP="00F07210">
            <w:pPr>
              <w:pStyle w:val="PINormal"/>
              <w:rPr>
                <w:bCs/>
                <w:szCs w:val="24"/>
                <w:lang w:val="en-US"/>
              </w:rPr>
            </w:pPr>
            <w:r w:rsidRPr="00FF13B1">
              <w:rPr>
                <w:bCs/>
                <w:szCs w:val="24"/>
                <w:lang w:val="en-US"/>
              </w:rPr>
              <w:t>Grey</w:t>
            </w:r>
          </w:p>
        </w:tc>
      </w:tr>
    </w:tbl>
    <w:p w:rsidR="00F07210" w:rsidRPr="00FF13B1" w:rsidRDefault="00F07210" w:rsidP="00F07210">
      <w:pPr>
        <w:pStyle w:val="PINormal"/>
        <w:rPr>
          <w:bCs/>
          <w:szCs w:val="24"/>
          <w:lang w:val="en-US"/>
        </w:rPr>
      </w:pPr>
      <w:r w:rsidRPr="00FF13B1">
        <w:rPr>
          <w:bCs/>
          <w:szCs w:val="24"/>
          <w:lang w:val="en-US"/>
        </w:rPr>
        <w:t xml:space="preserve">*Dosed every </w:t>
      </w:r>
      <w:r w:rsidR="003F2DAC">
        <w:rPr>
          <w:bCs/>
          <w:szCs w:val="24"/>
          <w:lang w:val="en-US"/>
        </w:rPr>
        <w:t>14 days (</w:t>
      </w:r>
      <w:r w:rsidRPr="00FF13B1">
        <w:rPr>
          <w:bCs/>
          <w:szCs w:val="24"/>
          <w:lang w:val="en-US"/>
        </w:rPr>
        <w:t>2 weeks</w:t>
      </w:r>
      <w:r w:rsidR="003F2DAC">
        <w:rPr>
          <w:bCs/>
          <w:szCs w:val="24"/>
          <w:lang w:val="en-US"/>
        </w:rPr>
        <w:t>)</w:t>
      </w:r>
    </w:p>
    <w:p w:rsidR="00F07210" w:rsidRPr="00FF13B1" w:rsidRDefault="00F07210" w:rsidP="00F07210">
      <w:pPr>
        <w:pStyle w:val="PINormal"/>
        <w:rPr>
          <w:bCs/>
          <w:szCs w:val="24"/>
          <w:lang w:val="en-US"/>
        </w:rPr>
      </w:pPr>
      <w:r w:rsidRPr="00FF13B1">
        <w:rPr>
          <w:bCs/>
          <w:szCs w:val="24"/>
          <w:lang w:val="en-US"/>
        </w:rPr>
        <w:lastRenderedPageBreak/>
        <w:t xml:space="preserve">A </w:t>
      </w:r>
      <w:r w:rsidR="00D925E3">
        <w:rPr>
          <w:bCs/>
          <w:szCs w:val="24"/>
          <w:lang w:val="en-US"/>
        </w:rPr>
        <w:t>Titration</w:t>
      </w:r>
      <w:r w:rsidRPr="00FF13B1">
        <w:rPr>
          <w:bCs/>
          <w:szCs w:val="24"/>
          <w:lang w:val="en-US"/>
        </w:rPr>
        <w:t xml:space="preserve"> Pack is available containing the 63 micrograms (dose 1</w:t>
      </w:r>
      <w:r w:rsidR="00A0674E">
        <w:rPr>
          <w:bCs/>
          <w:szCs w:val="24"/>
          <w:lang w:val="en-US"/>
        </w:rPr>
        <w:t>, orange label</w:t>
      </w:r>
      <w:r w:rsidRPr="00FF13B1">
        <w:rPr>
          <w:bCs/>
          <w:szCs w:val="24"/>
          <w:lang w:val="en-US"/>
        </w:rPr>
        <w:t>) and 94 micrograms (dose 2</w:t>
      </w:r>
      <w:r w:rsidR="00A0674E">
        <w:rPr>
          <w:bCs/>
          <w:szCs w:val="24"/>
          <w:lang w:val="en-US"/>
        </w:rPr>
        <w:t>, blue label</w:t>
      </w:r>
      <w:r w:rsidRPr="00FF13B1">
        <w:rPr>
          <w:bCs/>
          <w:szCs w:val="24"/>
          <w:lang w:val="en-US"/>
        </w:rPr>
        <w:t>) syringes/pens.</w:t>
      </w:r>
    </w:p>
    <w:p w:rsidR="00F07210" w:rsidRPr="00FF13B1" w:rsidRDefault="00F07210" w:rsidP="00F07210">
      <w:pPr>
        <w:pStyle w:val="PINormal"/>
        <w:rPr>
          <w:bCs/>
          <w:szCs w:val="24"/>
          <w:lang w:val="en-US"/>
        </w:rPr>
      </w:pPr>
      <w:r w:rsidRPr="00FF13B1">
        <w:rPr>
          <w:bCs/>
          <w:szCs w:val="24"/>
          <w:lang w:val="en-US"/>
        </w:rPr>
        <w:t>It is recommended that a health care professional trains patients in the proper technique for self-administering subcutaneous injections using the pre-filled pen/syringe. Patients should be advised to rotate sites for subcutaneous injections. The usual sites for subcutaneous injections include abdomen, arm, and thigh.</w:t>
      </w:r>
    </w:p>
    <w:p w:rsidR="00265AE5" w:rsidRPr="003F2DAC" w:rsidRDefault="00265AE5" w:rsidP="00265AE5">
      <w:pPr>
        <w:pStyle w:val="PINormal"/>
        <w:rPr>
          <w:bCs/>
          <w:szCs w:val="24"/>
          <w:lang w:val="en-US"/>
        </w:rPr>
      </w:pPr>
      <w:r w:rsidRPr="003F2DAC">
        <w:rPr>
          <w:bCs/>
          <w:szCs w:val="24"/>
          <w:lang w:val="en-US"/>
        </w:rPr>
        <w:t xml:space="preserve">If a dose </w:t>
      </w:r>
      <w:r>
        <w:rPr>
          <w:bCs/>
          <w:szCs w:val="24"/>
          <w:lang w:val="en-US"/>
        </w:rPr>
        <w:t>of PLEGRIDY</w:t>
      </w:r>
      <w:r w:rsidRPr="003F2DAC">
        <w:rPr>
          <w:bCs/>
          <w:szCs w:val="24"/>
          <w:lang w:val="en-US"/>
        </w:rPr>
        <w:t xml:space="preserve"> is missed, it should be administered as soon as possible.  </w:t>
      </w:r>
    </w:p>
    <w:p w:rsidR="00265AE5" w:rsidRPr="003F2DAC" w:rsidRDefault="00265AE5" w:rsidP="00265AE5">
      <w:pPr>
        <w:pStyle w:val="PINormal"/>
        <w:rPr>
          <w:bCs/>
          <w:szCs w:val="24"/>
          <w:lang w:val="en-US"/>
        </w:rPr>
      </w:pPr>
      <w:r w:rsidRPr="003F2DAC">
        <w:rPr>
          <w:bCs/>
          <w:szCs w:val="24"/>
          <w:lang w:val="en-US"/>
        </w:rPr>
        <w:t>• If 7 days or more to the next planned dose: Patients should administer their missed dose immediately. Treatment can then continue with the next scheduled dose as planned.</w:t>
      </w:r>
    </w:p>
    <w:p w:rsidR="00265AE5" w:rsidRDefault="00265AE5" w:rsidP="00265AE5">
      <w:pPr>
        <w:pStyle w:val="PINormal"/>
        <w:rPr>
          <w:bCs/>
          <w:szCs w:val="24"/>
          <w:lang w:val="en-US"/>
        </w:rPr>
      </w:pPr>
      <w:r w:rsidRPr="003F2DAC">
        <w:rPr>
          <w:bCs/>
          <w:szCs w:val="24"/>
          <w:lang w:val="en-US"/>
        </w:rPr>
        <w:t xml:space="preserve">• If less than 7 days to the next planned dose: Patients should begin a new 2 week dosing schedule starting from when they administer their missed dose. A patient should not administer two doses of </w:t>
      </w:r>
      <w:proofErr w:type="spellStart"/>
      <w:r w:rsidRPr="003F2DAC">
        <w:rPr>
          <w:bCs/>
          <w:szCs w:val="24"/>
          <w:lang w:val="en-US"/>
        </w:rPr>
        <w:t>Plegridy</w:t>
      </w:r>
      <w:proofErr w:type="spellEnd"/>
      <w:r w:rsidRPr="003F2DAC">
        <w:rPr>
          <w:bCs/>
          <w:szCs w:val="24"/>
          <w:lang w:val="en-US"/>
        </w:rPr>
        <w:t xml:space="preserve"> within 7 days of each other.</w:t>
      </w:r>
    </w:p>
    <w:p w:rsidR="00F07210" w:rsidRPr="00FF13B1" w:rsidRDefault="00F07210" w:rsidP="00F07210">
      <w:pPr>
        <w:pStyle w:val="PINormal"/>
        <w:rPr>
          <w:bCs/>
          <w:szCs w:val="24"/>
          <w:lang w:val="en-US"/>
        </w:rPr>
      </w:pPr>
      <w:r w:rsidRPr="00FF13B1">
        <w:rPr>
          <w:bCs/>
          <w:szCs w:val="24"/>
          <w:lang w:val="en-US"/>
        </w:rPr>
        <w:t xml:space="preserve">Each </w:t>
      </w:r>
      <w:r w:rsidRPr="00FF13B1">
        <w:rPr>
          <w:szCs w:val="24"/>
          <w:lang w:val="en-US"/>
        </w:rPr>
        <w:t>PLEGRIDY</w:t>
      </w:r>
      <w:r w:rsidRPr="00FF13B1">
        <w:rPr>
          <w:bCs/>
          <w:szCs w:val="24"/>
          <w:lang w:val="en-US"/>
        </w:rPr>
        <w:t xml:space="preserve"> pre-filled pen/syringe is provided with the needle pre-attached. Pre-filled pens/syringes are for single use only and should be discarded after use.</w:t>
      </w:r>
    </w:p>
    <w:p w:rsidR="00F07210" w:rsidRPr="00FF13B1" w:rsidRDefault="00F07210" w:rsidP="00F07210">
      <w:pPr>
        <w:pStyle w:val="PINormal"/>
        <w:rPr>
          <w:bCs/>
          <w:szCs w:val="24"/>
          <w:lang w:val="en-US"/>
        </w:rPr>
      </w:pPr>
      <w:r w:rsidRPr="00FF13B1">
        <w:rPr>
          <w:bCs/>
          <w:szCs w:val="24"/>
          <w:lang w:val="en-US"/>
        </w:rPr>
        <w:t xml:space="preserve">Dose titration at the initiation of treatment may help to ameliorate flu-like symptoms that can occur at treatment initiation with </w:t>
      </w:r>
      <w:proofErr w:type="spellStart"/>
      <w:r w:rsidRPr="00FF13B1">
        <w:rPr>
          <w:bCs/>
          <w:szCs w:val="24"/>
          <w:lang w:val="en-US"/>
        </w:rPr>
        <w:t>interferons</w:t>
      </w:r>
      <w:proofErr w:type="spellEnd"/>
      <w:r w:rsidRPr="00FF13B1">
        <w:rPr>
          <w:bCs/>
          <w:szCs w:val="24"/>
          <w:lang w:val="en-US"/>
        </w:rPr>
        <w:t>. Prophylactic and concurrent use of analgesics and/or antipyretics may prevent or ameliorate flu-like symptoms sometimes experienced during interferon treatment.</w:t>
      </w:r>
    </w:p>
    <w:p w:rsidR="00812C64" w:rsidRPr="00FF13B1" w:rsidRDefault="00812C64" w:rsidP="00CC1938">
      <w:pPr>
        <w:pStyle w:val="PIHeading2"/>
      </w:pPr>
      <w:r w:rsidRPr="00FF13B1">
        <w:t>Children and Adolescents</w:t>
      </w:r>
      <w:r w:rsidR="003233A7" w:rsidRPr="00FF13B1">
        <w:t xml:space="preserve"> </w:t>
      </w:r>
    </w:p>
    <w:p w:rsidR="003233A7" w:rsidRPr="007C47A4" w:rsidRDefault="00EF11FD" w:rsidP="003233A7">
      <w:pPr>
        <w:pStyle w:val="PINormal"/>
        <w:rPr>
          <w:szCs w:val="24"/>
        </w:rPr>
      </w:pPr>
      <w:r w:rsidRPr="007C47A4">
        <w:rPr>
          <w:szCs w:val="24"/>
        </w:rPr>
        <w:t xml:space="preserve">The safety and efficacy of PLEGRIDY in patients below 18 years of age has not been studied. </w:t>
      </w:r>
    </w:p>
    <w:p w:rsidR="006444C6" w:rsidRPr="00FF13B1" w:rsidRDefault="006444C6" w:rsidP="006444C6">
      <w:pPr>
        <w:pStyle w:val="PIHeading2"/>
      </w:pPr>
      <w:r w:rsidRPr="00FF13B1">
        <w:t xml:space="preserve">Dosage Adjustment in Renal Impairment </w:t>
      </w:r>
    </w:p>
    <w:p w:rsidR="006444C6" w:rsidRPr="007C47A4" w:rsidRDefault="00EF11FD" w:rsidP="006444C6">
      <w:pPr>
        <w:pStyle w:val="PINormal"/>
        <w:rPr>
          <w:szCs w:val="24"/>
        </w:rPr>
      </w:pPr>
      <w:r w:rsidRPr="007C47A4">
        <w:rPr>
          <w:szCs w:val="24"/>
        </w:rPr>
        <w:t>No dosage adjustments are necessary in patients with renal impairment based on study data in mild, moderate, and severe renal impairment and end stage renal disease. (</w:t>
      </w:r>
      <w:r w:rsidR="00D864AA" w:rsidRPr="000D2AC8">
        <w:rPr>
          <w:szCs w:val="24"/>
        </w:rPr>
        <w:t xml:space="preserve">See PRECAUTIONS </w:t>
      </w:r>
      <w:r w:rsidRPr="000D2AC8">
        <w:rPr>
          <w:szCs w:val="24"/>
        </w:rPr>
        <w:t xml:space="preserve">and </w:t>
      </w:r>
      <w:r w:rsidR="00D864AA" w:rsidRPr="000D2AC8">
        <w:rPr>
          <w:szCs w:val="24"/>
        </w:rPr>
        <w:t>Pharmacokinetics</w:t>
      </w:r>
      <w:r w:rsidRPr="000D2AC8">
        <w:rPr>
          <w:szCs w:val="24"/>
        </w:rPr>
        <w:t>)</w:t>
      </w:r>
      <w:r w:rsidRPr="007C47A4">
        <w:rPr>
          <w:szCs w:val="24"/>
        </w:rPr>
        <w:t xml:space="preserve"> </w:t>
      </w:r>
    </w:p>
    <w:p w:rsidR="006444C6" w:rsidRPr="00FF13B1" w:rsidRDefault="006444C6" w:rsidP="006444C6">
      <w:pPr>
        <w:pStyle w:val="PIHeading2"/>
      </w:pPr>
      <w:r w:rsidRPr="00FF13B1">
        <w:t xml:space="preserve">Dosage Adjustment in Hepatic Impairment </w:t>
      </w:r>
    </w:p>
    <w:p w:rsidR="006444C6" w:rsidRPr="007C47A4" w:rsidRDefault="00EF11FD" w:rsidP="006444C6">
      <w:pPr>
        <w:pStyle w:val="PINormal"/>
        <w:rPr>
          <w:szCs w:val="24"/>
        </w:rPr>
      </w:pPr>
      <w:r w:rsidRPr="007C47A4">
        <w:rPr>
          <w:szCs w:val="24"/>
        </w:rPr>
        <w:t>PLEGRIDY has not been studied in patients with hepatic impairment. (</w:t>
      </w:r>
      <w:r w:rsidR="000D2AC8" w:rsidRPr="000D2AC8">
        <w:rPr>
          <w:szCs w:val="24"/>
        </w:rPr>
        <w:t>See PRECAUTIONS and Pharmacokinetics</w:t>
      </w:r>
      <w:r w:rsidRPr="000D2AC8">
        <w:rPr>
          <w:szCs w:val="24"/>
        </w:rPr>
        <w:t>)</w:t>
      </w:r>
      <w:r w:rsidRPr="007C47A4">
        <w:rPr>
          <w:szCs w:val="24"/>
        </w:rPr>
        <w:t xml:space="preserve"> </w:t>
      </w:r>
    </w:p>
    <w:p w:rsidR="006444C6" w:rsidRPr="00FF13B1" w:rsidRDefault="006444C6" w:rsidP="006444C6">
      <w:pPr>
        <w:pStyle w:val="PIHeading2"/>
      </w:pPr>
      <w:r w:rsidRPr="00FF13B1">
        <w:t>Dosage Adjustmen</w:t>
      </w:r>
      <w:r w:rsidR="00EF11FD" w:rsidRPr="00FF13B1">
        <w:t>t in the Elderly</w:t>
      </w:r>
    </w:p>
    <w:p w:rsidR="006444C6" w:rsidRPr="007C47A4" w:rsidRDefault="00EF11FD" w:rsidP="006444C6">
      <w:pPr>
        <w:pStyle w:val="PINormal"/>
        <w:rPr>
          <w:szCs w:val="24"/>
        </w:rPr>
      </w:pPr>
      <w:r w:rsidRPr="007C47A4">
        <w:rPr>
          <w:szCs w:val="24"/>
        </w:rPr>
        <w:t xml:space="preserve">The safety and efficacy of PLEGRIDY in patients over the age of 65 have not been sufficiently studied due to the limited number of such patients included in clinical trials. </w:t>
      </w:r>
    </w:p>
    <w:p w:rsidR="00812C64" w:rsidRPr="00FF13B1" w:rsidRDefault="00812C64" w:rsidP="00CC1938">
      <w:pPr>
        <w:pStyle w:val="PIHeading1"/>
      </w:pPr>
      <w:r w:rsidRPr="00FF13B1">
        <w:t>OVERDOSAGE</w:t>
      </w:r>
      <w:r w:rsidR="003233A7" w:rsidRPr="00FF13B1">
        <w:t xml:space="preserve"> </w:t>
      </w:r>
    </w:p>
    <w:p w:rsidR="003233A7" w:rsidRPr="007C47A4" w:rsidRDefault="00B90298" w:rsidP="003233A7">
      <w:pPr>
        <w:pStyle w:val="PINormal"/>
        <w:rPr>
          <w:szCs w:val="24"/>
        </w:rPr>
      </w:pPr>
      <w:r w:rsidRPr="007C47A4">
        <w:rPr>
          <w:szCs w:val="24"/>
        </w:rPr>
        <w:t xml:space="preserve">No case of overdose has been reported. In case of over-dosage, appropriate supportive treatment should be given. </w:t>
      </w:r>
    </w:p>
    <w:p w:rsidR="00CC61C6" w:rsidRPr="007C47A4" w:rsidRDefault="00CC61C6" w:rsidP="003233A7">
      <w:pPr>
        <w:pStyle w:val="PINormal"/>
        <w:rPr>
          <w:szCs w:val="24"/>
        </w:rPr>
      </w:pPr>
      <w:r w:rsidRPr="007C47A4">
        <w:rPr>
          <w:szCs w:val="24"/>
        </w:rPr>
        <w:t xml:space="preserve">Contact the Poisons Information Centre on 13 11 26 for advice on management of </w:t>
      </w:r>
      <w:proofErr w:type="spellStart"/>
      <w:r w:rsidRPr="007C47A4">
        <w:rPr>
          <w:szCs w:val="24"/>
        </w:rPr>
        <w:t>overdosage</w:t>
      </w:r>
      <w:proofErr w:type="spellEnd"/>
      <w:r w:rsidRPr="007C47A4">
        <w:rPr>
          <w:szCs w:val="24"/>
        </w:rPr>
        <w:t>.</w:t>
      </w:r>
    </w:p>
    <w:p w:rsidR="00812C64" w:rsidRPr="00FF13B1" w:rsidRDefault="00812C64" w:rsidP="00CC1938">
      <w:pPr>
        <w:pStyle w:val="PIHeading1"/>
      </w:pPr>
      <w:r w:rsidRPr="00FF13B1">
        <w:lastRenderedPageBreak/>
        <w:t>PRESENTATION</w:t>
      </w:r>
      <w:r w:rsidR="00BA4894" w:rsidRPr="00FF13B1">
        <w:t xml:space="preserve"> AND STORAGE CONDITIONS</w:t>
      </w:r>
      <w:r w:rsidR="00C901BB">
        <w:rPr>
          <w:vertAlign w:val="superscript"/>
          <w:lang w:val="en-US"/>
        </w:rPr>
        <w:t>†</w:t>
      </w:r>
      <w:r w:rsidR="003233A7" w:rsidRPr="00FF13B1">
        <w:t xml:space="preserve"> </w:t>
      </w:r>
    </w:p>
    <w:p w:rsidR="00CC61C6" w:rsidRPr="00FF13B1" w:rsidRDefault="008F5062" w:rsidP="00CC61C6">
      <w:pPr>
        <w:pStyle w:val="PIHeading2"/>
      </w:pPr>
      <w:r w:rsidRPr="00FF13B1">
        <w:t>Pre-filled pen</w:t>
      </w:r>
    </w:p>
    <w:p w:rsidR="003233A7" w:rsidRDefault="008F5062" w:rsidP="003233A7">
      <w:pPr>
        <w:pStyle w:val="PINormal"/>
        <w:rPr>
          <w:szCs w:val="24"/>
        </w:rPr>
      </w:pPr>
      <w:r w:rsidRPr="00FF13B1">
        <w:rPr>
          <w:szCs w:val="24"/>
        </w:rPr>
        <w:t>PLEGRIDY is formulated as a sterile clear liquid for subcutaneous injection. Each unit of PLEGRIDY is stored in a 1</w:t>
      </w:r>
      <w:r w:rsidR="00AD2B44">
        <w:rPr>
          <w:szCs w:val="24"/>
        </w:rPr>
        <w:t xml:space="preserve"> </w:t>
      </w:r>
      <w:r w:rsidRPr="00FF13B1">
        <w:rPr>
          <w:szCs w:val="24"/>
        </w:rPr>
        <w:t xml:space="preserve">mL Type I glass syringe with a latex free </w:t>
      </w:r>
      <w:proofErr w:type="spellStart"/>
      <w:r w:rsidRPr="00FF13B1">
        <w:rPr>
          <w:szCs w:val="24"/>
        </w:rPr>
        <w:t>bromobutyl</w:t>
      </w:r>
      <w:proofErr w:type="spellEnd"/>
      <w:r w:rsidRPr="00FF13B1">
        <w:rPr>
          <w:szCs w:val="24"/>
        </w:rPr>
        <w:t xml:space="preserve"> rubber stopper and thermoplastic and polypropylene rigid needle shield. A 29 gauge, 0.5 </w:t>
      </w:r>
      <w:proofErr w:type="gramStart"/>
      <w:r w:rsidRPr="00FF13B1">
        <w:rPr>
          <w:szCs w:val="24"/>
        </w:rPr>
        <w:t>inch</w:t>
      </w:r>
      <w:proofErr w:type="gramEnd"/>
      <w:r w:rsidRPr="00FF13B1">
        <w:rPr>
          <w:szCs w:val="24"/>
        </w:rPr>
        <w:t xml:space="preserve"> staked needle is pre-affixed to the syringe. A single pre-filled syringe contains 0.5</w:t>
      </w:r>
      <w:r w:rsidR="00AD2B44">
        <w:rPr>
          <w:szCs w:val="24"/>
        </w:rPr>
        <w:t xml:space="preserve"> </w:t>
      </w:r>
      <w:r w:rsidRPr="00FF13B1">
        <w:rPr>
          <w:szCs w:val="24"/>
        </w:rPr>
        <w:t xml:space="preserve">mL of solution of PLEGRIDY containing 63 micrograms, 94 micrograms, or 125 micrograms of </w:t>
      </w:r>
      <w:proofErr w:type="spellStart"/>
      <w:r w:rsidRPr="00FF13B1">
        <w:rPr>
          <w:szCs w:val="24"/>
        </w:rPr>
        <w:t>peginterferon</w:t>
      </w:r>
      <w:proofErr w:type="spellEnd"/>
      <w:r w:rsidRPr="00FF13B1">
        <w:rPr>
          <w:szCs w:val="24"/>
        </w:rPr>
        <w:t xml:space="preserve"> beta-1a. The glass syringe is contained within a single-use, disposable, injection device (pre-filled pen). </w:t>
      </w:r>
    </w:p>
    <w:p w:rsidR="00246E8A" w:rsidRPr="00246E8A" w:rsidRDefault="00B648C8" w:rsidP="00246E8A">
      <w:pPr>
        <w:pStyle w:val="PINormal"/>
        <w:rPr>
          <w:szCs w:val="24"/>
        </w:rPr>
      </w:pPr>
      <w:r>
        <w:rPr>
          <w:szCs w:val="24"/>
        </w:rPr>
        <w:t xml:space="preserve">The PLEGRIDY pre-filled pen Titration Pack holds 2 ready to use pens. </w:t>
      </w:r>
      <w:r w:rsidR="00246E8A" w:rsidRPr="00246E8A">
        <w:rPr>
          <w:szCs w:val="24"/>
        </w:rPr>
        <w:t xml:space="preserve">Each </w:t>
      </w:r>
      <w:r w:rsidR="00246E8A">
        <w:rPr>
          <w:szCs w:val="24"/>
        </w:rPr>
        <w:t>Titration</w:t>
      </w:r>
      <w:r w:rsidR="00246E8A" w:rsidRPr="00246E8A">
        <w:rPr>
          <w:szCs w:val="24"/>
        </w:rPr>
        <w:t xml:space="preserve"> Pack for </w:t>
      </w:r>
      <w:r w:rsidR="00246E8A">
        <w:rPr>
          <w:szCs w:val="24"/>
        </w:rPr>
        <w:t>PLEGRIDY</w:t>
      </w:r>
      <w:r w:rsidR="00246E8A" w:rsidRPr="00246E8A">
        <w:rPr>
          <w:szCs w:val="24"/>
        </w:rPr>
        <w:t xml:space="preserve"> pen contains a clear, </w:t>
      </w:r>
      <w:proofErr w:type="spellStart"/>
      <w:r w:rsidR="00246E8A" w:rsidRPr="00246E8A">
        <w:rPr>
          <w:szCs w:val="24"/>
        </w:rPr>
        <w:t>colorless</w:t>
      </w:r>
      <w:proofErr w:type="spellEnd"/>
      <w:r w:rsidR="00246E8A" w:rsidRPr="00246E8A">
        <w:rPr>
          <w:szCs w:val="24"/>
        </w:rPr>
        <w:t xml:space="preserve"> liquid (0.5ml) containing either 63 or 94 micrograms of </w:t>
      </w:r>
      <w:proofErr w:type="spellStart"/>
      <w:r w:rsidR="00246E8A" w:rsidRPr="00246E8A">
        <w:rPr>
          <w:szCs w:val="24"/>
        </w:rPr>
        <w:t>peginterferon</w:t>
      </w:r>
      <w:proofErr w:type="spellEnd"/>
      <w:r w:rsidR="00246E8A" w:rsidRPr="00246E8A">
        <w:rPr>
          <w:szCs w:val="24"/>
        </w:rPr>
        <w:t xml:space="preserve">- beta-1a. </w:t>
      </w:r>
    </w:p>
    <w:p w:rsidR="00246E8A" w:rsidRPr="00246E8A" w:rsidRDefault="00246E8A" w:rsidP="00246E8A">
      <w:pPr>
        <w:pStyle w:val="PINormal"/>
        <w:rPr>
          <w:szCs w:val="24"/>
        </w:rPr>
      </w:pPr>
      <w:r w:rsidRPr="00246E8A">
        <w:rPr>
          <w:szCs w:val="24"/>
        </w:rPr>
        <w:t xml:space="preserve">The </w:t>
      </w:r>
      <w:r>
        <w:rPr>
          <w:szCs w:val="24"/>
        </w:rPr>
        <w:t xml:space="preserve">PLEGRIDY </w:t>
      </w:r>
      <w:r w:rsidRPr="00246E8A">
        <w:rPr>
          <w:szCs w:val="24"/>
        </w:rPr>
        <w:t>pre-filled pen Administration Dose Pack holds 2 or 6 ready to use pen</w:t>
      </w:r>
      <w:r w:rsidR="00D4347C">
        <w:rPr>
          <w:szCs w:val="24"/>
        </w:rPr>
        <w:t>s</w:t>
      </w:r>
      <w:r w:rsidRPr="00246E8A">
        <w:rPr>
          <w:szCs w:val="24"/>
        </w:rPr>
        <w:t xml:space="preserve">. Each Administration Dose Pack pen contains a clear, </w:t>
      </w:r>
      <w:proofErr w:type="spellStart"/>
      <w:r w:rsidRPr="00246E8A">
        <w:rPr>
          <w:szCs w:val="24"/>
        </w:rPr>
        <w:t>colorless</w:t>
      </w:r>
      <w:proofErr w:type="spellEnd"/>
      <w:r w:rsidRPr="00246E8A">
        <w:rPr>
          <w:szCs w:val="24"/>
        </w:rPr>
        <w:t xml:space="preserve"> liquid (0.5ml) containing 125 micrograms of </w:t>
      </w:r>
      <w:proofErr w:type="spellStart"/>
      <w:r w:rsidRPr="00246E8A">
        <w:rPr>
          <w:szCs w:val="24"/>
        </w:rPr>
        <w:t>peginterferon</w:t>
      </w:r>
      <w:proofErr w:type="spellEnd"/>
      <w:r w:rsidRPr="00246E8A">
        <w:rPr>
          <w:szCs w:val="24"/>
        </w:rPr>
        <w:t xml:space="preserve"> beta-1a.</w:t>
      </w:r>
    </w:p>
    <w:p w:rsidR="008F5062" w:rsidRPr="00FF13B1" w:rsidRDefault="008F5062" w:rsidP="008F5062">
      <w:pPr>
        <w:pStyle w:val="PIHeading2"/>
      </w:pPr>
      <w:r w:rsidRPr="00FF13B1">
        <w:t>Pre-filled syringe</w:t>
      </w:r>
    </w:p>
    <w:p w:rsidR="008F5062" w:rsidRDefault="008F5062" w:rsidP="008F5062">
      <w:pPr>
        <w:rPr>
          <w:szCs w:val="24"/>
        </w:rPr>
      </w:pPr>
      <w:r w:rsidRPr="00FF13B1">
        <w:t>PLEGRIDY</w:t>
      </w:r>
      <w:r w:rsidRPr="00FF13B1">
        <w:rPr>
          <w:szCs w:val="24"/>
        </w:rPr>
        <w:t xml:space="preserve"> is formulated as a sterile clear liquid for subcutaneous injection. Each unit of PLEGRIDY is stored in a 1</w:t>
      </w:r>
      <w:r w:rsidR="00AD2B44">
        <w:rPr>
          <w:szCs w:val="24"/>
        </w:rPr>
        <w:t xml:space="preserve"> </w:t>
      </w:r>
      <w:r w:rsidRPr="00FF13B1">
        <w:rPr>
          <w:szCs w:val="24"/>
        </w:rPr>
        <w:t xml:space="preserve">mL Type I glass syringe with a latex free </w:t>
      </w:r>
      <w:proofErr w:type="spellStart"/>
      <w:r w:rsidRPr="00FF13B1">
        <w:rPr>
          <w:szCs w:val="24"/>
        </w:rPr>
        <w:t>bromobutyl</w:t>
      </w:r>
      <w:proofErr w:type="spellEnd"/>
      <w:r w:rsidRPr="00FF13B1">
        <w:rPr>
          <w:szCs w:val="24"/>
        </w:rPr>
        <w:t xml:space="preserve"> rubber stopper and thermoplastic and polypropylene rigid needle shield.  A 29 gauge, 0.5 </w:t>
      </w:r>
      <w:proofErr w:type="gramStart"/>
      <w:r w:rsidRPr="00FF13B1">
        <w:rPr>
          <w:szCs w:val="24"/>
        </w:rPr>
        <w:t>inch</w:t>
      </w:r>
      <w:proofErr w:type="gramEnd"/>
      <w:r w:rsidRPr="00FF13B1">
        <w:rPr>
          <w:szCs w:val="24"/>
        </w:rPr>
        <w:t xml:space="preserve"> staked needle is pre-affixed to the syringe. A single pre-filled syringe contains 0.5</w:t>
      </w:r>
      <w:r w:rsidR="00AD2B44">
        <w:rPr>
          <w:szCs w:val="24"/>
        </w:rPr>
        <w:t xml:space="preserve"> </w:t>
      </w:r>
      <w:r w:rsidRPr="00FF13B1">
        <w:rPr>
          <w:szCs w:val="24"/>
        </w:rPr>
        <w:t xml:space="preserve">mL of solution of PLEGRIDY containing 63 micrograms, 94, micrograms or 125 micrograms of </w:t>
      </w:r>
      <w:proofErr w:type="spellStart"/>
      <w:r w:rsidRPr="00FF13B1">
        <w:rPr>
          <w:szCs w:val="24"/>
        </w:rPr>
        <w:t>peginterferon</w:t>
      </w:r>
      <w:proofErr w:type="spellEnd"/>
      <w:r w:rsidRPr="00FF13B1">
        <w:rPr>
          <w:szCs w:val="24"/>
        </w:rPr>
        <w:t xml:space="preserve"> beta-1a.</w:t>
      </w:r>
    </w:p>
    <w:p w:rsidR="00246E8A" w:rsidRDefault="00246E8A" w:rsidP="00246E8A">
      <w:pPr>
        <w:rPr>
          <w:szCs w:val="24"/>
        </w:rPr>
      </w:pPr>
      <w:r>
        <w:rPr>
          <w:szCs w:val="24"/>
        </w:rPr>
        <w:t>The PLEGRIDY</w:t>
      </w:r>
      <w:r w:rsidRPr="00246E8A">
        <w:rPr>
          <w:szCs w:val="24"/>
        </w:rPr>
        <w:t xml:space="preserve"> pre-filled syringe </w:t>
      </w:r>
      <w:r>
        <w:rPr>
          <w:szCs w:val="24"/>
        </w:rPr>
        <w:t>Titration</w:t>
      </w:r>
      <w:r w:rsidRPr="00246E8A">
        <w:rPr>
          <w:szCs w:val="24"/>
        </w:rPr>
        <w:t xml:space="preserve"> Pack holds 2 ready to use syringes. E</w:t>
      </w:r>
      <w:r>
        <w:rPr>
          <w:szCs w:val="24"/>
        </w:rPr>
        <w:t>ach Titration Pack for PLEGRIDY</w:t>
      </w:r>
      <w:r w:rsidRPr="00246E8A">
        <w:rPr>
          <w:szCs w:val="24"/>
        </w:rPr>
        <w:t xml:space="preserve"> syringe contains a clear, </w:t>
      </w:r>
      <w:proofErr w:type="spellStart"/>
      <w:r w:rsidRPr="00246E8A">
        <w:rPr>
          <w:szCs w:val="24"/>
        </w:rPr>
        <w:t>colorless</w:t>
      </w:r>
      <w:proofErr w:type="spellEnd"/>
      <w:r w:rsidRPr="00246E8A">
        <w:rPr>
          <w:szCs w:val="24"/>
        </w:rPr>
        <w:t xml:space="preserve"> liquid (0.5ml) containing either 63 or 94 micrograms of </w:t>
      </w:r>
      <w:proofErr w:type="spellStart"/>
      <w:r w:rsidRPr="00246E8A">
        <w:rPr>
          <w:szCs w:val="24"/>
        </w:rPr>
        <w:t>peginterferon</w:t>
      </w:r>
      <w:proofErr w:type="spellEnd"/>
      <w:r w:rsidRPr="00246E8A">
        <w:rPr>
          <w:szCs w:val="24"/>
        </w:rPr>
        <w:t xml:space="preserve">- beta-1a. </w:t>
      </w:r>
    </w:p>
    <w:p w:rsidR="00246E8A" w:rsidRDefault="00246E8A" w:rsidP="00246E8A">
      <w:pPr>
        <w:rPr>
          <w:szCs w:val="24"/>
        </w:rPr>
      </w:pPr>
      <w:r>
        <w:rPr>
          <w:szCs w:val="24"/>
        </w:rPr>
        <w:t>The PLEGRIDY</w:t>
      </w:r>
      <w:r w:rsidRPr="00246E8A">
        <w:rPr>
          <w:szCs w:val="24"/>
        </w:rPr>
        <w:t xml:space="preserve"> prefilled syringe Administration Dose Pack holds 2 or 6 ready to use syringes. Each Administration Dose Pack syringe contains a clear, </w:t>
      </w:r>
      <w:proofErr w:type="spellStart"/>
      <w:r w:rsidRPr="00246E8A">
        <w:rPr>
          <w:szCs w:val="24"/>
        </w:rPr>
        <w:t>colorless</w:t>
      </w:r>
      <w:proofErr w:type="spellEnd"/>
      <w:r w:rsidRPr="00246E8A">
        <w:rPr>
          <w:szCs w:val="24"/>
        </w:rPr>
        <w:t xml:space="preserve"> liquid (0.5ml) containing 125 micrograms of </w:t>
      </w:r>
      <w:proofErr w:type="spellStart"/>
      <w:r w:rsidRPr="00246E8A">
        <w:rPr>
          <w:szCs w:val="24"/>
        </w:rPr>
        <w:t>peginterferon</w:t>
      </w:r>
      <w:proofErr w:type="spellEnd"/>
      <w:r w:rsidRPr="00246E8A">
        <w:rPr>
          <w:szCs w:val="24"/>
        </w:rPr>
        <w:t xml:space="preserve"> beta-1a.</w:t>
      </w:r>
    </w:p>
    <w:p w:rsidR="00C901BB" w:rsidRPr="00FF13B1" w:rsidRDefault="00C901BB" w:rsidP="00246E8A">
      <w:pPr>
        <w:rPr>
          <w:szCs w:val="24"/>
        </w:rPr>
      </w:pPr>
      <w:r>
        <w:rPr>
          <w:vertAlign w:val="superscript"/>
        </w:rPr>
        <w:t>†</w:t>
      </w:r>
      <w:r>
        <w:t>Not all pack sizes are being distributed in Australia.</w:t>
      </w:r>
    </w:p>
    <w:p w:rsidR="008F5062" w:rsidRPr="00FF13B1" w:rsidRDefault="008F5062" w:rsidP="008F5062">
      <w:pPr>
        <w:pStyle w:val="PIHeading2"/>
      </w:pPr>
      <w:r w:rsidRPr="00FF13B1">
        <w:t>Storage Conditions</w:t>
      </w:r>
    </w:p>
    <w:p w:rsidR="008F5062" w:rsidRPr="00FF13B1" w:rsidRDefault="008F5062" w:rsidP="008F5062">
      <w:proofErr w:type="gramStart"/>
      <w:r w:rsidRPr="00FF13B1">
        <w:t>Store in the closed original carton to protect from light until ready for injection.</w:t>
      </w:r>
      <w:proofErr w:type="gramEnd"/>
      <w:r w:rsidRPr="00FF13B1">
        <w:t xml:space="preserve"> Store i</w:t>
      </w:r>
      <w:r w:rsidR="00FF13B1" w:rsidRPr="00FF13B1">
        <w:t xml:space="preserve">n a refrigerator </w:t>
      </w:r>
      <w:proofErr w:type="gramStart"/>
      <w:r w:rsidR="00FF13B1" w:rsidRPr="00FF13B1">
        <w:t>between 2 to 8</w:t>
      </w:r>
      <w:r w:rsidR="00FF13B1" w:rsidRPr="00FF13B1">
        <w:sym w:font="Symbol" w:char="F0B0"/>
      </w:r>
      <w:r w:rsidR="00FF13B1" w:rsidRPr="00FF13B1">
        <w:t>C</w:t>
      </w:r>
      <w:r w:rsidRPr="00FF13B1">
        <w:t>.</w:t>
      </w:r>
      <w:proofErr w:type="gramEnd"/>
      <w:r w:rsidRPr="00FF13B1">
        <w:t xml:space="preserve"> Do not freeze. Discard if frozen. The formulation is preservative-free. </w:t>
      </w:r>
    </w:p>
    <w:p w:rsidR="008F5062" w:rsidRPr="00FF13B1" w:rsidRDefault="008F5062" w:rsidP="008F5062">
      <w:proofErr w:type="gramStart"/>
      <w:r w:rsidRPr="00FF13B1">
        <w:t xml:space="preserve">When no refrigerator is available, PLEGRIDY may be stored </w:t>
      </w:r>
      <w:r w:rsidR="00FF13B1" w:rsidRPr="00FF13B1">
        <w:t>protected from light between 2</w:t>
      </w:r>
      <w:r w:rsidR="00FF13B1" w:rsidRPr="00FF13B1">
        <w:sym w:font="Symbol" w:char="F0B0"/>
      </w:r>
      <w:r w:rsidR="00FF13B1" w:rsidRPr="00FF13B1">
        <w:t>C to 25</w:t>
      </w:r>
      <w:r w:rsidR="00FF13B1" w:rsidRPr="00FF13B1">
        <w:sym w:font="Symbol" w:char="F0B0"/>
      </w:r>
      <w:r w:rsidR="00FF13B1" w:rsidRPr="00FF13B1">
        <w:t>C</w:t>
      </w:r>
      <w:r w:rsidRPr="00FF13B1">
        <w:t xml:space="preserve"> for a maximum of 30 days in total.</w:t>
      </w:r>
      <w:proofErr w:type="gramEnd"/>
      <w:r w:rsidRPr="00FF13B1">
        <w:t xml:space="preserve">  </w:t>
      </w:r>
    </w:p>
    <w:p w:rsidR="008F5062" w:rsidRPr="00FF13B1" w:rsidRDefault="008F5062" w:rsidP="008F5062">
      <w:r w:rsidRPr="00FF13B1">
        <w:t xml:space="preserve">Once removed from the refrigerator, PLEGRIDY should be allowed to warm to room temperature (about 30 minutes) prior to injection.  Do not use external heat sources such as hot water to warm PLEGRIDY. </w:t>
      </w:r>
    </w:p>
    <w:p w:rsidR="008F5062" w:rsidRPr="00FF13B1" w:rsidRDefault="008F5062" w:rsidP="008F5062">
      <w:r w:rsidRPr="00FF13B1">
        <w:t>PLEGRIDY can be removed from and returned to the refrigerator if necessary.  The total combined time out of refrigeration should not exceed 30 days, at a temp</w:t>
      </w:r>
      <w:r w:rsidR="00FF13B1" w:rsidRPr="00FF13B1">
        <w:t>erature that does not exceed 2</w:t>
      </w:r>
      <w:r w:rsidR="00FF13B1" w:rsidRPr="00FF13B1">
        <w:sym w:font="Symbol" w:char="F0B0"/>
      </w:r>
      <w:r w:rsidR="00FF13B1" w:rsidRPr="00FF13B1">
        <w:t>C to 25</w:t>
      </w:r>
      <w:r w:rsidR="00FF13B1" w:rsidRPr="00FF13B1">
        <w:sym w:font="Symbol" w:char="F0B0"/>
      </w:r>
      <w:r w:rsidR="00FF13B1" w:rsidRPr="00FF13B1">
        <w:t>C</w:t>
      </w:r>
      <w:r w:rsidRPr="00FF13B1">
        <w:t>, protected from light.</w:t>
      </w:r>
    </w:p>
    <w:p w:rsidR="00812C64" w:rsidRPr="00FF13B1" w:rsidRDefault="00812C64" w:rsidP="00CC1938">
      <w:pPr>
        <w:pStyle w:val="PIHeading1"/>
      </w:pPr>
      <w:r w:rsidRPr="00FF13B1">
        <w:lastRenderedPageBreak/>
        <w:t xml:space="preserve">NAME AND ADDRESS OF </w:t>
      </w:r>
      <w:r w:rsidR="00773BA3" w:rsidRPr="00FF13B1">
        <w:t xml:space="preserve">the </w:t>
      </w:r>
      <w:r w:rsidRPr="00FF13B1">
        <w:t>SPONSOR</w:t>
      </w:r>
      <w:r w:rsidR="003233A7" w:rsidRPr="00FF13B1">
        <w:t xml:space="preserve"> </w:t>
      </w:r>
    </w:p>
    <w:p w:rsidR="00CC61C6" w:rsidRPr="00FF13B1" w:rsidRDefault="00CC61C6" w:rsidP="00CC61C6">
      <w:pPr>
        <w:pStyle w:val="PITableText"/>
        <w:rPr>
          <w:color w:val="auto"/>
        </w:rPr>
      </w:pPr>
      <w:proofErr w:type="spellStart"/>
      <w:r w:rsidRPr="00FF13B1">
        <w:rPr>
          <w:color w:val="auto"/>
        </w:rPr>
        <w:t>Biogen</w:t>
      </w:r>
      <w:proofErr w:type="spellEnd"/>
      <w:r w:rsidRPr="00FF13B1">
        <w:rPr>
          <w:color w:val="auto"/>
        </w:rPr>
        <w:t xml:space="preserve"> Idec Australia Pty Ltd</w:t>
      </w:r>
    </w:p>
    <w:p w:rsidR="00CC61C6" w:rsidRPr="00FF13B1" w:rsidRDefault="00CC61C6" w:rsidP="00CC61C6">
      <w:pPr>
        <w:pStyle w:val="PITableText"/>
        <w:rPr>
          <w:color w:val="auto"/>
        </w:rPr>
      </w:pPr>
      <w:r w:rsidRPr="00FF13B1">
        <w:rPr>
          <w:color w:val="auto"/>
        </w:rPr>
        <w:t>ABN 30 095 760 115</w:t>
      </w:r>
    </w:p>
    <w:p w:rsidR="00CC61C6" w:rsidRPr="00FF13B1" w:rsidRDefault="00CC61C6" w:rsidP="00CC61C6">
      <w:pPr>
        <w:pStyle w:val="PITableText"/>
        <w:rPr>
          <w:color w:val="auto"/>
        </w:rPr>
      </w:pPr>
      <w:r w:rsidRPr="00FF13B1">
        <w:rPr>
          <w:color w:val="auto"/>
        </w:rPr>
        <w:t>Suite 1, Level 5</w:t>
      </w:r>
    </w:p>
    <w:p w:rsidR="00CC61C6" w:rsidRPr="00FF13B1" w:rsidRDefault="00CC61C6" w:rsidP="00CC61C6">
      <w:pPr>
        <w:pStyle w:val="PITableText"/>
        <w:rPr>
          <w:color w:val="auto"/>
        </w:rPr>
      </w:pPr>
      <w:r w:rsidRPr="00FF13B1">
        <w:rPr>
          <w:color w:val="auto"/>
        </w:rPr>
        <w:t>123 Epping Road</w:t>
      </w:r>
    </w:p>
    <w:p w:rsidR="00CC61C6" w:rsidRPr="00FF13B1" w:rsidRDefault="00CC61C6" w:rsidP="00CC61C6">
      <w:pPr>
        <w:pStyle w:val="PITableText"/>
        <w:rPr>
          <w:snapToGrid/>
          <w:color w:val="auto"/>
          <w:szCs w:val="20"/>
        </w:rPr>
      </w:pPr>
      <w:r w:rsidRPr="00FF13B1">
        <w:rPr>
          <w:snapToGrid/>
          <w:color w:val="auto"/>
          <w:szCs w:val="20"/>
        </w:rPr>
        <w:t>North Ryde NSW 2113</w:t>
      </w:r>
    </w:p>
    <w:p w:rsidR="00EC69FE" w:rsidRPr="00FF13B1" w:rsidRDefault="00894142" w:rsidP="00CC1938">
      <w:pPr>
        <w:pStyle w:val="PIHeading1"/>
      </w:pPr>
      <w:r w:rsidRPr="00FF13B1">
        <w:t>POISO</w:t>
      </w:r>
      <w:r w:rsidR="00EC69FE" w:rsidRPr="00FF13B1">
        <w:t>N SCHEDULE</w:t>
      </w:r>
      <w:r w:rsidR="00861B27" w:rsidRPr="00FF13B1">
        <w:t xml:space="preserve"> </w:t>
      </w:r>
    </w:p>
    <w:p w:rsidR="003233A7" w:rsidRPr="00FF13B1" w:rsidRDefault="002321D5" w:rsidP="003233A7">
      <w:pPr>
        <w:pStyle w:val="PINormal"/>
        <w:rPr>
          <w:szCs w:val="24"/>
        </w:rPr>
      </w:pPr>
      <w:r w:rsidRPr="00FF13B1">
        <w:rPr>
          <w:szCs w:val="24"/>
        </w:rPr>
        <w:t xml:space="preserve">Prescription Only Medicine </w:t>
      </w:r>
    </w:p>
    <w:p w:rsidR="0090693D" w:rsidRPr="00FF13B1" w:rsidRDefault="0090693D" w:rsidP="0090693D">
      <w:pPr>
        <w:pStyle w:val="PIHeading1"/>
      </w:pPr>
      <w:r w:rsidRPr="00FF13B1">
        <w:t xml:space="preserve">DATE OF first inclusion in the australian register of therapeutic goods </w:t>
      </w:r>
    </w:p>
    <w:p w:rsidR="0090693D" w:rsidRPr="00FF13B1" w:rsidRDefault="002A6733" w:rsidP="0090693D">
      <w:pPr>
        <w:pStyle w:val="PINormal"/>
        <w:rPr>
          <w:szCs w:val="24"/>
        </w:rPr>
      </w:pPr>
      <w:r>
        <w:rPr>
          <w:szCs w:val="24"/>
        </w:rPr>
        <w:t>10 November 2014</w:t>
      </w:r>
    </w:p>
    <w:p w:rsidR="003233A7" w:rsidRPr="00FF13B1" w:rsidRDefault="00A938CE" w:rsidP="00A938CE">
      <w:pPr>
        <w:pStyle w:val="PINormal"/>
        <w:rPr>
          <w:b/>
          <w:szCs w:val="24"/>
        </w:rPr>
      </w:pPr>
      <w:r>
        <w:t>PLEGRIDY</w:t>
      </w:r>
      <w:r w:rsidR="00B00C69" w:rsidRPr="00420B27">
        <w:rPr>
          <w:vertAlign w:val="superscript"/>
        </w:rPr>
        <w:t>®</w:t>
      </w:r>
      <w:r w:rsidR="009D28F6">
        <w:t xml:space="preserve"> and </w:t>
      </w:r>
      <w:r w:rsidRPr="00420B27">
        <w:rPr>
          <w:caps/>
        </w:rPr>
        <w:t>Biogen Idec</w:t>
      </w:r>
      <w:r w:rsidRPr="00A938CE">
        <w:rPr>
          <w:vertAlign w:val="superscript"/>
        </w:rPr>
        <w:t>®</w:t>
      </w:r>
      <w:r>
        <w:t xml:space="preserve"> </w:t>
      </w:r>
      <w:r w:rsidR="009D28F6">
        <w:t>are</w:t>
      </w:r>
      <w:r>
        <w:t xml:space="preserve"> registered trademark</w:t>
      </w:r>
      <w:r w:rsidR="009D28F6">
        <w:t>s</w:t>
      </w:r>
      <w:r>
        <w:t xml:space="preserve"> of </w:t>
      </w:r>
      <w:proofErr w:type="spellStart"/>
      <w:r>
        <w:t>Biogen</w:t>
      </w:r>
      <w:proofErr w:type="spellEnd"/>
      <w:r>
        <w:t xml:space="preserve"> Idec MA Inc. </w:t>
      </w:r>
    </w:p>
    <w:p w:rsidR="00F26C63" w:rsidRPr="00FF13B1" w:rsidRDefault="00F26C63" w:rsidP="00494681">
      <w:pPr>
        <w:pStyle w:val="PINormal"/>
      </w:pPr>
    </w:p>
    <w:sectPr w:rsidR="00F26C63" w:rsidRPr="00FF13B1" w:rsidSect="00045242">
      <w:headerReference w:type="default" r:id="rId10"/>
      <w:footerReference w:type="default" r:id="rId11"/>
      <w:pgSz w:w="11906" w:h="16838" w:code="9"/>
      <w:pgMar w:top="219" w:right="849" w:bottom="709" w:left="144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BE2" w:rsidRDefault="00CC0BE2">
      <w:r>
        <w:separator/>
      </w:r>
    </w:p>
  </w:endnote>
  <w:endnote w:type="continuationSeparator" w:id="0">
    <w:p w:rsidR="00CC0BE2" w:rsidRDefault="00CC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B5" w:rsidRPr="00A97DF2" w:rsidRDefault="00C53EB5" w:rsidP="00A97DF2">
    <w:pPr>
      <w:pStyle w:val="Footer"/>
      <w:tabs>
        <w:tab w:val="clear" w:pos="9923"/>
        <w:tab w:val="right" w:pos="9617"/>
      </w:tabs>
    </w:pPr>
    <w:r w:rsidRPr="00A97DF2">
      <w:t xml:space="preserve">PLEGRIDY </w:t>
    </w:r>
    <w:r>
      <w:t xml:space="preserve">PI (version </w:t>
    </w:r>
    <w:r w:rsidR="002A6733">
      <w:t>11114</w:t>
    </w:r>
    <w:r>
      <w:t xml:space="preserve">) </w:t>
    </w:r>
    <w:r>
      <w:tab/>
    </w:r>
    <w:r w:rsidR="00B00C69">
      <w:t xml:space="preserve">Page </w:t>
    </w:r>
    <w:r w:rsidR="00B00C69">
      <w:rPr>
        <w:b/>
      </w:rPr>
      <w:fldChar w:fldCharType="begin"/>
    </w:r>
    <w:r w:rsidR="00B00C69">
      <w:rPr>
        <w:b/>
      </w:rPr>
      <w:instrText xml:space="preserve"> PAGE  \* Arabic  \* MERGEFORMAT </w:instrText>
    </w:r>
    <w:r w:rsidR="00B00C69">
      <w:rPr>
        <w:b/>
      </w:rPr>
      <w:fldChar w:fldCharType="separate"/>
    </w:r>
    <w:r w:rsidR="0004441C">
      <w:rPr>
        <w:b/>
        <w:noProof/>
      </w:rPr>
      <w:t>15</w:t>
    </w:r>
    <w:r w:rsidR="00B00C69">
      <w:rPr>
        <w:b/>
      </w:rPr>
      <w:fldChar w:fldCharType="end"/>
    </w:r>
    <w:r w:rsidR="00B00C69">
      <w:t xml:space="preserve"> of </w:t>
    </w:r>
    <w:r w:rsidR="00B00C69">
      <w:rPr>
        <w:b/>
      </w:rPr>
      <w:fldChar w:fldCharType="begin"/>
    </w:r>
    <w:r w:rsidR="00B00C69">
      <w:rPr>
        <w:b/>
      </w:rPr>
      <w:instrText xml:space="preserve"> NUMPAGES  \* Arabic  \* MERGEFORMAT </w:instrText>
    </w:r>
    <w:r w:rsidR="00B00C69">
      <w:rPr>
        <w:b/>
      </w:rPr>
      <w:fldChar w:fldCharType="separate"/>
    </w:r>
    <w:r w:rsidR="0004441C">
      <w:rPr>
        <w:b/>
        <w:noProof/>
      </w:rPr>
      <w:t>15</w:t>
    </w:r>
    <w:r w:rsidR="00B00C6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BE2" w:rsidRDefault="00CC0BE2">
      <w:r>
        <w:separator/>
      </w:r>
    </w:p>
  </w:footnote>
  <w:footnote w:type="continuationSeparator" w:id="0">
    <w:p w:rsidR="00CC0BE2" w:rsidRDefault="00CC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B5F46" w:rsidTr="00CB7F0D">
      <w:tc>
        <w:tcPr>
          <w:tcW w:w="8720" w:type="dxa"/>
          <w:shd w:val="clear" w:color="auto" w:fill="E4F2E0"/>
        </w:tcPr>
        <w:p w:rsidR="002B5F46" w:rsidRPr="002B5F46" w:rsidRDefault="002B5F46" w:rsidP="00CB7F0D">
          <w:pPr>
            <w:spacing w:before="40" w:after="40"/>
            <w:rPr>
              <w:rFonts w:asciiTheme="majorHAnsi" w:hAnsiTheme="majorHAnsi"/>
              <w:b/>
              <w:sz w:val="20"/>
            </w:rPr>
          </w:pPr>
          <w:r w:rsidRPr="002B5F46">
            <w:rPr>
              <w:rFonts w:asciiTheme="majorHAnsi" w:hAnsiTheme="majorHAnsi"/>
              <w:b/>
              <w:sz w:val="20"/>
            </w:rPr>
            <w:t xml:space="preserve">Attachment 1: Product information for </w:t>
          </w:r>
          <w:proofErr w:type="spellStart"/>
          <w:r w:rsidRPr="002B5F46">
            <w:rPr>
              <w:rFonts w:asciiTheme="majorHAnsi" w:hAnsiTheme="majorHAnsi"/>
              <w:b/>
              <w:sz w:val="20"/>
            </w:rPr>
            <w:t>AusPAR</w:t>
          </w:r>
          <w:proofErr w:type="spellEnd"/>
          <w:r w:rsidRPr="002B5F46">
            <w:rPr>
              <w:rFonts w:asciiTheme="majorHAnsi" w:hAnsiTheme="majorHAnsi"/>
              <w:b/>
              <w:sz w:val="20"/>
            </w:rPr>
            <w:t xml:space="preserve"> </w:t>
          </w:r>
          <w:proofErr w:type="spellStart"/>
          <w:r w:rsidRPr="002B5F46">
            <w:rPr>
              <w:rFonts w:asciiTheme="majorHAnsi" w:hAnsiTheme="majorHAnsi"/>
              <w:b/>
              <w:sz w:val="20"/>
            </w:rPr>
            <w:t>Plegridy</w:t>
          </w:r>
          <w:proofErr w:type="spellEnd"/>
          <w:r w:rsidRPr="002B5F46">
            <w:rPr>
              <w:rFonts w:asciiTheme="majorHAnsi" w:hAnsiTheme="majorHAnsi"/>
              <w:b/>
              <w:sz w:val="20"/>
            </w:rPr>
            <w:t xml:space="preserve"> </w:t>
          </w:r>
          <w:proofErr w:type="spellStart"/>
          <w:r w:rsidRPr="002B5F46">
            <w:rPr>
              <w:rFonts w:asciiTheme="majorHAnsi" w:hAnsiTheme="majorHAnsi"/>
              <w:b/>
              <w:sz w:val="20"/>
            </w:rPr>
            <w:t>Peginterferon</w:t>
          </w:r>
          <w:proofErr w:type="spellEnd"/>
          <w:r w:rsidRPr="002B5F46">
            <w:rPr>
              <w:rFonts w:asciiTheme="majorHAnsi" w:hAnsiTheme="majorHAnsi"/>
              <w:b/>
              <w:sz w:val="20"/>
            </w:rPr>
            <w:t xml:space="preserve"> beta 1a (</w:t>
          </w:r>
          <w:proofErr w:type="spellStart"/>
          <w:r w:rsidRPr="002B5F46">
            <w:rPr>
              <w:rFonts w:asciiTheme="majorHAnsi" w:hAnsiTheme="majorHAnsi"/>
              <w:b/>
              <w:sz w:val="20"/>
            </w:rPr>
            <w:t>rch</w:t>
          </w:r>
          <w:proofErr w:type="spellEnd"/>
          <w:r w:rsidRPr="002B5F46">
            <w:rPr>
              <w:rFonts w:asciiTheme="majorHAnsi" w:hAnsiTheme="majorHAnsi"/>
              <w:b/>
              <w:sz w:val="20"/>
            </w:rPr>
            <w:t xml:space="preserve">) </w:t>
          </w:r>
          <w:proofErr w:type="spellStart"/>
          <w:r w:rsidRPr="002B5F46">
            <w:rPr>
              <w:rFonts w:asciiTheme="majorHAnsi" w:hAnsiTheme="majorHAnsi"/>
              <w:b/>
              <w:sz w:val="20"/>
            </w:rPr>
            <w:t>Biogen</w:t>
          </w:r>
          <w:proofErr w:type="spellEnd"/>
          <w:r w:rsidRPr="002B5F46">
            <w:rPr>
              <w:rFonts w:asciiTheme="majorHAnsi" w:hAnsiTheme="majorHAnsi"/>
              <w:b/>
              <w:sz w:val="20"/>
            </w:rPr>
            <w:t xml:space="preserve"> Idec Australia Pty Ltd PM-2013-02425-1-1 Final 5 February 2015. This Product Information was approved at the time this </w:t>
          </w:r>
          <w:proofErr w:type="spellStart"/>
          <w:r w:rsidRPr="002B5F46">
            <w:rPr>
              <w:rFonts w:asciiTheme="majorHAnsi" w:hAnsiTheme="majorHAnsi"/>
              <w:b/>
              <w:sz w:val="20"/>
            </w:rPr>
            <w:t>AusPAR</w:t>
          </w:r>
          <w:proofErr w:type="spellEnd"/>
          <w:r w:rsidRPr="002B5F46">
            <w:rPr>
              <w:rFonts w:asciiTheme="majorHAnsi" w:hAnsiTheme="majorHAnsi"/>
              <w:b/>
              <w:sz w:val="20"/>
            </w:rPr>
            <w:t xml:space="preserve"> was published.</w:t>
          </w:r>
        </w:p>
      </w:tc>
    </w:tr>
  </w:tbl>
  <w:p w:rsidR="00C53EB5" w:rsidRDefault="00C53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58D0CA"/>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951133"/>
    <w:multiLevelType w:val="hybridMultilevel"/>
    <w:tmpl w:val="25C68BD2"/>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68D35AD"/>
    <w:multiLevelType w:val="hybridMultilevel"/>
    <w:tmpl w:val="ED20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4773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6CAD7BF4"/>
    <w:multiLevelType w:val="hybridMultilevel"/>
    <w:tmpl w:val="3EE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536CA9"/>
    <w:multiLevelType w:val="hybridMultilevel"/>
    <w:tmpl w:val="73E813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
  </w:num>
  <w:num w:numId="4">
    <w:abstractNumId w:val="0"/>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09"/>
    <w:rsid w:val="00004A32"/>
    <w:rsid w:val="000059C4"/>
    <w:rsid w:val="00020D3F"/>
    <w:rsid w:val="00037B14"/>
    <w:rsid w:val="00042DB0"/>
    <w:rsid w:val="0004441C"/>
    <w:rsid w:val="00045242"/>
    <w:rsid w:val="0005325E"/>
    <w:rsid w:val="00056EF5"/>
    <w:rsid w:val="000874D4"/>
    <w:rsid w:val="000B7BA3"/>
    <w:rsid w:val="000C1D2F"/>
    <w:rsid w:val="000C47BE"/>
    <w:rsid w:val="000D2AC8"/>
    <w:rsid w:val="000D467A"/>
    <w:rsid w:val="000D7B5D"/>
    <w:rsid w:val="000F6899"/>
    <w:rsid w:val="00110727"/>
    <w:rsid w:val="00131EB2"/>
    <w:rsid w:val="00141391"/>
    <w:rsid w:val="00143BB7"/>
    <w:rsid w:val="00151E39"/>
    <w:rsid w:val="00153091"/>
    <w:rsid w:val="00160022"/>
    <w:rsid w:val="00167E8E"/>
    <w:rsid w:val="00181C01"/>
    <w:rsid w:val="00190CE8"/>
    <w:rsid w:val="001B2FD7"/>
    <w:rsid w:val="001C3D59"/>
    <w:rsid w:val="001C4851"/>
    <w:rsid w:val="001D4C61"/>
    <w:rsid w:val="001F6DED"/>
    <w:rsid w:val="00200100"/>
    <w:rsid w:val="002162E9"/>
    <w:rsid w:val="00227FCE"/>
    <w:rsid w:val="002321D5"/>
    <w:rsid w:val="002374B4"/>
    <w:rsid w:val="00246E8A"/>
    <w:rsid w:val="00247407"/>
    <w:rsid w:val="00257773"/>
    <w:rsid w:val="00265AE5"/>
    <w:rsid w:val="0027001C"/>
    <w:rsid w:val="00271415"/>
    <w:rsid w:val="00285507"/>
    <w:rsid w:val="00287863"/>
    <w:rsid w:val="00290A56"/>
    <w:rsid w:val="00292A1C"/>
    <w:rsid w:val="0029432E"/>
    <w:rsid w:val="00297C4D"/>
    <w:rsid w:val="002A6733"/>
    <w:rsid w:val="002B5F46"/>
    <w:rsid w:val="002B7637"/>
    <w:rsid w:val="002C2230"/>
    <w:rsid w:val="002C24C2"/>
    <w:rsid w:val="002D262E"/>
    <w:rsid w:val="002E1094"/>
    <w:rsid w:val="002F0A40"/>
    <w:rsid w:val="002F3436"/>
    <w:rsid w:val="00301A3D"/>
    <w:rsid w:val="00312C3E"/>
    <w:rsid w:val="003130E1"/>
    <w:rsid w:val="00313584"/>
    <w:rsid w:val="003233A7"/>
    <w:rsid w:val="00334899"/>
    <w:rsid w:val="0033795E"/>
    <w:rsid w:val="003536A9"/>
    <w:rsid w:val="00354477"/>
    <w:rsid w:val="00391703"/>
    <w:rsid w:val="003A1B67"/>
    <w:rsid w:val="003C5BED"/>
    <w:rsid w:val="003E66C5"/>
    <w:rsid w:val="003E6C12"/>
    <w:rsid w:val="003F2DAC"/>
    <w:rsid w:val="00404A44"/>
    <w:rsid w:val="00416F45"/>
    <w:rsid w:val="00420B27"/>
    <w:rsid w:val="004279A2"/>
    <w:rsid w:val="00430A87"/>
    <w:rsid w:val="00432B2A"/>
    <w:rsid w:val="004333E6"/>
    <w:rsid w:val="00445524"/>
    <w:rsid w:val="00445ADB"/>
    <w:rsid w:val="00494681"/>
    <w:rsid w:val="004A1D00"/>
    <w:rsid w:val="004A2544"/>
    <w:rsid w:val="004A77B9"/>
    <w:rsid w:val="004C0FEB"/>
    <w:rsid w:val="004C174A"/>
    <w:rsid w:val="004C745D"/>
    <w:rsid w:val="004D0593"/>
    <w:rsid w:val="004D1E74"/>
    <w:rsid w:val="00513B8C"/>
    <w:rsid w:val="00514885"/>
    <w:rsid w:val="005225BA"/>
    <w:rsid w:val="00535A5B"/>
    <w:rsid w:val="00565C36"/>
    <w:rsid w:val="00573D65"/>
    <w:rsid w:val="005762EB"/>
    <w:rsid w:val="005974D5"/>
    <w:rsid w:val="005D11FA"/>
    <w:rsid w:val="005D4943"/>
    <w:rsid w:val="005F2C56"/>
    <w:rsid w:val="005F61F3"/>
    <w:rsid w:val="00602123"/>
    <w:rsid w:val="00605CDB"/>
    <w:rsid w:val="006109D1"/>
    <w:rsid w:val="006246B1"/>
    <w:rsid w:val="00627D5D"/>
    <w:rsid w:val="00641FC1"/>
    <w:rsid w:val="006444C6"/>
    <w:rsid w:val="006515D0"/>
    <w:rsid w:val="00651E0B"/>
    <w:rsid w:val="00656116"/>
    <w:rsid w:val="006607DE"/>
    <w:rsid w:val="00662BB9"/>
    <w:rsid w:val="00680EA7"/>
    <w:rsid w:val="00695EC9"/>
    <w:rsid w:val="006A1261"/>
    <w:rsid w:val="006B53A0"/>
    <w:rsid w:val="006C11CF"/>
    <w:rsid w:val="006C3AD4"/>
    <w:rsid w:val="006C4B7E"/>
    <w:rsid w:val="006C5C9C"/>
    <w:rsid w:val="006D3F94"/>
    <w:rsid w:val="006D7156"/>
    <w:rsid w:val="006E37B4"/>
    <w:rsid w:val="006F36A0"/>
    <w:rsid w:val="006F3A0E"/>
    <w:rsid w:val="007108D0"/>
    <w:rsid w:val="00712751"/>
    <w:rsid w:val="00716A85"/>
    <w:rsid w:val="0072729A"/>
    <w:rsid w:val="007310AC"/>
    <w:rsid w:val="00737E25"/>
    <w:rsid w:val="00750B38"/>
    <w:rsid w:val="00766AC6"/>
    <w:rsid w:val="00773BA3"/>
    <w:rsid w:val="00784AD0"/>
    <w:rsid w:val="00786D68"/>
    <w:rsid w:val="007924D1"/>
    <w:rsid w:val="00794ABD"/>
    <w:rsid w:val="00797310"/>
    <w:rsid w:val="0079765A"/>
    <w:rsid w:val="007A2EAD"/>
    <w:rsid w:val="007A455B"/>
    <w:rsid w:val="007A6446"/>
    <w:rsid w:val="007A6C69"/>
    <w:rsid w:val="007B022D"/>
    <w:rsid w:val="007B7597"/>
    <w:rsid w:val="007C47A4"/>
    <w:rsid w:val="007E50E3"/>
    <w:rsid w:val="007E57F8"/>
    <w:rsid w:val="007F108B"/>
    <w:rsid w:val="007F77F3"/>
    <w:rsid w:val="00807740"/>
    <w:rsid w:val="00810ACF"/>
    <w:rsid w:val="00812C64"/>
    <w:rsid w:val="008224A6"/>
    <w:rsid w:val="00825433"/>
    <w:rsid w:val="00832C92"/>
    <w:rsid w:val="008416FE"/>
    <w:rsid w:val="00845D22"/>
    <w:rsid w:val="00846559"/>
    <w:rsid w:val="00851B65"/>
    <w:rsid w:val="00856C8B"/>
    <w:rsid w:val="00861B27"/>
    <w:rsid w:val="00866193"/>
    <w:rsid w:val="0086670A"/>
    <w:rsid w:val="00867B76"/>
    <w:rsid w:val="008729B2"/>
    <w:rsid w:val="0088694D"/>
    <w:rsid w:val="00894142"/>
    <w:rsid w:val="00897C81"/>
    <w:rsid w:val="008B48D0"/>
    <w:rsid w:val="008B5040"/>
    <w:rsid w:val="008C6495"/>
    <w:rsid w:val="008C74F7"/>
    <w:rsid w:val="008E6031"/>
    <w:rsid w:val="008E6A87"/>
    <w:rsid w:val="008F1626"/>
    <w:rsid w:val="008F5062"/>
    <w:rsid w:val="0090203A"/>
    <w:rsid w:val="00902AE2"/>
    <w:rsid w:val="00905FA6"/>
    <w:rsid w:val="0090693D"/>
    <w:rsid w:val="00923987"/>
    <w:rsid w:val="00927D86"/>
    <w:rsid w:val="00931C5F"/>
    <w:rsid w:val="00953A9B"/>
    <w:rsid w:val="0097090B"/>
    <w:rsid w:val="00972DFD"/>
    <w:rsid w:val="00980616"/>
    <w:rsid w:val="00981844"/>
    <w:rsid w:val="00983CF7"/>
    <w:rsid w:val="009A03C9"/>
    <w:rsid w:val="009C1BD8"/>
    <w:rsid w:val="009C6C7A"/>
    <w:rsid w:val="009C763B"/>
    <w:rsid w:val="009D0777"/>
    <w:rsid w:val="009D28F6"/>
    <w:rsid w:val="009F092C"/>
    <w:rsid w:val="009F1840"/>
    <w:rsid w:val="009F73E7"/>
    <w:rsid w:val="00A002D8"/>
    <w:rsid w:val="00A023BA"/>
    <w:rsid w:val="00A03B09"/>
    <w:rsid w:val="00A0674E"/>
    <w:rsid w:val="00A12B64"/>
    <w:rsid w:val="00A13A51"/>
    <w:rsid w:val="00A242B2"/>
    <w:rsid w:val="00A35C21"/>
    <w:rsid w:val="00A37ED3"/>
    <w:rsid w:val="00A54B81"/>
    <w:rsid w:val="00A5591D"/>
    <w:rsid w:val="00A61709"/>
    <w:rsid w:val="00A66C2F"/>
    <w:rsid w:val="00A81634"/>
    <w:rsid w:val="00A938CE"/>
    <w:rsid w:val="00A97172"/>
    <w:rsid w:val="00A97DF2"/>
    <w:rsid w:val="00AA3820"/>
    <w:rsid w:val="00AA755C"/>
    <w:rsid w:val="00AB0F22"/>
    <w:rsid w:val="00AB5A17"/>
    <w:rsid w:val="00AC2961"/>
    <w:rsid w:val="00AC68E9"/>
    <w:rsid w:val="00AD2B44"/>
    <w:rsid w:val="00AD5204"/>
    <w:rsid w:val="00AD5B20"/>
    <w:rsid w:val="00AD6110"/>
    <w:rsid w:val="00AF1FB3"/>
    <w:rsid w:val="00AF459C"/>
    <w:rsid w:val="00AF6D69"/>
    <w:rsid w:val="00B00C69"/>
    <w:rsid w:val="00B041F6"/>
    <w:rsid w:val="00B10784"/>
    <w:rsid w:val="00B32711"/>
    <w:rsid w:val="00B33A9D"/>
    <w:rsid w:val="00B6310E"/>
    <w:rsid w:val="00B648C8"/>
    <w:rsid w:val="00B76628"/>
    <w:rsid w:val="00B90298"/>
    <w:rsid w:val="00B92151"/>
    <w:rsid w:val="00B96111"/>
    <w:rsid w:val="00BA4894"/>
    <w:rsid w:val="00BB1F40"/>
    <w:rsid w:val="00BB352D"/>
    <w:rsid w:val="00BC5FEB"/>
    <w:rsid w:val="00BE45B2"/>
    <w:rsid w:val="00BF01F4"/>
    <w:rsid w:val="00BF5BC4"/>
    <w:rsid w:val="00C000A6"/>
    <w:rsid w:val="00C150A7"/>
    <w:rsid w:val="00C16949"/>
    <w:rsid w:val="00C36474"/>
    <w:rsid w:val="00C53EB5"/>
    <w:rsid w:val="00C553CC"/>
    <w:rsid w:val="00C571A1"/>
    <w:rsid w:val="00C57C07"/>
    <w:rsid w:val="00C704BD"/>
    <w:rsid w:val="00C7315D"/>
    <w:rsid w:val="00C752DD"/>
    <w:rsid w:val="00C901BB"/>
    <w:rsid w:val="00CA6292"/>
    <w:rsid w:val="00CC0BE2"/>
    <w:rsid w:val="00CC1938"/>
    <w:rsid w:val="00CC2C7E"/>
    <w:rsid w:val="00CC61C6"/>
    <w:rsid w:val="00CE19A9"/>
    <w:rsid w:val="00CF124D"/>
    <w:rsid w:val="00CF1E2F"/>
    <w:rsid w:val="00D003E8"/>
    <w:rsid w:val="00D03F07"/>
    <w:rsid w:val="00D14F64"/>
    <w:rsid w:val="00D15178"/>
    <w:rsid w:val="00D200D6"/>
    <w:rsid w:val="00D22067"/>
    <w:rsid w:val="00D26C39"/>
    <w:rsid w:val="00D4347C"/>
    <w:rsid w:val="00D50892"/>
    <w:rsid w:val="00D50C68"/>
    <w:rsid w:val="00D5454C"/>
    <w:rsid w:val="00D635F8"/>
    <w:rsid w:val="00D8226D"/>
    <w:rsid w:val="00D85BBB"/>
    <w:rsid w:val="00D864AA"/>
    <w:rsid w:val="00D91167"/>
    <w:rsid w:val="00D925E3"/>
    <w:rsid w:val="00DA3337"/>
    <w:rsid w:val="00DA35EF"/>
    <w:rsid w:val="00DB5D71"/>
    <w:rsid w:val="00DB72F3"/>
    <w:rsid w:val="00DC6FEB"/>
    <w:rsid w:val="00DD551B"/>
    <w:rsid w:val="00DE645D"/>
    <w:rsid w:val="00E03E96"/>
    <w:rsid w:val="00E05958"/>
    <w:rsid w:val="00E06F84"/>
    <w:rsid w:val="00E16755"/>
    <w:rsid w:val="00E3766A"/>
    <w:rsid w:val="00E410DC"/>
    <w:rsid w:val="00E41B08"/>
    <w:rsid w:val="00E5006B"/>
    <w:rsid w:val="00E7005E"/>
    <w:rsid w:val="00E8485F"/>
    <w:rsid w:val="00EB5127"/>
    <w:rsid w:val="00EB7BEC"/>
    <w:rsid w:val="00EC69FE"/>
    <w:rsid w:val="00EE1B2E"/>
    <w:rsid w:val="00EE2008"/>
    <w:rsid w:val="00EF11FD"/>
    <w:rsid w:val="00F01998"/>
    <w:rsid w:val="00F07210"/>
    <w:rsid w:val="00F1093D"/>
    <w:rsid w:val="00F10F42"/>
    <w:rsid w:val="00F12EA2"/>
    <w:rsid w:val="00F14A1E"/>
    <w:rsid w:val="00F241F6"/>
    <w:rsid w:val="00F26C63"/>
    <w:rsid w:val="00F2757C"/>
    <w:rsid w:val="00F37A41"/>
    <w:rsid w:val="00F647C5"/>
    <w:rsid w:val="00F65A61"/>
    <w:rsid w:val="00F84E15"/>
    <w:rsid w:val="00F91068"/>
    <w:rsid w:val="00F938DC"/>
    <w:rsid w:val="00F939BD"/>
    <w:rsid w:val="00F948E7"/>
    <w:rsid w:val="00FA04F5"/>
    <w:rsid w:val="00FA18A0"/>
    <w:rsid w:val="00FA6DC5"/>
    <w:rsid w:val="00FB0B25"/>
    <w:rsid w:val="00FB1F30"/>
    <w:rsid w:val="00FB3883"/>
    <w:rsid w:val="00FC0B0B"/>
    <w:rsid w:val="00FD4731"/>
    <w:rsid w:val="00FD575B"/>
    <w:rsid w:val="00FD62D7"/>
    <w:rsid w:val="00FD77EC"/>
    <w:rsid w:val="00FF13B1"/>
    <w:rsid w:val="00FF5C06"/>
    <w:rsid w:val="00FF68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A755C"/>
    <w:pPr>
      <w:spacing w:after="240"/>
      <w:jc w:val="both"/>
    </w:pPr>
    <w:rPr>
      <w:sz w:val="24"/>
      <w:lang w:eastAsia="en-US"/>
    </w:rPr>
  </w:style>
  <w:style w:type="paragraph" w:styleId="Heading1">
    <w:name w:val="heading 1"/>
    <w:basedOn w:val="Normal"/>
    <w:next w:val="Normal"/>
    <w:semiHidden/>
    <w:qFormat/>
    <w:rsid w:val="003536A9"/>
    <w:pPr>
      <w:keepNext/>
      <w:spacing w:before="360" w:line="280" w:lineRule="exact"/>
      <w:outlineLvl w:val="0"/>
    </w:pPr>
    <w:rPr>
      <w:b/>
      <w:caps/>
      <w:kern w:val="28"/>
      <w:sz w:val="28"/>
    </w:rPr>
  </w:style>
  <w:style w:type="paragraph" w:styleId="Heading2">
    <w:name w:val="heading 2"/>
    <w:basedOn w:val="Normal"/>
    <w:next w:val="Normal"/>
    <w:semiHidden/>
    <w:qFormat/>
    <w:rsid w:val="003536A9"/>
    <w:pPr>
      <w:keepNext/>
      <w:spacing w:before="240" w:after="120" w:line="280" w:lineRule="exact"/>
      <w:outlineLvl w:val="1"/>
    </w:pPr>
    <w:rPr>
      <w:b/>
    </w:rPr>
  </w:style>
  <w:style w:type="paragraph" w:styleId="Heading3">
    <w:name w:val="heading 3"/>
    <w:basedOn w:val="Normal"/>
    <w:next w:val="Normal"/>
    <w:semiHidden/>
    <w:qFormat/>
    <w:rsid w:val="003536A9"/>
    <w:pPr>
      <w:keepNext/>
      <w:spacing w:before="120" w:after="120"/>
      <w:outlineLvl w:val="2"/>
    </w:pPr>
    <w:rPr>
      <w:b/>
      <w:i/>
      <w:iCs/>
    </w:rPr>
  </w:style>
  <w:style w:type="paragraph" w:styleId="Heading4">
    <w:name w:val="heading 4"/>
    <w:basedOn w:val="Normal"/>
    <w:next w:val="Normal"/>
    <w:semiHidden/>
    <w:qFormat/>
    <w:rsid w:val="003536A9"/>
    <w:pPr>
      <w:keepNext/>
      <w:outlineLvl w:val="3"/>
    </w:pPr>
    <w:rPr>
      <w:i/>
      <w:iCs/>
    </w:rPr>
  </w:style>
  <w:style w:type="paragraph" w:styleId="Heading5">
    <w:name w:val="heading 5"/>
    <w:basedOn w:val="Normal"/>
    <w:next w:val="Normal"/>
    <w:semiHidden/>
    <w:qFormat/>
    <w:rsid w:val="00662B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uiPriority w:val="99"/>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Figure"/>
    <w:semiHidden/>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semiHidden/>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semiHidden/>
    <w:rsid w:val="00C57C07"/>
    <w:rPr>
      <w:sz w:val="16"/>
      <w:szCs w:val="16"/>
    </w:rPr>
  </w:style>
  <w:style w:type="paragraph" w:styleId="CommentText">
    <w:name w:val="annotation text"/>
    <w:basedOn w:val="Normal"/>
    <w:semiHidden/>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056EF5"/>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character" w:customStyle="1" w:styleId="HeaderChar">
    <w:name w:val="Header Char"/>
    <w:link w:val="Header"/>
    <w:uiPriority w:val="99"/>
    <w:rsid w:val="00A97DF2"/>
    <w:rPr>
      <w:sz w:val="24"/>
      <w:lang w:val="en-AU"/>
    </w:rPr>
  </w:style>
  <w:style w:type="paragraph" w:customStyle="1" w:styleId="GTCTitle">
    <w:name w:val="GTC Title"/>
    <w:basedOn w:val="Normal"/>
    <w:rsid w:val="00290A56"/>
    <w:pPr>
      <w:spacing w:before="120" w:after="120"/>
    </w:pPr>
    <w:rPr>
      <w:rFonts w:ascii="Arial" w:hAnsi="Arial" w:cs="Arial"/>
      <w:b/>
      <w:bCs/>
      <w:sz w:val="36"/>
      <w:szCs w:val="36"/>
      <w:lang w:val="en-US"/>
    </w:rPr>
  </w:style>
  <w:style w:type="paragraph" w:customStyle="1" w:styleId="C-TableHeader">
    <w:name w:val="C-Table Header"/>
    <w:next w:val="C-TableText"/>
    <w:link w:val="C-TableHeaderChar"/>
    <w:rsid w:val="00290A56"/>
    <w:pPr>
      <w:keepNext/>
      <w:spacing w:before="60" w:after="60"/>
    </w:pPr>
    <w:rPr>
      <w:b/>
      <w:sz w:val="22"/>
      <w:lang w:val="en-US" w:eastAsia="en-US"/>
    </w:rPr>
  </w:style>
  <w:style w:type="paragraph" w:customStyle="1" w:styleId="C-TableText">
    <w:name w:val="C-Table Text"/>
    <w:link w:val="C-TableTextChar"/>
    <w:rsid w:val="00290A56"/>
    <w:pPr>
      <w:spacing w:before="60" w:after="60"/>
    </w:pPr>
    <w:rPr>
      <w:sz w:val="22"/>
      <w:lang w:val="en-US" w:eastAsia="en-US"/>
    </w:rPr>
  </w:style>
  <w:style w:type="character" w:customStyle="1" w:styleId="C-TableTextChar">
    <w:name w:val="C-Table Text Char"/>
    <w:link w:val="C-TableText"/>
    <w:rsid w:val="00290A56"/>
    <w:rPr>
      <w:sz w:val="22"/>
    </w:rPr>
  </w:style>
  <w:style w:type="character" w:customStyle="1" w:styleId="C-TableHeaderChar">
    <w:name w:val="C-Table Header Char"/>
    <w:link w:val="C-TableHeader"/>
    <w:rsid w:val="00290A56"/>
    <w:rPr>
      <w:b/>
      <w:sz w:val="22"/>
    </w:rPr>
  </w:style>
  <w:style w:type="paragraph" w:styleId="BlockText">
    <w:name w:val="Block Text"/>
    <w:basedOn w:val="Normal"/>
    <w:rsid w:val="00290A56"/>
    <w:pPr>
      <w:widowControl w:val="0"/>
      <w:autoSpaceDE w:val="0"/>
      <w:autoSpaceDN w:val="0"/>
      <w:spacing w:after="120"/>
      <w:ind w:left="1440" w:right="1440"/>
      <w:jc w:val="left"/>
    </w:pPr>
    <w:rPr>
      <w:szCs w:val="24"/>
      <w:lang w:val="en-US"/>
    </w:rPr>
  </w:style>
  <w:style w:type="paragraph" w:customStyle="1" w:styleId="CM33">
    <w:name w:val="CM33"/>
    <w:basedOn w:val="Normal"/>
    <w:next w:val="Normal"/>
    <w:uiPriority w:val="99"/>
    <w:rsid w:val="00A002D8"/>
    <w:pPr>
      <w:autoSpaceDE w:val="0"/>
      <w:autoSpaceDN w:val="0"/>
      <w:adjustRightInd w:val="0"/>
      <w:spacing w:after="250"/>
      <w:jc w:val="left"/>
    </w:pPr>
    <w:rPr>
      <w:rFonts w:ascii="Arial" w:eastAsia="Calibri" w:hAnsi="Arial" w:cs="Arial"/>
      <w:szCs w:val="24"/>
      <w:lang w:val="en-US"/>
    </w:rPr>
  </w:style>
  <w:style w:type="paragraph" w:customStyle="1" w:styleId="CM11">
    <w:name w:val="CM11"/>
    <w:basedOn w:val="Normal"/>
    <w:next w:val="Normal"/>
    <w:uiPriority w:val="99"/>
    <w:rsid w:val="00A002D8"/>
    <w:pPr>
      <w:autoSpaceDE w:val="0"/>
      <w:autoSpaceDN w:val="0"/>
      <w:adjustRightInd w:val="0"/>
      <w:spacing w:after="0" w:line="256" w:lineRule="atLeast"/>
      <w:jc w:val="left"/>
    </w:pPr>
    <w:rPr>
      <w:rFonts w:ascii="Arial" w:eastAsia="Calibri" w:hAnsi="Arial" w:cs="Arial"/>
      <w:szCs w:val="24"/>
      <w:lang w:val="en-US"/>
    </w:rPr>
  </w:style>
  <w:style w:type="paragraph" w:customStyle="1" w:styleId="GTCBodyText">
    <w:name w:val="GTC Body Text"/>
    <w:basedOn w:val="Normal"/>
    <w:rsid w:val="00A002D8"/>
    <w:pPr>
      <w:spacing w:before="240" w:line="300" w:lineRule="auto"/>
    </w:pPr>
    <w:rPr>
      <w:szCs w:val="24"/>
      <w:lang w:val="en-US"/>
    </w:rPr>
  </w:style>
  <w:style w:type="paragraph" w:customStyle="1" w:styleId="C-BodyText">
    <w:name w:val="C-Body Text"/>
    <w:link w:val="C-BodyTextChar"/>
    <w:rsid w:val="00A002D8"/>
    <w:pPr>
      <w:spacing w:before="120" w:after="120" w:line="280" w:lineRule="atLeast"/>
    </w:pPr>
    <w:rPr>
      <w:sz w:val="24"/>
      <w:lang w:val="en-US" w:eastAsia="en-US"/>
    </w:rPr>
  </w:style>
  <w:style w:type="character" w:customStyle="1" w:styleId="C-BodyTextChar">
    <w:name w:val="C-Body Text Char"/>
    <w:link w:val="C-BodyText"/>
    <w:rsid w:val="00A002D8"/>
    <w:rPr>
      <w:sz w:val="24"/>
    </w:rPr>
  </w:style>
  <w:style w:type="character" w:customStyle="1" w:styleId="FooterChar">
    <w:name w:val="Footer Char"/>
    <w:link w:val="Footer"/>
    <w:uiPriority w:val="99"/>
    <w:rsid w:val="00B00C69"/>
    <w:rPr>
      <w:lang w:val="en-AU"/>
    </w:rPr>
  </w:style>
  <w:style w:type="paragraph" w:customStyle="1" w:styleId="AxisLabel">
    <w:name w:val="Axis Label"/>
    <w:basedOn w:val="Normal"/>
    <w:qFormat/>
    <w:rsid w:val="002B5F46"/>
    <w:pPr>
      <w:spacing w:before="180" w:after="0"/>
      <w:jc w:val="left"/>
    </w:pPr>
    <w:rPr>
      <w:rFonts w:ascii="Arial" w:eastAsia="Cambria" w:hAnsi="Arial"/>
      <w:noProof/>
      <w:sz w:val="14"/>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A755C"/>
    <w:pPr>
      <w:spacing w:after="240"/>
      <w:jc w:val="both"/>
    </w:pPr>
    <w:rPr>
      <w:sz w:val="24"/>
      <w:lang w:eastAsia="en-US"/>
    </w:rPr>
  </w:style>
  <w:style w:type="paragraph" w:styleId="Heading1">
    <w:name w:val="heading 1"/>
    <w:basedOn w:val="Normal"/>
    <w:next w:val="Normal"/>
    <w:semiHidden/>
    <w:qFormat/>
    <w:rsid w:val="003536A9"/>
    <w:pPr>
      <w:keepNext/>
      <w:spacing w:before="360" w:line="280" w:lineRule="exact"/>
      <w:outlineLvl w:val="0"/>
    </w:pPr>
    <w:rPr>
      <w:b/>
      <w:caps/>
      <w:kern w:val="28"/>
      <w:sz w:val="28"/>
    </w:rPr>
  </w:style>
  <w:style w:type="paragraph" w:styleId="Heading2">
    <w:name w:val="heading 2"/>
    <w:basedOn w:val="Normal"/>
    <w:next w:val="Normal"/>
    <w:semiHidden/>
    <w:qFormat/>
    <w:rsid w:val="003536A9"/>
    <w:pPr>
      <w:keepNext/>
      <w:spacing w:before="240" w:after="120" w:line="280" w:lineRule="exact"/>
      <w:outlineLvl w:val="1"/>
    </w:pPr>
    <w:rPr>
      <w:b/>
    </w:rPr>
  </w:style>
  <w:style w:type="paragraph" w:styleId="Heading3">
    <w:name w:val="heading 3"/>
    <w:basedOn w:val="Normal"/>
    <w:next w:val="Normal"/>
    <w:semiHidden/>
    <w:qFormat/>
    <w:rsid w:val="003536A9"/>
    <w:pPr>
      <w:keepNext/>
      <w:spacing w:before="120" w:after="120"/>
      <w:outlineLvl w:val="2"/>
    </w:pPr>
    <w:rPr>
      <w:b/>
      <w:i/>
      <w:iCs/>
    </w:rPr>
  </w:style>
  <w:style w:type="paragraph" w:styleId="Heading4">
    <w:name w:val="heading 4"/>
    <w:basedOn w:val="Normal"/>
    <w:next w:val="Normal"/>
    <w:semiHidden/>
    <w:qFormat/>
    <w:rsid w:val="003536A9"/>
    <w:pPr>
      <w:keepNext/>
      <w:outlineLvl w:val="3"/>
    </w:pPr>
    <w:rPr>
      <w:i/>
      <w:iCs/>
    </w:rPr>
  </w:style>
  <w:style w:type="paragraph" w:styleId="Heading5">
    <w:name w:val="heading 5"/>
    <w:basedOn w:val="Normal"/>
    <w:next w:val="Normal"/>
    <w:semiHidden/>
    <w:qFormat/>
    <w:rsid w:val="00662BB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semiHidden/>
    <w:rsid w:val="003536A9"/>
    <w:pPr>
      <w:spacing w:before="240" w:after="360"/>
    </w:pPr>
    <w:rPr>
      <w:color w:val="000000"/>
    </w:rPr>
  </w:style>
  <w:style w:type="paragraph" w:customStyle="1" w:styleId="FigureFootnote">
    <w:name w:val="Figure Footnote"/>
    <w:basedOn w:val="Normal"/>
    <w:next w:val="Normal"/>
    <w:semiHidden/>
    <w:rsid w:val="003536A9"/>
    <w:pPr>
      <w:spacing w:before="240" w:after="360"/>
    </w:pPr>
    <w:rPr>
      <w:color w:val="000000"/>
    </w:rPr>
  </w:style>
  <w:style w:type="paragraph" w:customStyle="1" w:styleId="FigureTitle">
    <w:name w:val="Figure Title"/>
    <w:basedOn w:val="Normal"/>
    <w:next w:val="Figure"/>
    <w:semiHidden/>
    <w:rsid w:val="003536A9"/>
    <w:pPr>
      <w:keepNext/>
      <w:spacing w:before="360"/>
    </w:pPr>
    <w:rPr>
      <w:b/>
      <w:color w:val="000000"/>
    </w:rPr>
  </w:style>
  <w:style w:type="character" w:styleId="FootnoteReference">
    <w:name w:val="footnote reference"/>
    <w:semiHidden/>
    <w:rsid w:val="003536A9"/>
    <w:rPr>
      <w:sz w:val="24"/>
      <w:vertAlign w:val="superscript"/>
    </w:rPr>
  </w:style>
  <w:style w:type="paragraph" w:styleId="Header">
    <w:name w:val="header"/>
    <w:basedOn w:val="Normal"/>
    <w:link w:val="HeaderChar"/>
    <w:uiPriority w:val="99"/>
    <w:rsid w:val="003536A9"/>
    <w:pPr>
      <w:tabs>
        <w:tab w:val="center" w:pos="4153"/>
        <w:tab w:val="right" w:pos="8306"/>
      </w:tabs>
    </w:pPr>
  </w:style>
  <w:style w:type="paragraph" w:styleId="Footer">
    <w:name w:val="footer"/>
    <w:basedOn w:val="Normal"/>
    <w:link w:val="FooterChar"/>
    <w:uiPriority w:val="99"/>
    <w:rsid w:val="003536A9"/>
    <w:pPr>
      <w:pBdr>
        <w:top w:val="single" w:sz="6" w:space="1" w:color="auto"/>
      </w:pBdr>
      <w:tabs>
        <w:tab w:val="left" w:pos="9923"/>
      </w:tabs>
      <w:spacing w:after="0" w:line="280" w:lineRule="exact"/>
      <w:jc w:val="left"/>
    </w:pPr>
    <w:rPr>
      <w:sz w:val="20"/>
    </w:rPr>
  </w:style>
  <w:style w:type="table" w:styleId="TableGrid">
    <w:name w:val="Table Grid"/>
    <w:basedOn w:val="TableNormal"/>
    <w:uiPriority w:val="59"/>
    <w:rsid w:val="00DB5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Figure"/>
    <w:semiHidden/>
    <w:rsid w:val="003536A9"/>
    <w:pPr>
      <w:spacing w:before="0" w:after="0"/>
      <w:jc w:val="left"/>
    </w:pPr>
    <w:rPr>
      <w:snapToGrid w:val="0"/>
      <w:szCs w:val="24"/>
    </w:rPr>
  </w:style>
  <w:style w:type="paragraph" w:customStyle="1" w:styleId="TableHeading">
    <w:name w:val="Table Heading"/>
    <w:basedOn w:val="TableText"/>
    <w:semiHidden/>
    <w:rsid w:val="003536A9"/>
    <w:pPr>
      <w:keepNext/>
    </w:pPr>
    <w:rPr>
      <w:b/>
      <w:bCs/>
    </w:rPr>
  </w:style>
  <w:style w:type="character" w:styleId="Hyperlink">
    <w:name w:val="Hyperlink"/>
    <w:semiHidden/>
    <w:rsid w:val="003536A9"/>
    <w:rPr>
      <w:color w:val="auto"/>
      <w:u w:val="none"/>
    </w:rPr>
  </w:style>
  <w:style w:type="paragraph" w:styleId="ListNumber">
    <w:name w:val="List Number"/>
    <w:basedOn w:val="Normal"/>
    <w:semiHidden/>
    <w:rsid w:val="003536A9"/>
    <w:pPr>
      <w:numPr>
        <w:numId w:val="5"/>
      </w:numPr>
    </w:pPr>
  </w:style>
  <w:style w:type="paragraph" w:customStyle="1" w:styleId="TableTitle">
    <w:name w:val="Table Title"/>
    <w:basedOn w:val="FigureTitle"/>
    <w:next w:val="TableText"/>
    <w:semiHidden/>
    <w:rsid w:val="003536A9"/>
    <w:pPr>
      <w:spacing w:after="0"/>
      <w:jc w:val="left"/>
    </w:pPr>
    <w:rPr>
      <w:szCs w:val="24"/>
    </w:rPr>
  </w:style>
  <w:style w:type="paragraph" w:styleId="ListBullet">
    <w:name w:val="List Bullet"/>
    <w:basedOn w:val="Normal"/>
    <w:semiHidden/>
    <w:rsid w:val="003536A9"/>
    <w:pPr>
      <w:numPr>
        <w:numId w:val="3"/>
      </w:numPr>
    </w:pPr>
  </w:style>
  <w:style w:type="paragraph" w:styleId="Subtitle">
    <w:name w:val="Subtitle"/>
    <w:basedOn w:val="Normal"/>
    <w:link w:val="SubtitleChar"/>
    <w:qFormat/>
    <w:rsid w:val="003536A9"/>
    <w:pPr>
      <w:spacing w:after="60"/>
      <w:outlineLvl w:val="1"/>
    </w:pPr>
    <w:rPr>
      <w:b/>
      <w:sz w:val="32"/>
    </w:rPr>
  </w:style>
  <w:style w:type="paragraph" w:customStyle="1" w:styleId="TableFootnote">
    <w:name w:val="Table Footnote"/>
    <w:basedOn w:val="FigureFootnote"/>
    <w:next w:val="Normal"/>
    <w:semiHidden/>
    <w:rsid w:val="003536A9"/>
    <w:pPr>
      <w:spacing w:before="0" w:after="0"/>
      <w:jc w:val="left"/>
    </w:pPr>
    <w:rPr>
      <w:sz w:val="20"/>
      <w:szCs w:val="24"/>
    </w:rPr>
  </w:style>
  <w:style w:type="paragraph" w:customStyle="1" w:styleId="TableSpace">
    <w:name w:val="Table Space"/>
    <w:basedOn w:val="Figure"/>
    <w:next w:val="Normal"/>
    <w:semiHidden/>
    <w:rsid w:val="003536A9"/>
    <w:pPr>
      <w:spacing w:before="0" w:after="480"/>
      <w:jc w:val="left"/>
    </w:pPr>
    <w:rPr>
      <w:szCs w:val="24"/>
    </w:rPr>
  </w:style>
  <w:style w:type="paragraph" w:customStyle="1" w:styleId="TableTitleCont">
    <w:name w:val="Table Title Cont"/>
    <w:basedOn w:val="TableTitle"/>
    <w:next w:val="TableText"/>
    <w:semiHidden/>
    <w:rsid w:val="003536A9"/>
    <w:pPr>
      <w:spacing w:before="0"/>
    </w:pPr>
    <w:rPr>
      <w:b w:val="0"/>
    </w:rPr>
  </w:style>
  <w:style w:type="paragraph" w:styleId="Title">
    <w:name w:val="Title"/>
    <w:basedOn w:val="Normal"/>
    <w:semiHidden/>
    <w:qFormat/>
    <w:rsid w:val="003536A9"/>
    <w:pPr>
      <w:spacing w:before="240" w:after="60"/>
      <w:outlineLvl w:val="0"/>
    </w:pPr>
    <w:rPr>
      <w:b/>
      <w:kern w:val="28"/>
      <w:sz w:val="40"/>
    </w:rPr>
  </w:style>
  <w:style w:type="paragraph" w:styleId="BalloonText">
    <w:name w:val="Balloon Text"/>
    <w:basedOn w:val="Normal"/>
    <w:semiHidden/>
    <w:rsid w:val="00FD575B"/>
    <w:rPr>
      <w:rFonts w:ascii="Tahoma" w:hAnsi="Tahoma" w:cs="Tahoma"/>
      <w:sz w:val="16"/>
      <w:szCs w:val="16"/>
    </w:rPr>
  </w:style>
  <w:style w:type="character" w:styleId="CommentReference">
    <w:name w:val="annotation reference"/>
    <w:semiHidden/>
    <w:rsid w:val="00C57C07"/>
    <w:rPr>
      <w:sz w:val="16"/>
      <w:szCs w:val="16"/>
    </w:rPr>
  </w:style>
  <w:style w:type="paragraph" w:styleId="CommentText">
    <w:name w:val="annotation text"/>
    <w:basedOn w:val="Normal"/>
    <w:semiHidden/>
    <w:rsid w:val="00C57C07"/>
    <w:rPr>
      <w:sz w:val="20"/>
    </w:rPr>
  </w:style>
  <w:style w:type="paragraph" w:styleId="CommentSubject">
    <w:name w:val="annotation subject"/>
    <w:basedOn w:val="CommentText"/>
    <w:next w:val="CommentText"/>
    <w:semiHidden/>
    <w:rsid w:val="00C57C07"/>
    <w:rPr>
      <w:b/>
      <w:bCs/>
    </w:rPr>
  </w:style>
  <w:style w:type="character" w:styleId="PageNumber">
    <w:name w:val="page number"/>
    <w:basedOn w:val="DefaultParagraphFont"/>
    <w:semiHidden/>
    <w:rsid w:val="001B2FD7"/>
  </w:style>
  <w:style w:type="paragraph" w:customStyle="1" w:styleId="PITITLE">
    <w:name w:val="PI TITLE"/>
    <w:basedOn w:val="Title"/>
    <w:qFormat/>
    <w:rsid w:val="00CF1E2F"/>
  </w:style>
  <w:style w:type="paragraph" w:customStyle="1" w:styleId="PISubtitle">
    <w:name w:val="PI Subtitle"/>
    <w:basedOn w:val="Subtitle"/>
    <w:uiPriority w:val="1"/>
    <w:qFormat/>
    <w:rsid w:val="00CF1E2F"/>
  </w:style>
  <w:style w:type="paragraph" w:customStyle="1" w:styleId="PIHeading1">
    <w:name w:val="PI Heading 1"/>
    <w:basedOn w:val="Heading1"/>
    <w:uiPriority w:val="2"/>
    <w:qFormat/>
    <w:rsid w:val="00CF1E2F"/>
  </w:style>
  <w:style w:type="paragraph" w:customStyle="1" w:styleId="PINormal">
    <w:name w:val="PI Normal"/>
    <w:basedOn w:val="Normal"/>
    <w:uiPriority w:val="6"/>
    <w:qFormat/>
    <w:rsid w:val="00CF1E2F"/>
  </w:style>
  <w:style w:type="paragraph" w:customStyle="1" w:styleId="PIFigure">
    <w:name w:val="PI Figure"/>
    <w:basedOn w:val="Figure"/>
    <w:uiPriority w:val="7"/>
    <w:qFormat/>
    <w:rsid w:val="00CF1E2F"/>
  </w:style>
  <w:style w:type="paragraph" w:customStyle="1" w:styleId="PIHeading2">
    <w:name w:val="PI Heading 2"/>
    <w:basedOn w:val="Heading2"/>
    <w:uiPriority w:val="3"/>
    <w:qFormat/>
    <w:rsid w:val="00BB1F40"/>
  </w:style>
  <w:style w:type="paragraph" w:customStyle="1" w:styleId="PIHeading3">
    <w:name w:val="PI Heading 3"/>
    <w:basedOn w:val="Heading3"/>
    <w:uiPriority w:val="4"/>
    <w:qFormat/>
    <w:rsid w:val="00BB1F40"/>
  </w:style>
  <w:style w:type="paragraph" w:customStyle="1" w:styleId="PIHeading4">
    <w:name w:val="PI Heading 4"/>
    <w:basedOn w:val="Heading4"/>
    <w:uiPriority w:val="5"/>
    <w:qFormat/>
    <w:rsid w:val="00BB1F40"/>
    <w:pPr>
      <w:spacing w:before="120" w:after="120"/>
    </w:pPr>
  </w:style>
  <w:style w:type="paragraph" w:customStyle="1" w:styleId="PIFooter">
    <w:name w:val="PI Footer"/>
    <w:basedOn w:val="Footer"/>
    <w:uiPriority w:val="7"/>
    <w:qFormat/>
    <w:rsid w:val="00056EF5"/>
    <w:pPr>
      <w:tabs>
        <w:tab w:val="clear" w:pos="9923"/>
        <w:tab w:val="right" w:pos="8800"/>
      </w:tabs>
    </w:pPr>
  </w:style>
  <w:style w:type="paragraph" w:customStyle="1" w:styleId="PITableTitle">
    <w:name w:val="PI Table Title"/>
    <w:basedOn w:val="TableTitle"/>
    <w:uiPriority w:val="7"/>
    <w:qFormat/>
    <w:rsid w:val="00056EF5"/>
    <w:pPr>
      <w:keepLines/>
    </w:pPr>
  </w:style>
  <w:style w:type="paragraph" w:customStyle="1" w:styleId="PITableText">
    <w:name w:val="PI Table Text"/>
    <w:basedOn w:val="TableText"/>
    <w:uiPriority w:val="7"/>
    <w:qFormat/>
    <w:rsid w:val="00CC1938"/>
  </w:style>
  <w:style w:type="paragraph" w:customStyle="1" w:styleId="PITableSpace">
    <w:name w:val="PI Table Space"/>
    <w:basedOn w:val="TableSpace"/>
    <w:uiPriority w:val="7"/>
    <w:qFormat/>
    <w:rsid w:val="00CC1938"/>
    <w:pPr>
      <w:spacing w:after="120"/>
    </w:pPr>
  </w:style>
  <w:style w:type="paragraph" w:customStyle="1" w:styleId="PITableFootnote">
    <w:name w:val="PI Table Footnote"/>
    <w:basedOn w:val="TableFootnote"/>
    <w:uiPriority w:val="7"/>
    <w:qFormat/>
    <w:rsid w:val="00CC1938"/>
    <w:pPr>
      <w:spacing w:after="240"/>
    </w:pPr>
  </w:style>
  <w:style w:type="paragraph" w:customStyle="1" w:styleId="HeaderTitle">
    <w:name w:val="Header Title"/>
    <w:basedOn w:val="Normal"/>
    <w:rsid w:val="00F647C5"/>
    <w:pPr>
      <w:spacing w:after="120"/>
      <w:jc w:val="center"/>
    </w:pPr>
    <w:rPr>
      <w:rFonts w:ascii="Arial" w:hAnsi="Arial"/>
      <w:b/>
      <w:szCs w:val="24"/>
      <w:lang w:val="en-US"/>
    </w:rPr>
  </w:style>
  <w:style w:type="paragraph" w:customStyle="1" w:styleId="HeaderSubtitle">
    <w:name w:val="Header Subtitle"/>
    <w:basedOn w:val="Normal"/>
    <w:rsid w:val="00F647C5"/>
    <w:pPr>
      <w:spacing w:before="120" w:after="120"/>
    </w:pPr>
    <w:rPr>
      <w:rFonts w:ascii="Arial" w:hAnsi="Arial"/>
      <w:b/>
      <w:sz w:val="18"/>
      <w:lang w:val="en-US"/>
    </w:rPr>
  </w:style>
  <w:style w:type="paragraph" w:customStyle="1" w:styleId="HeaderText">
    <w:name w:val="Header Text"/>
    <w:basedOn w:val="HeaderSubtitle"/>
    <w:rsid w:val="00F647C5"/>
    <w:rPr>
      <w:b w:val="0"/>
    </w:rPr>
  </w:style>
  <w:style w:type="character" w:customStyle="1" w:styleId="SubtitleChar">
    <w:name w:val="Subtitle Char"/>
    <w:link w:val="Subtitle"/>
    <w:rsid w:val="00FB0B25"/>
    <w:rPr>
      <w:b/>
      <w:sz w:val="32"/>
      <w:lang w:eastAsia="en-US"/>
    </w:rPr>
  </w:style>
  <w:style w:type="character" w:customStyle="1" w:styleId="PITradename">
    <w:name w:val="PI Tradename"/>
    <w:basedOn w:val="SubtitleChar"/>
    <w:rsid w:val="00FB0B25"/>
    <w:rPr>
      <w:b/>
      <w:sz w:val="32"/>
      <w:lang w:eastAsia="en-US"/>
    </w:rPr>
  </w:style>
  <w:style w:type="character" w:customStyle="1" w:styleId="PIRegisteredTrademarkSign">
    <w:name w:val="PI Registered Trademark Sign"/>
    <w:rsid w:val="00FB0B25"/>
    <w:rPr>
      <w:b/>
      <w:sz w:val="32"/>
      <w:vertAlign w:val="superscript"/>
      <w:lang w:eastAsia="en-US"/>
    </w:rPr>
  </w:style>
  <w:style w:type="character" w:customStyle="1" w:styleId="HeaderChar">
    <w:name w:val="Header Char"/>
    <w:link w:val="Header"/>
    <w:uiPriority w:val="99"/>
    <w:rsid w:val="00A97DF2"/>
    <w:rPr>
      <w:sz w:val="24"/>
      <w:lang w:val="en-AU"/>
    </w:rPr>
  </w:style>
  <w:style w:type="paragraph" w:customStyle="1" w:styleId="GTCTitle">
    <w:name w:val="GTC Title"/>
    <w:basedOn w:val="Normal"/>
    <w:rsid w:val="00290A56"/>
    <w:pPr>
      <w:spacing w:before="120" w:after="120"/>
    </w:pPr>
    <w:rPr>
      <w:rFonts w:ascii="Arial" w:hAnsi="Arial" w:cs="Arial"/>
      <w:b/>
      <w:bCs/>
      <w:sz w:val="36"/>
      <w:szCs w:val="36"/>
      <w:lang w:val="en-US"/>
    </w:rPr>
  </w:style>
  <w:style w:type="paragraph" w:customStyle="1" w:styleId="C-TableHeader">
    <w:name w:val="C-Table Header"/>
    <w:next w:val="C-TableText"/>
    <w:link w:val="C-TableHeaderChar"/>
    <w:rsid w:val="00290A56"/>
    <w:pPr>
      <w:keepNext/>
      <w:spacing w:before="60" w:after="60"/>
    </w:pPr>
    <w:rPr>
      <w:b/>
      <w:sz w:val="22"/>
      <w:lang w:val="en-US" w:eastAsia="en-US"/>
    </w:rPr>
  </w:style>
  <w:style w:type="paragraph" w:customStyle="1" w:styleId="C-TableText">
    <w:name w:val="C-Table Text"/>
    <w:link w:val="C-TableTextChar"/>
    <w:rsid w:val="00290A56"/>
    <w:pPr>
      <w:spacing w:before="60" w:after="60"/>
    </w:pPr>
    <w:rPr>
      <w:sz w:val="22"/>
      <w:lang w:val="en-US" w:eastAsia="en-US"/>
    </w:rPr>
  </w:style>
  <w:style w:type="character" w:customStyle="1" w:styleId="C-TableTextChar">
    <w:name w:val="C-Table Text Char"/>
    <w:link w:val="C-TableText"/>
    <w:rsid w:val="00290A56"/>
    <w:rPr>
      <w:sz w:val="22"/>
    </w:rPr>
  </w:style>
  <w:style w:type="character" w:customStyle="1" w:styleId="C-TableHeaderChar">
    <w:name w:val="C-Table Header Char"/>
    <w:link w:val="C-TableHeader"/>
    <w:rsid w:val="00290A56"/>
    <w:rPr>
      <w:b/>
      <w:sz w:val="22"/>
    </w:rPr>
  </w:style>
  <w:style w:type="paragraph" w:styleId="BlockText">
    <w:name w:val="Block Text"/>
    <w:basedOn w:val="Normal"/>
    <w:rsid w:val="00290A56"/>
    <w:pPr>
      <w:widowControl w:val="0"/>
      <w:autoSpaceDE w:val="0"/>
      <w:autoSpaceDN w:val="0"/>
      <w:spacing w:after="120"/>
      <w:ind w:left="1440" w:right="1440"/>
      <w:jc w:val="left"/>
    </w:pPr>
    <w:rPr>
      <w:szCs w:val="24"/>
      <w:lang w:val="en-US"/>
    </w:rPr>
  </w:style>
  <w:style w:type="paragraph" w:customStyle="1" w:styleId="CM33">
    <w:name w:val="CM33"/>
    <w:basedOn w:val="Normal"/>
    <w:next w:val="Normal"/>
    <w:uiPriority w:val="99"/>
    <w:rsid w:val="00A002D8"/>
    <w:pPr>
      <w:autoSpaceDE w:val="0"/>
      <w:autoSpaceDN w:val="0"/>
      <w:adjustRightInd w:val="0"/>
      <w:spacing w:after="250"/>
      <w:jc w:val="left"/>
    </w:pPr>
    <w:rPr>
      <w:rFonts w:ascii="Arial" w:eastAsia="Calibri" w:hAnsi="Arial" w:cs="Arial"/>
      <w:szCs w:val="24"/>
      <w:lang w:val="en-US"/>
    </w:rPr>
  </w:style>
  <w:style w:type="paragraph" w:customStyle="1" w:styleId="CM11">
    <w:name w:val="CM11"/>
    <w:basedOn w:val="Normal"/>
    <w:next w:val="Normal"/>
    <w:uiPriority w:val="99"/>
    <w:rsid w:val="00A002D8"/>
    <w:pPr>
      <w:autoSpaceDE w:val="0"/>
      <w:autoSpaceDN w:val="0"/>
      <w:adjustRightInd w:val="0"/>
      <w:spacing w:after="0" w:line="256" w:lineRule="atLeast"/>
      <w:jc w:val="left"/>
    </w:pPr>
    <w:rPr>
      <w:rFonts w:ascii="Arial" w:eastAsia="Calibri" w:hAnsi="Arial" w:cs="Arial"/>
      <w:szCs w:val="24"/>
      <w:lang w:val="en-US"/>
    </w:rPr>
  </w:style>
  <w:style w:type="paragraph" w:customStyle="1" w:styleId="GTCBodyText">
    <w:name w:val="GTC Body Text"/>
    <w:basedOn w:val="Normal"/>
    <w:rsid w:val="00A002D8"/>
    <w:pPr>
      <w:spacing w:before="240" w:line="300" w:lineRule="auto"/>
    </w:pPr>
    <w:rPr>
      <w:szCs w:val="24"/>
      <w:lang w:val="en-US"/>
    </w:rPr>
  </w:style>
  <w:style w:type="paragraph" w:customStyle="1" w:styleId="C-BodyText">
    <w:name w:val="C-Body Text"/>
    <w:link w:val="C-BodyTextChar"/>
    <w:rsid w:val="00A002D8"/>
    <w:pPr>
      <w:spacing w:before="120" w:after="120" w:line="280" w:lineRule="atLeast"/>
    </w:pPr>
    <w:rPr>
      <w:sz w:val="24"/>
      <w:lang w:val="en-US" w:eastAsia="en-US"/>
    </w:rPr>
  </w:style>
  <w:style w:type="character" w:customStyle="1" w:styleId="C-BodyTextChar">
    <w:name w:val="C-Body Text Char"/>
    <w:link w:val="C-BodyText"/>
    <w:rsid w:val="00A002D8"/>
    <w:rPr>
      <w:sz w:val="24"/>
    </w:rPr>
  </w:style>
  <w:style w:type="character" w:customStyle="1" w:styleId="FooterChar">
    <w:name w:val="Footer Char"/>
    <w:link w:val="Footer"/>
    <w:uiPriority w:val="99"/>
    <w:rsid w:val="00B00C69"/>
    <w:rPr>
      <w:lang w:val="en-AU"/>
    </w:rPr>
  </w:style>
  <w:style w:type="paragraph" w:customStyle="1" w:styleId="AxisLabel">
    <w:name w:val="Axis Label"/>
    <w:basedOn w:val="Normal"/>
    <w:qFormat/>
    <w:rsid w:val="002B5F46"/>
    <w:pPr>
      <w:spacing w:before="180" w:after="0"/>
      <w:jc w:val="left"/>
    </w:pPr>
    <w:rPr>
      <w:rFonts w:ascii="Arial" w:eastAsia="Cambria" w:hAnsi="Arial"/>
      <w:noProof/>
      <w:sz w:val="14"/>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 w:id="21374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ABF7-162D-4C2E-BA6E-CAFC374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4933</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AusPAR Attachment 1. Product information for peginterferon beta 1a (rch)</vt:lpstr>
    </vt:vector>
  </TitlesOfParts>
  <Company>Biogen Idec Australia Pty Ltd</Company>
  <LinksUpToDate>false</LinksUpToDate>
  <CharactersWithSpaces>34065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peginterferon beta 1a (rch)</dc:title>
  <dc:subject>prescription medicine regulation</dc:subject>
  <dc:creator>Biogen Idec Australia Pty Ltd</dc:creator>
  <cp:keywords>product, information, prescription, medicine, regulation, peginterferon, beta, 1a, rch, biogen, idec, plegridy</cp:keywords>
  <cp:lastModifiedBy>Dixon, Jenna</cp:lastModifiedBy>
  <cp:revision>4</cp:revision>
  <cp:lastPrinted>2010-05-12T05:29:00Z</cp:lastPrinted>
  <dcterms:created xsi:type="dcterms:W3CDTF">2015-03-04T02:34:00Z</dcterms:created>
  <dcterms:modified xsi:type="dcterms:W3CDTF">2015-03-17T00:24:00Z</dcterms:modified>
</cp:coreProperties>
</file>