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C4A20" w:rsidRPr="007E4D67" w:rsidRDefault="006C4A20" w:rsidP="00E6622A">
      <w:pPr>
        <w:pStyle w:val="NoNumHead2"/>
        <w:keepLines/>
        <w:jc w:val="center"/>
        <w:rPr>
          <w:rFonts w:cs="Arial"/>
          <w:sz w:val="24"/>
          <w:szCs w:val="24"/>
        </w:rPr>
      </w:pPr>
      <w:r w:rsidRPr="007E4D67">
        <w:rPr>
          <w:rFonts w:cs="Arial"/>
          <w:sz w:val="24"/>
          <w:szCs w:val="24"/>
        </w:rPr>
        <w:t>Product Information</w:t>
      </w:r>
    </w:p>
    <w:p w:rsidR="006C4A20" w:rsidRDefault="002F1277" w:rsidP="001350BD">
      <w:pPr>
        <w:pStyle w:val="NoNumHead2"/>
        <w:keepLines/>
        <w:jc w:val="center"/>
        <w:rPr>
          <w:rFonts w:cs="Arial"/>
          <w:sz w:val="24"/>
          <w:szCs w:val="24"/>
        </w:rPr>
      </w:pPr>
      <w:r>
        <w:rPr>
          <w:rFonts w:cs="Arial"/>
          <w:sz w:val="24"/>
          <w:szCs w:val="24"/>
        </w:rPr>
        <w:t>VOTRIENT</w:t>
      </w:r>
      <w:r w:rsidR="004C3E69" w:rsidRPr="007E4D67">
        <w:rPr>
          <w:rFonts w:cs="Arial"/>
          <w:sz w:val="24"/>
          <w:szCs w:val="24"/>
          <w:vertAlign w:val="superscript"/>
          <w:lang w:val="en-AU"/>
        </w:rPr>
        <w:t>®</w:t>
      </w:r>
      <w:r w:rsidR="006C4A20" w:rsidRPr="007E4D67">
        <w:rPr>
          <w:rFonts w:cs="Arial"/>
          <w:sz w:val="24"/>
          <w:szCs w:val="24"/>
        </w:rPr>
        <w:t xml:space="preserve"> </w:t>
      </w:r>
      <w:r w:rsidR="001350BD">
        <w:rPr>
          <w:rFonts w:cs="Arial"/>
          <w:sz w:val="24"/>
          <w:szCs w:val="24"/>
        </w:rPr>
        <w:t>Tablets</w:t>
      </w:r>
    </w:p>
    <w:p w:rsidR="00B57DF5" w:rsidRPr="00B57DF5" w:rsidRDefault="00B57DF5" w:rsidP="00B57DF5">
      <w:pPr>
        <w:pBdr>
          <w:top w:val="single" w:sz="4" w:space="1" w:color="auto"/>
          <w:left w:val="single" w:sz="4" w:space="4" w:color="auto"/>
          <w:bottom w:val="single" w:sz="4" w:space="1" w:color="auto"/>
          <w:right w:val="single" w:sz="4" w:space="4" w:color="auto"/>
        </w:pBdr>
        <w:rPr>
          <w:rFonts w:ascii="Arial" w:hAnsi="Arial" w:cs="Arial"/>
          <w:b/>
        </w:rPr>
      </w:pPr>
      <w:r w:rsidRPr="00B57DF5">
        <w:rPr>
          <w:rFonts w:ascii="Arial" w:hAnsi="Arial" w:cs="Arial"/>
          <w:b/>
        </w:rPr>
        <w:t xml:space="preserve">Severe and fatal hepatotoxicity has been observed in clinical studies. </w:t>
      </w:r>
      <w:r w:rsidR="00560F6D">
        <w:rPr>
          <w:rFonts w:ascii="Arial" w:hAnsi="Arial" w:cs="Arial"/>
          <w:b/>
        </w:rPr>
        <w:t xml:space="preserve"> </w:t>
      </w:r>
      <w:r w:rsidRPr="00B57DF5">
        <w:rPr>
          <w:rFonts w:ascii="Arial" w:hAnsi="Arial" w:cs="Arial"/>
          <w:b/>
        </w:rPr>
        <w:t xml:space="preserve">Monitor hepatic function and interrupt, reduce, or discontinue dosing as recommended. </w:t>
      </w:r>
      <w:r w:rsidRPr="00B57DF5">
        <w:rPr>
          <w:rFonts w:ascii="Arial" w:hAnsi="Arial" w:cs="Arial"/>
          <w:b/>
          <w:i/>
        </w:rPr>
        <w:t xml:space="preserve">[See </w:t>
      </w:r>
      <w:r>
        <w:rPr>
          <w:rFonts w:ascii="Arial" w:hAnsi="Arial" w:cs="Arial"/>
          <w:b/>
          <w:i/>
        </w:rPr>
        <w:t>PRECAUTIONS</w:t>
      </w:r>
      <w:r w:rsidRPr="00B57DF5">
        <w:rPr>
          <w:rFonts w:ascii="Arial" w:hAnsi="Arial" w:cs="Arial"/>
          <w:b/>
          <w:i/>
        </w:rPr>
        <w:t>.]</w:t>
      </w:r>
    </w:p>
    <w:p w:rsidR="00D06486" w:rsidRPr="00D06486" w:rsidRDefault="00D06486" w:rsidP="00D06486">
      <w:pPr>
        <w:rPr>
          <w:lang w:val="en-GB" w:eastAsia="ja-JP"/>
        </w:rPr>
      </w:pPr>
    </w:p>
    <w:p w:rsidR="006C4A20" w:rsidRPr="007E4D67" w:rsidRDefault="006C4A20" w:rsidP="006C4A20">
      <w:pPr>
        <w:pStyle w:val="NoNumHead2"/>
        <w:keepLines/>
        <w:rPr>
          <w:rFonts w:cs="Arial"/>
          <w:sz w:val="24"/>
          <w:szCs w:val="24"/>
        </w:rPr>
      </w:pPr>
      <w:r w:rsidRPr="007E4D67">
        <w:rPr>
          <w:rFonts w:cs="Arial"/>
          <w:sz w:val="24"/>
          <w:szCs w:val="24"/>
        </w:rPr>
        <w:t>Name of the Medicine</w:t>
      </w:r>
    </w:p>
    <w:p w:rsidR="006C4A20" w:rsidRPr="007E4D67" w:rsidRDefault="002F1277" w:rsidP="00A27782">
      <w:pPr>
        <w:autoSpaceDE w:val="0"/>
        <w:autoSpaceDN w:val="0"/>
        <w:adjustRightInd w:val="0"/>
        <w:spacing w:line="300" w:lineRule="atLeast"/>
        <w:rPr>
          <w:rFonts w:ascii="Arial" w:hAnsi="Arial" w:cs="Arial"/>
          <w:sz w:val="22"/>
          <w:szCs w:val="22"/>
        </w:rPr>
      </w:pPr>
      <w:r>
        <w:rPr>
          <w:rFonts w:ascii="Arial" w:hAnsi="Arial" w:cs="Arial"/>
          <w:sz w:val="22"/>
          <w:szCs w:val="22"/>
        </w:rPr>
        <w:t>VOTRIENT</w:t>
      </w:r>
      <w:r w:rsidR="0018077E" w:rsidRPr="0018077E">
        <w:rPr>
          <w:rFonts w:ascii="Arial" w:hAnsi="Arial" w:cs="Arial"/>
          <w:sz w:val="22"/>
          <w:szCs w:val="22"/>
          <w:vertAlign w:val="superscript"/>
        </w:rPr>
        <w:t>®</w:t>
      </w:r>
      <w:r w:rsidR="00965DC6" w:rsidRPr="007E4D67">
        <w:rPr>
          <w:rFonts w:ascii="Arial" w:hAnsi="Arial" w:cs="Arial"/>
          <w:sz w:val="22"/>
          <w:szCs w:val="22"/>
        </w:rPr>
        <w:t xml:space="preserve"> (</w:t>
      </w:r>
      <w:r w:rsidR="00EC173C">
        <w:rPr>
          <w:rFonts w:ascii="Arial" w:hAnsi="Arial" w:cs="Arial"/>
          <w:sz w:val="22"/>
          <w:szCs w:val="22"/>
        </w:rPr>
        <w:t>Pazopanib hydrochloride</w:t>
      </w:r>
      <w:r w:rsidR="00965DC6" w:rsidRPr="007E4D67">
        <w:rPr>
          <w:rFonts w:ascii="Arial" w:hAnsi="Arial" w:cs="Arial"/>
          <w:sz w:val="22"/>
          <w:szCs w:val="22"/>
        </w:rPr>
        <w:t>)</w:t>
      </w:r>
    </w:p>
    <w:p w:rsidR="005517B9" w:rsidRPr="007E4D67" w:rsidRDefault="005517B9" w:rsidP="00A27782">
      <w:pPr>
        <w:autoSpaceDE w:val="0"/>
        <w:autoSpaceDN w:val="0"/>
        <w:adjustRightInd w:val="0"/>
        <w:spacing w:line="300" w:lineRule="atLeast"/>
        <w:rPr>
          <w:rFonts w:ascii="Arial" w:hAnsi="Arial" w:cs="Arial"/>
          <w:sz w:val="22"/>
          <w:szCs w:val="22"/>
        </w:rPr>
      </w:pPr>
    </w:p>
    <w:p w:rsidR="0018077E" w:rsidRPr="00EC173C" w:rsidRDefault="00EC173C" w:rsidP="00EC173C">
      <w:pPr>
        <w:spacing w:line="300" w:lineRule="atLeast"/>
        <w:jc w:val="both"/>
        <w:rPr>
          <w:rFonts w:ascii="Arial" w:hAnsi="Arial" w:cs="Arial"/>
          <w:sz w:val="22"/>
          <w:szCs w:val="22"/>
        </w:rPr>
      </w:pPr>
      <w:r w:rsidRPr="00EC173C">
        <w:rPr>
          <w:rFonts w:ascii="Arial" w:hAnsi="Arial" w:cs="Arial"/>
          <w:sz w:val="22"/>
          <w:szCs w:val="22"/>
          <w:lang w:val="en-US"/>
        </w:rPr>
        <w:t>Pazopanib</w:t>
      </w:r>
      <w:r w:rsidRPr="00EC173C">
        <w:rPr>
          <w:rFonts w:ascii="Arial" w:hAnsi="Arial" w:cs="Arial"/>
          <w:sz w:val="22"/>
          <w:szCs w:val="22"/>
        </w:rPr>
        <w:t xml:space="preserve"> is a member of the tyrosine kinase inhibitor family. It is supplied as the hydrochloride salt, with chemical name 5-[[4-[(2,3-dimethyl-2H-indazol-6-yl)methylamino]-2-pyrimidinyl]amino]-2-methylbenzenesulfonamide monohydrochloride. </w:t>
      </w:r>
    </w:p>
    <w:p w:rsidR="00443891" w:rsidRDefault="00443891" w:rsidP="00A27782">
      <w:pPr>
        <w:spacing w:line="300" w:lineRule="atLeast"/>
        <w:jc w:val="both"/>
        <w:rPr>
          <w:rFonts w:ascii="Arial" w:hAnsi="Arial" w:cs="Arial"/>
          <w:sz w:val="22"/>
          <w:szCs w:val="22"/>
        </w:rPr>
      </w:pPr>
    </w:p>
    <w:p w:rsidR="0018077E" w:rsidRDefault="002962F2" w:rsidP="00A27782">
      <w:pPr>
        <w:spacing w:line="300" w:lineRule="atLeast"/>
        <w:jc w:val="both"/>
        <w:rPr>
          <w:rFonts w:ascii="Arial" w:hAnsi="Arial" w:cs="Arial"/>
          <w:sz w:val="22"/>
          <w:szCs w:val="22"/>
        </w:rPr>
      </w:pPr>
      <w:r>
        <w:rPr>
          <w:rFonts w:ascii="Arial" w:hAnsi="Arial" w:cs="Arial"/>
          <w:sz w:val="22"/>
          <w:szCs w:val="22"/>
        </w:rPr>
        <w:t>The</w:t>
      </w:r>
      <w:r w:rsidR="0018077E" w:rsidRPr="0018077E">
        <w:rPr>
          <w:rFonts w:ascii="Arial" w:hAnsi="Arial" w:cs="Arial"/>
          <w:sz w:val="22"/>
          <w:szCs w:val="22"/>
        </w:rPr>
        <w:t xml:space="preserve"> structural formula</w:t>
      </w:r>
      <w:r>
        <w:rPr>
          <w:rFonts w:ascii="Arial" w:hAnsi="Arial" w:cs="Arial"/>
          <w:sz w:val="22"/>
          <w:szCs w:val="22"/>
        </w:rPr>
        <w:t xml:space="preserve"> is</w:t>
      </w:r>
      <w:r w:rsidR="0018077E" w:rsidRPr="0018077E">
        <w:rPr>
          <w:rFonts w:ascii="Arial" w:hAnsi="Arial" w:cs="Arial"/>
          <w:sz w:val="22"/>
          <w:szCs w:val="22"/>
        </w:rPr>
        <w:t>:</w:t>
      </w:r>
    </w:p>
    <w:p w:rsidR="0018077E" w:rsidRPr="0018077E" w:rsidRDefault="0018077E" w:rsidP="00A27782">
      <w:pPr>
        <w:spacing w:line="300" w:lineRule="atLeast"/>
        <w:jc w:val="both"/>
        <w:rPr>
          <w:rFonts w:ascii="Arial" w:hAnsi="Arial" w:cs="Arial"/>
          <w:sz w:val="22"/>
          <w:szCs w:val="22"/>
        </w:rPr>
      </w:pPr>
    </w:p>
    <w:p w:rsidR="0018077E" w:rsidRDefault="002429B5" w:rsidP="00A27782">
      <w:pPr>
        <w:spacing w:line="300" w:lineRule="atLeast"/>
        <w:jc w:val="center"/>
      </w:pPr>
      <w:r>
        <w:rPr>
          <w:noProof/>
        </w:rPr>
        <w:drawing>
          <wp:inline distT="0" distB="0" distL="0" distR="0">
            <wp:extent cx="3476625" cy="1285875"/>
            <wp:effectExtent l="0" t="0" r="0" b="0"/>
            <wp:docPr id="1" name="Picture 1" descr="image of the 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76625" cy="1285875"/>
                    </a:xfrm>
                    <a:prstGeom prst="rect">
                      <a:avLst/>
                    </a:prstGeom>
                    <a:noFill/>
                    <a:ln w="9525">
                      <a:noFill/>
                      <a:miter lim="800000"/>
                      <a:headEnd/>
                      <a:tailEnd/>
                    </a:ln>
                  </pic:spPr>
                </pic:pic>
              </a:graphicData>
            </a:graphic>
          </wp:inline>
        </w:drawing>
      </w:r>
    </w:p>
    <w:p w:rsidR="00BC1CAE" w:rsidRDefault="00BC1CAE" w:rsidP="00A27782">
      <w:pPr>
        <w:spacing w:line="300" w:lineRule="atLeast"/>
        <w:jc w:val="both"/>
        <w:rPr>
          <w:rFonts w:ascii="Arial" w:hAnsi="Arial" w:cs="Arial"/>
          <w:sz w:val="22"/>
          <w:szCs w:val="22"/>
          <w:lang w:val="pt-BR"/>
        </w:rPr>
      </w:pPr>
    </w:p>
    <w:p w:rsidR="00443891" w:rsidRDefault="00443891" w:rsidP="00A27782">
      <w:pPr>
        <w:spacing w:line="300" w:lineRule="atLeast"/>
        <w:jc w:val="both"/>
        <w:rPr>
          <w:rFonts w:ascii="Arial" w:hAnsi="Arial" w:cs="Arial"/>
          <w:color w:val="000000"/>
          <w:sz w:val="22"/>
          <w:szCs w:val="22"/>
          <w:lang w:val="pt-BR"/>
        </w:rPr>
      </w:pPr>
      <w:r w:rsidRPr="00443891">
        <w:rPr>
          <w:rFonts w:ascii="Arial" w:hAnsi="Arial" w:cs="Arial"/>
          <w:sz w:val="22"/>
          <w:szCs w:val="22"/>
          <w:lang w:val="pt-BR"/>
        </w:rPr>
        <w:t xml:space="preserve">Molecular formula: </w:t>
      </w:r>
      <w:r w:rsidR="00EC173C" w:rsidRPr="00BC1CAE">
        <w:rPr>
          <w:rFonts w:ascii="Arial" w:hAnsi="Arial" w:cs="Arial"/>
          <w:sz w:val="22"/>
          <w:szCs w:val="22"/>
          <w:lang w:val="pt-BR"/>
        </w:rPr>
        <w:t>C</w:t>
      </w:r>
      <w:r w:rsidR="00EC173C" w:rsidRPr="00BC1CAE">
        <w:rPr>
          <w:rFonts w:ascii="Arial" w:hAnsi="Arial" w:cs="Arial"/>
          <w:position w:val="-6"/>
          <w:sz w:val="22"/>
          <w:szCs w:val="22"/>
          <w:vertAlign w:val="subscript"/>
          <w:lang w:val="pt-BR"/>
        </w:rPr>
        <w:t>21</w:t>
      </w:r>
      <w:r w:rsidR="00EC173C" w:rsidRPr="00BC1CAE">
        <w:rPr>
          <w:rFonts w:ascii="Arial" w:hAnsi="Arial" w:cs="Arial"/>
          <w:sz w:val="22"/>
          <w:szCs w:val="22"/>
          <w:lang w:val="pt-BR"/>
        </w:rPr>
        <w:t>H</w:t>
      </w:r>
      <w:r w:rsidR="00EC173C" w:rsidRPr="00BC1CAE">
        <w:rPr>
          <w:rFonts w:ascii="Arial" w:hAnsi="Arial" w:cs="Arial"/>
          <w:position w:val="-6"/>
          <w:sz w:val="22"/>
          <w:szCs w:val="22"/>
          <w:vertAlign w:val="subscript"/>
          <w:lang w:val="pt-BR"/>
        </w:rPr>
        <w:t>23</w:t>
      </w:r>
      <w:r w:rsidR="00EC173C" w:rsidRPr="00BC1CAE">
        <w:rPr>
          <w:rFonts w:ascii="Arial" w:hAnsi="Arial" w:cs="Arial"/>
          <w:sz w:val="22"/>
          <w:szCs w:val="22"/>
          <w:lang w:val="pt-BR"/>
        </w:rPr>
        <w:t>N</w:t>
      </w:r>
      <w:r w:rsidR="00EC173C" w:rsidRPr="00BC1CAE">
        <w:rPr>
          <w:rFonts w:ascii="Arial" w:hAnsi="Arial" w:cs="Arial"/>
          <w:position w:val="-6"/>
          <w:sz w:val="22"/>
          <w:szCs w:val="22"/>
          <w:vertAlign w:val="subscript"/>
          <w:lang w:val="pt-BR"/>
        </w:rPr>
        <w:t>7</w:t>
      </w:r>
      <w:r w:rsidR="00EC173C" w:rsidRPr="00BC1CAE">
        <w:rPr>
          <w:rFonts w:ascii="Arial" w:hAnsi="Arial" w:cs="Arial"/>
          <w:sz w:val="22"/>
          <w:szCs w:val="22"/>
          <w:lang w:val="pt-BR"/>
        </w:rPr>
        <w:t>O</w:t>
      </w:r>
      <w:r w:rsidR="00EC173C" w:rsidRPr="00BC1CAE">
        <w:rPr>
          <w:rFonts w:ascii="Arial" w:hAnsi="Arial" w:cs="Arial"/>
          <w:position w:val="-6"/>
          <w:sz w:val="22"/>
          <w:szCs w:val="22"/>
          <w:vertAlign w:val="subscript"/>
          <w:lang w:val="pt-BR"/>
        </w:rPr>
        <w:t>2</w:t>
      </w:r>
      <w:r w:rsidR="00EC173C" w:rsidRPr="00BC1CAE">
        <w:rPr>
          <w:rFonts w:ascii="Arial" w:hAnsi="Arial" w:cs="Arial"/>
          <w:sz w:val="22"/>
          <w:szCs w:val="22"/>
          <w:lang w:val="pt-BR"/>
        </w:rPr>
        <w:t>S</w:t>
      </w:r>
      <w:r w:rsidR="00EC173C" w:rsidRPr="00BC1CAE">
        <w:rPr>
          <w:rFonts w:ascii="Arial" w:hAnsi="Arial" w:cs="Arial"/>
          <w:color w:val="000000"/>
          <w:sz w:val="22"/>
          <w:szCs w:val="22"/>
          <w:lang w:val="pt-BR"/>
        </w:rPr>
        <w:t>•</w:t>
      </w:r>
      <w:r w:rsidR="00EC173C" w:rsidRPr="00BC1CAE">
        <w:rPr>
          <w:rFonts w:ascii="Arial" w:hAnsi="Arial" w:cs="Arial"/>
          <w:sz w:val="22"/>
          <w:szCs w:val="22"/>
          <w:lang w:val="pt-BR"/>
        </w:rPr>
        <w:t>HCl</w:t>
      </w:r>
    </w:p>
    <w:p w:rsidR="00443891" w:rsidRPr="00443891" w:rsidRDefault="00443891" w:rsidP="00D3001E">
      <w:pPr>
        <w:spacing w:line="300" w:lineRule="atLeast"/>
        <w:jc w:val="both"/>
        <w:rPr>
          <w:rFonts w:ascii="Arial" w:hAnsi="Arial" w:cs="Arial"/>
          <w:sz w:val="22"/>
          <w:szCs w:val="22"/>
          <w:lang w:val="pt-BR"/>
        </w:rPr>
      </w:pPr>
      <w:r>
        <w:rPr>
          <w:rFonts w:ascii="Arial" w:hAnsi="Arial" w:cs="Arial"/>
          <w:color w:val="000000"/>
          <w:sz w:val="22"/>
          <w:szCs w:val="22"/>
          <w:lang w:val="pt-BR"/>
        </w:rPr>
        <w:t>M</w:t>
      </w:r>
      <w:r w:rsidRPr="00443891">
        <w:rPr>
          <w:rFonts w:ascii="Arial" w:hAnsi="Arial" w:cs="Arial"/>
          <w:color w:val="000000"/>
          <w:sz w:val="22"/>
          <w:szCs w:val="22"/>
          <w:lang w:val="pt-BR"/>
        </w:rPr>
        <w:t>olecular weight</w:t>
      </w:r>
      <w:r>
        <w:rPr>
          <w:rFonts w:ascii="Arial" w:hAnsi="Arial" w:cs="Arial"/>
          <w:color w:val="000000"/>
          <w:sz w:val="22"/>
          <w:szCs w:val="22"/>
          <w:lang w:val="pt-BR"/>
        </w:rPr>
        <w:t>:</w:t>
      </w:r>
      <w:r w:rsidRPr="00443891">
        <w:rPr>
          <w:rFonts w:ascii="Arial" w:hAnsi="Arial" w:cs="Arial"/>
          <w:color w:val="000000"/>
          <w:sz w:val="22"/>
          <w:szCs w:val="22"/>
          <w:lang w:val="pt-BR"/>
        </w:rPr>
        <w:t xml:space="preserve"> </w:t>
      </w:r>
      <w:r w:rsidR="00EC173C" w:rsidRPr="00EC173C">
        <w:rPr>
          <w:rFonts w:ascii="Arial" w:hAnsi="Arial" w:cs="Arial"/>
          <w:sz w:val="22"/>
          <w:szCs w:val="22"/>
          <w:lang w:val="pt-BR"/>
        </w:rPr>
        <w:t>473.99 g/mol</w:t>
      </w:r>
      <w:r w:rsidRPr="00443891">
        <w:rPr>
          <w:rFonts w:ascii="Arial" w:hAnsi="Arial" w:cs="Arial"/>
          <w:sz w:val="22"/>
          <w:szCs w:val="22"/>
          <w:lang w:val="pt-BR"/>
        </w:rPr>
        <w:t>.</w:t>
      </w:r>
    </w:p>
    <w:p w:rsidR="005517B9" w:rsidRDefault="005517B9" w:rsidP="00D3001E">
      <w:pPr>
        <w:autoSpaceDE w:val="0"/>
        <w:autoSpaceDN w:val="0"/>
        <w:adjustRightInd w:val="0"/>
        <w:spacing w:line="300" w:lineRule="atLeast"/>
        <w:rPr>
          <w:rFonts w:ascii="Arial" w:hAnsi="Arial" w:cs="Arial"/>
          <w:sz w:val="22"/>
          <w:szCs w:val="22"/>
          <w:lang w:val="pt-BR"/>
        </w:rPr>
      </w:pPr>
      <w:r w:rsidRPr="00443891">
        <w:rPr>
          <w:rFonts w:ascii="Arial" w:hAnsi="Arial" w:cs="Arial"/>
          <w:sz w:val="22"/>
          <w:szCs w:val="22"/>
          <w:lang w:val="pt-BR"/>
        </w:rPr>
        <w:t>CAS number</w:t>
      </w:r>
      <w:r w:rsidRPr="00801F81">
        <w:rPr>
          <w:rFonts w:ascii="Arial" w:hAnsi="Arial" w:cs="Arial"/>
          <w:sz w:val="22"/>
          <w:szCs w:val="22"/>
          <w:lang w:val="pt-BR"/>
        </w:rPr>
        <w:t xml:space="preserve">: </w:t>
      </w:r>
      <w:r w:rsidR="00801F81">
        <w:rPr>
          <w:rFonts w:ascii="Arial" w:hAnsi="Arial" w:cs="Arial"/>
          <w:sz w:val="22"/>
          <w:szCs w:val="22"/>
          <w:lang w:val="pt-BR"/>
        </w:rPr>
        <w:t>635702-64-6</w:t>
      </w:r>
    </w:p>
    <w:p w:rsidR="007002E3" w:rsidRPr="007002E3" w:rsidRDefault="007002E3" w:rsidP="00D3001E">
      <w:pPr>
        <w:autoSpaceDE w:val="0"/>
        <w:autoSpaceDN w:val="0"/>
        <w:adjustRightInd w:val="0"/>
        <w:spacing w:line="300" w:lineRule="atLeast"/>
        <w:rPr>
          <w:rFonts w:ascii="Arial" w:hAnsi="Arial" w:cs="Arial"/>
          <w:b/>
          <w:sz w:val="22"/>
          <w:szCs w:val="22"/>
          <w:lang w:val="pt-BR"/>
        </w:rPr>
      </w:pPr>
      <w:r>
        <w:rPr>
          <w:rFonts w:ascii="Arial" w:hAnsi="Arial" w:cs="Arial"/>
          <w:sz w:val="22"/>
          <w:szCs w:val="22"/>
          <w:lang w:val="pt-BR"/>
        </w:rPr>
        <w:t xml:space="preserve">BCS Classification:   </w:t>
      </w:r>
      <w:r w:rsidRPr="00D412F1">
        <w:rPr>
          <w:rFonts w:ascii="Arial" w:hAnsi="Arial" w:cs="Arial"/>
          <w:sz w:val="22"/>
          <w:szCs w:val="22"/>
          <w:lang w:val="pt-BR"/>
        </w:rPr>
        <w:t xml:space="preserve">Class </w:t>
      </w:r>
      <w:r w:rsidR="00D412F1">
        <w:rPr>
          <w:rFonts w:ascii="Arial" w:hAnsi="Arial" w:cs="Arial"/>
          <w:sz w:val="22"/>
          <w:szCs w:val="22"/>
          <w:lang w:val="pt-BR"/>
        </w:rPr>
        <w:t>I</w:t>
      </w:r>
      <w:r w:rsidR="00CC0F33">
        <w:rPr>
          <w:rFonts w:ascii="Arial" w:hAnsi="Arial" w:cs="Arial"/>
          <w:sz w:val="22"/>
          <w:szCs w:val="22"/>
          <w:lang w:val="pt-BR"/>
        </w:rPr>
        <w:t>I</w:t>
      </w:r>
      <w:r w:rsidR="00D412F1">
        <w:rPr>
          <w:rFonts w:ascii="Arial" w:hAnsi="Arial" w:cs="Arial"/>
          <w:sz w:val="22"/>
          <w:szCs w:val="22"/>
          <w:lang w:val="pt-BR"/>
        </w:rPr>
        <w:t xml:space="preserve"> (</w:t>
      </w:r>
      <w:r w:rsidR="00CC0F33">
        <w:rPr>
          <w:rFonts w:ascii="Arial" w:hAnsi="Arial" w:cs="Arial"/>
          <w:sz w:val="22"/>
          <w:szCs w:val="22"/>
          <w:lang w:val="pt-BR"/>
        </w:rPr>
        <w:t>High</w:t>
      </w:r>
      <w:r w:rsidR="00D412F1">
        <w:rPr>
          <w:rFonts w:ascii="Arial" w:hAnsi="Arial" w:cs="Arial"/>
          <w:sz w:val="22"/>
          <w:szCs w:val="22"/>
          <w:lang w:val="pt-BR"/>
        </w:rPr>
        <w:t xml:space="preserve"> Permeability, Low Solubility)</w:t>
      </w:r>
    </w:p>
    <w:p w:rsidR="006C4A20" w:rsidRPr="007E4D67" w:rsidRDefault="006C4A20" w:rsidP="00A27782">
      <w:pPr>
        <w:spacing w:line="300" w:lineRule="atLeast"/>
        <w:rPr>
          <w:rFonts w:ascii="Arial" w:hAnsi="Arial" w:cs="Arial"/>
          <w:b/>
          <w:i/>
          <w:sz w:val="20"/>
        </w:rPr>
      </w:pPr>
    </w:p>
    <w:p w:rsidR="00BC1CAE" w:rsidRPr="00BC1CAE" w:rsidRDefault="00BC1CAE" w:rsidP="00A27782">
      <w:pPr>
        <w:spacing w:line="300" w:lineRule="atLeast"/>
        <w:jc w:val="both"/>
        <w:rPr>
          <w:rFonts w:ascii="Arial" w:hAnsi="Arial" w:cs="Arial"/>
          <w:b/>
        </w:rPr>
      </w:pPr>
      <w:r w:rsidRPr="00BC1CAE">
        <w:rPr>
          <w:rFonts w:ascii="Arial" w:hAnsi="Arial" w:cs="Arial"/>
          <w:b/>
        </w:rPr>
        <w:t>DESCRIPTION</w:t>
      </w:r>
    </w:p>
    <w:p w:rsidR="00BC1CAE" w:rsidRDefault="00BC1CAE" w:rsidP="00A27782">
      <w:pPr>
        <w:spacing w:line="300" w:lineRule="atLeast"/>
        <w:jc w:val="both"/>
        <w:rPr>
          <w:rFonts w:ascii="Arial" w:hAnsi="Arial" w:cs="Arial"/>
          <w:sz w:val="22"/>
          <w:szCs w:val="22"/>
        </w:rPr>
      </w:pPr>
    </w:p>
    <w:p w:rsidR="00BC1CAE" w:rsidRPr="00EC173C" w:rsidRDefault="00BC1CAE" w:rsidP="00BC1CAE">
      <w:pPr>
        <w:spacing w:line="300" w:lineRule="atLeast"/>
        <w:jc w:val="both"/>
        <w:rPr>
          <w:rFonts w:ascii="Arial" w:hAnsi="Arial" w:cs="Arial"/>
          <w:sz w:val="22"/>
          <w:szCs w:val="22"/>
        </w:rPr>
      </w:pPr>
      <w:r w:rsidRPr="00EC173C">
        <w:rPr>
          <w:rFonts w:ascii="Arial" w:hAnsi="Arial" w:cs="Arial"/>
          <w:sz w:val="22"/>
          <w:szCs w:val="22"/>
        </w:rPr>
        <w:t>Pazopanib hydrochloride is a white to slightly yellow solid. It is very slightly soluble at pH 1 and practically insoluble above pH 4 in aqueous media.</w:t>
      </w:r>
      <w:r w:rsidRPr="00BC1CAE">
        <w:rPr>
          <w:rFonts w:ascii="Arial" w:hAnsi="Arial" w:cs="Arial"/>
          <w:sz w:val="22"/>
          <w:szCs w:val="22"/>
        </w:rPr>
        <w:t xml:space="preserve"> </w:t>
      </w:r>
      <w:r>
        <w:rPr>
          <w:rFonts w:ascii="Arial" w:hAnsi="Arial" w:cs="Arial"/>
          <w:sz w:val="22"/>
          <w:szCs w:val="22"/>
        </w:rPr>
        <w:t>Two basic ionisation constants (pKa) of pazopanib free base were determined to be 6.4 and 2.1, and one weakly acidic pKa was determined to be 10.2.  The partition coefficient of the free base between octanol and water is 4470 (cLogP = 3.65).</w:t>
      </w:r>
      <w:r w:rsidDel="007002E3">
        <w:rPr>
          <w:rFonts w:ascii="Arial" w:hAnsi="Arial" w:cs="Arial"/>
          <w:sz w:val="22"/>
          <w:szCs w:val="22"/>
        </w:rPr>
        <w:t xml:space="preserve"> </w:t>
      </w:r>
      <w:r>
        <w:rPr>
          <w:rFonts w:ascii="Arial" w:hAnsi="Arial" w:cs="Arial"/>
          <w:sz w:val="22"/>
          <w:szCs w:val="22"/>
        </w:rPr>
        <w:t xml:space="preserve"> The pH of a 0.04% w/v solution of pazopanib hydrochloride in water is about 2.2.  </w:t>
      </w:r>
    </w:p>
    <w:p w:rsidR="00BC1CAE" w:rsidRDefault="00BC1CAE" w:rsidP="00BC1CAE">
      <w:pPr>
        <w:pStyle w:val="NoNumHead3"/>
        <w:keepNext w:val="0"/>
        <w:spacing w:before="0" w:after="0" w:line="300" w:lineRule="atLeast"/>
        <w:rPr>
          <w:rFonts w:eastAsia="MS Mincho" w:cs="Arial"/>
          <w:b w:val="0"/>
          <w:sz w:val="22"/>
          <w:szCs w:val="22"/>
          <w:lang w:val="en-AU"/>
        </w:rPr>
      </w:pPr>
    </w:p>
    <w:p w:rsidR="000B741B" w:rsidRDefault="00BC1CAE" w:rsidP="00BC1CAE">
      <w:pPr>
        <w:spacing w:line="300" w:lineRule="atLeast"/>
        <w:jc w:val="both"/>
        <w:rPr>
          <w:rFonts w:ascii="Arial" w:hAnsi="Arial" w:cs="Arial"/>
          <w:sz w:val="22"/>
          <w:szCs w:val="22"/>
        </w:rPr>
      </w:pPr>
      <w:r>
        <w:rPr>
          <w:rFonts w:ascii="Arial" w:hAnsi="Arial" w:cs="Arial"/>
          <w:sz w:val="22"/>
          <w:szCs w:val="22"/>
        </w:rPr>
        <w:t>VOTRIENT is supplied for oral administration in two strengths: 200 and 400 mg</w:t>
      </w:r>
      <w:r w:rsidRPr="002D7F85">
        <w:rPr>
          <w:rFonts w:ascii="Arial" w:hAnsi="Arial" w:cs="Arial"/>
          <w:sz w:val="22"/>
          <w:szCs w:val="22"/>
        </w:rPr>
        <w:t xml:space="preserve"> </w:t>
      </w:r>
      <w:r w:rsidRPr="00630382">
        <w:rPr>
          <w:rFonts w:ascii="Arial" w:hAnsi="Arial" w:cs="Arial"/>
          <w:sz w:val="22"/>
          <w:szCs w:val="22"/>
        </w:rPr>
        <w:t>film-coated</w:t>
      </w:r>
      <w:r>
        <w:rPr>
          <w:rFonts w:ascii="Arial" w:hAnsi="Arial" w:cs="Arial"/>
          <w:sz w:val="22"/>
          <w:szCs w:val="22"/>
        </w:rPr>
        <w:t xml:space="preserve"> tablets. </w:t>
      </w:r>
      <w:r w:rsidR="0018077E" w:rsidRPr="00B36CEE">
        <w:rPr>
          <w:rFonts w:ascii="Arial" w:hAnsi="Arial" w:cs="Arial"/>
          <w:sz w:val="22"/>
          <w:szCs w:val="22"/>
        </w:rPr>
        <w:t xml:space="preserve">Each film-coated tablet contains </w:t>
      </w:r>
      <w:r w:rsidR="005154C4">
        <w:rPr>
          <w:rFonts w:ascii="Arial" w:hAnsi="Arial" w:cs="Arial"/>
          <w:sz w:val="22"/>
          <w:szCs w:val="22"/>
        </w:rPr>
        <w:t>pazopanib hydrochloride</w:t>
      </w:r>
      <w:r w:rsidR="0018077E" w:rsidRPr="00B36CEE">
        <w:rPr>
          <w:rFonts w:ascii="Arial" w:hAnsi="Arial" w:cs="Arial"/>
          <w:sz w:val="22"/>
          <w:szCs w:val="22"/>
        </w:rPr>
        <w:t xml:space="preserve"> equivalent to either </w:t>
      </w:r>
      <w:r w:rsidR="005154C4">
        <w:rPr>
          <w:rFonts w:ascii="Arial" w:hAnsi="Arial" w:cs="Arial"/>
          <w:sz w:val="22"/>
          <w:szCs w:val="22"/>
        </w:rPr>
        <w:t>200 mg</w:t>
      </w:r>
      <w:r w:rsidR="0018077E" w:rsidRPr="00B36CEE">
        <w:rPr>
          <w:rFonts w:ascii="Arial" w:hAnsi="Arial" w:cs="Arial"/>
          <w:sz w:val="22"/>
          <w:szCs w:val="22"/>
        </w:rPr>
        <w:t xml:space="preserve"> or </w:t>
      </w:r>
      <w:r w:rsidR="005154C4">
        <w:rPr>
          <w:rFonts w:ascii="Arial" w:hAnsi="Arial" w:cs="Arial"/>
          <w:sz w:val="22"/>
          <w:szCs w:val="22"/>
        </w:rPr>
        <w:lastRenderedPageBreak/>
        <w:t>400</w:t>
      </w:r>
      <w:r w:rsidR="0018077E" w:rsidRPr="00B36CEE">
        <w:rPr>
          <w:rFonts w:ascii="Arial" w:hAnsi="Arial" w:cs="Arial"/>
          <w:sz w:val="22"/>
          <w:szCs w:val="22"/>
        </w:rPr>
        <w:t xml:space="preserve"> mg of </w:t>
      </w:r>
      <w:r w:rsidR="005154C4">
        <w:rPr>
          <w:rFonts w:ascii="Arial" w:hAnsi="Arial" w:cs="Arial"/>
          <w:sz w:val="22"/>
          <w:szCs w:val="22"/>
        </w:rPr>
        <w:t>pazopanib free base</w:t>
      </w:r>
      <w:r>
        <w:rPr>
          <w:rFonts w:ascii="Arial" w:hAnsi="Arial" w:cs="Arial"/>
          <w:sz w:val="22"/>
          <w:szCs w:val="22"/>
        </w:rPr>
        <w:t xml:space="preserve"> and the following inactive ingredients: </w:t>
      </w:r>
      <w:r w:rsidR="000B741B">
        <w:rPr>
          <w:rFonts w:ascii="Arial" w:hAnsi="Arial" w:cs="Arial"/>
          <w:sz w:val="22"/>
          <w:szCs w:val="22"/>
        </w:rPr>
        <w:t xml:space="preserve">magnesium stearate, </w:t>
      </w:r>
      <w:r w:rsidR="000644CB">
        <w:rPr>
          <w:rFonts w:ascii="Arial" w:hAnsi="Arial" w:cs="Arial"/>
          <w:sz w:val="22"/>
          <w:szCs w:val="22"/>
        </w:rPr>
        <w:t>cellulose - microcrystalline</w:t>
      </w:r>
      <w:r w:rsidR="000B741B">
        <w:rPr>
          <w:rFonts w:ascii="Arial" w:hAnsi="Arial" w:cs="Arial"/>
          <w:sz w:val="22"/>
          <w:szCs w:val="22"/>
        </w:rPr>
        <w:t xml:space="preserve">, povidone, sodium starch glycollate, hypromellose, macrogol 400, titanium dioxide, polysorbate 80, </w:t>
      </w:r>
      <w:r w:rsidR="00CB49D2">
        <w:rPr>
          <w:rFonts w:ascii="Arial" w:hAnsi="Arial" w:cs="Arial"/>
          <w:sz w:val="22"/>
          <w:szCs w:val="22"/>
        </w:rPr>
        <w:t xml:space="preserve">and </w:t>
      </w:r>
      <w:r w:rsidR="000B741B">
        <w:rPr>
          <w:rFonts w:ascii="Arial" w:hAnsi="Arial" w:cs="Arial"/>
          <w:sz w:val="22"/>
          <w:szCs w:val="22"/>
        </w:rPr>
        <w:t xml:space="preserve">iron oxide red </w:t>
      </w:r>
      <w:r w:rsidR="0051665E">
        <w:rPr>
          <w:rFonts w:ascii="Arial" w:hAnsi="Arial" w:cs="Arial"/>
          <w:sz w:val="22"/>
          <w:szCs w:val="22"/>
        </w:rPr>
        <w:t xml:space="preserve">CI77491 </w:t>
      </w:r>
      <w:r w:rsidR="000B741B">
        <w:rPr>
          <w:rFonts w:ascii="Arial" w:hAnsi="Arial" w:cs="Arial"/>
          <w:sz w:val="22"/>
          <w:szCs w:val="22"/>
        </w:rPr>
        <w:t>(</w:t>
      </w:r>
      <w:r w:rsidR="00CB49D2">
        <w:rPr>
          <w:rFonts w:ascii="Arial" w:hAnsi="Arial" w:cs="Arial"/>
          <w:sz w:val="22"/>
          <w:szCs w:val="22"/>
        </w:rPr>
        <w:t>20</w:t>
      </w:r>
      <w:r w:rsidR="000B741B">
        <w:rPr>
          <w:rFonts w:ascii="Arial" w:hAnsi="Arial" w:cs="Arial"/>
          <w:sz w:val="22"/>
          <w:szCs w:val="22"/>
        </w:rPr>
        <w:t>0 mg tab</w:t>
      </w:r>
      <w:r w:rsidR="00CB49D2">
        <w:rPr>
          <w:rFonts w:ascii="Arial" w:hAnsi="Arial" w:cs="Arial"/>
          <w:sz w:val="22"/>
          <w:szCs w:val="22"/>
        </w:rPr>
        <w:t>let only)</w:t>
      </w:r>
      <w:r w:rsidR="000B741B">
        <w:rPr>
          <w:rFonts w:ascii="Arial" w:hAnsi="Arial" w:cs="Arial"/>
          <w:sz w:val="22"/>
          <w:szCs w:val="22"/>
        </w:rPr>
        <w:t>.</w:t>
      </w:r>
    </w:p>
    <w:p w:rsidR="006C4A20" w:rsidRDefault="006C4A20" w:rsidP="00A27782">
      <w:pPr>
        <w:autoSpaceDE w:val="0"/>
        <w:autoSpaceDN w:val="0"/>
        <w:adjustRightInd w:val="0"/>
        <w:spacing w:line="300" w:lineRule="atLeast"/>
        <w:rPr>
          <w:rFonts w:ascii="Arial" w:hAnsi="Arial" w:cs="Arial"/>
          <w:sz w:val="22"/>
          <w:szCs w:val="22"/>
        </w:rPr>
      </w:pPr>
    </w:p>
    <w:p w:rsidR="00574FCE" w:rsidRPr="007E4D67" w:rsidRDefault="006C4A20" w:rsidP="0030022D">
      <w:pPr>
        <w:autoSpaceDE w:val="0"/>
        <w:autoSpaceDN w:val="0"/>
        <w:adjustRightInd w:val="0"/>
        <w:spacing w:line="300" w:lineRule="atLeast"/>
        <w:rPr>
          <w:rFonts w:ascii="Arial" w:hAnsi="Arial" w:cs="Arial"/>
          <w:b/>
        </w:rPr>
      </w:pPr>
      <w:r w:rsidRPr="007E4D67">
        <w:rPr>
          <w:rFonts w:ascii="Arial" w:hAnsi="Arial" w:cs="Arial"/>
          <w:b/>
        </w:rPr>
        <w:t>PHARMACOLOGY</w:t>
      </w:r>
    </w:p>
    <w:p w:rsidR="00574FCE" w:rsidRPr="007E4D67" w:rsidRDefault="00574FCE" w:rsidP="0030022D">
      <w:pPr>
        <w:autoSpaceDE w:val="0"/>
        <w:autoSpaceDN w:val="0"/>
        <w:adjustRightInd w:val="0"/>
        <w:spacing w:line="300" w:lineRule="atLeast"/>
        <w:rPr>
          <w:rFonts w:ascii="Arial" w:hAnsi="Arial" w:cs="Arial"/>
          <w:b/>
          <w:sz w:val="22"/>
          <w:szCs w:val="22"/>
        </w:rPr>
      </w:pPr>
    </w:p>
    <w:p w:rsidR="00574FCE" w:rsidRPr="007E4D67" w:rsidRDefault="00574FCE" w:rsidP="0030022D">
      <w:pPr>
        <w:autoSpaceDE w:val="0"/>
        <w:autoSpaceDN w:val="0"/>
        <w:adjustRightInd w:val="0"/>
        <w:spacing w:line="300" w:lineRule="atLeast"/>
        <w:rPr>
          <w:rFonts w:ascii="Arial" w:hAnsi="Arial" w:cs="Arial"/>
          <w:b/>
          <w:sz w:val="22"/>
          <w:szCs w:val="22"/>
        </w:rPr>
      </w:pPr>
      <w:r w:rsidRPr="007E4D67">
        <w:rPr>
          <w:rFonts w:ascii="Arial" w:hAnsi="Arial" w:cs="Arial"/>
          <w:b/>
          <w:sz w:val="22"/>
          <w:szCs w:val="22"/>
        </w:rPr>
        <w:t>Mechanism of Action</w:t>
      </w:r>
    </w:p>
    <w:p w:rsidR="006C4A20" w:rsidRPr="006A22C7" w:rsidRDefault="006C4A20" w:rsidP="006A22C7">
      <w:pPr>
        <w:autoSpaceDE w:val="0"/>
        <w:autoSpaceDN w:val="0"/>
        <w:adjustRightInd w:val="0"/>
        <w:spacing w:line="300" w:lineRule="atLeast"/>
        <w:jc w:val="both"/>
        <w:rPr>
          <w:rFonts w:ascii="Arial" w:hAnsi="Arial" w:cs="Arial"/>
          <w:sz w:val="22"/>
          <w:szCs w:val="22"/>
        </w:rPr>
      </w:pPr>
    </w:p>
    <w:p w:rsidR="006A22C7" w:rsidRPr="005701B3" w:rsidRDefault="005701B3" w:rsidP="00DC1F81">
      <w:pPr>
        <w:spacing w:line="300" w:lineRule="atLeast"/>
        <w:jc w:val="both"/>
        <w:rPr>
          <w:rFonts w:ascii="Arial" w:hAnsi="Arial" w:cs="Arial"/>
          <w:sz w:val="22"/>
          <w:szCs w:val="22"/>
          <w:lang w:val="en-US"/>
        </w:rPr>
      </w:pPr>
      <w:r w:rsidRPr="005701B3">
        <w:rPr>
          <w:rFonts w:ascii="Arial" w:hAnsi="Arial" w:cs="Arial"/>
          <w:sz w:val="22"/>
          <w:szCs w:val="22"/>
        </w:rPr>
        <w:t>Pazopanib is an orally administered, potent multi-target tyrosine kinase inhibitor (TKI) of Vascular Endothelial Growth Factor Receptors (VEGFR)-1, -2, and -3, platelet-derived growth factor (PDGFR)-α and –β, and stem cell factor receptor (c-</w:t>
      </w:r>
      <w:smartTag w:uri="urn:schemas-microsoft-com:office:smarttags" w:element="stockticker">
        <w:r w:rsidRPr="005701B3">
          <w:rPr>
            <w:rFonts w:ascii="Arial" w:hAnsi="Arial" w:cs="Arial"/>
            <w:sz w:val="22"/>
            <w:szCs w:val="22"/>
          </w:rPr>
          <w:t>KIT</w:t>
        </w:r>
      </w:smartTag>
      <w:r w:rsidRPr="005701B3">
        <w:rPr>
          <w:rFonts w:ascii="Arial" w:hAnsi="Arial" w:cs="Arial"/>
          <w:sz w:val="22"/>
          <w:szCs w:val="22"/>
        </w:rPr>
        <w:t>), with IC</w:t>
      </w:r>
      <w:r w:rsidRPr="005701B3">
        <w:rPr>
          <w:rFonts w:ascii="Arial" w:hAnsi="Arial" w:cs="Arial"/>
          <w:sz w:val="22"/>
          <w:szCs w:val="22"/>
          <w:vertAlign w:val="subscript"/>
        </w:rPr>
        <w:t>50</w:t>
      </w:r>
      <w:r w:rsidRPr="005701B3">
        <w:rPr>
          <w:rFonts w:ascii="Arial" w:hAnsi="Arial" w:cs="Arial"/>
          <w:sz w:val="22"/>
          <w:szCs w:val="22"/>
        </w:rPr>
        <w:t xml:space="preserve"> values of 10, 30, 47, 71, 84 and 74 nM, respectively. </w:t>
      </w:r>
      <w:r w:rsidR="00DC1F81">
        <w:rPr>
          <w:rFonts w:ascii="Arial" w:hAnsi="Arial" w:cs="Arial"/>
          <w:sz w:val="22"/>
          <w:szCs w:val="22"/>
        </w:rPr>
        <w:t xml:space="preserve"> </w:t>
      </w:r>
      <w:r w:rsidR="005F04AC">
        <w:rPr>
          <w:rFonts w:ascii="Arial" w:hAnsi="Arial" w:cs="Arial"/>
          <w:sz w:val="22"/>
          <w:szCs w:val="22"/>
        </w:rPr>
        <w:t>P</w:t>
      </w:r>
      <w:r w:rsidRPr="005701B3">
        <w:rPr>
          <w:rFonts w:ascii="Arial" w:hAnsi="Arial" w:cs="Arial"/>
          <w:sz w:val="22"/>
          <w:szCs w:val="22"/>
        </w:rPr>
        <w:t xml:space="preserve">azopanib </w:t>
      </w:r>
      <w:r w:rsidR="005F04AC">
        <w:rPr>
          <w:rFonts w:ascii="Arial" w:hAnsi="Arial" w:cs="Arial"/>
          <w:sz w:val="22"/>
          <w:szCs w:val="22"/>
        </w:rPr>
        <w:t>also</w:t>
      </w:r>
      <w:r w:rsidRPr="005701B3">
        <w:rPr>
          <w:rFonts w:ascii="Arial" w:hAnsi="Arial" w:cs="Arial"/>
          <w:sz w:val="22"/>
          <w:szCs w:val="22"/>
        </w:rPr>
        <w:t xml:space="preserve"> inhibited ligand-induced auto-phosphorylation of VEGFR-2, c-Kit and PDGFR-</w:t>
      </w:r>
      <w:r w:rsidRPr="005701B3">
        <w:rPr>
          <w:rFonts w:ascii="Arial" w:hAnsi="Arial" w:cs="Arial"/>
          <w:sz w:val="22"/>
          <w:szCs w:val="22"/>
        </w:rPr>
        <w:sym w:font="Symbol" w:char="F062"/>
      </w:r>
      <w:r w:rsidRPr="005701B3">
        <w:rPr>
          <w:rFonts w:ascii="Arial" w:hAnsi="Arial" w:cs="Arial"/>
          <w:sz w:val="22"/>
          <w:szCs w:val="22"/>
        </w:rPr>
        <w:t xml:space="preserve"> receptors in cells</w:t>
      </w:r>
      <w:r w:rsidR="005F04AC">
        <w:rPr>
          <w:rFonts w:ascii="Arial" w:hAnsi="Arial" w:cs="Arial"/>
          <w:i/>
          <w:sz w:val="22"/>
          <w:szCs w:val="22"/>
        </w:rPr>
        <w:t xml:space="preserve"> in vitro</w:t>
      </w:r>
      <w:r w:rsidRPr="005701B3">
        <w:rPr>
          <w:rFonts w:ascii="Arial" w:hAnsi="Arial" w:cs="Arial"/>
          <w:sz w:val="22"/>
          <w:szCs w:val="22"/>
        </w:rPr>
        <w:t xml:space="preserve">. </w:t>
      </w:r>
      <w:r w:rsidR="00DC1F81">
        <w:rPr>
          <w:rFonts w:ascii="Arial" w:hAnsi="Arial" w:cs="Arial"/>
          <w:sz w:val="22"/>
          <w:szCs w:val="22"/>
        </w:rPr>
        <w:t xml:space="preserve"> </w:t>
      </w:r>
      <w:r w:rsidRPr="005701B3">
        <w:rPr>
          <w:rFonts w:ascii="Arial" w:hAnsi="Arial" w:cs="Arial"/>
          <w:i/>
          <w:sz w:val="22"/>
          <w:szCs w:val="22"/>
        </w:rPr>
        <w:t>In vivo</w:t>
      </w:r>
      <w:r w:rsidRPr="005701B3">
        <w:rPr>
          <w:rFonts w:ascii="Arial" w:hAnsi="Arial" w:cs="Arial"/>
          <w:sz w:val="22"/>
          <w:szCs w:val="22"/>
        </w:rPr>
        <w:t xml:space="preserve">, pazopanib inhibited VEGF-induced VEGFR-2 phosphorylation in mouse lungs, angiogenesis in </w:t>
      </w:r>
      <w:r w:rsidR="005F04AC">
        <w:rPr>
          <w:rFonts w:ascii="Arial" w:hAnsi="Arial" w:cs="Arial"/>
          <w:sz w:val="22"/>
          <w:szCs w:val="22"/>
        </w:rPr>
        <w:t>mouse</w:t>
      </w:r>
      <w:r w:rsidRPr="005701B3">
        <w:rPr>
          <w:rFonts w:ascii="Arial" w:hAnsi="Arial" w:cs="Arial"/>
          <w:sz w:val="22"/>
          <w:szCs w:val="22"/>
        </w:rPr>
        <w:t xml:space="preserve"> models, and the growth of </w:t>
      </w:r>
      <w:r w:rsidR="005F04AC">
        <w:rPr>
          <w:rFonts w:ascii="Arial" w:hAnsi="Arial" w:cs="Arial"/>
          <w:sz w:val="22"/>
          <w:szCs w:val="22"/>
        </w:rPr>
        <w:t>some</w:t>
      </w:r>
      <w:r w:rsidR="005F04AC" w:rsidRPr="005701B3">
        <w:rPr>
          <w:rFonts w:ascii="Arial" w:hAnsi="Arial" w:cs="Arial"/>
          <w:sz w:val="22"/>
          <w:szCs w:val="22"/>
        </w:rPr>
        <w:t xml:space="preserve"> </w:t>
      </w:r>
      <w:r w:rsidRPr="005701B3">
        <w:rPr>
          <w:rFonts w:ascii="Arial" w:hAnsi="Arial" w:cs="Arial"/>
          <w:sz w:val="22"/>
          <w:szCs w:val="22"/>
        </w:rPr>
        <w:t>human tumour xenografts in mice.</w:t>
      </w:r>
    </w:p>
    <w:p w:rsidR="00DC1F81" w:rsidRPr="006A22C7" w:rsidRDefault="00DC1F81" w:rsidP="006A22C7">
      <w:pPr>
        <w:spacing w:line="300" w:lineRule="atLeast"/>
        <w:jc w:val="both"/>
        <w:rPr>
          <w:rFonts w:ascii="Arial" w:hAnsi="Arial" w:cs="Arial"/>
          <w:color w:val="000000"/>
          <w:sz w:val="22"/>
          <w:szCs w:val="22"/>
        </w:rPr>
      </w:pPr>
    </w:p>
    <w:p w:rsidR="006A22C7" w:rsidRPr="006A22C7" w:rsidRDefault="006A22C7" w:rsidP="006A22C7">
      <w:pPr>
        <w:pStyle w:val="NoNumHead4"/>
        <w:spacing w:before="0" w:after="0" w:line="300" w:lineRule="atLeast"/>
        <w:jc w:val="both"/>
        <w:rPr>
          <w:rFonts w:cs="Arial"/>
        </w:rPr>
      </w:pPr>
      <w:r w:rsidRPr="006A22C7">
        <w:rPr>
          <w:rFonts w:cs="Arial"/>
        </w:rPr>
        <w:t>Pharmacokinetics</w:t>
      </w:r>
    </w:p>
    <w:p w:rsidR="006A22C7" w:rsidRDefault="006A22C7" w:rsidP="006A22C7">
      <w:pPr>
        <w:spacing w:line="300" w:lineRule="atLeast"/>
        <w:jc w:val="both"/>
        <w:rPr>
          <w:rFonts w:ascii="Arial" w:hAnsi="Arial" w:cs="Arial"/>
          <w:b/>
          <w:sz w:val="22"/>
          <w:szCs w:val="22"/>
        </w:rPr>
      </w:pPr>
    </w:p>
    <w:p w:rsidR="006A3691" w:rsidRDefault="006A3691" w:rsidP="006A22C7">
      <w:pPr>
        <w:spacing w:line="300" w:lineRule="atLeast"/>
        <w:jc w:val="both"/>
        <w:rPr>
          <w:rFonts w:ascii="Arial" w:hAnsi="Arial" w:cs="Arial"/>
          <w:b/>
          <w:sz w:val="22"/>
          <w:szCs w:val="22"/>
        </w:rPr>
      </w:pPr>
      <w:r w:rsidRPr="006A3691">
        <w:rPr>
          <w:rFonts w:ascii="Arial" w:hAnsi="Arial" w:cs="Arial"/>
          <w:sz w:val="22"/>
          <w:szCs w:val="22"/>
        </w:rPr>
        <w:t>The pharmacokinetics of pazopanib</w:t>
      </w:r>
      <w:r>
        <w:rPr>
          <w:rFonts w:ascii="Arial" w:hAnsi="Arial" w:cs="Arial"/>
          <w:sz w:val="22"/>
          <w:szCs w:val="22"/>
        </w:rPr>
        <w:t xml:space="preserve"> have been evaluated in </w:t>
      </w:r>
      <w:r w:rsidR="0074590F" w:rsidRPr="0074590F">
        <w:rPr>
          <w:rFonts w:ascii="Arial" w:hAnsi="Arial" w:cs="Arial"/>
          <w:sz w:val="22"/>
          <w:szCs w:val="22"/>
        </w:rPr>
        <w:t xml:space="preserve">408 </w:t>
      </w:r>
      <w:r w:rsidR="006F3390">
        <w:rPr>
          <w:rFonts w:ascii="Arial" w:hAnsi="Arial" w:cs="Arial"/>
          <w:sz w:val="22"/>
          <w:szCs w:val="22"/>
        </w:rPr>
        <w:t>patients</w:t>
      </w:r>
      <w:r w:rsidR="0074590F">
        <w:rPr>
          <w:rFonts w:ascii="Arial" w:hAnsi="Arial" w:cs="Arial"/>
          <w:sz w:val="22"/>
          <w:szCs w:val="22"/>
        </w:rPr>
        <w:t>.</w:t>
      </w:r>
      <w:r w:rsidR="00043DA8">
        <w:rPr>
          <w:rFonts w:ascii="Arial" w:hAnsi="Arial" w:cs="Arial"/>
          <w:sz w:val="22"/>
          <w:szCs w:val="22"/>
        </w:rPr>
        <w:t xml:space="preserve">  The reported pharmacokinetic parameters such as absolute bioavailability and clearance were obtained from only three </w:t>
      </w:r>
      <w:r w:rsidR="006F3390">
        <w:rPr>
          <w:rFonts w:ascii="Arial" w:hAnsi="Arial" w:cs="Arial"/>
          <w:sz w:val="22"/>
          <w:szCs w:val="22"/>
        </w:rPr>
        <w:t>patients</w:t>
      </w:r>
      <w:r w:rsidR="00043DA8">
        <w:rPr>
          <w:rFonts w:ascii="Arial" w:hAnsi="Arial" w:cs="Arial"/>
          <w:sz w:val="22"/>
          <w:szCs w:val="22"/>
        </w:rPr>
        <w:t>.</w:t>
      </w:r>
    </w:p>
    <w:p w:rsidR="006A3691" w:rsidRPr="006A3691" w:rsidRDefault="006A3691" w:rsidP="006A22C7">
      <w:pPr>
        <w:spacing w:line="300" w:lineRule="atLeast"/>
        <w:jc w:val="both"/>
        <w:rPr>
          <w:rFonts w:ascii="Arial" w:hAnsi="Arial" w:cs="Arial"/>
          <w:b/>
          <w:sz w:val="22"/>
          <w:szCs w:val="22"/>
        </w:rPr>
      </w:pPr>
    </w:p>
    <w:p w:rsidR="006A22C7" w:rsidRPr="006A22C7" w:rsidRDefault="006A22C7" w:rsidP="006A22C7">
      <w:pPr>
        <w:pStyle w:val="NoNumHead5"/>
        <w:spacing w:after="0" w:line="300" w:lineRule="atLeast"/>
        <w:jc w:val="both"/>
        <w:rPr>
          <w:rFonts w:cs="Arial"/>
        </w:rPr>
      </w:pPr>
      <w:r w:rsidRPr="006A22C7">
        <w:rPr>
          <w:rFonts w:cs="Arial"/>
        </w:rPr>
        <w:t xml:space="preserve">Absorption </w:t>
      </w:r>
    </w:p>
    <w:p w:rsidR="00DC1F81" w:rsidRDefault="00DC1F81" w:rsidP="00DC1F81">
      <w:pPr>
        <w:autoSpaceDE w:val="0"/>
        <w:autoSpaceDN w:val="0"/>
        <w:adjustRightInd w:val="0"/>
        <w:spacing w:line="300" w:lineRule="atLeast"/>
        <w:jc w:val="both"/>
        <w:rPr>
          <w:rFonts w:ascii="Arial" w:hAnsi="Arial" w:cs="Arial"/>
          <w:sz w:val="22"/>
          <w:szCs w:val="22"/>
        </w:rPr>
      </w:pPr>
      <w:r w:rsidRPr="00DC1F81">
        <w:rPr>
          <w:rFonts w:ascii="Arial" w:hAnsi="Arial" w:cs="Arial"/>
          <w:sz w:val="22"/>
          <w:szCs w:val="22"/>
        </w:rPr>
        <w:t xml:space="preserve">Pazopanib is absorbed orally with </w:t>
      </w:r>
      <w:r w:rsidR="00CD09A8" w:rsidRPr="00560F6D">
        <w:rPr>
          <w:rFonts w:ascii="Arial" w:hAnsi="Arial" w:cs="Arial"/>
          <w:sz w:val="22"/>
          <w:szCs w:val="22"/>
        </w:rPr>
        <w:t>an absolute oral bioavailability of 13.5 – 38.9 % and</w:t>
      </w:r>
      <w:r w:rsidR="00CD09A8" w:rsidRPr="006E03F2">
        <w:rPr>
          <w:rFonts w:ascii="Arial" w:hAnsi="Arial" w:cs="Arial"/>
          <w:sz w:val="22"/>
          <w:szCs w:val="22"/>
        </w:rPr>
        <w:t xml:space="preserve"> </w:t>
      </w:r>
      <w:r w:rsidRPr="00DC1F81">
        <w:rPr>
          <w:rFonts w:ascii="Arial" w:hAnsi="Arial" w:cs="Arial"/>
          <w:sz w:val="22"/>
          <w:szCs w:val="22"/>
        </w:rPr>
        <w:t xml:space="preserve">median time to achieve peak concentrations of 2.0 to 4.0 hours after the dose. </w:t>
      </w:r>
      <w:r>
        <w:rPr>
          <w:rFonts w:ascii="Arial" w:hAnsi="Arial" w:cs="Arial"/>
          <w:sz w:val="22"/>
          <w:szCs w:val="22"/>
        </w:rPr>
        <w:t xml:space="preserve"> </w:t>
      </w:r>
      <w:r w:rsidRPr="00DC1F81">
        <w:rPr>
          <w:rFonts w:ascii="Arial" w:hAnsi="Arial" w:cs="Arial"/>
          <w:sz w:val="22"/>
          <w:szCs w:val="22"/>
        </w:rPr>
        <w:t xml:space="preserve">Daily dosing results in 1.23- to 4-fold increase in AUC. </w:t>
      </w:r>
      <w:r>
        <w:rPr>
          <w:rFonts w:ascii="Arial" w:hAnsi="Arial" w:cs="Arial"/>
          <w:sz w:val="22"/>
          <w:szCs w:val="22"/>
        </w:rPr>
        <w:t xml:space="preserve"> </w:t>
      </w:r>
      <w:r w:rsidRPr="00DC1F81">
        <w:rPr>
          <w:rFonts w:ascii="Arial" w:hAnsi="Arial" w:cs="Arial"/>
          <w:sz w:val="22"/>
          <w:szCs w:val="22"/>
        </w:rPr>
        <w:t>There was no consistent increase in AUC and C</w:t>
      </w:r>
      <w:r w:rsidRPr="00DC1F81">
        <w:rPr>
          <w:rFonts w:ascii="Arial" w:hAnsi="Arial" w:cs="Arial"/>
          <w:sz w:val="22"/>
          <w:szCs w:val="22"/>
          <w:vertAlign w:val="subscript"/>
        </w:rPr>
        <w:t xml:space="preserve">max </w:t>
      </w:r>
      <w:r w:rsidRPr="00DC1F81">
        <w:rPr>
          <w:rFonts w:ascii="Arial" w:hAnsi="Arial" w:cs="Arial"/>
          <w:sz w:val="22"/>
          <w:szCs w:val="22"/>
        </w:rPr>
        <w:t>when the pazopanib dose increased above 800 mg.</w:t>
      </w:r>
    </w:p>
    <w:p w:rsidR="00DC1F81" w:rsidRPr="00DC1F81" w:rsidRDefault="00DC1F81" w:rsidP="00DC1F81">
      <w:pPr>
        <w:autoSpaceDE w:val="0"/>
        <w:autoSpaceDN w:val="0"/>
        <w:adjustRightInd w:val="0"/>
        <w:spacing w:line="300" w:lineRule="atLeast"/>
        <w:jc w:val="both"/>
        <w:rPr>
          <w:rFonts w:ascii="Arial" w:hAnsi="Arial" w:cs="Arial"/>
          <w:sz w:val="22"/>
          <w:szCs w:val="22"/>
        </w:rPr>
      </w:pPr>
    </w:p>
    <w:p w:rsidR="006A22C7" w:rsidRDefault="00DC1F81" w:rsidP="00DC1F81">
      <w:pPr>
        <w:spacing w:line="300" w:lineRule="atLeast"/>
        <w:jc w:val="both"/>
        <w:rPr>
          <w:rFonts w:ascii="Arial" w:hAnsi="Arial" w:cs="Arial"/>
          <w:sz w:val="22"/>
          <w:szCs w:val="22"/>
        </w:rPr>
      </w:pPr>
      <w:r w:rsidRPr="00DC1F81">
        <w:rPr>
          <w:rFonts w:ascii="Arial" w:hAnsi="Arial" w:cs="Arial"/>
          <w:sz w:val="22"/>
          <w:szCs w:val="22"/>
        </w:rPr>
        <w:t>Systemic exposure to pazopanib is increased when administered with food. Administration of pazopanib with a high-fat or low-fat meal results in an approximately 2-fold increase in AUC and C</w:t>
      </w:r>
      <w:r w:rsidRPr="00DC1F81">
        <w:rPr>
          <w:rFonts w:ascii="Arial" w:hAnsi="Arial" w:cs="Arial"/>
          <w:sz w:val="22"/>
          <w:szCs w:val="22"/>
          <w:vertAlign w:val="subscript"/>
        </w:rPr>
        <w:t>max</w:t>
      </w:r>
      <w:r w:rsidRPr="00DC1F81">
        <w:rPr>
          <w:rFonts w:ascii="Arial" w:hAnsi="Arial" w:cs="Arial"/>
          <w:sz w:val="22"/>
          <w:szCs w:val="22"/>
        </w:rPr>
        <w:t xml:space="preserve">. </w:t>
      </w:r>
      <w:r>
        <w:rPr>
          <w:rFonts w:ascii="Arial" w:hAnsi="Arial" w:cs="Arial"/>
          <w:sz w:val="22"/>
          <w:szCs w:val="22"/>
        </w:rPr>
        <w:t xml:space="preserve"> </w:t>
      </w:r>
      <w:r w:rsidRPr="00DC1F81">
        <w:rPr>
          <w:rFonts w:ascii="Arial" w:hAnsi="Arial" w:cs="Arial"/>
          <w:sz w:val="22"/>
          <w:szCs w:val="22"/>
        </w:rPr>
        <w:t>Therefore, pazopanib should be administered at least 1 hour before or 2 hours after a meal (</w:t>
      </w:r>
      <w:r w:rsidRPr="00DC1F81">
        <w:rPr>
          <w:rFonts w:ascii="Arial" w:hAnsi="Arial" w:cs="Arial"/>
          <w:i/>
          <w:sz w:val="22"/>
          <w:szCs w:val="22"/>
        </w:rPr>
        <w:t>see Dosage and Administration</w:t>
      </w:r>
      <w:r w:rsidRPr="00DC1F81">
        <w:rPr>
          <w:rFonts w:ascii="Arial" w:hAnsi="Arial" w:cs="Arial"/>
          <w:sz w:val="22"/>
          <w:szCs w:val="22"/>
        </w:rPr>
        <w:t>).</w:t>
      </w:r>
    </w:p>
    <w:p w:rsidR="000F4E6C" w:rsidRDefault="000F4E6C" w:rsidP="00DC1F81">
      <w:pPr>
        <w:spacing w:line="300" w:lineRule="atLeast"/>
        <w:jc w:val="both"/>
        <w:rPr>
          <w:rFonts w:ascii="Arial" w:hAnsi="Arial" w:cs="Arial"/>
          <w:sz w:val="22"/>
          <w:szCs w:val="22"/>
        </w:rPr>
      </w:pPr>
    </w:p>
    <w:p w:rsidR="000F4E6C" w:rsidRPr="00560F6D" w:rsidRDefault="000F4E6C" w:rsidP="00DC1F81">
      <w:pPr>
        <w:spacing w:line="300" w:lineRule="atLeast"/>
        <w:jc w:val="both"/>
        <w:rPr>
          <w:rFonts w:ascii="Arial" w:hAnsi="Arial" w:cs="Arial"/>
          <w:iCs/>
          <w:sz w:val="22"/>
          <w:szCs w:val="22"/>
        </w:rPr>
      </w:pPr>
      <w:r w:rsidRPr="00560F6D">
        <w:rPr>
          <w:rFonts w:ascii="Arial" w:hAnsi="Arial" w:cs="Arial"/>
          <w:sz w:val="22"/>
          <w:szCs w:val="22"/>
        </w:rPr>
        <w:t>Administration of a single pazopanib 400 mg crushed tablet increased AUC</w:t>
      </w:r>
      <w:r w:rsidRPr="00560F6D">
        <w:rPr>
          <w:rFonts w:ascii="Arial" w:hAnsi="Arial" w:cs="Arial"/>
          <w:sz w:val="22"/>
          <w:szCs w:val="22"/>
          <w:vertAlign w:val="subscript"/>
        </w:rPr>
        <w:t>(0-72)</w:t>
      </w:r>
      <w:r w:rsidRPr="00560F6D">
        <w:rPr>
          <w:rFonts w:ascii="Arial" w:hAnsi="Arial" w:cs="Arial"/>
          <w:sz w:val="22"/>
          <w:szCs w:val="22"/>
        </w:rPr>
        <w:t xml:space="preserve"> by 46% and C</w:t>
      </w:r>
      <w:r w:rsidRPr="00560F6D">
        <w:rPr>
          <w:rFonts w:ascii="Arial" w:hAnsi="Arial" w:cs="Arial"/>
          <w:sz w:val="22"/>
          <w:szCs w:val="22"/>
          <w:vertAlign w:val="subscript"/>
        </w:rPr>
        <w:t>max</w:t>
      </w:r>
      <w:r w:rsidRPr="00560F6D">
        <w:rPr>
          <w:rFonts w:ascii="Arial" w:hAnsi="Arial" w:cs="Arial"/>
          <w:sz w:val="22"/>
          <w:szCs w:val="22"/>
        </w:rPr>
        <w:t xml:space="preserve"> by approximately 2 fold and decreased t</w:t>
      </w:r>
      <w:r w:rsidRPr="00560F6D">
        <w:rPr>
          <w:rFonts w:ascii="Arial" w:hAnsi="Arial" w:cs="Arial"/>
          <w:sz w:val="22"/>
          <w:szCs w:val="22"/>
          <w:vertAlign w:val="subscript"/>
        </w:rPr>
        <w:t>max</w:t>
      </w:r>
      <w:r w:rsidRPr="00560F6D">
        <w:rPr>
          <w:rFonts w:ascii="Arial" w:hAnsi="Arial" w:cs="Arial"/>
          <w:sz w:val="22"/>
          <w:szCs w:val="22"/>
        </w:rPr>
        <w:t xml:space="preserve"> by approximately 1.5 hours compared to administration of the whole tablet.  These results indicate that the bioavailability and the rate of pazopanib oral absorption are increased after administration of the crushed tablet relative to administration of the whole tablet.  Therefore, due to this potential for increased exposure, tablets should not be crushed (</w:t>
      </w:r>
      <w:r w:rsidR="00170E9A" w:rsidRPr="00170E9A">
        <w:rPr>
          <w:rFonts w:ascii="Arial" w:hAnsi="Arial" w:cs="Arial"/>
          <w:i/>
          <w:sz w:val="22"/>
          <w:szCs w:val="22"/>
        </w:rPr>
        <w:t>see Dosage and Administration</w:t>
      </w:r>
      <w:r w:rsidRPr="00560F6D">
        <w:rPr>
          <w:rFonts w:ascii="Arial" w:hAnsi="Arial" w:cs="Arial"/>
          <w:sz w:val="22"/>
          <w:szCs w:val="22"/>
        </w:rPr>
        <w:t>).</w:t>
      </w:r>
    </w:p>
    <w:p w:rsidR="006C427A" w:rsidRDefault="006C427A">
      <w:pPr>
        <w:rPr>
          <w:rFonts w:ascii="Arial" w:hAnsi="Arial" w:cs="Arial"/>
          <w:b/>
          <w:sz w:val="22"/>
          <w:szCs w:val="22"/>
        </w:rPr>
      </w:pPr>
      <w:r>
        <w:rPr>
          <w:rFonts w:cs="Arial"/>
          <w:i/>
        </w:rPr>
        <w:br w:type="page"/>
      </w:r>
    </w:p>
    <w:p w:rsidR="006A22C7" w:rsidRPr="006A22C7" w:rsidRDefault="006A22C7" w:rsidP="006A22C7">
      <w:pPr>
        <w:pStyle w:val="NoNumHead5"/>
        <w:spacing w:after="0" w:line="300" w:lineRule="atLeast"/>
        <w:jc w:val="both"/>
        <w:rPr>
          <w:rFonts w:cs="Arial"/>
        </w:rPr>
      </w:pPr>
      <w:r w:rsidRPr="006A22C7">
        <w:rPr>
          <w:rFonts w:cs="Arial"/>
        </w:rPr>
        <w:lastRenderedPageBreak/>
        <w:t>Distribution</w:t>
      </w:r>
    </w:p>
    <w:p w:rsidR="006A22C7" w:rsidRPr="00E73986" w:rsidRDefault="00E73986" w:rsidP="006A22C7">
      <w:pPr>
        <w:spacing w:line="300" w:lineRule="atLeast"/>
        <w:jc w:val="both"/>
        <w:rPr>
          <w:rFonts w:ascii="Arial" w:eastAsia="MS Mincho" w:hAnsi="Arial" w:cs="Arial"/>
          <w:color w:val="000000"/>
          <w:sz w:val="22"/>
          <w:szCs w:val="22"/>
          <w:lang w:eastAsia="ja-JP"/>
        </w:rPr>
      </w:pPr>
      <w:r w:rsidRPr="00E73986">
        <w:rPr>
          <w:rStyle w:val="SalutationChar"/>
          <w:rFonts w:ascii="Arial" w:hAnsi="Arial" w:cs="Arial"/>
          <w:sz w:val="22"/>
          <w:szCs w:val="22"/>
        </w:rPr>
        <w:t xml:space="preserve">Binding of pazopanib to human plasma protein in vivo was greater than 99 % with no concentration dependence over the range of 10-100 </w:t>
      </w:r>
      <w:r w:rsidRPr="00E73986">
        <w:rPr>
          <w:rStyle w:val="SalutationChar"/>
          <w:rFonts w:ascii="Arial" w:hAnsi="Arial" w:cs="Arial"/>
          <w:sz w:val="22"/>
          <w:szCs w:val="22"/>
        </w:rPr>
        <w:sym w:font="Symbol" w:char="F06D"/>
      </w:r>
      <w:r w:rsidRPr="00E73986">
        <w:rPr>
          <w:rStyle w:val="SalutationChar"/>
          <w:rFonts w:ascii="Arial" w:hAnsi="Arial" w:cs="Arial"/>
          <w:sz w:val="22"/>
          <w:szCs w:val="22"/>
        </w:rPr>
        <w:t xml:space="preserve">g/ml. </w:t>
      </w:r>
      <w:r>
        <w:rPr>
          <w:rStyle w:val="SalutationChar"/>
          <w:rFonts w:ascii="Arial" w:hAnsi="Arial" w:cs="Arial"/>
          <w:sz w:val="22"/>
          <w:szCs w:val="22"/>
        </w:rPr>
        <w:t xml:space="preserve"> </w:t>
      </w:r>
      <w:r w:rsidR="00CD09A8" w:rsidRPr="00CD09A8">
        <w:rPr>
          <w:rStyle w:val="SalutationChar"/>
          <w:rFonts w:ascii="Arial" w:eastAsia="Calibri" w:hAnsi="Arial" w:cs="Arial"/>
          <w:sz w:val="22"/>
          <w:szCs w:val="22"/>
        </w:rPr>
        <w:t>After 5 mg IV administration, pazopanib displayed a volume of distribution of 9.2 – 13.1 L (&lt; 40 % of total body water).</w:t>
      </w:r>
      <w:r w:rsidR="00CD09A8">
        <w:rPr>
          <w:rStyle w:val="SalutationChar"/>
          <w:rFonts w:ascii="Arial" w:eastAsia="Calibri" w:hAnsi="Arial" w:cs="Arial"/>
          <w:sz w:val="22"/>
          <w:szCs w:val="22"/>
        </w:rPr>
        <w:t xml:space="preserve">  </w:t>
      </w:r>
      <w:r w:rsidRPr="00E73986">
        <w:rPr>
          <w:rStyle w:val="SalutationChar"/>
          <w:rFonts w:ascii="Arial" w:hAnsi="Arial" w:cs="Arial"/>
          <w:i/>
          <w:sz w:val="22"/>
          <w:szCs w:val="22"/>
        </w:rPr>
        <w:t>In vitro</w:t>
      </w:r>
      <w:r w:rsidRPr="00E73986">
        <w:rPr>
          <w:rStyle w:val="SalutationChar"/>
          <w:rFonts w:ascii="Arial" w:hAnsi="Arial" w:cs="Arial"/>
          <w:sz w:val="22"/>
          <w:szCs w:val="22"/>
        </w:rPr>
        <w:t xml:space="preserve"> studies suggest that pazopanib is a substrate for P-glycoprotein (Pgp) and breast cancer resistant protein (BCRP).</w:t>
      </w:r>
    </w:p>
    <w:p w:rsidR="003D0B4A" w:rsidRPr="006A22C7" w:rsidRDefault="003D0B4A" w:rsidP="006A22C7">
      <w:pPr>
        <w:spacing w:line="300" w:lineRule="atLeast"/>
        <w:jc w:val="both"/>
        <w:rPr>
          <w:rFonts w:ascii="Arial" w:hAnsi="Arial" w:cs="Arial"/>
          <w:b/>
          <w:sz w:val="22"/>
          <w:szCs w:val="22"/>
        </w:rPr>
      </w:pPr>
    </w:p>
    <w:p w:rsidR="006A22C7" w:rsidRPr="006A22C7" w:rsidRDefault="006A22C7" w:rsidP="006A22C7">
      <w:pPr>
        <w:pStyle w:val="NoNumHead5"/>
        <w:spacing w:after="0" w:line="300" w:lineRule="atLeast"/>
        <w:jc w:val="both"/>
        <w:rPr>
          <w:rFonts w:cs="Arial"/>
        </w:rPr>
      </w:pPr>
      <w:r w:rsidRPr="006A22C7">
        <w:rPr>
          <w:rFonts w:cs="Arial"/>
        </w:rPr>
        <w:t>Metabolism</w:t>
      </w:r>
    </w:p>
    <w:p w:rsidR="006A22C7" w:rsidRPr="00AF7961" w:rsidRDefault="00AF7961" w:rsidP="006A22C7">
      <w:pPr>
        <w:spacing w:line="300" w:lineRule="atLeast"/>
        <w:jc w:val="both"/>
        <w:rPr>
          <w:rFonts w:ascii="Arial" w:hAnsi="Arial" w:cs="Arial"/>
          <w:color w:val="000000"/>
          <w:sz w:val="22"/>
          <w:szCs w:val="22"/>
        </w:rPr>
      </w:pPr>
      <w:r w:rsidRPr="00AF7961">
        <w:rPr>
          <w:rFonts w:ascii="Arial" w:hAnsi="Arial" w:cs="Arial"/>
          <w:sz w:val="22"/>
          <w:szCs w:val="22"/>
        </w:rPr>
        <w:t xml:space="preserve">Results from </w:t>
      </w:r>
      <w:r w:rsidRPr="00AF7961">
        <w:rPr>
          <w:rFonts w:ascii="Arial" w:hAnsi="Arial" w:cs="Arial"/>
          <w:i/>
          <w:sz w:val="22"/>
          <w:szCs w:val="22"/>
        </w:rPr>
        <w:t>in vitro</w:t>
      </w:r>
      <w:r w:rsidRPr="00AF7961">
        <w:rPr>
          <w:rFonts w:ascii="Arial" w:hAnsi="Arial" w:cs="Arial"/>
          <w:sz w:val="22"/>
          <w:szCs w:val="22"/>
        </w:rPr>
        <w:t xml:space="preserve"> studies demonstrated that the metabolism of pazopanib is mediated primarily by CYP3A4, with minor contributions from CYP1A2 and CYP2C8.</w:t>
      </w:r>
    </w:p>
    <w:p w:rsidR="003D0B4A" w:rsidRPr="006A22C7" w:rsidRDefault="003D0B4A" w:rsidP="006A22C7">
      <w:pPr>
        <w:spacing w:line="300" w:lineRule="atLeast"/>
        <w:jc w:val="both"/>
        <w:rPr>
          <w:rFonts w:ascii="Arial" w:hAnsi="Arial" w:cs="Arial"/>
          <w:sz w:val="22"/>
          <w:szCs w:val="22"/>
        </w:rPr>
      </w:pPr>
    </w:p>
    <w:p w:rsidR="006A22C7" w:rsidRPr="006A22C7" w:rsidRDefault="00405698" w:rsidP="006A22C7">
      <w:pPr>
        <w:pStyle w:val="NoNumHead5"/>
        <w:spacing w:after="0" w:line="300" w:lineRule="atLeast"/>
        <w:jc w:val="both"/>
        <w:rPr>
          <w:rFonts w:cs="Arial"/>
        </w:rPr>
      </w:pPr>
      <w:r>
        <w:rPr>
          <w:rFonts w:cs="Arial"/>
        </w:rPr>
        <w:t>Excretion</w:t>
      </w:r>
    </w:p>
    <w:p w:rsidR="004D6F9B" w:rsidRPr="00603D98" w:rsidRDefault="00F41A96" w:rsidP="006A22C7">
      <w:pPr>
        <w:spacing w:line="300" w:lineRule="atLeast"/>
        <w:jc w:val="both"/>
        <w:rPr>
          <w:rFonts w:ascii="Arial" w:hAnsi="Arial" w:cs="Arial"/>
          <w:b/>
          <w:sz w:val="22"/>
          <w:szCs w:val="22"/>
        </w:rPr>
      </w:pPr>
      <w:r w:rsidRPr="00F41A96">
        <w:rPr>
          <w:rFonts w:ascii="Arial" w:hAnsi="Arial" w:cs="Arial"/>
          <w:sz w:val="22"/>
          <w:szCs w:val="22"/>
        </w:rPr>
        <w:t>Pazopanib is eliminated slowly with mean half-life of 30.9 hours after administration of the recommended dose of 800 mg.  Elimination is primarily via faeces with renal elimination accounting for &lt; 4 % of the administered dose.</w:t>
      </w:r>
      <w:r w:rsidR="00603D98">
        <w:rPr>
          <w:rFonts w:ascii="Arial" w:hAnsi="Arial" w:cs="Arial"/>
          <w:sz w:val="22"/>
          <w:szCs w:val="22"/>
        </w:rPr>
        <w:t xml:space="preserve">  </w:t>
      </w:r>
      <w:r w:rsidR="00603D98" w:rsidRPr="00560F6D">
        <w:rPr>
          <w:rFonts w:ascii="Arial" w:hAnsi="Arial" w:cs="Arial"/>
          <w:sz w:val="22"/>
          <w:szCs w:val="22"/>
        </w:rPr>
        <w:t>Pazopanib plasma clearance after a 5 mg IV dose ranged from 0.206 to 0.347 L/h (approximately 0.5% of liver blood flow and 5% of glomerular filtration rate).</w:t>
      </w:r>
    </w:p>
    <w:p w:rsidR="00356BBC" w:rsidRDefault="00356BBC" w:rsidP="006C4A20">
      <w:pPr>
        <w:autoSpaceDE w:val="0"/>
        <w:autoSpaceDN w:val="0"/>
        <w:adjustRightInd w:val="0"/>
        <w:rPr>
          <w:rFonts w:ascii="Arial" w:hAnsi="Arial" w:cs="Arial"/>
          <w:b/>
        </w:rPr>
      </w:pPr>
    </w:p>
    <w:p w:rsidR="00405698" w:rsidRPr="000A15B5" w:rsidRDefault="00405698" w:rsidP="00405698">
      <w:pPr>
        <w:autoSpaceDE w:val="0"/>
        <w:autoSpaceDN w:val="0"/>
        <w:adjustRightInd w:val="0"/>
        <w:spacing w:line="300" w:lineRule="atLeast"/>
        <w:jc w:val="both"/>
        <w:rPr>
          <w:rFonts w:ascii="Arial" w:hAnsi="Arial" w:cs="Arial"/>
          <w:b/>
          <w:i/>
          <w:snapToGrid w:val="0"/>
          <w:sz w:val="22"/>
          <w:szCs w:val="22"/>
          <w:lang w:val="en-US" w:eastAsia="en-US"/>
        </w:rPr>
      </w:pPr>
      <w:r w:rsidRPr="000A15B5">
        <w:rPr>
          <w:rFonts w:ascii="Arial" w:hAnsi="Arial" w:cs="Arial"/>
          <w:b/>
          <w:i/>
          <w:snapToGrid w:val="0"/>
          <w:sz w:val="22"/>
          <w:szCs w:val="22"/>
          <w:lang w:val="en-US" w:eastAsia="en-US"/>
        </w:rPr>
        <w:t>Special Populations</w:t>
      </w:r>
    </w:p>
    <w:p w:rsidR="00405698" w:rsidRPr="000A15B5" w:rsidRDefault="00405698" w:rsidP="00405698">
      <w:pPr>
        <w:autoSpaceDE w:val="0"/>
        <w:autoSpaceDN w:val="0"/>
        <w:adjustRightInd w:val="0"/>
        <w:spacing w:line="300" w:lineRule="atLeast"/>
        <w:jc w:val="both"/>
        <w:rPr>
          <w:rFonts w:ascii="Arial" w:hAnsi="Arial" w:cs="Arial"/>
          <w:b/>
          <w:i/>
          <w:snapToGrid w:val="0"/>
          <w:sz w:val="22"/>
          <w:szCs w:val="22"/>
          <w:lang w:val="en-US" w:eastAsia="en-US"/>
        </w:rPr>
      </w:pPr>
    </w:p>
    <w:p w:rsidR="00405698" w:rsidRPr="000A15B5" w:rsidRDefault="00405698" w:rsidP="00405698">
      <w:pPr>
        <w:autoSpaceDE w:val="0"/>
        <w:autoSpaceDN w:val="0"/>
        <w:adjustRightInd w:val="0"/>
        <w:spacing w:line="300" w:lineRule="atLeast"/>
        <w:jc w:val="both"/>
        <w:rPr>
          <w:rFonts w:ascii="Arial" w:hAnsi="Arial" w:cs="Arial"/>
          <w:snapToGrid w:val="0"/>
          <w:sz w:val="22"/>
          <w:szCs w:val="22"/>
          <w:u w:val="single"/>
          <w:lang w:val="en-US" w:eastAsia="en-US"/>
        </w:rPr>
      </w:pPr>
      <w:r w:rsidRPr="000A15B5">
        <w:rPr>
          <w:rFonts w:ascii="Arial" w:hAnsi="Arial" w:cs="Arial"/>
          <w:snapToGrid w:val="0"/>
          <w:sz w:val="22"/>
          <w:szCs w:val="22"/>
          <w:u w:val="single"/>
          <w:lang w:val="en-US" w:eastAsia="en-US"/>
        </w:rPr>
        <w:t>Renal Impairment</w:t>
      </w:r>
    </w:p>
    <w:p w:rsidR="00405698" w:rsidRDefault="00405698" w:rsidP="00405698">
      <w:pPr>
        <w:autoSpaceDE w:val="0"/>
        <w:autoSpaceDN w:val="0"/>
        <w:adjustRightInd w:val="0"/>
        <w:spacing w:line="300" w:lineRule="atLeast"/>
        <w:jc w:val="both"/>
        <w:rPr>
          <w:rFonts w:ascii="Arial" w:hAnsi="Arial" w:cs="Arial"/>
          <w:color w:val="000000"/>
          <w:sz w:val="22"/>
          <w:szCs w:val="22"/>
        </w:rPr>
      </w:pPr>
      <w:r w:rsidRPr="000A15B5">
        <w:rPr>
          <w:rFonts w:ascii="Arial" w:hAnsi="Arial" w:cs="Arial"/>
          <w:color w:val="000000"/>
          <w:sz w:val="22"/>
          <w:szCs w:val="22"/>
        </w:rPr>
        <w:t xml:space="preserve">In a population pharmacokinetic analysis using 408 </w:t>
      </w:r>
      <w:r w:rsidR="006F3390">
        <w:rPr>
          <w:rFonts w:ascii="Arial" w:hAnsi="Arial" w:cs="Arial"/>
          <w:color w:val="000000"/>
          <w:sz w:val="22"/>
          <w:szCs w:val="22"/>
        </w:rPr>
        <w:t>patients</w:t>
      </w:r>
      <w:r w:rsidRPr="000A15B5">
        <w:rPr>
          <w:rFonts w:ascii="Arial" w:hAnsi="Arial" w:cs="Arial"/>
          <w:color w:val="000000"/>
          <w:sz w:val="22"/>
          <w:szCs w:val="22"/>
        </w:rPr>
        <w:t xml:space="preserve"> with various cancers, creatinine clearance (30-150 ml/min) did not influence clearance of pazopanib. Renal impairment is not expected to influence pazopanib exposure, and dose adjustment is not necessary in patients with creatine clearance ≥ 30 ml/min.</w:t>
      </w:r>
    </w:p>
    <w:p w:rsidR="00405698" w:rsidRPr="000A15B5" w:rsidRDefault="00405698" w:rsidP="00405698">
      <w:pPr>
        <w:autoSpaceDE w:val="0"/>
        <w:autoSpaceDN w:val="0"/>
        <w:adjustRightInd w:val="0"/>
        <w:spacing w:line="300" w:lineRule="atLeast"/>
        <w:jc w:val="both"/>
        <w:rPr>
          <w:rFonts w:ascii="Arial" w:hAnsi="Arial" w:cs="Arial"/>
          <w:color w:val="000000"/>
          <w:sz w:val="22"/>
          <w:szCs w:val="22"/>
        </w:rPr>
      </w:pPr>
    </w:p>
    <w:p w:rsidR="00405698" w:rsidRPr="000A15B5" w:rsidRDefault="00405698" w:rsidP="00405698">
      <w:pPr>
        <w:autoSpaceDE w:val="0"/>
        <w:autoSpaceDN w:val="0"/>
        <w:adjustRightInd w:val="0"/>
        <w:spacing w:line="300" w:lineRule="atLeast"/>
        <w:jc w:val="both"/>
        <w:rPr>
          <w:rFonts w:ascii="Arial" w:hAnsi="Arial" w:cs="Arial"/>
          <w:snapToGrid w:val="0"/>
          <w:sz w:val="22"/>
          <w:szCs w:val="22"/>
          <w:u w:val="single"/>
          <w:lang w:val="en-US" w:eastAsia="en-US"/>
        </w:rPr>
      </w:pPr>
      <w:r w:rsidRPr="000A15B5">
        <w:rPr>
          <w:rFonts w:ascii="Arial" w:hAnsi="Arial" w:cs="Arial"/>
          <w:color w:val="000000"/>
          <w:sz w:val="22"/>
          <w:szCs w:val="22"/>
          <w:u w:val="single"/>
        </w:rPr>
        <w:t>Hepatic Impairment</w:t>
      </w:r>
    </w:p>
    <w:p w:rsidR="00405698" w:rsidRDefault="00405698" w:rsidP="00405698">
      <w:pPr>
        <w:autoSpaceDE w:val="0"/>
        <w:autoSpaceDN w:val="0"/>
        <w:adjustRightInd w:val="0"/>
        <w:spacing w:line="300" w:lineRule="atLeast"/>
        <w:jc w:val="both"/>
        <w:rPr>
          <w:rFonts w:ascii="Arial" w:hAnsi="Arial" w:cs="Arial"/>
          <w:iCs/>
          <w:color w:val="000000"/>
          <w:sz w:val="22"/>
          <w:szCs w:val="22"/>
        </w:rPr>
      </w:pPr>
      <w:r w:rsidRPr="000A15B5">
        <w:rPr>
          <w:rFonts w:ascii="Arial" w:hAnsi="Arial" w:cs="Arial"/>
          <w:color w:val="000000"/>
          <w:sz w:val="22"/>
          <w:szCs w:val="22"/>
        </w:rPr>
        <w:t>The median steady-state pazopanib C</w:t>
      </w:r>
      <w:r w:rsidRPr="000A15B5">
        <w:rPr>
          <w:rFonts w:ascii="Arial" w:hAnsi="Arial" w:cs="Arial"/>
          <w:color w:val="000000"/>
          <w:sz w:val="22"/>
          <w:szCs w:val="22"/>
          <w:vertAlign w:val="subscript"/>
        </w:rPr>
        <w:t>max</w:t>
      </w:r>
      <w:r w:rsidRPr="000A15B5">
        <w:rPr>
          <w:rFonts w:ascii="Arial" w:hAnsi="Arial" w:cs="Arial"/>
          <w:color w:val="000000"/>
          <w:sz w:val="22"/>
          <w:szCs w:val="22"/>
        </w:rPr>
        <w:t xml:space="preserve"> and AUC</w:t>
      </w:r>
      <w:r w:rsidRPr="000A15B5">
        <w:rPr>
          <w:rFonts w:ascii="Arial" w:hAnsi="Arial" w:cs="Arial"/>
          <w:color w:val="000000"/>
          <w:sz w:val="22"/>
          <w:szCs w:val="22"/>
          <w:vertAlign w:val="subscript"/>
        </w:rPr>
        <w:t>(0-24)</w:t>
      </w:r>
      <w:r w:rsidRPr="000A15B5">
        <w:rPr>
          <w:rFonts w:ascii="Arial" w:hAnsi="Arial" w:cs="Arial"/>
          <w:color w:val="000000"/>
          <w:sz w:val="22"/>
          <w:szCs w:val="22"/>
        </w:rPr>
        <w:t xml:space="preserve"> in patients with mild hepatic impairment (defined as either normal bilirubin and any degree of ALT elevations or as an elevation of bilirubin up to 1.5 x ULN regardless of the ALT value) after a once daily dose of 800 mg/day (30.9 µg/ml, range 12.5</w:t>
      </w:r>
      <w:r w:rsidRPr="000A15B5">
        <w:rPr>
          <w:rFonts w:ascii="Arial" w:hAnsi="Arial" w:cs="Arial"/>
          <w:color w:val="000000"/>
          <w:sz w:val="22"/>
          <w:szCs w:val="22"/>
        </w:rPr>
        <w:noBreakHyphen/>
        <w:t>47.3 and 841.8 µg.hr/ml, range 600.4</w:t>
      </w:r>
      <w:r w:rsidRPr="000A15B5">
        <w:rPr>
          <w:rFonts w:ascii="Arial" w:hAnsi="Arial" w:cs="Arial"/>
          <w:color w:val="000000"/>
          <w:sz w:val="22"/>
          <w:szCs w:val="22"/>
        </w:rPr>
        <w:noBreakHyphen/>
        <w:t xml:space="preserve">1078) are similar to the median in patients with no hepatic impairment (49.4 µg/ml, range 17.1-85.7 and 888.2 µg.hr/ml, range 345.5-1482) </w:t>
      </w:r>
      <w:r w:rsidRPr="000A15B5">
        <w:rPr>
          <w:rFonts w:ascii="Arial" w:hAnsi="Arial" w:cs="Arial"/>
          <w:iCs/>
          <w:color w:val="000000"/>
          <w:sz w:val="22"/>
          <w:szCs w:val="22"/>
        </w:rPr>
        <w:t>(</w:t>
      </w:r>
      <w:r w:rsidRPr="000A15B5">
        <w:rPr>
          <w:rFonts w:ascii="Arial" w:hAnsi="Arial" w:cs="Arial"/>
          <w:i/>
          <w:iCs/>
          <w:color w:val="000000"/>
          <w:sz w:val="22"/>
          <w:szCs w:val="22"/>
        </w:rPr>
        <w:t>see Dosage and Administration</w:t>
      </w:r>
      <w:r w:rsidRPr="000A15B5">
        <w:rPr>
          <w:rFonts w:ascii="Arial" w:hAnsi="Arial" w:cs="Arial"/>
          <w:iCs/>
          <w:color w:val="000000"/>
          <w:sz w:val="22"/>
          <w:szCs w:val="22"/>
        </w:rPr>
        <w:t>).</w:t>
      </w:r>
    </w:p>
    <w:p w:rsidR="00686667" w:rsidRPr="000A15B5" w:rsidRDefault="00686667" w:rsidP="00405698">
      <w:pPr>
        <w:autoSpaceDE w:val="0"/>
        <w:autoSpaceDN w:val="0"/>
        <w:adjustRightInd w:val="0"/>
        <w:spacing w:line="300" w:lineRule="atLeast"/>
        <w:jc w:val="both"/>
        <w:rPr>
          <w:rFonts w:ascii="Arial" w:hAnsi="Arial" w:cs="Arial"/>
          <w:color w:val="000000"/>
          <w:sz w:val="22"/>
          <w:szCs w:val="22"/>
        </w:rPr>
      </w:pPr>
    </w:p>
    <w:p w:rsidR="00405698" w:rsidRDefault="00405698" w:rsidP="00405698">
      <w:pPr>
        <w:pStyle w:val="listbull"/>
        <w:numPr>
          <w:ilvl w:val="0"/>
          <w:numId w:val="0"/>
        </w:numPr>
        <w:spacing w:after="0" w:line="300" w:lineRule="atLeast"/>
        <w:jc w:val="both"/>
        <w:rPr>
          <w:rFonts w:ascii="Arial" w:hAnsi="Arial" w:cs="Arial"/>
          <w:iCs/>
          <w:color w:val="000000"/>
          <w:sz w:val="22"/>
          <w:szCs w:val="22"/>
        </w:rPr>
      </w:pPr>
      <w:r w:rsidRPr="000A15B5">
        <w:rPr>
          <w:rFonts w:ascii="Arial" w:hAnsi="Arial" w:cs="Arial"/>
          <w:color w:val="000000"/>
          <w:sz w:val="22"/>
          <w:szCs w:val="22"/>
        </w:rPr>
        <w:t xml:space="preserve">The maximally tolerated pazopanib dose (MTD) in patients with moderate hepatic impairment (defined as an elevation of bilirubin &gt; 1.5 x to 3 x ULN regardless of the ALT values) was 200 mg once daily. </w:t>
      </w:r>
      <w:r w:rsidRPr="000A15B5">
        <w:rPr>
          <w:rFonts w:ascii="Arial" w:hAnsi="Arial" w:cs="Arial"/>
          <w:color w:val="000000"/>
          <w:sz w:val="22"/>
          <w:szCs w:val="22"/>
          <w:lang w:val="en-US"/>
        </w:rPr>
        <w:t>The median steady-state values of C</w:t>
      </w:r>
      <w:r w:rsidRPr="000A15B5">
        <w:rPr>
          <w:rFonts w:ascii="Arial" w:hAnsi="Arial" w:cs="Arial"/>
          <w:color w:val="000000"/>
          <w:sz w:val="22"/>
          <w:szCs w:val="22"/>
          <w:vertAlign w:val="subscript"/>
          <w:lang w:val="en-US"/>
        </w:rPr>
        <w:t>max</w:t>
      </w:r>
      <w:r w:rsidRPr="000A15B5">
        <w:rPr>
          <w:rFonts w:ascii="Arial" w:hAnsi="Arial" w:cs="Arial"/>
          <w:color w:val="000000"/>
          <w:sz w:val="22"/>
          <w:szCs w:val="22"/>
          <w:lang w:val="en-US"/>
        </w:rPr>
        <w:t xml:space="preserve"> (22.4 µg/ml, range 6.4-32.9) and AUC</w:t>
      </w:r>
      <w:r w:rsidRPr="000A15B5">
        <w:rPr>
          <w:rFonts w:ascii="Arial" w:hAnsi="Arial" w:cs="Arial"/>
          <w:color w:val="000000"/>
          <w:sz w:val="22"/>
          <w:szCs w:val="22"/>
          <w:vertAlign w:val="subscript"/>
          <w:lang w:val="en-US"/>
        </w:rPr>
        <w:t>(0-24)</w:t>
      </w:r>
      <w:r w:rsidRPr="000A15B5">
        <w:rPr>
          <w:rFonts w:ascii="Arial" w:hAnsi="Arial" w:cs="Arial"/>
          <w:color w:val="000000"/>
          <w:sz w:val="22"/>
          <w:szCs w:val="22"/>
          <w:lang w:val="en-US"/>
        </w:rPr>
        <w:t xml:space="preserve"> (350.0 µg.hr/ml, range 131.8-487.7) after administration of 200 mg pazopanib once daily in </w:t>
      </w:r>
      <w:r w:rsidR="006F3390">
        <w:rPr>
          <w:rFonts w:ascii="Arial" w:hAnsi="Arial" w:cs="Arial"/>
          <w:color w:val="000000"/>
          <w:sz w:val="22"/>
          <w:szCs w:val="22"/>
          <w:lang w:val="en-US"/>
        </w:rPr>
        <w:t>patients</w:t>
      </w:r>
      <w:r w:rsidRPr="000A15B5">
        <w:rPr>
          <w:rFonts w:ascii="Arial" w:hAnsi="Arial" w:cs="Arial"/>
          <w:color w:val="000000"/>
          <w:sz w:val="22"/>
          <w:szCs w:val="22"/>
          <w:lang w:val="en-US"/>
        </w:rPr>
        <w:t xml:space="preserve"> with moderate hepatic impairment were approximately 45 % and 39 %, respectively, that of the corresponding median values after administration of 800 mg once daily in </w:t>
      </w:r>
      <w:r w:rsidR="006F3390">
        <w:rPr>
          <w:rFonts w:ascii="Arial" w:hAnsi="Arial" w:cs="Arial"/>
          <w:color w:val="000000"/>
          <w:sz w:val="22"/>
          <w:szCs w:val="22"/>
          <w:lang w:val="en-US"/>
        </w:rPr>
        <w:t>patients</w:t>
      </w:r>
      <w:r w:rsidRPr="000A15B5">
        <w:rPr>
          <w:rFonts w:ascii="Arial" w:hAnsi="Arial" w:cs="Arial"/>
          <w:color w:val="000000"/>
          <w:sz w:val="22"/>
          <w:szCs w:val="22"/>
          <w:lang w:val="en-US"/>
        </w:rPr>
        <w:t xml:space="preserve"> with normal hepatic function </w:t>
      </w:r>
      <w:r w:rsidRPr="000A15B5">
        <w:rPr>
          <w:rFonts w:ascii="Arial" w:hAnsi="Arial" w:cs="Arial"/>
          <w:color w:val="000000"/>
          <w:sz w:val="22"/>
          <w:szCs w:val="22"/>
        </w:rPr>
        <w:t xml:space="preserve"> </w:t>
      </w:r>
      <w:r w:rsidRPr="000A15B5">
        <w:rPr>
          <w:rFonts w:ascii="Arial" w:hAnsi="Arial" w:cs="Arial"/>
          <w:iCs/>
          <w:color w:val="000000"/>
          <w:sz w:val="22"/>
          <w:szCs w:val="22"/>
        </w:rPr>
        <w:t>(</w:t>
      </w:r>
      <w:r w:rsidRPr="000A15B5">
        <w:rPr>
          <w:rFonts w:ascii="Arial" w:hAnsi="Arial" w:cs="Arial"/>
          <w:i/>
          <w:iCs/>
          <w:color w:val="000000"/>
          <w:sz w:val="22"/>
          <w:szCs w:val="22"/>
        </w:rPr>
        <w:t>see Dosage and Administration</w:t>
      </w:r>
      <w:r w:rsidRPr="000A15B5">
        <w:rPr>
          <w:rFonts w:ascii="Arial" w:hAnsi="Arial" w:cs="Arial"/>
          <w:iCs/>
          <w:color w:val="000000"/>
          <w:sz w:val="22"/>
          <w:szCs w:val="22"/>
        </w:rPr>
        <w:t>).</w:t>
      </w:r>
    </w:p>
    <w:p w:rsidR="00405698" w:rsidRDefault="00405698" w:rsidP="00405698">
      <w:pPr>
        <w:autoSpaceDE w:val="0"/>
        <w:autoSpaceDN w:val="0"/>
        <w:adjustRightInd w:val="0"/>
        <w:spacing w:line="300" w:lineRule="atLeast"/>
        <w:jc w:val="both"/>
        <w:rPr>
          <w:rFonts w:ascii="Arial" w:hAnsi="Arial" w:cs="Arial"/>
          <w:iCs/>
          <w:color w:val="000000"/>
          <w:sz w:val="22"/>
          <w:szCs w:val="22"/>
        </w:rPr>
      </w:pPr>
      <w:r w:rsidRPr="000A15B5">
        <w:rPr>
          <w:rFonts w:ascii="Arial" w:hAnsi="Arial" w:cs="Arial"/>
          <w:iCs/>
          <w:color w:val="000000"/>
          <w:sz w:val="22"/>
          <w:szCs w:val="22"/>
        </w:rPr>
        <w:lastRenderedPageBreak/>
        <w:t>There are insufficient data in patients with severe hepatic impairment</w:t>
      </w:r>
      <w:r w:rsidRPr="000A15B5">
        <w:rPr>
          <w:rFonts w:ascii="Arial" w:hAnsi="Arial" w:cs="Arial"/>
          <w:color w:val="000000"/>
          <w:sz w:val="22"/>
          <w:szCs w:val="22"/>
        </w:rPr>
        <w:t xml:space="preserve"> (</w:t>
      </w:r>
      <w:r w:rsidRPr="000A15B5">
        <w:rPr>
          <w:rFonts w:ascii="Arial" w:hAnsi="Arial" w:cs="Arial"/>
          <w:bCs/>
          <w:color w:val="000000"/>
          <w:sz w:val="22"/>
          <w:szCs w:val="22"/>
        </w:rPr>
        <w:t>t</w:t>
      </w:r>
      <w:r w:rsidRPr="000A15B5">
        <w:rPr>
          <w:rFonts w:ascii="Arial" w:hAnsi="Arial" w:cs="Arial"/>
          <w:bCs/>
          <w:iCs/>
          <w:color w:val="000000"/>
          <w:sz w:val="22"/>
          <w:szCs w:val="22"/>
        </w:rPr>
        <w:t>otal bilirubin &gt; 3 x ULN regardless of any level of ALT)</w:t>
      </w:r>
      <w:r w:rsidRPr="000A15B5">
        <w:rPr>
          <w:rFonts w:ascii="Arial" w:hAnsi="Arial" w:cs="Arial"/>
          <w:iCs/>
          <w:color w:val="000000"/>
          <w:sz w:val="22"/>
          <w:szCs w:val="22"/>
        </w:rPr>
        <w:t>; therefore, use of pazopanib is no</w:t>
      </w:r>
      <w:r>
        <w:rPr>
          <w:rFonts w:ascii="Arial" w:hAnsi="Arial" w:cs="Arial"/>
          <w:iCs/>
          <w:color w:val="000000"/>
          <w:sz w:val="22"/>
          <w:szCs w:val="22"/>
        </w:rPr>
        <w:t>t recommended in these patients.</w:t>
      </w:r>
    </w:p>
    <w:p w:rsidR="006C427A" w:rsidRDefault="006C427A" w:rsidP="00405698">
      <w:pPr>
        <w:autoSpaceDE w:val="0"/>
        <w:autoSpaceDN w:val="0"/>
        <w:adjustRightInd w:val="0"/>
        <w:spacing w:line="300" w:lineRule="atLeast"/>
        <w:jc w:val="both"/>
        <w:rPr>
          <w:rFonts w:ascii="Arial" w:hAnsi="Arial" w:cs="Arial"/>
          <w:b/>
        </w:rPr>
      </w:pPr>
    </w:p>
    <w:p w:rsidR="006C4A20" w:rsidRPr="007E4D67" w:rsidRDefault="006C4A20" w:rsidP="006C427A">
      <w:pPr>
        <w:rPr>
          <w:rFonts w:ascii="Arial" w:hAnsi="Arial" w:cs="Arial"/>
        </w:rPr>
      </w:pPr>
      <w:r w:rsidRPr="007E4D67">
        <w:rPr>
          <w:rFonts w:ascii="Arial" w:hAnsi="Arial" w:cs="Arial"/>
          <w:b/>
        </w:rPr>
        <w:t>CLINICAL TRIALS</w:t>
      </w:r>
    </w:p>
    <w:p w:rsidR="00E405B8" w:rsidRPr="00E405B8" w:rsidRDefault="0070259A" w:rsidP="000D0F20">
      <w:pPr>
        <w:spacing w:line="300" w:lineRule="atLeast"/>
        <w:jc w:val="both"/>
        <w:rPr>
          <w:rFonts w:ascii="Arial" w:hAnsi="Arial" w:cs="Arial"/>
          <w:b/>
          <w:sz w:val="22"/>
          <w:szCs w:val="22"/>
        </w:rPr>
      </w:pPr>
      <w:r w:rsidRPr="0070259A">
        <w:rPr>
          <w:rFonts w:ascii="Arial" w:hAnsi="Arial" w:cs="Arial"/>
          <w:b/>
          <w:sz w:val="22"/>
          <w:szCs w:val="22"/>
        </w:rPr>
        <w:t>Renal Cell Carcinoma</w:t>
      </w:r>
      <w:r w:rsidR="00E405B8">
        <w:rPr>
          <w:rFonts w:ascii="Arial" w:hAnsi="Arial" w:cs="Arial"/>
          <w:b/>
          <w:sz w:val="22"/>
          <w:szCs w:val="22"/>
        </w:rPr>
        <w:t xml:space="preserve"> (RCC)</w:t>
      </w:r>
    </w:p>
    <w:p w:rsidR="00CD23E1" w:rsidRPr="00CD23E1" w:rsidRDefault="00CD23E1" w:rsidP="00CD23E1">
      <w:pPr>
        <w:autoSpaceDE w:val="0"/>
        <w:autoSpaceDN w:val="0"/>
        <w:adjustRightInd w:val="0"/>
        <w:spacing w:line="300" w:lineRule="atLeast"/>
        <w:jc w:val="both"/>
        <w:rPr>
          <w:rFonts w:ascii="Arial" w:hAnsi="Arial" w:cs="Arial"/>
          <w:sz w:val="22"/>
          <w:szCs w:val="22"/>
        </w:rPr>
      </w:pPr>
      <w:r w:rsidRPr="00CD23E1">
        <w:rPr>
          <w:rFonts w:ascii="Arial" w:hAnsi="Arial" w:cs="Arial"/>
          <w:sz w:val="22"/>
          <w:szCs w:val="22"/>
        </w:rPr>
        <w:t xml:space="preserve">The safety and efficacy of </w:t>
      </w:r>
      <w:r w:rsidR="002F1277">
        <w:rPr>
          <w:rFonts w:ascii="Arial" w:hAnsi="Arial" w:cs="Arial"/>
          <w:sz w:val="22"/>
          <w:szCs w:val="22"/>
        </w:rPr>
        <w:t>VOTRIENT</w:t>
      </w:r>
      <w:r w:rsidRPr="00CD23E1">
        <w:rPr>
          <w:rFonts w:ascii="Arial" w:hAnsi="Arial" w:cs="Arial"/>
          <w:sz w:val="22"/>
          <w:szCs w:val="22"/>
        </w:rPr>
        <w:t xml:space="preserve"> in renal cell carcinoma (RCC) were evaluated in a randomized, double-blind, placebo-controlled multi-centre study. </w:t>
      </w:r>
      <w:r>
        <w:rPr>
          <w:rFonts w:ascii="Arial" w:hAnsi="Arial" w:cs="Arial"/>
          <w:sz w:val="22"/>
          <w:szCs w:val="22"/>
        </w:rPr>
        <w:t xml:space="preserve"> </w:t>
      </w:r>
      <w:r w:rsidRPr="00CD23E1">
        <w:rPr>
          <w:rFonts w:ascii="Arial" w:hAnsi="Arial" w:cs="Arial"/>
          <w:sz w:val="22"/>
          <w:szCs w:val="22"/>
        </w:rPr>
        <w:t xml:space="preserve">Patients (N= 435) with locally advanced and/or metastatic RCC were randomized to receive </w:t>
      </w:r>
      <w:r w:rsidR="002F1277">
        <w:rPr>
          <w:rFonts w:ascii="Arial" w:hAnsi="Arial" w:cs="Arial"/>
          <w:sz w:val="22"/>
          <w:szCs w:val="22"/>
        </w:rPr>
        <w:t>VOTRIENT</w:t>
      </w:r>
      <w:r w:rsidRPr="00CD23E1">
        <w:rPr>
          <w:rFonts w:ascii="Arial" w:hAnsi="Arial" w:cs="Arial"/>
          <w:sz w:val="22"/>
          <w:szCs w:val="22"/>
        </w:rPr>
        <w:t xml:space="preserve"> 800 mg </w:t>
      </w:r>
      <w:r w:rsidR="00FB7684">
        <w:rPr>
          <w:rFonts w:ascii="Arial" w:hAnsi="Arial" w:cs="Arial"/>
          <w:sz w:val="22"/>
          <w:szCs w:val="22"/>
        </w:rPr>
        <w:t xml:space="preserve">monotherapy </w:t>
      </w:r>
      <w:r w:rsidRPr="00CD23E1">
        <w:rPr>
          <w:rFonts w:ascii="Arial" w:hAnsi="Arial" w:cs="Arial"/>
          <w:sz w:val="22"/>
          <w:szCs w:val="22"/>
        </w:rPr>
        <w:t xml:space="preserve">once daily or placebo. </w:t>
      </w:r>
      <w:r>
        <w:rPr>
          <w:rFonts w:ascii="Arial" w:hAnsi="Arial" w:cs="Arial"/>
          <w:sz w:val="22"/>
          <w:szCs w:val="22"/>
        </w:rPr>
        <w:t xml:space="preserve"> </w:t>
      </w:r>
      <w:r w:rsidRPr="00CD23E1">
        <w:rPr>
          <w:rFonts w:ascii="Arial" w:hAnsi="Arial" w:cs="Arial"/>
          <w:sz w:val="22"/>
          <w:szCs w:val="22"/>
        </w:rPr>
        <w:t xml:space="preserve">The primary objective of the study was to evaluate and compare the two treatment arms for progression-free survival (PFS) and the principle secondary endpoint is overall survival (OS). </w:t>
      </w:r>
      <w:r>
        <w:rPr>
          <w:rFonts w:ascii="Arial" w:hAnsi="Arial" w:cs="Arial"/>
          <w:sz w:val="22"/>
          <w:szCs w:val="22"/>
        </w:rPr>
        <w:t xml:space="preserve"> </w:t>
      </w:r>
      <w:r w:rsidRPr="00CD23E1">
        <w:rPr>
          <w:rFonts w:ascii="Arial" w:hAnsi="Arial" w:cs="Arial"/>
          <w:sz w:val="22"/>
          <w:szCs w:val="22"/>
        </w:rPr>
        <w:t>The other objectives were to evaluate the overall response rate and duration of response.</w:t>
      </w:r>
    </w:p>
    <w:p w:rsidR="00CD23E1" w:rsidRPr="00CD23E1" w:rsidRDefault="00CD23E1" w:rsidP="00CD23E1">
      <w:pPr>
        <w:autoSpaceDE w:val="0"/>
        <w:autoSpaceDN w:val="0"/>
        <w:adjustRightInd w:val="0"/>
        <w:spacing w:line="300" w:lineRule="atLeast"/>
        <w:jc w:val="both"/>
        <w:rPr>
          <w:rFonts w:ascii="Arial" w:hAnsi="Arial" w:cs="Arial"/>
          <w:color w:val="000000"/>
          <w:sz w:val="22"/>
          <w:szCs w:val="22"/>
        </w:rPr>
      </w:pPr>
    </w:p>
    <w:p w:rsidR="00CD23E1" w:rsidRPr="00CD23E1" w:rsidRDefault="00CD23E1" w:rsidP="00CD23E1">
      <w:pPr>
        <w:autoSpaceDE w:val="0"/>
        <w:autoSpaceDN w:val="0"/>
        <w:adjustRightInd w:val="0"/>
        <w:spacing w:line="300" w:lineRule="atLeast"/>
        <w:jc w:val="both"/>
        <w:rPr>
          <w:rFonts w:ascii="Arial" w:hAnsi="Arial" w:cs="Arial"/>
          <w:sz w:val="22"/>
          <w:szCs w:val="22"/>
        </w:rPr>
      </w:pPr>
      <w:r w:rsidRPr="00CD23E1">
        <w:rPr>
          <w:rFonts w:ascii="Arial" w:hAnsi="Arial" w:cs="Arial"/>
          <w:sz w:val="22"/>
          <w:szCs w:val="22"/>
        </w:rPr>
        <w:t xml:space="preserve">From the total of 435 patients in this study, 233 patients were treatment naïve and 202 were second line patients who received one prior IL-2 or </w:t>
      </w:r>
      <w:smartTag w:uri="urn:schemas-microsoft-com:office:smarttags" w:element="stockticker">
        <w:r w:rsidRPr="00CD23E1">
          <w:rPr>
            <w:rFonts w:ascii="Arial" w:hAnsi="Arial" w:cs="Arial"/>
            <w:sz w:val="22"/>
            <w:szCs w:val="22"/>
          </w:rPr>
          <w:t>INF</w:t>
        </w:r>
      </w:smartTag>
      <w:r w:rsidRPr="00CD23E1">
        <w:rPr>
          <w:rFonts w:ascii="Arial" w:hAnsi="Arial" w:cs="Arial"/>
          <w:sz w:val="22"/>
          <w:szCs w:val="22"/>
        </w:rPr>
        <w:sym w:font="Symbol" w:char="F061"/>
      </w:r>
      <w:r w:rsidRPr="00CD23E1">
        <w:rPr>
          <w:rFonts w:ascii="Arial" w:hAnsi="Arial" w:cs="Arial"/>
          <w:sz w:val="22"/>
          <w:szCs w:val="22"/>
        </w:rPr>
        <w:t xml:space="preserve">-based therapy. </w:t>
      </w:r>
      <w:r>
        <w:rPr>
          <w:rFonts w:ascii="Arial" w:hAnsi="Arial" w:cs="Arial"/>
          <w:sz w:val="22"/>
          <w:szCs w:val="22"/>
        </w:rPr>
        <w:t xml:space="preserve"> </w:t>
      </w:r>
      <w:r w:rsidRPr="00CD23E1">
        <w:rPr>
          <w:rFonts w:ascii="Arial" w:hAnsi="Arial" w:cs="Arial"/>
          <w:sz w:val="22"/>
          <w:szCs w:val="22"/>
        </w:rPr>
        <w:t xml:space="preserve">The performance status (ECOG) was similar between the </w:t>
      </w:r>
      <w:r w:rsidR="002F1277">
        <w:rPr>
          <w:rFonts w:ascii="Arial" w:hAnsi="Arial" w:cs="Arial"/>
          <w:sz w:val="22"/>
          <w:szCs w:val="22"/>
        </w:rPr>
        <w:t>VOTRIENT</w:t>
      </w:r>
      <w:r w:rsidRPr="00CD23E1">
        <w:rPr>
          <w:rFonts w:ascii="Arial" w:hAnsi="Arial" w:cs="Arial"/>
          <w:sz w:val="22"/>
          <w:szCs w:val="22"/>
        </w:rPr>
        <w:t xml:space="preserve"> and placebo groups (ECOG 0: 42 % vs. 41 %, ECOG 1: 58 % vs. 59 %). </w:t>
      </w:r>
      <w:r>
        <w:rPr>
          <w:rFonts w:ascii="Arial" w:hAnsi="Arial" w:cs="Arial"/>
          <w:sz w:val="22"/>
          <w:szCs w:val="22"/>
        </w:rPr>
        <w:t xml:space="preserve"> </w:t>
      </w:r>
      <w:r w:rsidRPr="00CD23E1">
        <w:rPr>
          <w:rFonts w:ascii="Arial" w:hAnsi="Arial" w:cs="Arial"/>
          <w:sz w:val="22"/>
          <w:szCs w:val="22"/>
        </w:rPr>
        <w:t xml:space="preserve">All patients had clear cell histology or predominantly clear cell histology. </w:t>
      </w:r>
      <w:r>
        <w:rPr>
          <w:rFonts w:ascii="Arial" w:hAnsi="Arial" w:cs="Arial"/>
          <w:sz w:val="22"/>
          <w:szCs w:val="22"/>
        </w:rPr>
        <w:t xml:space="preserve"> </w:t>
      </w:r>
      <w:r w:rsidRPr="00CD23E1">
        <w:rPr>
          <w:rFonts w:ascii="Arial" w:hAnsi="Arial" w:cs="Arial"/>
          <w:sz w:val="22"/>
          <w:szCs w:val="22"/>
        </w:rPr>
        <w:t>Approximately half of all patients had 3 or more organs involved in their disease and most patients had the lung (74 %), and/or lymph nodes (54 %) as a metastatic location for disease at baseline.</w:t>
      </w:r>
    </w:p>
    <w:p w:rsidR="00CD23E1" w:rsidRPr="00CD23E1" w:rsidRDefault="00CD23E1" w:rsidP="00CD23E1">
      <w:pPr>
        <w:autoSpaceDE w:val="0"/>
        <w:autoSpaceDN w:val="0"/>
        <w:adjustRightInd w:val="0"/>
        <w:spacing w:line="300" w:lineRule="atLeast"/>
        <w:jc w:val="both"/>
        <w:rPr>
          <w:rFonts w:ascii="Arial" w:hAnsi="Arial" w:cs="Arial"/>
          <w:sz w:val="22"/>
          <w:szCs w:val="22"/>
        </w:rPr>
      </w:pPr>
    </w:p>
    <w:p w:rsidR="00CD23E1" w:rsidRPr="00CD23E1" w:rsidRDefault="00CD23E1" w:rsidP="00CD23E1">
      <w:pPr>
        <w:spacing w:line="300" w:lineRule="atLeast"/>
        <w:jc w:val="both"/>
        <w:rPr>
          <w:rFonts w:ascii="Arial" w:hAnsi="Arial" w:cs="Arial"/>
          <w:sz w:val="22"/>
          <w:szCs w:val="22"/>
        </w:rPr>
      </w:pPr>
      <w:r w:rsidRPr="00CD23E1">
        <w:rPr>
          <w:rFonts w:ascii="Arial" w:hAnsi="Arial" w:cs="Arial"/>
          <w:sz w:val="22"/>
          <w:szCs w:val="22"/>
        </w:rPr>
        <w:t xml:space="preserve">A similar proportion of patients in each arm were treatment-naïve and cytokine-pre-treated (53 % and 47 % in </w:t>
      </w:r>
      <w:r w:rsidR="002F1277">
        <w:rPr>
          <w:rFonts w:ascii="Arial" w:hAnsi="Arial" w:cs="Arial"/>
          <w:sz w:val="22"/>
          <w:szCs w:val="22"/>
        </w:rPr>
        <w:t>VOTRIENT</w:t>
      </w:r>
      <w:r w:rsidRPr="00CD23E1">
        <w:rPr>
          <w:rFonts w:ascii="Arial" w:hAnsi="Arial" w:cs="Arial"/>
          <w:sz w:val="22"/>
          <w:szCs w:val="22"/>
        </w:rPr>
        <w:t xml:space="preserve"> arm, 54 % and 46 % in placebo arm). </w:t>
      </w:r>
      <w:r>
        <w:rPr>
          <w:rFonts w:ascii="Arial" w:hAnsi="Arial" w:cs="Arial"/>
          <w:sz w:val="22"/>
          <w:szCs w:val="22"/>
        </w:rPr>
        <w:t xml:space="preserve"> </w:t>
      </w:r>
      <w:r w:rsidRPr="00CD23E1">
        <w:rPr>
          <w:rFonts w:ascii="Arial" w:hAnsi="Arial" w:cs="Arial"/>
          <w:sz w:val="22"/>
          <w:szCs w:val="22"/>
        </w:rPr>
        <w:t>In the cytokine-pre-treated subgroup, the majority (75 %) had received interferon based treatment.</w:t>
      </w:r>
    </w:p>
    <w:p w:rsidR="00CD23E1" w:rsidRPr="00CD23E1" w:rsidRDefault="00CD23E1" w:rsidP="00CD23E1">
      <w:pPr>
        <w:spacing w:line="300" w:lineRule="atLeast"/>
        <w:jc w:val="both"/>
        <w:rPr>
          <w:rFonts w:ascii="Arial" w:hAnsi="Arial" w:cs="Arial"/>
          <w:sz w:val="22"/>
          <w:szCs w:val="22"/>
        </w:rPr>
      </w:pPr>
    </w:p>
    <w:p w:rsidR="00CD23E1" w:rsidRPr="00CD23E1" w:rsidRDefault="00CD23E1" w:rsidP="00CD23E1">
      <w:pPr>
        <w:spacing w:line="300" w:lineRule="atLeast"/>
        <w:jc w:val="both"/>
        <w:rPr>
          <w:rFonts w:ascii="Arial" w:hAnsi="Arial" w:cs="Arial"/>
          <w:sz w:val="22"/>
          <w:szCs w:val="22"/>
        </w:rPr>
      </w:pPr>
      <w:r w:rsidRPr="00CD23E1">
        <w:rPr>
          <w:rFonts w:ascii="Arial" w:hAnsi="Arial" w:cs="Arial"/>
          <w:sz w:val="22"/>
          <w:szCs w:val="22"/>
        </w:rPr>
        <w:t xml:space="preserve">Similar proportions of patients in each arm had prior nephrectomy (89 % and 88 % in the </w:t>
      </w:r>
      <w:r w:rsidR="002F1277">
        <w:rPr>
          <w:rFonts w:ascii="Arial" w:hAnsi="Arial" w:cs="Arial"/>
          <w:sz w:val="22"/>
          <w:szCs w:val="22"/>
        </w:rPr>
        <w:t>VOTRIENT</w:t>
      </w:r>
      <w:r w:rsidRPr="00CD23E1">
        <w:rPr>
          <w:rFonts w:ascii="Arial" w:hAnsi="Arial" w:cs="Arial"/>
          <w:sz w:val="22"/>
          <w:szCs w:val="22"/>
        </w:rPr>
        <w:t xml:space="preserve"> and placebo arms, respectively) and/or prior radiotherapy (22 % and 15 % in the </w:t>
      </w:r>
      <w:r w:rsidR="002F1277">
        <w:rPr>
          <w:rFonts w:ascii="Arial" w:hAnsi="Arial" w:cs="Arial"/>
          <w:sz w:val="22"/>
          <w:szCs w:val="22"/>
        </w:rPr>
        <w:t>VOTRIENT</w:t>
      </w:r>
      <w:r w:rsidRPr="00CD23E1">
        <w:rPr>
          <w:rFonts w:ascii="Arial" w:hAnsi="Arial" w:cs="Arial"/>
          <w:sz w:val="22"/>
          <w:szCs w:val="22"/>
        </w:rPr>
        <w:t xml:space="preserve"> and placebo arms, respectively.</w:t>
      </w:r>
    </w:p>
    <w:p w:rsidR="00CD23E1" w:rsidRPr="00CD23E1" w:rsidRDefault="00CD23E1" w:rsidP="00CD23E1">
      <w:pPr>
        <w:spacing w:line="300" w:lineRule="atLeast"/>
        <w:jc w:val="both"/>
        <w:rPr>
          <w:rFonts w:ascii="Arial" w:hAnsi="Arial" w:cs="Arial"/>
          <w:sz w:val="22"/>
          <w:szCs w:val="22"/>
        </w:rPr>
      </w:pPr>
    </w:p>
    <w:p w:rsidR="00CD23E1" w:rsidRPr="00CD23E1" w:rsidRDefault="00CD23E1" w:rsidP="00CD23E1">
      <w:pPr>
        <w:spacing w:line="300" w:lineRule="atLeast"/>
        <w:jc w:val="both"/>
        <w:rPr>
          <w:rFonts w:ascii="Arial" w:hAnsi="Arial" w:cs="Arial"/>
          <w:sz w:val="22"/>
          <w:szCs w:val="22"/>
        </w:rPr>
      </w:pPr>
      <w:r w:rsidRPr="00CD23E1">
        <w:rPr>
          <w:rFonts w:ascii="Arial" w:hAnsi="Arial" w:cs="Arial"/>
          <w:sz w:val="22"/>
          <w:szCs w:val="22"/>
        </w:rPr>
        <w:t>The primary analysis of the primary endpoint PFS is based on disease assessment by independent radiological review in the entire study population (first line and second line).</w:t>
      </w:r>
    </w:p>
    <w:p w:rsidR="00191310" w:rsidRDefault="00191310" w:rsidP="00191310">
      <w:pPr>
        <w:autoSpaceDE w:val="0"/>
        <w:autoSpaceDN w:val="0"/>
        <w:adjustRightInd w:val="0"/>
        <w:jc w:val="center"/>
        <w:rPr>
          <w:rFonts w:ascii="Arial" w:hAnsi="Arial" w:cs="Arial"/>
          <w:sz w:val="22"/>
          <w:szCs w:val="22"/>
        </w:rPr>
      </w:pPr>
    </w:p>
    <w:p w:rsidR="0086190E" w:rsidRPr="0086190E" w:rsidRDefault="0086190E" w:rsidP="0086190E">
      <w:pPr>
        <w:rPr>
          <w:rFonts w:ascii="Arial" w:hAnsi="Arial" w:cs="Arial"/>
          <w:b/>
          <w:sz w:val="22"/>
          <w:szCs w:val="22"/>
        </w:rPr>
      </w:pPr>
      <w:r w:rsidRPr="0086190E">
        <w:rPr>
          <w:rFonts w:ascii="Arial" w:hAnsi="Arial" w:cs="Arial"/>
          <w:b/>
          <w:sz w:val="22"/>
          <w:szCs w:val="22"/>
        </w:rPr>
        <w:t xml:space="preserve">Table </w:t>
      </w:r>
      <w:r>
        <w:rPr>
          <w:rFonts w:ascii="Arial" w:hAnsi="Arial" w:cs="Arial"/>
          <w:b/>
          <w:sz w:val="22"/>
          <w:szCs w:val="22"/>
        </w:rPr>
        <w:t>1</w:t>
      </w:r>
      <w:r w:rsidRPr="0086190E">
        <w:rPr>
          <w:rFonts w:ascii="Arial" w:hAnsi="Arial" w:cs="Arial"/>
          <w:b/>
          <w:sz w:val="22"/>
          <w:szCs w:val="22"/>
        </w:rPr>
        <w:t xml:space="preserve">. Overall Efficacy Results </w:t>
      </w:r>
      <w:r w:rsidR="00CE0CF1">
        <w:rPr>
          <w:rFonts w:ascii="Arial" w:hAnsi="Arial" w:cs="Arial"/>
          <w:b/>
          <w:sz w:val="22"/>
          <w:szCs w:val="22"/>
        </w:rPr>
        <w:t xml:space="preserve">in RCC </w:t>
      </w:r>
      <w:r w:rsidRPr="0086190E">
        <w:rPr>
          <w:rFonts w:ascii="Arial" w:hAnsi="Arial" w:cs="Arial"/>
          <w:b/>
          <w:sz w:val="22"/>
          <w:szCs w:val="22"/>
        </w:rPr>
        <w:t>by Independent Review Committee (IRC)</w:t>
      </w:r>
      <w:r w:rsidR="00CE0CF1">
        <w:rPr>
          <w:rFonts w:ascii="Arial" w:hAnsi="Arial" w:cs="Arial"/>
          <w:b/>
          <w:sz w:val="22"/>
          <w:szCs w:val="22"/>
        </w:rPr>
        <w:t xml:space="preserve"> (VEG105192)</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1668"/>
        <w:gridCol w:w="1379"/>
        <w:gridCol w:w="1948"/>
        <w:gridCol w:w="1391"/>
        <w:gridCol w:w="272"/>
      </w:tblGrid>
      <w:tr w:rsidR="0086190E" w:rsidRPr="002C0225" w:rsidTr="00412BF5">
        <w:trPr>
          <w:tblHeader/>
        </w:trPr>
        <w:tc>
          <w:tcPr>
            <w:tcW w:w="1620" w:type="pct"/>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b/>
                <w:sz w:val="20"/>
                <w:lang w:val="en-US"/>
              </w:rPr>
            </w:pPr>
            <w:r w:rsidRPr="002C0225">
              <w:rPr>
                <w:rFonts w:ascii="Arial" w:eastAsia="MS Mincho" w:hAnsi="Arial" w:cs="Arial"/>
                <w:b/>
                <w:sz w:val="20"/>
                <w:lang w:val="en-US"/>
              </w:rPr>
              <w:t>Endpoints/ Study population</w:t>
            </w:r>
          </w:p>
        </w:tc>
        <w:tc>
          <w:tcPr>
            <w:tcW w:w="847" w:type="pct"/>
            <w:tcBorders>
              <w:bottom w:val="single" w:sz="4" w:space="0" w:color="auto"/>
            </w:tcBorders>
          </w:tcPr>
          <w:p w:rsidR="0086190E" w:rsidRPr="002C0225" w:rsidRDefault="002F1277" w:rsidP="002C0225">
            <w:pPr>
              <w:pStyle w:val="tabletextNS"/>
              <w:tabs>
                <w:tab w:val="left" w:pos="274"/>
                <w:tab w:val="left" w:pos="547"/>
                <w:tab w:val="left" w:pos="821"/>
                <w:tab w:val="left" w:pos="1094"/>
              </w:tabs>
              <w:spacing w:line="320" w:lineRule="atLeast"/>
              <w:rPr>
                <w:rFonts w:ascii="Arial" w:eastAsia="MS Mincho" w:hAnsi="Arial" w:cs="Arial"/>
                <w:b/>
                <w:sz w:val="20"/>
                <w:lang w:val="en-US"/>
              </w:rPr>
            </w:pPr>
            <w:r w:rsidRPr="002C0225">
              <w:rPr>
                <w:rFonts w:ascii="Arial" w:eastAsia="MS Mincho" w:hAnsi="Arial" w:cs="Arial"/>
                <w:b/>
                <w:sz w:val="20"/>
                <w:lang w:val="en-US"/>
              </w:rPr>
              <w:t>VOTRIENT</w:t>
            </w:r>
          </w:p>
        </w:tc>
        <w:tc>
          <w:tcPr>
            <w:tcW w:w="700" w:type="pct"/>
            <w:tcBorders>
              <w:bottom w:val="single" w:sz="4" w:space="0" w:color="auto"/>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b/>
                <w:sz w:val="20"/>
                <w:lang w:val="en-US"/>
              </w:rPr>
            </w:pPr>
            <w:r w:rsidRPr="002C0225">
              <w:rPr>
                <w:rFonts w:ascii="Arial" w:eastAsia="MS Mincho" w:hAnsi="Arial" w:cs="Arial"/>
                <w:b/>
                <w:sz w:val="20"/>
                <w:lang w:val="en-US"/>
              </w:rPr>
              <w:t>Placebo</w:t>
            </w:r>
          </w:p>
        </w:tc>
        <w:tc>
          <w:tcPr>
            <w:tcW w:w="989" w:type="pct"/>
            <w:vMerge w:val="restart"/>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r w:rsidRPr="002C0225">
              <w:rPr>
                <w:rFonts w:ascii="Arial" w:eastAsia="MS Mincho" w:hAnsi="Arial" w:cs="Arial"/>
                <w:b/>
                <w:sz w:val="20"/>
                <w:lang w:val="en-US"/>
              </w:rPr>
              <w:t>HR (95% CI)</w:t>
            </w:r>
          </w:p>
        </w:tc>
        <w:tc>
          <w:tcPr>
            <w:tcW w:w="844" w:type="pct"/>
            <w:gridSpan w:val="2"/>
            <w:vMerge w:val="restart"/>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r w:rsidRPr="002C0225">
              <w:rPr>
                <w:rFonts w:ascii="Arial" w:eastAsia="MS Mincho" w:hAnsi="Arial" w:cs="Arial"/>
                <w:b/>
                <w:sz w:val="20"/>
                <w:lang w:val="en-US"/>
              </w:rPr>
              <w:t xml:space="preserve">P value </w:t>
            </w: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r w:rsidRPr="002C0225">
              <w:rPr>
                <w:rFonts w:ascii="Arial" w:eastAsia="MS Mincho" w:hAnsi="Arial" w:cs="Arial"/>
                <w:b/>
                <w:sz w:val="20"/>
                <w:lang w:val="en-US"/>
              </w:rPr>
              <w:t>(one-sided)</w:t>
            </w:r>
          </w:p>
        </w:tc>
      </w:tr>
      <w:tr w:rsidR="0086190E" w:rsidRPr="002C0225" w:rsidTr="002C0225">
        <w:tc>
          <w:tcPr>
            <w:tcW w:w="1620" w:type="pct"/>
            <w:vMerge w:val="restart"/>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b/>
                <w:sz w:val="20"/>
                <w:lang w:val="en-US"/>
              </w:rPr>
            </w:pPr>
            <w:r w:rsidRPr="002C0225">
              <w:rPr>
                <w:rFonts w:ascii="Arial" w:eastAsia="MS Mincho" w:hAnsi="Arial" w:cs="Arial"/>
                <w:b/>
                <w:sz w:val="20"/>
                <w:lang w:val="en-US"/>
              </w:rPr>
              <w:t>PFS</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Overall</w:t>
            </w:r>
            <w:r w:rsidR="00FE0099" w:rsidRPr="002C0225">
              <w:rPr>
                <w:rFonts w:ascii="Arial" w:eastAsia="MS Mincho" w:hAnsi="Arial" w:cs="Arial"/>
                <w:sz w:val="20"/>
                <w:lang w:val="en-US"/>
              </w:rPr>
              <w:t xml:space="preserve"> ITT</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ab/>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Treatment-naïve</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ab/>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 xml:space="preserve">Cytokine pre-treated </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b/>
                <w:sz w:val="20"/>
                <w:lang w:val="en-US"/>
              </w:rPr>
            </w:pPr>
            <w:r w:rsidRPr="002C0225">
              <w:rPr>
                <w:rFonts w:ascii="Arial" w:eastAsia="MS Mincho" w:hAnsi="Arial" w:cs="Arial"/>
                <w:sz w:val="20"/>
                <w:lang w:val="en-US"/>
              </w:rPr>
              <w:tab/>
            </w:r>
          </w:p>
        </w:tc>
        <w:tc>
          <w:tcPr>
            <w:tcW w:w="1547" w:type="pct"/>
            <w:gridSpan w:val="2"/>
            <w:tcBorders>
              <w:bottom w:val="nil"/>
            </w:tcBorders>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r w:rsidRPr="002C0225">
              <w:rPr>
                <w:rFonts w:ascii="Arial" w:eastAsia="MS Mincho" w:hAnsi="Arial" w:cs="Arial"/>
                <w:b/>
                <w:sz w:val="20"/>
                <w:lang w:val="en-US"/>
              </w:rPr>
              <w:t>Median (months)</w:t>
            </w:r>
          </w:p>
        </w:tc>
        <w:tc>
          <w:tcPr>
            <w:tcW w:w="989" w:type="pct"/>
            <w:vMerge/>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p>
        </w:tc>
        <w:tc>
          <w:tcPr>
            <w:tcW w:w="844" w:type="pct"/>
            <w:gridSpan w:val="2"/>
            <w:vMerge/>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p>
        </w:tc>
      </w:tr>
      <w:tr w:rsidR="0086190E" w:rsidRPr="002C0225" w:rsidTr="002C0225">
        <w:tc>
          <w:tcPr>
            <w:tcW w:w="1620" w:type="pct"/>
            <w:vMerge/>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p>
        </w:tc>
        <w:tc>
          <w:tcPr>
            <w:tcW w:w="847" w:type="pct"/>
            <w:tcBorders>
              <w:top w:val="nil"/>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N=290</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9.2</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N=155</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 xml:space="preserve">11.1 </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N=135</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7.4</w:t>
            </w:r>
          </w:p>
        </w:tc>
        <w:tc>
          <w:tcPr>
            <w:tcW w:w="700" w:type="pct"/>
            <w:tcBorders>
              <w:top w:val="nil"/>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N=145</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4.2</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N=78</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2.8</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N=67</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4.2</w:t>
            </w:r>
          </w:p>
        </w:tc>
        <w:tc>
          <w:tcPr>
            <w:tcW w:w="989" w:type="pct"/>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r w:rsidRPr="002C0225">
              <w:rPr>
                <w:rFonts w:ascii="Arial" w:eastAsia="MS Mincho" w:hAnsi="Arial" w:cs="Arial"/>
                <w:sz w:val="20"/>
                <w:lang w:val="en-US"/>
              </w:rPr>
              <w:t>0.46 (0.34, 0.62)</w:t>
            </w: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r w:rsidRPr="002C0225">
              <w:rPr>
                <w:rFonts w:ascii="Arial" w:eastAsia="MS Mincho" w:hAnsi="Arial" w:cs="Arial"/>
                <w:sz w:val="20"/>
                <w:lang w:val="en-US"/>
              </w:rPr>
              <w:t>0.40 (0.27, 0.60)</w:t>
            </w: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F51450" w:rsidRDefault="0086190E">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r w:rsidRPr="002C0225">
              <w:rPr>
                <w:rFonts w:ascii="Arial" w:eastAsia="MS Mincho" w:hAnsi="Arial" w:cs="Arial"/>
                <w:sz w:val="20"/>
                <w:lang w:val="en-US"/>
              </w:rPr>
              <w:t>0.54 (0.35, 0.84)</w:t>
            </w:r>
          </w:p>
        </w:tc>
        <w:tc>
          <w:tcPr>
            <w:tcW w:w="844" w:type="pct"/>
            <w:gridSpan w:val="2"/>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r w:rsidRPr="002C0225">
              <w:rPr>
                <w:rFonts w:ascii="Arial" w:eastAsia="MS Mincho" w:hAnsi="Arial" w:cs="Arial"/>
                <w:sz w:val="20"/>
                <w:lang w:val="en-US"/>
              </w:rPr>
              <w:t>&lt;0.0000001</w:t>
            </w: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r w:rsidRPr="002C0225">
              <w:rPr>
                <w:rFonts w:ascii="Arial" w:eastAsia="MS Mincho" w:hAnsi="Arial" w:cs="Arial"/>
                <w:sz w:val="20"/>
                <w:lang w:val="en-US"/>
              </w:rPr>
              <w:t>&lt;0.0000001</w:t>
            </w: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r w:rsidRPr="002C0225">
              <w:rPr>
                <w:rFonts w:ascii="Arial" w:eastAsia="MS Mincho" w:hAnsi="Arial" w:cs="Arial"/>
                <w:sz w:val="20"/>
                <w:lang w:val="en-US"/>
              </w:rPr>
              <w:t>&lt;0.001</w:t>
            </w:r>
          </w:p>
        </w:tc>
      </w:tr>
      <w:tr w:rsidR="0086190E" w:rsidRPr="002C0225" w:rsidTr="002C0225">
        <w:tc>
          <w:tcPr>
            <w:tcW w:w="1620" w:type="pct"/>
            <w:tcBorders>
              <w:bottom w:val="single" w:sz="4" w:space="0" w:color="auto"/>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b/>
                <w:sz w:val="20"/>
                <w:lang w:val="en-US"/>
              </w:rPr>
            </w:pPr>
            <w:r w:rsidRPr="002C0225">
              <w:rPr>
                <w:rFonts w:ascii="Arial" w:eastAsia="MS Mincho" w:hAnsi="Arial" w:cs="Arial"/>
                <w:b/>
                <w:sz w:val="20"/>
                <w:lang w:val="en-US"/>
              </w:rPr>
              <w:t>Response rate</w:t>
            </w:r>
          </w:p>
        </w:tc>
        <w:tc>
          <w:tcPr>
            <w:tcW w:w="1547" w:type="pct"/>
            <w:gridSpan w:val="2"/>
            <w:tcBorders>
              <w:bottom w:val="single" w:sz="4" w:space="0" w:color="auto"/>
            </w:tcBorders>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r w:rsidRPr="002C0225">
              <w:rPr>
                <w:rFonts w:ascii="Arial" w:eastAsia="MS Mincho" w:hAnsi="Arial" w:cs="Arial"/>
                <w:b/>
                <w:sz w:val="20"/>
                <w:lang w:val="en-US"/>
              </w:rPr>
              <w:t>% (95% CI)</w:t>
            </w:r>
          </w:p>
        </w:tc>
        <w:tc>
          <w:tcPr>
            <w:tcW w:w="989" w:type="pct"/>
            <w:vMerge w:val="restart"/>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r w:rsidRPr="002C0225">
              <w:rPr>
                <w:rFonts w:ascii="Arial" w:eastAsia="MS Mincho" w:hAnsi="Arial" w:cs="Arial"/>
                <w:sz w:val="20"/>
                <w:lang w:val="en-US"/>
              </w:rPr>
              <w:t>-</w:t>
            </w:r>
          </w:p>
        </w:tc>
        <w:tc>
          <w:tcPr>
            <w:tcW w:w="844" w:type="pct"/>
            <w:gridSpan w:val="2"/>
            <w:vMerge w:val="restart"/>
          </w:tcPr>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sz w:val="20"/>
                <w:lang w:val="en-US"/>
              </w:rPr>
            </w:pPr>
          </w:p>
          <w:p w:rsidR="0086190E" w:rsidRPr="002C0225" w:rsidRDefault="0086190E" w:rsidP="002C0225">
            <w:pPr>
              <w:pStyle w:val="tabletextNS"/>
              <w:tabs>
                <w:tab w:val="left" w:pos="274"/>
                <w:tab w:val="left" w:pos="547"/>
                <w:tab w:val="left" w:pos="821"/>
                <w:tab w:val="left" w:pos="1094"/>
              </w:tabs>
              <w:spacing w:line="320" w:lineRule="atLeast"/>
              <w:jc w:val="center"/>
              <w:rPr>
                <w:rFonts w:ascii="Arial" w:eastAsia="MS Mincho" w:hAnsi="Arial" w:cs="Arial"/>
                <w:b/>
                <w:sz w:val="20"/>
                <w:lang w:val="en-US"/>
              </w:rPr>
            </w:pPr>
            <w:r w:rsidRPr="002C0225">
              <w:rPr>
                <w:rFonts w:ascii="Arial" w:eastAsia="MS Mincho" w:hAnsi="Arial" w:cs="Arial"/>
                <w:sz w:val="20"/>
                <w:lang w:val="en-US"/>
              </w:rPr>
              <w:t>&lt;0.001</w:t>
            </w:r>
          </w:p>
        </w:tc>
      </w:tr>
      <w:tr w:rsidR="0086190E" w:rsidRPr="002C0225" w:rsidTr="002C0225">
        <w:tc>
          <w:tcPr>
            <w:tcW w:w="1620" w:type="pct"/>
            <w:tcBorders>
              <w:bottom w:val="single" w:sz="4" w:space="0" w:color="auto"/>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 xml:space="preserve">Overall </w:t>
            </w:r>
          </w:p>
        </w:tc>
        <w:tc>
          <w:tcPr>
            <w:tcW w:w="847" w:type="pct"/>
            <w:tcBorders>
              <w:bottom w:val="single" w:sz="4" w:space="0" w:color="auto"/>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N=290</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30 (25.1 ,35.6)</w:t>
            </w:r>
          </w:p>
        </w:tc>
        <w:tc>
          <w:tcPr>
            <w:tcW w:w="700" w:type="pct"/>
            <w:tcBorders>
              <w:bottom w:val="single" w:sz="4" w:space="0" w:color="auto"/>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N=145</w:t>
            </w:r>
          </w:p>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3 (0.5, 6.4)</w:t>
            </w:r>
          </w:p>
        </w:tc>
        <w:tc>
          <w:tcPr>
            <w:tcW w:w="989" w:type="pct"/>
            <w:vMerge/>
            <w:tcBorders>
              <w:bottom w:val="single" w:sz="4" w:space="0" w:color="auto"/>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p>
        </w:tc>
        <w:tc>
          <w:tcPr>
            <w:tcW w:w="844" w:type="pct"/>
            <w:gridSpan w:val="2"/>
            <w:vMerge/>
            <w:tcBorders>
              <w:bottom w:val="single" w:sz="4" w:space="0" w:color="auto"/>
            </w:tcBorders>
          </w:tcPr>
          <w:p w:rsidR="0086190E" w:rsidRPr="002C0225"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p>
        </w:tc>
      </w:tr>
      <w:tr w:rsidR="0086190E" w:rsidRPr="002C0225" w:rsidTr="002C0225">
        <w:trPr>
          <w:gridAfter w:val="1"/>
          <w:wAfter w:w="272" w:type="dxa"/>
        </w:trPr>
        <w:tc>
          <w:tcPr>
            <w:tcW w:w="4862" w:type="pct"/>
            <w:gridSpan w:val="5"/>
            <w:tcBorders>
              <w:left w:val="nil"/>
              <w:bottom w:val="nil"/>
              <w:right w:val="nil"/>
            </w:tcBorders>
          </w:tcPr>
          <w:p w:rsidR="0086190E" w:rsidRDefault="0086190E"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r w:rsidRPr="002C0225">
              <w:rPr>
                <w:rFonts w:ascii="Arial" w:eastAsia="MS Mincho" w:hAnsi="Arial" w:cs="Arial"/>
                <w:sz w:val="20"/>
                <w:lang w:val="en-US"/>
              </w:rPr>
              <w:t xml:space="preserve">CI: confidence interval; HR: hazard ratio; </w:t>
            </w:r>
            <w:smartTag w:uri="urn:schemas-microsoft-com:office:smarttags" w:element="stockticker">
              <w:r w:rsidRPr="002C0225">
                <w:rPr>
                  <w:rFonts w:ascii="Arial" w:eastAsia="MS Mincho" w:hAnsi="Arial" w:cs="Arial"/>
                  <w:sz w:val="20"/>
                  <w:lang w:val="en-US"/>
                </w:rPr>
                <w:t>ITT</w:t>
              </w:r>
            </w:smartTag>
            <w:r w:rsidRPr="002C0225">
              <w:rPr>
                <w:rFonts w:ascii="Arial" w:eastAsia="MS Mincho" w:hAnsi="Arial" w:cs="Arial"/>
                <w:sz w:val="20"/>
                <w:lang w:val="en-US"/>
              </w:rPr>
              <w:t>: Intent-to-treat; PFS: progression free survival.</w:t>
            </w:r>
          </w:p>
          <w:p w:rsidR="008D468A" w:rsidRPr="002C0225" w:rsidRDefault="008D468A" w:rsidP="002C0225">
            <w:pPr>
              <w:pStyle w:val="tabletextNS"/>
              <w:tabs>
                <w:tab w:val="left" w:pos="274"/>
                <w:tab w:val="left" w:pos="547"/>
                <w:tab w:val="left" w:pos="821"/>
                <w:tab w:val="left" w:pos="1094"/>
              </w:tabs>
              <w:spacing w:line="320" w:lineRule="atLeast"/>
              <w:rPr>
                <w:rFonts w:ascii="Arial" w:eastAsia="MS Mincho" w:hAnsi="Arial" w:cs="Arial"/>
                <w:sz w:val="20"/>
                <w:lang w:val="en-US"/>
              </w:rPr>
            </w:pPr>
          </w:p>
        </w:tc>
      </w:tr>
    </w:tbl>
    <w:p w:rsidR="00FE0099" w:rsidRPr="00FE0099" w:rsidRDefault="00FE0099" w:rsidP="00FE0099">
      <w:pPr>
        <w:tabs>
          <w:tab w:val="left" w:pos="1080"/>
        </w:tabs>
        <w:ind w:left="1080" w:hanging="1080"/>
        <w:rPr>
          <w:rFonts w:ascii="Arial" w:hAnsi="Arial" w:cs="Arial"/>
          <w:b/>
          <w:bCs/>
          <w:sz w:val="22"/>
          <w:szCs w:val="22"/>
        </w:rPr>
      </w:pPr>
      <w:r w:rsidRPr="00FE0099">
        <w:rPr>
          <w:rFonts w:ascii="Arial" w:hAnsi="Arial" w:cs="Arial"/>
          <w:b/>
          <w:bCs/>
          <w:sz w:val="22"/>
          <w:szCs w:val="22"/>
        </w:rPr>
        <w:t xml:space="preserve">Figure 1 </w:t>
      </w:r>
      <w:r>
        <w:rPr>
          <w:rFonts w:ascii="Arial" w:hAnsi="Arial" w:cs="Arial"/>
          <w:b/>
          <w:bCs/>
          <w:sz w:val="22"/>
          <w:szCs w:val="22"/>
        </w:rPr>
        <w:tab/>
      </w:r>
      <w:r w:rsidRPr="00FE0099">
        <w:rPr>
          <w:rFonts w:ascii="Arial" w:hAnsi="Arial" w:cs="Arial"/>
          <w:b/>
          <w:bCs/>
          <w:sz w:val="22"/>
          <w:szCs w:val="22"/>
        </w:rPr>
        <w:t>Kaplan-Meier Curve for Progression-Free Survival by Independent Assessment for the Overall Population (Treatment-Naïve and Cytokine Pre-Treated Populations)</w:t>
      </w:r>
    </w:p>
    <w:p w:rsidR="00FE0099" w:rsidRPr="00415D86" w:rsidRDefault="00FE0099" w:rsidP="00FE0099">
      <w:pPr>
        <w:rPr>
          <w:b/>
          <w:bCs/>
          <w:lang w:val="en-US"/>
        </w:rPr>
      </w:pPr>
    </w:p>
    <w:p w:rsidR="00FE0099" w:rsidRDefault="002429B5" w:rsidP="00FE0099">
      <w:pPr>
        <w:rPr>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132080</wp:posOffset>
            </wp:positionV>
            <wp:extent cx="4705350" cy="2238375"/>
            <wp:effectExtent l="19050" t="0" r="0" b="0"/>
            <wp:wrapSquare wrapText="bothSides"/>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zopanib Figure 7"/>
                    <pic:cNvPicPr>
                      <a:picLocks noChangeAspect="1" noChangeArrowheads="1"/>
                    </pic:cNvPicPr>
                  </pic:nvPicPr>
                  <pic:blipFill>
                    <a:blip r:embed="rId9" cstate="print"/>
                    <a:srcRect/>
                    <a:stretch>
                      <a:fillRect/>
                    </a:stretch>
                  </pic:blipFill>
                  <pic:spPr bwMode="auto">
                    <a:xfrm>
                      <a:off x="0" y="0"/>
                      <a:ext cx="4705350" cy="2238375"/>
                    </a:xfrm>
                    <a:prstGeom prst="rect">
                      <a:avLst/>
                    </a:prstGeom>
                    <a:noFill/>
                    <a:ln w="9525">
                      <a:noFill/>
                      <a:miter lim="800000"/>
                      <a:headEnd/>
                      <a:tailEnd/>
                    </a:ln>
                  </pic:spPr>
                </pic:pic>
              </a:graphicData>
            </a:graphic>
          </wp:anchor>
        </w:drawing>
      </w: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Pr="00FE0099" w:rsidRDefault="00FE0099" w:rsidP="00FE0099">
      <w:pPr>
        <w:tabs>
          <w:tab w:val="left" w:pos="1080"/>
        </w:tabs>
        <w:ind w:left="1080" w:hanging="1080"/>
        <w:rPr>
          <w:rFonts w:ascii="Arial" w:hAnsi="Arial" w:cs="Arial"/>
          <w:b/>
          <w:bCs/>
          <w:sz w:val="22"/>
          <w:szCs w:val="22"/>
          <w:lang w:val="en-US"/>
        </w:rPr>
      </w:pPr>
      <w:r w:rsidRPr="00FE0099">
        <w:rPr>
          <w:rFonts w:ascii="Arial" w:hAnsi="Arial" w:cs="Arial"/>
          <w:b/>
          <w:bCs/>
          <w:sz w:val="22"/>
          <w:szCs w:val="22"/>
          <w:lang w:val="en-US"/>
        </w:rPr>
        <w:t xml:space="preserve">Figure 2 </w:t>
      </w:r>
      <w:r>
        <w:rPr>
          <w:rFonts w:ascii="Arial" w:hAnsi="Arial" w:cs="Arial"/>
          <w:b/>
          <w:bCs/>
          <w:sz w:val="22"/>
          <w:szCs w:val="22"/>
          <w:lang w:val="en-US"/>
        </w:rPr>
        <w:tab/>
      </w:r>
      <w:r w:rsidRPr="00FE0099">
        <w:rPr>
          <w:rFonts w:ascii="Arial" w:hAnsi="Arial" w:cs="Arial"/>
          <w:b/>
          <w:bCs/>
          <w:sz w:val="22"/>
          <w:szCs w:val="22"/>
          <w:lang w:val="en-US"/>
        </w:rPr>
        <w:t>Kaplan-Meier Curve for Progression-Free Survival by Independent Assessment for the Treatment-Naïve Population</w:t>
      </w:r>
    </w:p>
    <w:p w:rsidR="00FE0099" w:rsidRDefault="00FE0099" w:rsidP="00FE0099">
      <w:pPr>
        <w:rPr>
          <w:b/>
          <w:bCs/>
        </w:rPr>
      </w:pPr>
    </w:p>
    <w:p w:rsidR="00FE0099" w:rsidRDefault="002429B5" w:rsidP="00FE0099">
      <w:pPr>
        <w:pStyle w:val="LBLTableFootnotes"/>
      </w:pPr>
      <w:r>
        <w:rPr>
          <w:noProof/>
          <w:lang w:val="en-AU" w:eastAsia="en-AU"/>
        </w:rPr>
        <w:drawing>
          <wp:anchor distT="0" distB="0" distL="114300" distR="114300" simplePos="0" relativeHeight="251656704" behindDoc="0" locked="0" layoutInCell="1" allowOverlap="1">
            <wp:simplePos x="0" y="0"/>
            <wp:positionH relativeFrom="column">
              <wp:posOffset>0</wp:posOffset>
            </wp:positionH>
            <wp:positionV relativeFrom="paragraph">
              <wp:posOffset>135255</wp:posOffset>
            </wp:positionV>
            <wp:extent cx="4686300" cy="2247900"/>
            <wp:effectExtent l="19050" t="0" r="0" b="0"/>
            <wp:wrapSquare wrapText="bothSides"/>
            <wp:docPr id="2" name="Picture 2"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zopanib Figure 7"/>
                    <pic:cNvPicPr>
                      <a:picLocks noChangeAspect="1" noChangeArrowheads="1"/>
                    </pic:cNvPicPr>
                  </pic:nvPicPr>
                  <pic:blipFill>
                    <a:blip r:embed="rId10" cstate="print"/>
                    <a:srcRect/>
                    <a:stretch>
                      <a:fillRect/>
                    </a:stretch>
                  </pic:blipFill>
                  <pic:spPr bwMode="auto">
                    <a:xfrm>
                      <a:off x="0" y="0"/>
                      <a:ext cx="4686300" cy="2247900"/>
                    </a:xfrm>
                    <a:prstGeom prst="rect">
                      <a:avLst/>
                    </a:prstGeom>
                    <a:noFill/>
                    <a:ln w="9525">
                      <a:noFill/>
                      <a:miter lim="800000"/>
                      <a:headEnd/>
                      <a:tailEnd/>
                    </a:ln>
                  </pic:spPr>
                </pic:pic>
              </a:graphicData>
            </a:graphic>
          </wp:anchor>
        </w:drawing>
      </w: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FE0099" w:rsidRDefault="00FE0099" w:rsidP="00FE0099">
      <w:pPr>
        <w:rPr>
          <w:b/>
          <w:bCs/>
        </w:rPr>
      </w:pPr>
    </w:p>
    <w:p w:rsidR="00E405B8" w:rsidRDefault="00E405B8" w:rsidP="00E430B7">
      <w:pPr>
        <w:tabs>
          <w:tab w:val="left" w:pos="1080"/>
        </w:tabs>
        <w:ind w:left="1080" w:hanging="1080"/>
        <w:rPr>
          <w:rFonts w:ascii="Arial" w:hAnsi="Arial" w:cs="Arial"/>
          <w:b/>
          <w:bCs/>
          <w:sz w:val="22"/>
          <w:szCs w:val="22"/>
        </w:rPr>
      </w:pPr>
    </w:p>
    <w:p w:rsidR="00E405B8" w:rsidRDefault="00E405B8" w:rsidP="00E430B7">
      <w:pPr>
        <w:tabs>
          <w:tab w:val="left" w:pos="1080"/>
        </w:tabs>
        <w:ind w:left="1080" w:hanging="1080"/>
        <w:rPr>
          <w:rFonts w:ascii="Arial" w:hAnsi="Arial" w:cs="Arial"/>
          <w:b/>
          <w:bCs/>
          <w:sz w:val="22"/>
          <w:szCs w:val="22"/>
        </w:rPr>
      </w:pPr>
    </w:p>
    <w:p w:rsidR="00E405B8" w:rsidRDefault="00E405B8" w:rsidP="00E430B7">
      <w:pPr>
        <w:tabs>
          <w:tab w:val="left" w:pos="1080"/>
        </w:tabs>
        <w:ind w:left="1080" w:hanging="1080"/>
        <w:rPr>
          <w:rFonts w:ascii="Arial" w:hAnsi="Arial" w:cs="Arial"/>
          <w:b/>
          <w:bCs/>
          <w:sz w:val="22"/>
          <w:szCs w:val="22"/>
        </w:rPr>
      </w:pPr>
    </w:p>
    <w:p w:rsidR="00E405B8" w:rsidRDefault="00E405B8" w:rsidP="00E430B7">
      <w:pPr>
        <w:tabs>
          <w:tab w:val="left" w:pos="1080"/>
        </w:tabs>
        <w:ind w:left="1080" w:hanging="1080"/>
        <w:rPr>
          <w:rFonts w:ascii="Arial" w:hAnsi="Arial" w:cs="Arial"/>
          <w:b/>
          <w:bCs/>
          <w:sz w:val="22"/>
          <w:szCs w:val="22"/>
        </w:rPr>
      </w:pPr>
    </w:p>
    <w:p w:rsidR="00E405B8" w:rsidRDefault="00E405B8" w:rsidP="00E430B7">
      <w:pPr>
        <w:tabs>
          <w:tab w:val="left" w:pos="1080"/>
        </w:tabs>
        <w:ind w:left="1080" w:hanging="1080"/>
        <w:rPr>
          <w:rFonts w:ascii="Arial" w:hAnsi="Arial" w:cs="Arial"/>
          <w:b/>
          <w:bCs/>
          <w:sz w:val="22"/>
          <w:szCs w:val="22"/>
        </w:rPr>
      </w:pPr>
    </w:p>
    <w:p w:rsidR="00E405B8" w:rsidRDefault="00E405B8" w:rsidP="00E430B7">
      <w:pPr>
        <w:tabs>
          <w:tab w:val="left" w:pos="1080"/>
        </w:tabs>
        <w:ind w:left="1080" w:hanging="1080"/>
        <w:rPr>
          <w:rFonts w:ascii="Arial" w:hAnsi="Arial" w:cs="Arial"/>
          <w:b/>
          <w:bCs/>
          <w:sz w:val="22"/>
          <w:szCs w:val="22"/>
        </w:rPr>
      </w:pPr>
    </w:p>
    <w:p w:rsidR="00E430B7" w:rsidRPr="00E430B7" w:rsidRDefault="00E430B7" w:rsidP="00E430B7">
      <w:pPr>
        <w:tabs>
          <w:tab w:val="left" w:pos="1080"/>
        </w:tabs>
        <w:ind w:left="1080" w:hanging="1080"/>
        <w:rPr>
          <w:rFonts w:ascii="Arial" w:hAnsi="Arial" w:cs="Arial"/>
          <w:b/>
          <w:bCs/>
          <w:sz w:val="22"/>
          <w:szCs w:val="22"/>
        </w:rPr>
      </w:pPr>
      <w:r w:rsidRPr="00E430B7">
        <w:rPr>
          <w:rFonts w:ascii="Arial" w:hAnsi="Arial" w:cs="Arial"/>
          <w:b/>
          <w:bCs/>
          <w:sz w:val="22"/>
          <w:szCs w:val="22"/>
        </w:rPr>
        <w:t xml:space="preserve">Figure 3 </w:t>
      </w:r>
      <w:r>
        <w:rPr>
          <w:rFonts w:ascii="Arial" w:hAnsi="Arial" w:cs="Arial"/>
          <w:b/>
          <w:bCs/>
          <w:sz w:val="22"/>
          <w:szCs w:val="22"/>
        </w:rPr>
        <w:tab/>
      </w:r>
      <w:r w:rsidRPr="00E430B7">
        <w:rPr>
          <w:rFonts w:ascii="Arial" w:hAnsi="Arial" w:cs="Arial"/>
          <w:b/>
          <w:bCs/>
          <w:sz w:val="22"/>
          <w:szCs w:val="22"/>
        </w:rPr>
        <w:t>Kaplan-Meier Curve for Progression-Free Survival by Independent Assessment for the Cytokine Pre-Treated Population</w:t>
      </w:r>
    </w:p>
    <w:p w:rsidR="00E430B7" w:rsidRDefault="002429B5" w:rsidP="00E430B7">
      <w:r>
        <w:rPr>
          <w:noProof/>
        </w:rPr>
        <w:drawing>
          <wp:anchor distT="0" distB="0" distL="114300" distR="114300" simplePos="0" relativeHeight="251658752" behindDoc="0" locked="0" layoutInCell="1" allowOverlap="1">
            <wp:simplePos x="0" y="0"/>
            <wp:positionH relativeFrom="column">
              <wp:posOffset>0</wp:posOffset>
            </wp:positionH>
            <wp:positionV relativeFrom="paragraph">
              <wp:posOffset>133350</wp:posOffset>
            </wp:positionV>
            <wp:extent cx="4714875" cy="2247900"/>
            <wp:effectExtent l="19050" t="0" r="9525" b="0"/>
            <wp:wrapSquare wrapText="bothSides"/>
            <wp:docPr id="4" name="Picture 4"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zopanib Figure 7"/>
                    <pic:cNvPicPr>
                      <a:picLocks noChangeAspect="1" noChangeArrowheads="1"/>
                    </pic:cNvPicPr>
                  </pic:nvPicPr>
                  <pic:blipFill>
                    <a:blip r:embed="rId11" cstate="print"/>
                    <a:srcRect/>
                    <a:stretch>
                      <a:fillRect/>
                    </a:stretch>
                  </pic:blipFill>
                  <pic:spPr bwMode="auto">
                    <a:xfrm>
                      <a:off x="0" y="0"/>
                      <a:ext cx="4714875" cy="2247900"/>
                    </a:xfrm>
                    <a:prstGeom prst="rect">
                      <a:avLst/>
                    </a:prstGeom>
                    <a:noFill/>
                    <a:ln w="9525">
                      <a:noFill/>
                      <a:miter lim="800000"/>
                      <a:headEnd/>
                      <a:tailEnd/>
                    </a:ln>
                  </pic:spPr>
                </pic:pic>
              </a:graphicData>
            </a:graphic>
          </wp:anchor>
        </w:drawing>
      </w:r>
    </w:p>
    <w:p w:rsidR="00E430B7" w:rsidRDefault="00E430B7" w:rsidP="00E430B7"/>
    <w:p w:rsidR="00E430B7" w:rsidRDefault="00E430B7" w:rsidP="00E430B7"/>
    <w:p w:rsidR="00E430B7" w:rsidRDefault="00E430B7" w:rsidP="00E430B7"/>
    <w:p w:rsidR="00E430B7" w:rsidRDefault="00E430B7" w:rsidP="00E430B7"/>
    <w:p w:rsidR="00E430B7" w:rsidRDefault="00E430B7" w:rsidP="00E430B7"/>
    <w:p w:rsidR="00E430B7" w:rsidRDefault="00E430B7" w:rsidP="00E430B7"/>
    <w:p w:rsidR="00E430B7" w:rsidRDefault="00E430B7" w:rsidP="00E430B7"/>
    <w:p w:rsidR="006D291E" w:rsidRDefault="006D291E" w:rsidP="00E77379">
      <w:pPr>
        <w:spacing w:line="300" w:lineRule="atLeast"/>
        <w:jc w:val="both"/>
        <w:rPr>
          <w:rFonts w:ascii="Arial" w:hAnsi="Arial" w:cs="Arial"/>
          <w:sz w:val="22"/>
          <w:szCs w:val="22"/>
        </w:rPr>
      </w:pPr>
    </w:p>
    <w:p w:rsidR="00412BF5" w:rsidRDefault="00412BF5" w:rsidP="00E77379">
      <w:pPr>
        <w:spacing w:line="300" w:lineRule="atLeast"/>
        <w:jc w:val="both"/>
        <w:rPr>
          <w:rFonts w:ascii="Arial" w:hAnsi="Arial" w:cs="Arial"/>
          <w:sz w:val="22"/>
          <w:szCs w:val="22"/>
        </w:rPr>
      </w:pPr>
    </w:p>
    <w:p w:rsidR="00412BF5" w:rsidRDefault="00412BF5" w:rsidP="00E77379">
      <w:pPr>
        <w:spacing w:line="300" w:lineRule="atLeast"/>
        <w:jc w:val="both"/>
        <w:rPr>
          <w:rFonts w:ascii="Arial" w:hAnsi="Arial" w:cs="Arial"/>
          <w:sz w:val="22"/>
          <w:szCs w:val="22"/>
        </w:rPr>
      </w:pPr>
    </w:p>
    <w:p w:rsidR="00412BF5" w:rsidRDefault="00412BF5" w:rsidP="00E77379">
      <w:pPr>
        <w:spacing w:line="300" w:lineRule="atLeast"/>
        <w:jc w:val="both"/>
        <w:rPr>
          <w:rFonts w:ascii="Arial" w:hAnsi="Arial" w:cs="Arial"/>
          <w:sz w:val="22"/>
          <w:szCs w:val="22"/>
        </w:rPr>
      </w:pPr>
    </w:p>
    <w:p w:rsidR="00412BF5" w:rsidRDefault="00412BF5" w:rsidP="00E77379">
      <w:pPr>
        <w:spacing w:line="300" w:lineRule="atLeast"/>
        <w:jc w:val="both"/>
        <w:rPr>
          <w:rFonts w:ascii="Arial" w:hAnsi="Arial" w:cs="Arial"/>
          <w:sz w:val="22"/>
          <w:szCs w:val="22"/>
        </w:rPr>
      </w:pPr>
    </w:p>
    <w:p w:rsidR="00412BF5" w:rsidRDefault="00412BF5" w:rsidP="00E77379">
      <w:pPr>
        <w:spacing w:line="300" w:lineRule="atLeast"/>
        <w:jc w:val="both"/>
        <w:rPr>
          <w:rFonts w:ascii="Arial" w:hAnsi="Arial" w:cs="Arial"/>
          <w:sz w:val="22"/>
          <w:szCs w:val="22"/>
        </w:rPr>
      </w:pPr>
    </w:p>
    <w:p w:rsidR="00E77379" w:rsidRDefault="00E77379" w:rsidP="006B5166">
      <w:pPr>
        <w:spacing w:line="300" w:lineRule="atLeast"/>
        <w:jc w:val="both"/>
        <w:rPr>
          <w:rFonts w:ascii="Arial" w:hAnsi="Arial" w:cs="Arial"/>
          <w:sz w:val="22"/>
          <w:szCs w:val="22"/>
        </w:rPr>
      </w:pPr>
      <w:r w:rsidRPr="00E430B7">
        <w:rPr>
          <w:rFonts w:ascii="Arial" w:hAnsi="Arial" w:cs="Arial"/>
          <w:sz w:val="22"/>
          <w:szCs w:val="22"/>
        </w:rPr>
        <w:t xml:space="preserve">For patients who responded to treatment, </w:t>
      </w:r>
      <w:r w:rsidR="00E430B7" w:rsidRPr="00E430B7">
        <w:rPr>
          <w:rFonts w:ascii="Arial" w:hAnsi="Arial" w:cs="Arial"/>
          <w:sz w:val="22"/>
          <w:szCs w:val="22"/>
        </w:rPr>
        <w:t xml:space="preserve">the median time to response was 11.9 weeks and </w:t>
      </w:r>
      <w:r w:rsidRPr="00E430B7">
        <w:rPr>
          <w:rFonts w:ascii="Arial" w:hAnsi="Arial" w:cs="Arial"/>
          <w:sz w:val="22"/>
          <w:szCs w:val="22"/>
        </w:rPr>
        <w:t>the median</w:t>
      </w:r>
      <w:r w:rsidRPr="00E77379">
        <w:rPr>
          <w:rFonts w:ascii="Arial" w:hAnsi="Arial" w:cs="Arial"/>
          <w:sz w:val="22"/>
          <w:szCs w:val="22"/>
        </w:rPr>
        <w:t xml:space="preserve"> duration of response was 58.7 weeks as per independent review.</w:t>
      </w:r>
    </w:p>
    <w:p w:rsidR="002B4A20" w:rsidRDefault="002B4A20" w:rsidP="006B5166">
      <w:pPr>
        <w:jc w:val="both"/>
        <w:rPr>
          <w:rFonts w:ascii="Arial" w:hAnsi="Arial" w:cs="Arial"/>
          <w:sz w:val="22"/>
          <w:szCs w:val="22"/>
        </w:rPr>
      </w:pPr>
    </w:p>
    <w:p w:rsidR="002B4A20" w:rsidRPr="00BE67C1" w:rsidRDefault="002B4A20" w:rsidP="006B5166">
      <w:pPr>
        <w:spacing w:line="300" w:lineRule="atLeast"/>
        <w:jc w:val="both"/>
        <w:rPr>
          <w:rFonts w:ascii="Arial" w:hAnsi="Arial" w:cs="Arial"/>
          <w:sz w:val="22"/>
          <w:szCs w:val="22"/>
        </w:rPr>
      </w:pPr>
      <w:r w:rsidRPr="00BE67C1">
        <w:rPr>
          <w:rFonts w:ascii="Arial" w:hAnsi="Arial" w:cs="Arial"/>
          <w:sz w:val="22"/>
          <w:szCs w:val="22"/>
        </w:rPr>
        <w:t xml:space="preserve">The median overall survival (OS) data at the protocol specified final survival analysis were 22.9 months and 20.5 months [HR = 0.91 </w:t>
      </w:r>
      <w:r w:rsidRPr="00BE67C1">
        <w:rPr>
          <w:rFonts w:ascii="Arial" w:hAnsi="Arial" w:cs="Arial"/>
          <w:bCs/>
          <w:sz w:val="22"/>
          <w:szCs w:val="22"/>
        </w:rPr>
        <w:t xml:space="preserve">(95 % CI: 0.71, 1.16; p = 0.224)] </w:t>
      </w:r>
      <w:r w:rsidRPr="00BE67C1">
        <w:rPr>
          <w:rFonts w:ascii="Arial" w:hAnsi="Arial" w:cs="Arial"/>
          <w:sz w:val="22"/>
          <w:szCs w:val="22"/>
        </w:rPr>
        <w:t xml:space="preserve">for patients randomized to the VOTRIENT and placebo arms, respectively. </w:t>
      </w:r>
      <w:r w:rsidRPr="00BE67C1">
        <w:rPr>
          <w:rFonts w:ascii="Arial" w:hAnsi="Arial" w:cs="Arial"/>
          <w:noProof/>
          <w:sz w:val="22"/>
          <w:szCs w:val="22"/>
          <w:lang w:val="en-US"/>
        </w:rPr>
        <w:t xml:space="preserve">The OS results are subject to potential bias as </w:t>
      </w:r>
      <w:r w:rsidRPr="00BE67C1">
        <w:rPr>
          <w:rFonts w:ascii="Arial" w:hAnsi="Arial" w:cs="Arial"/>
          <w:sz w:val="22"/>
          <w:szCs w:val="22"/>
        </w:rPr>
        <w:t>54 % of patients in the placebo arm also received VOTRIENT in the extension part of this study following disease progression. Sixty-six percent of placebo patients received post-study therapy compared to 30 % of VOTRIENT patients.</w:t>
      </w:r>
    </w:p>
    <w:p w:rsidR="00E77379" w:rsidRPr="00E77379" w:rsidRDefault="00E77379" w:rsidP="006B5166">
      <w:pPr>
        <w:spacing w:line="300" w:lineRule="atLeast"/>
        <w:jc w:val="both"/>
        <w:rPr>
          <w:rFonts w:ascii="Arial" w:hAnsi="Arial" w:cs="Arial"/>
          <w:sz w:val="22"/>
          <w:szCs w:val="22"/>
        </w:rPr>
      </w:pPr>
    </w:p>
    <w:p w:rsidR="00E77379" w:rsidRPr="00E77379" w:rsidRDefault="00E77379" w:rsidP="006B5166">
      <w:pPr>
        <w:tabs>
          <w:tab w:val="left" w:pos="-720"/>
          <w:tab w:val="left" w:pos="0"/>
          <w:tab w:val="left" w:pos="720"/>
          <w:tab w:val="left" w:pos="1440"/>
          <w:tab w:val="left" w:pos="2160"/>
          <w:tab w:val="left" w:pos="2880"/>
          <w:tab w:val="left" w:pos="3600"/>
          <w:tab w:val="left" w:pos="4320"/>
        </w:tabs>
        <w:autoSpaceDE w:val="0"/>
        <w:autoSpaceDN w:val="0"/>
        <w:adjustRightInd w:val="0"/>
        <w:spacing w:line="300" w:lineRule="atLeast"/>
        <w:jc w:val="both"/>
        <w:rPr>
          <w:rFonts w:ascii="Arial" w:eastAsia="MS Mincho" w:hAnsi="Arial" w:cs="Arial"/>
          <w:color w:val="000000"/>
          <w:sz w:val="22"/>
          <w:szCs w:val="22"/>
          <w:lang w:eastAsia="ja-JP"/>
        </w:rPr>
      </w:pPr>
      <w:r w:rsidRPr="00E77379">
        <w:rPr>
          <w:rFonts w:ascii="Arial" w:eastAsia="MS Mincho" w:hAnsi="Arial" w:cs="Arial"/>
          <w:color w:val="000000"/>
          <w:sz w:val="22"/>
          <w:szCs w:val="22"/>
          <w:lang w:eastAsia="ja-JP"/>
        </w:rPr>
        <w:t xml:space="preserve">In the pivotal study, the QoL assessments were based on blinded self-reported global scores from two protocol-specified questionnaires, EORTC QLQ-C30 and EuroQoL EQ-5D.  Analysis was based on patients who continued on therapy in both arms, prior to progression. </w:t>
      </w:r>
      <w:r>
        <w:rPr>
          <w:rFonts w:ascii="Arial" w:eastAsia="MS Mincho" w:hAnsi="Arial" w:cs="Arial"/>
          <w:color w:val="000000"/>
          <w:sz w:val="22"/>
          <w:szCs w:val="22"/>
          <w:lang w:eastAsia="ja-JP"/>
        </w:rPr>
        <w:t xml:space="preserve"> </w:t>
      </w:r>
      <w:r w:rsidRPr="00E77379">
        <w:rPr>
          <w:rFonts w:ascii="Arial" w:eastAsia="MS Mincho" w:hAnsi="Arial" w:cs="Arial"/>
          <w:color w:val="000000"/>
          <w:sz w:val="22"/>
          <w:szCs w:val="22"/>
          <w:lang w:eastAsia="ja-JP"/>
        </w:rPr>
        <w:t xml:space="preserve">The assessments showed no difference between treatment with </w:t>
      </w:r>
      <w:r w:rsidR="002F1277">
        <w:rPr>
          <w:rFonts w:ascii="Arial" w:eastAsia="MS Mincho" w:hAnsi="Arial" w:cs="Arial"/>
          <w:color w:val="000000"/>
          <w:sz w:val="22"/>
          <w:szCs w:val="22"/>
          <w:lang w:eastAsia="ja-JP"/>
        </w:rPr>
        <w:t>VOTRIENT</w:t>
      </w:r>
      <w:r w:rsidRPr="00E77379">
        <w:rPr>
          <w:rFonts w:ascii="Arial" w:eastAsia="MS Mincho" w:hAnsi="Arial" w:cs="Arial"/>
          <w:color w:val="000000"/>
          <w:sz w:val="22"/>
          <w:szCs w:val="22"/>
          <w:lang w:eastAsia="ja-JP"/>
        </w:rPr>
        <w:t xml:space="preserve"> or placebo (p &gt; 0.05), indicating no negative impact of </w:t>
      </w:r>
      <w:r w:rsidR="002F1277">
        <w:rPr>
          <w:rFonts w:ascii="Arial" w:eastAsia="MS Mincho" w:hAnsi="Arial" w:cs="Arial"/>
          <w:color w:val="000000"/>
          <w:sz w:val="22"/>
          <w:szCs w:val="22"/>
          <w:lang w:eastAsia="ja-JP"/>
        </w:rPr>
        <w:t>VOTRIENT</w:t>
      </w:r>
      <w:r w:rsidRPr="00E77379">
        <w:rPr>
          <w:rFonts w:ascii="Arial" w:eastAsia="MS Mincho" w:hAnsi="Arial" w:cs="Arial"/>
          <w:color w:val="000000"/>
          <w:sz w:val="22"/>
          <w:szCs w:val="22"/>
          <w:lang w:eastAsia="ja-JP"/>
        </w:rPr>
        <w:t xml:space="preserve"> on global quality of life.</w:t>
      </w:r>
    </w:p>
    <w:p w:rsidR="00E77379" w:rsidRPr="00E77379" w:rsidRDefault="00E77379" w:rsidP="00E77379">
      <w:pPr>
        <w:tabs>
          <w:tab w:val="left" w:pos="-720"/>
          <w:tab w:val="left" w:pos="0"/>
          <w:tab w:val="left" w:pos="720"/>
          <w:tab w:val="left" w:pos="1440"/>
          <w:tab w:val="left" w:pos="2160"/>
          <w:tab w:val="left" w:pos="2880"/>
          <w:tab w:val="left" w:pos="3600"/>
          <w:tab w:val="left" w:pos="4320"/>
        </w:tabs>
        <w:autoSpaceDE w:val="0"/>
        <w:autoSpaceDN w:val="0"/>
        <w:adjustRightInd w:val="0"/>
        <w:spacing w:line="300" w:lineRule="atLeast"/>
        <w:jc w:val="both"/>
        <w:rPr>
          <w:rFonts w:ascii="Arial" w:eastAsia="MS Mincho" w:hAnsi="Arial" w:cs="Arial"/>
          <w:color w:val="000000"/>
          <w:sz w:val="22"/>
          <w:szCs w:val="22"/>
          <w:lang w:eastAsia="ja-JP"/>
        </w:rPr>
      </w:pPr>
    </w:p>
    <w:p w:rsidR="00F51450" w:rsidRDefault="00E77379">
      <w:pPr>
        <w:autoSpaceDE w:val="0"/>
        <w:autoSpaceDN w:val="0"/>
        <w:adjustRightInd w:val="0"/>
        <w:spacing w:line="300" w:lineRule="atLeast"/>
        <w:jc w:val="both"/>
        <w:rPr>
          <w:rFonts w:ascii="Arial" w:hAnsi="Arial" w:cs="Arial"/>
          <w:sz w:val="22"/>
          <w:szCs w:val="22"/>
        </w:rPr>
      </w:pPr>
      <w:r w:rsidRPr="00E77379">
        <w:rPr>
          <w:rFonts w:ascii="Arial" w:hAnsi="Arial" w:cs="Arial"/>
          <w:sz w:val="22"/>
          <w:szCs w:val="22"/>
        </w:rPr>
        <w:t>In a Phase 2 study of 225 patients with locally recurrent or metastatic clear cell renal cell carcinoma, objective response rate was 35 % and median duration of response was 68 weeks, as per independent review.</w:t>
      </w:r>
      <w:r w:rsidR="0054365D">
        <w:rPr>
          <w:rFonts w:ascii="Arial" w:hAnsi="Arial" w:cs="Arial"/>
          <w:sz w:val="22"/>
          <w:szCs w:val="22"/>
        </w:rPr>
        <w:t xml:space="preserve">  </w:t>
      </w:r>
      <w:r w:rsidR="0054365D" w:rsidRPr="0054365D">
        <w:rPr>
          <w:rFonts w:ascii="Arial" w:hAnsi="Arial" w:cs="Arial"/>
          <w:sz w:val="22"/>
          <w:szCs w:val="22"/>
          <w:lang w:val="en-US"/>
        </w:rPr>
        <w:t>Median PFS was 11.9 months.</w:t>
      </w:r>
    </w:p>
    <w:p w:rsidR="00412BF5" w:rsidRDefault="00412BF5">
      <w:pPr>
        <w:rPr>
          <w:rFonts w:ascii="Arial" w:hAnsi="Arial" w:cs="Arial"/>
          <w:b/>
          <w:sz w:val="22"/>
          <w:szCs w:val="22"/>
        </w:rPr>
      </w:pPr>
      <w:r>
        <w:rPr>
          <w:rFonts w:ascii="Arial" w:hAnsi="Arial" w:cs="Arial"/>
          <w:b/>
          <w:sz w:val="22"/>
          <w:szCs w:val="22"/>
        </w:rPr>
        <w:br w:type="page"/>
      </w:r>
    </w:p>
    <w:p w:rsidR="00412BF5" w:rsidRDefault="0070259A" w:rsidP="00412BF5">
      <w:pPr>
        <w:autoSpaceDE w:val="0"/>
        <w:autoSpaceDN w:val="0"/>
        <w:adjustRightInd w:val="0"/>
        <w:rPr>
          <w:rFonts w:ascii="Arial" w:hAnsi="Arial" w:cs="Arial"/>
          <w:b/>
          <w:sz w:val="22"/>
          <w:szCs w:val="22"/>
        </w:rPr>
      </w:pPr>
      <w:r w:rsidRPr="0070259A">
        <w:rPr>
          <w:rFonts w:ascii="Arial" w:hAnsi="Arial" w:cs="Arial"/>
          <w:b/>
          <w:sz w:val="22"/>
          <w:szCs w:val="22"/>
        </w:rPr>
        <w:t>Soft Tissue Sarcoma (STS)</w:t>
      </w:r>
    </w:p>
    <w:p w:rsidR="00412BF5" w:rsidRPr="00412BF5" w:rsidRDefault="00412BF5" w:rsidP="00412BF5">
      <w:pPr>
        <w:spacing w:line="320" w:lineRule="atLeast"/>
        <w:jc w:val="both"/>
        <w:rPr>
          <w:rFonts w:ascii="Arial" w:hAnsi="Arial" w:cs="Arial"/>
          <w:b/>
          <w:iCs/>
          <w:sz w:val="22"/>
          <w:szCs w:val="22"/>
        </w:rPr>
      </w:pPr>
    </w:p>
    <w:p w:rsidR="00412BF5" w:rsidRPr="00412BF5" w:rsidRDefault="0070259A" w:rsidP="00412BF5">
      <w:pPr>
        <w:spacing w:line="320" w:lineRule="atLeast"/>
        <w:jc w:val="both"/>
        <w:rPr>
          <w:rFonts w:ascii="Arial" w:hAnsi="Arial" w:cs="Arial"/>
          <w:b/>
          <w:iCs/>
          <w:sz w:val="22"/>
          <w:szCs w:val="22"/>
        </w:rPr>
      </w:pPr>
      <w:r w:rsidRPr="00412BF5">
        <w:rPr>
          <w:rFonts w:ascii="Arial" w:hAnsi="Arial" w:cs="Arial"/>
          <w:iCs/>
          <w:sz w:val="22"/>
          <w:szCs w:val="22"/>
        </w:rPr>
        <w:t xml:space="preserve">The safety and efficacy of pazopanib in STS were evaluated in a randomized, double-blind, placebo-controlled multi-centre trial. </w:t>
      </w:r>
      <w:r w:rsidR="006F3390" w:rsidRPr="00412BF5">
        <w:rPr>
          <w:rFonts w:ascii="Arial" w:hAnsi="Arial" w:cs="Arial"/>
          <w:iCs/>
          <w:sz w:val="22"/>
          <w:szCs w:val="22"/>
        </w:rPr>
        <w:t>Patients</w:t>
      </w:r>
      <w:r w:rsidRPr="00412BF5">
        <w:rPr>
          <w:rFonts w:ascii="Arial" w:hAnsi="Arial" w:cs="Arial"/>
          <w:iCs/>
          <w:sz w:val="22"/>
          <w:szCs w:val="22"/>
        </w:rPr>
        <w:t xml:space="preserve"> (N= 369) with advanced STS who had received prior chemotherapy, including anthracycline treatment, or </w:t>
      </w:r>
      <w:r w:rsidR="00F37782" w:rsidRPr="00412BF5">
        <w:rPr>
          <w:rFonts w:ascii="Arial" w:hAnsi="Arial" w:cs="Arial"/>
          <w:iCs/>
          <w:sz w:val="22"/>
          <w:szCs w:val="22"/>
        </w:rPr>
        <w:t>who were intolerant to</w:t>
      </w:r>
      <w:r w:rsidRPr="00412BF5">
        <w:rPr>
          <w:rFonts w:ascii="Arial" w:hAnsi="Arial" w:cs="Arial"/>
          <w:iCs/>
          <w:sz w:val="22"/>
          <w:szCs w:val="22"/>
        </w:rPr>
        <w:t xml:space="preserve"> therapy, were randomized to receive pazopanib 800 mg once daily or placebo.</w:t>
      </w:r>
      <w:r w:rsidR="00F37782" w:rsidRPr="00412BF5">
        <w:rPr>
          <w:rFonts w:ascii="Arial" w:hAnsi="Arial" w:cs="Arial"/>
          <w:iCs/>
          <w:sz w:val="22"/>
          <w:szCs w:val="22"/>
        </w:rPr>
        <w:t xml:space="preserve"> </w:t>
      </w:r>
    </w:p>
    <w:p w:rsidR="00412BF5" w:rsidRPr="00412BF5" w:rsidRDefault="00412BF5" w:rsidP="00412BF5">
      <w:pPr>
        <w:spacing w:line="320" w:lineRule="atLeast"/>
        <w:jc w:val="both"/>
        <w:rPr>
          <w:rFonts w:ascii="Arial" w:hAnsi="Arial" w:cs="Arial"/>
          <w:b/>
          <w:iCs/>
          <w:sz w:val="22"/>
          <w:szCs w:val="22"/>
        </w:rPr>
      </w:pPr>
    </w:p>
    <w:p w:rsidR="00412BF5" w:rsidRPr="00412BF5" w:rsidRDefault="00F34B69" w:rsidP="00412BF5">
      <w:pPr>
        <w:spacing w:line="320" w:lineRule="atLeast"/>
        <w:jc w:val="both"/>
        <w:rPr>
          <w:rFonts w:ascii="Arial" w:hAnsi="Arial" w:cs="Arial"/>
          <w:b/>
          <w:iCs/>
          <w:sz w:val="22"/>
          <w:szCs w:val="22"/>
        </w:rPr>
      </w:pPr>
      <w:r w:rsidRPr="00412BF5">
        <w:rPr>
          <w:rFonts w:ascii="Arial" w:hAnsi="Arial" w:cs="Arial"/>
          <w:iCs/>
          <w:sz w:val="22"/>
          <w:szCs w:val="22"/>
          <w:lang w:val="en-US"/>
        </w:rPr>
        <w:t xml:space="preserve">More </w:t>
      </w:r>
      <w:r w:rsidR="00665AF4" w:rsidRPr="00412BF5">
        <w:rPr>
          <w:rFonts w:ascii="Arial" w:hAnsi="Arial" w:cs="Arial"/>
          <w:iCs/>
          <w:sz w:val="22"/>
          <w:szCs w:val="22"/>
          <w:lang w:val="en-US"/>
        </w:rPr>
        <w:t>c</w:t>
      </w:r>
      <w:r w:rsidR="00F37782" w:rsidRPr="00412BF5">
        <w:rPr>
          <w:rFonts w:ascii="Arial" w:hAnsi="Arial" w:cs="Arial"/>
          <w:iCs/>
          <w:sz w:val="22"/>
          <w:szCs w:val="22"/>
          <w:lang w:val="en-US"/>
        </w:rPr>
        <w:t>ommon tumour types studie</w:t>
      </w:r>
      <w:r w:rsidR="00665AF4" w:rsidRPr="00412BF5">
        <w:rPr>
          <w:rFonts w:ascii="Arial" w:hAnsi="Arial" w:cs="Arial"/>
          <w:iCs/>
          <w:sz w:val="22"/>
          <w:szCs w:val="22"/>
          <w:lang w:val="en-US"/>
        </w:rPr>
        <w:t>d</w:t>
      </w:r>
      <w:r w:rsidR="00F37782" w:rsidRPr="00412BF5">
        <w:rPr>
          <w:rFonts w:ascii="Arial" w:hAnsi="Arial" w:cs="Arial"/>
          <w:iCs/>
          <w:sz w:val="22"/>
          <w:szCs w:val="22"/>
          <w:lang w:val="en-US"/>
        </w:rPr>
        <w:t xml:space="preserve"> were leiomyosarcoma (excluding skin) and synovial sarcoma. Patients with various rare STS types were analysed collectively in an “Oth</w:t>
      </w:r>
      <w:r w:rsidR="00326CF9" w:rsidRPr="00412BF5">
        <w:rPr>
          <w:rFonts w:ascii="Arial" w:hAnsi="Arial" w:cs="Arial"/>
          <w:iCs/>
          <w:sz w:val="22"/>
          <w:szCs w:val="22"/>
          <w:lang w:val="en-US"/>
        </w:rPr>
        <w:t xml:space="preserve">er STS” subgroup. STS types </w:t>
      </w:r>
      <w:r w:rsidR="0070259A" w:rsidRPr="00412BF5">
        <w:rPr>
          <w:rFonts w:ascii="Arial" w:hAnsi="Arial" w:cs="Arial"/>
          <w:iCs/>
          <w:sz w:val="22"/>
          <w:szCs w:val="22"/>
          <w:u w:val="single"/>
          <w:lang w:val="en-US"/>
        </w:rPr>
        <w:t>ineligible</w:t>
      </w:r>
      <w:r w:rsidR="00F37782" w:rsidRPr="00412BF5">
        <w:rPr>
          <w:rFonts w:ascii="Arial" w:hAnsi="Arial" w:cs="Arial"/>
          <w:iCs/>
          <w:sz w:val="22"/>
          <w:szCs w:val="22"/>
          <w:lang w:val="en-US"/>
        </w:rPr>
        <w:t xml:space="preserve"> for study included: adipocytic STS; gastrointestinal stromal tumour</w:t>
      </w:r>
      <w:r w:rsidR="00665AF4" w:rsidRPr="00412BF5">
        <w:rPr>
          <w:rFonts w:ascii="Arial" w:hAnsi="Arial" w:cs="Arial"/>
          <w:iCs/>
          <w:sz w:val="22"/>
          <w:szCs w:val="22"/>
          <w:lang w:val="en-US"/>
        </w:rPr>
        <w:t>;</w:t>
      </w:r>
      <w:r w:rsidR="00F37782" w:rsidRPr="00412BF5">
        <w:rPr>
          <w:rFonts w:ascii="Arial" w:hAnsi="Arial" w:cs="Arial"/>
          <w:iCs/>
          <w:sz w:val="22"/>
          <w:szCs w:val="22"/>
          <w:lang w:val="en-US"/>
        </w:rPr>
        <w:t xml:space="preserve"> rhabdomyosarcoma other than alveolar or pleomorphic; chondrosarcoma; osteosarcoma; Ewings tumour/primitive</w:t>
      </w:r>
      <w:r w:rsidR="00326CF9" w:rsidRPr="00412BF5">
        <w:rPr>
          <w:rFonts w:ascii="Arial" w:hAnsi="Arial" w:cs="Arial"/>
          <w:iCs/>
          <w:sz w:val="22"/>
          <w:szCs w:val="22"/>
          <w:lang w:val="en-US"/>
        </w:rPr>
        <w:t xml:space="preserve"> neuroectodermal tumour; dermof</w:t>
      </w:r>
      <w:r w:rsidR="00F37782" w:rsidRPr="00412BF5">
        <w:rPr>
          <w:rFonts w:ascii="Arial" w:hAnsi="Arial" w:cs="Arial"/>
          <w:iCs/>
          <w:sz w:val="22"/>
          <w:szCs w:val="22"/>
          <w:lang w:val="en-US"/>
        </w:rPr>
        <w:t>ibromatosis sarc</w:t>
      </w:r>
      <w:r w:rsidR="00326CF9" w:rsidRPr="00412BF5">
        <w:rPr>
          <w:rFonts w:ascii="Arial" w:hAnsi="Arial" w:cs="Arial"/>
          <w:iCs/>
          <w:sz w:val="22"/>
          <w:szCs w:val="22"/>
          <w:lang w:val="en-US"/>
        </w:rPr>
        <w:t>o</w:t>
      </w:r>
      <w:r w:rsidR="00F37782" w:rsidRPr="00412BF5">
        <w:rPr>
          <w:rFonts w:ascii="Arial" w:hAnsi="Arial" w:cs="Arial"/>
          <w:iCs/>
          <w:sz w:val="22"/>
          <w:szCs w:val="22"/>
          <w:lang w:val="en-US"/>
        </w:rPr>
        <w:t xml:space="preserve">ma protuberans; inflammatory myofibroblastic sarcoma; malignant mesothelioma; and mixed </w:t>
      </w:r>
      <w:r w:rsidR="00665AF4" w:rsidRPr="00412BF5">
        <w:rPr>
          <w:rFonts w:ascii="Arial" w:hAnsi="Arial" w:cs="Arial"/>
          <w:iCs/>
          <w:sz w:val="22"/>
          <w:szCs w:val="22"/>
          <w:lang w:val="en-US"/>
        </w:rPr>
        <w:t xml:space="preserve">mesodermal </w:t>
      </w:r>
      <w:r w:rsidR="00F37782" w:rsidRPr="00412BF5">
        <w:rPr>
          <w:rFonts w:ascii="Arial" w:hAnsi="Arial" w:cs="Arial"/>
          <w:iCs/>
          <w:sz w:val="22"/>
          <w:szCs w:val="22"/>
          <w:lang w:val="en-US"/>
        </w:rPr>
        <w:t>tumour of the uterus.</w:t>
      </w:r>
    </w:p>
    <w:p w:rsidR="00412BF5" w:rsidRPr="00412BF5" w:rsidRDefault="00412BF5" w:rsidP="00412BF5">
      <w:pPr>
        <w:spacing w:line="320" w:lineRule="atLeast"/>
        <w:jc w:val="both"/>
        <w:rPr>
          <w:rFonts w:ascii="Arial" w:hAnsi="Arial" w:cs="Arial"/>
          <w:b/>
          <w:iCs/>
          <w:sz w:val="22"/>
          <w:szCs w:val="22"/>
        </w:rPr>
      </w:pPr>
    </w:p>
    <w:p w:rsidR="00DF5A35" w:rsidRPr="00412BF5" w:rsidRDefault="006F3390" w:rsidP="00412BF5">
      <w:pPr>
        <w:spacing w:line="320" w:lineRule="atLeast"/>
        <w:jc w:val="both"/>
        <w:rPr>
          <w:rFonts w:ascii="Arial" w:hAnsi="Arial" w:cs="Arial"/>
          <w:b/>
          <w:iCs/>
          <w:sz w:val="22"/>
          <w:szCs w:val="22"/>
        </w:rPr>
      </w:pPr>
      <w:r w:rsidRPr="00412BF5">
        <w:rPr>
          <w:rFonts w:ascii="Arial" w:hAnsi="Arial" w:cs="Arial"/>
          <w:iCs/>
          <w:sz w:val="22"/>
          <w:szCs w:val="22"/>
        </w:rPr>
        <w:t>Patients</w:t>
      </w:r>
      <w:r w:rsidR="00DF5A35" w:rsidRPr="00412BF5">
        <w:rPr>
          <w:rFonts w:ascii="Arial" w:hAnsi="Arial" w:cs="Arial"/>
          <w:iCs/>
          <w:sz w:val="22"/>
          <w:szCs w:val="22"/>
        </w:rPr>
        <w:t xml:space="preserve"> with WHO performance status &gt;1 (i.e. unable to carry out light work) were excluded from enrolment. </w:t>
      </w:r>
      <w:r w:rsidRPr="00412BF5">
        <w:rPr>
          <w:rFonts w:ascii="Arial" w:hAnsi="Arial" w:cs="Arial"/>
          <w:iCs/>
          <w:sz w:val="22"/>
          <w:szCs w:val="22"/>
        </w:rPr>
        <w:t>Patients</w:t>
      </w:r>
      <w:r w:rsidR="00DF5A35" w:rsidRPr="00412BF5">
        <w:rPr>
          <w:rFonts w:ascii="Arial" w:hAnsi="Arial" w:cs="Arial"/>
          <w:iCs/>
          <w:sz w:val="22"/>
          <w:szCs w:val="22"/>
        </w:rPr>
        <w:t xml:space="preserve"> with inadequate bone marrow, renal or liver function were excluded. </w:t>
      </w:r>
      <w:r w:rsidRPr="00412BF5">
        <w:rPr>
          <w:rFonts w:ascii="Arial" w:hAnsi="Arial" w:cs="Arial"/>
          <w:iCs/>
          <w:sz w:val="22"/>
          <w:szCs w:val="22"/>
        </w:rPr>
        <w:t>Patients</w:t>
      </w:r>
      <w:r w:rsidR="00DF5A35" w:rsidRPr="00412BF5">
        <w:rPr>
          <w:rFonts w:ascii="Arial" w:hAnsi="Arial" w:cs="Arial"/>
          <w:iCs/>
          <w:sz w:val="22"/>
          <w:szCs w:val="22"/>
        </w:rPr>
        <w:t xml:space="preserve"> with abnormal cardiac function (LV ejection fraction below institutional lower limit of normal; QTc prolongation &gt;480 msecs; presence within the last 6 months of cardiac angioplasty or stenting, myocardial infarction, unstable angina, coronary artery bypass graft surgery, symptomatic peripheral vascular disease, or NYHA Class III-IV congestive heart failure) and </w:t>
      </w:r>
      <w:r w:rsidRPr="00412BF5">
        <w:rPr>
          <w:rFonts w:ascii="Arial" w:hAnsi="Arial" w:cs="Arial"/>
          <w:iCs/>
          <w:sz w:val="22"/>
          <w:szCs w:val="22"/>
        </w:rPr>
        <w:t>patients</w:t>
      </w:r>
      <w:r w:rsidR="00DF5A35" w:rsidRPr="00412BF5">
        <w:rPr>
          <w:rFonts w:ascii="Arial" w:hAnsi="Arial" w:cs="Arial"/>
          <w:iCs/>
          <w:sz w:val="22"/>
          <w:szCs w:val="22"/>
        </w:rPr>
        <w:t xml:space="preserve"> with poorly controlled hypertension were excluded. </w:t>
      </w:r>
      <w:r w:rsidRPr="00412BF5">
        <w:rPr>
          <w:rFonts w:ascii="Arial" w:hAnsi="Arial" w:cs="Arial"/>
          <w:iCs/>
          <w:sz w:val="22"/>
          <w:szCs w:val="22"/>
        </w:rPr>
        <w:t>Patients</w:t>
      </w:r>
      <w:r w:rsidR="00DF5A35" w:rsidRPr="00412BF5">
        <w:rPr>
          <w:rFonts w:ascii="Arial" w:hAnsi="Arial" w:cs="Arial"/>
          <w:iCs/>
          <w:sz w:val="22"/>
          <w:szCs w:val="22"/>
        </w:rPr>
        <w:t xml:space="preserve"> with any history of a cerebrovascular accident, or with a transient ischaemic attack within the last 6 months, or with a pulmonary embolus within the last 6 months, were excluded. </w:t>
      </w:r>
      <w:r w:rsidRPr="00412BF5">
        <w:rPr>
          <w:rFonts w:ascii="Arial" w:hAnsi="Arial" w:cs="Arial"/>
          <w:iCs/>
          <w:sz w:val="22"/>
          <w:szCs w:val="22"/>
        </w:rPr>
        <w:t>Patients</w:t>
      </w:r>
      <w:r w:rsidR="00DF5A35" w:rsidRPr="00412BF5">
        <w:rPr>
          <w:rFonts w:ascii="Arial" w:hAnsi="Arial" w:cs="Arial"/>
          <w:iCs/>
          <w:sz w:val="22"/>
          <w:szCs w:val="22"/>
        </w:rPr>
        <w:t xml:space="preserve"> with a history of clinically significant gastrointestinal disorders were excluded. </w:t>
      </w:r>
      <w:r w:rsidRPr="00412BF5">
        <w:rPr>
          <w:rFonts w:ascii="Arial" w:hAnsi="Arial" w:cs="Arial"/>
          <w:iCs/>
          <w:sz w:val="22"/>
          <w:szCs w:val="22"/>
        </w:rPr>
        <w:t>Patients</w:t>
      </w:r>
      <w:r w:rsidR="00DF5A35" w:rsidRPr="00412BF5">
        <w:rPr>
          <w:rFonts w:ascii="Arial" w:hAnsi="Arial" w:cs="Arial"/>
          <w:iCs/>
          <w:sz w:val="22"/>
          <w:szCs w:val="22"/>
        </w:rPr>
        <w:t xml:space="preserve"> with a bleeding diathesis, active bleeding or haemoptysis within the last 6 weeks were also excluded.</w:t>
      </w:r>
    </w:p>
    <w:p w:rsidR="00412BF5" w:rsidRPr="00412BF5" w:rsidRDefault="00412BF5" w:rsidP="00412BF5">
      <w:pPr>
        <w:spacing w:line="320" w:lineRule="atLeast"/>
        <w:jc w:val="both"/>
        <w:rPr>
          <w:rFonts w:ascii="Arial" w:hAnsi="Arial" w:cs="Arial"/>
          <w:iCs/>
          <w:sz w:val="22"/>
          <w:szCs w:val="22"/>
          <w:lang w:val="en-US"/>
        </w:rPr>
      </w:pPr>
    </w:p>
    <w:p w:rsidR="0070259A" w:rsidRPr="00412BF5" w:rsidRDefault="0070259A" w:rsidP="00412BF5">
      <w:pPr>
        <w:spacing w:line="320" w:lineRule="atLeast"/>
        <w:jc w:val="both"/>
        <w:rPr>
          <w:rFonts w:ascii="Arial" w:hAnsi="Arial" w:cs="Arial"/>
          <w:iCs/>
          <w:sz w:val="22"/>
          <w:szCs w:val="22"/>
          <w:lang w:val="en-US"/>
        </w:rPr>
      </w:pPr>
      <w:r w:rsidRPr="00412BF5">
        <w:rPr>
          <w:rFonts w:ascii="Arial" w:hAnsi="Arial" w:cs="Arial"/>
          <w:iCs/>
          <w:sz w:val="22"/>
          <w:szCs w:val="22"/>
          <w:lang w:val="en-US"/>
        </w:rPr>
        <w:t xml:space="preserve">Prior to randomization, eligible </w:t>
      </w:r>
      <w:r w:rsidR="006F3390" w:rsidRPr="00412BF5">
        <w:rPr>
          <w:rFonts w:ascii="Arial" w:hAnsi="Arial" w:cs="Arial"/>
          <w:iCs/>
          <w:sz w:val="22"/>
          <w:szCs w:val="22"/>
          <w:lang w:val="en-US"/>
        </w:rPr>
        <w:t>patients</w:t>
      </w:r>
      <w:r w:rsidRPr="00412BF5">
        <w:rPr>
          <w:rFonts w:ascii="Arial" w:hAnsi="Arial" w:cs="Arial"/>
          <w:iCs/>
          <w:sz w:val="22"/>
          <w:szCs w:val="22"/>
          <w:lang w:val="en-US"/>
        </w:rPr>
        <w:t xml:space="preserve"> were stratified by the factors of WHO performance status (WHO PS) (0 or 1) at baseline and the number of lines of prior systemic therapy for advanced disease (0 or 1 vs. 2+). In </w:t>
      </w:r>
      <w:r w:rsidR="002555AD" w:rsidRPr="00412BF5">
        <w:rPr>
          <w:rFonts w:ascii="Arial" w:hAnsi="Arial" w:cs="Arial"/>
          <w:iCs/>
          <w:sz w:val="22"/>
          <w:szCs w:val="22"/>
          <w:lang w:val="en-US"/>
        </w:rPr>
        <w:t>each treatment group, there was</w:t>
      </w:r>
      <w:r w:rsidRPr="00412BF5">
        <w:rPr>
          <w:rFonts w:ascii="Arial" w:hAnsi="Arial" w:cs="Arial"/>
          <w:iCs/>
          <w:sz w:val="22"/>
          <w:szCs w:val="22"/>
          <w:lang w:val="en-US"/>
        </w:rPr>
        <w:t xml:space="preserve"> a slightly greater percentage of </w:t>
      </w:r>
      <w:r w:rsidR="006F3390" w:rsidRPr="00412BF5">
        <w:rPr>
          <w:rFonts w:ascii="Arial" w:hAnsi="Arial" w:cs="Arial"/>
          <w:iCs/>
          <w:sz w:val="22"/>
          <w:szCs w:val="22"/>
          <w:lang w:val="en-US"/>
        </w:rPr>
        <w:t>patients</w:t>
      </w:r>
      <w:r w:rsidRPr="00412BF5">
        <w:rPr>
          <w:rFonts w:ascii="Arial" w:hAnsi="Arial" w:cs="Arial"/>
          <w:iCs/>
          <w:sz w:val="22"/>
          <w:szCs w:val="22"/>
          <w:lang w:val="en-US"/>
        </w:rPr>
        <w:t xml:space="preserve"> in the 2+ lines of prior systemic therapy for advanced disease (58 % and 55 % respectively for placebo and pazopanib treatment arms) compared with 0 or 1 lines of prior systemic therapy (42 % and 45 % respectively for placebo and pazopanib treatment arms). There were slightly more </w:t>
      </w:r>
      <w:r w:rsidR="006F3390" w:rsidRPr="00412BF5">
        <w:rPr>
          <w:rFonts w:ascii="Arial" w:hAnsi="Arial" w:cs="Arial"/>
          <w:iCs/>
          <w:sz w:val="22"/>
          <w:szCs w:val="22"/>
          <w:lang w:val="en-US"/>
        </w:rPr>
        <w:t>patients</w:t>
      </w:r>
      <w:r w:rsidRPr="00412BF5">
        <w:rPr>
          <w:rFonts w:ascii="Arial" w:hAnsi="Arial" w:cs="Arial"/>
          <w:iCs/>
          <w:sz w:val="22"/>
          <w:szCs w:val="22"/>
          <w:lang w:val="en-US"/>
        </w:rPr>
        <w:t xml:space="preserve"> with a WHO PS of 1 at baseline. The median duration of follow-up of </w:t>
      </w:r>
      <w:r w:rsidR="006F3390" w:rsidRPr="00412BF5">
        <w:rPr>
          <w:rFonts w:ascii="Arial" w:hAnsi="Arial" w:cs="Arial"/>
          <w:iCs/>
          <w:sz w:val="22"/>
          <w:szCs w:val="22"/>
          <w:lang w:val="en-US"/>
        </w:rPr>
        <w:t>patients</w:t>
      </w:r>
      <w:r w:rsidRPr="00412BF5">
        <w:rPr>
          <w:rFonts w:ascii="Arial" w:hAnsi="Arial" w:cs="Arial"/>
          <w:iCs/>
          <w:sz w:val="22"/>
          <w:szCs w:val="22"/>
          <w:lang w:val="en-US"/>
        </w:rPr>
        <w:t xml:space="preserve"> (defined as date of randomization to date of last contact or death) was similar for both treatment arms (9.36 months for placebo [range 0.69 to 23.0 months] and 10.04 months for pazopanib [range 0.2 to 24.3 months].</w:t>
      </w:r>
    </w:p>
    <w:p w:rsidR="0070259A" w:rsidRPr="00412BF5" w:rsidRDefault="0070259A" w:rsidP="00412BF5">
      <w:pPr>
        <w:spacing w:line="320" w:lineRule="atLeast"/>
        <w:jc w:val="both"/>
        <w:rPr>
          <w:rFonts w:ascii="Arial" w:hAnsi="Arial" w:cs="Arial"/>
          <w:i/>
          <w:iCs/>
          <w:sz w:val="22"/>
          <w:szCs w:val="22"/>
        </w:rPr>
      </w:pPr>
    </w:p>
    <w:p w:rsidR="0070259A" w:rsidRPr="0013262F" w:rsidRDefault="0070259A" w:rsidP="00412BF5">
      <w:pPr>
        <w:spacing w:line="320" w:lineRule="atLeast"/>
        <w:jc w:val="both"/>
        <w:rPr>
          <w:rFonts w:ascii="Arial" w:hAnsi="Arial" w:cs="Arial"/>
          <w:iCs/>
          <w:sz w:val="22"/>
          <w:szCs w:val="22"/>
        </w:rPr>
      </w:pPr>
      <w:r w:rsidRPr="0013262F">
        <w:rPr>
          <w:rFonts w:ascii="Arial" w:hAnsi="Arial" w:cs="Arial"/>
          <w:iCs/>
          <w:sz w:val="22"/>
          <w:szCs w:val="22"/>
        </w:rPr>
        <w:t>The primary objective of the trial was to evaluate and compare the two treatment arms for progression-free survival (PFS); the secondary endpoints included overall survival (OS), overall response rate and duration of response.</w:t>
      </w:r>
    </w:p>
    <w:p w:rsidR="0070259A" w:rsidRPr="0013262F" w:rsidRDefault="0070259A" w:rsidP="00412BF5">
      <w:pPr>
        <w:spacing w:line="320" w:lineRule="atLeast"/>
        <w:jc w:val="both"/>
        <w:rPr>
          <w:rFonts w:ascii="Arial" w:hAnsi="Arial" w:cs="Arial"/>
          <w:iCs/>
          <w:sz w:val="22"/>
          <w:szCs w:val="22"/>
        </w:rPr>
      </w:pPr>
    </w:p>
    <w:p w:rsidR="0070259A" w:rsidRPr="0013262F" w:rsidRDefault="0070259A" w:rsidP="00412BF5">
      <w:pPr>
        <w:spacing w:line="320" w:lineRule="atLeast"/>
        <w:jc w:val="both"/>
        <w:rPr>
          <w:rFonts w:ascii="Arial" w:hAnsi="Arial" w:cs="Arial"/>
          <w:iCs/>
          <w:sz w:val="22"/>
          <w:szCs w:val="22"/>
        </w:rPr>
      </w:pPr>
      <w:r w:rsidRPr="0013262F">
        <w:rPr>
          <w:rFonts w:ascii="Arial" w:hAnsi="Arial" w:cs="Arial"/>
          <w:iCs/>
          <w:sz w:val="22"/>
          <w:szCs w:val="22"/>
        </w:rPr>
        <w:t>The initial analysis of the primary endpoint PFS was based on disease assessment by independent radiological review in the entire ITT study population.</w:t>
      </w:r>
    </w:p>
    <w:p w:rsidR="003C317E" w:rsidRDefault="003C317E">
      <w:pPr>
        <w:rPr>
          <w:rFonts w:ascii="Arial" w:hAnsi="Arial" w:cs="Arial"/>
          <w:b/>
          <w:color w:val="000000"/>
          <w:sz w:val="22"/>
          <w:szCs w:val="22"/>
          <w:lang w:val="en-GB" w:eastAsia="en-GB"/>
        </w:rPr>
      </w:pPr>
    </w:p>
    <w:p w:rsidR="00E405B8" w:rsidRPr="00483FE4" w:rsidRDefault="0070259A" w:rsidP="00E405B8">
      <w:pPr>
        <w:pStyle w:val="Caption"/>
        <w:keepLines/>
        <w:spacing w:before="0" w:after="0"/>
        <w:rPr>
          <w:rFonts w:ascii="Arial" w:hAnsi="Arial" w:cs="Arial"/>
          <w:color w:val="000000"/>
          <w:sz w:val="22"/>
          <w:szCs w:val="22"/>
        </w:rPr>
      </w:pPr>
      <w:r w:rsidRPr="0070259A">
        <w:rPr>
          <w:rFonts w:ascii="Arial" w:hAnsi="Arial" w:cs="Arial"/>
          <w:color w:val="000000"/>
          <w:sz w:val="22"/>
          <w:szCs w:val="22"/>
        </w:rPr>
        <w:t>Table 2: Overall efficacy results in STS by independent assessment (VEG110727)</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1843"/>
        <w:gridCol w:w="1417"/>
        <w:gridCol w:w="1843"/>
        <w:gridCol w:w="850"/>
        <w:gridCol w:w="709"/>
      </w:tblGrid>
      <w:tr w:rsidR="00141EF5" w:rsidRPr="00141EF5" w:rsidTr="00141EF5">
        <w:tc>
          <w:tcPr>
            <w:tcW w:w="3227" w:type="dxa"/>
            <w:tcBorders>
              <w:bottom w:val="single" w:sz="4" w:space="0" w:color="auto"/>
            </w:tcBorders>
          </w:tcPr>
          <w:p w:rsidR="0070259A" w:rsidRPr="0070259A" w:rsidRDefault="0070259A" w:rsidP="0070259A">
            <w:pPr>
              <w:spacing w:line="300" w:lineRule="atLeast"/>
              <w:jc w:val="center"/>
              <w:rPr>
                <w:rFonts w:ascii="Arial" w:eastAsia="Calibri" w:hAnsi="Arial" w:cs="Arial"/>
                <w:b/>
                <w:sz w:val="20"/>
                <w:szCs w:val="20"/>
              </w:rPr>
            </w:pPr>
            <w:r w:rsidRPr="0070259A">
              <w:rPr>
                <w:rFonts w:ascii="Arial" w:eastAsia="Calibri" w:hAnsi="Arial" w:cs="Arial"/>
                <w:b/>
                <w:sz w:val="20"/>
                <w:szCs w:val="20"/>
              </w:rPr>
              <w:t>Endpoints / study population</w:t>
            </w:r>
          </w:p>
        </w:tc>
        <w:tc>
          <w:tcPr>
            <w:tcW w:w="1843" w:type="dxa"/>
            <w:tcBorders>
              <w:bottom w:val="single" w:sz="4" w:space="0" w:color="auto"/>
            </w:tcBorders>
          </w:tcPr>
          <w:p w:rsidR="0070259A" w:rsidRPr="0070259A" w:rsidRDefault="0070259A" w:rsidP="0070259A">
            <w:pPr>
              <w:spacing w:line="300" w:lineRule="atLeast"/>
              <w:jc w:val="center"/>
              <w:rPr>
                <w:rFonts w:ascii="Arial" w:eastAsia="Calibri" w:hAnsi="Arial" w:cs="Arial"/>
                <w:b/>
                <w:sz w:val="20"/>
                <w:szCs w:val="20"/>
              </w:rPr>
            </w:pPr>
            <w:r w:rsidRPr="0070259A">
              <w:rPr>
                <w:rFonts w:ascii="Arial" w:eastAsia="Calibri" w:hAnsi="Arial" w:cs="Arial"/>
                <w:b/>
                <w:sz w:val="20"/>
                <w:szCs w:val="20"/>
              </w:rPr>
              <w:t>VOTRIENT</w:t>
            </w:r>
          </w:p>
        </w:tc>
        <w:tc>
          <w:tcPr>
            <w:tcW w:w="1417" w:type="dxa"/>
            <w:tcBorders>
              <w:bottom w:val="single" w:sz="4" w:space="0" w:color="auto"/>
            </w:tcBorders>
          </w:tcPr>
          <w:p w:rsidR="0070259A" w:rsidRPr="0070259A" w:rsidRDefault="0070259A" w:rsidP="0070259A">
            <w:pPr>
              <w:spacing w:line="300" w:lineRule="atLeast"/>
              <w:jc w:val="center"/>
              <w:rPr>
                <w:rFonts w:ascii="Arial" w:eastAsia="Calibri" w:hAnsi="Arial" w:cs="Arial"/>
                <w:b/>
                <w:sz w:val="20"/>
                <w:szCs w:val="20"/>
              </w:rPr>
            </w:pPr>
            <w:r w:rsidRPr="0070259A">
              <w:rPr>
                <w:rFonts w:ascii="Arial" w:eastAsia="Calibri" w:hAnsi="Arial" w:cs="Arial"/>
                <w:b/>
                <w:sz w:val="20"/>
                <w:szCs w:val="20"/>
              </w:rPr>
              <w:t>Placebo</w:t>
            </w:r>
          </w:p>
        </w:tc>
        <w:tc>
          <w:tcPr>
            <w:tcW w:w="1843" w:type="dxa"/>
            <w:tcBorders>
              <w:bottom w:val="single" w:sz="4" w:space="0" w:color="auto"/>
            </w:tcBorders>
          </w:tcPr>
          <w:p w:rsidR="0070259A" w:rsidRPr="0070259A" w:rsidRDefault="0070259A" w:rsidP="0070259A">
            <w:pPr>
              <w:spacing w:line="300" w:lineRule="atLeast"/>
              <w:jc w:val="center"/>
              <w:rPr>
                <w:rFonts w:ascii="Arial" w:eastAsia="Calibri" w:hAnsi="Arial" w:cs="Arial"/>
                <w:b/>
                <w:sz w:val="20"/>
                <w:szCs w:val="20"/>
              </w:rPr>
            </w:pPr>
            <w:r w:rsidRPr="0070259A">
              <w:rPr>
                <w:rFonts w:ascii="Arial" w:eastAsia="MS Mincho" w:hAnsi="Arial" w:cs="Arial"/>
                <w:b/>
                <w:sz w:val="20"/>
                <w:szCs w:val="20"/>
                <w:lang w:eastAsia="ja-JP"/>
              </w:rPr>
              <w:t>HR (95% CI)</w:t>
            </w:r>
          </w:p>
        </w:tc>
        <w:tc>
          <w:tcPr>
            <w:tcW w:w="1559" w:type="dxa"/>
            <w:gridSpan w:val="2"/>
            <w:tcBorders>
              <w:bottom w:val="single" w:sz="4" w:space="0" w:color="auto"/>
            </w:tcBorders>
          </w:tcPr>
          <w:p w:rsidR="0070259A" w:rsidRPr="0070259A" w:rsidRDefault="0070259A" w:rsidP="0070259A">
            <w:pPr>
              <w:keepNext/>
              <w:keepLines/>
              <w:spacing w:line="300" w:lineRule="atLeast"/>
              <w:jc w:val="center"/>
              <w:rPr>
                <w:rFonts w:ascii="Arial" w:eastAsia="MS Mincho" w:hAnsi="Arial" w:cs="Arial"/>
                <w:b/>
                <w:sz w:val="20"/>
                <w:szCs w:val="20"/>
                <w:lang w:eastAsia="ja-JP"/>
              </w:rPr>
            </w:pPr>
            <w:r w:rsidRPr="0070259A">
              <w:rPr>
                <w:rFonts w:ascii="Arial" w:eastAsia="MS Mincho" w:hAnsi="Arial" w:cs="Arial"/>
                <w:b/>
                <w:sz w:val="20"/>
                <w:szCs w:val="20"/>
                <w:lang w:eastAsia="ja-JP"/>
              </w:rPr>
              <w:t>P value</w:t>
            </w:r>
          </w:p>
          <w:p w:rsidR="0070259A" w:rsidRPr="0070259A" w:rsidRDefault="0070259A" w:rsidP="0070259A">
            <w:pPr>
              <w:spacing w:line="300" w:lineRule="atLeast"/>
              <w:jc w:val="center"/>
              <w:rPr>
                <w:rFonts w:ascii="Arial" w:eastAsia="Calibri" w:hAnsi="Arial" w:cs="Arial"/>
                <w:b/>
                <w:sz w:val="20"/>
                <w:szCs w:val="20"/>
              </w:rPr>
            </w:pPr>
            <w:r w:rsidRPr="0070259A">
              <w:rPr>
                <w:rFonts w:ascii="Arial" w:eastAsia="MS Mincho" w:hAnsi="Arial" w:cs="Arial"/>
                <w:b/>
                <w:sz w:val="20"/>
                <w:szCs w:val="20"/>
                <w:lang w:eastAsia="ja-JP"/>
              </w:rPr>
              <w:t>(one-sided)</w:t>
            </w:r>
          </w:p>
        </w:tc>
      </w:tr>
      <w:tr w:rsidR="00141EF5" w:rsidRPr="00141EF5" w:rsidTr="00141EF5">
        <w:tc>
          <w:tcPr>
            <w:tcW w:w="3227" w:type="dxa"/>
            <w:tcBorders>
              <w:bottom w:val="nil"/>
              <w:right w:val="single" w:sz="4" w:space="0" w:color="auto"/>
            </w:tcBorders>
          </w:tcPr>
          <w:p w:rsidR="0070259A" w:rsidRPr="0070259A" w:rsidRDefault="0070259A" w:rsidP="0070259A">
            <w:pPr>
              <w:spacing w:line="300" w:lineRule="atLeast"/>
              <w:rPr>
                <w:rFonts w:ascii="Arial" w:eastAsia="Calibri" w:hAnsi="Arial" w:cs="Arial"/>
                <w:b/>
                <w:sz w:val="20"/>
                <w:szCs w:val="20"/>
              </w:rPr>
            </w:pPr>
            <w:r w:rsidRPr="0070259A">
              <w:rPr>
                <w:rFonts w:ascii="Arial" w:eastAsia="Calibri" w:hAnsi="Arial" w:cs="Arial"/>
                <w:b/>
                <w:sz w:val="20"/>
                <w:szCs w:val="20"/>
              </w:rPr>
              <w:t>PFS</w:t>
            </w:r>
          </w:p>
        </w:tc>
        <w:tc>
          <w:tcPr>
            <w:tcW w:w="1843" w:type="dxa"/>
            <w:tcBorders>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417" w:type="dxa"/>
            <w:tcBorders>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843" w:type="dxa"/>
            <w:tcBorders>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jc w:val="both"/>
              <w:rPr>
                <w:rFonts w:ascii="Arial" w:eastAsia="Calibri" w:hAnsi="Arial" w:cs="Arial"/>
                <w:sz w:val="20"/>
                <w:szCs w:val="20"/>
              </w:rPr>
            </w:pPr>
            <w:r w:rsidRPr="0070259A">
              <w:rPr>
                <w:rFonts w:ascii="Arial" w:eastAsia="Calibri" w:hAnsi="Arial" w:cs="Arial"/>
                <w:sz w:val="20"/>
                <w:szCs w:val="20"/>
              </w:rPr>
              <w:t>Overall ITT</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N = 246</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N = 123</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ind w:firstLine="170"/>
              <w:jc w:val="both"/>
              <w:rPr>
                <w:rFonts w:ascii="Arial" w:eastAsia="Calibri" w:hAnsi="Arial" w:cs="Arial"/>
                <w:sz w:val="20"/>
                <w:szCs w:val="20"/>
              </w:rPr>
            </w:pPr>
            <w:r w:rsidRPr="0070259A">
              <w:rPr>
                <w:rFonts w:ascii="Arial" w:eastAsia="Calibri" w:hAnsi="Arial" w:cs="Arial"/>
                <w:sz w:val="20"/>
                <w:szCs w:val="20"/>
              </w:rPr>
              <w:t>Median (weeks)</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20.0</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7.0</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0.35 (0.26, 0.48)</w:t>
            </w: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&lt; 0.001</w:t>
            </w: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jc w:val="both"/>
              <w:rPr>
                <w:rFonts w:ascii="Arial" w:eastAsia="Calibri" w:hAnsi="Arial" w:cs="Arial"/>
                <w:sz w:val="20"/>
                <w:szCs w:val="20"/>
              </w:rPr>
            </w:pP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jc w:val="both"/>
              <w:rPr>
                <w:rFonts w:ascii="Arial" w:eastAsia="Calibri" w:hAnsi="Arial" w:cs="Arial"/>
                <w:sz w:val="20"/>
                <w:szCs w:val="20"/>
              </w:rPr>
            </w:pPr>
            <w:r w:rsidRPr="0070259A">
              <w:rPr>
                <w:rFonts w:ascii="Arial" w:eastAsia="Calibri" w:hAnsi="Arial" w:cs="Arial"/>
                <w:sz w:val="20"/>
                <w:szCs w:val="20"/>
              </w:rPr>
              <w:t>Leiomyosarcoma</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N = 109</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N = 49</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ind w:firstLine="170"/>
              <w:jc w:val="both"/>
              <w:rPr>
                <w:rFonts w:ascii="Arial" w:eastAsia="Calibri" w:hAnsi="Arial" w:cs="Arial"/>
                <w:sz w:val="20"/>
                <w:szCs w:val="20"/>
              </w:rPr>
            </w:pPr>
            <w:r w:rsidRPr="0070259A">
              <w:rPr>
                <w:rFonts w:ascii="Arial" w:eastAsia="Calibri" w:hAnsi="Arial" w:cs="Arial"/>
                <w:sz w:val="20"/>
                <w:szCs w:val="20"/>
              </w:rPr>
              <w:t>Median (weeks)</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20.1</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8.1</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0.37 (0.23, 0.60)</w:t>
            </w: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&lt; 0.001</w:t>
            </w: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jc w:val="both"/>
              <w:rPr>
                <w:rFonts w:ascii="Arial" w:eastAsia="Calibri" w:hAnsi="Arial" w:cs="Arial"/>
                <w:sz w:val="20"/>
                <w:szCs w:val="20"/>
              </w:rPr>
            </w:pP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jc w:val="both"/>
              <w:rPr>
                <w:rFonts w:ascii="Arial" w:eastAsia="Calibri" w:hAnsi="Arial" w:cs="Arial"/>
                <w:sz w:val="20"/>
                <w:szCs w:val="20"/>
              </w:rPr>
            </w:pPr>
            <w:r w:rsidRPr="0070259A">
              <w:rPr>
                <w:rFonts w:ascii="Arial" w:eastAsia="Calibri" w:hAnsi="Arial" w:cs="Arial"/>
                <w:sz w:val="20"/>
                <w:szCs w:val="20"/>
              </w:rPr>
              <w:t>Synovial sarcoma subgroups</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N = 25</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N = 13</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ind w:firstLine="170"/>
              <w:jc w:val="both"/>
              <w:rPr>
                <w:rFonts w:ascii="Arial" w:eastAsia="Calibri" w:hAnsi="Arial" w:cs="Arial"/>
                <w:sz w:val="20"/>
                <w:szCs w:val="20"/>
              </w:rPr>
            </w:pPr>
            <w:r w:rsidRPr="0070259A">
              <w:rPr>
                <w:rFonts w:ascii="Arial" w:eastAsia="Calibri" w:hAnsi="Arial" w:cs="Arial"/>
                <w:sz w:val="20"/>
                <w:szCs w:val="20"/>
              </w:rPr>
              <w:t>Median (weeks)</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17.9</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4.1</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0.43 (0.19, 0.98)</w:t>
            </w: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0.005</w:t>
            </w: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jc w:val="both"/>
              <w:rPr>
                <w:rFonts w:ascii="Arial" w:eastAsia="Calibri" w:hAnsi="Arial" w:cs="Arial"/>
                <w:sz w:val="20"/>
                <w:szCs w:val="20"/>
              </w:rPr>
            </w:pP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jc w:val="both"/>
              <w:rPr>
                <w:rFonts w:ascii="Arial" w:eastAsia="Calibri" w:hAnsi="Arial" w:cs="Arial"/>
                <w:sz w:val="20"/>
                <w:szCs w:val="20"/>
              </w:rPr>
            </w:pPr>
            <w:r w:rsidRPr="0070259A">
              <w:rPr>
                <w:rFonts w:ascii="Arial" w:eastAsia="Calibri" w:hAnsi="Arial" w:cs="Arial"/>
                <w:sz w:val="20"/>
                <w:szCs w:val="20"/>
              </w:rPr>
              <w:t>‘Other STS’ subgroups</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N = 112</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N = 61</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ind w:firstLine="170"/>
              <w:jc w:val="both"/>
              <w:rPr>
                <w:rFonts w:ascii="Arial" w:eastAsia="Calibri" w:hAnsi="Arial" w:cs="Arial"/>
                <w:sz w:val="20"/>
                <w:szCs w:val="20"/>
              </w:rPr>
            </w:pPr>
            <w:r w:rsidRPr="0070259A">
              <w:rPr>
                <w:rFonts w:ascii="Arial" w:eastAsia="Calibri" w:hAnsi="Arial" w:cs="Arial"/>
                <w:sz w:val="20"/>
                <w:szCs w:val="20"/>
              </w:rPr>
              <w:t>Median (weeks)</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20.1</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4.3</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0.39 (0.25, 0.60)</w:t>
            </w: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&lt; 0.001</w:t>
            </w:r>
          </w:p>
        </w:tc>
      </w:tr>
      <w:tr w:rsidR="00141EF5" w:rsidRPr="00141EF5" w:rsidTr="00141EF5">
        <w:tc>
          <w:tcPr>
            <w:tcW w:w="3227" w:type="dxa"/>
            <w:tcBorders>
              <w:top w:val="nil"/>
              <w:bottom w:val="single" w:sz="4" w:space="0" w:color="auto"/>
            </w:tcBorders>
          </w:tcPr>
          <w:p w:rsidR="0070259A" w:rsidRPr="0070259A" w:rsidRDefault="0070259A" w:rsidP="0070259A">
            <w:pPr>
              <w:spacing w:line="300" w:lineRule="atLeast"/>
              <w:jc w:val="both"/>
              <w:rPr>
                <w:rFonts w:ascii="Arial" w:eastAsia="Calibri" w:hAnsi="Arial" w:cs="Arial"/>
                <w:sz w:val="20"/>
                <w:szCs w:val="20"/>
              </w:rPr>
            </w:pPr>
          </w:p>
        </w:tc>
        <w:tc>
          <w:tcPr>
            <w:tcW w:w="1843" w:type="dxa"/>
            <w:tcBorders>
              <w:top w:val="nil"/>
              <w:bottom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417" w:type="dxa"/>
            <w:tcBorders>
              <w:top w:val="nil"/>
              <w:bottom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843" w:type="dxa"/>
            <w:tcBorders>
              <w:top w:val="nil"/>
              <w:bottom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bottom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bottom w:val="nil"/>
            </w:tcBorders>
          </w:tcPr>
          <w:p w:rsidR="0070259A" w:rsidRPr="0070259A" w:rsidRDefault="0070259A" w:rsidP="0070259A">
            <w:pPr>
              <w:spacing w:line="300" w:lineRule="atLeast"/>
              <w:jc w:val="both"/>
              <w:rPr>
                <w:rFonts w:ascii="Arial" w:eastAsia="Calibri" w:hAnsi="Arial" w:cs="Arial"/>
                <w:b/>
                <w:sz w:val="20"/>
                <w:szCs w:val="20"/>
              </w:rPr>
            </w:pPr>
            <w:r w:rsidRPr="0070259A">
              <w:rPr>
                <w:rFonts w:ascii="Arial" w:eastAsia="Calibri" w:hAnsi="Arial" w:cs="Arial"/>
                <w:b/>
                <w:sz w:val="20"/>
                <w:szCs w:val="20"/>
              </w:rPr>
              <w:t>Response Rate (CR+PR)</w:t>
            </w:r>
          </w:p>
        </w:tc>
        <w:tc>
          <w:tcPr>
            <w:tcW w:w="1843" w:type="dxa"/>
            <w:tcBorders>
              <w:bottom w:val="nil"/>
            </w:tcBorders>
          </w:tcPr>
          <w:p w:rsidR="0070259A" w:rsidRPr="0070259A" w:rsidRDefault="0070259A" w:rsidP="0070259A">
            <w:pPr>
              <w:spacing w:line="300" w:lineRule="atLeast"/>
              <w:jc w:val="center"/>
              <w:rPr>
                <w:rFonts w:ascii="Arial" w:eastAsia="Calibri" w:hAnsi="Arial" w:cs="Arial"/>
                <w:sz w:val="20"/>
                <w:szCs w:val="20"/>
              </w:rPr>
            </w:pPr>
          </w:p>
        </w:tc>
        <w:tc>
          <w:tcPr>
            <w:tcW w:w="1417" w:type="dxa"/>
            <w:tcBorders>
              <w:bottom w:val="nil"/>
            </w:tcBorders>
          </w:tcPr>
          <w:p w:rsidR="0070259A" w:rsidRPr="0070259A" w:rsidRDefault="0070259A" w:rsidP="0070259A">
            <w:pPr>
              <w:spacing w:line="300" w:lineRule="atLeast"/>
              <w:jc w:val="center"/>
              <w:rPr>
                <w:rFonts w:ascii="Arial" w:eastAsia="Calibri" w:hAnsi="Arial" w:cs="Arial"/>
                <w:sz w:val="20"/>
                <w:szCs w:val="20"/>
              </w:rPr>
            </w:pPr>
          </w:p>
        </w:tc>
        <w:tc>
          <w:tcPr>
            <w:tcW w:w="1843" w:type="dxa"/>
            <w:tcBorders>
              <w:bottom w:val="nil"/>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ind w:firstLine="170"/>
              <w:jc w:val="both"/>
              <w:rPr>
                <w:rFonts w:ascii="Arial" w:eastAsia="Calibri" w:hAnsi="Arial" w:cs="Arial"/>
                <w:sz w:val="20"/>
                <w:szCs w:val="20"/>
              </w:rPr>
            </w:pPr>
            <w:r w:rsidRPr="0070259A">
              <w:rPr>
                <w:rFonts w:ascii="Arial" w:eastAsia="Calibri" w:hAnsi="Arial" w:cs="Arial"/>
                <w:sz w:val="20"/>
                <w:szCs w:val="20"/>
              </w:rPr>
              <w:t>% (95 % CI)</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4 (2.3, 7.9)</w:t>
            </w: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0 (0.0, 3.0)</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bottom w:val="nil"/>
              <w:right w:val="single" w:sz="4" w:space="0" w:color="auto"/>
            </w:tcBorders>
          </w:tcPr>
          <w:p w:rsidR="0070259A" w:rsidRPr="0070259A" w:rsidRDefault="0070259A" w:rsidP="0070259A">
            <w:pPr>
              <w:spacing w:line="300" w:lineRule="atLeast"/>
              <w:jc w:val="both"/>
              <w:rPr>
                <w:rFonts w:ascii="Arial" w:eastAsia="Calibri" w:hAnsi="Arial" w:cs="Arial"/>
                <w:sz w:val="20"/>
                <w:szCs w:val="20"/>
              </w:rPr>
            </w:pPr>
            <w:r w:rsidRPr="0070259A">
              <w:rPr>
                <w:rFonts w:ascii="Arial" w:eastAsia="Calibri" w:hAnsi="Arial" w:cs="Arial"/>
                <w:sz w:val="20"/>
                <w:szCs w:val="20"/>
              </w:rPr>
              <w:t>Duration of response</w:t>
            </w: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417"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843" w:type="dxa"/>
            <w:tcBorders>
              <w:top w:val="nil"/>
              <w:left w:val="single" w:sz="4" w:space="0" w:color="auto"/>
              <w:bottom w:val="nil"/>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bottom w:val="nil"/>
            </w:tcBorders>
          </w:tcPr>
          <w:p w:rsidR="0070259A" w:rsidRPr="0070259A" w:rsidRDefault="0070259A" w:rsidP="0070259A">
            <w:pPr>
              <w:spacing w:line="300" w:lineRule="atLeast"/>
              <w:jc w:val="center"/>
              <w:rPr>
                <w:rFonts w:ascii="Arial" w:eastAsia="Calibri" w:hAnsi="Arial" w:cs="Arial"/>
                <w:sz w:val="20"/>
                <w:szCs w:val="20"/>
              </w:rPr>
            </w:pPr>
          </w:p>
        </w:tc>
      </w:tr>
      <w:tr w:rsidR="00141EF5" w:rsidRPr="00141EF5" w:rsidTr="00141EF5">
        <w:tc>
          <w:tcPr>
            <w:tcW w:w="3227" w:type="dxa"/>
            <w:tcBorders>
              <w:top w:val="nil"/>
              <w:right w:val="single" w:sz="4" w:space="0" w:color="auto"/>
            </w:tcBorders>
          </w:tcPr>
          <w:p w:rsidR="0070259A" w:rsidRPr="0070259A" w:rsidRDefault="0070259A" w:rsidP="0070259A">
            <w:pPr>
              <w:spacing w:line="300" w:lineRule="atLeast"/>
              <w:ind w:firstLine="170"/>
              <w:jc w:val="both"/>
              <w:rPr>
                <w:rFonts w:ascii="Arial" w:eastAsia="Calibri" w:hAnsi="Arial" w:cs="Arial"/>
                <w:sz w:val="20"/>
                <w:szCs w:val="20"/>
              </w:rPr>
            </w:pPr>
            <w:r w:rsidRPr="0070259A">
              <w:rPr>
                <w:rFonts w:ascii="Arial" w:eastAsia="Calibri" w:hAnsi="Arial" w:cs="Arial"/>
                <w:sz w:val="20"/>
                <w:szCs w:val="20"/>
              </w:rPr>
              <w:t>Median (weeks) (95 % CI)</w:t>
            </w:r>
          </w:p>
        </w:tc>
        <w:tc>
          <w:tcPr>
            <w:tcW w:w="1843" w:type="dxa"/>
            <w:tcBorders>
              <w:top w:val="nil"/>
              <w:left w:val="single" w:sz="4" w:space="0" w:color="auto"/>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r w:rsidRPr="0070259A">
              <w:rPr>
                <w:rFonts w:ascii="Arial" w:eastAsia="Calibri" w:hAnsi="Arial" w:cs="Arial"/>
                <w:sz w:val="20"/>
                <w:szCs w:val="20"/>
              </w:rPr>
              <w:t>38.9 (16.7, 40.0)</w:t>
            </w:r>
          </w:p>
        </w:tc>
        <w:tc>
          <w:tcPr>
            <w:tcW w:w="1417" w:type="dxa"/>
            <w:tcBorders>
              <w:top w:val="nil"/>
              <w:left w:val="single" w:sz="4" w:space="0" w:color="auto"/>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843" w:type="dxa"/>
            <w:tcBorders>
              <w:top w:val="nil"/>
              <w:left w:val="single" w:sz="4" w:space="0" w:color="auto"/>
              <w:righ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c>
          <w:tcPr>
            <w:tcW w:w="1559" w:type="dxa"/>
            <w:gridSpan w:val="2"/>
            <w:tcBorders>
              <w:top w:val="nil"/>
              <w:left w:val="single" w:sz="4" w:space="0" w:color="auto"/>
            </w:tcBorders>
          </w:tcPr>
          <w:p w:rsidR="0070259A" w:rsidRPr="0070259A" w:rsidRDefault="0070259A" w:rsidP="0070259A">
            <w:pPr>
              <w:spacing w:line="300" w:lineRule="atLeast"/>
              <w:jc w:val="center"/>
              <w:rPr>
                <w:rFonts w:ascii="Arial" w:eastAsia="Calibri" w:hAnsi="Arial" w:cs="Arial"/>
                <w:sz w:val="20"/>
                <w:szCs w:val="20"/>
              </w:rPr>
            </w:pPr>
          </w:p>
        </w:tc>
      </w:tr>
      <w:tr w:rsidR="00E405B8" w:rsidRPr="00483FE4" w:rsidTr="00141EF5">
        <w:tblPrEx>
          <w:tblLook w:val="01E0"/>
        </w:tblPrEx>
        <w:trPr>
          <w:gridAfter w:val="1"/>
          <w:wAfter w:w="709" w:type="dxa"/>
        </w:trPr>
        <w:tc>
          <w:tcPr>
            <w:tcW w:w="9180" w:type="dxa"/>
            <w:gridSpan w:val="5"/>
            <w:tcBorders>
              <w:top w:val="single" w:sz="4" w:space="0" w:color="auto"/>
              <w:left w:val="nil"/>
              <w:bottom w:val="nil"/>
              <w:right w:val="nil"/>
            </w:tcBorders>
          </w:tcPr>
          <w:p w:rsidR="00E405B8" w:rsidRPr="00483FE4" w:rsidRDefault="0070259A" w:rsidP="00E405B8">
            <w:pPr>
              <w:pStyle w:val="LBLTableFootnotes"/>
              <w:spacing w:line="240" w:lineRule="auto"/>
              <w:rPr>
                <w:rFonts w:ascii="Arial" w:hAnsi="Arial" w:cs="Arial"/>
                <w:sz w:val="22"/>
                <w:szCs w:val="22"/>
              </w:rPr>
            </w:pPr>
            <w:r w:rsidRPr="0070259A">
              <w:rPr>
                <w:rFonts w:ascii="Arial" w:hAnsi="Arial" w:cs="Arial"/>
                <w:sz w:val="22"/>
                <w:szCs w:val="22"/>
              </w:rPr>
              <w:t xml:space="preserve">HR = Hazard ratio; </w:t>
            </w:r>
            <w:smartTag w:uri="urn:schemas-microsoft-com:office:smarttags" w:element="stockticker">
              <w:r w:rsidRPr="0070259A">
                <w:rPr>
                  <w:rFonts w:ascii="Arial" w:hAnsi="Arial" w:cs="Arial"/>
                  <w:sz w:val="22"/>
                  <w:szCs w:val="22"/>
                </w:rPr>
                <w:t>ITT</w:t>
              </w:r>
            </w:smartTag>
            <w:r w:rsidRPr="0070259A">
              <w:rPr>
                <w:rFonts w:ascii="Arial" w:hAnsi="Arial" w:cs="Arial"/>
                <w:sz w:val="22"/>
                <w:szCs w:val="22"/>
              </w:rPr>
              <w:t> = Intent to treat; PFS = Progression-free survival; CR = Complete Response; PR = Partial Response.</w:t>
            </w:r>
          </w:p>
        </w:tc>
      </w:tr>
    </w:tbl>
    <w:p w:rsidR="00E405B8" w:rsidRPr="00483FE4" w:rsidRDefault="00E405B8" w:rsidP="00E405B8">
      <w:pPr>
        <w:rPr>
          <w:rFonts w:ascii="Arial" w:hAnsi="Arial" w:cs="Arial"/>
          <w:color w:val="000000"/>
          <w:sz w:val="22"/>
          <w:szCs w:val="22"/>
        </w:rPr>
      </w:pPr>
    </w:p>
    <w:p w:rsidR="0070259A" w:rsidRPr="0070259A" w:rsidRDefault="0070259A" w:rsidP="000F7694">
      <w:pPr>
        <w:spacing w:line="300" w:lineRule="atLeast"/>
        <w:jc w:val="both"/>
        <w:rPr>
          <w:rFonts w:ascii="Arial" w:hAnsi="Arial" w:cs="Arial"/>
          <w:sz w:val="22"/>
          <w:szCs w:val="22"/>
          <w:lang w:val="en-US"/>
        </w:rPr>
      </w:pPr>
      <w:r w:rsidRPr="0070259A">
        <w:rPr>
          <w:rFonts w:ascii="Arial" w:hAnsi="Arial" w:cs="Arial"/>
          <w:sz w:val="22"/>
          <w:szCs w:val="22"/>
          <w:lang w:val="en-US"/>
        </w:rPr>
        <w:t>Similar to the assessments by independent radiology review, a clinically meaningful and statistically significant improvement in PFS based on investigator assessments was observed in the pazopanib arm compared with the placebo arm (HR: 0.39; 95 % CI, 0.30 to 0.52, p &lt; 0.001).</w:t>
      </w:r>
    </w:p>
    <w:p w:rsidR="0070259A" w:rsidRPr="0070259A" w:rsidRDefault="0070259A" w:rsidP="0070259A">
      <w:pPr>
        <w:keepNext/>
        <w:keepLines/>
        <w:spacing w:after="240" w:line="300" w:lineRule="atLeast"/>
        <w:ind w:left="1134" w:hanging="1134"/>
        <w:rPr>
          <w:rFonts w:ascii="Arial" w:hAnsi="Arial" w:cs="Arial"/>
          <w:b/>
          <w:sz w:val="22"/>
          <w:szCs w:val="22"/>
        </w:rPr>
      </w:pPr>
      <w:r w:rsidRPr="0070259A">
        <w:rPr>
          <w:rFonts w:ascii="Arial" w:hAnsi="Arial" w:cs="Arial"/>
          <w:b/>
          <w:sz w:val="22"/>
          <w:szCs w:val="22"/>
        </w:rPr>
        <w:t xml:space="preserve">Figure 4: </w:t>
      </w:r>
      <w:r w:rsidRPr="0070259A">
        <w:rPr>
          <w:rFonts w:ascii="Arial" w:hAnsi="Arial" w:cs="Arial"/>
          <w:b/>
          <w:sz w:val="22"/>
          <w:szCs w:val="22"/>
        </w:rPr>
        <w:tab/>
        <w:t>Kaplan-Meier Curve for Progression-Free Survival in STS by Independent Assessment for the Overall Population (VEG110727)</w:t>
      </w:r>
    </w:p>
    <w:p w:rsidR="00E405B8" w:rsidRPr="008306CE" w:rsidRDefault="008D468A" w:rsidP="00E405B8">
      <w:pPr>
        <w:spacing w:after="240"/>
        <w:jc w:val="both"/>
      </w:pPr>
      <w:r>
        <w:rPr>
          <w:noProof/>
          <w:color w:val="000000"/>
        </w:rPr>
        <w:drawing>
          <wp:inline distT="0" distB="0" distL="0" distR="0">
            <wp:extent cx="5486400" cy="2952750"/>
            <wp:effectExtent l="19050" t="0" r="0" b="0"/>
            <wp:docPr id="5" name="Picture 1"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86400" cy="2952750"/>
                    </a:xfrm>
                    <a:prstGeom prst="rect">
                      <a:avLst/>
                    </a:prstGeom>
                    <a:noFill/>
                    <a:ln w="9525">
                      <a:noFill/>
                      <a:miter lim="800000"/>
                      <a:headEnd/>
                      <a:tailEnd/>
                    </a:ln>
                  </pic:spPr>
                </pic:pic>
              </a:graphicData>
            </a:graphic>
          </wp:inline>
        </w:drawing>
      </w:r>
    </w:p>
    <w:p w:rsidR="00E405B8" w:rsidRDefault="00E405B8" w:rsidP="00E405B8">
      <w:pPr>
        <w:autoSpaceDE w:val="0"/>
        <w:autoSpaceDN w:val="0"/>
        <w:adjustRightInd w:val="0"/>
      </w:pPr>
    </w:p>
    <w:p w:rsidR="0070259A" w:rsidRPr="00C03A92" w:rsidRDefault="0070259A" w:rsidP="000F7694">
      <w:pPr>
        <w:autoSpaceDE w:val="0"/>
        <w:autoSpaceDN w:val="0"/>
        <w:adjustRightInd w:val="0"/>
        <w:spacing w:line="300" w:lineRule="atLeast"/>
        <w:jc w:val="both"/>
        <w:rPr>
          <w:rFonts w:ascii="Arial" w:hAnsi="Arial" w:cs="Arial"/>
          <w:iCs/>
          <w:color w:val="000000" w:themeColor="text1"/>
          <w:sz w:val="22"/>
          <w:szCs w:val="22"/>
        </w:rPr>
      </w:pPr>
      <w:r w:rsidRPr="0070259A">
        <w:rPr>
          <w:rFonts w:ascii="Arial" w:hAnsi="Arial" w:cs="Arial"/>
          <w:sz w:val="22"/>
          <w:szCs w:val="22"/>
        </w:rPr>
        <w:t xml:space="preserve">The hazard ratio at the pre-specified interim analysis for overall survival in favour of pazopanib was not statistically significant; the median overall survival in the placebo arm was 10.4 months (95 % </w:t>
      </w:r>
      <w:r w:rsidRPr="00C03A92">
        <w:rPr>
          <w:rFonts w:ascii="Arial" w:hAnsi="Arial" w:cs="Arial"/>
          <w:sz w:val="22"/>
          <w:szCs w:val="22"/>
        </w:rPr>
        <w:t>CI 8.7 to 12.7) and was 11.9 months (95 % CI 10.7 to 15.1) in the pazopanib arm; HR = 0.82 (97.87 % CI: 0.59 to 1.14, p = 0.156</w:t>
      </w:r>
      <w:r w:rsidRPr="00C03A92">
        <w:rPr>
          <w:sz w:val="22"/>
          <w:szCs w:val="22"/>
        </w:rPr>
        <w:t xml:space="preserve">). </w:t>
      </w:r>
      <w:r w:rsidRPr="00C03A92">
        <w:rPr>
          <w:rFonts w:ascii="Arial" w:hAnsi="Arial" w:cs="Arial"/>
          <w:iCs/>
          <w:sz w:val="22"/>
          <w:szCs w:val="22"/>
        </w:rPr>
        <w:t xml:space="preserve">The overall </w:t>
      </w:r>
      <w:r w:rsidRPr="00C03A92">
        <w:rPr>
          <w:rFonts w:ascii="Arial" w:hAnsi="Arial" w:cs="Arial"/>
          <w:iCs/>
          <w:color w:val="000000" w:themeColor="text1"/>
          <w:sz w:val="22"/>
          <w:szCs w:val="22"/>
        </w:rPr>
        <w:t>survival in this study is potentially confounded due an imbalance of active treatments after disease progression, with more patients in the placebo arm receiving active therapy</w:t>
      </w:r>
      <w:r w:rsidR="00F51450" w:rsidRPr="00C03A92">
        <w:rPr>
          <w:rFonts w:ascii="Arial" w:hAnsi="Arial" w:cs="Arial"/>
          <w:iCs/>
          <w:color w:val="000000" w:themeColor="text1"/>
          <w:sz w:val="22"/>
          <w:szCs w:val="22"/>
        </w:rPr>
        <w:t>.</w:t>
      </w:r>
    </w:p>
    <w:p w:rsidR="00B063E5" w:rsidRPr="00C03A92" w:rsidRDefault="00B063E5" w:rsidP="000F7694">
      <w:pPr>
        <w:autoSpaceDE w:val="0"/>
        <w:autoSpaceDN w:val="0"/>
        <w:adjustRightInd w:val="0"/>
        <w:spacing w:line="300" w:lineRule="atLeast"/>
        <w:jc w:val="both"/>
        <w:rPr>
          <w:rFonts w:ascii="Arial" w:hAnsi="Arial" w:cs="Arial"/>
          <w:color w:val="000000" w:themeColor="text1"/>
          <w:sz w:val="22"/>
          <w:szCs w:val="22"/>
        </w:rPr>
      </w:pPr>
    </w:p>
    <w:p w:rsidR="00B063E5" w:rsidRPr="00C03A92" w:rsidRDefault="00B063E5" w:rsidP="000F7694">
      <w:pPr>
        <w:autoSpaceDE w:val="0"/>
        <w:autoSpaceDN w:val="0"/>
        <w:adjustRightInd w:val="0"/>
        <w:spacing w:line="300" w:lineRule="atLeast"/>
        <w:jc w:val="both"/>
        <w:rPr>
          <w:rFonts w:ascii="Arial" w:hAnsi="Arial" w:cs="Arial"/>
          <w:sz w:val="22"/>
          <w:szCs w:val="22"/>
        </w:rPr>
      </w:pPr>
      <w:r w:rsidRPr="00C03A92">
        <w:rPr>
          <w:rFonts w:ascii="Arial" w:hAnsi="Arial" w:cs="Arial"/>
          <w:color w:val="000000" w:themeColor="text1"/>
          <w:sz w:val="22"/>
          <w:szCs w:val="22"/>
        </w:rPr>
        <w:t xml:space="preserve">Changes in quality of life were assessed for up to 12 weeks on treatment. </w:t>
      </w:r>
      <w:r w:rsidR="00EF7365" w:rsidRPr="00C03A92">
        <w:rPr>
          <w:rFonts w:ascii="Arial" w:hAnsi="Arial" w:cs="Arial"/>
          <w:color w:val="000000" w:themeColor="text1"/>
          <w:sz w:val="22"/>
          <w:szCs w:val="22"/>
          <w:lang w:val="en-US"/>
        </w:rPr>
        <w:t>Scores for the individual domains of fatigue, diarrh</w:t>
      </w:r>
      <w:r w:rsidR="004107C5" w:rsidRPr="00C03A92">
        <w:rPr>
          <w:rFonts w:ascii="Arial" w:hAnsi="Arial" w:cs="Arial"/>
          <w:color w:val="000000" w:themeColor="text1"/>
          <w:sz w:val="22"/>
          <w:szCs w:val="22"/>
          <w:lang w:val="en-US"/>
        </w:rPr>
        <w:t>o</w:t>
      </w:r>
      <w:r w:rsidR="00EF7365" w:rsidRPr="00C03A92">
        <w:rPr>
          <w:rFonts w:ascii="Arial" w:hAnsi="Arial" w:cs="Arial"/>
          <w:color w:val="000000" w:themeColor="text1"/>
          <w:sz w:val="22"/>
          <w:szCs w:val="22"/>
          <w:lang w:val="en-US"/>
        </w:rPr>
        <w:t>ea, loss of appetite, nausea</w:t>
      </w:r>
      <w:r w:rsidR="00EF7365" w:rsidRPr="00C03A92">
        <w:rPr>
          <w:rFonts w:ascii="Arial" w:hAnsi="Arial" w:cs="Arial"/>
          <w:sz w:val="22"/>
          <w:szCs w:val="22"/>
          <w:lang w:val="en-US"/>
        </w:rPr>
        <w:t xml:space="preserve"> and vomiting were worse for pazopanib, reflecting the </w:t>
      </w:r>
      <w:r w:rsidR="008F0E88" w:rsidRPr="00C03A92">
        <w:rPr>
          <w:rFonts w:ascii="Arial" w:hAnsi="Arial" w:cs="Arial"/>
          <w:sz w:val="22"/>
          <w:szCs w:val="22"/>
          <w:lang w:val="en-US"/>
        </w:rPr>
        <w:t>adverse effects</w:t>
      </w:r>
      <w:r w:rsidR="00EF7365" w:rsidRPr="00C03A92">
        <w:rPr>
          <w:rFonts w:ascii="Arial" w:hAnsi="Arial" w:cs="Arial"/>
          <w:sz w:val="22"/>
          <w:szCs w:val="22"/>
          <w:lang w:val="en-US"/>
        </w:rPr>
        <w:t xml:space="preserve"> profile.</w:t>
      </w:r>
      <w:r w:rsidR="00814F2E" w:rsidRPr="00C03A92">
        <w:rPr>
          <w:rFonts w:ascii="Arial" w:hAnsi="Arial" w:cs="Arial"/>
          <w:sz w:val="22"/>
          <w:szCs w:val="22"/>
          <w:lang w:val="en-US"/>
        </w:rPr>
        <w:t xml:space="preserve"> </w:t>
      </w:r>
      <w:r w:rsidR="004107C5" w:rsidRPr="00C03A92">
        <w:rPr>
          <w:rFonts w:ascii="Arial" w:hAnsi="Arial" w:cs="Arial"/>
          <w:sz w:val="22"/>
          <w:szCs w:val="22"/>
        </w:rPr>
        <w:t>However, this was not reflected in g</w:t>
      </w:r>
      <w:r w:rsidRPr="00C03A92">
        <w:rPr>
          <w:rFonts w:ascii="Arial" w:hAnsi="Arial" w:cs="Arial"/>
          <w:sz w:val="22"/>
          <w:szCs w:val="22"/>
        </w:rPr>
        <w:t xml:space="preserve">lobal </w:t>
      </w:r>
      <w:r w:rsidR="004107C5" w:rsidRPr="00C03A92">
        <w:rPr>
          <w:rFonts w:ascii="Arial" w:hAnsi="Arial" w:cs="Arial"/>
          <w:sz w:val="22"/>
          <w:szCs w:val="22"/>
        </w:rPr>
        <w:t>quality of life assessment.</w:t>
      </w:r>
      <w:r w:rsidRPr="00C03A92">
        <w:rPr>
          <w:rFonts w:ascii="Arial" w:hAnsi="Arial" w:cs="Arial"/>
          <w:sz w:val="22"/>
          <w:szCs w:val="22"/>
        </w:rPr>
        <w:t xml:space="preserve"> Comparison was hindered by the small number of assessments, dropout of subjects due to disease progression </w:t>
      </w:r>
      <w:r w:rsidR="00E00CD4" w:rsidRPr="00C03A92">
        <w:rPr>
          <w:rFonts w:ascii="Arial" w:hAnsi="Arial" w:cs="Arial"/>
          <w:sz w:val="22"/>
          <w:szCs w:val="22"/>
        </w:rPr>
        <w:t>(</w:t>
      </w:r>
      <w:r w:rsidR="009803B4" w:rsidRPr="00C03A92">
        <w:rPr>
          <w:rFonts w:ascii="Arial" w:hAnsi="Arial" w:cs="Arial"/>
          <w:sz w:val="22"/>
          <w:szCs w:val="22"/>
        </w:rPr>
        <w:t>p</w:t>
      </w:r>
      <w:r w:rsidRPr="00C03A92">
        <w:rPr>
          <w:rFonts w:ascii="Arial" w:hAnsi="Arial" w:cs="Arial"/>
          <w:sz w:val="22"/>
          <w:szCs w:val="22"/>
        </w:rPr>
        <w:t>articularly in the placebo arm), and the absence of health outcome assessments after disease progression.</w:t>
      </w:r>
    </w:p>
    <w:p w:rsidR="00B063E5" w:rsidRPr="00C03A92" w:rsidRDefault="00B063E5" w:rsidP="000F7694">
      <w:pPr>
        <w:autoSpaceDE w:val="0"/>
        <w:autoSpaceDN w:val="0"/>
        <w:adjustRightInd w:val="0"/>
        <w:spacing w:line="300" w:lineRule="atLeast"/>
        <w:jc w:val="both"/>
        <w:rPr>
          <w:rFonts w:ascii="Arial" w:hAnsi="Arial" w:cs="Arial"/>
          <w:sz w:val="22"/>
          <w:szCs w:val="22"/>
          <w:lang w:val="en-US"/>
        </w:rPr>
      </w:pPr>
    </w:p>
    <w:p w:rsidR="007B4924" w:rsidRPr="00C03A92" w:rsidRDefault="007B4924" w:rsidP="000F7694">
      <w:pPr>
        <w:autoSpaceDE w:val="0"/>
        <w:autoSpaceDN w:val="0"/>
        <w:adjustRightInd w:val="0"/>
        <w:spacing w:line="300" w:lineRule="atLeast"/>
        <w:jc w:val="both"/>
        <w:rPr>
          <w:rFonts w:ascii="Arial" w:hAnsi="Arial" w:cs="Arial"/>
          <w:sz w:val="22"/>
          <w:szCs w:val="22"/>
          <w:lang w:val="en-US"/>
        </w:rPr>
      </w:pPr>
      <w:r w:rsidRPr="00C03A92">
        <w:rPr>
          <w:rFonts w:ascii="Arial" w:hAnsi="Arial" w:cs="Arial"/>
          <w:sz w:val="22"/>
          <w:szCs w:val="22"/>
        </w:rPr>
        <w:t xml:space="preserve">In a smaller, uncontrolled Phase 2 study of pazopanib in STS (VEG20002), median progression-free survival was </w:t>
      </w:r>
      <w:r w:rsidR="00814F2E" w:rsidRPr="00C03A92">
        <w:rPr>
          <w:rFonts w:ascii="Arial" w:hAnsi="Arial" w:cs="Arial"/>
          <w:sz w:val="22"/>
          <w:szCs w:val="22"/>
        </w:rPr>
        <w:t>11.1</w:t>
      </w:r>
      <w:r w:rsidRPr="00C03A92">
        <w:rPr>
          <w:rFonts w:ascii="Arial" w:hAnsi="Arial" w:cs="Arial"/>
          <w:sz w:val="22"/>
          <w:szCs w:val="22"/>
        </w:rPr>
        <w:t xml:space="preserve"> </w:t>
      </w:r>
      <w:r w:rsidR="00DD50D2" w:rsidRPr="00C03A92">
        <w:rPr>
          <w:rFonts w:ascii="Arial" w:hAnsi="Arial" w:cs="Arial"/>
          <w:sz w:val="22"/>
          <w:szCs w:val="22"/>
        </w:rPr>
        <w:t>week</w:t>
      </w:r>
      <w:r w:rsidRPr="00C03A92">
        <w:rPr>
          <w:rFonts w:ascii="Arial" w:hAnsi="Arial" w:cs="Arial"/>
          <w:sz w:val="22"/>
          <w:szCs w:val="22"/>
        </w:rPr>
        <w:t xml:space="preserve">s in adipocytic </w:t>
      </w:r>
      <w:r w:rsidR="00072E55" w:rsidRPr="00C03A92">
        <w:rPr>
          <w:rFonts w:ascii="Arial" w:hAnsi="Arial" w:cs="Arial"/>
          <w:sz w:val="22"/>
          <w:szCs w:val="22"/>
        </w:rPr>
        <w:t>STS</w:t>
      </w:r>
      <w:r w:rsidRPr="00C03A92">
        <w:rPr>
          <w:rFonts w:ascii="Arial" w:hAnsi="Arial" w:cs="Arial"/>
          <w:sz w:val="22"/>
          <w:szCs w:val="22"/>
        </w:rPr>
        <w:t xml:space="preserve"> and 14.0-23.4 </w:t>
      </w:r>
      <w:r w:rsidR="00DD50D2" w:rsidRPr="00C03A92">
        <w:rPr>
          <w:rFonts w:ascii="Arial" w:hAnsi="Arial" w:cs="Arial"/>
          <w:sz w:val="22"/>
          <w:szCs w:val="22"/>
        </w:rPr>
        <w:t>week</w:t>
      </w:r>
      <w:r w:rsidRPr="00C03A92">
        <w:rPr>
          <w:rFonts w:ascii="Arial" w:hAnsi="Arial" w:cs="Arial"/>
          <w:sz w:val="22"/>
          <w:szCs w:val="22"/>
        </w:rPr>
        <w:t xml:space="preserve">s in other </w:t>
      </w:r>
      <w:r w:rsidR="00072E55" w:rsidRPr="00C03A92">
        <w:rPr>
          <w:rFonts w:ascii="Arial" w:hAnsi="Arial" w:cs="Arial"/>
          <w:sz w:val="22"/>
          <w:szCs w:val="22"/>
        </w:rPr>
        <w:t xml:space="preserve">STS </w:t>
      </w:r>
      <w:r w:rsidRPr="00C03A92">
        <w:rPr>
          <w:rFonts w:ascii="Arial" w:hAnsi="Arial" w:cs="Arial"/>
          <w:sz w:val="22"/>
          <w:szCs w:val="22"/>
        </w:rPr>
        <w:t>groups</w:t>
      </w:r>
      <w:r w:rsidR="00786A22" w:rsidRPr="00C03A92">
        <w:rPr>
          <w:rFonts w:ascii="Arial" w:hAnsi="Arial" w:cs="Arial"/>
          <w:sz w:val="22"/>
          <w:szCs w:val="22"/>
        </w:rPr>
        <w:t>, although f</w:t>
      </w:r>
      <w:r w:rsidRPr="00C03A92">
        <w:rPr>
          <w:rFonts w:ascii="Arial" w:hAnsi="Arial" w:cs="Arial"/>
          <w:sz w:val="22"/>
          <w:szCs w:val="22"/>
        </w:rPr>
        <w:t xml:space="preserve">ewer adipocytic </w:t>
      </w:r>
      <w:r w:rsidR="00072E55" w:rsidRPr="00C03A92">
        <w:rPr>
          <w:rFonts w:ascii="Arial" w:hAnsi="Arial" w:cs="Arial"/>
          <w:sz w:val="22"/>
          <w:szCs w:val="22"/>
        </w:rPr>
        <w:t>STS</w:t>
      </w:r>
      <w:r w:rsidRPr="00C03A92">
        <w:rPr>
          <w:rFonts w:ascii="Arial" w:hAnsi="Arial" w:cs="Arial"/>
          <w:sz w:val="22"/>
          <w:szCs w:val="22"/>
        </w:rPr>
        <w:t xml:space="preserve"> subjects were studied (n</w:t>
      </w:r>
      <w:r w:rsidR="008F0E88" w:rsidRPr="00C03A92">
        <w:rPr>
          <w:rFonts w:ascii="Arial" w:hAnsi="Arial" w:cs="Arial"/>
          <w:sz w:val="22"/>
          <w:szCs w:val="22"/>
        </w:rPr>
        <w:t>=</w:t>
      </w:r>
      <w:r w:rsidRPr="00C03A92">
        <w:rPr>
          <w:rFonts w:ascii="Arial" w:hAnsi="Arial" w:cs="Arial"/>
          <w:sz w:val="22"/>
          <w:szCs w:val="22"/>
        </w:rPr>
        <w:t xml:space="preserve">19 vs </w:t>
      </w:r>
      <w:r w:rsidR="008F0E88" w:rsidRPr="00C03A92">
        <w:rPr>
          <w:rFonts w:ascii="Arial" w:hAnsi="Arial" w:cs="Arial"/>
          <w:sz w:val="22"/>
          <w:szCs w:val="22"/>
        </w:rPr>
        <w:t>n=37</w:t>
      </w:r>
      <w:r w:rsidRPr="00C03A92">
        <w:rPr>
          <w:rFonts w:ascii="Arial" w:hAnsi="Arial" w:cs="Arial"/>
          <w:sz w:val="22"/>
          <w:szCs w:val="22"/>
        </w:rPr>
        <w:t>-41</w:t>
      </w:r>
      <w:r w:rsidR="00072E55" w:rsidRPr="00C03A92">
        <w:rPr>
          <w:rFonts w:ascii="Arial" w:hAnsi="Arial" w:cs="Arial"/>
          <w:sz w:val="22"/>
          <w:szCs w:val="22"/>
        </w:rPr>
        <w:t xml:space="preserve"> in other groups</w:t>
      </w:r>
      <w:r w:rsidRPr="00C03A92">
        <w:rPr>
          <w:rFonts w:ascii="Arial" w:hAnsi="Arial" w:cs="Arial"/>
          <w:sz w:val="22"/>
          <w:szCs w:val="22"/>
        </w:rPr>
        <w:t>).</w:t>
      </w:r>
    </w:p>
    <w:p w:rsidR="00412BF5" w:rsidRDefault="00412BF5">
      <w:pPr>
        <w:rPr>
          <w:rFonts w:ascii="Arial" w:hAnsi="Arial" w:cs="Arial"/>
          <w:sz w:val="22"/>
          <w:szCs w:val="22"/>
          <w:lang w:val="en-US"/>
        </w:rPr>
      </w:pPr>
      <w:r>
        <w:rPr>
          <w:rFonts w:ascii="Arial" w:hAnsi="Arial" w:cs="Arial"/>
          <w:sz w:val="22"/>
          <w:szCs w:val="22"/>
          <w:lang w:val="en-US"/>
        </w:rPr>
        <w:br w:type="page"/>
      </w:r>
    </w:p>
    <w:p w:rsidR="006C4A20" w:rsidRPr="00C03A92" w:rsidRDefault="006C4A20" w:rsidP="006C4A20">
      <w:pPr>
        <w:autoSpaceDE w:val="0"/>
        <w:autoSpaceDN w:val="0"/>
        <w:adjustRightInd w:val="0"/>
        <w:rPr>
          <w:rFonts w:ascii="Arial" w:hAnsi="Arial" w:cs="Arial"/>
        </w:rPr>
      </w:pPr>
      <w:r w:rsidRPr="00C03A92">
        <w:rPr>
          <w:rFonts w:ascii="Arial" w:hAnsi="Arial" w:cs="Arial"/>
          <w:b/>
        </w:rPr>
        <w:t>INDICATIONS</w:t>
      </w:r>
    </w:p>
    <w:p w:rsidR="006C4A20" w:rsidRPr="00C03A92" w:rsidRDefault="006C4A20" w:rsidP="006C4A20">
      <w:pPr>
        <w:keepNext/>
        <w:rPr>
          <w:rFonts w:ascii="Arial" w:hAnsi="Arial" w:cs="Arial"/>
          <w:sz w:val="22"/>
          <w:szCs w:val="22"/>
        </w:rPr>
      </w:pPr>
    </w:p>
    <w:p w:rsidR="00965DC6" w:rsidRPr="00001F49" w:rsidRDefault="002F1277" w:rsidP="000037DD">
      <w:pPr>
        <w:autoSpaceDE w:val="0"/>
        <w:autoSpaceDN w:val="0"/>
        <w:adjustRightInd w:val="0"/>
        <w:spacing w:line="300" w:lineRule="atLeast"/>
        <w:jc w:val="both"/>
        <w:rPr>
          <w:rFonts w:ascii="Arial" w:eastAsia="MS Mincho" w:hAnsi="Arial" w:cs="Arial"/>
          <w:bCs/>
          <w:sz w:val="22"/>
          <w:szCs w:val="22"/>
          <w:lang w:eastAsia="ja-JP"/>
        </w:rPr>
      </w:pPr>
      <w:r w:rsidRPr="00C03A92">
        <w:rPr>
          <w:rFonts w:ascii="Arial" w:hAnsi="Arial" w:cs="Arial"/>
          <w:sz w:val="22"/>
          <w:szCs w:val="22"/>
          <w:lang w:val="en-US"/>
        </w:rPr>
        <w:t>VOTRIENT</w:t>
      </w:r>
      <w:r w:rsidR="00001F49" w:rsidRPr="00C03A92">
        <w:rPr>
          <w:rFonts w:ascii="Arial" w:hAnsi="Arial" w:cs="Arial"/>
          <w:sz w:val="22"/>
          <w:szCs w:val="22"/>
          <w:lang w:val="en-US"/>
        </w:rPr>
        <w:t xml:space="preserve"> is indicated</w:t>
      </w:r>
      <w:r w:rsidR="00001F49" w:rsidRPr="00001F49">
        <w:rPr>
          <w:rFonts w:ascii="Arial" w:hAnsi="Arial" w:cs="Arial"/>
          <w:sz w:val="22"/>
          <w:szCs w:val="22"/>
          <w:lang w:val="en-US"/>
        </w:rPr>
        <w:t xml:space="preserve"> for the treatment of advanced and/or metastatic renal cell carcinoma (RCC).</w:t>
      </w:r>
    </w:p>
    <w:p w:rsidR="006C4A20" w:rsidRPr="007E4D67" w:rsidRDefault="006C4A20" w:rsidP="006C4A20">
      <w:pPr>
        <w:autoSpaceDE w:val="0"/>
        <w:autoSpaceDN w:val="0"/>
        <w:adjustRightInd w:val="0"/>
        <w:rPr>
          <w:rFonts w:ascii="Arial" w:hAnsi="Arial" w:cs="Arial"/>
          <w:sz w:val="22"/>
          <w:szCs w:val="22"/>
        </w:rPr>
      </w:pPr>
    </w:p>
    <w:p w:rsidR="0070259A" w:rsidRPr="00C03A92" w:rsidRDefault="00555A21" w:rsidP="006D291E">
      <w:pPr>
        <w:spacing w:line="300" w:lineRule="atLeast"/>
        <w:jc w:val="both"/>
        <w:rPr>
          <w:rFonts w:ascii="Arial" w:hAnsi="Arial" w:cs="Arial"/>
          <w:sz w:val="22"/>
          <w:szCs w:val="22"/>
          <w:lang w:val="en-US"/>
        </w:rPr>
      </w:pPr>
      <w:r w:rsidRPr="00C03A92">
        <w:rPr>
          <w:rFonts w:ascii="Arial" w:hAnsi="Arial" w:cs="Arial"/>
          <w:sz w:val="22"/>
          <w:szCs w:val="22"/>
          <w:lang w:val="en-US"/>
        </w:rPr>
        <w:t xml:space="preserve">VOTRIENT is indicated for </w:t>
      </w:r>
      <w:r w:rsidRPr="00C03A92">
        <w:rPr>
          <w:rFonts w:ascii="Arial" w:hAnsi="Arial" w:cs="Arial"/>
          <w:sz w:val="22"/>
          <w:szCs w:val="22"/>
        </w:rPr>
        <w:t>the treatment of advanced (unresectable and/or metastatic) soft tissue sarcoma (STS) in patients who, unless otherwise contraindicated, have received prior chemotherapy including an anthracycline treatment.</w:t>
      </w:r>
    </w:p>
    <w:p w:rsidR="00555A21" w:rsidRPr="00C03A92" w:rsidRDefault="00555A21" w:rsidP="006D291E">
      <w:pPr>
        <w:spacing w:line="300" w:lineRule="atLeast"/>
        <w:jc w:val="both"/>
        <w:rPr>
          <w:rFonts w:ascii="Arial" w:hAnsi="Arial" w:cs="Arial"/>
          <w:sz w:val="22"/>
          <w:szCs w:val="22"/>
          <w:lang w:val="en-US"/>
        </w:rPr>
      </w:pPr>
    </w:p>
    <w:p w:rsidR="006C4A20" w:rsidRPr="007E4D67" w:rsidRDefault="0070259A" w:rsidP="006D291E">
      <w:pPr>
        <w:autoSpaceDE w:val="0"/>
        <w:autoSpaceDN w:val="0"/>
        <w:adjustRightInd w:val="0"/>
        <w:jc w:val="both"/>
        <w:rPr>
          <w:rFonts w:ascii="Arial" w:hAnsi="Arial" w:cs="Arial"/>
          <w:sz w:val="22"/>
          <w:szCs w:val="22"/>
        </w:rPr>
      </w:pPr>
      <w:r w:rsidRPr="00C03A92">
        <w:rPr>
          <w:rFonts w:ascii="Arial" w:hAnsi="Arial" w:cs="Arial"/>
          <w:sz w:val="22"/>
          <w:szCs w:val="22"/>
          <w:lang w:val="en-US"/>
        </w:rPr>
        <w:t>The Phase III trial population excluded</w:t>
      </w:r>
      <w:r w:rsidRPr="0070259A">
        <w:rPr>
          <w:rFonts w:ascii="Arial" w:hAnsi="Arial" w:cs="Arial"/>
          <w:sz w:val="22"/>
          <w:szCs w:val="22"/>
          <w:lang w:val="en-US"/>
        </w:rPr>
        <w:t xml:space="preserve"> patients with gastrointestinal stromal tumour (GIST) or adipocytic soft tissue sarcoma.</w:t>
      </w:r>
    </w:p>
    <w:p w:rsidR="003C317E" w:rsidRDefault="003C317E" w:rsidP="006C4A20">
      <w:pPr>
        <w:autoSpaceDE w:val="0"/>
        <w:autoSpaceDN w:val="0"/>
        <w:adjustRightInd w:val="0"/>
        <w:rPr>
          <w:rFonts w:ascii="Arial" w:hAnsi="Arial" w:cs="Arial"/>
          <w:b/>
        </w:rPr>
      </w:pPr>
    </w:p>
    <w:p w:rsidR="003C317E" w:rsidRDefault="003C317E" w:rsidP="006C4A20">
      <w:pPr>
        <w:autoSpaceDE w:val="0"/>
        <w:autoSpaceDN w:val="0"/>
        <w:adjustRightInd w:val="0"/>
        <w:rPr>
          <w:rFonts w:ascii="Arial" w:hAnsi="Arial" w:cs="Arial"/>
          <w:b/>
        </w:rPr>
      </w:pPr>
    </w:p>
    <w:p w:rsidR="006C4A20" w:rsidRPr="007E4D67" w:rsidRDefault="006C4A20" w:rsidP="006C4A20">
      <w:pPr>
        <w:autoSpaceDE w:val="0"/>
        <w:autoSpaceDN w:val="0"/>
        <w:adjustRightInd w:val="0"/>
        <w:rPr>
          <w:rFonts w:ascii="Arial" w:hAnsi="Arial" w:cs="Arial"/>
          <w:b/>
        </w:rPr>
      </w:pPr>
      <w:r w:rsidRPr="007E4D67">
        <w:rPr>
          <w:rFonts w:ascii="Arial" w:hAnsi="Arial" w:cs="Arial"/>
          <w:b/>
        </w:rPr>
        <w:t>CONTRAINDICATIONS</w:t>
      </w:r>
    </w:p>
    <w:p w:rsidR="006C4A20" w:rsidRPr="007E4D67" w:rsidRDefault="006C4A20" w:rsidP="006C4A20">
      <w:pPr>
        <w:rPr>
          <w:rStyle w:val="CSIchar"/>
          <w:rFonts w:ascii="Arial" w:hAnsi="Arial" w:cs="Arial"/>
          <w:sz w:val="22"/>
          <w:szCs w:val="22"/>
          <w:shd w:val="clear" w:color="auto" w:fill="auto"/>
        </w:rPr>
      </w:pPr>
    </w:p>
    <w:p w:rsidR="00CF5244" w:rsidRPr="00CF5244" w:rsidRDefault="002F1277" w:rsidP="00AE14F9">
      <w:pPr>
        <w:spacing w:line="300" w:lineRule="atLeast"/>
        <w:jc w:val="both"/>
        <w:rPr>
          <w:rFonts w:ascii="Arial" w:hAnsi="Arial" w:cs="Arial"/>
          <w:sz w:val="22"/>
          <w:szCs w:val="22"/>
        </w:rPr>
      </w:pPr>
      <w:r>
        <w:rPr>
          <w:rStyle w:val="CSIchar"/>
          <w:rFonts w:ascii="Arial" w:hAnsi="Arial" w:cs="Arial"/>
          <w:sz w:val="22"/>
          <w:szCs w:val="22"/>
          <w:shd w:val="clear" w:color="auto" w:fill="auto"/>
        </w:rPr>
        <w:t>VOTRIENT</w:t>
      </w:r>
      <w:r w:rsidR="00EA1F7E" w:rsidRPr="007E4D67">
        <w:rPr>
          <w:rStyle w:val="CSIchar"/>
          <w:rFonts w:ascii="Arial" w:hAnsi="Arial" w:cs="Arial"/>
          <w:sz w:val="22"/>
          <w:szCs w:val="22"/>
          <w:shd w:val="clear" w:color="auto" w:fill="auto"/>
        </w:rPr>
        <w:t xml:space="preserve"> is contraindicated in patients with hypersensitivity to the active substance </w:t>
      </w:r>
      <w:r w:rsidR="004B768E">
        <w:rPr>
          <w:rStyle w:val="CSIchar"/>
          <w:rFonts w:ascii="Arial" w:hAnsi="Arial" w:cs="Arial"/>
          <w:sz w:val="22"/>
          <w:szCs w:val="22"/>
          <w:shd w:val="clear" w:color="auto" w:fill="auto"/>
        </w:rPr>
        <w:t>pazopanib hydrochloride</w:t>
      </w:r>
      <w:r w:rsidR="00EA1F7E" w:rsidRPr="007E4D67">
        <w:rPr>
          <w:rStyle w:val="CSIchar"/>
          <w:rFonts w:ascii="Arial" w:hAnsi="Arial" w:cs="Arial"/>
          <w:sz w:val="22"/>
          <w:szCs w:val="22"/>
          <w:shd w:val="clear" w:color="auto" w:fill="auto"/>
        </w:rPr>
        <w:t xml:space="preserve"> or to any of the excipients </w:t>
      </w:r>
      <w:r w:rsidR="00EA1F7E" w:rsidRPr="007E4D67">
        <w:rPr>
          <w:rStyle w:val="CSIchar"/>
          <w:rFonts w:ascii="Arial" w:hAnsi="Arial" w:cs="Arial"/>
          <w:i/>
          <w:sz w:val="22"/>
          <w:szCs w:val="22"/>
          <w:shd w:val="clear" w:color="auto" w:fill="auto"/>
        </w:rPr>
        <w:t>(see DESCRIPTION).</w:t>
      </w:r>
    </w:p>
    <w:p w:rsidR="006C4A20" w:rsidRPr="007E4D67" w:rsidRDefault="006C4A20" w:rsidP="006C4A20">
      <w:pPr>
        <w:autoSpaceDE w:val="0"/>
        <w:autoSpaceDN w:val="0"/>
        <w:adjustRightInd w:val="0"/>
        <w:rPr>
          <w:rFonts w:ascii="Arial" w:hAnsi="Arial" w:cs="Arial"/>
          <w:sz w:val="22"/>
          <w:szCs w:val="22"/>
        </w:rPr>
      </w:pPr>
    </w:p>
    <w:p w:rsidR="00356BBC" w:rsidRDefault="00356BBC" w:rsidP="006C4A20">
      <w:pPr>
        <w:autoSpaceDE w:val="0"/>
        <w:autoSpaceDN w:val="0"/>
        <w:adjustRightInd w:val="0"/>
        <w:rPr>
          <w:rFonts w:ascii="Arial" w:hAnsi="Arial" w:cs="Arial"/>
          <w:b/>
        </w:rPr>
      </w:pPr>
    </w:p>
    <w:p w:rsidR="006C4A20" w:rsidRPr="007E4D67" w:rsidRDefault="006C4A20" w:rsidP="006C4A20">
      <w:pPr>
        <w:autoSpaceDE w:val="0"/>
        <w:autoSpaceDN w:val="0"/>
        <w:adjustRightInd w:val="0"/>
        <w:rPr>
          <w:rFonts w:ascii="Arial" w:hAnsi="Arial" w:cs="Arial"/>
          <w:b/>
        </w:rPr>
      </w:pPr>
      <w:r w:rsidRPr="007E4D67">
        <w:rPr>
          <w:rFonts w:ascii="Arial" w:hAnsi="Arial" w:cs="Arial"/>
          <w:b/>
        </w:rPr>
        <w:t>PRECAUTIONS</w:t>
      </w:r>
    </w:p>
    <w:p w:rsidR="00AE14F9" w:rsidRPr="007E4D67" w:rsidRDefault="00AE14F9" w:rsidP="006C4A20">
      <w:pPr>
        <w:autoSpaceDE w:val="0"/>
        <w:autoSpaceDN w:val="0"/>
        <w:adjustRightInd w:val="0"/>
        <w:rPr>
          <w:rFonts w:ascii="Arial" w:hAnsi="Arial" w:cs="Arial"/>
          <w:b/>
        </w:rPr>
      </w:pPr>
    </w:p>
    <w:p w:rsidR="000A74BE" w:rsidRPr="000A74BE" w:rsidRDefault="000A74BE" w:rsidP="000A74BE">
      <w:pPr>
        <w:spacing w:line="300" w:lineRule="atLeast"/>
        <w:jc w:val="both"/>
        <w:rPr>
          <w:rFonts w:ascii="Arial" w:hAnsi="Arial" w:cs="Arial"/>
          <w:sz w:val="22"/>
          <w:szCs w:val="22"/>
        </w:rPr>
      </w:pPr>
      <w:r w:rsidRPr="000A74BE">
        <w:rPr>
          <w:rFonts w:ascii="Arial" w:hAnsi="Arial" w:cs="Arial"/>
          <w:b/>
          <w:sz w:val="22"/>
          <w:szCs w:val="22"/>
        </w:rPr>
        <w:t>Hepatic Effects:</w:t>
      </w:r>
      <w:r w:rsidRPr="000A74BE">
        <w:rPr>
          <w:rFonts w:ascii="Arial" w:hAnsi="Arial" w:cs="Arial"/>
          <w:sz w:val="22"/>
          <w:szCs w:val="22"/>
        </w:rPr>
        <w:t xml:space="preserve">  </w:t>
      </w:r>
      <w:r w:rsidR="007E60B0" w:rsidRPr="007E60B0">
        <w:rPr>
          <w:rFonts w:ascii="Arial" w:hAnsi="Arial" w:cs="Arial"/>
          <w:sz w:val="22"/>
          <w:szCs w:val="22"/>
        </w:rPr>
        <w:t xml:space="preserve">Cases of hepatic failure (including fatalities) have been reported during use of </w:t>
      </w:r>
      <w:r w:rsidR="002F1277">
        <w:rPr>
          <w:rFonts w:ascii="Arial" w:hAnsi="Arial" w:cs="Arial"/>
          <w:sz w:val="22"/>
          <w:szCs w:val="22"/>
        </w:rPr>
        <w:t>VOTRIENT</w:t>
      </w:r>
      <w:r w:rsidR="007E60B0" w:rsidRPr="007E60B0">
        <w:rPr>
          <w:rFonts w:ascii="Arial" w:hAnsi="Arial" w:cs="Arial"/>
          <w:sz w:val="22"/>
          <w:szCs w:val="22"/>
        </w:rPr>
        <w:t xml:space="preserve">. </w:t>
      </w:r>
      <w:r w:rsidR="007E60B0">
        <w:rPr>
          <w:rFonts w:ascii="Arial" w:hAnsi="Arial" w:cs="Arial"/>
          <w:sz w:val="22"/>
          <w:szCs w:val="22"/>
        </w:rPr>
        <w:t xml:space="preserve"> </w:t>
      </w:r>
      <w:r w:rsidRPr="000A74BE">
        <w:rPr>
          <w:rFonts w:ascii="Arial" w:hAnsi="Arial" w:cs="Arial"/>
          <w:sz w:val="22"/>
          <w:szCs w:val="22"/>
        </w:rPr>
        <w:t xml:space="preserve"> </w:t>
      </w:r>
      <w:r>
        <w:rPr>
          <w:rFonts w:ascii="Arial" w:hAnsi="Arial" w:cs="Arial"/>
          <w:sz w:val="22"/>
          <w:szCs w:val="22"/>
        </w:rPr>
        <w:t xml:space="preserve"> </w:t>
      </w:r>
      <w:r w:rsidRPr="000A74BE">
        <w:rPr>
          <w:rFonts w:ascii="Arial" w:hAnsi="Arial" w:cs="Arial"/>
          <w:sz w:val="22"/>
          <w:szCs w:val="22"/>
        </w:rPr>
        <w:t xml:space="preserve">In clinical trials with </w:t>
      </w:r>
      <w:r w:rsidR="002F1277">
        <w:rPr>
          <w:rFonts w:ascii="Arial" w:hAnsi="Arial" w:cs="Arial"/>
          <w:sz w:val="22"/>
          <w:szCs w:val="22"/>
        </w:rPr>
        <w:t>VOTRIENT</w:t>
      </w:r>
      <w:r w:rsidRPr="000A74BE">
        <w:rPr>
          <w:rFonts w:ascii="Arial" w:hAnsi="Arial" w:cs="Arial"/>
          <w:sz w:val="22"/>
          <w:szCs w:val="22"/>
        </w:rPr>
        <w:t>, increase in serum transaminases (</w:t>
      </w:r>
      <w:smartTag w:uri="urn:schemas-microsoft-com:office:smarttags" w:element="stockticker">
        <w:r w:rsidRPr="000A74BE">
          <w:rPr>
            <w:rFonts w:ascii="Arial" w:hAnsi="Arial" w:cs="Arial"/>
            <w:sz w:val="22"/>
            <w:szCs w:val="22"/>
          </w:rPr>
          <w:t>ALT</w:t>
        </w:r>
      </w:smartTag>
      <w:r w:rsidRPr="000A74BE">
        <w:rPr>
          <w:rFonts w:ascii="Arial" w:hAnsi="Arial" w:cs="Arial"/>
          <w:sz w:val="22"/>
          <w:szCs w:val="22"/>
        </w:rPr>
        <w:t>, AST) and bilirubin were observed (</w:t>
      </w:r>
      <w:r w:rsidRPr="000A74BE">
        <w:rPr>
          <w:rFonts w:ascii="Arial" w:hAnsi="Arial" w:cs="Arial"/>
          <w:i/>
          <w:sz w:val="22"/>
          <w:szCs w:val="22"/>
        </w:rPr>
        <w:t xml:space="preserve">see Adverse </w:t>
      </w:r>
      <w:r w:rsidR="00CB0566">
        <w:rPr>
          <w:rFonts w:ascii="Arial" w:hAnsi="Arial" w:cs="Arial"/>
          <w:i/>
          <w:sz w:val="22"/>
          <w:szCs w:val="22"/>
        </w:rPr>
        <w:t>Effects</w:t>
      </w:r>
      <w:r w:rsidRPr="000A74BE">
        <w:rPr>
          <w:rFonts w:ascii="Arial" w:hAnsi="Arial" w:cs="Arial"/>
          <w:sz w:val="22"/>
          <w:szCs w:val="22"/>
        </w:rPr>
        <w:t xml:space="preserve">). </w:t>
      </w:r>
      <w:r>
        <w:rPr>
          <w:rFonts w:ascii="Arial" w:hAnsi="Arial" w:cs="Arial"/>
          <w:sz w:val="22"/>
          <w:szCs w:val="22"/>
        </w:rPr>
        <w:t xml:space="preserve"> </w:t>
      </w:r>
      <w:r w:rsidRPr="000A74BE">
        <w:rPr>
          <w:rFonts w:ascii="Arial" w:hAnsi="Arial" w:cs="Arial"/>
          <w:sz w:val="22"/>
          <w:szCs w:val="22"/>
        </w:rPr>
        <w:t xml:space="preserve">In the majority of the cases, isolated increases in </w:t>
      </w:r>
      <w:smartTag w:uri="urn:schemas-microsoft-com:office:smarttags" w:element="stockticker">
        <w:r w:rsidRPr="000A74BE">
          <w:rPr>
            <w:rFonts w:ascii="Arial" w:hAnsi="Arial" w:cs="Arial"/>
            <w:sz w:val="22"/>
            <w:szCs w:val="22"/>
          </w:rPr>
          <w:t>ALT</w:t>
        </w:r>
      </w:smartTag>
      <w:r w:rsidRPr="000A74BE">
        <w:rPr>
          <w:rFonts w:ascii="Arial" w:hAnsi="Arial" w:cs="Arial"/>
          <w:sz w:val="22"/>
          <w:szCs w:val="22"/>
        </w:rPr>
        <w:t xml:space="preserve"> and AST have been reported, without concomitant elevations of alkaline phosphatase or bilirubin.</w:t>
      </w:r>
      <w:r w:rsidR="00C66BF4">
        <w:rPr>
          <w:rFonts w:ascii="Arial" w:hAnsi="Arial" w:cs="Arial"/>
          <w:sz w:val="22"/>
          <w:szCs w:val="22"/>
        </w:rPr>
        <w:t xml:space="preserve">  The vast majority (92.5%) of all transaminase elevations</w:t>
      </w:r>
      <w:r w:rsidR="00CB2C49">
        <w:rPr>
          <w:rFonts w:ascii="Arial" w:hAnsi="Arial" w:cs="Arial"/>
          <w:sz w:val="22"/>
          <w:szCs w:val="22"/>
        </w:rPr>
        <w:t xml:space="preserve"> of any grade occurred in the first 18 weeks.  Grades are based on the National Cancer Institute Common Terminology Criteria for Adverse Events, Version 3 (NCI CTCAE).</w:t>
      </w:r>
    </w:p>
    <w:p w:rsidR="000A74BE" w:rsidRPr="000A74BE" w:rsidRDefault="000A74BE" w:rsidP="000A74BE">
      <w:pPr>
        <w:spacing w:line="300" w:lineRule="atLeast"/>
        <w:jc w:val="both"/>
        <w:rPr>
          <w:rFonts w:ascii="Arial" w:hAnsi="Arial" w:cs="Arial"/>
          <w:sz w:val="22"/>
          <w:szCs w:val="22"/>
        </w:rPr>
      </w:pPr>
    </w:p>
    <w:p w:rsidR="000A74BE" w:rsidRDefault="000A74BE" w:rsidP="000A74BE">
      <w:pPr>
        <w:spacing w:line="300" w:lineRule="atLeast"/>
        <w:jc w:val="both"/>
        <w:rPr>
          <w:rFonts w:ascii="Arial" w:hAnsi="Arial" w:cs="Arial"/>
          <w:sz w:val="22"/>
          <w:szCs w:val="22"/>
        </w:rPr>
      </w:pPr>
      <w:r w:rsidRPr="000A74BE">
        <w:rPr>
          <w:rFonts w:ascii="Arial" w:hAnsi="Arial" w:cs="Arial"/>
          <w:sz w:val="22"/>
          <w:szCs w:val="22"/>
        </w:rPr>
        <w:t xml:space="preserve">Monitor serum liver tests before initiation of treatment with </w:t>
      </w:r>
      <w:r w:rsidR="002F1277">
        <w:rPr>
          <w:rFonts w:ascii="Arial" w:hAnsi="Arial" w:cs="Arial"/>
          <w:sz w:val="22"/>
          <w:szCs w:val="22"/>
        </w:rPr>
        <w:t>VOTRIENT</w:t>
      </w:r>
      <w:r w:rsidRPr="000A74BE">
        <w:rPr>
          <w:rFonts w:ascii="Arial" w:hAnsi="Arial" w:cs="Arial"/>
          <w:sz w:val="22"/>
          <w:szCs w:val="22"/>
        </w:rPr>
        <w:t xml:space="preserve"> and at least once every 4 weeks for </w:t>
      </w:r>
      <w:r w:rsidR="00CB2C49">
        <w:rPr>
          <w:rFonts w:ascii="Arial" w:hAnsi="Arial" w:cs="Arial"/>
          <w:sz w:val="22"/>
          <w:szCs w:val="22"/>
        </w:rPr>
        <w:t xml:space="preserve">at least </w:t>
      </w:r>
      <w:r w:rsidRPr="000A74BE">
        <w:rPr>
          <w:rFonts w:ascii="Arial" w:hAnsi="Arial" w:cs="Arial"/>
          <w:sz w:val="22"/>
          <w:szCs w:val="22"/>
        </w:rPr>
        <w:t xml:space="preserve">the first 4 months of treatment, and as clinically indicated. </w:t>
      </w:r>
      <w:r>
        <w:rPr>
          <w:rFonts w:ascii="Arial" w:hAnsi="Arial" w:cs="Arial"/>
          <w:sz w:val="22"/>
          <w:szCs w:val="22"/>
        </w:rPr>
        <w:t xml:space="preserve"> </w:t>
      </w:r>
      <w:r w:rsidRPr="000A74BE">
        <w:rPr>
          <w:rFonts w:ascii="Arial" w:hAnsi="Arial" w:cs="Arial"/>
          <w:sz w:val="22"/>
          <w:szCs w:val="22"/>
        </w:rPr>
        <w:t>Periodic monitoring should then continue after this time period.</w:t>
      </w:r>
    </w:p>
    <w:p w:rsidR="00CB2C49" w:rsidRDefault="00CB2C49" w:rsidP="000A74BE">
      <w:pPr>
        <w:spacing w:line="300" w:lineRule="atLeast"/>
        <w:jc w:val="both"/>
        <w:rPr>
          <w:rFonts w:ascii="Arial" w:hAnsi="Arial" w:cs="Arial"/>
          <w:sz w:val="22"/>
          <w:szCs w:val="22"/>
        </w:rPr>
      </w:pPr>
    </w:p>
    <w:p w:rsidR="00CB2C49" w:rsidRPr="000A74BE" w:rsidRDefault="00CB2C49" w:rsidP="000A74BE">
      <w:pPr>
        <w:spacing w:line="300" w:lineRule="atLeast"/>
        <w:jc w:val="both"/>
        <w:rPr>
          <w:rFonts w:ascii="Arial" w:hAnsi="Arial" w:cs="Arial"/>
          <w:sz w:val="22"/>
          <w:szCs w:val="22"/>
        </w:rPr>
      </w:pPr>
      <w:r>
        <w:rPr>
          <w:rFonts w:ascii="Arial" w:hAnsi="Arial" w:cs="Arial"/>
          <w:sz w:val="22"/>
          <w:szCs w:val="22"/>
        </w:rPr>
        <w:t>The following guidelines are provided for patients</w:t>
      </w:r>
      <w:r w:rsidR="002A06AC">
        <w:rPr>
          <w:rFonts w:ascii="Arial" w:hAnsi="Arial" w:cs="Arial"/>
          <w:sz w:val="22"/>
          <w:szCs w:val="22"/>
        </w:rPr>
        <w:t xml:space="preserve"> with baseline values of total bilirubin ≤ 1.5 x ULN and AST and ALT ≤ 2 x ULN.</w:t>
      </w:r>
    </w:p>
    <w:p w:rsidR="000A74BE" w:rsidRPr="000A74BE" w:rsidRDefault="000A74BE" w:rsidP="000A74BE">
      <w:pPr>
        <w:spacing w:line="300" w:lineRule="atLeast"/>
        <w:jc w:val="both"/>
        <w:rPr>
          <w:rFonts w:ascii="Arial" w:hAnsi="Arial" w:cs="Arial"/>
          <w:sz w:val="22"/>
          <w:szCs w:val="22"/>
        </w:rPr>
      </w:pPr>
    </w:p>
    <w:p w:rsidR="000A74BE" w:rsidRPr="000A74BE" w:rsidRDefault="000A74BE" w:rsidP="000A74BE">
      <w:pPr>
        <w:pStyle w:val="LBLBulletStyle1"/>
        <w:spacing w:line="300" w:lineRule="atLeast"/>
        <w:jc w:val="both"/>
        <w:rPr>
          <w:rFonts w:ascii="Arial" w:hAnsi="Arial" w:cs="Arial"/>
          <w:sz w:val="22"/>
          <w:szCs w:val="22"/>
        </w:rPr>
      </w:pPr>
      <w:r w:rsidRPr="000A74BE">
        <w:rPr>
          <w:rFonts w:ascii="Arial" w:hAnsi="Arial" w:cs="Arial"/>
          <w:sz w:val="22"/>
          <w:szCs w:val="22"/>
        </w:rPr>
        <w:t xml:space="preserve">Patients with isolated </w:t>
      </w:r>
      <w:r w:rsidR="002A06AC">
        <w:rPr>
          <w:rFonts w:ascii="Arial" w:hAnsi="Arial" w:cs="Arial"/>
          <w:sz w:val="22"/>
          <w:szCs w:val="22"/>
        </w:rPr>
        <w:t>ALT</w:t>
      </w:r>
      <w:r w:rsidR="002A06AC" w:rsidRPr="000A74BE">
        <w:rPr>
          <w:rFonts w:ascii="Arial" w:hAnsi="Arial" w:cs="Arial"/>
          <w:sz w:val="22"/>
          <w:szCs w:val="22"/>
        </w:rPr>
        <w:t xml:space="preserve"> </w:t>
      </w:r>
      <w:r w:rsidRPr="000A74BE">
        <w:rPr>
          <w:rFonts w:ascii="Arial" w:hAnsi="Arial" w:cs="Arial"/>
          <w:sz w:val="22"/>
          <w:szCs w:val="22"/>
        </w:rPr>
        <w:t xml:space="preserve">elevations </w:t>
      </w:r>
      <w:r w:rsidR="002A06AC">
        <w:rPr>
          <w:rFonts w:ascii="Arial" w:hAnsi="Arial" w:cs="Arial"/>
          <w:sz w:val="22"/>
          <w:szCs w:val="22"/>
        </w:rPr>
        <w:t>between 3 x ULN and</w:t>
      </w:r>
      <w:r w:rsidR="002A06AC" w:rsidRPr="000A74BE">
        <w:rPr>
          <w:rFonts w:ascii="Arial" w:hAnsi="Arial" w:cs="Arial"/>
          <w:sz w:val="22"/>
          <w:szCs w:val="22"/>
        </w:rPr>
        <w:t xml:space="preserve"> </w:t>
      </w:r>
      <w:r w:rsidRPr="000A74BE">
        <w:rPr>
          <w:rFonts w:ascii="Arial" w:hAnsi="Arial" w:cs="Arial"/>
          <w:sz w:val="22"/>
          <w:szCs w:val="22"/>
        </w:rPr>
        <w:t xml:space="preserve">8 X ULN may be continued on </w:t>
      </w:r>
      <w:r w:rsidR="002F1277">
        <w:rPr>
          <w:rFonts w:ascii="Arial" w:hAnsi="Arial" w:cs="Arial"/>
          <w:sz w:val="22"/>
          <w:szCs w:val="22"/>
        </w:rPr>
        <w:t>VOTRIENT</w:t>
      </w:r>
      <w:r w:rsidRPr="000A74BE">
        <w:rPr>
          <w:rFonts w:ascii="Arial" w:hAnsi="Arial" w:cs="Arial"/>
          <w:sz w:val="22"/>
          <w:szCs w:val="22"/>
        </w:rPr>
        <w:t xml:space="preserve"> with weekly monitoring of liver function until </w:t>
      </w:r>
      <w:r w:rsidR="002A06AC">
        <w:rPr>
          <w:rFonts w:ascii="Arial" w:hAnsi="Arial" w:cs="Arial"/>
          <w:sz w:val="22"/>
          <w:szCs w:val="22"/>
        </w:rPr>
        <w:t>ALT</w:t>
      </w:r>
      <w:r w:rsidR="002A06AC" w:rsidRPr="000A74BE">
        <w:rPr>
          <w:rFonts w:ascii="Arial" w:hAnsi="Arial" w:cs="Arial"/>
          <w:sz w:val="22"/>
          <w:szCs w:val="22"/>
        </w:rPr>
        <w:t xml:space="preserve"> </w:t>
      </w:r>
      <w:r w:rsidRPr="000A74BE">
        <w:rPr>
          <w:rFonts w:ascii="Arial" w:hAnsi="Arial" w:cs="Arial"/>
          <w:sz w:val="22"/>
          <w:szCs w:val="22"/>
        </w:rPr>
        <w:t>return</w:t>
      </w:r>
      <w:r w:rsidR="002A06AC">
        <w:rPr>
          <w:rFonts w:ascii="Arial" w:hAnsi="Arial" w:cs="Arial"/>
          <w:sz w:val="22"/>
          <w:szCs w:val="22"/>
        </w:rPr>
        <w:t>s</w:t>
      </w:r>
      <w:r w:rsidRPr="000A74BE">
        <w:rPr>
          <w:rFonts w:ascii="Arial" w:hAnsi="Arial" w:cs="Arial"/>
          <w:sz w:val="22"/>
          <w:szCs w:val="22"/>
        </w:rPr>
        <w:t xml:space="preserve"> to Grade 1 </w:t>
      </w:r>
      <w:r w:rsidR="002A06AC">
        <w:rPr>
          <w:rFonts w:ascii="Arial" w:hAnsi="Arial" w:cs="Arial"/>
          <w:sz w:val="22"/>
          <w:szCs w:val="22"/>
        </w:rPr>
        <w:t xml:space="preserve">(NCI CTCAE) </w:t>
      </w:r>
      <w:r w:rsidRPr="000A74BE">
        <w:rPr>
          <w:rFonts w:ascii="Arial" w:hAnsi="Arial" w:cs="Arial"/>
          <w:sz w:val="22"/>
          <w:szCs w:val="22"/>
        </w:rPr>
        <w:t>or baseline.</w:t>
      </w:r>
    </w:p>
    <w:p w:rsidR="000A74BE" w:rsidRDefault="000A74BE" w:rsidP="000A74BE">
      <w:pPr>
        <w:pStyle w:val="LBLBulletStyle1"/>
        <w:numPr>
          <w:ilvl w:val="0"/>
          <w:numId w:val="0"/>
        </w:numPr>
      </w:pPr>
    </w:p>
    <w:p w:rsidR="000A74BE" w:rsidRPr="00A7172B" w:rsidRDefault="000A74BE" w:rsidP="00A7172B">
      <w:pPr>
        <w:pStyle w:val="LBLBulletStyle1"/>
        <w:spacing w:line="300" w:lineRule="atLeast"/>
        <w:jc w:val="both"/>
        <w:rPr>
          <w:rFonts w:ascii="Arial" w:hAnsi="Arial" w:cs="Arial"/>
          <w:sz w:val="22"/>
          <w:szCs w:val="22"/>
        </w:rPr>
      </w:pPr>
      <w:r w:rsidRPr="00A7172B">
        <w:rPr>
          <w:rFonts w:ascii="Arial" w:hAnsi="Arial" w:cs="Arial"/>
          <w:sz w:val="22"/>
          <w:szCs w:val="22"/>
        </w:rPr>
        <w:t xml:space="preserve">Patients with </w:t>
      </w:r>
      <w:r w:rsidR="002A06AC">
        <w:rPr>
          <w:rFonts w:ascii="Arial" w:hAnsi="Arial" w:cs="Arial"/>
          <w:sz w:val="22"/>
          <w:szCs w:val="22"/>
        </w:rPr>
        <w:t>ALT</w:t>
      </w:r>
      <w:r w:rsidR="002A06AC" w:rsidRPr="00A7172B">
        <w:rPr>
          <w:rFonts w:ascii="Arial" w:hAnsi="Arial" w:cs="Arial"/>
          <w:sz w:val="22"/>
          <w:szCs w:val="22"/>
        </w:rPr>
        <w:t xml:space="preserve"> </w:t>
      </w:r>
      <w:r w:rsidRPr="00A7172B">
        <w:rPr>
          <w:rFonts w:ascii="Arial" w:hAnsi="Arial" w:cs="Arial"/>
          <w:sz w:val="22"/>
          <w:szCs w:val="22"/>
        </w:rPr>
        <w:t xml:space="preserve">of &gt; 8 X ULN should have </w:t>
      </w:r>
      <w:r w:rsidR="002F1277">
        <w:rPr>
          <w:rFonts w:ascii="Arial" w:hAnsi="Arial" w:cs="Arial"/>
          <w:sz w:val="22"/>
          <w:szCs w:val="22"/>
        </w:rPr>
        <w:t>VOTRIENT</w:t>
      </w:r>
      <w:r w:rsidRPr="00A7172B">
        <w:rPr>
          <w:rFonts w:ascii="Arial" w:hAnsi="Arial" w:cs="Arial"/>
          <w:sz w:val="22"/>
          <w:szCs w:val="22"/>
        </w:rPr>
        <w:t xml:space="preserve"> interrupted until they return to Grade 1 </w:t>
      </w:r>
      <w:r w:rsidR="002A06AC">
        <w:rPr>
          <w:rFonts w:ascii="Arial" w:hAnsi="Arial" w:cs="Arial"/>
          <w:sz w:val="22"/>
          <w:szCs w:val="22"/>
        </w:rPr>
        <w:t xml:space="preserve">(NCI CTCAE) </w:t>
      </w:r>
      <w:r w:rsidRPr="00A7172B">
        <w:rPr>
          <w:rFonts w:ascii="Arial" w:hAnsi="Arial" w:cs="Arial"/>
          <w:sz w:val="22"/>
          <w:szCs w:val="22"/>
        </w:rPr>
        <w:t xml:space="preserve">or baseline. </w:t>
      </w:r>
      <w:r w:rsidR="00A7172B">
        <w:rPr>
          <w:rFonts w:ascii="Arial" w:hAnsi="Arial" w:cs="Arial"/>
          <w:sz w:val="22"/>
          <w:szCs w:val="22"/>
        </w:rPr>
        <w:t xml:space="preserve"> </w:t>
      </w:r>
      <w:r w:rsidRPr="00A7172B">
        <w:rPr>
          <w:rFonts w:ascii="Arial" w:hAnsi="Arial" w:cs="Arial"/>
          <w:sz w:val="22"/>
          <w:szCs w:val="22"/>
        </w:rPr>
        <w:t xml:space="preserve">If the potential benefit for reinitiating </w:t>
      </w:r>
      <w:r w:rsidR="002F1277">
        <w:rPr>
          <w:rFonts w:ascii="Arial" w:hAnsi="Arial" w:cs="Arial"/>
          <w:sz w:val="22"/>
          <w:szCs w:val="22"/>
        </w:rPr>
        <w:t>VOTRIENT</w:t>
      </w:r>
      <w:r w:rsidRPr="00A7172B">
        <w:rPr>
          <w:rFonts w:ascii="Arial" w:hAnsi="Arial" w:cs="Arial"/>
          <w:sz w:val="22"/>
          <w:szCs w:val="22"/>
        </w:rPr>
        <w:t xml:space="preserve"> treatment is considered to outweigh the risk for hepatotoxicity, then reintroduce </w:t>
      </w:r>
      <w:r w:rsidR="002F1277">
        <w:rPr>
          <w:rFonts w:ascii="Arial" w:hAnsi="Arial" w:cs="Arial"/>
          <w:sz w:val="22"/>
          <w:szCs w:val="22"/>
        </w:rPr>
        <w:t>VOTRIENT</w:t>
      </w:r>
      <w:r w:rsidRPr="00A7172B">
        <w:rPr>
          <w:rFonts w:ascii="Arial" w:hAnsi="Arial" w:cs="Arial"/>
          <w:sz w:val="22"/>
          <w:szCs w:val="22"/>
        </w:rPr>
        <w:t xml:space="preserve"> at a reduced dose </w:t>
      </w:r>
      <w:r w:rsidR="00603D98">
        <w:rPr>
          <w:rFonts w:ascii="Arial" w:hAnsi="Arial" w:cs="Arial"/>
          <w:sz w:val="22"/>
          <w:szCs w:val="22"/>
        </w:rPr>
        <w:t xml:space="preserve">(400 mg daily) </w:t>
      </w:r>
      <w:r w:rsidRPr="00A7172B">
        <w:rPr>
          <w:rFonts w:ascii="Arial" w:hAnsi="Arial" w:cs="Arial"/>
          <w:sz w:val="22"/>
          <w:szCs w:val="22"/>
        </w:rPr>
        <w:t xml:space="preserve">and measure serum liver tests weekly for 8 weeks </w:t>
      </w:r>
      <w:r w:rsidRPr="00A7172B">
        <w:rPr>
          <w:rFonts w:ascii="Arial" w:hAnsi="Arial" w:cs="Arial"/>
          <w:i/>
          <w:sz w:val="22"/>
          <w:szCs w:val="22"/>
        </w:rPr>
        <w:t>(see Dosage and Administration)]</w:t>
      </w:r>
      <w:r w:rsidRPr="00A7172B">
        <w:rPr>
          <w:rFonts w:ascii="Arial" w:hAnsi="Arial" w:cs="Arial"/>
          <w:sz w:val="22"/>
          <w:szCs w:val="22"/>
        </w:rPr>
        <w:t xml:space="preserve">. </w:t>
      </w:r>
      <w:r w:rsidR="00A7172B">
        <w:rPr>
          <w:rFonts w:ascii="Arial" w:hAnsi="Arial" w:cs="Arial"/>
          <w:sz w:val="22"/>
          <w:szCs w:val="22"/>
        </w:rPr>
        <w:t xml:space="preserve"> </w:t>
      </w:r>
      <w:r w:rsidR="002A06AC">
        <w:rPr>
          <w:rFonts w:ascii="Arial" w:hAnsi="Arial" w:cs="Arial"/>
          <w:sz w:val="22"/>
          <w:szCs w:val="22"/>
        </w:rPr>
        <w:t>Following reintroduction of VOTRIENT, i</w:t>
      </w:r>
      <w:r w:rsidR="002A06AC" w:rsidRPr="00A7172B">
        <w:rPr>
          <w:rFonts w:ascii="Arial" w:hAnsi="Arial" w:cs="Arial"/>
          <w:sz w:val="22"/>
          <w:szCs w:val="22"/>
        </w:rPr>
        <w:t xml:space="preserve">f </w:t>
      </w:r>
      <w:r w:rsidRPr="00A7172B">
        <w:rPr>
          <w:rFonts w:ascii="Arial" w:hAnsi="Arial" w:cs="Arial"/>
          <w:sz w:val="22"/>
          <w:szCs w:val="22"/>
        </w:rPr>
        <w:t xml:space="preserve">transaminase elevations &gt; 3 X ULN recur, then </w:t>
      </w:r>
      <w:r w:rsidR="002F1277">
        <w:rPr>
          <w:rFonts w:ascii="Arial" w:hAnsi="Arial" w:cs="Arial"/>
          <w:sz w:val="22"/>
          <w:szCs w:val="22"/>
        </w:rPr>
        <w:t>VOTRIENT</w:t>
      </w:r>
      <w:r w:rsidRPr="00A7172B">
        <w:rPr>
          <w:rFonts w:ascii="Arial" w:hAnsi="Arial" w:cs="Arial"/>
          <w:sz w:val="22"/>
          <w:szCs w:val="22"/>
        </w:rPr>
        <w:t xml:space="preserve"> should be </w:t>
      </w:r>
      <w:r w:rsidR="002A06AC">
        <w:rPr>
          <w:rFonts w:ascii="Arial" w:hAnsi="Arial" w:cs="Arial"/>
          <w:sz w:val="22"/>
          <w:szCs w:val="22"/>
        </w:rPr>
        <w:t xml:space="preserve">permanently </w:t>
      </w:r>
      <w:r w:rsidRPr="00A7172B">
        <w:rPr>
          <w:rFonts w:ascii="Arial" w:hAnsi="Arial" w:cs="Arial"/>
          <w:sz w:val="22"/>
          <w:szCs w:val="22"/>
        </w:rPr>
        <w:t>discontinued.</w:t>
      </w:r>
    </w:p>
    <w:p w:rsidR="000A74BE" w:rsidRPr="00A7172B" w:rsidRDefault="000A74BE" w:rsidP="00A7172B">
      <w:pPr>
        <w:pStyle w:val="LBLBulletStyle1"/>
        <w:numPr>
          <w:ilvl w:val="0"/>
          <w:numId w:val="0"/>
        </w:numPr>
        <w:spacing w:line="300" w:lineRule="atLeast"/>
        <w:jc w:val="both"/>
        <w:rPr>
          <w:rFonts w:ascii="Arial" w:hAnsi="Arial" w:cs="Arial"/>
          <w:sz w:val="22"/>
          <w:szCs w:val="22"/>
        </w:rPr>
      </w:pPr>
    </w:p>
    <w:p w:rsidR="000A74BE" w:rsidRDefault="000A74BE" w:rsidP="00A7172B">
      <w:pPr>
        <w:pStyle w:val="LBLBulletStyle1"/>
        <w:spacing w:line="300" w:lineRule="atLeast"/>
        <w:jc w:val="both"/>
        <w:rPr>
          <w:rFonts w:ascii="Arial" w:hAnsi="Arial" w:cs="Arial"/>
          <w:sz w:val="22"/>
          <w:szCs w:val="22"/>
        </w:rPr>
      </w:pPr>
      <w:r w:rsidRPr="00A7172B">
        <w:rPr>
          <w:rFonts w:ascii="Arial" w:hAnsi="Arial" w:cs="Arial"/>
          <w:sz w:val="22"/>
          <w:szCs w:val="22"/>
        </w:rPr>
        <w:t xml:space="preserve">If </w:t>
      </w:r>
      <w:r w:rsidR="002A06AC">
        <w:rPr>
          <w:rFonts w:ascii="Arial" w:hAnsi="Arial" w:cs="Arial"/>
          <w:sz w:val="22"/>
          <w:szCs w:val="22"/>
        </w:rPr>
        <w:t>ALT</w:t>
      </w:r>
      <w:r w:rsidR="002A06AC" w:rsidRPr="00A7172B">
        <w:rPr>
          <w:rFonts w:ascii="Arial" w:hAnsi="Arial" w:cs="Arial"/>
          <w:sz w:val="22"/>
          <w:szCs w:val="22"/>
        </w:rPr>
        <w:t xml:space="preserve"> </w:t>
      </w:r>
      <w:r w:rsidRPr="00A7172B">
        <w:rPr>
          <w:rFonts w:ascii="Arial" w:hAnsi="Arial" w:cs="Arial"/>
          <w:sz w:val="22"/>
          <w:szCs w:val="22"/>
        </w:rPr>
        <w:t xml:space="preserve">elevations &gt; 3 X ULN occur concurrently with </w:t>
      </w:r>
      <w:r w:rsidR="00560F6D">
        <w:rPr>
          <w:rFonts w:ascii="Arial" w:hAnsi="Arial" w:cs="Arial"/>
          <w:sz w:val="22"/>
          <w:szCs w:val="22"/>
        </w:rPr>
        <w:t>bilirubin elevations &gt; 2 X ULN</w:t>
      </w:r>
      <w:r w:rsidRPr="00A7172B">
        <w:rPr>
          <w:rFonts w:ascii="Arial" w:hAnsi="Arial" w:cs="Arial"/>
          <w:sz w:val="22"/>
          <w:szCs w:val="22"/>
        </w:rPr>
        <w:t xml:space="preserve">, </w:t>
      </w:r>
      <w:r w:rsidR="002F1277">
        <w:rPr>
          <w:rFonts w:ascii="Arial" w:hAnsi="Arial" w:cs="Arial"/>
          <w:sz w:val="22"/>
          <w:szCs w:val="22"/>
        </w:rPr>
        <w:t>VOTRIENT</w:t>
      </w:r>
      <w:r w:rsidRPr="00A7172B">
        <w:rPr>
          <w:rFonts w:ascii="Arial" w:hAnsi="Arial" w:cs="Arial"/>
          <w:sz w:val="22"/>
          <w:szCs w:val="22"/>
        </w:rPr>
        <w:t xml:space="preserve"> should be </w:t>
      </w:r>
      <w:r w:rsidR="002A06AC">
        <w:rPr>
          <w:rFonts w:ascii="Arial" w:hAnsi="Arial" w:cs="Arial"/>
          <w:sz w:val="22"/>
          <w:szCs w:val="22"/>
        </w:rPr>
        <w:t xml:space="preserve">permanently </w:t>
      </w:r>
      <w:r w:rsidRPr="00A7172B">
        <w:rPr>
          <w:rFonts w:ascii="Arial" w:hAnsi="Arial" w:cs="Arial"/>
          <w:sz w:val="22"/>
          <w:szCs w:val="22"/>
        </w:rPr>
        <w:t>discontinued.</w:t>
      </w:r>
      <w:r w:rsidR="002A06AC">
        <w:rPr>
          <w:rFonts w:ascii="Arial" w:hAnsi="Arial" w:cs="Arial"/>
          <w:sz w:val="22"/>
          <w:szCs w:val="22"/>
        </w:rPr>
        <w:t xml:space="preserve">  Patients should be monitored until return to Grade 1 (NCI CTCAE) or baseline.  VOTRIENT is a UGT1A1 inhibitor.  Mild, indirect (unconjugated) hyperbilirubinaemia may occur in patients with Gilbert’s syndrome.  Patients with only a mild indirect hyperbilirubinaemia, known or suspected Gilbert’s syndrome, and elevation in ALT &gt; 3 x ULN should be managed as per the recommendations outlined for isolated ALT elevations.</w:t>
      </w:r>
    </w:p>
    <w:p w:rsidR="002A06AC" w:rsidRPr="00A7172B" w:rsidRDefault="002A06AC" w:rsidP="002A06AC">
      <w:pPr>
        <w:pStyle w:val="LBLBulletStyle1"/>
        <w:numPr>
          <w:ilvl w:val="0"/>
          <w:numId w:val="0"/>
        </w:numPr>
        <w:spacing w:line="300" w:lineRule="atLeast"/>
        <w:jc w:val="both"/>
        <w:rPr>
          <w:rFonts w:ascii="Arial" w:hAnsi="Arial" w:cs="Arial"/>
          <w:sz w:val="22"/>
          <w:szCs w:val="22"/>
        </w:rPr>
      </w:pPr>
    </w:p>
    <w:p w:rsidR="000C75B7" w:rsidRDefault="000C75B7" w:rsidP="006D291E">
      <w:pPr>
        <w:pStyle w:val="LBLBulletStyle1"/>
        <w:numPr>
          <w:ilvl w:val="0"/>
          <w:numId w:val="0"/>
        </w:numPr>
        <w:spacing w:line="300" w:lineRule="atLeast"/>
        <w:jc w:val="both"/>
        <w:rPr>
          <w:rFonts w:ascii="Arial" w:hAnsi="Arial" w:cs="Arial"/>
          <w:sz w:val="22"/>
          <w:szCs w:val="22"/>
          <w:shd w:val="clear" w:color="auto" w:fill="CCCCCC"/>
        </w:rPr>
      </w:pPr>
      <w:r>
        <w:rPr>
          <w:rFonts w:ascii="Arial" w:hAnsi="Arial" w:cs="Arial"/>
          <w:sz w:val="22"/>
          <w:szCs w:val="22"/>
        </w:rPr>
        <w:t xml:space="preserve">Concomitant use of pazopanib and simvastatin increases the risk of ALT elevations (see </w:t>
      </w:r>
      <w:r w:rsidRPr="00D85955">
        <w:rPr>
          <w:rFonts w:ascii="Arial" w:hAnsi="Arial" w:cs="Arial"/>
          <w:i/>
          <w:sz w:val="22"/>
          <w:szCs w:val="22"/>
        </w:rPr>
        <w:t>Interactions with other medicines</w:t>
      </w:r>
      <w:r>
        <w:rPr>
          <w:rFonts w:ascii="Arial" w:hAnsi="Arial" w:cs="Arial"/>
          <w:sz w:val="22"/>
          <w:szCs w:val="22"/>
        </w:rPr>
        <w:t>) and should be undertaken with caution and close monitoring.</w:t>
      </w:r>
    </w:p>
    <w:p w:rsidR="000C75B7" w:rsidRDefault="000C75B7" w:rsidP="00A7172B">
      <w:pPr>
        <w:spacing w:line="300" w:lineRule="atLeast"/>
        <w:jc w:val="both"/>
        <w:rPr>
          <w:rFonts w:ascii="Arial" w:hAnsi="Arial" w:cs="Arial"/>
          <w:sz w:val="22"/>
          <w:szCs w:val="22"/>
        </w:rPr>
      </w:pPr>
    </w:p>
    <w:p w:rsidR="003C317E" w:rsidRPr="00A7172B" w:rsidRDefault="003C317E" w:rsidP="003C317E">
      <w:pPr>
        <w:pStyle w:val="LBLBulletStyle1"/>
        <w:numPr>
          <w:ilvl w:val="0"/>
          <w:numId w:val="0"/>
        </w:numPr>
        <w:spacing w:line="300" w:lineRule="atLeast"/>
        <w:jc w:val="both"/>
        <w:rPr>
          <w:rFonts w:ascii="Arial" w:hAnsi="Arial" w:cs="Arial"/>
          <w:sz w:val="22"/>
          <w:szCs w:val="22"/>
        </w:rPr>
      </w:pPr>
      <w:r>
        <w:rPr>
          <w:rFonts w:ascii="Arial" w:hAnsi="Arial" w:cs="Arial"/>
          <w:sz w:val="22"/>
          <w:szCs w:val="22"/>
        </w:rPr>
        <w:t>Beyond recommending that patients with mild hepatic impairment are treated with 800 mg pazopanib once daily and reducing the initial starting dose to 200mg per day for patients with moderate impairment, no further dose modification guidelines based on results of serum liver tests during therapy have been established for patients with pre-existing hepatic impairment.</w:t>
      </w:r>
    </w:p>
    <w:p w:rsidR="002A06AC" w:rsidRPr="00A7172B" w:rsidRDefault="002A06AC" w:rsidP="00A7172B">
      <w:pPr>
        <w:spacing w:line="300" w:lineRule="atLeast"/>
        <w:jc w:val="both"/>
        <w:rPr>
          <w:rFonts w:ascii="Arial" w:hAnsi="Arial" w:cs="Arial"/>
          <w:sz w:val="22"/>
          <w:szCs w:val="22"/>
        </w:rPr>
      </w:pPr>
    </w:p>
    <w:p w:rsidR="000A74BE" w:rsidRPr="003E3C35" w:rsidRDefault="000A74BE" w:rsidP="00E83655">
      <w:pPr>
        <w:spacing w:line="300" w:lineRule="atLeast"/>
        <w:jc w:val="both"/>
        <w:rPr>
          <w:rFonts w:ascii="Arial" w:hAnsi="Arial" w:cs="Arial"/>
          <w:sz w:val="22"/>
          <w:szCs w:val="22"/>
        </w:rPr>
      </w:pPr>
      <w:r w:rsidRPr="00A7172B">
        <w:rPr>
          <w:rStyle w:val="LBLLevel2Char"/>
          <w:rFonts w:cs="Arial"/>
          <w:sz w:val="22"/>
          <w:szCs w:val="22"/>
        </w:rPr>
        <w:t xml:space="preserve">Hypertension: </w:t>
      </w:r>
      <w:r w:rsidR="00C04C5F">
        <w:rPr>
          <w:rStyle w:val="LBLLevel2Char"/>
          <w:rFonts w:cs="Arial"/>
          <w:b w:val="0"/>
          <w:sz w:val="22"/>
          <w:szCs w:val="22"/>
        </w:rPr>
        <w:t xml:space="preserve">In clinical studies with pazopanib, events of hypertension including hypertensive crisis have occurred. </w:t>
      </w:r>
      <w:r w:rsidRPr="00A7172B">
        <w:rPr>
          <w:rStyle w:val="LBLLevel2Char"/>
          <w:rFonts w:cs="Arial"/>
          <w:b w:val="0"/>
          <w:sz w:val="22"/>
          <w:szCs w:val="22"/>
        </w:rPr>
        <w:t xml:space="preserve">Blood pressure should be well controlled prior to initiating </w:t>
      </w:r>
      <w:r w:rsidR="002F1277">
        <w:rPr>
          <w:rStyle w:val="LBLLevel2Char"/>
          <w:rFonts w:cs="Arial"/>
          <w:b w:val="0"/>
          <w:sz w:val="22"/>
          <w:szCs w:val="22"/>
        </w:rPr>
        <w:t>VOTRIENT</w:t>
      </w:r>
      <w:r w:rsidRPr="00A7172B">
        <w:rPr>
          <w:rStyle w:val="LBLLevel2Char"/>
          <w:rFonts w:cs="Arial"/>
          <w:b w:val="0"/>
          <w:sz w:val="22"/>
          <w:szCs w:val="22"/>
        </w:rPr>
        <w:t>.</w:t>
      </w:r>
      <w:r w:rsidR="00A7172B">
        <w:rPr>
          <w:rStyle w:val="LBLLevel2Char"/>
          <w:rFonts w:cs="Arial"/>
          <w:b w:val="0"/>
          <w:sz w:val="22"/>
          <w:szCs w:val="22"/>
        </w:rPr>
        <w:t xml:space="preserve"> </w:t>
      </w:r>
      <w:r w:rsidRPr="00A7172B">
        <w:rPr>
          <w:rStyle w:val="LBLLevel2Char"/>
          <w:rFonts w:cs="Arial"/>
          <w:sz w:val="22"/>
          <w:szCs w:val="22"/>
        </w:rPr>
        <w:t xml:space="preserve"> </w:t>
      </w:r>
      <w:r w:rsidRPr="00A7172B">
        <w:rPr>
          <w:rFonts w:ascii="Arial" w:hAnsi="Arial" w:cs="Arial"/>
          <w:sz w:val="22"/>
          <w:szCs w:val="22"/>
        </w:rPr>
        <w:t xml:space="preserve">Patients should be monitored for </w:t>
      </w:r>
      <w:r w:rsidRPr="003C317E">
        <w:rPr>
          <w:rFonts w:ascii="Arial" w:hAnsi="Arial" w:cs="Arial"/>
          <w:sz w:val="22"/>
          <w:szCs w:val="22"/>
        </w:rPr>
        <w:t>hypertension</w:t>
      </w:r>
      <w:r w:rsidR="009F51DA" w:rsidRPr="003C317E">
        <w:rPr>
          <w:rFonts w:ascii="Arial" w:hAnsi="Arial" w:cs="Arial"/>
          <w:sz w:val="22"/>
          <w:szCs w:val="22"/>
        </w:rPr>
        <w:t xml:space="preserve"> </w:t>
      </w:r>
      <w:r w:rsidR="00090947" w:rsidRPr="003C317E">
        <w:rPr>
          <w:rFonts w:ascii="Arial" w:hAnsi="Arial" w:cs="Arial"/>
          <w:sz w:val="22"/>
          <w:szCs w:val="22"/>
        </w:rPr>
        <w:t>early after starting treatment (no longer than one a week after starting VOTRIENT) and frequently thereafter to ensure blood pressure control and treated promptly with a combination of standard anti-hypertensive therapy and VOTRIENT dose reduction or interruption as clinically warranted (</w:t>
      </w:r>
      <w:r w:rsidR="00090947" w:rsidRPr="003C317E">
        <w:rPr>
          <w:rFonts w:ascii="Arial" w:hAnsi="Arial" w:cs="Arial"/>
          <w:i/>
          <w:sz w:val="22"/>
          <w:szCs w:val="22"/>
        </w:rPr>
        <w:t>see Dosage and Administration,</w:t>
      </w:r>
      <w:r w:rsidR="009F51DA" w:rsidRPr="003C317E">
        <w:rPr>
          <w:rFonts w:ascii="Arial" w:hAnsi="Arial" w:cs="Arial"/>
          <w:i/>
          <w:sz w:val="22"/>
          <w:szCs w:val="22"/>
        </w:rPr>
        <w:t xml:space="preserve"> </w:t>
      </w:r>
      <w:r w:rsidRPr="003C317E">
        <w:rPr>
          <w:rFonts w:ascii="Arial" w:hAnsi="Arial" w:cs="Arial"/>
          <w:i/>
          <w:sz w:val="22"/>
          <w:szCs w:val="22"/>
        </w:rPr>
        <w:t xml:space="preserve">Adverse </w:t>
      </w:r>
      <w:r w:rsidR="002A3B95">
        <w:rPr>
          <w:rFonts w:ascii="Arial" w:hAnsi="Arial" w:cs="Arial"/>
          <w:i/>
          <w:sz w:val="22"/>
          <w:szCs w:val="22"/>
        </w:rPr>
        <w:t>Effects</w:t>
      </w:r>
      <w:r w:rsidRPr="003C317E">
        <w:rPr>
          <w:rFonts w:ascii="Arial" w:hAnsi="Arial" w:cs="Arial"/>
          <w:sz w:val="22"/>
          <w:szCs w:val="22"/>
        </w:rPr>
        <w:t xml:space="preserve">). </w:t>
      </w:r>
      <w:r w:rsidR="00A7172B" w:rsidRPr="003C317E">
        <w:rPr>
          <w:rFonts w:ascii="Arial" w:hAnsi="Arial" w:cs="Arial"/>
          <w:sz w:val="22"/>
          <w:szCs w:val="22"/>
        </w:rPr>
        <w:t xml:space="preserve"> </w:t>
      </w:r>
      <w:r w:rsidRPr="003C317E">
        <w:rPr>
          <w:rFonts w:ascii="Arial" w:hAnsi="Arial" w:cs="Arial"/>
          <w:sz w:val="22"/>
          <w:szCs w:val="22"/>
        </w:rPr>
        <w:t>Hypertension</w:t>
      </w:r>
      <w:r w:rsidR="00C04C5F" w:rsidRPr="003C317E">
        <w:rPr>
          <w:rFonts w:ascii="Arial" w:hAnsi="Arial" w:cs="Arial"/>
          <w:sz w:val="22"/>
          <w:szCs w:val="22"/>
        </w:rPr>
        <w:t xml:space="preserve"> (systolic blood pressure ≥ 150 or diastolic blood pressure ≥ 100 mm Hg)</w:t>
      </w:r>
      <w:r w:rsidRPr="003C317E">
        <w:rPr>
          <w:rFonts w:ascii="Arial" w:hAnsi="Arial" w:cs="Arial"/>
          <w:sz w:val="22"/>
          <w:szCs w:val="22"/>
        </w:rPr>
        <w:t xml:space="preserve"> occurs early in the course of </w:t>
      </w:r>
      <w:r w:rsidR="00090947" w:rsidRPr="003C317E">
        <w:rPr>
          <w:rFonts w:ascii="Arial" w:hAnsi="Arial" w:cs="Arial"/>
          <w:sz w:val="22"/>
          <w:szCs w:val="22"/>
        </w:rPr>
        <w:t>VOTRIENT treatment (39 % of cases occurred by Day 9 and 88 %</w:t>
      </w:r>
      <w:r w:rsidRPr="003C317E">
        <w:rPr>
          <w:rFonts w:ascii="Arial" w:hAnsi="Arial" w:cs="Arial"/>
          <w:sz w:val="22"/>
          <w:szCs w:val="22"/>
        </w:rPr>
        <w:t xml:space="preserve"> </w:t>
      </w:r>
      <w:r w:rsidR="00C04C5F" w:rsidRPr="003C317E">
        <w:rPr>
          <w:rFonts w:ascii="Arial" w:hAnsi="Arial" w:cs="Arial"/>
          <w:sz w:val="22"/>
          <w:szCs w:val="22"/>
        </w:rPr>
        <w:t xml:space="preserve">occurred </w:t>
      </w:r>
      <w:r w:rsidRPr="003C317E">
        <w:rPr>
          <w:rFonts w:ascii="Arial" w:hAnsi="Arial" w:cs="Arial"/>
          <w:sz w:val="22"/>
          <w:szCs w:val="22"/>
        </w:rPr>
        <w:t>in</w:t>
      </w:r>
      <w:r w:rsidR="00C04C5F" w:rsidRPr="003C317E">
        <w:rPr>
          <w:rFonts w:ascii="Arial" w:hAnsi="Arial" w:cs="Arial"/>
          <w:sz w:val="22"/>
          <w:szCs w:val="22"/>
        </w:rPr>
        <w:t xml:space="preserve"> the</w:t>
      </w:r>
      <w:r w:rsidRPr="003C317E">
        <w:rPr>
          <w:rFonts w:ascii="Arial" w:hAnsi="Arial" w:cs="Arial"/>
          <w:sz w:val="22"/>
          <w:szCs w:val="22"/>
        </w:rPr>
        <w:t xml:space="preserve"> first 18 weeks</w:t>
      </w:r>
      <w:r w:rsidR="00090947" w:rsidRPr="003C317E">
        <w:rPr>
          <w:rFonts w:ascii="Arial" w:hAnsi="Arial" w:cs="Arial"/>
          <w:sz w:val="22"/>
          <w:szCs w:val="22"/>
        </w:rPr>
        <w:t xml:space="preserve">).  </w:t>
      </w:r>
      <w:r w:rsidR="002F1277">
        <w:rPr>
          <w:rFonts w:ascii="Arial" w:hAnsi="Arial" w:cs="Arial"/>
          <w:sz w:val="22"/>
          <w:szCs w:val="22"/>
        </w:rPr>
        <w:t>VOTRIENT</w:t>
      </w:r>
      <w:r w:rsidRPr="00A7172B">
        <w:rPr>
          <w:rFonts w:ascii="Arial" w:hAnsi="Arial" w:cs="Arial"/>
          <w:sz w:val="22"/>
          <w:szCs w:val="22"/>
        </w:rPr>
        <w:t xml:space="preserve"> should be discontinued if</w:t>
      </w:r>
      <w:r w:rsidR="00C04C5F">
        <w:rPr>
          <w:rFonts w:ascii="Arial" w:hAnsi="Arial" w:cs="Arial"/>
          <w:sz w:val="22"/>
          <w:szCs w:val="22"/>
        </w:rPr>
        <w:t xml:space="preserve"> there is evidence of </w:t>
      </w:r>
      <w:r w:rsidR="00C04C5F" w:rsidRPr="00E83655">
        <w:rPr>
          <w:rFonts w:ascii="Arial" w:hAnsi="Arial" w:cs="Arial"/>
          <w:sz w:val="22"/>
          <w:szCs w:val="22"/>
        </w:rPr>
        <w:t>hypertensive crisis or if</w:t>
      </w:r>
      <w:r w:rsidRPr="00E83655">
        <w:rPr>
          <w:rFonts w:ascii="Arial" w:hAnsi="Arial" w:cs="Arial"/>
          <w:sz w:val="22"/>
          <w:szCs w:val="22"/>
        </w:rPr>
        <w:t xml:space="preserve"> hypertension is severe and persists despite anti-hypertensive therapy </w:t>
      </w:r>
      <w:r w:rsidRPr="003E3C35">
        <w:rPr>
          <w:rFonts w:ascii="Arial" w:hAnsi="Arial" w:cs="Arial"/>
          <w:sz w:val="22"/>
          <w:szCs w:val="22"/>
        </w:rPr>
        <w:t xml:space="preserve">and </w:t>
      </w:r>
      <w:r w:rsidR="002F1277" w:rsidRPr="003E3C35">
        <w:rPr>
          <w:rFonts w:ascii="Arial" w:hAnsi="Arial" w:cs="Arial"/>
          <w:sz w:val="22"/>
          <w:szCs w:val="22"/>
        </w:rPr>
        <w:t>VOTRIENT</w:t>
      </w:r>
      <w:r w:rsidRPr="003E3C35">
        <w:rPr>
          <w:rFonts w:ascii="Arial" w:hAnsi="Arial" w:cs="Arial"/>
          <w:sz w:val="22"/>
          <w:szCs w:val="22"/>
        </w:rPr>
        <w:t xml:space="preserve"> dose reduction.</w:t>
      </w:r>
    </w:p>
    <w:p w:rsidR="00E83655" w:rsidRPr="003E3C35" w:rsidRDefault="00E83655" w:rsidP="00E83655">
      <w:pPr>
        <w:spacing w:line="300" w:lineRule="atLeast"/>
        <w:jc w:val="both"/>
        <w:rPr>
          <w:rFonts w:ascii="Arial" w:hAnsi="Arial" w:cs="Arial"/>
          <w:sz w:val="22"/>
          <w:szCs w:val="22"/>
        </w:rPr>
      </w:pPr>
    </w:p>
    <w:p w:rsidR="00E12623" w:rsidRPr="003E3C35" w:rsidRDefault="00E83655" w:rsidP="00E83655">
      <w:pPr>
        <w:spacing w:line="300" w:lineRule="atLeast"/>
        <w:jc w:val="both"/>
        <w:rPr>
          <w:rFonts w:ascii="Arial" w:hAnsi="Arial" w:cs="Arial"/>
          <w:sz w:val="22"/>
          <w:szCs w:val="22"/>
        </w:rPr>
      </w:pPr>
      <w:r w:rsidRPr="003E3C35">
        <w:rPr>
          <w:rFonts w:ascii="Arial" w:hAnsi="Arial" w:cs="Arial"/>
          <w:b/>
          <w:sz w:val="22"/>
          <w:szCs w:val="22"/>
        </w:rPr>
        <w:t>Posterior reversible encephalopathy syndrome (PRES) /Reversible posterior leukoencephalopathy syndrome (RPLS):</w:t>
      </w:r>
      <w:r w:rsidRPr="003E3C35">
        <w:rPr>
          <w:rFonts w:ascii="Arial" w:hAnsi="Arial" w:cs="Arial"/>
          <w:sz w:val="22"/>
          <w:szCs w:val="22"/>
        </w:rPr>
        <w:t xml:space="preserve"> PRES/RPLS has been reported in association with </w:t>
      </w:r>
      <w:r w:rsidR="00BC516A" w:rsidRPr="003E3C35">
        <w:rPr>
          <w:rFonts w:ascii="Arial" w:hAnsi="Arial" w:cs="Arial"/>
          <w:sz w:val="22"/>
          <w:szCs w:val="22"/>
        </w:rPr>
        <w:t>VOTRIENT</w:t>
      </w:r>
      <w:r w:rsidRPr="003E3C35">
        <w:rPr>
          <w:rFonts w:ascii="Arial" w:hAnsi="Arial" w:cs="Arial"/>
          <w:sz w:val="22"/>
          <w:szCs w:val="22"/>
        </w:rPr>
        <w:t xml:space="preserve">. PRES/RPLS </w:t>
      </w:r>
      <w:r w:rsidR="00366508">
        <w:rPr>
          <w:rFonts w:ascii="Arial" w:hAnsi="Arial" w:cs="Arial"/>
          <w:sz w:val="22"/>
          <w:szCs w:val="22"/>
        </w:rPr>
        <w:t xml:space="preserve">is a neurological disorder which </w:t>
      </w:r>
      <w:r w:rsidRPr="003E3C35">
        <w:rPr>
          <w:rFonts w:ascii="Arial" w:hAnsi="Arial" w:cs="Arial"/>
          <w:sz w:val="22"/>
          <w:szCs w:val="22"/>
        </w:rPr>
        <w:t>can present with headache, hypertension</w:t>
      </w:r>
      <w:r w:rsidR="00FD341C">
        <w:rPr>
          <w:rFonts w:ascii="Arial" w:hAnsi="Arial" w:cs="Arial"/>
          <w:sz w:val="22"/>
          <w:szCs w:val="22"/>
        </w:rPr>
        <w:t xml:space="preserve"> (mild to severe)</w:t>
      </w:r>
      <w:r w:rsidRPr="003E3C35">
        <w:rPr>
          <w:rFonts w:ascii="Arial" w:hAnsi="Arial" w:cs="Arial"/>
          <w:sz w:val="22"/>
          <w:szCs w:val="22"/>
        </w:rPr>
        <w:t>, seizure, lethargy, confusion, blindness and other visual and neurological disturbances, and can be fatal.</w:t>
      </w:r>
      <w:r w:rsidR="00FD341C">
        <w:rPr>
          <w:rFonts w:ascii="Arial" w:hAnsi="Arial" w:cs="Arial"/>
          <w:sz w:val="22"/>
          <w:szCs w:val="22"/>
        </w:rPr>
        <w:t xml:space="preserve"> </w:t>
      </w:r>
      <w:r w:rsidR="0098496F" w:rsidRPr="0098496F">
        <w:rPr>
          <w:rFonts w:ascii="Arial" w:hAnsi="Arial" w:cs="Arial"/>
          <w:sz w:val="22"/>
          <w:szCs w:val="22"/>
        </w:rPr>
        <w:t>The diagnosis of RPLS is optimally confirmed by magnetic resonance imaging.</w:t>
      </w:r>
      <w:r w:rsidR="0098496F">
        <w:rPr>
          <w:rFonts w:ascii="Arial" w:hAnsi="Arial" w:cs="Arial"/>
          <w:sz w:val="20"/>
          <w:szCs w:val="20"/>
        </w:rPr>
        <w:t xml:space="preserve"> </w:t>
      </w:r>
      <w:r w:rsidRPr="003E3C35">
        <w:rPr>
          <w:rFonts w:ascii="Arial" w:hAnsi="Arial" w:cs="Arial"/>
          <w:sz w:val="22"/>
          <w:szCs w:val="22"/>
        </w:rPr>
        <w:t xml:space="preserve">Permanently discontinue </w:t>
      </w:r>
      <w:r w:rsidR="00BC516A" w:rsidRPr="003E3C35">
        <w:rPr>
          <w:rFonts w:ascii="Arial" w:hAnsi="Arial" w:cs="Arial"/>
          <w:sz w:val="22"/>
          <w:szCs w:val="22"/>
        </w:rPr>
        <w:t>VOTRIENT</w:t>
      </w:r>
      <w:r w:rsidRPr="003E3C35">
        <w:rPr>
          <w:rFonts w:ascii="Arial" w:hAnsi="Arial" w:cs="Arial"/>
          <w:sz w:val="22"/>
          <w:szCs w:val="22"/>
        </w:rPr>
        <w:t xml:space="preserve"> in patients developing PRES/RPLS.</w:t>
      </w:r>
    </w:p>
    <w:p w:rsidR="00412BF5" w:rsidRDefault="00412BF5">
      <w:pPr>
        <w:rPr>
          <w:rFonts w:ascii="Arial" w:hAnsi="Arial" w:cs="Arial"/>
          <w:sz w:val="22"/>
          <w:szCs w:val="22"/>
        </w:rPr>
      </w:pPr>
      <w:r>
        <w:rPr>
          <w:rFonts w:ascii="Arial" w:hAnsi="Arial" w:cs="Arial"/>
          <w:sz w:val="22"/>
          <w:szCs w:val="22"/>
        </w:rPr>
        <w:br w:type="page"/>
      </w:r>
    </w:p>
    <w:p w:rsidR="00E12623" w:rsidRDefault="0070259A" w:rsidP="00E83655">
      <w:pPr>
        <w:spacing w:line="300" w:lineRule="atLeast"/>
        <w:jc w:val="both"/>
        <w:rPr>
          <w:rFonts w:ascii="Arial" w:hAnsi="Arial" w:cs="Arial"/>
          <w:sz w:val="22"/>
          <w:szCs w:val="22"/>
        </w:rPr>
      </w:pPr>
      <w:r w:rsidRPr="003E3C35">
        <w:rPr>
          <w:rFonts w:ascii="Arial" w:hAnsi="Arial" w:cs="Arial"/>
          <w:b/>
          <w:sz w:val="22"/>
          <w:szCs w:val="22"/>
        </w:rPr>
        <w:t>Cardiac Dysfunction:</w:t>
      </w:r>
      <w:r w:rsidR="00E12623" w:rsidRPr="003E3C35">
        <w:rPr>
          <w:rFonts w:ascii="Arial" w:hAnsi="Arial" w:cs="Arial"/>
          <w:sz w:val="22"/>
          <w:szCs w:val="22"/>
        </w:rPr>
        <w:t xml:space="preserve"> </w:t>
      </w:r>
      <w:r w:rsidR="00090947" w:rsidRPr="003E3C35">
        <w:rPr>
          <w:rFonts w:ascii="Arial" w:hAnsi="Arial" w:cs="Arial"/>
          <w:sz w:val="22"/>
          <w:szCs w:val="22"/>
        </w:rPr>
        <w:t>In Clinical trials with VOTRIENT, events of cardiac dysfunction such as congestive heart failure and decreased left ventricular</w:t>
      </w:r>
      <w:r w:rsidR="00090947" w:rsidRPr="00E83655">
        <w:rPr>
          <w:rFonts w:ascii="Arial" w:hAnsi="Arial" w:cs="Arial"/>
          <w:sz w:val="22"/>
          <w:szCs w:val="22"/>
        </w:rPr>
        <w:t xml:space="preserve"> ejection fraction (LVEF) have occurred.</w:t>
      </w:r>
      <w:r w:rsidR="00E12623" w:rsidRPr="00E83655">
        <w:rPr>
          <w:rFonts w:ascii="Arial" w:hAnsi="Arial" w:cs="Arial"/>
          <w:sz w:val="22"/>
          <w:szCs w:val="22"/>
        </w:rPr>
        <w:t xml:space="preserve"> </w:t>
      </w:r>
      <w:r w:rsidR="001C3BD1" w:rsidRPr="00E83655">
        <w:rPr>
          <w:rFonts w:ascii="Arial" w:hAnsi="Arial" w:cs="Arial"/>
          <w:sz w:val="22"/>
          <w:szCs w:val="22"/>
        </w:rPr>
        <w:t>Serious</w:t>
      </w:r>
      <w:r w:rsidR="001C3BD1">
        <w:rPr>
          <w:rFonts w:ascii="Arial" w:hAnsi="Arial" w:cs="Arial"/>
          <w:sz w:val="22"/>
          <w:szCs w:val="22"/>
        </w:rPr>
        <w:t xml:space="preserve"> treatment-related left ventricular dysfunction was </w:t>
      </w:r>
      <w:r w:rsidR="00E12623">
        <w:rPr>
          <w:rFonts w:ascii="Arial" w:hAnsi="Arial" w:cs="Arial"/>
          <w:sz w:val="22"/>
          <w:szCs w:val="22"/>
        </w:rPr>
        <w:t xml:space="preserve">reported in </w:t>
      </w:r>
      <w:r w:rsidR="001C3BD1">
        <w:rPr>
          <w:rFonts w:ascii="Arial" w:hAnsi="Arial" w:cs="Arial"/>
          <w:sz w:val="22"/>
          <w:szCs w:val="22"/>
        </w:rPr>
        <w:t xml:space="preserve">4 </w:t>
      </w:r>
      <w:r w:rsidR="00E12623">
        <w:rPr>
          <w:rFonts w:ascii="Arial" w:hAnsi="Arial" w:cs="Arial"/>
          <w:sz w:val="22"/>
          <w:szCs w:val="22"/>
        </w:rPr>
        <w:t xml:space="preserve">out of </w:t>
      </w:r>
      <w:r w:rsidR="001C3BD1">
        <w:rPr>
          <w:rFonts w:ascii="Arial" w:hAnsi="Arial" w:cs="Arial"/>
          <w:sz w:val="22"/>
          <w:szCs w:val="22"/>
        </w:rPr>
        <w:t xml:space="preserve">240 </w:t>
      </w:r>
      <w:r w:rsidR="006F3390">
        <w:rPr>
          <w:rFonts w:ascii="Arial" w:hAnsi="Arial" w:cs="Arial"/>
          <w:sz w:val="22"/>
          <w:szCs w:val="22"/>
        </w:rPr>
        <w:t>patients</w:t>
      </w:r>
      <w:r w:rsidR="00E12623">
        <w:rPr>
          <w:rFonts w:ascii="Arial" w:hAnsi="Arial" w:cs="Arial"/>
          <w:sz w:val="22"/>
          <w:szCs w:val="22"/>
        </w:rPr>
        <w:t xml:space="preserve"> (</w:t>
      </w:r>
      <w:r w:rsidR="001C3BD1">
        <w:rPr>
          <w:rFonts w:ascii="Arial" w:hAnsi="Arial" w:cs="Arial"/>
          <w:sz w:val="22"/>
          <w:szCs w:val="22"/>
        </w:rPr>
        <w:t>1.7</w:t>
      </w:r>
      <w:r w:rsidR="00E12623">
        <w:rPr>
          <w:rFonts w:ascii="Arial" w:hAnsi="Arial" w:cs="Arial"/>
          <w:sz w:val="22"/>
          <w:szCs w:val="22"/>
        </w:rPr>
        <w:t>%) in the</w:t>
      </w:r>
      <w:r w:rsidR="001C3BD1">
        <w:rPr>
          <w:rFonts w:ascii="Arial" w:hAnsi="Arial" w:cs="Arial"/>
          <w:sz w:val="22"/>
          <w:szCs w:val="22"/>
        </w:rPr>
        <w:t xml:space="preserve"> placebo-controlled study </w:t>
      </w:r>
      <w:r w:rsidR="001C3BD1" w:rsidRPr="003E3C35">
        <w:rPr>
          <w:rFonts w:ascii="Arial" w:hAnsi="Arial" w:cs="Arial"/>
          <w:sz w:val="22"/>
          <w:szCs w:val="22"/>
        </w:rPr>
        <w:t>VEG110727</w:t>
      </w:r>
      <w:r w:rsidR="00E12623" w:rsidRPr="003E3C35">
        <w:rPr>
          <w:rFonts w:ascii="Arial" w:hAnsi="Arial" w:cs="Arial"/>
          <w:sz w:val="22"/>
          <w:szCs w:val="22"/>
        </w:rPr>
        <w:t xml:space="preserve">. </w:t>
      </w:r>
      <w:r w:rsidR="00A65314" w:rsidRPr="003E3C35">
        <w:rPr>
          <w:rFonts w:ascii="Arial" w:hAnsi="Arial" w:cs="Arial"/>
          <w:sz w:val="22"/>
          <w:szCs w:val="22"/>
        </w:rPr>
        <w:t>In this trial d</w:t>
      </w:r>
      <w:r w:rsidR="00E12623" w:rsidRPr="003E3C35">
        <w:rPr>
          <w:rFonts w:ascii="Arial" w:hAnsi="Arial" w:cs="Arial"/>
          <w:sz w:val="22"/>
          <w:szCs w:val="22"/>
        </w:rPr>
        <w:t>ecrease</w:t>
      </w:r>
      <w:r w:rsidR="00A65314" w:rsidRPr="003E3C35">
        <w:rPr>
          <w:rFonts w:ascii="Arial" w:hAnsi="Arial" w:cs="Arial"/>
          <w:sz w:val="22"/>
          <w:szCs w:val="22"/>
        </w:rPr>
        <w:t>s in</w:t>
      </w:r>
      <w:r w:rsidR="00E12623" w:rsidRPr="003E3C35">
        <w:rPr>
          <w:rFonts w:ascii="Arial" w:hAnsi="Arial" w:cs="Arial"/>
          <w:sz w:val="22"/>
          <w:szCs w:val="22"/>
        </w:rPr>
        <w:t xml:space="preserve"> LVEF in </w:t>
      </w:r>
      <w:r w:rsidR="006F3390" w:rsidRPr="003E3C35">
        <w:rPr>
          <w:rFonts w:ascii="Arial" w:hAnsi="Arial" w:cs="Arial"/>
          <w:sz w:val="22"/>
          <w:szCs w:val="22"/>
        </w:rPr>
        <w:t>patients</w:t>
      </w:r>
      <w:r w:rsidR="00E12623" w:rsidRPr="003E3C35">
        <w:rPr>
          <w:rFonts w:ascii="Arial" w:hAnsi="Arial" w:cs="Arial"/>
          <w:sz w:val="22"/>
          <w:szCs w:val="22"/>
        </w:rPr>
        <w:t xml:space="preserve"> who had post-baseline measurement were detected in 11% (</w:t>
      </w:r>
      <w:r w:rsidR="00A65314" w:rsidRPr="003E3C35">
        <w:rPr>
          <w:rFonts w:ascii="Arial" w:hAnsi="Arial" w:cs="Arial"/>
          <w:sz w:val="22"/>
          <w:szCs w:val="22"/>
        </w:rPr>
        <w:t>16</w:t>
      </w:r>
      <w:r w:rsidR="00E12623" w:rsidRPr="003E3C35">
        <w:rPr>
          <w:rFonts w:ascii="Arial" w:hAnsi="Arial" w:cs="Arial"/>
          <w:sz w:val="22"/>
          <w:szCs w:val="22"/>
        </w:rPr>
        <w:t>/</w:t>
      </w:r>
      <w:r w:rsidR="00A65314" w:rsidRPr="003E3C35">
        <w:rPr>
          <w:rFonts w:ascii="Arial" w:hAnsi="Arial" w:cs="Arial"/>
          <w:sz w:val="22"/>
          <w:szCs w:val="22"/>
        </w:rPr>
        <w:t>142</w:t>
      </w:r>
      <w:r w:rsidR="00E12623" w:rsidRPr="003E3C35">
        <w:rPr>
          <w:rFonts w:ascii="Arial" w:hAnsi="Arial" w:cs="Arial"/>
          <w:sz w:val="22"/>
          <w:szCs w:val="22"/>
        </w:rPr>
        <w:t xml:space="preserve">) in the VOTRIENT arm compared with </w:t>
      </w:r>
      <w:r w:rsidR="00120CD3" w:rsidRPr="003E3C35">
        <w:rPr>
          <w:rFonts w:ascii="Arial" w:hAnsi="Arial" w:cs="Arial"/>
          <w:sz w:val="22"/>
          <w:szCs w:val="22"/>
        </w:rPr>
        <w:t>5</w:t>
      </w:r>
      <w:r w:rsidR="00E12623" w:rsidRPr="003E3C35">
        <w:rPr>
          <w:rFonts w:ascii="Arial" w:hAnsi="Arial" w:cs="Arial"/>
          <w:sz w:val="22"/>
          <w:szCs w:val="22"/>
        </w:rPr>
        <w:t>% (</w:t>
      </w:r>
      <w:r w:rsidR="00120CD3" w:rsidRPr="003E3C35">
        <w:rPr>
          <w:rFonts w:ascii="Arial" w:hAnsi="Arial" w:cs="Arial"/>
          <w:sz w:val="22"/>
          <w:szCs w:val="22"/>
        </w:rPr>
        <w:t>2</w:t>
      </w:r>
      <w:r w:rsidR="00E12623" w:rsidRPr="003E3C35">
        <w:rPr>
          <w:rFonts w:ascii="Arial" w:hAnsi="Arial" w:cs="Arial"/>
          <w:sz w:val="22"/>
          <w:szCs w:val="22"/>
        </w:rPr>
        <w:t>/</w:t>
      </w:r>
      <w:r w:rsidR="00120CD3" w:rsidRPr="003E3C35">
        <w:rPr>
          <w:rFonts w:ascii="Arial" w:hAnsi="Arial" w:cs="Arial"/>
          <w:sz w:val="22"/>
          <w:szCs w:val="22"/>
        </w:rPr>
        <w:t>40</w:t>
      </w:r>
      <w:r w:rsidR="00E12623" w:rsidRPr="003E3C35">
        <w:rPr>
          <w:rFonts w:ascii="Arial" w:hAnsi="Arial" w:cs="Arial"/>
          <w:sz w:val="22"/>
          <w:szCs w:val="22"/>
        </w:rPr>
        <w:t xml:space="preserve">) in the placebo arm. </w:t>
      </w:r>
      <w:r w:rsidR="00A65314" w:rsidRPr="003E3C35">
        <w:rPr>
          <w:rFonts w:ascii="Arial" w:hAnsi="Arial" w:cs="Arial"/>
          <w:sz w:val="22"/>
          <w:szCs w:val="22"/>
        </w:rPr>
        <w:t xml:space="preserve">Fourteen </w:t>
      </w:r>
      <w:r w:rsidR="00E12623" w:rsidRPr="003E3C35">
        <w:rPr>
          <w:rFonts w:ascii="Arial" w:hAnsi="Arial" w:cs="Arial"/>
          <w:sz w:val="22"/>
          <w:szCs w:val="22"/>
        </w:rPr>
        <w:t xml:space="preserve">of the </w:t>
      </w:r>
      <w:r w:rsidR="00A65314" w:rsidRPr="003E3C35">
        <w:rPr>
          <w:rFonts w:ascii="Arial" w:hAnsi="Arial" w:cs="Arial"/>
          <w:sz w:val="22"/>
          <w:szCs w:val="22"/>
        </w:rPr>
        <w:t xml:space="preserve">16 </w:t>
      </w:r>
      <w:r w:rsidR="006F3390" w:rsidRPr="003E3C35">
        <w:rPr>
          <w:rFonts w:ascii="Arial" w:hAnsi="Arial" w:cs="Arial"/>
          <w:sz w:val="22"/>
          <w:szCs w:val="22"/>
        </w:rPr>
        <w:t>patients</w:t>
      </w:r>
      <w:r w:rsidR="00E12623" w:rsidRPr="003E3C35">
        <w:rPr>
          <w:rFonts w:ascii="Arial" w:hAnsi="Arial" w:cs="Arial"/>
          <w:sz w:val="22"/>
          <w:szCs w:val="22"/>
        </w:rPr>
        <w:t xml:space="preserve"> in the VOTRIENT arm</w:t>
      </w:r>
      <w:r w:rsidR="0092185C" w:rsidRPr="003E3C35">
        <w:rPr>
          <w:rFonts w:ascii="Arial" w:hAnsi="Arial" w:cs="Arial"/>
          <w:sz w:val="22"/>
          <w:szCs w:val="22"/>
        </w:rPr>
        <w:t xml:space="preserve"> had concurrent hypertens</w:t>
      </w:r>
      <w:r w:rsidR="00E12623" w:rsidRPr="003E3C35">
        <w:rPr>
          <w:rFonts w:ascii="Arial" w:hAnsi="Arial" w:cs="Arial"/>
          <w:sz w:val="22"/>
          <w:szCs w:val="22"/>
        </w:rPr>
        <w:t>ion</w:t>
      </w:r>
      <w:r w:rsidR="00E12623">
        <w:rPr>
          <w:rFonts w:ascii="Arial" w:hAnsi="Arial" w:cs="Arial"/>
          <w:sz w:val="22"/>
          <w:szCs w:val="22"/>
        </w:rPr>
        <w:t xml:space="preserve"> which may have exacerbated cardiac </w:t>
      </w:r>
      <w:r w:rsidR="00195C78">
        <w:rPr>
          <w:rFonts w:ascii="Arial" w:hAnsi="Arial" w:cs="Arial"/>
          <w:sz w:val="22"/>
          <w:szCs w:val="22"/>
        </w:rPr>
        <w:t xml:space="preserve">dysfunction in patients at risk (e.g., those with prior anthracycline therapy) by increasing cardiac </w:t>
      </w:r>
      <w:r w:rsidR="00E12623">
        <w:rPr>
          <w:rFonts w:ascii="Arial" w:hAnsi="Arial" w:cs="Arial"/>
          <w:sz w:val="22"/>
          <w:szCs w:val="22"/>
        </w:rPr>
        <w:t xml:space="preserve">after-load. </w:t>
      </w:r>
    </w:p>
    <w:p w:rsidR="00E12623" w:rsidRDefault="00E12623" w:rsidP="00A7172B">
      <w:pPr>
        <w:spacing w:line="300" w:lineRule="atLeast"/>
        <w:jc w:val="both"/>
        <w:rPr>
          <w:rFonts w:ascii="Arial" w:hAnsi="Arial" w:cs="Arial"/>
          <w:sz w:val="22"/>
          <w:szCs w:val="22"/>
        </w:rPr>
      </w:pPr>
    </w:p>
    <w:p w:rsidR="00E12623" w:rsidRDefault="00090947" w:rsidP="00A7172B">
      <w:pPr>
        <w:spacing w:line="300" w:lineRule="atLeast"/>
        <w:jc w:val="both"/>
        <w:rPr>
          <w:rFonts w:ascii="Arial" w:hAnsi="Arial" w:cs="Arial"/>
          <w:sz w:val="22"/>
          <w:szCs w:val="22"/>
        </w:rPr>
      </w:pPr>
      <w:r w:rsidRPr="00484410">
        <w:rPr>
          <w:rFonts w:ascii="Arial" w:hAnsi="Arial" w:cs="Arial"/>
          <w:sz w:val="22"/>
          <w:szCs w:val="22"/>
        </w:rPr>
        <w:t>Blood pressure should be monitored and managed promptly using a combination of anti-hypertensive therapy and dose modification of VOTRIENT (interruption and re-initiation at a reduced dose based on clinical judgement). Patients should be carefully monitored for clinical signs or symptoms of congestive heart failure. Baseline and periodic evaluation of LVEF is recommended in patients at risk of cardiac dysfunction.</w:t>
      </w:r>
    </w:p>
    <w:p w:rsidR="00E12623" w:rsidRPr="00A7172B" w:rsidRDefault="00E12623" w:rsidP="00A7172B">
      <w:pPr>
        <w:spacing w:line="300" w:lineRule="atLeast"/>
        <w:jc w:val="both"/>
        <w:rPr>
          <w:rFonts w:ascii="Arial" w:hAnsi="Arial" w:cs="Arial"/>
          <w:sz w:val="22"/>
          <w:szCs w:val="22"/>
        </w:rPr>
      </w:pPr>
    </w:p>
    <w:p w:rsidR="000A74BE" w:rsidRPr="00A7172B" w:rsidRDefault="000A74BE" w:rsidP="00A7172B">
      <w:pPr>
        <w:pStyle w:val="LBLLevel2"/>
        <w:spacing w:line="300" w:lineRule="atLeast"/>
        <w:jc w:val="both"/>
        <w:rPr>
          <w:rFonts w:cs="Arial"/>
          <w:b w:val="0"/>
          <w:sz w:val="22"/>
          <w:szCs w:val="22"/>
        </w:rPr>
      </w:pPr>
      <w:bookmarkStart w:id="0" w:name="_Toc210444447"/>
      <w:r w:rsidRPr="00A7172B">
        <w:rPr>
          <w:rFonts w:cs="Arial"/>
          <w:sz w:val="22"/>
          <w:szCs w:val="22"/>
        </w:rPr>
        <w:t>QT Prolongation and Torsade</w:t>
      </w:r>
      <w:bookmarkEnd w:id="0"/>
      <w:r w:rsidRPr="00A7172B">
        <w:rPr>
          <w:rFonts w:cs="Arial"/>
          <w:sz w:val="22"/>
          <w:szCs w:val="22"/>
        </w:rPr>
        <w:t xml:space="preserve"> de Pointes: </w:t>
      </w:r>
      <w:r w:rsidRPr="00A7172B">
        <w:rPr>
          <w:rFonts w:cs="Arial"/>
          <w:b w:val="0"/>
          <w:sz w:val="22"/>
          <w:szCs w:val="22"/>
        </w:rPr>
        <w:t xml:space="preserve">In clinical studies with </w:t>
      </w:r>
      <w:r w:rsidR="002F1277">
        <w:rPr>
          <w:rFonts w:cs="Arial"/>
          <w:b w:val="0"/>
          <w:sz w:val="22"/>
          <w:szCs w:val="22"/>
        </w:rPr>
        <w:t>VOTRIENT</w:t>
      </w:r>
      <w:r w:rsidRPr="00A7172B">
        <w:rPr>
          <w:rFonts w:cs="Arial"/>
          <w:b w:val="0"/>
          <w:sz w:val="22"/>
          <w:szCs w:val="22"/>
        </w:rPr>
        <w:t>, events of QT prolongation or Torsade de Pointes have occurred (</w:t>
      </w:r>
      <w:r w:rsidRPr="00A7172B">
        <w:rPr>
          <w:rFonts w:cs="Arial"/>
          <w:b w:val="0"/>
          <w:i/>
          <w:sz w:val="22"/>
          <w:szCs w:val="22"/>
        </w:rPr>
        <w:t xml:space="preserve">see Adverse </w:t>
      </w:r>
      <w:r w:rsidR="001108B8">
        <w:rPr>
          <w:rFonts w:cs="Arial"/>
          <w:b w:val="0"/>
          <w:i/>
          <w:sz w:val="22"/>
          <w:szCs w:val="22"/>
        </w:rPr>
        <w:t>Effects</w:t>
      </w:r>
      <w:r w:rsidRPr="00A7172B">
        <w:rPr>
          <w:rFonts w:cs="Arial"/>
          <w:b w:val="0"/>
          <w:sz w:val="22"/>
          <w:szCs w:val="22"/>
        </w:rPr>
        <w:t>).</w:t>
      </w:r>
      <w:r w:rsidR="001F6AA1">
        <w:rPr>
          <w:rFonts w:cs="Arial"/>
          <w:b w:val="0"/>
          <w:sz w:val="22"/>
          <w:szCs w:val="22"/>
        </w:rPr>
        <w:t xml:space="preserve"> </w:t>
      </w:r>
      <w:r w:rsidRPr="00A7172B">
        <w:rPr>
          <w:rFonts w:cs="Arial"/>
          <w:b w:val="0"/>
          <w:sz w:val="22"/>
          <w:szCs w:val="22"/>
        </w:rPr>
        <w:t xml:space="preserve"> </w:t>
      </w:r>
      <w:r w:rsidR="002F1277">
        <w:rPr>
          <w:rFonts w:cs="Arial"/>
          <w:b w:val="0"/>
          <w:sz w:val="22"/>
          <w:szCs w:val="22"/>
        </w:rPr>
        <w:t>VOTRIENT</w:t>
      </w:r>
      <w:r w:rsidRPr="00A7172B">
        <w:rPr>
          <w:rFonts w:cs="Arial"/>
          <w:b w:val="0"/>
          <w:sz w:val="22"/>
          <w:szCs w:val="22"/>
        </w:rPr>
        <w:t xml:space="preserve"> should be used with caution in patients with a history of QT interval prolongation, patients taking antiarrythmics or other medications that may potentially prolong QT interval, or those with relevant pre-existing cardiac disease. </w:t>
      </w:r>
      <w:r w:rsidR="001F6AA1">
        <w:rPr>
          <w:rFonts w:cs="Arial"/>
          <w:b w:val="0"/>
          <w:sz w:val="22"/>
          <w:szCs w:val="22"/>
        </w:rPr>
        <w:t xml:space="preserve"> </w:t>
      </w:r>
      <w:r w:rsidRPr="00A7172B">
        <w:rPr>
          <w:rFonts w:cs="Arial"/>
          <w:b w:val="0"/>
          <w:sz w:val="22"/>
          <w:szCs w:val="22"/>
        </w:rPr>
        <w:t xml:space="preserve">When using </w:t>
      </w:r>
      <w:r w:rsidR="002F1277">
        <w:rPr>
          <w:rFonts w:cs="Arial"/>
          <w:b w:val="0"/>
          <w:sz w:val="22"/>
          <w:szCs w:val="22"/>
        </w:rPr>
        <w:t>VOTRIENT</w:t>
      </w:r>
      <w:r w:rsidRPr="00A7172B">
        <w:rPr>
          <w:rFonts w:cs="Arial"/>
          <w:b w:val="0"/>
          <w:sz w:val="22"/>
          <w:szCs w:val="22"/>
        </w:rPr>
        <w:t xml:space="preserve">, </w:t>
      </w:r>
      <w:r w:rsidR="007D29D1">
        <w:rPr>
          <w:rFonts w:cs="Arial"/>
          <w:b w:val="0"/>
          <w:sz w:val="22"/>
          <w:szCs w:val="22"/>
        </w:rPr>
        <w:t xml:space="preserve">baseline and </w:t>
      </w:r>
      <w:r w:rsidRPr="00A7172B">
        <w:rPr>
          <w:rFonts w:cs="Arial"/>
          <w:b w:val="0"/>
          <w:sz w:val="22"/>
          <w:szCs w:val="22"/>
        </w:rPr>
        <w:t>periodic monitoring of electrocardiograms and maintenance of electrolytes (calcium, magnesium, potassium) within normal range is recommended.</w:t>
      </w:r>
    </w:p>
    <w:p w:rsidR="000A74BE" w:rsidRPr="00A7172B" w:rsidRDefault="000A74BE" w:rsidP="00A7172B">
      <w:pPr>
        <w:spacing w:line="300" w:lineRule="atLeast"/>
        <w:jc w:val="both"/>
        <w:rPr>
          <w:rFonts w:ascii="Arial" w:hAnsi="Arial" w:cs="Arial"/>
          <w:sz w:val="22"/>
          <w:szCs w:val="22"/>
          <w:lang w:val="en-US"/>
        </w:rPr>
      </w:pPr>
    </w:p>
    <w:p w:rsidR="000A74BE" w:rsidRPr="0082027F" w:rsidRDefault="000A74BE" w:rsidP="0082027F">
      <w:pPr>
        <w:pStyle w:val="LBLLevel2"/>
        <w:spacing w:line="300" w:lineRule="atLeast"/>
        <w:jc w:val="both"/>
        <w:rPr>
          <w:rFonts w:cs="Arial"/>
          <w:b w:val="0"/>
          <w:bCs/>
          <w:sz w:val="22"/>
          <w:szCs w:val="22"/>
        </w:rPr>
      </w:pPr>
      <w:r w:rsidRPr="00A7172B">
        <w:rPr>
          <w:rFonts w:cs="Arial"/>
          <w:sz w:val="22"/>
          <w:szCs w:val="22"/>
        </w:rPr>
        <w:t>Arterial Thrombotic Events</w:t>
      </w:r>
      <w:r w:rsidRPr="003F12DD">
        <w:rPr>
          <w:rFonts w:cs="Arial"/>
          <w:sz w:val="22"/>
          <w:szCs w:val="22"/>
        </w:rPr>
        <w:t>:</w:t>
      </w:r>
      <w:r w:rsidRPr="00A7172B">
        <w:rPr>
          <w:rFonts w:cs="Arial"/>
          <w:b w:val="0"/>
          <w:sz w:val="22"/>
          <w:szCs w:val="22"/>
        </w:rPr>
        <w:t xml:space="preserve"> In clinical studies with </w:t>
      </w:r>
      <w:r w:rsidR="002F1277">
        <w:rPr>
          <w:rFonts w:cs="Arial"/>
          <w:b w:val="0"/>
          <w:sz w:val="22"/>
          <w:szCs w:val="22"/>
        </w:rPr>
        <w:t>VOTRIENT</w:t>
      </w:r>
      <w:r w:rsidRPr="00A7172B">
        <w:rPr>
          <w:rFonts w:cs="Arial"/>
          <w:b w:val="0"/>
          <w:sz w:val="22"/>
          <w:szCs w:val="22"/>
        </w:rPr>
        <w:t>, myocardial infarctions, angina, ischemic stroke and transient ischemic attack were observed (</w:t>
      </w:r>
      <w:r w:rsidRPr="00A7172B">
        <w:rPr>
          <w:rFonts w:cs="Arial"/>
          <w:b w:val="0"/>
          <w:i/>
          <w:sz w:val="22"/>
          <w:szCs w:val="22"/>
        </w:rPr>
        <w:t xml:space="preserve">see Adverse </w:t>
      </w:r>
      <w:r w:rsidR="00B85283">
        <w:rPr>
          <w:rFonts w:cs="Arial"/>
          <w:b w:val="0"/>
          <w:i/>
          <w:sz w:val="22"/>
          <w:szCs w:val="22"/>
        </w:rPr>
        <w:t>Effects</w:t>
      </w:r>
      <w:r w:rsidRPr="00A7172B">
        <w:rPr>
          <w:rFonts w:cs="Arial"/>
          <w:b w:val="0"/>
          <w:sz w:val="22"/>
          <w:szCs w:val="22"/>
        </w:rPr>
        <w:t>)</w:t>
      </w:r>
      <w:r w:rsidR="001F6AA1">
        <w:rPr>
          <w:rFonts w:cs="Arial"/>
          <w:b w:val="0"/>
          <w:sz w:val="22"/>
          <w:szCs w:val="22"/>
        </w:rPr>
        <w:t xml:space="preserve">. </w:t>
      </w:r>
      <w:r w:rsidRPr="00A7172B">
        <w:rPr>
          <w:rFonts w:cs="Arial"/>
          <w:b w:val="0"/>
          <w:color w:val="000000"/>
          <w:sz w:val="22"/>
          <w:szCs w:val="22"/>
        </w:rPr>
        <w:t xml:space="preserve"> </w:t>
      </w:r>
      <w:r w:rsidR="007D29D1">
        <w:rPr>
          <w:rFonts w:cs="Arial"/>
          <w:b w:val="0"/>
          <w:color w:val="000000"/>
          <w:sz w:val="22"/>
          <w:szCs w:val="22"/>
        </w:rPr>
        <w:t xml:space="preserve">Fatal events have been observed.  </w:t>
      </w:r>
      <w:r w:rsidR="002F1277">
        <w:rPr>
          <w:rFonts w:cs="Arial"/>
          <w:b w:val="0"/>
          <w:color w:val="000000"/>
          <w:sz w:val="22"/>
          <w:szCs w:val="22"/>
        </w:rPr>
        <w:t>VOTRIENT</w:t>
      </w:r>
      <w:r w:rsidRPr="00A7172B">
        <w:rPr>
          <w:rFonts w:cs="Arial"/>
          <w:b w:val="0"/>
          <w:color w:val="000000"/>
          <w:sz w:val="22"/>
          <w:szCs w:val="22"/>
        </w:rPr>
        <w:t xml:space="preserve"> should be used with caution in patients who are at increased risk </w:t>
      </w:r>
      <w:r w:rsidR="007D29D1">
        <w:rPr>
          <w:rFonts w:cs="Arial"/>
          <w:b w:val="0"/>
          <w:color w:val="000000"/>
          <w:sz w:val="22"/>
          <w:szCs w:val="22"/>
        </w:rPr>
        <w:t>of thrombotic</w:t>
      </w:r>
      <w:r w:rsidRPr="00A7172B">
        <w:rPr>
          <w:rFonts w:cs="Arial"/>
          <w:b w:val="0"/>
          <w:color w:val="000000"/>
          <w:sz w:val="22"/>
          <w:szCs w:val="22"/>
        </w:rPr>
        <w:t xml:space="preserve"> events</w:t>
      </w:r>
      <w:r w:rsidR="007D29D1">
        <w:rPr>
          <w:rFonts w:cs="Arial"/>
          <w:b w:val="0"/>
          <w:color w:val="000000"/>
          <w:sz w:val="22"/>
          <w:szCs w:val="22"/>
        </w:rPr>
        <w:t xml:space="preserve"> or who have had a history of thrombotic events.  VOTRIENT has </w:t>
      </w:r>
      <w:r w:rsidR="007D29D1" w:rsidRPr="0082027F">
        <w:rPr>
          <w:rFonts w:cs="Arial"/>
          <w:b w:val="0"/>
          <w:color w:val="000000"/>
          <w:sz w:val="22"/>
          <w:szCs w:val="22"/>
        </w:rPr>
        <w:t>not been studied in patients who have had an event within the previous 6 months</w:t>
      </w:r>
      <w:r w:rsidRPr="0082027F">
        <w:rPr>
          <w:rFonts w:cs="Arial"/>
          <w:b w:val="0"/>
          <w:color w:val="000000"/>
          <w:sz w:val="22"/>
          <w:szCs w:val="22"/>
        </w:rPr>
        <w:t xml:space="preserve">. </w:t>
      </w:r>
      <w:r w:rsidR="001F6AA1" w:rsidRPr="0082027F">
        <w:rPr>
          <w:rFonts w:cs="Arial"/>
          <w:b w:val="0"/>
          <w:color w:val="000000"/>
          <w:sz w:val="22"/>
          <w:szCs w:val="22"/>
        </w:rPr>
        <w:t xml:space="preserve"> </w:t>
      </w:r>
      <w:r w:rsidRPr="0082027F">
        <w:rPr>
          <w:rFonts w:cs="Arial"/>
          <w:b w:val="0"/>
          <w:color w:val="000000"/>
          <w:sz w:val="22"/>
          <w:szCs w:val="22"/>
        </w:rPr>
        <w:t>A treatment decision should be made based upon the assessment of individual patient’s benefit/</w:t>
      </w:r>
      <w:r w:rsidRPr="0082027F">
        <w:rPr>
          <w:rFonts w:cs="Arial"/>
          <w:b w:val="0"/>
          <w:sz w:val="22"/>
          <w:szCs w:val="22"/>
        </w:rPr>
        <w:t>risk.</w:t>
      </w:r>
    </w:p>
    <w:p w:rsidR="000A74BE" w:rsidRPr="0082027F" w:rsidRDefault="000A74BE" w:rsidP="0082027F">
      <w:pPr>
        <w:spacing w:line="300" w:lineRule="atLeast"/>
        <w:jc w:val="both"/>
        <w:rPr>
          <w:rFonts w:ascii="Arial" w:hAnsi="Arial" w:cs="Arial"/>
          <w:sz w:val="22"/>
          <w:szCs w:val="22"/>
        </w:rPr>
      </w:pPr>
    </w:p>
    <w:p w:rsidR="0092185C" w:rsidRPr="003E3C35" w:rsidRDefault="0070259A" w:rsidP="0082027F">
      <w:pPr>
        <w:spacing w:line="300" w:lineRule="atLeast"/>
        <w:jc w:val="both"/>
        <w:rPr>
          <w:rFonts w:ascii="Arial" w:hAnsi="Arial" w:cs="Arial"/>
          <w:sz w:val="22"/>
          <w:szCs w:val="22"/>
        </w:rPr>
      </w:pPr>
      <w:r w:rsidRPr="0082027F">
        <w:rPr>
          <w:rFonts w:ascii="Arial" w:hAnsi="Arial" w:cs="Arial"/>
          <w:b/>
          <w:sz w:val="22"/>
          <w:szCs w:val="22"/>
        </w:rPr>
        <w:t>Venous Thromboembolic Events</w:t>
      </w:r>
      <w:r w:rsidR="00090947" w:rsidRPr="0082027F">
        <w:rPr>
          <w:rFonts w:ascii="Arial" w:hAnsi="Arial" w:cs="Arial"/>
          <w:sz w:val="22"/>
          <w:szCs w:val="22"/>
        </w:rPr>
        <w:t>: In clinical studies with VOTRIENT, venous thromboembolic events including venous thrombosis and fatal pulmonary embolus have occurred.</w:t>
      </w:r>
      <w:r w:rsidR="0092185C" w:rsidRPr="0082027F">
        <w:rPr>
          <w:rFonts w:ascii="Arial" w:hAnsi="Arial" w:cs="Arial"/>
          <w:sz w:val="22"/>
          <w:szCs w:val="22"/>
        </w:rPr>
        <w:t xml:space="preserve"> The incidence was higher in the STS </w:t>
      </w:r>
      <w:r w:rsidR="0092185C" w:rsidRPr="003E3C35">
        <w:rPr>
          <w:rFonts w:ascii="Arial" w:hAnsi="Arial" w:cs="Arial"/>
          <w:sz w:val="22"/>
          <w:szCs w:val="22"/>
        </w:rPr>
        <w:t>population (5%) than in the RCC population (2%).</w:t>
      </w:r>
    </w:p>
    <w:p w:rsidR="0092185C" w:rsidRPr="003E3C35" w:rsidRDefault="0092185C" w:rsidP="0082027F">
      <w:pPr>
        <w:spacing w:line="300" w:lineRule="atLeast"/>
        <w:jc w:val="both"/>
        <w:rPr>
          <w:rFonts w:ascii="Arial" w:hAnsi="Arial" w:cs="Arial"/>
          <w:sz w:val="22"/>
          <w:szCs w:val="22"/>
        </w:rPr>
      </w:pPr>
    </w:p>
    <w:p w:rsidR="0082027F" w:rsidRPr="003E3C35" w:rsidRDefault="0082027F" w:rsidP="0082027F">
      <w:pPr>
        <w:spacing w:line="300" w:lineRule="atLeast"/>
        <w:jc w:val="both"/>
        <w:rPr>
          <w:rFonts w:ascii="Arial" w:hAnsi="Arial" w:cs="Arial"/>
          <w:sz w:val="22"/>
          <w:szCs w:val="22"/>
        </w:rPr>
      </w:pPr>
      <w:r w:rsidRPr="003E3C35">
        <w:rPr>
          <w:rFonts w:ascii="Arial" w:hAnsi="Arial" w:cs="Arial"/>
          <w:b/>
          <w:sz w:val="22"/>
          <w:szCs w:val="22"/>
        </w:rPr>
        <w:t>Thrombotic Microangiopathy:</w:t>
      </w:r>
      <w:r w:rsidRPr="003E3C35">
        <w:rPr>
          <w:rFonts w:ascii="Arial" w:hAnsi="Arial" w:cs="Arial"/>
          <w:sz w:val="22"/>
          <w:szCs w:val="22"/>
        </w:rPr>
        <w:t xml:space="preserve"> Thrombotic microangiopathy (TMA) has been reported in clinical trials of </w:t>
      </w:r>
      <w:r w:rsidR="00BC516A" w:rsidRPr="003E3C35">
        <w:rPr>
          <w:rFonts w:ascii="Arial" w:hAnsi="Arial" w:cs="Arial"/>
          <w:sz w:val="22"/>
          <w:szCs w:val="22"/>
        </w:rPr>
        <w:t>VOTRIENT</w:t>
      </w:r>
      <w:r w:rsidRPr="003E3C35">
        <w:rPr>
          <w:rFonts w:ascii="Arial" w:hAnsi="Arial" w:cs="Arial"/>
          <w:sz w:val="22"/>
          <w:szCs w:val="22"/>
        </w:rPr>
        <w:t xml:space="preserve"> as monotherapy, in combination with bevacizumab, and in combination with topotecan (see</w:t>
      </w:r>
      <w:r w:rsidRPr="003E3C35">
        <w:rPr>
          <w:rFonts w:ascii="Arial" w:hAnsi="Arial" w:cs="Arial"/>
          <w:i/>
          <w:sz w:val="22"/>
          <w:szCs w:val="22"/>
        </w:rPr>
        <w:t xml:space="preserve"> Adverse </w:t>
      </w:r>
      <w:r w:rsidR="0041327F" w:rsidRPr="003E3C35">
        <w:rPr>
          <w:rFonts w:ascii="Arial" w:hAnsi="Arial" w:cs="Arial"/>
          <w:i/>
          <w:sz w:val="22"/>
          <w:szCs w:val="22"/>
        </w:rPr>
        <w:t>Effects</w:t>
      </w:r>
      <w:r w:rsidRPr="003E3C35">
        <w:rPr>
          <w:rFonts w:ascii="Arial" w:hAnsi="Arial" w:cs="Arial"/>
          <w:sz w:val="22"/>
          <w:szCs w:val="22"/>
        </w:rPr>
        <w:t xml:space="preserve">). Permanently discontinue </w:t>
      </w:r>
      <w:r w:rsidR="00BC516A" w:rsidRPr="003E3C35">
        <w:rPr>
          <w:rFonts w:ascii="Arial" w:hAnsi="Arial" w:cs="Arial"/>
          <w:sz w:val="22"/>
          <w:szCs w:val="22"/>
        </w:rPr>
        <w:t>VOTRIENT</w:t>
      </w:r>
      <w:r w:rsidRPr="003E3C35">
        <w:rPr>
          <w:rFonts w:ascii="Arial" w:hAnsi="Arial" w:cs="Arial"/>
          <w:sz w:val="22"/>
          <w:szCs w:val="22"/>
        </w:rPr>
        <w:t xml:space="preserve"> in patients developing TMA. Reversal of effects of TMA has been observed after treatment was discontinued. </w:t>
      </w:r>
      <w:r w:rsidR="00BC516A" w:rsidRPr="003E3C35">
        <w:rPr>
          <w:rFonts w:ascii="Arial" w:hAnsi="Arial" w:cs="Arial"/>
          <w:sz w:val="22"/>
          <w:szCs w:val="22"/>
        </w:rPr>
        <w:t>VOTRIENT</w:t>
      </w:r>
      <w:r w:rsidRPr="003E3C35">
        <w:rPr>
          <w:rFonts w:ascii="Arial" w:hAnsi="Arial" w:cs="Arial"/>
          <w:sz w:val="22"/>
          <w:szCs w:val="22"/>
        </w:rPr>
        <w:t xml:space="preserve"> is not indicated for use in combination with other agents.</w:t>
      </w:r>
    </w:p>
    <w:p w:rsidR="00412BF5" w:rsidRDefault="00412BF5">
      <w:pPr>
        <w:rPr>
          <w:rFonts w:ascii="Arial" w:hAnsi="Arial" w:cs="Arial"/>
          <w:sz w:val="22"/>
          <w:szCs w:val="22"/>
        </w:rPr>
      </w:pPr>
      <w:bookmarkStart w:id="1" w:name="_Toc210444448"/>
      <w:r>
        <w:rPr>
          <w:rFonts w:ascii="Arial" w:hAnsi="Arial" w:cs="Arial"/>
          <w:sz w:val="22"/>
          <w:szCs w:val="22"/>
        </w:rPr>
        <w:br w:type="page"/>
      </w:r>
    </w:p>
    <w:p w:rsidR="000A74BE" w:rsidRPr="00A7172B" w:rsidRDefault="000A74BE" w:rsidP="0082027F">
      <w:pPr>
        <w:spacing w:line="300" w:lineRule="atLeast"/>
        <w:jc w:val="both"/>
        <w:rPr>
          <w:rFonts w:ascii="Arial" w:hAnsi="Arial" w:cs="Arial"/>
          <w:color w:val="000000"/>
          <w:sz w:val="22"/>
          <w:szCs w:val="22"/>
        </w:rPr>
      </w:pPr>
      <w:r w:rsidRPr="003E3C35">
        <w:rPr>
          <w:rStyle w:val="LBLLevel2Char"/>
          <w:rFonts w:cs="Arial"/>
          <w:sz w:val="22"/>
          <w:szCs w:val="22"/>
        </w:rPr>
        <w:t>Haemorrhagic Events</w:t>
      </w:r>
      <w:bookmarkEnd w:id="1"/>
      <w:r w:rsidRPr="0082027F">
        <w:rPr>
          <w:rStyle w:val="LBLLevel2Char"/>
          <w:rFonts w:cs="Arial"/>
          <w:sz w:val="22"/>
          <w:szCs w:val="22"/>
        </w:rPr>
        <w:t xml:space="preserve">:  </w:t>
      </w:r>
      <w:r w:rsidRPr="0082027F">
        <w:rPr>
          <w:rFonts w:ascii="Arial" w:hAnsi="Arial" w:cs="Arial"/>
          <w:sz w:val="22"/>
          <w:szCs w:val="22"/>
        </w:rPr>
        <w:t xml:space="preserve">In clinical studies with </w:t>
      </w:r>
      <w:r w:rsidR="002F1277" w:rsidRPr="0082027F">
        <w:rPr>
          <w:rFonts w:ascii="Arial" w:hAnsi="Arial" w:cs="Arial"/>
          <w:sz w:val="22"/>
          <w:szCs w:val="22"/>
        </w:rPr>
        <w:t>VOTRIENT</w:t>
      </w:r>
      <w:r w:rsidRPr="0082027F">
        <w:rPr>
          <w:rFonts w:ascii="Arial" w:hAnsi="Arial" w:cs="Arial"/>
          <w:sz w:val="22"/>
          <w:szCs w:val="22"/>
        </w:rPr>
        <w:t xml:space="preserve"> haemorrhagic events have been reported (</w:t>
      </w:r>
      <w:r w:rsidRPr="0082027F">
        <w:rPr>
          <w:rFonts w:ascii="Arial" w:hAnsi="Arial" w:cs="Arial"/>
          <w:i/>
          <w:sz w:val="22"/>
          <w:szCs w:val="22"/>
        </w:rPr>
        <w:t xml:space="preserve">see Adverse </w:t>
      </w:r>
      <w:r w:rsidR="009121F1" w:rsidRPr="0082027F">
        <w:rPr>
          <w:rFonts w:ascii="Arial" w:hAnsi="Arial" w:cs="Arial"/>
          <w:i/>
          <w:sz w:val="22"/>
          <w:szCs w:val="22"/>
        </w:rPr>
        <w:t>Effects</w:t>
      </w:r>
      <w:r w:rsidRPr="0082027F">
        <w:rPr>
          <w:rFonts w:ascii="Arial" w:hAnsi="Arial" w:cs="Arial"/>
          <w:sz w:val="22"/>
          <w:szCs w:val="22"/>
        </w:rPr>
        <w:t>).</w:t>
      </w:r>
      <w:r w:rsidR="001F6AA1" w:rsidRPr="0082027F">
        <w:rPr>
          <w:rFonts w:ascii="Arial" w:hAnsi="Arial" w:cs="Arial"/>
          <w:sz w:val="22"/>
          <w:szCs w:val="22"/>
        </w:rPr>
        <w:t xml:space="preserve">  </w:t>
      </w:r>
      <w:r w:rsidR="007D29D1" w:rsidRPr="0082027F">
        <w:rPr>
          <w:rFonts w:ascii="Arial" w:hAnsi="Arial" w:cs="Arial"/>
          <w:sz w:val="22"/>
          <w:szCs w:val="22"/>
        </w:rPr>
        <w:t>Fatal ha</w:t>
      </w:r>
      <w:r w:rsidR="0008570D" w:rsidRPr="0082027F">
        <w:rPr>
          <w:rFonts w:ascii="Arial" w:hAnsi="Arial" w:cs="Arial"/>
          <w:sz w:val="22"/>
          <w:szCs w:val="22"/>
        </w:rPr>
        <w:t>emorrhagic events have occurred.</w:t>
      </w:r>
      <w:r w:rsidR="007D29D1" w:rsidRPr="0082027F">
        <w:rPr>
          <w:rFonts w:ascii="Arial" w:hAnsi="Arial" w:cs="Arial"/>
          <w:sz w:val="22"/>
          <w:szCs w:val="22"/>
        </w:rPr>
        <w:t xml:space="preserve">  </w:t>
      </w:r>
      <w:r w:rsidR="002F1277" w:rsidRPr="0082027F">
        <w:rPr>
          <w:rFonts w:ascii="Arial" w:hAnsi="Arial" w:cs="Arial"/>
          <w:sz w:val="22"/>
          <w:szCs w:val="22"/>
        </w:rPr>
        <w:t>VOTRIENT</w:t>
      </w:r>
      <w:r w:rsidRPr="0082027F">
        <w:rPr>
          <w:rFonts w:ascii="Arial" w:hAnsi="Arial" w:cs="Arial"/>
          <w:sz w:val="22"/>
          <w:szCs w:val="22"/>
        </w:rPr>
        <w:t xml:space="preserve"> </w:t>
      </w:r>
      <w:r w:rsidR="007D29D1" w:rsidRPr="0082027F">
        <w:rPr>
          <w:rFonts w:ascii="Arial" w:hAnsi="Arial" w:cs="Arial"/>
          <w:sz w:val="22"/>
          <w:szCs w:val="22"/>
        </w:rPr>
        <w:t xml:space="preserve">has </w:t>
      </w:r>
      <w:r w:rsidRPr="0082027F">
        <w:rPr>
          <w:rFonts w:ascii="Arial" w:hAnsi="Arial" w:cs="Arial"/>
          <w:sz w:val="22"/>
          <w:szCs w:val="22"/>
        </w:rPr>
        <w:t xml:space="preserve">not </w:t>
      </w:r>
      <w:r w:rsidR="007D29D1" w:rsidRPr="0082027F">
        <w:rPr>
          <w:rFonts w:ascii="Arial" w:hAnsi="Arial" w:cs="Arial"/>
          <w:sz w:val="22"/>
          <w:szCs w:val="22"/>
        </w:rPr>
        <w:t>been studied</w:t>
      </w:r>
      <w:r w:rsidR="007D29D1" w:rsidRPr="00A7172B">
        <w:rPr>
          <w:rFonts w:ascii="Arial" w:hAnsi="Arial" w:cs="Arial"/>
          <w:sz w:val="22"/>
          <w:szCs w:val="22"/>
        </w:rPr>
        <w:t xml:space="preserve"> </w:t>
      </w:r>
      <w:r w:rsidRPr="00A7172B">
        <w:rPr>
          <w:rFonts w:ascii="Arial" w:hAnsi="Arial" w:cs="Arial"/>
          <w:sz w:val="22"/>
          <w:szCs w:val="22"/>
        </w:rPr>
        <w:t xml:space="preserve">in patients who had a history of haemoptysis, cerebral, or clinically significant gastrointestinal haemorrhage in the past 6 months. </w:t>
      </w:r>
      <w:r w:rsidR="001F6AA1">
        <w:rPr>
          <w:rFonts w:ascii="Arial" w:hAnsi="Arial" w:cs="Arial"/>
          <w:sz w:val="22"/>
          <w:szCs w:val="22"/>
        </w:rPr>
        <w:t xml:space="preserve"> </w:t>
      </w:r>
      <w:r w:rsidR="002F1277">
        <w:rPr>
          <w:rFonts w:ascii="Arial" w:hAnsi="Arial" w:cs="Arial"/>
          <w:sz w:val="22"/>
          <w:szCs w:val="22"/>
        </w:rPr>
        <w:t>VOTRIENT</w:t>
      </w:r>
      <w:r w:rsidRPr="00A7172B">
        <w:rPr>
          <w:rFonts w:ascii="Arial" w:hAnsi="Arial" w:cs="Arial"/>
          <w:sz w:val="22"/>
          <w:szCs w:val="22"/>
        </w:rPr>
        <w:t xml:space="preserve"> should be used with caution in patients with significant risk of haemorrhage</w:t>
      </w:r>
      <w:r w:rsidRPr="00A7172B">
        <w:rPr>
          <w:rFonts w:ascii="Arial" w:hAnsi="Arial" w:cs="Arial"/>
          <w:color w:val="000000"/>
          <w:sz w:val="22"/>
          <w:szCs w:val="22"/>
        </w:rPr>
        <w:t>.</w:t>
      </w:r>
    </w:p>
    <w:p w:rsidR="000A74BE" w:rsidRPr="00A7172B" w:rsidRDefault="000A74BE" w:rsidP="00A7172B">
      <w:pPr>
        <w:spacing w:line="300" w:lineRule="atLeast"/>
        <w:jc w:val="both"/>
        <w:rPr>
          <w:rFonts w:ascii="Arial" w:hAnsi="Arial" w:cs="Arial"/>
          <w:sz w:val="22"/>
          <w:szCs w:val="22"/>
        </w:rPr>
      </w:pPr>
    </w:p>
    <w:p w:rsidR="000A74BE" w:rsidRPr="00A7172B" w:rsidRDefault="000A74BE" w:rsidP="00A7172B">
      <w:pPr>
        <w:spacing w:line="300" w:lineRule="atLeast"/>
        <w:jc w:val="both"/>
        <w:rPr>
          <w:rFonts w:ascii="Arial" w:hAnsi="Arial" w:cs="Arial"/>
          <w:sz w:val="22"/>
          <w:szCs w:val="22"/>
        </w:rPr>
      </w:pPr>
      <w:r w:rsidRPr="00A7172B">
        <w:rPr>
          <w:rFonts w:ascii="Arial" w:hAnsi="Arial" w:cs="Arial"/>
          <w:b/>
          <w:sz w:val="22"/>
          <w:szCs w:val="22"/>
        </w:rPr>
        <w:t>Gastrointestinal Perforations and Fistula:</w:t>
      </w:r>
      <w:r w:rsidRPr="00A7172B">
        <w:rPr>
          <w:rFonts w:ascii="Arial" w:hAnsi="Arial" w:cs="Arial"/>
          <w:sz w:val="22"/>
          <w:szCs w:val="22"/>
        </w:rPr>
        <w:t xml:space="preserve"> In clinical studies with </w:t>
      </w:r>
      <w:r w:rsidR="002F1277">
        <w:rPr>
          <w:rFonts w:ascii="Arial" w:hAnsi="Arial" w:cs="Arial"/>
          <w:sz w:val="22"/>
          <w:szCs w:val="22"/>
        </w:rPr>
        <w:t>VOTRIENT</w:t>
      </w:r>
      <w:r w:rsidRPr="00A7172B">
        <w:rPr>
          <w:rFonts w:ascii="Arial" w:hAnsi="Arial" w:cs="Arial"/>
          <w:sz w:val="22"/>
          <w:szCs w:val="22"/>
        </w:rPr>
        <w:t>, events of gastrointestinal (GI) perforation or fistula have occurred (</w:t>
      </w:r>
      <w:r w:rsidRPr="00A7172B">
        <w:rPr>
          <w:rFonts w:ascii="Arial" w:hAnsi="Arial" w:cs="Arial"/>
          <w:i/>
          <w:sz w:val="22"/>
          <w:szCs w:val="22"/>
        </w:rPr>
        <w:t xml:space="preserve">see Adverse </w:t>
      </w:r>
      <w:r w:rsidR="00F5456C">
        <w:rPr>
          <w:rFonts w:ascii="Arial" w:hAnsi="Arial" w:cs="Arial"/>
          <w:i/>
          <w:sz w:val="22"/>
          <w:szCs w:val="22"/>
        </w:rPr>
        <w:t>Effects</w:t>
      </w:r>
      <w:r w:rsidRPr="00A7172B">
        <w:rPr>
          <w:rFonts w:ascii="Arial" w:hAnsi="Arial" w:cs="Arial"/>
          <w:sz w:val="22"/>
          <w:szCs w:val="22"/>
        </w:rPr>
        <w:t xml:space="preserve">). </w:t>
      </w:r>
      <w:r w:rsidR="001F6AA1">
        <w:rPr>
          <w:rFonts w:ascii="Arial" w:hAnsi="Arial" w:cs="Arial"/>
          <w:sz w:val="22"/>
          <w:szCs w:val="22"/>
        </w:rPr>
        <w:t xml:space="preserve"> </w:t>
      </w:r>
      <w:r w:rsidR="007D29D1">
        <w:rPr>
          <w:rFonts w:ascii="Arial" w:hAnsi="Arial" w:cs="Arial"/>
          <w:sz w:val="22"/>
          <w:szCs w:val="22"/>
        </w:rPr>
        <w:t xml:space="preserve">Fatal perforation events have occurred.  </w:t>
      </w:r>
      <w:r w:rsidR="002F1277">
        <w:rPr>
          <w:rFonts w:ascii="Arial" w:hAnsi="Arial" w:cs="Arial"/>
          <w:sz w:val="22"/>
          <w:szCs w:val="22"/>
        </w:rPr>
        <w:t>VOTRIENT</w:t>
      </w:r>
      <w:r w:rsidRPr="00A7172B">
        <w:rPr>
          <w:rFonts w:ascii="Arial" w:hAnsi="Arial" w:cs="Arial"/>
          <w:sz w:val="22"/>
          <w:szCs w:val="22"/>
        </w:rPr>
        <w:t xml:space="preserve"> should be used with caution in patients at risk for GI perforation or fistula.</w:t>
      </w:r>
    </w:p>
    <w:p w:rsidR="000A74BE" w:rsidRPr="00A7172B" w:rsidRDefault="000A74BE" w:rsidP="00A7172B">
      <w:pPr>
        <w:spacing w:line="300" w:lineRule="atLeast"/>
        <w:jc w:val="both"/>
        <w:rPr>
          <w:rFonts w:ascii="Arial" w:hAnsi="Arial" w:cs="Arial"/>
          <w:sz w:val="22"/>
          <w:szCs w:val="22"/>
        </w:rPr>
      </w:pPr>
    </w:p>
    <w:p w:rsidR="000A74BE" w:rsidRPr="00A7172B" w:rsidRDefault="000A74BE" w:rsidP="00A7172B">
      <w:pPr>
        <w:spacing w:line="300" w:lineRule="atLeast"/>
        <w:jc w:val="both"/>
        <w:rPr>
          <w:rFonts w:ascii="Arial" w:hAnsi="Arial" w:cs="Arial"/>
          <w:sz w:val="22"/>
          <w:szCs w:val="22"/>
        </w:rPr>
      </w:pPr>
      <w:r w:rsidRPr="00A7172B">
        <w:rPr>
          <w:rFonts w:ascii="Arial" w:hAnsi="Arial" w:cs="Arial"/>
          <w:b/>
          <w:sz w:val="22"/>
          <w:szCs w:val="22"/>
        </w:rPr>
        <w:t>Wound Healing</w:t>
      </w:r>
      <w:r w:rsidRPr="003B4348">
        <w:rPr>
          <w:rFonts w:ascii="Arial" w:hAnsi="Arial" w:cs="Arial"/>
          <w:b/>
          <w:sz w:val="22"/>
          <w:szCs w:val="22"/>
        </w:rPr>
        <w:t>:</w:t>
      </w:r>
      <w:r w:rsidRPr="00A7172B">
        <w:rPr>
          <w:rFonts w:ascii="Arial" w:hAnsi="Arial" w:cs="Arial"/>
          <w:sz w:val="22"/>
          <w:szCs w:val="22"/>
        </w:rPr>
        <w:t xml:space="preserve"> No formal studies on the effect of </w:t>
      </w:r>
      <w:r w:rsidR="002F1277">
        <w:rPr>
          <w:rFonts w:ascii="Arial" w:hAnsi="Arial" w:cs="Arial"/>
          <w:sz w:val="22"/>
          <w:szCs w:val="22"/>
        </w:rPr>
        <w:t>VOTRIENT</w:t>
      </w:r>
      <w:r w:rsidRPr="00A7172B">
        <w:rPr>
          <w:rFonts w:ascii="Arial" w:hAnsi="Arial" w:cs="Arial"/>
          <w:sz w:val="22"/>
          <w:szCs w:val="22"/>
        </w:rPr>
        <w:t xml:space="preserve"> on wound healing have been conducted. </w:t>
      </w:r>
      <w:r w:rsidR="001F6AA1">
        <w:rPr>
          <w:rFonts w:ascii="Arial" w:hAnsi="Arial" w:cs="Arial"/>
          <w:sz w:val="22"/>
          <w:szCs w:val="22"/>
        </w:rPr>
        <w:t xml:space="preserve"> </w:t>
      </w:r>
      <w:r w:rsidRPr="00A7172B">
        <w:rPr>
          <w:rFonts w:ascii="Arial" w:hAnsi="Arial" w:cs="Arial"/>
          <w:sz w:val="22"/>
          <w:szCs w:val="22"/>
        </w:rPr>
        <w:t xml:space="preserve">Since Vascular Endothelial Growth Factor (VEGF) inhibitors may impair wound healing, treatment with </w:t>
      </w:r>
      <w:r w:rsidR="002F1277">
        <w:rPr>
          <w:rFonts w:ascii="Arial" w:hAnsi="Arial" w:cs="Arial"/>
          <w:sz w:val="22"/>
          <w:szCs w:val="22"/>
        </w:rPr>
        <w:t>VOTRIENT</w:t>
      </w:r>
      <w:r w:rsidRPr="00A7172B">
        <w:rPr>
          <w:rFonts w:ascii="Arial" w:hAnsi="Arial" w:cs="Arial"/>
          <w:sz w:val="22"/>
          <w:szCs w:val="22"/>
        </w:rPr>
        <w:t xml:space="preserve"> should be stopped at least 7 days prior to scheduled surgery. </w:t>
      </w:r>
      <w:r w:rsidR="001F6AA1">
        <w:rPr>
          <w:rFonts w:ascii="Arial" w:hAnsi="Arial" w:cs="Arial"/>
          <w:sz w:val="22"/>
          <w:szCs w:val="22"/>
        </w:rPr>
        <w:t xml:space="preserve"> </w:t>
      </w:r>
      <w:r w:rsidRPr="00A7172B">
        <w:rPr>
          <w:rFonts w:ascii="Arial" w:hAnsi="Arial" w:cs="Arial"/>
          <w:sz w:val="22"/>
          <w:szCs w:val="22"/>
        </w:rPr>
        <w:t xml:space="preserve">The decision to resume </w:t>
      </w:r>
      <w:r w:rsidR="002F1277">
        <w:rPr>
          <w:rFonts w:ascii="Arial" w:hAnsi="Arial" w:cs="Arial"/>
          <w:sz w:val="22"/>
          <w:szCs w:val="22"/>
        </w:rPr>
        <w:t>VOTRIENT</w:t>
      </w:r>
      <w:r w:rsidRPr="00A7172B">
        <w:rPr>
          <w:rFonts w:ascii="Arial" w:hAnsi="Arial" w:cs="Arial"/>
          <w:sz w:val="22"/>
          <w:szCs w:val="22"/>
        </w:rPr>
        <w:t xml:space="preserve"> after surgery should be based on clinical judgement of adequate wound healing. </w:t>
      </w:r>
      <w:r w:rsidR="001F6AA1">
        <w:rPr>
          <w:rFonts w:ascii="Arial" w:hAnsi="Arial" w:cs="Arial"/>
          <w:sz w:val="22"/>
          <w:szCs w:val="22"/>
        </w:rPr>
        <w:t xml:space="preserve"> </w:t>
      </w:r>
      <w:r w:rsidR="002F1277">
        <w:rPr>
          <w:rFonts w:ascii="Arial" w:hAnsi="Arial" w:cs="Arial"/>
          <w:sz w:val="22"/>
          <w:szCs w:val="22"/>
        </w:rPr>
        <w:t>VOTRIENT</w:t>
      </w:r>
      <w:r w:rsidRPr="00A7172B">
        <w:rPr>
          <w:rFonts w:ascii="Arial" w:hAnsi="Arial" w:cs="Arial"/>
          <w:sz w:val="22"/>
          <w:szCs w:val="22"/>
        </w:rPr>
        <w:t xml:space="preserve"> should be discontinued in patients with wound dehiscence.</w:t>
      </w:r>
    </w:p>
    <w:p w:rsidR="000A74BE" w:rsidRPr="00A7172B" w:rsidRDefault="000A74BE" w:rsidP="00A7172B">
      <w:pPr>
        <w:spacing w:line="300" w:lineRule="atLeast"/>
        <w:jc w:val="both"/>
        <w:rPr>
          <w:rFonts w:ascii="Arial" w:hAnsi="Arial" w:cs="Arial"/>
          <w:sz w:val="22"/>
          <w:szCs w:val="22"/>
        </w:rPr>
      </w:pPr>
    </w:p>
    <w:p w:rsidR="000A74BE" w:rsidRDefault="000A74BE" w:rsidP="00A7172B">
      <w:pPr>
        <w:spacing w:line="300" w:lineRule="atLeast"/>
        <w:jc w:val="both"/>
        <w:rPr>
          <w:rFonts w:ascii="Arial" w:hAnsi="Arial" w:cs="Arial"/>
          <w:sz w:val="22"/>
          <w:szCs w:val="22"/>
        </w:rPr>
      </w:pPr>
      <w:r w:rsidRPr="00A7172B">
        <w:rPr>
          <w:rFonts w:ascii="Arial" w:hAnsi="Arial" w:cs="Arial"/>
          <w:b/>
          <w:sz w:val="22"/>
          <w:szCs w:val="22"/>
        </w:rPr>
        <w:t>Hypothyroidism:</w:t>
      </w:r>
      <w:r w:rsidRPr="00A7172B">
        <w:rPr>
          <w:rFonts w:ascii="Arial" w:hAnsi="Arial" w:cs="Arial"/>
          <w:sz w:val="22"/>
          <w:szCs w:val="22"/>
        </w:rPr>
        <w:t xml:space="preserve"> In clinical studies with </w:t>
      </w:r>
      <w:r w:rsidR="002F1277">
        <w:rPr>
          <w:rFonts w:ascii="Arial" w:hAnsi="Arial" w:cs="Arial"/>
          <w:sz w:val="22"/>
          <w:szCs w:val="22"/>
        </w:rPr>
        <w:t>VOTRIENT</w:t>
      </w:r>
      <w:r w:rsidRPr="00A7172B">
        <w:rPr>
          <w:rFonts w:ascii="Arial" w:hAnsi="Arial" w:cs="Arial"/>
          <w:sz w:val="22"/>
          <w:szCs w:val="22"/>
        </w:rPr>
        <w:t>, events of hypothyroidism have occurred (</w:t>
      </w:r>
      <w:r w:rsidRPr="00A7172B">
        <w:rPr>
          <w:rFonts w:ascii="Arial" w:hAnsi="Arial" w:cs="Arial"/>
          <w:i/>
          <w:sz w:val="22"/>
          <w:szCs w:val="22"/>
        </w:rPr>
        <w:t xml:space="preserve">see Adverse </w:t>
      </w:r>
      <w:r w:rsidR="00C7085E">
        <w:rPr>
          <w:rFonts w:ascii="Arial" w:hAnsi="Arial" w:cs="Arial"/>
          <w:i/>
          <w:sz w:val="22"/>
          <w:szCs w:val="22"/>
        </w:rPr>
        <w:t>Effects</w:t>
      </w:r>
      <w:r w:rsidRPr="00A7172B">
        <w:rPr>
          <w:rFonts w:ascii="Arial" w:hAnsi="Arial" w:cs="Arial"/>
          <w:sz w:val="22"/>
          <w:szCs w:val="22"/>
        </w:rPr>
        <w:t xml:space="preserve">). </w:t>
      </w:r>
      <w:r w:rsidR="001F6AA1">
        <w:rPr>
          <w:rFonts w:ascii="Arial" w:hAnsi="Arial" w:cs="Arial"/>
          <w:sz w:val="22"/>
          <w:szCs w:val="22"/>
        </w:rPr>
        <w:t xml:space="preserve"> </w:t>
      </w:r>
      <w:r w:rsidRPr="00A7172B">
        <w:rPr>
          <w:rFonts w:ascii="Arial" w:hAnsi="Arial" w:cs="Arial"/>
          <w:sz w:val="22"/>
          <w:szCs w:val="22"/>
        </w:rPr>
        <w:t>Proactive monitoring of thyroid function tests is recommended.</w:t>
      </w:r>
    </w:p>
    <w:p w:rsidR="007D29D1" w:rsidRDefault="007D29D1" w:rsidP="00A7172B">
      <w:pPr>
        <w:spacing w:line="300" w:lineRule="atLeast"/>
        <w:jc w:val="both"/>
        <w:rPr>
          <w:rFonts w:ascii="Arial" w:hAnsi="Arial" w:cs="Arial"/>
          <w:sz w:val="22"/>
          <w:szCs w:val="22"/>
        </w:rPr>
      </w:pPr>
    </w:p>
    <w:p w:rsidR="007D29D1" w:rsidRDefault="007D29D1" w:rsidP="00A7172B">
      <w:pPr>
        <w:spacing w:line="300" w:lineRule="atLeast"/>
        <w:jc w:val="both"/>
        <w:rPr>
          <w:rFonts w:ascii="Arial" w:hAnsi="Arial" w:cs="Arial"/>
          <w:sz w:val="22"/>
          <w:szCs w:val="22"/>
        </w:rPr>
      </w:pPr>
      <w:r>
        <w:rPr>
          <w:rFonts w:ascii="Arial" w:hAnsi="Arial" w:cs="Arial"/>
          <w:b/>
          <w:sz w:val="22"/>
          <w:szCs w:val="22"/>
        </w:rPr>
        <w:t xml:space="preserve">Proteinuria: </w:t>
      </w:r>
      <w:r w:rsidRPr="007D29D1">
        <w:rPr>
          <w:rFonts w:ascii="Arial" w:hAnsi="Arial" w:cs="Arial"/>
          <w:sz w:val="22"/>
          <w:szCs w:val="22"/>
        </w:rPr>
        <w:t xml:space="preserve">In clinical studies with VOTRIENT, </w:t>
      </w:r>
      <w:r>
        <w:rPr>
          <w:rFonts w:ascii="Arial" w:hAnsi="Arial" w:cs="Arial"/>
          <w:sz w:val="22"/>
          <w:szCs w:val="22"/>
        </w:rPr>
        <w:t xml:space="preserve">proteinuria has been reported (see </w:t>
      </w:r>
      <w:r>
        <w:rPr>
          <w:rFonts w:ascii="Arial" w:hAnsi="Arial" w:cs="Arial"/>
          <w:i/>
          <w:sz w:val="22"/>
          <w:szCs w:val="22"/>
        </w:rPr>
        <w:t xml:space="preserve">Adverse </w:t>
      </w:r>
      <w:r w:rsidR="0068739E">
        <w:rPr>
          <w:rFonts w:ascii="Arial" w:hAnsi="Arial" w:cs="Arial"/>
          <w:i/>
          <w:sz w:val="22"/>
          <w:szCs w:val="22"/>
        </w:rPr>
        <w:t>Effects</w:t>
      </w:r>
      <w:r>
        <w:rPr>
          <w:rFonts w:ascii="Arial" w:hAnsi="Arial" w:cs="Arial"/>
          <w:sz w:val="22"/>
          <w:szCs w:val="22"/>
        </w:rPr>
        <w:t>).  Baseline and periodic urinalyses during treatment are recommended and patients should be monitored for worsening proteinuria.  VOTRIENT should be discontinued if the patient develops nephrotic syndrome.</w:t>
      </w:r>
    </w:p>
    <w:p w:rsidR="0092185C" w:rsidRDefault="0092185C" w:rsidP="00A7172B">
      <w:pPr>
        <w:spacing w:line="300" w:lineRule="atLeast"/>
        <w:jc w:val="both"/>
        <w:rPr>
          <w:rFonts w:ascii="Arial" w:hAnsi="Arial" w:cs="Arial"/>
          <w:sz w:val="22"/>
          <w:szCs w:val="22"/>
        </w:rPr>
      </w:pPr>
    </w:p>
    <w:p w:rsidR="00F51450" w:rsidRPr="00484410" w:rsidRDefault="0070259A">
      <w:pPr>
        <w:spacing w:line="300" w:lineRule="atLeast"/>
        <w:jc w:val="both"/>
        <w:rPr>
          <w:rFonts w:ascii="Arial" w:hAnsi="Arial" w:cs="Arial"/>
          <w:sz w:val="22"/>
          <w:szCs w:val="22"/>
        </w:rPr>
      </w:pPr>
      <w:r w:rsidRPr="0070259A">
        <w:rPr>
          <w:rFonts w:ascii="Arial" w:hAnsi="Arial" w:cs="Arial"/>
          <w:b/>
          <w:sz w:val="22"/>
          <w:szCs w:val="22"/>
        </w:rPr>
        <w:t>Infections:</w:t>
      </w:r>
      <w:r w:rsidR="00090947" w:rsidRPr="00484410">
        <w:rPr>
          <w:rFonts w:ascii="Arial" w:hAnsi="Arial" w:cs="Arial"/>
          <w:sz w:val="22"/>
          <w:szCs w:val="22"/>
        </w:rPr>
        <w:t xml:space="preserve"> Cases of serious infections (with or without neutropenia), in some cases with fatal outcomes, have been reported.</w:t>
      </w:r>
    </w:p>
    <w:p w:rsidR="00F51450" w:rsidRPr="00484410" w:rsidRDefault="00F51450">
      <w:pPr>
        <w:spacing w:line="300" w:lineRule="atLeast"/>
        <w:jc w:val="both"/>
        <w:rPr>
          <w:rFonts w:ascii="Arial" w:hAnsi="Arial" w:cs="Arial"/>
          <w:sz w:val="22"/>
          <w:szCs w:val="22"/>
        </w:rPr>
      </w:pPr>
    </w:p>
    <w:p w:rsidR="00F51450" w:rsidRDefault="0070259A">
      <w:pPr>
        <w:spacing w:line="300" w:lineRule="atLeast"/>
        <w:jc w:val="both"/>
        <w:rPr>
          <w:rFonts w:ascii="Arial" w:hAnsi="Arial" w:cs="Arial"/>
          <w:sz w:val="22"/>
          <w:szCs w:val="22"/>
        </w:rPr>
      </w:pPr>
      <w:r w:rsidRPr="0070259A">
        <w:rPr>
          <w:rFonts w:ascii="Arial" w:hAnsi="Arial" w:cs="Arial"/>
          <w:b/>
          <w:sz w:val="22"/>
          <w:szCs w:val="22"/>
        </w:rPr>
        <w:t>Combination with other systemic anti-cancer therapies:</w:t>
      </w:r>
      <w:r w:rsidR="00090947" w:rsidRPr="00484410">
        <w:rPr>
          <w:rFonts w:ascii="Arial" w:hAnsi="Arial" w:cs="Arial"/>
          <w:sz w:val="22"/>
          <w:szCs w:val="22"/>
        </w:rPr>
        <w:t xml:space="preserve"> Clinical trials of VOTRIENT in combination with ALIMTA (non-small cell lung cancer (NSCLC)) and TYKERB (cervical cancer) were terminated early due to concerns over increased toxicity and/or mortality, and a safe and effective combination dose have not been established with these regimens. VOTRIENT is not indicated for use in combination with other agents.</w:t>
      </w:r>
    </w:p>
    <w:p w:rsidR="00BE020F" w:rsidRPr="00BE020F" w:rsidRDefault="00BE020F" w:rsidP="00BE020F">
      <w:pPr>
        <w:spacing w:line="300" w:lineRule="atLeast"/>
        <w:jc w:val="both"/>
        <w:rPr>
          <w:rFonts w:ascii="Arial" w:hAnsi="Arial" w:cs="Arial"/>
          <w:sz w:val="22"/>
          <w:szCs w:val="22"/>
        </w:rPr>
      </w:pPr>
    </w:p>
    <w:p w:rsidR="00EC4D33" w:rsidRPr="002B2A5B" w:rsidRDefault="0070259A" w:rsidP="00A7172B">
      <w:pPr>
        <w:spacing w:line="300" w:lineRule="atLeast"/>
        <w:jc w:val="both"/>
        <w:rPr>
          <w:rFonts w:ascii="Arial" w:hAnsi="Arial" w:cs="Arial"/>
          <w:noProof/>
          <w:sz w:val="22"/>
          <w:szCs w:val="22"/>
        </w:rPr>
      </w:pPr>
      <w:r w:rsidRPr="0070259A">
        <w:rPr>
          <w:rFonts w:ascii="Arial" w:hAnsi="Arial" w:cs="Arial"/>
          <w:b/>
          <w:sz w:val="22"/>
          <w:szCs w:val="22"/>
        </w:rPr>
        <w:t>Juvenile Toxicity:</w:t>
      </w:r>
      <w:r w:rsidR="002100BD">
        <w:rPr>
          <w:rFonts w:ascii="Arial" w:hAnsi="Arial" w:cs="Arial"/>
          <w:sz w:val="22"/>
          <w:szCs w:val="22"/>
        </w:rPr>
        <w:t xml:space="preserve"> </w:t>
      </w:r>
      <w:r w:rsidR="00034BC6" w:rsidRPr="00A62D57">
        <w:rPr>
          <w:rFonts w:ascii="Arial" w:hAnsi="Arial" w:cs="Arial"/>
          <w:noProof/>
          <w:sz w:val="22"/>
          <w:szCs w:val="22"/>
        </w:rPr>
        <w:t>VOTRIENT is not recommended for use in children and adolescents below 18 years of age due to insufficient data on safety and efficacy</w:t>
      </w:r>
      <w:r w:rsidR="00034BC6">
        <w:rPr>
          <w:rFonts w:ascii="Arial" w:hAnsi="Arial" w:cs="Arial"/>
          <w:noProof/>
          <w:sz w:val="22"/>
          <w:szCs w:val="22"/>
        </w:rPr>
        <w:t xml:space="preserve">. Because the mechanism of </w:t>
      </w:r>
      <w:r w:rsidR="00034BC6" w:rsidRPr="002B2A5B">
        <w:rPr>
          <w:rFonts w:ascii="Arial" w:hAnsi="Arial" w:cs="Arial"/>
          <w:noProof/>
          <w:sz w:val="22"/>
          <w:szCs w:val="22"/>
        </w:rPr>
        <w:t>action of VOTRIENT can severely affect organ growth and maturation during early post natal development, VOTRIENT is predicted to cause severe or life-threatening toxicity in patients younger than 2 years of age and should not be given.</w:t>
      </w:r>
    </w:p>
    <w:p w:rsidR="00412BF5" w:rsidRDefault="00412BF5">
      <w:pPr>
        <w:rPr>
          <w:rFonts w:ascii="Arial" w:hAnsi="Arial" w:cs="Arial"/>
          <w:sz w:val="22"/>
          <w:szCs w:val="22"/>
        </w:rPr>
      </w:pPr>
      <w:r>
        <w:rPr>
          <w:rFonts w:ascii="Arial" w:hAnsi="Arial" w:cs="Arial"/>
          <w:sz w:val="22"/>
          <w:szCs w:val="22"/>
        </w:rPr>
        <w:br w:type="page"/>
      </w:r>
    </w:p>
    <w:p w:rsidR="000C401D" w:rsidRPr="00200A84" w:rsidRDefault="002100BD" w:rsidP="00795E3A">
      <w:pPr>
        <w:spacing w:line="300" w:lineRule="atLeast"/>
        <w:jc w:val="both"/>
        <w:rPr>
          <w:rFonts w:ascii="Arial" w:hAnsi="Arial" w:cs="Arial"/>
          <w:sz w:val="22"/>
          <w:szCs w:val="22"/>
        </w:rPr>
      </w:pPr>
      <w:r w:rsidRPr="002B2A5B">
        <w:rPr>
          <w:rFonts w:ascii="Arial" w:hAnsi="Arial" w:cs="Arial"/>
          <w:sz w:val="22"/>
          <w:szCs w:val="22"/>
        </w:rPr>
        <w:t>In juve</w:t>
      </w:r>
      <w:r w:rsidR="00195C78" w:rsidRPr="002B2A5B">
        <w:rPr>
          <w:rFonts w:ascii="Arial" w:hAnsi="Arial" w:cs="Arial"/>
          <w:sz w:val="22"/>
          <w:szCs w:val="22"/>
        </w:rPr>
        <w:t xml:space="preserve">nile toxicity studies, when </w:t>
      </w:r>
      <w:r w:rsidR="00614F0A" w:rsidRPr="002B2A5B">
        <w:rPr>
          <w:rFonts w:ascii="Arial" w:hAnsi="Arial" w:cs="Arial"/>
          <w:sz w:val="22"/>
          <w:szCs w:val="22"/>
        </w:rPr>
        <w:t xml:space="preserve">pre-weaning </w:t>
      </w:r>
      <w:r w:rsidR="00195C78" w:rsidRPr="002B2A5B">
        <w:rPr>
          <w:rFonts w:ascii="Arial" w:hAnsi="Arial" w:cs="Arial"/>
          <w:sz w:val="22"/>
          <w:szCs w:val="22"/>
        </w:rPr>
        <w:t>rat</w:t>
      </w:r>
      <w:r w:rsidRPr="002B2A5B">
        <w:rPr>
          <w:rFonts w:ascii="Arial" w:hAnsi="Arial" w:cs="Arial"/>
          <w:sz w:val="22"/>
          <w:szCs w:val="22"/>
        </w:rPr>
        <w:t xml:space="preserve">s were dosed from day 9 post partum through day </w:t>
      </w:r>
      <w:r w:rsidR="00614F0A" w:rsidRPr="002B2A5B">
        <w:rPr>
          <w:rFonts w:ascii="Arial" w:hAnsi="Arial" w:cs="Arial"/>
          <w:sz w:val="22"/>
          <w:szCs w:val="22"/>
        </w:rPr>
        <w:t xml:space="preserve">14 </w:t>
      </w:r>
      <w:r w:rsidRPr="002B2A5B">
        <w:rPr>
          <w:rFonts w:ascii="Arial" w:hAnsi="Arial" w:cs="Arial"/>
          <w:sz w:val="22"/>
          <w:szCs w:val="22"/>
        </w:rPr>
        <w:t>postpartum, pazopanib caused mortalities and abnormal organ growth/maturation in kidney, lung, liver and heart, at a dose approximately 0.1 times the clinical exposure based on AUC in adults.</w:t>
      </w:r>
      <w:r w:rsidR="00200A84" w:rsidRPr="002B2A5B">
        <w:rPr>
          <w:rFonts w:ascii="Arial" w:hAnsi="Arial" w:cs="Arial"/>
          <w:sz w:val="22"/>
          <w:szCs w:val="22"/>
        </w:rPr>
        <w:t xml:space="preserve"> </w:t>
      </w:r>
      <w:r w:rsidR="00200A84" w:rsidRPr="002B2A5B">
        <w:rPr>
          <w:rFonts w:ascii="Arial" w:hAnsi="Arial" w:cs="Arial"/>
          <w:sz w:val="22"/>
          <w:szCs w:val="22"/>
          <w:lang w:val="en-GB"/>
        </w:rPr>
        <w:t>In rats, weaning occurs at day 21 postpartum which approximately equates to a human paediatric age of 2 years.</w:t>
      </w:r>
    </w:p>
    <w:p w:rsidR="000C401D" w:rsidRPr="0051685F" w:rsidRDefault="000C401D" w:rsidP="000C401D">
      <w:pPr>
        <w:pStyle w:val="NoNumHead3"/>
        <w:keepNext w:val="0"/>
        <w:spacing w:after="120" w:line="300" w:lineRule="atLeast"/>
        <w:jc w:val="both"/>
        <w:rPr>
          <w:rFonts w:cs="Arial"/>
          <w:b w:val="0"/>
          <w:sz w:val="22"/>
          <w:szCs w:val="22"/>
          <w:lang w:val="en-AU" w:eastAsia="en-AU"/>
        </w:rPr>
      </w:pPr>
      <w:r w:rsidRPr="006057F8">
        <w:rPr>
          <w:rFonts w:cs="Arial"/>
          <w:sz w:val="22"/>
          <w:szCs w:val="22"/>
          <w:lang w:val="en-AU" w:eastAsia="en-AU"/>
        </w:rPr>
        <w:t>Interactions</w:t>
      </w:r>
      <w:r w:rsidR="005D0815" w:rsidRPr="006057F8">
        <w:rPr>
          <w:rFonts w:cs="Arial"/>
          <w:sz w:val="22"/>
          <w:szCs w:val="22"/>
          <w:lang w:val="en-AU" w:eastAsia="en-AU"/>
        </w:rPr>
        <w:t xml:space="preserve"> with CYP3A4 Inhibitors</w:t>
      </w:r>
      <w:r w:rsidRPr="006057F8">
        <w:rPr>
          <w:rFonts w:cs="Arial"/>
          <w:sz w:val="22"/>
          <w:szCs w:val="22"/>
          <w:lang w:val="en-AU" w:eastAsia="en-AU"/>
        </w:rPr>
        <w:t>:</w:t>
      </w:r>
      <w:r w:rsidRPr="006057F8">
        <w:rPr>
          <w:rFonts w:cs="Arial"/>
          <w:b w:val="0"/>
          <w:sz w:val="22"/>
          <w:szCs w:val="22"/>
          <w:lang w:val="en-AU" w:eastAsia="en-AU"/>
        </w:rPr>
        <w:t xml:space="preserve"> Concomitant treatment with strong inhibitors of CYP3A4</w:t>
      </w:r>
      <w:r w:rsidR="002E1AD9" w:rsidRPr="006057F8">
        <w:rPr>
          <w:rFonts w:cs="Arial"/>
          <w:b w:val="0"/>
          <w:sz w:val="22"/>
          <w:szCs w:val="22"/>
          <w:lang w:val="en-AU" w:eastAsia="en-AU"/>
        </w:rPr>
        <w:t xml:space="preserve"> or</w:t>
      </w:r>
      <w:r w:rsidRPr="006057F8">
        <w:rPr>
          <w:rFonts w:cs="Arial"/>
          <w:b w:val="0"/>
          <w:sz w:val="22"/>
          <w:szCs w:val="22"/>
          <w:lang w:val="en-AU" w:eastAsia="en-AU"/>
        </w:rPr>
        <w:t xml:space="preserve"> P-glycoprotein (P-gp)</w:t>
      </w:r>
      <w:r w:rsidR="004076C6" w:rsidRPr="006057F8">
        <w:rPr>
          <w:rFonts w:cs="Arial"/>
          <w:b w:val="0"/>
          <w:sz w:val="22"/>
          <w:szCs w:val="22"/>
          <w:lang w:val="en-AU" w:eastAsia="en-AU"/>
        </w:rPr>
        <w:t xml:space="preserve"> </w:t>
      </w:r>
      <w:r w:rsidRPr="006057F8">
        <w:rPr>
          <w:rFonts w:cs="Arial"/>
          <w:b w:val="0"/>
          <w:sz w:val="22"/>
          <w:szCs w:val="22"/>
          <w:lang w:val="en-AU" w:eastAsia="en-AU"/>
        </w:rPr>
        <w:t>should be avoided due to risk of increased exposure to pazopanib</w:t>
      </w:r>
      <w:r w:rsidR="00695F75" w:rsidRPr="006057F8">
        <w:rPr>
          <w:rFonts w:cs="Arial"/>
          <w:b w:val="0"/>
          <w:sz w:val="22"/>
          <w:szCs w:val="22"/>
          <w:lang w:val="en-AU" w:eastAsia="en-AU"/>
        </w:rPr>
        <w:t xml:space="preserve"> (</w:t>
      </w:r>
      <w:r w:rsidR="00695F75" w:rsidRPr="006057F8">
        <w:rPr>
          <w:rFonts w:cs="Arial"/>
          <w:b w:val="0"/>
          <w:i/>
          <w:sz w:val="22"/>
          <w:szCs w:val="22"/>
          <w:lang w:val="en-AU" w:eastAsia="en-AU"/>
        </w:rPr>
        <w:t>see Interactions with Other Medicines</w:t>
      </w:r>
      <w:r w:rsidR="00695F75" w:rsidRPr="006057F8">
        <w:rPr>
          <w:rFonts w:cs="Arial"/>
          <w:b w:val="0"/>
          <w:sz w:val="22"/>
          <w:szCs w:val="22"/>
          <w:lang w:val="en-AU" w:eastAsia="en-AU"/>
        </w:rPr>
        <w:t>)</w:t>
      </w:r>
      <w:r w:rsidRPr="006057F8">
        <w:rPr>
          <w:rFonts w:cs="Arial"/>
          <w:b w:val="0"/>
          <w:sz w:val="22"/>
          <w:szCs w:val="22"/>
          <w:lang w:val="en-AU" w:eastAsia="en-AU"/>
        </w:rPr>
        <w:t>. Selection of alternative concomitant medicinal products with no or mini</w:t>
      </w:r>
      <w:r w:rsidR="00120837" w:rsidRPr="006057F8">
        <w:rPr>
          <w:rFonts w:cs="Arial"/>
          <w:b w:val="0"/>
          <w:sz w:val="22"/>
          <w:szCs w:val="22"/>
          <w:lang w:val="en-AU" w:eastAsia="en-AU"/>
        </w:rPr>
        <w:t>mal potential to inhibit CYP3A4</w:t>
      </w:r>
      <w:r w:rsidR="002E1AD9" w:rsidRPr="006057F8">
        <w:rPr>
          <w:rFonts w:cs="Arial"/>
          <w:b w:val="0"/>
          <w:sz w:val="22"/>
          <w:szCs w:val="22"/>
          <w:lang w:val="en-AU" w:eastAsia="en-AU"/>
        </w:rPr>
        <w:t xml:space="preserve"> or</w:t>
      </w:r>
      <w:r w:rsidR="00120837" w:rsidRPr="006057F8">
        <w:rPr>
          <w:rFonts w:cs="Arial"/>
          <w:b w:val="0"/>
          <w:sz w:val="22"/>
          <w:szCs w:val="22"/>
          <w:lang w:val="en-AU" w:eastAsia="en-AU"/>
        </w:rPr>
        <w:t xml:space="preserve"> P</w:t>
      </w:r>
      <w:r w:rsidR="00120837" w:rsidRPr="006057F8">
        <w:rPr>
          <w:rFonts w:cs="Arial"/>
          <w:b w:val="0"/>
          <w:sz w:val="22"/>
          <w:szCs w:val="22"/>
          <w:lang w:val="en-AU" w:eastAsia="en-AU"/>
        </w:rPr>
        <w:noBreakHyphen/>
        <w:t>gp s</w:t>
      </w:r>
      <w:r w:rsidRPr="006057F8">
        <w:rPr>
          <w:rFonts w:cs="Arial"/>
          <w:b w:val="0"/>
          <w:sz w:val="22"/>
          <w:szCs w:val="22"/>
          <w:lang w:val="en-AU" w:eastAsia="en-AU"/>
        </w:rPr>
        <w:t>hould be considered.</w:t>
      </w:r>
    </w:p>
    <w:p w:rsidR="00683316" w:rsidRDefault="00683316">
      <w:pPr>
        <w:rPr>
          <w:rFonts w:ascii="Arial" w:hAnsi="Arial" w:cs="Arial"/>
          <w:b/>
          <w:sz w:val="22"/>
          <w:szCs w:val="22"/>
          <w:lang w:val="en-GB" w:eastAsia="ja-JP"/>
        </w:rPr>
      </w:pPr>
    </w:p>
    <w:p w:rsidR="003B4348" w:rsidRDefault="003B4348" w:rsidP="003F12DD">
      <w:pPr>
        <w:pStyle w:val="NoNumHead3"/>
        <w:keepNext w:val="0"/>
        <w:spacing w:after="120"/>
        <w:rPr>
          <w:rFonts w:cs="Arial"/>
          <w:sz w:val="22"/>
          <w:szCs w:val="22"/>
        </w:rPr>
      </w:pPr>
      <w:r>
        <w:rPr>
          <w:rFonts w:cs="Arial"/>
          <w:sz w:val="22"/>
          <w:szCs w:val="22"/>
        </w:rPr>
        <w:t>Effects on fertility</w:t>
      </w:r>
    </w:p>
    <w:p w:rsidR="00F355A4" w:rsidRDefault="003002BA" w:rsidP="003B4348">
      <w:pPr>
        <w:tabs>
          <w:tab w:val="left" w:pos="720"/>
          <w:tab w:val="left" w:pos="994"/>
        </w:tabs>
        <w:autoSpaceDE w:val="0"/>
        <w:autoSpaceDN w:val="0"/>
        <w:adjustRightInd w:val="0"/>
        <w:spacing w:line="300" w:lineRule="atLeast"/>
        <w:jc w:val="both"/>
        <w:rPr>
          <w:rFonts w:ascii="Arial" w:hAnsi="Arial" w:cs="Arial"/>
          <w:color w:val="000000"/>
          <w:sz w:val="22"/>
          <w:szCs w:val="22"/>
        </w:rPr>
      </w:pPr>
      <w:r>
        <w:rPr>
          <w:rFonts w:ascii="Arial" w:hAnsi="Arial" w:cs="Arial"/>
          <w:sz w:val="22"/>
          <w:szCs w:val="22"/>
        </w:rPr>
        <w:t xml:space="preserve">Pazopanib </w:t>
      </w:r>
      <w:r w:rsidR="003B4348">
        <w:rPr>
          <w:rFonts w:ascii="Arial" w:hAnsi="Arial" w:cs="Arial"/>
          <w:sz w:val="22"/>
          <w:szCs w:val="22"/>
        </w:rPr>
        <w:t xml:space="preserve">may impair fertility in human males and females.  In </w:t>
      </w:r>
      <w:r>
        <w:rPr>
          <w:rFonts w:ascii="Arial" w:hAnsi="Arial" w:cs="Arial"/>
          <w:sz w:val="22"/>
          <w:szCs w:val="22"/>
        </w:rPr>
        <w:t xml:space="preserve">a </w:t>
      </w:r>
      <w:r w:rsidR="003B4348">
        <w:rPr>
          <w:rFonts w:ascii="Arial" w:hAnsi="Arial" w:cs="Arial"/>
          <w:sz w:val="22"/>
          <w:szCs w:val="22"/>
        </w:rPr>
        <w:t xml:space="preserve">female reproductive toxicity </w:t>
      </w:r>
      <w:r>
        <w:rPr>
          <w:rFonts w:ascii="Arial" w:hAnsi="Arial" w:cs="Arial"/>
          <w:sz w:val="22"/>
          <w:szCs w:val="22"/>
        </w:rPr>
        <w:t xml:space="preserve">study </w:t>
      </w:r>
      <w:r w:rsidR="003B4348">
        <w:rPr>
          <w:rFonts w:ascii="Arial" w:hAnsi="Arial" w:cs="Arial"/>
          <w:sz w:val="22"/>
          <w:szCs w:val="22"/>
        </w:rPr>
        <w:t>in rats, reduced fertility has been observed</w:t>
      </w:r>
      <w:r w:rsidR="00615FF2">
        <w:rPr>
          <w:rFonts w:ascii="Arial" w:hAnsi="Arial" w:cs="Arial"/>
          <w:sz w:val="22"/>
          <w:szCs w:val="22"/>
        </w:rPr>
        <w:t xml:space="preserve">. </w:t>
      </w:r>
      <w:r w:rsidR="00615FF2">
        <w:rPr>
          <w:rFonts w:ascii="Arial" w:hAnsi="Arial" w:cs="Arial"/>
          <w:i/>
          <w:sz w:val="22"/>
          <w:szCs w:val="22"/>
        </w:rPr>
        <w:t xml:space="preserve"> </w:t>
      </w:r>
      <w:r w:rsidR="00615FF2" w:rsidRPr="00495E83">
        <w:rPr>
          <w:rFonts w:ascii="Arial" w:hAnsi="Arial" w:cs="Arial"/>
          <w:color w:val="000000"/>
          <w:sz w:val="22"/>
          <w:szCs w:val="22"/>
        </w:rPr>
        <w:t>Decreased corpora lutea</w:t>
      </w:r>
      <w:r>
        <w:rPr>
          <w:rFonts w:ascii="Arial" w:hAnsi="Arial" w:cs="Arial"/>
          <w:color w:val="000000"/>
          <w:sz w:val="22"/>
          <w:szCs w:val="22"/>
        </w:rPr>
        <w:t xml:space="preserve"> and </w:t>
      </w:r>
      <w:r w:rsidR="00615FF2" w:rsidRPr="00495E83">
        <w:rPr>
          <w:rFonts w:ascii="Arial" w:hAnsi="Arial" w:cs="Arial"/>
          <w:color w:val="000000"/>
          <w:sz w:val="22"/>
          <w:szCs w:val="22"/>
        </w:rPr>
        <w:t xml:space="preserve">increased </w:t>
      </w:r>
      <w:r>
        <w:rPr>
          <w:rFonts w:ascii="Arial" w:hAnsi="Arial" w:cs="Arial"/>
          <w:color w:val="000000"/>
          <w:sz w:val="22"/>
          <w:szCs w:val="22"/>
        </w:rPr>
        <w:t xml:space="preserve">incidence of ovarian </w:t>
      </w:r>
      <w:r w:rsidR="00615FF2" w:rsidRPr="00495E83">
        <w:rPr>
          <w:rFonts w:ascii="Arial" w:hAnsi="Arial" w:cs="Arial"/>
          <w:color w:val="000000"/>
          <w:sz w:val="22"/>
          <w:szCs w:val="22"/>
        </w:rPr>
        <w:t xml:space="preserve">cysts and atrophy have also been noted in rodents. </w:t>
      </w:r>
      <w:r w:rsidR="00615FF2">
        <w:rPr>
          <w:rFonts w:ascii="Arial" w:hAnsi="Arial" w:cs="Arial"/>
          <w:color w:val="000000"/>
          <w:sz w:val="22"/>
          <w:szCs w:val="22"/>
        </w:rPr>
        <w:t xml:space="preserve"> </w:t>
      </w:r>
      <w:r>
        <w:rPr>
          <w:rFonts w:ascii="Arial" w:hAnsi="Arial" w:cs="Arial"/>
          <w:color w:val="000000"/>
          <w:sz w:val="22"/>
          <w:szCs w:val="22"/>
        </w:rPr>
        <w:t>Decreased corpora lutea was also noted in cynomolgus monkeys given 500 mg/kg/day pazopanib (equivalent to the human clinical exposure based on AUC) for up to 34 weeks.</w:t>
      </w:r>
    </w:p>
    <w:p w:rsidR="00F355A4" w:rsidRDefault="00F355A4" w:rsidP="003B4348">
      <w:pPr>
        <w:tabs>
          <w:tab w:val="left" w:pos="720"/>
          <w:tab w:val="left" w:pos="994"/>
        </w:tabs>
        <w:autoSpaceDE w:val="0"/>
        <w:autoSpaceDN w:val="0"/>
        <w:adjustRightInd w:val="0"/>
        <w:spacing w:line="300" w:lineRule="atLeast"/>
        <w:jc w:val="both"/>
        <w:rPr>
          <w:rFonts w:ascii="Arial" w:hAnsi="Arial" w:cs="Arial"/>
          <w:color w:val="000000"/>
          <w:sz w:val="22"/>
          <w:szCs w:val="22"/>
        </w:rPr>
      </w:pPr>
    </w:p>
    <w:p w:rsidR="003B4348" w:rsidRPr="00F355A4" w:rsidRDefault="00F355A4" w:rsidP="003B4348">
      <w:pPr>
        <w:tabs>
          <w:tab w:val="left" w:pos="720"/>
          <w:tab w:val="left" w:pos="994"/>
        </w:tabs>
        <w:autoSpaceDE w:val="0"/>
        <w:autoSpaceDN w:val="0"/>
        <w:adjustRightInd w:val="0"/>
        <w:spacing w:line="300" w:lineRule="atLeast"/>
        <w:jc w:val="both"/>
        <w:rPr>
          <w:rFonts w:ascii="Arial" w:hAnsi="Arial" w:cs="Arial"/>
          <w:sz w:val="22"/>
          <w:szCs w:val="22"/>
        </w:rPr>
      </w:pPr>
      <w:r w:rsidRPr="00F355A4">
        <w:rPr>
          <w:rFonts w:ascii="Arial" w:hAnsi="Arial" w:cs="Arial"/>
          <w:color w:val="000000"/>
          <w:sz w:val="22"/>
          <w:szCs w:val="22"/>
        </w:rPr>
        <w:t xml:space="preserve">Pazopanib did not affect mating or fertility in male rats. </w:t>
      </w:r>
      <w:r>
        <w:rPr>
          <w:rFonts w:ascii="Arial" w:hAnsi="Arial" w:cs="Arial"/>
          <w:color w:val="000000"/>
          <w:sz w:val="22"/>
          <w:szCs w:val="22"/>
        </w:rPr>
        <w:t xml:space="preserve"> </w:t>
      </w:r>
      <w:r w:rsidRPr="00F355A4">
        <w:rPr>
          <w:rFonts w:ascii="Arial" w:hAnsi="Arial" w:cs="Arial"/>
          <w:color w:val="000000"/>
          <w:sz w:val="22"/>
          <w:szCs w:val="22"/>
        </w:rPr>
        <w:t xml:space="preserve">However, there were reductions in sperm production rates, sperm motility, and epididymal and testicular sperm concentrations at </w:t>
      </w:r>
      <w:r w:rsidR="003002BA">
        <w:rPr>
          <w:rFonts w:ascii="Arial" w:hAnsi="Arial" w:cs="Arial"/>
          <w:color w:val="000000"/>
          <w:sz w:val="22"/>
          <w:szCs w:val="22"/>
        </w:rPr>
        <w:t xml:space="preserve">doses </w:t>
      </w:r>
      <w:r w:rsidRPr="00F355A4">
        <w:rPr>
          <w:rFonts w:ascii="Arial" w:hAnsi="Arial" w:cs="Arial"/>
          <w:color w:val="000000"/>
          <w:sz w:val="22"/>
          <w:szCs w:val="22"/>
        </w:rPr>
        <w:t xml:space="preserve">≥ 100 mg/kg/day (approximately </w:t>
      </w:r>
      <w:r w:rsidR="003002BA">
        <w:rPr>
          <w:rFonts w:ascii="Arial" w:hAnsi="Arial" w:cs="Arial"/>
          <w:color w:val="000000"/>
          <w:sz w:val="22"/>
          <w:szCs w:val="22"/>
        </w:rPr>
        <w:t>0.3</w:t>
      </w:r>
      <w:r w:rsidRPr="00F355A4">
        <w:rPr>
          <w:rFonts w:ascii="Arial" w:hAnsi="Arial" w:cs="Arial"/>
          <w:color w:val="000000"/>
          <w:sz w:val="22"/>
          <w:szCs w:val="22"/>
        </w:rPr>
        <w:t xml:space="preserve"> times the human clinical exposure based on AUC) following 15 weeks of dosing. </w:t>
      </w:r>
      <w:r>
        <w:rPr>
          <w:rFonts w:ascii="Arial" w:hAnsi="Arial" w:cs="Arial"/>
          <w:color w:val="000000"/>
          <w:sz w:val="22"/>
          <w:szCs w:val="22"/>
        </w:rPr>
        <w:t xml:space="preserve"> </w:t>
      </w:r>
      <w:r w:rsidRPr="00F355A4">
        <w:rPr>
          <w:rFonts w:ascii="Arial" w:hAnsi="Arial" w:cs="Arial"/>
          <w:color w:val="000000"/>
          <w:sz w:val="22"/>
          <w:szCs w:val="22"/>
        </w:rPr>
        <w:t xml:space="preserve">Following </w:t>
      </w:r>
      <w:r w:rsidR="003002BA">
        <w:rPr>
          <w:rFonts w:ascii="Arial" w:hAnsi="Arial" w:cs="Arial"/>
          <w:color w:val="000000"/>
          <w:sz w:val="22"/>
          <w:szCs w:val="22"/>
        </w:rPr>
        <w:t xml:space="preserve">15 and </w:t>
      </w:r>
      <w:r w:rsidRPr="00F355A4">
        <w:rPr>
          <w:rFonts w:ascii="Arial" w:hAnsi="Arial" w:cs="Arial"/>
          <w:color w:val="000000"/>
          <w:sz w:val="22"/>
          <w:szCs w:val="22"/>
        </w:rPr>
        <w:t>26 weeks of dosing, there were decreased testicular and epididymal weights</w:t>
      </w:r>
      <w:r w:rsidR="003002BA">
        <w:rPr>
          <w:rFonts w:ascii="Arial" w:hAnsi="Arial" w:cs="Arial"/>
          <w:color w:val="000000"/>
          <w:sz w:val="22"/>
          <w:szCs w:val="22"/>
        </w:rPr>
        <w:t xml:space="preserve"> at </w:t>
      </w:r>
      <w:r w:rsidR="003002BA" w:rsidRPr="00F355A4">
        <w:rPr>
          <w:rFonts w:ascii="Arial" w:hAnsi="Arial" w:cs="Arial"/>
          <w:color w:val="000000"/>
          <w:sz w:val="22"/>
          <w:szCs w:val="22"/>
        </w:rPr>
        <w:t>≥ 30 mg/kg/day (approximately 0.</w:t>
      </w:r>
      <w:r w:rsidR="00535FEF" w:rsidRPr="00560F6D">
        <w:rPr>
          <w:rFonts w:ascii="Arial" w:hAnsi="Arial" w:cs="Arial"/>
          <w:color w:val="000000"/>
          <w:sz w:val="22"/>
          <w:szCs w:val="22"/>
        </w:rPr>
        <w:t>4</w:t>
      </w:r>
      <w:r w:rsidR="003002BA" w:rsidRPr="00F355A4">
        <w:rPr>
          <w:rFonts w:ascii="Arial" w:hAnsi="Arial" w:cs="Arial"/>
          <w:color w:val="000000"/>
          <w:sz w:val="22"/>
          <w:szCs w:val="22"/>
        </w:rPr>
        <w:t xml:space="preserve"> times the human clinical exposure based on AUC)</w:t>
      </w:r>
      <w:r w:rsidR="003002BA">
        <w:rPr>
          <w:rFonts w:ascii="Arial" w:hAnsi="Arial" w:cs="Arial"/>
          <w:color w:val="000000"/>
          <w:sz w:val="22"/>
          <w:szCs w:val="22"/>
        </w:rPr>
        <w:t>.</w:t>
      </w:r>
      <w:r w:rsidR="003002BA" w:rsidRPr="00F355A4">
        <w:rPr>
          <w:rFonts w:ascii="Arial" w:hAnsi="Arial" w:cs="Arial"/>
          <w:color w:val="000000"/>
          <w:sz w:val="22"/>
          <w:szCs w:val="22"/>
        </w:rPr>
        <w:t xml:space="preserve"> </w:t>
      </w:r>
      <w:r w:rsidR="003002BA">
        <w:rPr>
          <w:rFonts w:ascii="Arial" w:hAnsi="Arial" w:cs="Arial"/>
          <w:color w:val="000000"/>
          <w:sz w:val="22"/>
          <w:szCs w:val="22"/>
        </w:rPr>
        <w:t xml:space="preserve"> A</w:t>
      </w:r>
      <w:r w:rsidR="003002BA" w:rsidRPr="00F355A4">
        <w:rPr>
          <w:rFonts w:ascii="Arial" w:hAnsi="Arial" w:cs="Arial"/>
          <w:color w:val="000000"/>
          <w:sz w:val="22"/>
          <w:szCs w:val="22"/>
        </w:rPr>
        <w:t xml:space="preserve">trophy </w:t>
      </w:r>
      <w:r w:rsidRPr="00F355A4">
        <w:rPr>
          <w:rFonts w:ascii="Arial" w:hAnsi="Arial" w:cs="Arial"/>
          <w:color w:val="000000"/>
          <w:sz w:val="22"/>
          <w:szCs w:val="22"/>
        </w:rPr>
        <w:t xml:space="preserve">and degeneration of the testes with aspermia, hypospermia and cribiform change in the epididymis </w:t>
      </w:r>
      <w:r w:rsidR="003002BA">
        <w:rPr>
          <w:rFonts w:ascii="Arial" w:hAnsi="Arial" w:cs="Arial"/>
          <w:color w:val="000000"/>
          <w:sz w:val="22"/>
          <w:szCs w:val="22"/>
        </w:rPr>
        <w:t>was also observed</w:t>
      </w:r>
      <w:r w:rsidR="003002BA" w:rsidRPr="00F355A4">
        <w:rPr>
          <w:rFonts w:ascii="Arial" w:hAnsi="Arial" w:cs="Arial"/>
          <w:color w:val="000000"/>
          <w:sz w:val="22"/>
          <w:szCs w:val="22"/>
        </w:rPr>
        <w:t xml:space="preserve"> </w:t>
      </w:r>
      <w:r w:rsidR="003002BA">
        <w:rPr>
          <w:rFonts w:ascii="Arial" w:hAnsi="Arial" w:cs="Arial"/>
          <w:color w:val="000000"/>
          <w:sz w:val="22"/>
          <w:szCs w:val="22"/>
        </w:rPr>
        <w:t xml:space="preserve">in </w:t>
      </w:r>
      <w:r w:rsidRPr="00F355A4">
        <w:rPr>
          <w:rFonts w:ascii="Arial" w:hAnsi="Arial" w:cs="Arial"/>
          <w:color w:val="000000"/>
          <w:sz w:val="22"/>
          <w:szCs w:val="22"/>
        </w:rPr>
        <w:t xml:space="preserve">male rats given ≥ 30 mg/kg/day </w:t>
      </w:r>
      <w:r w:rsidR="003002BA">
        <w:rPr>
          <w:rFonts w:ascii="Arial" w:hAnsi="Arial" w:cs="Arial"/>
          <w:color w:val="000000"/>
          <w:sz w:val="22"/>
          <w:szCs w:val="22"/>
        </w:rPr>
        <w:t>in the 26-week toxicity study</w:t>
      </w:r>
      <w:r w:rsidRPr="00F355A4">
        <w:rPr>
          <w:rFonts w:ascii="Arial" w:hAnsi="Arial" w:cs="Arial"/>
          <w:color w:val="000000"/>
          <w:sz w:val="22"/>
          <w:szCs w:val="22"/>
        </w:rPr>
        <w:t>.</w:t>
      </w:r>
    </w:p>
    <w:p w:rsidR="003B4348" w:rsidRPr="003B4348" w:rsidRDefault="003B4348" w:rsidP="00B47A44">
      <w:pPr>
        <w:pStyle w:val="NoNumHead3"/>
        <w:keepNext w:val="0"/>
        <w:spacing w:after="120"/>
        <w:rPr>
          <w:rFonts w:cs="Arial"/>
          <w:b w:val="0"/>
          <w:sz w:val="22"/>
          <w:szCs w:val="22"/>
          <w:lang w:val="en-AU"/>
        </w:rPr>
      </w:pPr>
    </w:p>
    <w:p w:rsidR="0001118E" w:rsidRPr="003B4348" w:rsidRDefault="0065036F" w:rsidP="003B4348">
      <w:pPr>
        <w:pStyle w:val="NoNumHead3"/>
        <w:keepNext w:val="0"/>
        <w:spacing w:after="120"/>
        <w:rPr>
          <w:rFonts w:cs="Arial"/>
          <w:sz w:val="22"/>
          <w:szCs w:val="22"/>
        </w:rPr>
      </w:pPr>
      <w:r w:rsidRPr="003B4348">
        <w:rPr>
          <w:sz w:val="22"/>
          <w:szCs w:val="22"/>
        </w:rPr>
        <w:t xml:space="preserve">Use in </w:t>
      </w:r>
      <w:r w:rsidR="006C4A20" w:rsidRPr="003B4348">
        <w:rPr>
          <w:sz w:val="22"/>
          <w:szCs w:val="22"/>
        </w:rPr>
        <w:t>Pregnancy</w:t>
      </w:r>
      <w:r w:rsidR="006760E1" w:rsidRPr="003B4348">
        <w:rPr>
          <w:sz w:val="22"/>
          <w:szCs w:val="22"/>
        </w:rPr>
        <w:t xml:space="preserve"> </w:t>
      </w:r>
      <w:r w:rsidR="00EF2C8F" w:rsidRPr="003B4348">
        <w:rPr>
          <w:sz w:val="22"/>
          <w:szCs w:val="22"/>
        </w:rPr>
        <w:t>(</w:t>
      </w:r>
      <w:r w:rsidR="006760E1" w:rsidRPr="003B4348">
        <w:rPr>
          <w:sz w:val="22"/>
          <w:szCs w:val="22"/>
        </w:rPr>
        <w:t>Category</w:t>
      </w:r>
      <w:r w:rsidR="00EF2C8F" w:rsidRPr="003B4348">
        <w:rPr>
          <w:sz w:val="22"/>
          <w:szCs w:val="22"/>
        </w:rPr>
        <w:t xml:space="preserve"> </w:t>
      </w:r>
      <w:r w:rsidR="00175AA9">
        <w:rPr>
          <w:sz w:val="22"/>
          <w:szCs w:val="22"/>
        </w:rPr>
        <w:t>D</w:t>
      </w:r>
      <w:r w:rsidR="00EF2C8F" w:rsidRPr="003B4348">
        <w:rPr>
          <w:sz w:val="22"/>
          <w:szCs w:val="22"/>
        </w:rPr>
        <w:t>)</w:t>
      </w:r>
    </w:p>
    <w:p w:rsidR="00615FF2" w:rsidRDefault="0001118E" w:rsidP="00615FF2">
      <w:pPr>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There are no adequate data from the use of </w:t>
      </w:r>
      <w:r w:rsidR="00615FF2">
        <w:rPr>
          <w:rFonts w:ascii="Arial" w:hAnsi="Arial" w:cs="Arial"/>
          <w:sz w:val="22"/>
          <w:szCs w:val="22"/>
        </w:rPr>
        <w:t>pazopanib</w:t>
      </w:r>
      <w:r>
        <w:rPr>
          <w:rFonts w:ascii="Arial" w:hAnsi="Arial" w:cs="Arial"/>
          <w:sz w:val="22"/>
          <w:szCs w:val="22"/>
        </w:rPr>
        <w:t xml:space="preserve"> in pregnant women.  </w:t>
      </w:r>
    </w:p>
    <w:p w:rsidR="00615FF2" w:rsidRDefault="00615FF2" w:rsidP="00615FF2">
      <w:pPr>
        <w:autoSpaceDE w:val="0"/>
        <w:autoSpaceDN w:val="0"/>
        <w:adjustRightInd w:val="0"/>
        <w:spacing w:line="300" w:lineRule="atLeast"/>
        <w:jc w:val="both"/>
        <w:rPr>
          <w:rFonts w:ascii="Arial" w:hAnsi="Arial" w:cs="Arial"/>
          <w:sz w:val="22"/>
          <w:szCs w:val="22"/>
        </w:rPr>
      </w:pPr>
    </w:p>
    <w:p w:rsidR="00615FF2" w:rsidRDefault="00A56546" w:rsidP="00615FF2">
      <w:pPr>
        <w:autoSpaceDE w:val="0"/>
        <w:autoSpaceDN w:val="0"/>
        <w:adjustRightInd w:val="0"/>
        <w:spacing w:line="300" w:lineRule="atLeast"/>
        <w:jc w:val="both"/>
        <w:rPr>
          <w:rFonts w:ascii="Arial" w:eastAsia="MS Mincho" w:hAnsi="Arial" w:cs="Arial"/>
          <w:color w:val="000000"/>
          <w:sz w:val="22"/>
          <w:szCs w:val="22"/>
          <w:lang w:eastAsia="ja-JP"/>
        </w:rPr>
      </w:pPr>
      <w:r>
        <w:rPr>
          <w:rFonts w:ascii="Arial" w:hAnsi="Arial" w:cs="Arial"/>
          <w:iCs/>
          <w:color w:val="000000"/>
          <w:sz w:val="22"/>
          <w:szCs w:val="22"/>
        </w:rPr>
        <w:t xml:space="preserve">VOTRIENT can cause fetal harm when administered to a pregnant woman.  </w:t>
      </w:r>
      <w:r w:rsidR="00615FF2" w:rsidRPr="00495E83">
        <w:rPr>
          <w:rFonts w:ascii="Arial" w:hAnsi="Arial" w:cs="Arial"/>
          <w:iCs/>
          <w:color w:val="000000"/>
          <w:sz w:val="22"/>
          <w:szCs w:val="22"/>
        </w:rPr>
        <w:t xml:space="preserve">Pazopanib has been shown to be embryotoxic and teratogenic when administered to rats and rabbits at exposures below clinical exposure.  Effects included </w:t>
      </w:r>
      <w:r w:rsidR="00F355A4">
        <w:rPr>
          <w:rFonts w:ascii="Arial" w:hAnsi="Arial" w:cs="Arial"/>
          <w:iCs/>
          <w:color w:val="000000"/>
          <w:sz w:val="22"/>
          <w:szCs w:val="22"/>
        </w:rPr>
        <w:t xml:space="preserve">cardiovascular malformations, </w:t>
      </w:r>
      <w:r>
        <w:rPr>
          <w:rFonts w:ascii="Arial" w:hAnsi="Arial" w:cs="Arial"/>
          <w:iCs/>
          <w:color w:val="000000"/>
          <w:sz w:val="22"/>
          <w:szCs w:val="22"/>
        </w:rPr>
        <w:t xml:space="preserve">incomplete or absent </w:t>
      </w:r>
      <w:r w:rsidR="00F355A4">
        <w:rPr>
          <w:rFonts w:ascii="Arial" w:hAnsi="Arial" w:cs="Arial"/>
          <w:iCs/>
          <w:color w:val="000000"/>
          <w:sz w:val="22"/>
          <w:szCs w:val="22"/>
        </w:rPr>
        <w:t xml:space="preserve">ossification, </w:t>
      </w:r>
      <w:r w:rsidR="00615FF2" w:rsidRPr="00495E83">
        <w:rPr>
          <w:rFonts w:ascii="Arial" w:hAnsi="Arial" w:cs="Arial"/>
          <w:color w:val="000000"/>
          <w:sz w:val="22"/>
          <w:szCs w:val="22"/>
        </w:rPr>
        <w:t xml:space="preserve">increased pre- and post-implantation loss, early resorptions, embryo lethality, and decreased foetal body weight. </w:t>
      </w:r>
      <w:r w:rsidR="00615FF2">
        <w:rPr>
          <w:rFonts w:ascii="Arial" w:hAnsi="Arial" w:cs="Arial"/>
          <w:color w:val="000000"/>
          <w:sz w:val="22"/>
          <w:szCs w:val="22"/>
        </w:rPr>
        <w:t xml:space="preserve"> </w:t>
      </w:r>
    </w:p>
    <w:p w:rsidR="00615FF2" w:rsidRDefault="00615FF2" w:rsidP="00615FF2">
      <w:pPr>
        <w:autoSpaceDE w:val="0"/>
        <w:autoSpaceDN w:val="0"/>
        <w:adjustRightInd w:val="0"/>
        <w:spacing w:line="300" w:lineRule="atLeast"/>
        <w:jc w:val="both"/>
        <w:rPr>
          <w:rFonts w:ascii="Arial" w:eastAsia="MS Mincho" w:hAnsi="Arial" w:cs="Arial"/>
          <w:color w:val="000000"/>
          <w:sz w:val="22"/>
          <w:szCs w:val="22"/>
          <w:lang w:eastAsia="ja-JP"/>
        </w:rPr>
      </w:pPr>
    </w:p>
    <w:p w:rsidR="00B40BDD" w:rsidRPr="003806BF" w:rsidRDefault="002F1277" w:rsidP="003806BF">
      <w:pPr>
        <w:tabs>
          <w:tab w:val="left" w:pos="-720"/>
        </w:tabs>
        <w:spacing w:line="300" w:lineRule="atLeast"/>
        <w:jc w:val="both"/>
        <w:rPr>
          <w:rFonts w:ascii="Arial" w:hAnsi="Arial"/>
          <w:sz w:val="22"/>
          <w:szCs w:val="22"/>
        </w:rPr>
      </w:pPr>
      <w:r w:rsidRPr="003806BF">
        <w:rPr>
          <w:rFonts w:ascii="Arial" w:eastAsia="MS Mincho" w:hAnsi="Arial" w:cs="Arial"/>
          <w:color w:val="000000"/>
          <w:sz w:val="22"/>
          <w:szCs w:val="22"/>
          <w:lang w:eastAsia="ja-JP"/>
        </w:rPr>
        <w:t>VOTRIENT</w:t>
      </w:r>
      <w:r w:rsidR="0001118E" w:rsidRPr="003806BF">
        <w:rPr>
          <w:rFonts w:ascii="Arial" w:eastAsia="MS Mincho" w:hAnsi="Arial" w:cs="Arial"/>
          <w:color w:val="000000"/>
          <w:sz w:val="22"/>
          <w:szCs w:val="22"/>
          <w:lang w:eastAsia="ja-JP"/>
        </w:rPr>
        <w:t xml:space="preserve"> should not be used </w:t>
      </w:r>
      <w:r w:rsidR="00EC5F03" w:rsidRPr="003806BF">
        <w:rPr>
          <w:rFonts w:ascii="Arial" w:eastAsia="MS Mincho" w:hAnsi="Arial" w:cs="Arial"/>
          <w:color w:val="000000"/>
          <w:sz w:val="22"/>
          <w:szCs w:val="22"/>
          <w:lang w:eastAsia="ja-JP"/>
        </w:rPr>
        <w:t>during</w:t>
      </w:r>
      <w:r w:rsidR="0001118E" w:rsidRPr="003806BF">
        <w:rPr>
          <w:rFonts w:ascii="Arial" w:eastAsia="MS Mincho" w:hAnsi="Arial" w:cs="Arial"/>
          <w:color w:val="000000"/>
          <w:sz w:val="22"/>
          <w:szCs w:val="22"/>
          <w:lang w:eastAsia="ja-JP"/>
        </w:rPr>
        <w:t xml:space="preserve"> pregnancy </w:t>
      </w:r>
      <w:r w:rsidR="00FB7684" w:rsidRPr="003806BF">
        <w:rPr>
          <w:rFonts w:ascii="Arial" w:hAnsi="Arial"/>
          <w:sz w:val="22"/>
          <w:szCs w:val="22"/>
        </w:rPr>
        <w:t xml:space="preserve">unless, in the opinion of the physician, the potential benefits of treatment to the mother outweigh any possible risks to the developing foetus. </w:t>
      </w:r>
    </w:p>
    <w:p w:rsidR="00412BF5" w:rsidRDefault="00412BF5">
      <w:pPr>
        <w:rPr>
          <w:rFonts w:ascii="Arial" w:eastAsia="MS Mincho" w:hAnsi="Arial" w:cs="Arial"/>
          <w:color w:val="000000"/>
          <w:sz w:val="22"/>
          <w:szCs w:val="22"/>
          <w:lang w:eastAsia="ja-JP"/>
        </w:rPr>
      </w:pPr>
      <w:r>
        <w:rPr>
          <w:rFonts w:ascii="Arial" w:eastAsia="MS Mincho" w:hAnsi="Arial" w:cs="Arial"/>
          <w:color w:val="000000"/>
          <w:sz w:val="22"/>
          <w:szCs w:val="22"/>
          <w:lang w:eastAsia="ja-JP"/>
        </w:rPr>
        <w:br w:type="page"/>
      </w:r>
    </w:p>
    <w:p w:rsidR="00B40BDD" w:rsidRPr="00A7172B" w:rsidRDefault="00B40BDD" w:rsidP="003806BF">
      <w:pPr>
        <w:tabs>
          <w:tab w:val="left" w:pos="720"/>
          <w:tab w:val="left" w:pos="994"/>
        </w:tabs>
        <w:autoSpaceDE w:val="0"/>
        <w:autoSpaceDN w:val="0"/>
        <w:adjustRightInd w:val="0"/>
        <w:spacing w:line="300" w:lineRule="atLeast"/>
        <w:jc w:val="both"/>
        <w:rPr>
          <w:rFonts w:ascii="Arial" w:eastAsia="MS Mincho" w:hAnsi="Arial" w:cs="Arial"/>
          <w:color w:val="000000"/>
          <w:sz w:val="22"/>
          <w:szCs w:val="22"/>
          <w:lang w:eastAsia="ja-JP"/>
        </w:rPr>
      </w:pPr>
      <w:r w:rsidRPr="00A7172B">
        <w:rPr>
          <w:rFonts w:ascii="Arial" w:eastAsia="MS Mincho" w:hAnsi="Arial" w:cs="Arial"/>
          <w:color w:val="000000"/>
          <w:sz w:val="22"/>
          <w:szCs w:val="22"/>
          <w:lang w:eastAsia="ja-JP"/>
        </w:rPr>
        <w:t xml:space="preserve">If </w:t>
      </w:r>
      <w:r w:rsidR="002F1277">
        <w:rPr>
          <w:rFonts w:ascii="Arial" w:eastAsia="MS Mincho" w:hAnsi="Arial" w:cs="Arial"/>
          <w:color w:val="000000"/>
          <w:sz w:val="22"/>
          <w:szCs w:val="22"/>
          <w:lang w:eastAsia="ja-JP"/>
        </w:rPr>
        <w:t>VOTRIENT</w:t>
      </w:r>
      <w:r w:rsidRPr="00A7172B">
        <w:rPr>
          <w:rFonts w:ascii="Arial" w:eastAsia="MS Mincho" w:hAnsi="Arial" w:cs="Arial"/>
          <w:color w:val="000000"/>
          <w:sz w:val="22"/>
          <w:szCs w:val="22"/>
          <w:lang w:eastAsia="ja-JP"/>
        </w:rPr>
        <w:t xml:space="preserve"> is used during pregnancy, or if the patient becomes pregnant while receiving </w:t>
      </w:r>
      <w:r w:rsidR="002F1277">
        <w:rPr>
          <w:rFonts w:ascii="Arial" w:eastAsia="MS Mincho" w:hAnsi="Arial" w:cs="Arial"/>
          <w:color w:val="000000"/>
          <w:sz w:val="22"/>
          <w:szCs w:val="22"/>
          <w:lang w:eastAsia="ja-JP"/>
        </w:rPr>
        <w:t>VOTRIENT</w:t>
      </w:r>
      <w:r w:rsidRPr="00A7172B">
        <w:rPr>
          <w:rFonts w:ascii="Arial" w:eastAsia="MS Mincho" w:hAnsi="Arial" w:cs="Arial"/>
          <w:color w:val="000000"/>
          <w:sz w:val="22"/>
          <w:szCs w:val="22"/>
          <w:lang w:eastAsia="ja-JP"/>
        </w:rPr>
        <w:t xml:space="preserve">, the potential hazard to the foetus should be explained to the patient. </w:t>
      </w:r>
      <w:r>
        <w:rPr>
          <w:rFonts w:ascii="Arial" w:eastAsia="MS Mincho" w:hAnsi="Arial" w:cs="Arial"/>
          <w:color w:val="000000"/>
          <w:sz w:val="22"/>
          <w:szCs w:val="22"/>
          <w:lang w:eastAsia="ja-JP"/>
        </w:rPr>
        <w:t xml:space="preserve"> </w:t>
      </w:r>
      <w:r w:rsidRPr="00A7172B">
        <w:rPr>
          <w:rFonts w:ascii="Arial" w:eastAsia="MS Mincho" w:hAnsi="Arial" w:cs="Arial"/>
          <w:color w:val="000000"/>
          <w:sz w:val="22"/>
          <w:szCs w:val="22"/>
          <w:lang w:eastAsia="ja-JP"/>
        </w:rPr>
        <w:t xml:space="preserve">Women of childbearing potential should be advised to avoid becoming pregnant while receiving treatment with </w:t>
      </w:r>
      <w:r w:rsidR="002F1277">
        <w:rPr>
          <w:rFonts w:ascii="Arial" w:eastAsia="MS Mincho" w:hAnsi="Arial" w:cs="Arial"/>
          <w:color w:val="000000"/>
          <w:sz w:val="22"/>
          <w:szCs w:val="22"/>
          <w:lang w:eastAsia="ja-JP"/>
        </w:rPr>
        <w:t>VOTRIENT</w:t>
      </w:r>
      <w:r w:rsidRPr="00A7172B">
        <w:rPr>
          <w:rFonts w:ascii="Arial" w:eastAsia="MS Mincho" w:hAnsi="Arial" w:cs="Arial"/>
          <w:color w:val="000000"/>
          <w:sz w:val="22"/>
          <w:szCs w:val="22"/>
          <w:lang w:eastAsia="ja-JP"/>
        </w:rPr>
        <w:t>.</w:t>
      </w:r>
      <w:r w:rsidR="003806BF">
        <w:rPr>
          <w:rFonts w:ascii="Arial" w:eastAsia="MS Mincho" w:hAnsi="Arial" w:cs="Arial"/>
          <w:color w:val="000000"/>
          <w:sz w:val="22"/>
          <w:szCs w:val="22"/>
          <w:lang w:eastAsia="ja-JP"/>
        </w:rPr>
        <w:t xml:space="preserve">  Ensure contraceptive cover in women of childbearing potential during use and for </w:t>
      </w:r>
      <w:r w:rsidR="000C42F1">
        <w:rPr>
          <w:rFonts w:ascii="Arial" w:eastAsia="MS Mincho" w:hAnsi="Arial" w:cs="Arial"/>
          <w:color w:val="000000"/>
          <w:sz w:val="22"/>
          <w:szCs w:val="22"/>
          <w:lang w:eastAsia="ja-JP"/>
        </w:rPr>
        <w:t>four</w:t>
      </w:r>
      <w:r w:rsidR="003806BF">
        <w:rPr>
          <w:rFonts w:ascii="Arial" w:eastAsia="MS Mincho" w:hAnsi="Arial" w:cs="Arial"/>
          <w:color w:val="000000"/>
          <w:sz w:val="22"/>
          <w:szCs w:val="22"/>
          <w:lang w:eastAsia="ja-JP"/>
        </w:rPr>
        <w:t xml:space="preserve"> weeks after therapy.</w:t>
      </w:r>
    </w:p>
    <w:p w:rsidR="00574FCE" w:rsidRPr="007E4D67" w:rsidRDefault="00574FCE" w:rsidP="006C4A20">
      <w:pPr>
        <w:rPr>
          <w:rFonts w:ascii="Arial" w:hAnsi="Arial" w:cs="Arial"/>
          <w:sz w:val="22"/>
          <w:szCs w:val="22"/>
        </w:rPr>
      </w:pPr>
    </w:p>
    <w:p w:rsidR="006C4A20" w:rsidRPr="007E4D67" w:rsidRDefault="0065036F" w:rsidP="003F12DD">
      <w:pPr>
        <w:pStyle w:val="NoNumHead3"/>
        <w:keepNext w:val="0"/>
        <w:spacing w:after="120" w:line="300" w:lineRule="atLeast"/>
        <w:rPr>
          <w:rFonts w:cs="Arial"/>
          <w:sz w:val="22"/>
          <w:szCs w:val="22"/>
        </w:rPr>
      </w:pPr>
      <w:r>
        <w:rPr>
          <w:rFonts w:cs="Arial"/>
          <w:sz w:val="22"/>
          <w:szCs w:val="22"/>
        </w:rPr>
        <w:t xml:space="preserve">Use in </w:t>
      </w:r>
      <w:r w:rsidR="006C4A20" w:rsidRPr="007E4D67">
        <w:rPr>
          <w:rFonts w:cs="Arial"/>
          <w:sz w:val="22"/>
          <w:szCs w:val="22"/>
        </w:rPr>
        <w:t>Lactation</w:t>
      </w:r>
    </w:p>
    <w:p w:rsidR="006C4A20" w:rsidRPr="000209D8" w:rsidRDefault="000209D8" w:rsidP="00F15F91">
      <w:pPr>
        <w:spacing w:line="300" w:lineRule="atLeast"/>
        <w:jc w:val="both"/>
        <w:rPr>
          <w:rFonts w:ascii="Arial" w:hAnsi="Arial" w:cs="Arial"/>
          <w:sz w:val="22"/>
          <w:szCs w:val="22"/>
        </w:rPr>
      </w:pPr>
      <w:bookmarkStart w:id="2" w:name="OLE_LINK4"/>
      <w:r w:rsidRPr="000209D8">
        <w:rPr>
          <w:rFonts w:ascii="Arial" w:hAnsi="Arial" w:cs="Arial"/>
          <w:sz w:val="22"/>
          <w:szCs w:val="22"/>
        </w:rPr>
        <w:t xml:space="preserve">The safe use of </w:t>
      </w:r>
      <w:r w:rsidR="002F1277">
        <w:rPr>
          <w:rFonts w:ascii="Arial" w:hAnsi="Arial" w:cs="Arial"/>
          <w:sz w:val="22"/>
          <w:szCs w:val="22"/>
        </w:rPr>
        <w:t>VOTRIENT</w:t>
      </w:r>
      <w:r w:rsidRPr="000209D8">
        <w:rPr>
          <w:rFonts w:ascii="Arial" w:hAnsi="Arial" w:cs="Arial"/>
          <w:sz w:val="22"/>
          <w:szCs w:val="22"/>
        </w:rPr>
        <w:t xml:space="preserve"> during lactation has not been established. </w:t>
      </w:r>
      <w:r>
        <w:rPr>
          <w:rFonts w:ascii="Arial" w:hAnsi="Arial" w:cs="Arial"/>
          <w:sz w:val="22"/>
          <w:szCs w:val="22"/>
        </w:rPr>
        <w:t xml:space="preserve"> </w:t>
      </w:r>
      <w:r w:rsidRPr="000209D8">
        <w:rPr>
          <w:rFonts w:ascii="Arial" w:hAnsi="Arial" w:cs="Arial"/>
          <w:sz w:val="22"/>
          <w:szCs w:val="22"/>
        </w:rPr>
        <w:t xml:space="preserve">It is not known whether </w:t>
      </w:r>
      <w:r w:rsidR="00615FF2">
        <w:rPr>
          <w:rFonts w:ascii="Arial" w:hAnsi="Arial" w:cs="Arial"/>
          <w:sz w:val="22"/>
          <w:szCs w:val="22"/>
        </w:rPr>
        <w:t>pazopanib</w:t>
      </w:r>
      <w:r w:rsidRPr="000209D8">
        <w:rPr>
          <w:rFonts w:ascii="Arial" w:hAnsi="Arial" w:cs="Arial"/>
          <w:sz w:val="22"/>
          <w:szCs w:val="22"/>
        </w:rPr>
        <w:t xml:space="preserve"> is excreted in human milk. </w:t>
      </w:r>
      <w:r>
        <w:rPr>
          <w:rFonts w:ascii="Arial" w:hAnsi="Arial" w:cs="Arial"/>
          <w:sz w:val="22"/>
          <w:szCs w:val="22"/>
        </w:rPr>
        <w:t xml:space="preserve"> </w:t>
      </w:r>
      <w:r w:rsidR="00367B35">
        <w:rPr>
          <w:rFonts w:ascii="Arial" w:hAnsi="Arial" w:cs="Arial"/>
          <w:sz w:val="22"/>
          <w:szCs w:val="22"/>
        </w:rPr>
        <w:t>Many drugs are excreted into human milk.  VOTRIENT should not be used by breastfeeding women.</w:t>
      </w:r>
      <w:bookmarkEnd w:id="2"/>
    </w:p>
    <w:p w:rsidR="00574FCE" w:rsidRPr="007E4D67" w:rsidRDefault="00574FCE" w:rsidP="002654F0">
      <w:pPr>
        <w:spacing w:before="120" w:after="120" w:line="300" w:lineRule="atLeast"/>
        <w:rPr>
          <w:rFonts w:ascii="Arial" w:hAnsi="Arial" w:cs="Arial"/>
          <w:b/>
          <w:sz w:val="22"/>
          <w:szCs w:val="22"/>
          <w:lang w:val="en-GB" w:eastAsia="ja-JP"/>
        </w:rPr>
      </w:pPr>
      <w:r w:rsidRPr="007E4D67">
        <w:rPr>
          <w:rFonts w:ascii="Arial" w:hAnsi="Arial" w:cs="Arial"/>
          <w:b/>
          <w:sz w:val="22"/>
          <w:szCs w:val="22"/>
          <w:lang w:val="en-GB" w:eastAsia="ja-JP"/>
        </w:rPr>
        <w:t>Ability to perform tasks that require judgement, motor or cognitive skills</w:t>
      </w:r>
    </w:p>
    <w:p w:rsidR="00574FCE" w:rsidRPr="004C71C4" w:rsidRDefault="004C71C4" w:rsidP="00017D1E">
      <w:pPr>
        <w:spacing w:line="300" w:lineRule="atLeast"/>
        <w:jc w:val="both"/>
        <w:rPr>
          <w:rFonts w:ascii="Arial" w:hAnsi="Arial" w:cs="Arial"/>
          <w:sz w:val="22"/>
          <w:szCs w:val="22"/>
        </w:rPr>
      </w:pPr>
      <w:r w:rsidRPr="004C71C4">
        <w:rPr>
          <w:rFonts w:ascii="Arial" w:hAnsi="Arial" w:cs="Arial"/>
          <w:sz w:val="22"/>
          <w:szCs w:val="22"/>
          <w:lang w:val="en-US"/>
        </w:rPr>
        <w:t xml:space="preserve">There have been no studies to investigate the effect of </w:t>
      </w:r>
      <w:r w:rsidR="002F1277">
        <w:rPr>
          <w:rFonts w:ascii="Arial" w:hAnsi="Arial" w:cs="Arial"/>
          <w:sz w:val="22"/>
          <w:szCs w:val="22"/>
          <w:lang w:val="en-US"/>
        </w:rPr>
        <w:t>VOTRIENT</w:t>
      </w:r>
      <w:r w:rsidRPr="004C71C4">
        <w:rPr>
          <w:rFonts w:ascii="Arial" w:hAnsi="Arial" w:cs="Arial"/>
          <w:sz w:val="22"/>
          <w:szCs w:val="22"/>
          <w:lang w:val="en-US"/>
        </w:rPr>
        <w:t xml:space="preserve"> on driving performance or the ability to operate machinery. </w:t>
      </w:r>
      <w:r>
        <w:rPr>
          <w:rFonts w:ascii="Arial" w:hAnsi="Arial" w:cs="Arial"/>
          <w:sz w:val="22"/>
          <w:szCs w:val="22"/>
          <w:lang w:val="en-US"/>
        </w:rPr>
        <w:t xml:space="preserve"> </w:t>
      </w:r>
      <w:r w:rsidRPr="004C71C4">
        <w:rPr>
          <w:rFonts w:ascii="Arial" w:hAnsi="Arial" w:cs="Arial"/>
          <w:sz w:val="22"/>
          <w:szCs w:val="22"/>
          <w:lang w:val="en-US"/>
        </w:rPr>
        <w:t xml:space="preserve">A detrimental effect on such activities </w:t>
      </w:r>
      <w:r w:rsidR="00FB7684">
        <w:rPr>
          <w:rFonts w:ascii="Arial" w:hAnsi="Arial" w:cs="Arial"/>
          <w:sz w:val="22"/>
          <w:szCs w:val="22"/>
          <w:lang w:val="en-US"/>
        </w:rPr>
        <w:t>cannot be predicted</w:t>
      </w:r>
      <w:r w:rsidRPr="004C71C4">
        <w:rPr>
          <w:rFonts w:ascii="Arial" w:hAnsi="Arial" w:cs="Arial"/>
          <w:sz w:val="22"/>
          <w:szCs w:val="22"/>
          <w:lang w:val="en-US"/>
        </w:rPr>
        <w:t xml:space="preserve"> from the pharmacology of </w:t>
      </w:r>
      <w:r w:rsidR="002F1277">
        <w:rPr>
          <w:rFonts w:ascii="Arial" w:hAnsi="Arial" w:cs="Arial"/>
          <w:sz w:val="22"/>
          <w:szCs w:val="22"/>
          <w:lang w:val="en-US"/>
        </w:rPr>
        <w:t>VOTRIENT</w:t>
      </w:r>
      <w:r w:rsidRPr="004C71C4">
        <w:rPr>
          <w:rFonts w:ascii="Arial" w:hAnsi="Arial" w:cs="Arial"/>
          <w:sz w:val="22"/>
          <w:szCs w:val="22"/>
          <w:lang w:val="en-US"/>
        </w:rPr>
        <w:t xml:space="preserve">. </w:t>
      </w:r>
      <w:r>
        <w:rPr>
          <w:rFonts w:ascii="Arial" w:hAnsi="Arial" w:cs="Arial"/>
          <w:sz w:val="22"/>
          <w:szCs w:val="22"/>
          <w:lang w:val="en-US"/>
        </w:rPr>
        <w:t xml:space="preserve"> </w:t>
      </w:r>
      <w:r w:rsidRPr="004C71C4">
        <w:rPr>
          <w:rFonts w:ascii="Arial" w:hAnsi="Arial" w:cs="Arial"/>
          <w:sz w:val="22"/>
          <w:szCs w:val="22"/>
          <w:lang w:val="en-US"/>
        </w:rPr>
        <w:t xml:space="preserve">The clinical status of the patient and the adverse event profile of </w:t>
      </w:r>
      <w:r w:rsidR="002F1277">
        <w:rPr>
          <w:rFonts w:ascii="Arial" w:hAnsi="Arial" w:cs="Arial"/>
          <w:sz w:val="22"/>
          <w:szCs w:val="22"/>
          <w:lang w:val="en-US"/>
        </w:rPr>
        <w:t>VOTRIENT</w:t>
      </w:r>
      <w:r w:rsidRPr="004C71C4">
        <w:rPr>
          <w:rFonts w:ascii="Arial" w:hAnsi="Arial" w:cs="Arial"/>
          <w:sz w:val="22"/>
          <w:szCs w:val="22"/>
          <w:lang w:val="en-US"/>
        </w:rPr>
        <w:t xml:space="preserve"> should be borne in mind when considering the patient’s ability to perform task that require judgment, motor and cognitive skills.</w:t>
      </w:r>
    </w:p>
    <w:p w:rsidR="00495E83" w:rsidRPr="00495E83" w:rsidRDefault="00495E83" w:rsidP="00495E83">
      <w:pPr>
        <w:autoSpaceDE w:val="0"/>
        <w:autoSpaceDN w:val="0"/>
        <w:adjustRightInd w:val="0"/>
        <w:spacing w:line="300" w:lineRule="atLeast"/>
        <w:jc w:val="both"/>
        <w:rPr>
          <w:rFonts w:ascii="Arial" w:hAnsi="Arial" w:cs="Arial"/>
          <w:iCs/>
          <w:color w:val="000000"/>
          <w:sz w:val="22"/>
          <w:szCs w:val="22"/>
        </w:rPr>
      </w:pPr>
    </w:p>
    <w:p w:rsidR="00495E83" w:rsidRPr="00495E83" w:rsidRDefault="00495E83" w:rsidP="00495E83">
      <w:pPr>
        <w:autoSpaceDE w:val="0"/>
        <w:autoSpaceDN w:val="0"/>
        <w:adjustRightInd w:val="0"/>
        <w:spacing w:before="120" w:after="120" w:line="300" w:lineRule="atLeast"/>
        <w:jc w:val="both"/>
        <w:rPr>
          <w:rFonts w:ascii="Arial" w:hAnsi="Arial" w:cs="Arial"/>
          <w:b/>
          <w:color w:val="000000"/>
          <w:sz w:val="22"/>
          <w:szCs w:val="22"/>
        </w:rPr>
      </w:pPr>
      <w:r w:rsidRPr="00495E83">
        <w:rPr>
          <w:rFonts w:ascii="Arial" w:hAnsi="Arial" w:cs="Arial"/>
          <w:b/>
          <w:color w:val="000000"/>
          <w:sz w:val="22"/>
          <w:szCs w:val="22"/>
        </w:rPr>
        <w:t>Genotoxicity</w:t>
      </w:r>
    </w:p>
    <w:p w:rsidR="00495E83" w:rsidRPr="00495E83" w:rsidRDefault="00495E83" w:rsidP="00495E83">
      <w:pPr>
        <w:autoSpaceDE w:val="0"/>
        <w:autoSpaceDN w:val="0"/>
        <w:adjustRightInd w:val="0"/>
        <w:spacing w:line="300" w:lineRule="atLeast"/>
        <w:jc w:val="both"/>
        <w:rPr>
          <w:rFonts w:ascii="Arial" w:hAnsi="Arial" w:cs="Arial"/>
          <w:color w:val="000000"/>
          <w:sz w:val="22"/>
          <w:szCs w:val="22"/>
        </w:rPr>
      </w:pPr>
      <w:r w:rsidRPr="00495E83">
        <w:rPr>
          <w:rFonts w:ascii="Arial" w:hAnsi="Arial" w:cs="Arial"/>
          <w:color w:val="000000"/>
          <w:sz w:val="22"/>
          <w:szCs w:val="22"/>
        </w:rPr>
        <w:t xml:space="preserve">Pazopanib </w:t>
      </w:r>
      <w:r w:rsidR="00367B35">
        <w:rPr>
          <w:rFonts w:ascii="Arial" w:hAnsi="Arial" w:cs="Arial"/>
          <w:color w:val="000000"/>
          <w:sz w:val="22"/>
          <w:szCs w:val="22"/>
        </w:rPr>
        <w:t>was negative for genotoxicity</w:t>
      </w:r>
      <w:r w:rsidRPr="00495E83">
        <w:rPr>
          <w:rFonts w:ascii="Arial" w:hAnsi="Arial" w:cs="Arial"/>
          <w:color w:val="000000"/>
          <w:sz w:val="22"/>
          <w:szCs w:val="22"/>
        </w:rPr>
        <w:t xml:space="preserve"> in genotoxicity assays (Ames assay, human peripheral lymphocyte chromosome aberration assay and rat micronucleus</w:t>
      </w:r>
      <w:r w:rsidR="00367B35">
        <w:rPr>
          <w:rFonts w:ascii="Arial" w:hAnsi="Arial" w:cs="Arial"/>
          <w:color w:val="000000"/>
          <w:sz w:val="22"/>
          <w:szCs w:val="22"/>
        </w:rPr>
        <w:t xml:space="preserve"> assay</w:t>
      </w:r>
      <w:r w:rsidRPr="00495E83">
        <w:rPr>
          <w:rFonts w:ascii="Arial" w:hAnsi="Arial" w:cs="Arial"/>
          <w:color w:val="000000"/>
          <w:sz w:val="22"/>
          <w:szCs w:val="22"/>
        </w:rPr>
        <w:t xml:space="preserve">). </w:t>
      </w:r>
      <w:r>
        <w:rPr>
          <w:rFonts w:ascii="Arial" w:hAnsi="Arial" w:cs="Arial"/>
          <w:color w:val="000000"/>
          <w:sz w:val="22"/>
          <w:szCs w:val="22"/>
        </w:rPr>
        <w:t xml:space="preserve"> </w:t>
      </w:r>
      <w:r w:rsidRPr="00495E83">
        <w:rPr>
          <w:rFonts w:ascii="Arial" w:hAnsi="Arial" w:cs="Arial"/>
          <w:color w:val="000000"/>
          <w:sz w:val="22"/>
          <w:szCs w:val="22"/>
        </w:rPr>
        <w:t xml:space="preserve">A synthetic intermediate in </w:t>
      </w:r>
      <w:r w:rsidR="00367B35">
        <w:rPr>
          <w:rFonts w:ascii="Arial" w:hAnsi="Arial" w:cs="Arial"/>
          <w:color w:val="000000"/>
          <w:sz w:val="22"/>
          <w:szCs w:val="22"/>
        </w:rPr>
        <w:t xml:space="preserve">the </w:t>
      </w:r>
      <w:r w:rsidRPr="00495E83">
        <w:rPr>
          <w:rFonts w:ascii="Arial" w:hAnsi="Arial" w:cs="Arial"/>
          <w:color w:val="000000"/>
          <w:sz w:val="22"/>
          <w:szCs w:val="22"/>
        </w:rPr>
        <w:t xml:space="preserve">manufacture of pazopanib, which is also present in the final drug substance, was not mutagenic </w:t>
      </w:r>
      <w:r w:rsidR="00367B35">
        <w:rPr>
          <w:rFonts w:ascii="Arial" w:hAnsi="Arial" w:cs="Arial"/>
          <w:color w:val="000000"/>
          <w:sz w:val="22"/>
          <w:szCs w:val="22"/>
        </w:rPr>
        <w:t xml:space="preserve">in the Ames assay </w:t>
      </w:r>
      <w:r w:rsidRPr="00495E83">
        <w:rPr>
          <w:rFonts w:ascii="Arial" w:hAnsi="Arial" w:cs="Arial"/>
          <w:color w:val="000000"/>
          <w:sz w:val="22"/>
          <w:szCs w:val="22"/>
        </w:rPr>
        <w:t xml:space="preserve">but </w:t>
      </w:r>
      <w:r w:rsidR="00367B35">
        <w:rPr>
          <w:rFonts w:ascii="Arial" w:hAnsi="Arial" w:cs="Arial"/>
          <w:color w:val="000000"/>
          <w:sz w:val="22"/>
          <w:szCs w:val="22"/>
        </w:rPr>
        <w:t xml:space="preserve">was </w:t>
      </w:r>
      <w:r w:rsidRPr="00495E83">
        <w:rPr>
          <w:rFonts w:ascii="Arial" w:hAnsi="Arial" w:cs="Arial"/>
          <w:color w:val="000000"/>
          <w:sz w:val="22"/>
          <w:szCs w:val="22"/>
        </w:rPr>
        <w:t xml:space="preserve">genotoxic in the mouse lymphoma </w:t>
      </w:r>
      <w:r w:rsidR="00367B35">
        <w:rPr>
          <w:rFonts w:ascii="Arial" w:hAnsi="Arial" w:cs="Arial"/>
          <w:color w:val="000000"/>
          <w:sz w:val="22"/>
          <w:szCs w:val="22"/>
        </w:rPr>
        <w:t xml:space="preserve">L5178Y TK +/- and micronucleus </w:t>
      </w:r>
      <w:r w:rsidRPr="00495E83">
        <w:rPr>
          <w:rFonts w:ascii="Arial" w:hAnsi="Arial" w:cs="Arial"/>
          <w:color w:val="000000"/>
          <w:sz w:val="22"/>
          <w:szCs w:val="22"/>
        </w:rPr>
        <w:t>assay</w:t>
      </w:r>
      <w:r w:rsidR="00367B35">
        <w:rPr>
          <w:rFonts w:ascii="Arial" w:hAnsi="Arial" w:cs="Arial"/>
          <w:color w:val="000000"/>
          <w:sz w:val="22"/>
          <w:szCs w:val="22"/>
        </w:rPr>
        <w:t>s</w:t>
      </w:r>
      <w:r w:rsidRPr="00495E83">
        <w:rPr>
          <w:rFonts w:ascii="Arial" w:hAnsi="Arial" w:cs="Arial"/>
          <w:color w:val="000000"/>
          <w:sz w:val="22"/>
          <w:szCs w:val="22"/>
        </w:rPr>
        <w:t xml:space="preserve"> and is controlled </w:t>
      </w:r>
      <w:r w:rsidR="00367B35">
        <w:rPr>
          <w:rFonts w:ascii="Arial" w:hAnsi="Arial" w:cs="Arial"/>
          <w:color w:val="000000"/>
          <w:sz w:val="22"/>
          <w:szCs w:val="22"/>
        </w:rPr>
        <w:t xml:space="preserve">to </w:t>
      </w:r>
      <w:r w:rsidRPr="00495E83">
        <w:rPr>
          <w:rFonts w:ascii="Arial" w:hAnsi="Arial" w:cs="Arial"/>
          <w:color w:val="000000"/>
          <w:sz w:val="22"/>
          <w:szCs w:val="22"/>
        </w:rPr>
        <w:t>below a daily intake of 0.1 mg.</w:t>
      </w:r>
    </w:p>
    <w:p w:rsidR="00495E83" w:rsidRPr="00495E83" w:rsidRDefault="00495E83" w:rsidP="00495E83">
      <w:pPr>
        <w:autoSpaceDE w:val="0"/>
        <w:autoSpaceDN w:val="0"/>
        <w:adjustRightInd w:val="0"/>
        <w:spacing w:line="300" w:lineRule="atLeast"/>
        <w:jc w:val="both"/>
        <w:rPr>
          <w:rFonts w:ascii="Arial" w:hAnsi="Arial" w:cs="Arial"/>
          <w:color w:val="000000"/>
          <w:sz w:val="22"/>
          <w:szCs w:val="22"/>
        </w:rPr>
      </w:pPr>
    </w:p>
    <w:p w:rsidR="00495E83" w:rsidRPr="00495E83" w:rsidRDefault="00495E83" w:rsidP="00495E83">
      <w:pPr>
        <w:autoSpaceDE w:val="0"/>
        <w:autoSpaceDN w:val="0"/>
        <w:adjustRightInd w:val="0"/>
        <w:spacing w:before="120" w:after="120" w:line="300" w:lineRule="atLeast"/>
        <w:jc w:val="both"/>
        <w:rPr>
          <w:rFonts w:ascii="Arial" w:hAnsi="Arial" w:cs="Arial"/>
          <w:b/>
          <w:iCs/>
          <w:color w:val="000000"/>
          <w:sz w:val="22"/>
          <w:szCs w:val="22"/>
        </w:rPr>
      </w:pPr>
      <w:r w:rsidRPr="00495E83">
        <w:rPr>
          <w:rFonts w:ascii="Arial" w:hAnsi="Arial" w:cs="Arial"/>
          <w:b/>
          <w:iCs/>
          <w:color w:val="000000"/>
          <w:sz w:val="22"/>
          <w:szCs w:val="22"/>
        </w:rPr>
        <w:t>Carcinogenicity</w:t>
      </w:r>
    </w:p>
    <w:p w:rsidR="00495E83" w:rsidRPr="00495E83" w:rsidRDefault="00495E83" w:rsidP="00495E83">
      <w:pPr>
        <w:autoSpaceDE w:val="0"/>
        <w:autoSpaceDN w:val="0"/>
        <w:adjustRightInd w:val="0"/>
        <w:spacing w:line="300" w:lineRule="atLeast"/>
        <w:jc w:val="both"/>
        <w:rPr>
          <w:rFonts w:ascii="Arial" w:hAnsi="Arial" w:cs="Arial"/>
          <w:i/>
          <w:iCs/>
          <w:color w:val="000000"/>
          <w:sz w:val="22"/>
          <w:szCs w:val="22"/>
          <w:u w:val="single"/>
        </w:rPr>
      </w:pPr>
      <w:r w:rsidRPr="00495E83">
        <w:rPr>
          <w:rFonts w:ascii="Arial" w:hAnsi="Arial" w:cs="Arial"/>
          <w:color w:val="000000"/>
          <w:sz w:val="22"/>
          <w:szCs w:val="22"/>
        </w:rPr>
        <w:t>Carcinogenicity studies with pazopanib have not been performed.</w:t>
      </w:r>
    </w:p>
    <w:p w:rsidR="0083330E" w:rsidRDefault="0083330E" w:rsidP="0083330E">
      <w:pPr>
        <w:rPr>
          <w:rFonts w:ascii="Arial" w:hAnsi="Arial"/>
          <w:b/>
        </w:rPr>
      </w:pPr>
    </w:p>
    <w:p w:rsidR="0065036F" w:rsidRPr="007E4D67" w:rsidRDefault="000669A6" w:rsidP="0065036F">
      <w:pPr>
        <w:pStyle w:val="NoNumHead2"/>
        <w:keepNext w:val="0"/>
        <w:spacing w:after="120"/>
        <w:rPr>
          <w:rFonts w:cs="Arial"/>
          <w:sz w:val="22"/>
          <w:szCs w:val="22"/>
        </w:rPr>
      </w:pPr>
      <w:r w:rsidRPr="007E4D67">
        <w:rPr>
          <w:rFonts w:cs="Arial"/>
          <w:caps w:val="0"/>
          <w:sz w:val="22"/>
          <w:szCs w:val="22"/>
        </w:rPr>
        <w:t>INTERACTIONS</w:t>
      </w:r>
      <w:r>
        <w:rPr>
          <w:rFonts w:cs="Arial"/>
          <w:caps w:val="0"/>
          <w:sz w:val="22"/>
          <w:szCs w:val="22"/>
        </w:rPr>
        <w:t xml:space="preserve"> WITH OTHER MEDICINES</w:t>
      </w:r>
    </w:p>
    <w:p w:rsidR="00B22BCB" w:rsidRPr="00B22BCB" w:rsidRDefault="00B22BCB" w:rsidP="00B22BCB">
      <w:pPr>
        <w:pStyle w:val="LBLLevel2"/>
        <w:spacing w:before="120" w:after="120" w:line="300" w:lineRule="atLeast"/>
        <w:jc w:val="both"/>
        <w:rPr>
          <w:rFonts w:cs="Arial"/>
          <w:i/>
          <w:sz w:val="22"/>
          <w:szCs w:val="22"/>
        </w:rPr>
      </w:pPr>
      <w:r w:rsidRPr="00B22BCB">
        <w:rPr>
          <w:rFonts w:cs="Arial"/>
          <w:i/>
          <w:sz w:val="22"/>
          <w:szCs w:val="22"/>
        </w:rPr>
        <w:t>Drugs that Inhibit or Induce Cytochrome P450 3A4 Enzymes</w:t>
      </w:r>
    </w:p>
    <w:p w:rsidR="00B22BCB" w:rsidRPr="00B22BCB" w:rsidRDefault="00B22BCB" w:rsidP="00B22BCB">
      <w:pPr>
        <w:autoSpaceDE w:val="0"/>
        <w:autoSpaceDN w:val="0"/>
        <w:adjustRightInd w:val="0"/>
        <w:spacing w:line="300" w:lineRule="atLeast"/>
        <w:jc w:val="both"/>
        <w:rPr>
          <w:rFonts w:ascii="Arial" w:hAnsi="Arial" w:cs="Arial"/>
          <w:sz w:val="22"/>
          <w:szCs w:val="22"/>
        </w:rPr>
      </w:pPr>
      <w:r w:rsidRPr="00B22BCB">
        <w:rPr>
          <w:rFonts w:ascii="Arial" w:hAnsi="Arial" w:cs="Arial"/>
          <w:i/>
          <w:iCs/>
          <w:sz w:val="22"/>
          <w:szCs w:val="22"/>
        </w:rPr>
        <w:t>In vitro</w:t>
      </w:r>
      <w:r w:rsidRPr="00B22BCB">
        <w:rPr>
          <w:rFonts w:ascii="Arial" w:hAnsi="Arial" w:cs="Arial"/>
          <w:sz w:val="22"/>
          <w:szCs w:val="22"/>
        </w:rPr>
        <w:t xml:space="preserve"> studies suggested that the oxidative metabolism of </w:t>
      </w:r>
      <w:r>
        <w:rPr>
          <w:rFonts w:ascii="Arial" w:hAnsi="Arial" w:cs="Arial"/>
          <w:sz w:val="22"/>
          <w:szCs w:val="22"/>
        </w:rPr>
        <w:t>pazopanib</w:t>
      </w:r>
      <w:r w:rsidRPr="00B22BCB">
        <w:rPr>
          <w:rFonts w:ascii="Arial" w:hAnsi="Arial" w:cs="Arial"/>
          <w:sz w:val="22"/>
          <w:szCs w:val="22"/>
        </w:rPr>
        <w:t xml:space="preserve"> in human liver microsomes is mediated primarily by CYP3A4, with minor contributions from CYP1A2 and CYP2C8. </w:t>
      </w:r>
      <w:r>
        <w:rPr>
          <w:rFonts w:ascii="Arial" w:hAnsi="Arial" w:cs="Arial"/>
          <w:sz w:val="22"/>
          <w:szCs w:val="22"/>
        </w:rPr>
        <w:t xml:space="preserve"> </w:t>
      </w:r>
      <w:r w:rsidRPr="00B22BCB">
        <w:rPr>
          <w:rFonts w:ascii="Arial" w:hAnsi="Arial" w:cs="Arial"/>
          <w:sz w:val="22"/>
          <w:szCs w:val="22"/>
        </w:rPr>
        <w:t xml:space="preserve">Therefore, inhibitors and inducers of CYP3A4 may alter the metabolism of </w:t>
      </w:r>
      <w:r w:rsidR="002F1277">
        <w:rPr>
          <w:rFonts w:ascii="Arial" w:hAnsi="Arial" w:cs="Arial"/>
          <w:sz w:val="22"/>
          <w:szCs w:val="22"/>
        </w:rPr>
        <w:t>VOTRIENT</w:t>
      </w:r>
      <w:r w:rsidRPr="00B22BCB">
        <w:rPr>
          <w:rFonts w:ascii="Arial" w:hAnsi="Arial" w:cs="Arial"/>
          <w:sz w:val="22"/>
          <w:szCs w:val="22"/>
        </w:rPr>
        <w:t>.</w:t>
      </w:r>
    </w:p>
    <w:p w:rsidR="00B22BCB" w:rsidRPr="00B22BCB" w:rsidRDefault="00B22BCB" w:rsidP="00B22BCB">
      <w:pPr>
        <w:autoSpaceDE w:val="0"/>
        <w:autoSpaceDN w:val="0"/>
        <w:adjustRightInd w:val="0"/>
        <w:spacing w:line="300" w:lineRule="atLeast"/>
        <w:jc w:val="both"/>
        <w:rPr>
          <w:rStyle w:val="LBLLevel3"/>
          <w:rFonts w:cs="Arial"/>
          <w:sz w:val="22"/>
          <w:szCs w:val="22"/>
        </w:rPr>
      </w:pPr>
    </w:p>
    <w:p w:rsidR="005D0815" w:rsidRPr="00C374C3" w:rsidRDefault="00B22BCB" w:rsidP="005D0815">
      <w:pPr>
        <w:autoSpaceDE w:val="0"/>
        <w:autoSpaceDN w:val="0"/>
        <w:adjustRightInd w:val="0"/>
        <w:spacing w:line="300" w:lineRule="atLeast"/>
        <w:jc w:val="both"/>
        <w:rPr>
          <w:rFonts w:ascii="Arial" w:hAnsi="Arial" w:cs="Arial"/>
          <w:sz w:val="22"/>
          <w:szCs w:val="22"/>
        </w:rPr>
      </w:pPr>
      <w:r w:rsidRPr="00C374C3">
        <w:rPr>
          <w:rStyle w:val="LBLLevel3"/>
          <w:rFonts w:cs="Arial"/>
          <w:i/>
          <w:sz w:val="22"/>
          <w:szCs w:val="22"/>
        </w:rPr>
        <w:t>CYP3A4</w:t>
      </w:r>
      <w:r w:rsidR="005D0815" w:rsidRPr="00C374C3">
        <w:rPr>
          <w:rStyle w:val="LBLLevel3"/>
          <w:rFonts w:cs="Arial"/>
          <w:i/>
          <w:sz w:val="22"/>
          <w:szCs w:val="22"/>
        </w:rPr>
        <w:t xml:space="preserve">, P-gp, </w:t>
      </w:r>
      <w:r w:rsidR="002E1AD9" w:rsidRPr="00504E24">
        <w:rPr>
          <w:rStyle w:val="LBLLevel3"/>
          <w:rFonts w:cs="Arial"/>
          <w:i/>
          <w:sz w:val="22"/>
          <w:szCs w:val="22"/>
        </w:rPr>
        <w:t>Breast Cancer Resistance Protein</w:t>
      </w:r>
      <w:r w:rsidR="002E1AD9">
        <w:rPr>
          <w:rStyle w:val="LBLLevel3"/>
          <w:rFonts w:cs="Arial"/>
          <w:i/>
          <w:sz w:val="22"/>
          <w:szCs w:val="22"/>
        </w:rPr>
        <w:t xml:space="preserve"> (</w:t>
      </w:r>
      <w:r w:rsidR="005D0815" w:rsidRPr="00C374C3">
        <w:rPr>
          <w:rStyle w:val="LBLLevel3"/>
          <w:rFonts w:cs="Arial"/>
          <w:i/>
          <w:sz w:val="22"/>
          <w:szCs w:val="22"/>
        </w:rPr>
        <w:t>BCRP</w:t>
      </w:r>
      <w:r w:rsidR="002E1AD9">
        <w:rPr>
          <w:rStyle w:val="LBLLevel3"/>
          <w:rFonts w:cs="Arial"/>
          <w:i/>
          <w:sz w:val="22"/>
          <w:szCs w:val="22"/>
        </w:rPr>
        <w:t>)</w:t>
      </w:r>
      <w:r w:rsidRPr="00C374C3">
        <w:rPr>
          <w:rStyle w:val="LBLLevel3"/>
          <w:rFonts w:cs="Arial"/>
          <w:i/>
          <w:sz w:val="22"/>
          <w:szCs w:val="22"/>
        </w:rPr>
        <w:t xml:space="preserve"> Inhibitors</w:t>
      </w:r>
      <w:r w:rsidRPr="00C374C3">
        <w:rPr>
          <w:rStyle w:val="LBLLevel3"/>
          <w:rFonts w:cs="Arial"/>
          <w:sz w:val="22"/>
          <w:szCs w:val="22"/>
        </w:rPr>
        <w:t>:</w:t>
      </w:r>
      <w:r w:rsidR="005D0815" w:rsidRPr="00C374C3">
        <w:rPr>
          <w:rFonts w:ascii="Arial" w:hAnsi="Arial" w:cs="Arial"/>
          <w:sz w:val="22"/>
          <w:szCs w:val="22"/>
        </w:rPr>
        <w:t xml:space="preserve"> Pazopanib is a substrate for CYP3A4, P-gp and BCRP.</w:t>
      </w:r>
    </w:p>
    <w:p w:rsidR="00412BF5" w:rsidRDefault="00412BF5">
      <w:pPr>
        <w:rPr>
          <w:rFonts w:ascii="Arial" w:hAnsi="Arial" w:cs="Arial"/>
          <w:sz w:val="22"/>
          <w:szCs w:val="22"/>
        </w:rPr>
      </w:pPr>
      <w:r>
        <w:rPr>
          <w:rFonts w:ascii="Arial" w:hAnsi="Arial" w:cs="Arial"/>
          <w:sz w:val="22"/>
          <w:szCs w:val="22"/>
        </w:rPr>
        <w:br w:type="page"/>
      </w:r>
    </w:p>
    <w:p w:rsidR="005D0815" w:rsidRPr="00C374C3" w:rsidRDefault="005D0815" w:rsidP="005D0815">
      <w:pPr>
        <w:spacing w:line="300" w:lineRule="atLeast"/>
        <w:jc w:val="both"/>
        <w:rPr>
          <w:rFonts w:ascii="Arial" w:hAnsi="Arial" w:cs="Arial"/>
          <w:strike/>
          <w:sz w:val="22"/>
          <w:szCs w:val="22"/>
        </w:rPr>
      </w:pPr>
      <w:r w:rsidRPr="00C374C3">
        <w:rPr>
          <w:rFonts w:ascii="Arial" w:hAnsi="Arial" w:cs="Arial"/>
          <w:sz w:val="22"/>
          <w:szCs w:val="22"/>
        </w:rPr>
        <w:t>Concurrent administration of pazopanib (400 mg once daily) with the strong CYP3A4 and P-gp inhibitor, ketoconazole (400 mg once daily) for 5 consecutive days, resulted in a 66 % and 45 % increase in mean pazopanib AUC</w:t>
      </w:r>
      <w:r w:rsidRPr="00C374C3">
        <w:rPr>
          <w:rFonts w:ascii="Arial" w:hAnsi="Arial" w:cs="Arial"/>
          <w:sz w:val="22"/>
          <w:szCs w:val="22"/>
          <w:vertAlign w:val="subscript"/>
        </w:rPr>
        <w:t>(0-24)</w:t>
      </w:r>
      <w:r w:rsidRPr="00C374C3">
        <w:rPr>
          <w:rFonts w:ascii="Arial" w:hAnsi="Arial" w:cs="Arial"/>
          <w:sz w:val="22"/>
          <w:szCs w:val="22"/>
        </w:rPr>
        <w:t xml:space="preserve"> and C</w:t>
      </w:r>
      <w:r w:rsidRPr="00C374C3">
        <w:rPr>
          <w:rFonts w:ascii="Arial" w:hAnsi="Arial" w:cs="Arial"/>
          <w:sz w:val="22"/>
          <w:szCs w:val="22"/>
          <w:vertAlign w:val="subscript"/>
        </w:rPr>
        <w:t>max</w:t>
      </w:r>
      <w:r w:rsidRPr="00C374C3">
        <w:rPr>
          <w:rFonts w:ascii="Arial" w:hAnsi="Arial" w:cs="Arial"/>
          <w:sz w:val="22"/>
          <w:szCs w:val="22"/>
        </w:rPr>
        <w:t>, respectively, relative to administration of pazopanib alone (400 mg once daily for 7 days).</w:t>
      </w:r>
      <w:r w:rsidR="00C374C3" w:rsidRPr="00C374C3">
        <w:rPr>
          <w:rFonts w:ascii="Arial" w:hAnsi="Arial" w:cs="Arial"/>
          <w:sz w:val="22"/>
          <w:szCs w:val="22"/>
        </w:rPr>
        <w:t xml:space="preserve"> </w:t>
      </w:r>
      <w:r w:rsidR="00C374C3" w:rsidRPr="00F717A8">
        <w:rPr>
          <w:rFonts w:ascii="Arial" w:hAnsi="Arial" w:cs="Arial"/>
          <w:sz w:val="22"/>
          <w:szCs w:val="22"/>
        </w:rPr>
        <w:t xml:space="preserve">There was also a greater degree of inter-subject variability in pazopanib pharmacokinetic parameters when pazopanib was administered with ketoconazole compared to when pazopanib was administered alone. </w:t>
      </w:r>
      <w:r w:rsidRPr="00F717A8">
        <w:rPr>
          <w:rFonts w:ascii="Arial" w:hAnsi="Arial" w:cs="Arial"/>
          <w:sz w:val="22"/>
          <w:szCs w:val="22"/>
        </w:rPr>
        <w:t>Pazopanib C</w:t>
      </w:r>
      <w:r w:rsidRPr="00F717A8">
        <w:rPr>
          <w:rFonts w:ascii="Arial" w:hAnsi="Arial" w:cs="Arial"/>
          <w:sz w:val="22"/>
          <w:szCs w:val="22"/>
          <w:vertAlign w:val="subscript"/>
        </w:rPr>
        <w:t>max</w:t>
      </w:r>
      <w:r w:rsidRPr="00F717A8">
        <w:rPr>
          <w:rFonts w:ascii="Arial" w:hAnsi="Arial" w:cs="Arial"/>
          <w:sz w:val="22"/>
          <w:szCs w:val="22"/>
        </w:rPr>
        <w:t xml:space="preserve"> and AUC increase in a less than dose proportional fashion with increasing dose over the range of 50 mg to 2000 mg.</w:t>
      </w:r>
      <w:r w:rsidRPr="00C374C3">
        <w:rPr>
          <w:rFonts w:ascii="Arial" w:hAnsi="Arial" w:cs="Arial"/>
          <w:sz w:val="22"/>
          <w:szCs w:val="22"/>
        </w:rPr>
        <w:t xml:space="preserve"> </w:t>
      </w:r>
    </w:p>
    <w:p w:rsidR="00B22BCB" w:rsidRPr="00B22BCB" w:rsidRDefault="00B22BCB" w:rsidP="00B22BCB">
      <w:pPr>
        <w:autoSpaceDE w:val="0"/>
        <w:autoSpaceDN w:val="0"/>
        <w:adjustRightInd w:val="0"/>
        <w:spacing w:line="300" w:lineRule="atLeast"/>
        <w:jc w:val="both"/>
        <w:rPr>
          <w:rFonts w:ascii="Arial" w:hAnsi="Arial" w:cs="Arial"/>
          <w:sz w:val="22"/>
          <w:szCs w:val="22"/>
        </w:rPr>
      </w:pPr>
    </w:p>
    <w:p w:rsidR="00B22BCB" w:rsidRPr="00B22BCB" w:rsidRDefault="00B22BCB" w:rsidP="00B22BCB">
      <w:pPr>
        <w:autoSpaceDE w:val="0"/>
        <w:autoSpaceDN w:val="0"/>
        <w:adjustRightInd w:val="0"/>
        <w:spacing w:line="300" w:lineRule="atLeast"/>
        <w:jc w:val="both"/>
        <w:rPr>
          <w:rFonts w:ascii="Arial" w:hAnsi="Arial" w:cs="Arial"/>
          <w:sz w:val="22"/>
          <w:szCs w:val="22"/>
        </w:rPr>
      </w:pPr>
      <w:r w:rsidRPr="00B22BCB">
        <w:rPr>
          <w:rFonts w:ascii="Arial" w:hAnsi="Arial" w:cs="Arial"/>
          <w:sz w:val="22"/>
          <w:szCs w:val="22"/>
        </w:rPr>
        <w:t xml:space="preserve">Co-administration of </w:t>
      </w:r>
      <w:r w:rsidR="00FE59D2">
        <w:rPr>
          <w:rFonts w:ascii="Arial" w:hAnsi="Arial" w:cs="Arial"/>
          <w:sz w:val="22"/>
          <w:szCs w:val="22"/>
        </w:rPr>
        <w:t>pazopanib</w:t>
      </w:r>
      <w:r w:rsidR="00FE59D2" w:rsidRPr="00B22BCB">
        <w:rPr>
          <w:rFonts w:ascii="Arial" w:hAnsi="Arial" w:cs="Arial"/>
          <w:sz w:val="22"/>
          <w:szCs w:val="22"/>
        </w:rPr>
        <w:t xml:space="preserve"> </w:t>
      </w:r>
      <w:r w:rsidRPr="00B22BCB">
        <w:rPr>
          <w:rFonts w:ascii="Arial" w:hAnsi="Arial" w:cs="Arial"/>
          <w:sz w:val="22"/>
          <w:szCs w:val="22"/>
        </w:rPr>
        <w:t xml:space="preserve">with </w:t>
      </w:r>
      <w:r w:rsidR="005D0815">
        <w:rPr>
          <w:rFonts w:ascii="Arial" w:hAnsi="Arial" w:cs="Arial"/>
          <w:sz w:val="22"/>
          <w:szCs w:val="22"/>
        </w:rPr>
        <w:t xml:space="preserve">other </w:t>
      </w:r>
      <w:r w:rsidRPr="00B22BCB">
        <w:rPr>
          <w:rFonts w:ascii="Arial" w:hAnsi="Arial" w:cs="Arial"/>
          <w:sz w:val="22"/>
          <w:szCs w:val="22"/>
        </w:rPr>
        <w:t>strong inhibitors of the CYP3A4 family (</w:t>
      </w:r>
      <w:r w:rsidRPr="00B22BCB">
        <w:rPr>
          <w:rFonts w:ascii="Arial" w:eastAsia="Batang" w:hAnsi="Arial" w:cs="Arial"/>
          <w:sz w:val="22"/>
          <w:szCs w:val="22"/>
        </w:rPr>
        <w:t>e.g. itraconazole, clarithromycin, atazanavir, indinavir, nefazodone, nelfinavir, ritonavir, saquinavir, telithromycin, voriconazole</w:t>
      </w:r>
      <w:r w:rsidRPr="00B22BCB">
        <w:rPr>
          <w:rFonts w:ascii="Arial" w:hAnsi="Arial" w:cs="Arial"/>
          <w:sz w:val="22"/>
          <w:szCs w:val="22"/>
        </w:rPr>
        <w:t xml:space="preserve">) may increase </w:t>
      </w:r>
      <w:r>
        <w:rPr>
          <w:rFonts w:ascii="Arial" w:hAnsi="Arial" w:cs="Arial"/>
          <w:sz w:val="22"/>
          <w:szCs w:val="22"/>
        </w:rPr>
        <w:t>pazopanib</w:t>
      </w:r>
      <w:r w:rsidRPr="00B22BCB">
        <w:rPr>
          <w:rFonts w:ascii="Arial" w:hAnsi="Arial" w:cs="Arial"/>
          <w:sz w:val="22"/>
          <w:szCs w:val="22"/>
        </w:rPr>
        <w:t xml:space="preserve"> concentrations. </w:t>
      </w:r>
      <w:r>
        <w:rPr>
          <w:rFonts w:ascii="Arial" w:hAnsi="Arial" w:cs="Arial"/>
          <w:sz w:val="22"/>
          <w:szCs w:val="22"/>
        </w:rPr>
        <w:t xml:space="preserve"> </w:t>
      </w:r>
      <w:r w:rsidRPr="00B22BCB">
        <w:rPr>
          <w:rFonts w:ascii="Arial" w:hAnsi="Arial" w:cs="Arial"/>
          <w:sz w:val="22"/>
          <w:szCs w:val="22"/>
        </w:rPr>
        <w:t xml:space="preserve">Grapefruit juice may also increase plasma concentrations of </w:t>
      </w:r>
      <w:r w:rsidR="00FE59D2">
        <w:rPr>
          <w:rFonts w:ascii="Arial" w:hAnsi="Arial" w:cs="Arial"/>
          <w:sz w:val="22"/>
          <w:szCs w:val="22"/>
        </w:rPr>
        <w:t>pazopanib</w:t>
      </w:r>
      <w:r w:rsidRPr="00B22BCB">
        <w:rPr>
          <w:rFonts w:ascii="Arial" w:hAnsi="Arial" w:cs="Arial"/>
          <w:sz w:val="22"/>
          <w:szCs w:val="22"/>
        </w:rPr>
        <w:t>.</w:t>
      </w:r>
    </w:p>
    <w:p w:rsidR="00B22BCB" w:rsidRPr="00B22BCB" w:rsidRDefault="00B22BCB" w:rsidP="00882CF8">
      <w:pPr>
        <w:autoSpaceDE w:val="0"/>
        <w:autoSpaceDN w:val="0"/>
        <w:adjustRightInd w:val="0"/>
        <w:spacing w:line="300" w:lineRule="atLeast"/>
        <w:jc w:val="both"/>
        <w:rPr>
          <w:rFonts w:ascii="Arial" w:hAnsi="Arial" w:cs="Arial"/>
          <w:sz w:val="22"/>
          <w:szCs w:val="22"/>
        </w:rPr>
      </w:pPr>
      <w:r w:rsidRPr="00B22BCB">
        <w:rPr>
          <w:rFonts w:ascii="Arial" w:hAnsi="Arial" w:cs="Arial"/>
          <w:sz w:val="22"/>
          <w:szCs w:val="22"/>
          <w:lang w:val="en-US"/>
        </w:rPr>
        <w:t>A</w:t>
      </w:r>
      <w:r w:rsidRPr="00B22BCB">
        <w:rPr>
          <w:rFonts w:ascii="Arial" w:hAnsi="Arial" w:cs="Arial"/>
          <w:sz w:val="22"/>
          <w:szCs w:val="22"/>
        </w:rPr>
        <w:t>dministration of 1500 mg lapatinib</w:t>
      </w:r>
      <w:r>
        <w:rPr>
          <w:rFonts w:ascii="Arial" w:hAnsi="Arial" w:cs="Arial"/>
          <w:sz w:val="22"/>
          <w:szCs w:val="22"/>
        </w:rPr>
        <w:t>,</w:t>
      </w:r>
      <w:r w:rsidRPr="00B22BCB">
        <w:rPr>
          <w:rFonts w:ascii="Arial" w:hAnsi="Arial" w:cs="Arial"/>
          <w:sz w:val="22"/>
          <w:szCs w:val="22"/>
        </w:rPr>
        <w:t xml:space="preserve"> a substrate and weak inhibitor of CYP3A4, P</w:t>
      </w:r>
      <w:r w:rsidR="002E1AD9">
        <w:rPr>
          <w:rFonts w:ascii="Arial" w:hAnsi="Arial" w:cs="Arial"/>
          <w:sz w:val="22"/>
          <w:szCs w:val="22"/>
        </w:rPr>
        <w:t>-</w:t>
      </w:r>
      <w:r w:rsidRPr="00B22BCB">
        <w:rPr>
          <w:rFonts w:ascii="Arial" w:hAnsi="Arial" w:cs="Arial"/>
          <w:sz w:val="22"/>
          <w:szCs w:val="22"/>
        </w:rPr>
        <w:t xml:space="preserve">gp and BCRP with 800 mg </w:t>
      </w:r>
      <w:r w:rsidR="00FE59D2">
        <w:rPr>
          <w:rFonts w:ascii="Arial" w:hAnsi="Arial" w:cs="Arial"/>
          <w:sz w:val="22"/>
          <w:szCs w:val="22"/>
        </w:rPr>
        <w:t>pazopanib</w:t>
      </w:r>
      <w:r w:rsidR="00FE59D2" w:rsidRPr="00B22BCB">
        <w:rPr>
          <w:rFonts w:ascii="Arial" w:hAnsi="Arial" w:cs="Arial"/>
          <w:sz w:val="22"/>
          <w:szCs w:val="22"/>
        </w:rPr>
        <w:t xml:space="preserve"> </w:t>
      </w:r>
      <w:r w:rsidRPr="00B22BCB">
        <w:rPr>
          <w:rFonts w:ascii="Arial" w:hAnsi="Arial" w:cs="Arial"/>
          <w:sz w:val="22"/>
          <w:szCs w:val="22"/>
        </w:rPr>
        <w:t>resulted in an approximately 50 % to 60 % increase in mean pazopanib AUC</w:t>
      </w:r>
      <w:r w:rsidRPr="00B22BCB">
        <w:rPr>
          <w:rFonts w:ascii="Arial" w:hAnsi="Arial" w:cs="Arial"/>
          <w:sz w:val="22"/>
          <w:szCs w:val="22"/>
          <w:vertAlign w:val="subscript"/>
        </w:rPr>
        <w:t>(0-24)</w:t>
      </w:r>
      <w:r w:rsidRPr="00B22BCB">
        <w:rPr>
          <w:rFonts w:ascii="Arial" w:hAnsi="Arial" w:cs="Arial"/>
          <w:sz w:val="22"/>
          <w:szCs w:val="22"/>
        </w:rPr>
        <w:t xml:space="preserve"> and C</w:t>
      </w:r>
      <w:r w:rsidRPr="00B22BCB">
        <w:rPr>
          <w:rFonts w:ascii="Arial" w:hAnsi="Arial" w:cs="Arial"/>
          <w:sz w:val="22"/>
          <w:szCs w:val="22"/>
          <w:vertAlign w:val="subscript"/>
        </w:rPr>
        <w:t xml:space="preserve">max </w:t>
      </w:r>
      <w:r w:rsidRPr="00B22BCB">
        <w:rPr>
          <w:rFonts w:ascii="Arial" w:hAnsi="Arial" w:cs="Arial"/>
          <w:sz w:val="22"/>
          <w:szCs w:val="22"/>
        </w:rPr>
        <w:t xml:space="preserve">compared to administration of 800 mg </w:t>
      </w:r>
      <w:r w:rsidR="00FE59D2">
        <w:rPr>
          <w:rFonts w:ascii="Arial" w:hAnsi="Arial" w:cs="Arial"/>
          <w:sz w:val="22"/>
          <w:szCs w:val="22"/>
        </w:rPr>
        <w:t>pazopanib</w:t>
      </w:r>
      <w:r w:rsidR="00FE59D2" w:rsidRPr="00B22BCB">
        <w:rPr>
          <w:rFonts w:ascii="Arial" w:hAnsi="Arial" w:cs="Arial"/>
          <w:sz w:val="22"/>
          <w:szCs w:val="22"/>
        </w:rPr>
        <w:t xml:space="preserve"> </w:t>
      </w:r>
      <w:r w:rsidRPr="00B22BCB">
        <w:rPr>
          <w:rFonts w:ascii="Arial" w:hAnsi="Arial" w:cs="Arial"/>
          <w:sz w:val="22"/>
          <w:szCs w:val="22"/>
        </w:rPr>
        <w:t xml:space="preserve">alone. </w:t>
      </w:r>
      <w:r>
        <w:rPr>
          <w:rFonts w:ascii="Arial" w:hAnsi="Arial" w:cs="Arial"/>
          <w:sz w:val="22"/>
          <w:szCs w:val="22"/>
        </w:rPr>
        <w:t xml:space="preserve"> </w:t>
      </w:r>
      <w:r w:rsidRPr="00B22BCB">
        <w:rPr>
          <w:rFonts w:ascii="Arial" w:hAnsi="Arial" w:cs="Arial"/>
          <w:sz w:val="22"/>
          <w:szCs w:val="22"/>
        </w:rPr>
        <w:t xml:space="preserve">Co-administration of </w:t>
      </w:r>
      <w:r w:rsidR="00FE59D2">
        <w:rPr>
          <w:rFonts w:ascii="Arial" w:hAnsi="Arial" w:cs="Arial"/>
          <w:sz w:val="22"/>
          <w:szCs w:val="22"/>
        </w:rPr>
        <w:t>pazopanib</w:t>
      </w:r>
      <w:r w:rsidR="00FE59D2" w:rsidRPr="00B22BCB">
        <w:rPr>
          <w:rFonts w:ascii="Arial" w:hAnsi="Arial" w:cs="Arial"/>
          <w:sz w:val="22"/>
          <w:szCs w:val="22"/>
        </w:rPr>
        <w:t xml:space="preserve"> </w:t>
      </w:r>
      <w:r w:rsidRPr="00B22BCB">
        <w:rPr>
          <w:rFonts w:ascii="Arial" w:hAnsi="Arial" w:cs="Arial"/>
          <w:sz w:val="22"/>
          <w:szCs w:val="22"/>
        </w:rPr>
        <w:t>with a CYP3A4, Pgp, and BCRP inhibitor, such as lapatinib, will result in an increase in plasma pazopanib concentrations.</w:t>
      </w:r>
    </w:p>
    <w:p w:rsidR="00B22BCB" w:rsidRDefault="00B22BCB" w:rsidP="00B22BCB">
      <w:pPr>
        <w:autoSpaceDE w:val="0"/>
        <w:autoSpaceDN w:val="0"/>
        <w:adjustRightInd w:val="0"/>
        <w:spacing w:line="300" w:lineRule="atLeast"/>
        <w:jc w:val="both"/>
        <w:rPr>
          <w:rFonts w:ascii="Arial" w:hAnsi="Arial" w:cs="Arial"/>
          <w:sz w:val="22"/>
          <w:szCs w:val="22"/>
        </w:rPr>
      </w:pPr>
    </w:p>
    <w:p w:rsidR="005D0815" w:rsidRDefault="005D0815" w:rsidP="00B22BCB">
      <w:pPr>
        <w:autoSpaceDE w:val="0"/>
        <w:autoSpaceDN w:val="0"/>
        <w:adjustRightInd w:val="0"/>
        <w:spacing w:line="300" w:lineRule="atLeast"/>
        <w:jc w:val="both"/>
        <w:rPr>
          <w:rFonts w:ascii="Arial" w:hAnsi="Arial" w:cs="Arial"/>
          <w:sz w:val="22"/>
          <w:szCs w:val="22"/>
        </w:rPr>
      </w:pPr>
      <w:r w:rsidRPr="00751E3A">
        <w:rPr>
          <w:rFonts w:ascii="Arial" w:hAnsi="Arial" w:cs="Arial"/>
          <w:sz w:val="22"/>
          <w:szCs w:val="22"/>
        </w:rPr>
        <w:t xml:space="preserve">Concomitant use of pazopanib with a strong CYP3A4 inhibitor should be </w:t>
      </w:r>
      <w:r w:rsidRPr="006B5166">
        <w:rPr>
          <w:rFonts w:ascii="Arial" w:hAnsi="Arial" w:cs="Arial"/>
          <w:sz w:val="22"/>
          <w:szCs w:val="22"/>
        </w:rPr>
        <w:t>avoided</w:t>
      </w:r>
      <w:r w:rsidR="00C374C3" w:rsidRPr="006B5166">
        <w:rPr>
          <w:rFonts w:ascii="Arial" w:hAnsi="Arial" w:cs="Arial"/>
          <w:sz w:val="22"/>
          <w:szCs w:val="22"/>
        </w:rPr>
        <w:t xml:space="preserve"> (</w:t>
      </w:r>
      <w:r w:rsidR="00C374C3" w:rsidRPr="006B5166">
        <w:rPr>
          <w:rFonts w:ascii="Arial" w:eastAsia="Batang" w:hAnsi="Arial" w:cs="Arial"/>
          <w:sz w:val="22"/>
          <w:szCs w:val="22"/>
        </w:rPr>
        <w:t xml:space="preserve">e.g. </w:t>
      </w:r>
      <w:r w:rsidR="00A80246" w:rsidRPr="006B5166">
        <w:rPr>
          <w:rFonts w:ascii="Arial" w:eastAsia="Batang" w:hAnsi="Arial" w:cs="Arial"/>
          <w:sz w:val="22"/>
          <w:szCs w:val="22"/>
        </w:rPr>
        <w:t>k</w:t>
      </w:r>
      <w:r w:rsidR="00C374C3" w:rsidRPr="006B5166">
        <w:rPr>
          <w:rFonts w:ascii="Arial" w:eastAsia="Batang" w:hAnsi="Arial" w:cs="Arial"/>
          <w:sz w:val="22"/>
          <w:szCs w:val="22"/>
        </w:rPr>
        <w:t>etoconazole, itraconazole, clarithromycin, atazanavir, indinavir, nefazodone, nelfinavir, ritonavir, saquinavir, telithromycin, voriconazole</w:t>
      </w:r>
      <w:r w:rsidR="00A80246" w:rsidRPr="006B5166">
        <w:rPr>
          <w:rFonts w:ascii="Arial" w:eastAsia="Batang" w:hAnsi="Arial" w:cs="Arial"/>
          <w:sz w:val="22"/>
          <w:szCs w:val="22"/>
        </w:rPr>
        <w:t>)</w:t>
      </w:r>
      <w:r w:rsidRPr="006B5166">
        <w:rPr>
          <w:rFonts w:ascii="Arial" w:hAnsi="Arial" w:cs="Arial"/>
          <w:sz w:val="22"/>
          <w:szCs w:val="22"/>
        </w:rPr>
        <w:t>. If no medically acceptab</w:t>
      </w:r>
      <w:r w:rsidR="00C374C3" w:rsidRPr="006B5166">
        <w:rPr>
          <w:rFonts w:ascii="Arial" w:hAnsi="Arial" w:cs="Arial"/>
          <w:sz w:val="22"/>
          <w:szCs w:val="22"/>
        </w:rPr>
        <w:t>le alternative</w:t>
      </w:r>
      <w:r w:rsidR="00C374C3">
        <w:rPr>
          <w:rFonts w:ascii="Arial" w:hAnsi="Arial" w:cs="Arial"/>
          <w:sz w:val="22"/>
          <w:szCs w:val="22"/>
        </w:rPr>
        <w:t xml:space="preserve"> to a strong CYP3</w:t>
      </w:r>
      <w:r w:rsidRPr="00751E3A">
        <w:rPr>
          <w:rFonts w:ascii="Arial" w:hAnsi="Arial" w:cs="Arial"/>
          <w:sz w:val="22"/>
          <w:szCs w:val="22"/>
        </w:rPr>
        <w:t>A</w:t>
      </w:r>
      <w:r w:rsidR="00C374C3">
        <w:rPr>
          <w:rFonts w:ascii="Arial" w:hAnsi="Arial" w:cs="Arial"/>
          <w:sz w:val="22"/>
          <w:szCs w:val="22"/>
        </w:rPr>
        <w:t>4</w:t>
      </w:r>
      <w:r w:rsidRPr="00751E3A">
        <w:rPr>
          <w:rFonts w:ascii="Arial" w:hAnsi="Arial" w:cs="Arial"/>
          <w:sz w:val="22"/>
          <w:szCs w:val="22"/>
        </w:rPr>
        <w:t xml:space="preserve"> inhibitor is available, the dose of pazopanib should be reduced to 400 mg daily during concomitant administration (</w:t>
      </w:r>
      <w:r w:rsidRPr="003E2AD7">
        <w:rPr>
          <w:rFonts w:ascii="Arial" w:hAnsi="Arial" w:cs="Arial"/>
          <w:i/>
          <w:sz w:val="22"/>
          <w:szCs w:val="22"/>
        </w:rPr>
        <w:t>see Precautions</w:t>
      </w:r>
      <w:r w:rsidRPr="00751E3A">
        <w:rPr>
          <w:rFonts w:ascii="Arial" w:hAnsi="Arial" w:cs="Arial"/>
          <w:sz w:val="22"/>
          <w:szCs w:val="22"/>
        </w:rPr>
        <w:t xml:space="preserve">). </w:t>
      </w:r>
      <w:r w:rsidR="00A80246" w:rsidRPr="00F717A8">
        <w:rPr>
          <w:rFonts w:ascii="Arial" w:hAnsi="Arial" w:cs="Arial"/>
          <w:sz w:val="22"/>
          <w:szCs w:val="22"/>
        </w:rPr>
        <w:t>Despite this dose reduction</w:t>
      </w:r>
      <w:r w:rsidR="00144FB5" w:rsidRPr="00F717A8">
        <w:rPr>
          <w:rFonts w:ascii="Arial" w:hAnsi="Arial" w:cs="Arial"/>
          <w:sz w:val="22"/>
          <w:szCs w:val="22"/>
        </w:rPr>
        <w:t xml:space="preserve">, some patients may still have </w:t>
      </w:r>
      <w:r w:rsidR="00A80246" w:rsidRPr="00F717A8">
        <w:rPr>
          <w:rFonts w:ascii="Arial" w:hAnsi="Arial" w:cs="Arial"/>
          <w:sz w:val="22"/>
          <w:szCs w:val="22"/>
        </w:rPr>
        <w:t>systemat</w:t>
      </w:r>
      <w:r w:rsidR="00144FB5" w:rsidRPr="00F717A8">
        <w:rPr>
          <w:rFonts w:ascii="Arial" w:hAnsi="Arial" w:cs="Arial"/>
          <w:sz w:val="22"/>
          <w:szCs w:val="22"/>
        </w:rPr>
        <w:t>ic pazo</w:t>
      </w:r>
      <w:r w:rsidR="00A80246" w:rsidRPr="00F717A8">
        <w:rPr>
          <w:rFonts w:ascii="Arial" w:hAnsi="Arial" w:cs="Arial"/>
          <w:sz w:val="22"/>
          <w:szCs w:val="22"/>
        </w:rPr>
        <w:t xml:space="preserve">panib exposure greater that what has been observed after administration of 800mg pazopanib </w:t>
      </w:r>
      <w:r w:rsidR="00144FB5" w:rsidRPr="00F717A8">
        <w:rPr>
          <w:rFonts w:ascii="Arial" w:hAnsi="Arial" w:cs="Arial"/>
          <w:sz w:val="22"/>
          <w:szCs w:val="22"/>
        </w:rPr>
        <w:t>alone.</w:t>
      </w:r>
      <w:r w:rsidR="00A80246" w:rsidRPr="00F717A8">
        <w:rPr>
          <w:rFonts w:ascii="Arial" w:hAnsi="Arial" w:cs="Arial"/>
          <w:sz w:val="22"/>
          <w:szCs w:val="22"/>
        </w:rPr>
        <w:t xml:space="preserve"> </w:t>
      </w:r>
      <w:r w:rsidRPr="00F717A8">
        <w:rPr>
          <w:rFonts w:ascii="Arial" w:hAnsi="Arial" w:cs="Arial"/>
          <w:sz w:val="22"/>
          <w:szCs w:val="22"/>
        </w:rPr>
        <w:t>Furt</w:t>
      </w:r>
      <w:r w:rsidRPr="00751E3A">
        <w:rPr>
          <w:rFonts w:ascii="Arial" w:hAnsi="Arial" w:cs="Arial"/>
          <w:sz w:val="22"/>
          <w:szCs w:val="22"/>
        </w:rPr>
        <w:t>her dose reduction may be considered if possible drug-related adverse events are observed</w:t>
      </w:r>
      <w:r>
        <w:rPr>
          <w:rFonts w:ascii="Arial" w:hAnsi="Arial" w:cs="Arial"/>
          <w:sz w:val="22"/>
          <w:szCs w:val="22"/>
        </w:rPr>
        <w:t>.</w:t>
      </w:r>
    </w:p>
    <w:p w:rsidR="005D0815" w:rsidRPr="00B22BCB" w:rsidRDefault="005D0815" w:rsidP="00B22BCB">
      <w:pPr>
        <w:autoSpaceDE w:val="0"/>
        <w:autoSpaceDN w:val="0"/>
        <w:adjustRightInd w:val="0"/>
        <w:spacing w:line="300" w:lineRule="atLeast"/>
        <w:jc w:val="both"/>
        <w:rPr>
          <w:rFonts w:ascii="Arial" w:hAnsi="Arial" w:cs="Arial"/>
          <w:sz w:val="22"/>
          <w:szCs w:val="22"/>
        </w:rPr>
      </w:pPr>
    </w:p>
    <w:p w:rsidR="00B22BCB" w:rsidRPr="00B22BCB" w:rsidRDefault="00B22BCB" w:rsidP="00B22BCB">
      <w:pPr>
        <w:spacing w:line="300" w:lineRule="atLeast"/>
        <w:jc w:val="both"/>
        <w:rPr>
          <w:rFonts w:ascii="Arial" w:hAnsi="Arial" w:cs="Arial"/>
          <w:sz w:val="22"/>
          <w:szCs w:val="22"/>
        </w:rPr>
      </w:pPr>
      <w:r w:rsidRPr="00B22BCB">
        <w:rPr>
          <w:rFonts w:ascii="Arial" w:hAnsi="Arial" w:cs="Arial"/>
          <w:sz w:val="22"/>
          <w:szCs w:val="22"/>
        </w:rPr>
        <w:t xml:space="preserve">Combination with strong </w:t>
      </w:r>
      <w:r w:rsidR="005D0815">
        <w:rPr>
          <w:rFonts w:ascii="Arial" w:hAnsi="Arial" w:cs="Arial"/>
          <w:sz w:val="22"/>
          <w:szCs w:val="22"/>
        </w:rPr>
        <w:t xml:space="preserve">P-gp </w:t>
      </w:r>
      <w:r w:rsidRPr="00B22BCB">
        <w:rPr>
          <w:rFonts w:ascii="Arial" w:hAnsi="Arial" w:cs="Arial"/>
          <w:sz w:val="22"/>
          <w:szCs w:val="22"/>
        </w:rPr>
        <w:t xml:space="preserve">inhibitors should be avoided, or selection of an alternate concomitant medication with no or minimal potential to inhibit </w:t>
      </w:r>
      <w:r w:rsidR="005D0815">
        <w:rPr>
          <w:rFonts w:ascii="Arial" w:hAnsi="Arial" w:cs="Arial"/>
          <w:sz w:val="22"/>
          <w:szCs w:val="22"/>
        </w:rPr>
        <w:t xml:space="preserve">P-gp </w:t>
      </w:r>
      <w:r w:rsidRPr="00B22BCB">
        <w:rPr>
          <w:rFonts w:ascii="Arial" w:hAnsi="Arial" w:cs="Arial"/>
          <w:sz w:val="22"/>
          <w:szCs w:val="22"/>
        </w:rPr>
        <w:t xml:space="preserve">is recommended. </w:t>
      </w:r>
      <w:r>
        <w:rPr>
          <w:rFonts w:ascii="Arial" w:hAnsi="Arial" w:cs="Arial"/>
          <w:sz w:val="22"/>
          <w:szCs w:val="22"/>
        </w:rPr>
        <w:t xml:space="preserve"> </w:t>
      </w:r>
    </w:p>
    <w:p w:rsidR="00B22BCB" w:rsidRPr="00B22BCB" w:rsidRDefault="00B22BCB" w:rsidP="00B22BCB">
      <w:pPr>
        <w:spacing w:line="300" w:lineRule="atLeast"/>
        <w:jc w:val="both"/>
        <w:rPr>
          <w:rFonts w:ascii="Arial" w:hAnsi="Arial" w:cs="Arial"/>
          <w:sz w:val="22"/>
          <w:szCs w:val="22"/>
        </w:rPr>
      </w:pPr>
      <w:bookmarkStart w:id="3" w:name="_Toc157845254"/>
      <w:bookmarkStart w:id="4" w:name="_Toc161289959"/>
      <w:bookmarkStart w:id="5" w:name="_Toc197749949"/>
      <w:bookmarkStart w:id="6" w:name="_Toc201028827"/>
    </w:p>
    <w:p w:rsidR="00B22BCB" w:rsidRPr="00B22BCB" w:rsidRDefault="00B22BCB" w:rsidP="00B22BCB">
      <w:pPr>
        <w:spacing w:line="300" w:lineRule="atLeast"/>
        <w:jc w:val="both"/>
        <w:rPr>
          <w:rFonts w:ascii="Arial" w:hAnsi="Arial" w:cs="Arial"/>
          <w:sz w:val="22"/>
          <w:szCs w:val="22"/>
        </w:rPr>
      </w:pPr>
      <w:r w:rsidRPr="00B22BCB">
        <w:rPr>
          <w:rFonts w:ascii="Arial" w:hAnsi="Arial" w:cs="Arial"/>
          <w:i/>
          <w:sz w:val="22"/>
          <w:szCs w:val="22"/>
          <w:u w:val="single"/>
        </w:rPr>
        <w:t>CYP3A4 Inducers</w:t>
      </w:r>
      <w:r w:rsidRPr="00B22BCB">
        <w:rPr>
          <w:rFonts w:ascii="Arial" w:hAnsi="Arial" w:cs="Arial"/>
          <w:sz w:val="22"/>
          <w:szCs w:val="22"/>
          <w:u w:val="single"/>
        </w:rPr>
        <w:t>:</w:t>
      </w:r>
      <w:r w:rsidRPr="00B22BCB">
        <w:rPr>
          <w:rFonts w:ascii="Arial" w:hAnsi="Arial" w:cs="Arial"/>
          <w:sz w:val="22"/>
          <w:szCs w:val="22"/>
        </w:rPr>
        <w:t xml:space="preserve">  CYP3A4 inducers such as rifampin may decrease plasma pazopanib concentrations.  Selection of an alternate concomitant medication with no or minimal enzyme induction potential is recommended.</w:t>
      </w:r>
    </w:p>
    <w:p w:rsidR="00B22BCB" w:rsidRPr="00B22BCB" w:rsidRDefault="00B22BCB" w:rsidP="00B22BCB">
      <w:pPr>
        <w:pStyle w:val="LBLLevel2"/>
        <w:widowControl w:val="0"/>
        <w:adjustRightInd w:val="0"/>
        <w:spacing w:line="300" w:lineRule="atLeast"/>
        <w:jc w:val="both"/>
        <w:textAlignment w:val="baseline"/>
        <w:rPr>
          <w:rFonts w:cs="Arial"/>
          <w:b w:val="0"/>
          <w:i/>
          <w:color w:val="000000"/>
          <w:sz w:val="22"/>
          <w:szCs w:val="22"/>
        </w:rPr>
      </w:pPr>
    </w:p>
    <w:p w:rsidR="00B22BCB" w:rsidRPr="00B22BCB" w:rsidRDefault="00B22BCB" w:rsidP="005224A8">
      <w:pPr>
        <w:pStyle w:val="LBLLevel2"/>
        <w:widowControl w:val="0"/>
        <w:adjustRightInd w:val="0"/>
        <w:spacing w:before="120" w:after="120" w:line="300" w:lineRule="atLeast"/>
        <w:jc w:val="both"/>
        <w:textAlignment w:val="baseline"/>
        <w:rPr>
          <w:rFonts w:cs="Arial"/>
          <w:i/>
          <w:color w:val="000000"/>
          <w:sz w:val="22"/>
          <w:szCs w:val="22"/>
        </w:rPr>
      </w:pPr>
      <w:r w:rsidRPr="00B22BCB">
        <w:rPr>
          <w:rFonts w:cs="Arial"/>
          <w:i/>
          <w:color w:val="000000"/>
          <w:sz w:val="22"/>
          <w:szCs w:val="22"/>
        </w:rPr>
        <w:t xml:space="preserve">Effects of </w:t>
      </w:r>
      <w:r w:rsidR="005224A8">
        <w:rPr>
          <w:rFonts w:cs="Arial"/>
          <w:i/>
          <w:color w:val="000000"/>
          <w:sz w:val="22"/>
          <w:szCs w:val="22"/>
        </w:rPr>
        <w:t>P</w:t>
      </w:r>
      <w:r w:rsidR="00180919">
        <w:rPr>
          <w:rFonts w:cs="Arial"/>
          <w:i/>
          <w:color w:val="000000"/>
          <w:sz w:val="22"/>
          <w:szCs w:val="22"/>
        </w:rPr>
        <w:t>azopanib</w:t>
      </w:r>
      <w:r w:rsidR="00180919" w:rsidRPr="00B22BCB">
        <w:rPr>
          <w:rFonts w:cs="Arial"/>
          <w:i/>
          <w:color w:val="000000"/>
          <w:sz w:val="22"/>
          <w:szCs w:val="22"/>
        </w:rPr>
        <w:t xml:space="preserve"> </w:t>
      </w:r>
      <w:r w:rsidRPr="00B22BCB">
        <w:rPr>
          <w:rFonts w:cs="Arial"/>
          <w:i/>
          <w:color w:val="000000"/>
          <w:sz w:val="22"/>
          <w:szCs w:val="22"/>
        </w:rPr>
        <w:t xml:space="preserve">on </w:t>
      </w:r>
      <w:bookmarkEnd w:id="3"/>
      <w:bookmarkEnd w:id="4"/>
      <w:r w:rsidRPr="00B22BCB">
        <w:rPr>
          <w:rFonts w:cs="Arial"/>
          <w:i/>
          <w:color w:val="000000"/>
          <w:sz w:val="22"/>
          <w:szCs w:val="22"/>
        </w:rPr>
        <w:t>CYP Substrates</w:t>
      </w:r>
      <w:bookmarkEnd w:id="5"/>
      <w:bookmarkEnd w:id="6"/>
    </w:p>
    <w:p w:rsidR="00B22BCB" w:rsidRPr="00B22BCB" w:rsidRDefault="00B22BCB" w:rsidP="00180919">
      <w:pPr>
        <w:spacing w:line="300" w:lineRule="atLeast"/>
        <w:jc w:val="both"/>
        <w:rPr>
          <w:rFonts w:ascii="Arial" w:hAnsi="Arial" w:cs="Arial"/>
          <w:sz w:val="22"/>
          <w:szCs w:val="22"/>
        </w:rPr>
      </w:pPr>
      <w:r w:rsidRPr="00B22BCB">
        <w:rPr>
          <w:rFonts w:ascii="Arial" w:hAnsi="Arial" w:cs="Arial"/>
          <w:i/>
          <w:sz w:val="22"/>
          <w:szCs w:val="22"/>
        </w:rPr>
        <w:t>In vitro</w:t>
      </w:r>
      <w:r w:rsidRPr="00B22BCB">
        <w:rPr>
          <w:rFonts w:ascii="Arial" w:hAnsi="Arial" w:cs="Arial"/>
          <w:sz w:val="22"/>
          <w:szCs w:val="22"/>
        </w:rPr>
        <w:t xml:space="preserve"> studies with human liver microsomes showed that </w:t>
      </w:r>
      <w:r w:rsidR="00FE59D2">
        <w:rPr>
          <w:rFonts w:ascii="Arial" w:hAnsi="Arial" w:cs="Arial"/>
          <w:sz w:val="22"/>
          <w:szCs w:val="22"/>
        </w:rPr>
        <w:t>pazopanib</w:t>
      </w:r>
      <w:r w:rsidR="00FE59D2" w:rsidRPr="00B22BCB">
        <w:rPr>
          <w:rFonts w:ascii="Arial" w:hAnsi="Arial" w:cs="Arial"/>
          <w:sz w:val="22"/>
          <w:szCs w:val="22"/>
        </w:rPr>
        <w:t xml:space="preserve"> </w:t>
      </w:r>
      <w:r w:rsidRPr="00B22BCB">
        <w:rPr>
          <w:rFonts w:ascii="Arial" w:hAnsi="Arial" w:cs="Arial"/>
          <w:sz w:val="22"/>
          <w:szCs w:val="22"/>
        </w:rPr>
        <w:t xml:space="preserve">inhibited CYP enzymes 1A2, 3A4, 2B6, 2C8, 2C9, 2C19, and 2E1. </w:t>
      </w:r>
      <w:r>
        <w:rPr>
          <w:rFonts w:ascii="Arial" w:hAnsi="Arial" w:cs="Arial"/>
          <w:sz w:val="22"/>
          <w:szCs w:val="22"/>
        </w:rPr>
        <w:t xml:space="preserve"> </w:t>
      </w:r>
      <w:r w:rsidRPr="00B22BCB">
        <w:rPr>
          <w:rFonts w:ascii="Arial" w:hAnsi="Arial" w:cs="Arial"/>
          <w:sz w:val="22"/>
          <w:szCs w:val="22"/>
        </w:rPr>
        <w:t xml:space="preserve">Potential induction of human CYP3A4 was demonstrated in an </w:t>
      </w:r>
      <w:r w:rsidRPr="00B22BCB">
        <w:rPr>
          <w:rFonts w:ascii="Arial" w:hAnsi="Arial" w:cs="Arial"/>
          <w:i/>
          <w:sz w:val="22"/>
          <w:szCs w:val="22"/>
        </w:rPr>
        <w:t>in vitro</w:t>
      </w:r>
      <w:r w:rsidRPr="00B22BCB">
        <w:rPr>
          <w:rFonts w:ascii="Arial" w:hAnsi="Arial" w:cs="Arial"/>
          <w:sz w:val="22"/>
          <w:szCs w:val="22"/>
        </w:rPr>
        <w:t xml:space="preserve"> human </w:t>
      </w:r>
      <w:smartTag w:uri="urn:schemas-microsoft-com:office:smarttags" w:element="stockticker">
        <w:r w:rsidRPr="00B22BCB">
          <w:rPr>
            <w:rFonts w:ascii="Arial" w:hAnsi="Arial" w:cs="Arial"/>
            <w:sz w:val="22"/>
            <w:szCs w:val="22"/>
          </w:rPr>
          <w:t>PXR</w:t>
        </w:r>
      </w:smartTag>
      <w:r w:rsidRPr="00B22BCB">
        <w:rPr>
          <w:rFonts w:ascii="Arial" w:hAnsi="Arial" w:cs="Arial"/>
          <w:sz w:val="22"/>
          <w:szCs w:val="22"/>
        </w:rPr>
        <w:t xml:space="preserve"> assay. </w:t>
      </w:r>
      <w:r>
        <w:rPr>
          <w:rFonts w:ascii="Arial" w:hAnsi="Arial" w:cs="Arial"/>
          <w:sz w:val="22"/>
          <w:szCs w:val="22"/>
        </w:rPr>
        <w:t xml:space="preserve"> </w:t>
      </w:r>
      <w:r w:rsidRPr="00B22BCB">
        <w:rPr>
          <w:rFonts w:ascii="Arial" w:hAnsi="Arial" w:cs="Arial"/>
          <w:sz w:val="22"/>
          <w:szCs w:val="22"/>
        </w:rPr>
        <w:t xml:space="preserve">Clinical pharmacology studies, using </w:t>
      </w:r>
      <w:r w:rsidR="00FE59D2">
        <w:rPr>
          <w:rFonts w:ascii="Arial" w:hAnsi="Arial" w:cs="Arial"/>
          <w:sz w:val="22"/>
          <w:szCs w:val="22"/>
        </w:rPr>
        <w:t>pazopanib</w:t>
      </w:r>
      <w:r w:rsidR="00FE59D2" w:rsidRPr="00B22BCB">
        <w:rPr>
          <w:rFonts w:ascii="Arial" w:hAnsi="Arial" w:cs="Arial"/>
          <w:sz w:val="22"/>
          <w:szCs w:val="22"/>
        </w:rPr>
        <w:t xml:space="preserve"> </w:t>
      </w:r>
      <w:r w:rsidRPr="00B22BCB">
        <w:rPr>
          <w:rFonts w:ascii="Arial" w:hAnsi="Arial" w:cs="Arial"/>
          <w:sz w:val="22"/>
          <w:szCs w:val="22"/>
        </w:rPr>
        <w:t xml:space="preserve">800 mg once daily, have demonstrated that </w:t>
      </w:r>
      <w:r w:rsidR="00FE59D2">
        <w:rPr>
          <w:rFonts w:ascii="Arial" w:hAnsi="Arial" w:cs="Arial"/>
          <w:sz w:val="22"/>
          <w:szCs w:val="22"/>
        </w:rPr>
        <w:t>pazopanib</w:t>
      </w:r>
      <w:r w:rsidR="00FE59D2" w:rsidRPr="00B22BCB">
        <w:rPr>
          <w:rFonts w:ascii="Arial" w:hAnsi="Arial" w:cs="Arial"/>
          <w:sz w:val="22"/>
          <w:szCs w:val="22"/>
        </w:rPr>
        <w:t xml:space="preserve"> </w:t>
      </w:r>
      <w:r w:rsidRPr="00B22BCB">
        <w:rPr>
          <w:rFonts w:ascii="Arial" w:hAnsi="Arial" w:cs="Arial"/>
          <w:sz w:val="22"/>
          <w:szCs w:val="22"/>
        </w:rPr>
        <w:t xml:space="preserve">does not have a clinically relevant effect on the pharmacokinetics of caffeine (CYP1A2 probe substrate), warfarin (CYP2C9 probe substrate), or omeprazole (CYP2C19 probe substrate) in cancer patients. </w:t>
      </w:r>
      <w:r>
        <w:rPr>
          <w:rFonts w:ascii="Arial" w:hAnsi="Arial" w:cs="Arial"/>
          <w:sz w:val="22"/>
          <w:szCs w:val="22"/>
        </w:rPr>
        <w:t xml:space="preserve"> </w:t>
      </w:r>
      <w:r w:rsidR="002F1277">
        <w:rPr>
          <w:rFonts w:ascii="Arial" w:hAnsi="Arial" w:cs="Arial"/>
          <w:sz w:val="22"/>
          <w:szCs w:val="22"/>
        </w:rPr>
        <w:t>VOTRIENT</w:t>
      </w:r>
      <w:r w:rsidRPr="00B22BCB">
        <w:rPr>
          <w:rFonts w:ascii="Arial" w:hAnsi="Arial" w:cs="Arial"/>
          <w:sz w:val="22"/>
          <w:szCs w:val="22"/>
        </w:rPr>
        <w:t xml:space="preserve"> resulted in an increase of approximately 30 % in the mean AUC and C</w:t>
      </w:r>
      <w:r w:rsidRPr="00B22BCB">
        <w:rPr>
          <w:rFonts w:ascii="Arial" w:hAnsi="Arial" w:cs="Arial"/>
          <w:sz w:val="22"/>
          <w:szCs w:val="22"/>
          <w:vertAlign w:val="subscript"/>
        </w:rPr>
        <w:t>max</w:t>
      </w:r>
      <w:r w:rsidRPr="00B22BCB">
        <w:rPr>
          <w:rFonts w:ascii="Arial" w:hAnsi="Arial" w:cs="Arial"/>
          <w:sz w:val="22"/>
          <w:szCs w:val="22"/>
        </w:rPr>
        <w:t xml:space="preserve"> of midazolam (CYP3A4 probe substrate) and increases of 33% to 64% in the ratio of dextrometrophan to dextrorphan concentrations in the urine after oral administration of dextromethorphan (CYP2D6 probe substrate). </w:t>
      </w:r>
      <w:r>
        <w:rPr>
          <w:rFonts w:ascii="Arial" w:hAnsi="Arial" w:cs="Arial"/>
          <w:sz w:val="22"/>
          <w:szCs w:val="22"/>
        </w:rPr>
        <w:t xml:space="preserve"> </w:t>
      </w:r>
      <w:r w:rsidRPr="00B22BCB">
        <w:rPr>
          <w:rFonts w:ascii="Arial" w:hAnsi="Arial" w:cs="Arial"/>
          <w:sz w:val="22"/>
          <w:szCs w:val="22"/>
        </w:rPr>
        <w:t xml:space="preserve">Co-administration of </w:t>
      </w:r>
      <w:r w:rsidR="00FE59D2">
        <w:rPr>
          <w:rFonts w:ascii="Arial" w:hAnsi="Arial" w:cs="Arial"/>
          <w:sz w:val="22"/>
          <w:szCs w:val="22"/>
        </w:rPr>
        <w:t>pazopanib</w:t>
      </w:r>
      <w:r w:rsidR="00FE59D2" w:rsidRPr="00B22BCB">
        <w:rPr>
          <w:rFonts w:ascii="Arial" w:hAnsi="Arial" w:cs="Arial"/>
          <w:sz w:val="22"/>
          <w:szCs w:val="22"/>
        </w:rPr>
        <w:t xml:space="preserve"> </w:t>
      </w:r>
      <w:r w:rsidRPr="00B22BCB">
        <w:rPr>
          <w:rFonts w:ascii="Arial" w:hAnsi="Arial" w:cs="Arial"/>
          <w:sz w:val="22"/>
          <w:szCs w:val="22"/>
        </w:rPr>
        <w:t>800 mg once daily and paclitaxel 80 mg/m</w:t>
      </w:r>
      <w:r w:rsidRPr="00B22BCB">
        <w:rPr>
          <w:rFonts w:ascii="Arial" w:hAnsi="Arial" w:cs="Arial"/>
          <w:sz w:val="22"/>
          <w:szCs w:val="22"/>
          <w:vertAlign w:val="superscript"/>
        </w:rPr>
        <w:t>2</w:t>
      </w:r>
      <w:r w:rsidRPr="00B22BCB">
        <w:rPr>
          <w:rFonts w:ascii="Arial" w:hAnsi="Arial" w:cs="Arial"/>
          <w:sz w:val="22"/>
          <w:szCs w:val="22"/>
        </w:rPr>
        <w:t xml:space="preserve"> (CYP3A4 and CYP2C8 substrate) once weekly resulted in a mean increase of 26 % and 31 % in paclitaxel AUC and C</w:t>
      </w:r>
      <w:r w:rsidRPr="00B22BCB">
        <w:rPr>
          <w:rFonts w:ascii="Arial" w:hAnsi="Arial" w:cs="Arial"/>
          <w:sz w:val="22"/>
          <w:szCs w:val="22"/>
          <w:vertAlign w:val="subscript"/>
        </w:rPr>
        <w:t>max</w:t>
      </w:r>
      <w:r w:rsidRPr="00B22BCB">
        <w:rPr>
          <w:rFonts w:ascii="Arial" w:hAnsi="Arial" w:cs="Arial"/>
          <w:sz w:val="22"/>
          <w:szCs w:val="22"/>
        </w:rPr>
        <w:t>, respectively.</w:t>
      </w:r>
      <w:r w:rsidR="0054507B">
        <w:rPr>
          <w:rFonts w:ascii="Arial" w:hAnsi="Arial" w:cs="Arial"/>
          <w:sz w:val="22"/>
          <w:szCs w:val="22"/>
        </w:rPr>
        <w:t xml:space="preserve">  Concomitant use of pazopanib with agents with narrow therapeutic windows that are metabolised by CYP3A4, CYP2D6, or CYP2C8 is not recommended.  Coadministration may result in inhibition of the metabolism of these products and create the potential for serious adverse events.</w:t>
      </w:r>
    </w:p>
    <w:p w:rsidR="00180919" w:rsidRPr="00560F6D" w:rsidRDefault="00180919" w:rsidP="005224A8">
      <w:pPr>
        <w:spacing w:before="120" w:after="120" w:line="300" w:lineRule="atLeast"/>
        <w:rPr>
          <w:rFonts w:ascii="Arial" w:hAnsi="Arial" w:cs="Arial"/>
          <w:b/>
          <w:bCs/>
          <w:i/>
          <w:sz w:val="22"/>
          <w:szCs w:val="22"/>
        </w:rPr>
      </w:pPr>
      <w:r w:rsidRPr="00560F6D">
        <w:rPr>
          <w:rFonts w:ascii="Arial" w:hAnsi="Arial" w:cs="Arial"/>
          <w:b/>
          <w:bCs/>
          <w:i/>
          <w:sz w:val="22"/>
          <w:szCs w:val="22"/>
        </w:rPr>
        <w:t xml:space="preserve">Effects of Pazopanib on </w:t>
      </w:r>
      <w:r w:rsidR="00EE44A6">
        <w:rPr>
          <w:rFonts w:ascii="Arial" w:hAnsi="Arial" w:cs="Arial"/>
          <w:b/>
          <w:bCs/>
          <w:i/>
          <w:sz w:val="22"/>
          <w:szCs w:val="22"/>
        </w:rPr>
        <w:t xml:space="preserve">Other Enzymes and </w:t>
      </w:r>
      <w:r w:rsidRPr="00560F6D">
        <w:rPr>
          <w:rFonts w:ascii="Arial" w:hAnsi="Arial" w:cs="Arial"/>
          <w:b/>
          <w:bCs/>
          <w:i/>
          <w:sz w:val="22"/>
          <w:szCs w:val="22"/>
        </w:rPr>
        <w:t>Transporters</w:t>
      </w:r>
    </w:p>
    <w:p w:rsidR="00180919" w:rsidRPr="00560F6D" w:rsidRDefault="00180919" w:rsidP="00180919">
      <w:pPr>
        <w:spacing w:line="300" w:lineRule="atLeast"/>
        <w:jc w:val="both"/>
        <w:rPr>
          <w:rFonts w:ascii="Arial" w:hAnsi="Arial" w:cs="Arial"/>
          <w:sz w:val="22"/>
          <w:szCs w:val="22"/>
        </w:rPr>
      </w:pPr>
      <w:r w:rsidRPr="00560F6D">
        <w:rPr>
          <w:rFonts w:ascii="Arial" w:hAnsi="Arial" w:cs="Arial"/>
          <w:i/>
          <w:sz w:val="22"/>
          <w:szCs w:val="22"/>
        </w:rPr>
        <w:t>In vitro</w:t>
      </w:r>
      <w:r w:rsidRPr="00560F6D">
        <w:rPr>
          <w:rFonts w:ascii="Arial" w:hAnsi="Arial" w:cs="Arial"/>
          <w:sz w:val="22"/>
          <w:szCs w:val="22"/>
        </w:rPr>
        <w:t xml:space="preserve"> studies also showed that pazopanib is a potent inhibitor of UGT1A1 and OATP1B1 with IC</w:t>
      </w:r>
      <w:r w:rsidRPr="00560F6D">
        <w:rPr>
          <w:rFonts w:ascii="Arial" w:hAnsi="Arial" w:cs="Arial"/>
          <w:sz w:val="22"/>
          <w:szCs w:val="22"/>
          <w:vertAlign w:val="subscript"/>
        </w:rPr>
        <w:t xml:space="preserve">50 </w:t>
      </w:r>
      <w:r w:rsidRPr="00560F6D">
        <w:rPr>
          <w:rFonts w:ascii="Arial" w:hAnsi="Arial" w:cs="Arial"/>
          <w:sz w:val="22"/>
          <w:szCs w:val="22"/>
        </w:rPr>
        <w:t xml:space="preserve">of 1.2 and 0.79 </w:t>
      </w:r>
      <w:r w:rsidRPr="00560F6D">
        <w:rPr>
          <w:rFonts w:ascii="Arial" w:hAnsi="Arial" w:cs="Arial"/>
          <w:sz w:val="22"/>
          <w:szCs w:val="22"/>
        </w:rPr>
        <w:sym w:font="Symbol" w:char="F06D"/>
      </w:r>
      <w:r w:rsidRPr="00560F6D">
        <w:rPr>
          <w:rFonts w:ascii="Arial" w:hAnsi="Arial" w:cs="Arial"/>
          <w:sz w:val="22"/>
          <w:szCs w:val="22"/>
        </w:rPr>
        <w:t xml:space="preserve">M, respectively. Pazopanib may increase concentrations of drugs primarily eliminated through UGT1A1 (e.g. irinotecan) and OATP1B1 (e.g. rosuvastatin). </w:t>
      </w:r>
    </w:p>
    <w:p w:rsidR="00180919" w:rsidRPr="00B22BCB" w:rsidRDefault="00180919" w:rsidP="00B22BCB">
      <w:pPr>
        <w:keepNext/>
        <w:spacing w:line="300" w:lineRule="atLeast"/>
        <w:jc w:val="both"/>
        <w:rPr>
          <w:rFonts w:ascii="Arial" w:hAnsi="Arial" w:cs="Arial"/>
          <w:sz w:val="22"/>
          <w:szCs w:val="22"/>
        </w:rPr>
      </w:pPr>
    </w:p>
    <w:p w:rsidR="00EE44A6" w:rsidRPr="00BE6B9B" w:rsidRDefault="00EE44A6" w:rsidP="00EE44A6">
      <w:pPr>
        <w:spacing w:before="120" w:after="120"/>
        <w:rPr>
          <w:rFonts w:ascii="Arial" w:hAnsi="Arial" w:cs="Arial"/>
          <w:b/>
          <w:i/>
          <w:color w:val="000000"/>
          <w:sz w:val="22"/>
          <w:szCs w:val="22"/>
        </w:rPr>
      </w:pPr>
      <w:r w:rsidRPr="00BE6B9B">
        <w:rPr>
          <w:rFonts w:ascii="Arial" w:hAnsi="Arial" w:cs="Arial"/>
          <w:b/>
          <w:i/>
          <w:color w:val="000000"/>
          <w:sz w:val="22"/>
          <w:szCs w:val="22"/>
        </w:rPr>
        <w:t>Effect of concomitant use of Pazopanib and Simvastatin</w:t>
      </w:r>
    </w:p>
    <w:p w:rsidR="00EE44A6" w:rsidRPr="00BE6B9B" w:rsidRDefault="00EE44A6" w:rsidP="006D291E">
      <w:pPr>
        <w:spacing w:line="300" w:lineRule="atLeast"/>
        <w:jc w:val="both"/>
        <w:rPr>
          <w:rFonts w:ascii="Arial" w:hAnsi="Arial" w:cs="Arial"/>
          <w:color w:val="000000"/>
          <w:sz w:val="22"/>
          <w:szCs w:val="22"/>
        </w:rPr>
      </w:pPr>
      <w:r w:rsidRPr="00BE6B9B">
        <w:rPr>
          <w:rFonts w:ascii="Arial" w:hAnsi="Arial" w:cs="Arial"/>
          <w:sz w:val="22"/>
          <w:szCs w:val="22"/>
        </w:rPr>
        <w:t>Concomitant use of pazopanib and simvastatin increases the incidence of ALT elevations. If a patient receiving concomitant simvastatin develops ALT elevations, follow guidelines for pazopanib posology and discontinue simvastatin (</w:t>
      </w:r>
      <w:r w:rsidRPr="00BE6B9B">
        <w:rPr>
          <w:rFonts w:ascii="Arial" w:hAnsi="Arial" w:cs="Arial"/>
          <w:i/>
          <w:sz w:val="22"/>
          <w:szCs w:val="22"/>
        </w:rPr>
        <w:t>see Precautions</w:t>
      </w:r>
      <w:r w:rsidRPr="00BE6B9B">
        <w:rPr>
          <w:rFonts w:ascii="Arial" w:hAnsi="Arial" w:cs="Arial"/>
          <w:sz w:val="22"/>
          <w:szCs w:val="22"/>
        </w:rPr>
        <w:t>). Insufficient data are available to assess the risk of concomitant administration of alternative statins and pazopanib.</w:t>
      </w:r>
    </w:p>
    <w:p w:rsidR="00EE44A6" w:rsidRDefault="00EE44A6" w:rsidP="00EE44A6">
      <w:pPr>
        <w:spacing w:line="300" w:lineRule="atLeast"/>
        <w:jc w:val="both"/>
        <w:rPr>
          <w:rFonts w:ascii="Arial" w:hAnsi="Arial" w:cs="Arial"/>
          <w:b/>
          <w:i/>
          <w:sz w:val="22"/>
          <w:szCs w:val="22"/>
        </w:rPr>
      </w:pPr>
    </w:p>
    <w:p w:rsidR="00B22BCB" w:rsidRPr="00B22BCB" w:rsidRDefault="00B22BCB" w:rsidP="00B22BCB">
      <w:pPr>
        <w:spacing w:before="120" w:after="120" w:line="300" w:lineRule="atLeast"/>
        <w:jc w:val="both"/>
        <w:rPr>
          <w:rFonts w:ascii="Arial" w:hAnsi="Arial" w:cs="Arial"/>
          <w:b/>
          <w:i/>
          <w:sz w:val="22"/>
          <w:szCs w:val="22"/>
        </w:rPr>
      </w:pPr>
      <w:r w:rsidRPr="00B22BCB">
        <w:rPr>
          <w:rFonts w:ascii="Arial" w:hAnsi="Arial" w:cs="Arial"/>
          <w:b/>
          <w:i/>
          <w:sz w:val="22"/>
          <w:szCs w:val="22"/>
        </w:rPr>
        <w:t xml:space="preserve">Effect of Food on </w:t>
      </w:r>
      <w:r w:rsidR="005224A8">
        <w:rPr>
          <w:rFonts w:ascii="Arial" w:hAnsi="Arial" w:cs="Arial"/>
          <w:b/>
          <w:i/>
          <w:sz w:val="22"/>
          <w:szCs w:val="22"/>
        </w:rPr>
        <w:t>Pazopanib</w:t>
      </w:r>
    </w:p>
    <w:p w:rsidR="00B22BCB" w:rsidRPr="00B22BCB" w:rsidRDefault="00B22BCB" w:rsidP="00B22BCB">
      <w:pPr>
        <w:spacing w:line="300" w:lineRule="atLeast"/>
        <w:jc w:val="both"/>
        <w:rPr>
          <w:rFonts w:ascii="Arial" w:hAnsi="Arial" w:cs="Arial"/>
          <w:i/>
          <w:sz w:val="22"/>
          <w:szCs w:val="22"/>
        </w:rPr>
      </w:pPr>
      <w:r w:rsidRPr="00B22BCB">
        <w:rPr>
          <w:rFonts w:ascii="Arial" w:hAnsi="Arial" w:cs="Arial"/>
          <w:sz w:val="22"/>
          <w:szCs w:val="22"/>
        </w:rPr>
        <w:t xml:space="preserve">Administration of </w:t>
      </w:r>
      <w:r w:rsidR="005224A8">
        <w:rPr>
          <w:rFonts w:ascii="Arial" w:hAnsi="Arial" w:cs="Arial"/>
          <w:sz w:val="22"/>
          <w:szCs w:val="22"/>
        </w:rPr>
        <w:t>pazopanib</w:t>
      </w:r>
      <w:r w:rsidR="005224A8" w:rsidRPr="00B22BCB">
        <w:rPr>
          <w:rFonts w:ascii="Arial" w:hAnsi="Arial" w:cs="Arial"/>
          <w:sz w:val="22"/>
          <w:szCs w:val="22"/>
        </w:rPr>
        <w:t xml:space="preserve"> </w:t>
      </w:r>
      <w:r w:rsidRPr="00B22BCB">
        <w:rPr>
          <w:rFonts w:ascii="Arial" w:hAnsi="Arial" w:cs="Arial"/>
          <w:sz w:val="22"/>
          <w:szCs w:val="22"/>
        </w:rPr>
        <w:t>with a high-fat or low-fat meal results in an approximately 2-fold increase in AUC and C</w:t>
      </w:r>
      <w:r w:rsidRPr="00B22BCB">
        <w:rPr>
          <w:rFonts w:ascii="Arial" w:hAnsi="Arial" w:cs="Arial"/>
          <w:sz w:val="22"/>
          <w:szCs w:val="22"/>
          <w:vertAlign w:val="subscript"/>
        </w:rPr>
        <w:t>max</w:t>
      </w:r>
      <w:r w:rsidRPr="00B22BCB">
        <w:rPr>
          <w:rFonts w:ascii="Arial" w:hAnsi="Arial" w:cs="Arial"/>
          <w:sz w:val="22"/>
          <w:szCs w:val="22"/>
        </w:rPr>
        <w:t xml:space="preserve">. </w:t>
      </w:r>
      <w:r>
        <w:rPr>
          <w:rFonts w:ascii="Arial" w:hAnsi="Arial" w:cs="Arial"/>
          <w:sz w:val="22"/>
          <w:szCs w:val="22"/>
        </w:rPr>
        <w:t xml:space="preserve"> </w:t>
      </w:r>
      <w:r w:rsidRPr="00B22BCB">
        <w:rPr>
          <w:rFonts w:ascii="Arial" w:hAnsi="Arial" w:cs="Arial"/>
          <w:sz w:val="22"/>
          <w:szCs w:val="22"/>
        </w:rPr>
        <w:t xml:space="preserve">Therefore, </w:t>
      </w:r>
      <w:r w:rsidR="005224A8">
        <w:rPr>
          <w:rFonts w:ascii="Arial" w:hAnsi="Arial" w:cs="Arial"/>
          <w:sz w:val="22"/>
          <w:szCs w:val="22"/>
        </w:rPr>
        <w:t>pazopanib</w:t>
      </w:r>
      <w:r w:rsidR="005224A8" w:rsidRPr="00B22BCB">
        <w:rPr>
          <w:rFonts w:ascii="Arial" w:hAnsi="Arial" w:cs="Arial"/>
          <w:sz w:val="22"/>
          <w:szCs w:val="22"/>
        </w:rPr>
        <w:t xml:space="preserve"> </w:t>
      </w:r>
      <w:r w:rsidRPr="00B22BCB">
        <w:rPr>
          <w:rFonts w:ascii="Arial" w:hAnsi="Arial" w:cs="Arial"/>
          <w:sz w:val="22"/>
          <w:szCs w:val="22"/>
        </w:rPr>
        <w:t>should be administered at least 1 hour before or 2 hours after a meal (</w:t>
      </w:r>
      <w:r w:rsidRPr="00B22BCB">
        <w:rPr>
          <w:rFonts w:ascii="Arial" w:hAnsi="Arial" w:cs="Arial"/>
          <w:i/>
          <w:sz w:val="22"/>
          <w:szCs w:val="22"/>
        </w:rPr>
        <w:t>see Dosage and Administration).</w:t>
      </w:r>
    </w:p>
    <w:p w:rsidR="0065036F" w:rsidRPr="007E4D67" w:rsidRDefault="0065036F" w:rsidP="0083330E">
      <w:pPr>
        <w:rPr>
          <w:rFonts w:ascii="Arial" w:hAnsi="Arial"/>
          <w:b/>
        </w:rPr>
      </w:pPr>
    </w:p>
    <w:p w:rsidR="004D6F9B" w:rsidRDefault="004D6F9B" w:rsidP="0083330E">
      <w:pPr>
        <w:rPr>
          <w:rFonts w:ascii="Arial" w:hAnsi="Arial"/>
          <w:b/>
        </w:rPr>
      </w:pPr>
    </w:p>
    <w:p w:rsidR="0083330E" w:rsidRPr="007E4D67" w:rsidRDefault="006C4A20" w:rsidP="0083330E">
      <w:pPr>
        <w:rPr>
          <w:rFonts w:ascii="Arial" w:hAnsi="Arial"/>
          <w:b/>
        </w:rPr>
      </w:pPr>
      <w:r w:rsidRPr="007E4D67">
        <w:rPr>
          <w:rFonts w:ascii="Arial" w:hAnsi="Arial"/>
          <w:b/>
        </w:rPr>
        <w:t>AD</w:t>
      </w:r>
      <w:smartTag w:uri="schemas-GSKSiteLocations-com/fourthcoffee" w:element="flavor">
        <w:r w:rsidRPr="007E4D67">
          <w:rPr>
            <w:rFonts w:ascii="Arial" w:hAnsi="Arial"/>
            <w:b/>
          </w:rPr>
          <w:t>VER</w:t>
        </w:r>
      </w:smartTag>
      <w:r w:rsidRPr="007E4D67">
        <w:rPr>
          <w:rFonts w:ascii="Arial" w:hAnsi="Arial"/>
          <w:b/>
        </w:rPr>
        <w:t xml:space="preserve">SE </w:t>
      </w:r>
      <w:r w:rsidR="000669A6" w:rsidRPr="007E4D67">
        <w:rPr>
          <w:rFonts w:ascii="Arial" w:hAnsi="Arial"/>
          <w:b/>
        </w:rPr>
        <w:t>E</w:t>
      </w:r>
      <w:r w:rsidR="000669A6">
        <w:rPr>
          <w:rFonts w:ascii="Arial" w:hAnsi="Arial"/>
          <w:b/>
        </w:rPr>
        <w:t>FFEC</w:t>
      </w:r>
      <w:r w:rsidR="000669A6" w:rsidRPr="007E4D67">
        <w:rPr>
          <w:rFonts w:ascii="Arial" w:hAnsi="Arial"/>
          <w:b/>
        </w:rPr>
        <w:t>TS</w:t>
      </w:r>
    </w:p>
    <w:p w:rsidR="0083330E" w:rsidRPr="007E4D67" w:rsidRDefault="0083330E" w:rsidP="0083330E">
      <w:pPr>
        <w:rPr>
          <w:rFonts w:ascii="Arial" w:hAnsi="Arial"/>
          <w:b/>
          <w:sz w:val="22"/>
          <w:szCs w:val="22"/>
        </w:rPr>
      </w:pPr>
    </w:p>
    <w:p w:rsidR="006C4A20" w:rsidRPr="007E4D67" w:rsidRDefault="0083330E" w:rsidP="0083330E">
      <w:pPr>
        <w:rPr>
          <w:rFonts w:ascii="Arial" w:hAnsi="Arial" w:cs="Arial"/>
          <w:b/>
          <w:snapToGrid w:val="0"/>
          <w:sz w:val="22"/>
          <w:szCs w:val="22"/>
          <w:lang w:eastAsia="en-US"/>
        </w:rPr>
      </w:pPr>
      <w:r w:rsidRPr="007E4D67">
        <w:rPr>
          <w:rFonts w:ascii="Arial" w:hAnsi="Arial" w:cs="Arial"/>
          <w:b/>
          <w:snapToGrid w:val="0"/>
          <w:sz w:val="22"/>
          <w:szCs w:val="22"/>
          <w:lang w:eastAsia="en-US"/>
        </w:rPr>
        <w:t>C</w:t>
      </w:r>
      <w:r w:rsidR="006C4A20" w:rsidRPr="007E4D67">
        <w:rPr>
          <w:rFonts w:ascii="Arial" w:hAnsi="Arial" w:cs="Arial"/>
          <w:b/>
          <w:snapToGrid w:val="0"/>
          <w:sz w:val="22"/>
          <w:szCs w:val="22"/>
          <w:lang w:eastAsia="en-US"/>
        </w:rPr>
        <w:t>linical Trial Data</w:t>
      </w:r>
    </w:p>
    <w:p w:rsidR="0083330E" w:rsidRPr="007E4D67" w:rsidRDefault="0083330E" w:rsidP="0083330E">
      <w:pPr>
        <w:rPr>
          <w:rFonts w:ascii="Arial" w:hAnsi="Arial" w:cs="Arial"/>
          <w:b/>
          <w:sz w:val="22"/>
          <w:szCs w:val="22"/>
        </w:rPr>
      </w:pPr>
    </w:p>
    <w:p w:rsidR="00882CF8" w:rsidRDefault="00882CF8" w:rsidP="00882CF8">
      <w:pPr>
        <w:spacing w:line="300" w:lineRule="atLeast"/>
        <w:jc w:val="both"/>
        <w:rPr>
          <w:rFonts w:ascii="Arial" w:hAnsi="Arial" w:cs="Arial"/>
          <w:sz w:val="22"/>
          <w:szCs w:val="22"/>
        </w:rPr>
      </w:pPr>
      <w:r w:rsidRPr="00882CF8">
        <w:rPr>
          <w:rFonts w:ascii="Arial" w:hAnsi="Arial" w:cs="Arial"/>
          <w:sz w:val="22"/>
          <w:szCs w:val="22"/>
        </w:rPr>
        <w:t xml:space="preserve">The safety and efficacy of </w:t>
      </w:r>
      <w:r w:rsidR="002F1277">
        <w:rPr>
          <w:rFonts w:ascii="Arial" w:hAnsi="Arial" w:cs="Arial"/>
          <w:sz w:val="22"/>
          <w:szCs w:val="22"/>
        </w:rPr>
        <w:t>VOTRIENT</w:t>
      </w:r>
      <w:r w:rsidRPr="00882CF8">
        <w:rPr>
          <w:rFonts w:ascii="Arial" w:hAnsi="Arial" w:cs="Arial"/>
          <w:sz w:val="22"/>
          <w:szCs w:val="22"/>
        </w:rPr>
        <w:t xml:space="preserve"> in renal cell carcinoma (RCC) were evaluated in a randomized, double-blind, placebo-controlled multi-centre study. </w:t>
      </w:r>
      <w:r>
        <w:rPr>
          <w:rFonts w:ascii="Arial" w:hAnsi="Arial" w:cs="Arial"/>
          <w:sz w:val="22"/>
          <w:szCs w:val="22"/>
        </w:rPr>
        <w:t xml:space="preserve"> </w:t>
      </w:r>
      <w:r w:rsidRPr="00882CF8">
        <w:rPr>
          <w:rFonts w:ascii="Arial" w:hAnsi="Arial" w:cs="Arial"/>
          <w:sz w:val="22"/>
          <w:szCs w:val="22"/>
        </w:rPr>
        <w:t xml:space="preserve">Patients with locally advanced and/or metastatic RCC were randomized to receive </w:t>
      </w:r>
      <w:r w:rsidR="002F1277">
        <w:rPr>
          <w:rFonts w:ascii="Arial" w:hAnsi="Arial" w:cs="Arial"/>
          <w:sz w:val="22"/>
          <w:szCs w:val="22"/>
        </w:rPr>
        <w:t>VOTRIENT</w:t>
      </w:r>
      <w:r w:rsidRPr="00882CF8">
        <w:rPr>
          <w:rFonts w:ascii="Arial" w:hAnsi="Arial" w:cs="Arial"/>
          <w:sz w:val="22"/>
          <w:szCs w:val="22"/>
        </w:rPr>
        <w:t xml:space="preserve"> 800 mg once daily (N=290) or placebo (N=145). </w:t>
      </w:r>
      <w:r>
        <w:rPr>
          <w:rFonts w:ascii="Arial" w:hAnsi="Arial" w:cs="Arial"/>
          <w:sz w:val="22"/>
          <w:szCs w:val="22"/>
        </w:rPr>
        <w:t xml:space="preserve"> </w:t>
      </w:r>
      <w:r w:rsidRPr="00882CF8">
        <w:rPr>
          <w:rFonts w:ascii="Arial" w:hAnsi="Arial" w:cs="Arial"/>
          <w:sz w:val="22"/>
          <w:szCs w:val="22"/>
        </w:rPr>
        <w:t xml:space="preserve">The median duration of treatment was 7.4 months for the </w:t>
      </w:r>
      <w:r w:rsidR="002F1277">
        <w:rPr>
          <w:rFonts w:ascii="Arial" w:hAnsi="Arial" w:cs="Arial"/>
          <w:sz w:val="22"/>
          <w:szCs w:val="22"/>
        </w:rPr>
        <w:t>VOTRIENT</w:t>
      </w:r>
      <w:r w:rsidRPr="00882CF8">
        <w:rPr>
          <w:rFonts w:ascii="Arial" w:hAnsi="Arial" w:cs="Arial"/>
          <w:sz w:val="22"/>
          <w:szCs w:val="22"/>
        </w:rPr>
        <w:t xml:space="preserve"> arm and 3.8 months for the placebo arm.</w:t>
      </w:r>
    </w:p>
    <w:p w:rsidR="000669A6" w:rsidRDefault="000669A6" w:rsidP="00882CF8">
      <w:pPr>
        <w:spacing w:line="300" w:lineRule="atLeast"/>
        <w:jc w:val="both"/>
        <w:rPr>
          <w:rFonts w:ascii="Arial" w:hAnsi="Arial" w:cs="Arial"/>
          <w:sz w:val="22"/>
          <w:szCs w:val="22"/>
        </w:rPr>
      </w:pPr>
    </w:p>
    <w:p w:rsidR="0070259A" w:rsidRDefault="0070259A" w:rsidP="0070259A">
      <w:pPr>
        <w:keepNext/>
        <w:autoSpaceDE w:val="0"/>
        <w:autoSpaceDN w:val="0"/>
        <w:adjustRightInd w:val="0"/>
        <w:spacing w:line="300" w:lineRule="atLeast"/>
        <w:jc w:val="both"/>
        <w:rPr>
          <w:rFonts w:ascii="Arial" w:hAnsi="Arial" w:cs="Arial"/>
          <w:sz w:val="22"/>
          <w:szCs w:val="22"/>
        </w:rPr>
      </w:pPr>
      <w:r w:rsidRPr="0070259A">
        <w:rPr>
          <w:rFonts w:ascii="Arial" w:hAnsi="Arial" w:cs="Arial"/>
          <w:sz w:val="22"/>
          <w:szCs w:val="22"/>
        </w:rPr>
        <w:t xml:space="preserve">The safety and efficacy of </w:t>
      </w:r>
      <w:r w:rsidR="002D5674">
        <w:rPr>
          <w:rFonts w:ascii="Arial" w:hAnsi="Arial" w:cs="Arial"/>
          <w:sz w:val="22"/>
          <w:szCs w:val="22"/>
        </w:rPr>
        <w:t>VOTRIENT</w:t>
      </w:r>
      <w:r w:rsidRPr="0070259A">
        <w:rPr>
          <w:rFonts w:ascii="Arial" w:hAnsi="Arial" w:cs="Arial"/>
          <w:sz w:val="22"/>
          <w:szCs w:val="22"/>
        </w:rPr>
        <w:t xml:space="preserve"> in soft tissue sarcoma (STS) were evaluated in a randomized, double-blind, placebo-controlled multi-centre study. Patients (N = 369) with advanced STS who had received prior anthracycline treatment, or were unsuited for such therapy, were randomized to receive </w:t>
      </w:r>
      <w:r w:rsidR="002D5674">
        <w:rPr>
          <w:rFonts w:ascii="Arial" w:hAnsi="Arial" w:cs="Arial"/>
          <w:sz w:val="22"/>
          <w:szCs w:val="22"/>
        </w:rPr>
        <w:t>VOTRIENT</w:t>
      </w:r>
      <w:r w:rsidRPr="0070259A">
        <w:rPr>
          <w:rFonts w:ascii="Arial" w:hAnsi="Arial" w:cs="Arial"/>
          <w:sz w:val="22"/>
          <w:szCs w:val="22"/>
        </w:rPr>
        <w:t xml:space="preserve"> 800 mg once daily (N = 246) or placebo (N = 123). The median duration of treatment was 4.5 months for the pazopanib arm and 1.9 months for the placebo arm.</w:t>
      </w:r>
    </w:p>
    <w:p w:rsidR="00882CF8" w:rsidRPr="00882CF8" w:rsidRDefault="00882CF8" w:rsidP="00882CF8">
      <w:pPr>
        <w:spacing w:line="300" w:lineRule="atLeast"/>
        <w:jc w:val="both"/>
        <w:rPr>
          <w:rFonts w:ascii="Arial" w:hAnsi="Arial" w:cs="Arial"/>
          <w:sz w:val="22"/>
          <w:szCs w:val="22"/>
        </w:rPr>
      </w:pPr>
    </w:p>
    <w:p w:rsidR="00882CF8" w:rsidRDefault="00882CF8" w:rsidP="00882CF8">
      <w:pPr>
        <w:spacing w:line="300" w:lineRule="atLeast"/>
        <w:jc w:val="both"/>
        <w:rPr>
          <w:rFonts w:ascii="Arial" w:hAnsi="Arial" w:cs="Arial"/>
          <w:sz w:val="22"/>
          <w:szCs w:val="22"/>
        </w:rPr>
      </w:pPr>
      <w:r w:rsidRPr="00882CF8">
        <w:rPr>
          <w:rFonts w:ascii="Arial" w:hAnsi="Arial" w:cs="Arial"/>
          <w:sz w:val="22"/>
          <w:szCs w:val="22"/>
        </w:rPr>
        <w:t>Adverse reactions are listed below by MedDRA body system organ class.</w:t>
      </w:r>
    </w:p>
    <w:p w:rsidR="00882CF8" w:rsidRPr="00882CF8" w:rsidRDefault="00882CF8" w:rsidP="00882CF8">
      <w:pPr>
        <w:spacing w:line="300" w:lineRule="atLeast"/>
        <w:jc w:val="both"/>
        <w:rPr>
          <w:rFonts w:ascii="Arial" w:hAnsi="Arial" w:cs="Arial"/>
          <w:sz w:val="22"/>
          <w:szCs w:val="22"/>
        </w:rPr>
      </w:pPr>
    </w:p>
    <w:p w:rsidR="00882CF8" w:rsidRPr="00882CF8" w:rsidRDefault="00882CF8" w:rsidP="0041327F">
      <w:pPr>
        <w:spacing w:line="300" w:lineRule="atLeast"/>
        <w:jc w:val="both"/>
        <w:rPr>
          <w:rFonts w:ascii="Arial" w:hAnsi="Arial" w:cs="Arial"/>
          <w:sz w:val="22"/>
          <w:szCs w:val="22"/>
        </w:rPr>
      </w:pPr>
      <w:r w:rsidRPr="00882CF8">
        <w:rPr>
          <w:rFonts w:ascii="Arial" w:hAnsi="Arial" w:cs="Arial"/>
          <w:sz w:val="22"/>
          <w:szCs w:val="22"/>
        </w:rPr>
        <w:t xml:space="preserve">The following convention has been utilised for the classification of frequency: </w:t>
      </w:r>
    </w:p>
    <w:p w:rsidR="00882CF8" w:rsidRPr="002B2A5B" w:rsidRDefault="00882CF8" w:rsidP="0041327F">
      <w:pPr>
        <w:spacing w:line="300" w:lineRule="atLeast"/>
        <w:jc w:val="both"/>
        <w:rPr>
          <w:rFonts w:ascii="Arial" w:hAnsi="Arial" w:cs="Arial"/>
          <w:sz w:val="22"/>
          <w:szCs w:val="22"/>
        </w:rPr>
      </w:pPr>
      <w:r w:rsidRPr="00882CF8">
        <w:rPr>
          <w:rFonts w:ascii="Arial" w:hAnsi="Arial" w:cs="Arial"/>
          <w:sz w:val="22"/>
          <w:szCs w:val="22"/>
        </w:rPr>
        <w:t>Very common</w:t>
      </w:r>
      <w:r w:rsidRPr="00882CF8">
        <w:rPr>
          <w:rFonts w:ascii="Arial" w:hAnsi="Arial" w:cs="Arial"/>
          <w:sz w:val="22"/>
          <w:szCs w:val="22"/>
        </w:rPr>
        <w:tab/>
      </w:r>
      <w:r w:rsidRPr="00882CF8">
        <w:rPr>
          <w:rFonts w:ascii="Arial" w:hAnsi="Arial" w:cs="Arial"/>
          <w:sz w:val="22"/>
          <w:szCs w:val="22"/>
        </w:rPr>
        <w:tab/>
      </w:r>
      <w:r w:rsidRPr="002B2A5B">
        <w:rPr>
          <w:rFonts w:ascii="Arial" w:hAnsi="Arial" w:cs="Arial"/>
          <w:sz w:val="22"/>
          <w:szCs w:val="22"/>
        </w:rPr>
        <w:sym w:font="Symbol" w:char="F0B3"/>
      </w:r>
      <w:r w:rsidRPr="002B2A5B">
        <w:rPr>
          <w:rFonts w:ascii="Arial" w:hAnsi="Arial" w:cs="Arial"/>
          <w:sz w:val="22"/>
          <w:szCs w:val="22"/>
        </w:rPr>
        <w:t xml:space="preserve"> 1 in 10</w:t>
      </w:r>
    </w:p>
    <w:p w:rsidR="00882CF8" w:rsidRPr="002B2A5B" w:rsidRDefault="00882CF8" w:rsidP="0041327F">
      <w:pPr>
        <w:spacing w:line="300" w:lineRule="atLeast"/>
        <w:jc w:val="both"/>
        <w:rPr>
          <w:rFonts w:ascii="Arial" w:hAnsi="Arial" w:cs="Arial"/>
          <w:sz w:val="22"/>
          <w:szCs w:val="22"/>
        </w:rPr>
      </w:pPr>
      <w:r w:rsidRPr="002B2A5B">
        <w:rPr>
          <w:rFonts w:ascii="Arial" w:hAnsi="Arial" w:cs="Arial"/>
          <w:sz w:val="22"/>
          <w:szCs w:val="22"/>
        </w:rPr>
        <w:t>Common</w:t>
      </w:r>
      <w:r w:rsidRPr="002B2A5B">
        <w:rPr>
          <w:rFonts w:ascii="Arial" w:hAnsi="Arial" w:cs="Arial"/>
          <w:sz w:val="22"/>
          <w:szCs w:val="22"/>
        </w:rPr>
        <w:tab/>
      </w:r>
      <w:r w:rsidRPr="002B2A5B">
        <w:rPr>
          <w:rFonts w:ascii="Arial" w:hAnsi="Arial" w:cs="Arial"/>
          <w:sz w:val="22"/>
          <w:szCs w:val="22"/>
        </w:rPr>
        <w:tab/>
      </w:r>
      <w:r w:rsidRPr="002B2A5B">
        <w:rPr>
          <w:rFonts w:ascii="Arial" w:hAnsi="Arial" w:cs="Arial"/>
          <w:sz w:val="22"/>
          <w:szCs w:val="22"/>
        </w:rPr>
        <w:sym w:font="Symbol" w:char="F0B3"/>
      </w:r>
      <w:r w:rsidRPr="002B2A5B">
        <w:rPr>
          <w:rFonts w:ascii="Arial" w:hAnsi="Arial" w:cs="Arial"/>
          <w:sz w:val="22"/>
          <w:szCs w:val="22"/>
        </w:rPr>
        <w:t xml:space="preserve"> 1 in 100 and &lt; 1 in 10</w:t>
      </w:r>
    </w:p>
    <w:p w:rsidR="00882CF8" w:rsidRPr="002B2A5B" w:rsidRDefault="00882CF8" w:rsidP="0041327F">
      <w:pPr>
        <w:spacing w:line="300" w:lineRule="atLeast"/>
        <w:jc w:val="both"/>
        <w:rPr>
          <w:rFonts w:ascii="Arial" w:hAnsi="Arial" w:cs="Arial"/>
          <w:sz w:val="22"/>
          <w:szCs w:val="22"/>
        </w:rPr>
      </w:pPr>
      <w:r w:rsidRPr="002B2A5B">
        <w:rPr>
          <w:rFonts w:ascii="Arial" w:hAnsi="Arial" w:cs="Arial"/>
          <w:sz w:val="22"/>
          <w:szCs w:val="22"/>
        </w:rPr>
        <w:t>Uncommon</w:t>
      </w:r>
      <w:r w:rsidRPr="002B2A5B">
        <w:rPr>
          <w:rFonts w:ascii="Arial" w:hAnsi="Arial" w:cs="Arial"/>
          <w:sz w:val="22"/>
          <w:szCs w:val="22"/>
        </w:rPr>
        <w:tab/>
      </w:r>
      <w:r w:rsidRPr="002B2A5B">
        <w:rPr>
          <w:rFonts w:ascii="Arial" w:hAnsi="Arial" w:cs="Arial"/>
          <w:sz w:val="22"/>
          <w:szCs w:val="22"/>
        </w:rPr>
        <w:tab/>
      </w:r>
      <w:r w:rsidRPr="002B2A5B">
        <w:rPr>
          <w:rFonts w:ascii="Arial" w:hAnsi="Arial" w:cs="Arial"/>
          <w:sz w:val="22"/>
          <w:szCs w:val="22"/>
        </w:rPr>
        <w:sym w:font="Symbol" w:char="F0B3"/>
      </w:r>
      <w:r w:rsidRPr="002B2A5B">
        <w:rPr>
          <w:rFonts w:ascii="Arial" w:hAnsi="Arial" w:cs="Arial"/>
          <w:sz w:val="22"/>
          <w:szCs w:val="22"/>
        </w:rPr>
        <w:t xml:space="preserve"> 1 in 1,000 and &lt; 1 in 100</w:t>
      </w:r>
    </w:p>
    <w:p w:rsidR="0041327F" w:rsidRPr="002B2A5B" w:rsidRDefault="0041327F" w:rsidP="0041327F">
      <w:pPr>
        <w:spacing w:line="300" w:lineRule="atLeast"/>
        <w:jc w:val="both"/>
        <w:rPr>
          <w:rFonts w:ascii="Arial" w:hAnsi="Arial" w:cs="Arial"/>
          <w:sz w:val="22"/>
          <w:szCs w:val="22"/>
          <w:lang w:val="en-GB"/>
        </w:rPr>
      </w:pPr>
      <w:r w:rsidRPr="002B2A5B">
        <w:rPr>
          <w:rFonts w:ascii="Arial" w:hAnsi="Arial" w:cs="Arial"/>
          <w:sz w:val="22"/>
          <w:szCs w:val="22"/>
          <w:lang w:val="en-GB"/>
        </w:rPr>
        <w:t>Rare</w:t>
      </w:r>
      <w:r w:rsidRPr="002B2A5B">
        <w:rPr>
          <w:rFonts w:ascii="Arial" w:hAnsi="Arial" w:cs="Arial"/>
          <w:sz w:val="22"/>
          <w:szCs w:val="22"/>
          <w:lang w:val="en-GB"/>
        </w:rPr>
        <w:tab/>
      </w:r>
      <w:r w:rsidRPr="002B2A5B">
        <w:rPr>
          <w:rFonts w:ascii="Arial" w:hAnsi="Arial" w:cs="Arial"/>
          <w:sz w:val="22"/>
          <w:szCs w:val="22"/>
          <w:lang w:val="en-GB"/>
        </w:rPr>
        <w:tab/>
      </w:r>
      <w:r w:rsidRPr="002B2A5B">
        <w:rPr>
          <w:rFonts w:ascii="Arial" w:hAnsi="Arial" w:cs="Arial"/>
          <w:sz w:val="22"/>
          <w:szCs w:val="22"/>
          <w:lang w:val="en-GB"/>
        </w:rPr>
        <w:tab/>
        <w:t>≥ 1 in 10,000 and &lt; 1 in 1,000</w:t>
      </w:r>
    </w:p>
    <w:p w:rsidR="0041327F" w:rsidRPr="002B2A5B" w:rsidRDefault="0041327F" w:rsidP="0041327F">
      <w:pPr>
        <w:spacing w:line="300" w:lineRule="atLeast"/>
        <w:jc w:val="both"/>
        <w:rPr>
          <w:rFonts w:ascii="Arial" w:hAnsi="Arial" w:cs="Arial"/>
          <w:sz w:val="22"/>
          <w:szCs w:val="22"/>
        </w:rPr>
      </w:pPr>
    </w:p>
    <w:p w:rsidR="00882CF8" w:rsidRPr="002B2A5B" w:rsidRDefault="00882CF8" w:rsidP="00882CF8">
      <w:pPr>
        <w:spacing w:line="300" w:lineRule="atLeast"/>
        <w:jc w:val="both"/>
        <w:rPr>
          <w:rFonts w:ascii="Arial" w:hAnsi="Arial" w:cs="Arial"/>
          <w:sz w:val="22"/>
          <w:szCs w:val="22"/>
        </w:rPr>
      </w:pPr>
    </w:p>
    <w:p w:rsidR="00882CF8" w:rsidRDefault="00882CF8" w:rsidP="00882CF8">
      <w:pPr>
        <w:spacing w:line="300" w:lineRule="atLeast"/>
        <w:jc w:val="both"/>
        <w:rPr>
          <w:rFonts w:ascii="Arial" w:hAnsi="Arial" w:cs="Arial"/>
          <w:sz w:val="22"/>
          <w:szCs w:val="22"/>
        </w:rPr>
      </w:pPr>
      <w:r w:rsidRPr="002B2A5B">
        <w:rPr>
          <w:rFonts w:ascii="Arial" w:hAnsi="Arial" w:cs="Arial"/>
          <w:sz w:val="22"/>
          <w:szCs w:val="22"/>
        </w:rPr>
        <w:t>Categories have been assigned based on absolute frequencies in the clinical trial data.</w:t>
      </w:r>
    </w:p>
    <w:p w:rsidR="00882CF8" w:rsidRPr="00882CF8" w:rsidRDefault="00882CF8" w:rsidP="00882CF8">
      <w:pPr>
        <w:spacing w:line="300" w:lineRule="atLeast"/>
        <w:jc w:val="both"/>
        <w:rPr>
          <w:rFonts w:ascii="Arial" w:hAnsi="Arial" w:cs="Arial"/>
          <w:sz w:val="22"/>
          <w:szCs w:val="22"/>
        </w:rPr>
      </w:pPr>
    </w:p>
    <w:p w:rsidR="002D5674" w:rsidRPr="006A1F4C" w:rsidRDefault="0070259A" w:rsidP="00882CF8">
      <w:pPr>
        <w:jc w:val="both"/>
        <w:rPr>
          <w:rFonts w:ascii="Arial" w:hAnsi="Arial" w:cs="Arial"/>
          <w:sz w:val="22"/>
          <w:szCs w:val="22"/>
        </w:rPr>
      </w:pPr>
      <w:r w:rsidRPr="0070259A">
        <w:rPr>
          <w:rFonts w:ascii="Arial" w:hAnsi="Arial" w:cs="Arial"/>
          <w:b/>
          <w:sz w:val="22"/>
          <w:szCs w:val="22"/>
        </w:rPr>
        <w:t xml:space="preserve">Table </w:t>
      </w:r>
      <w:r w:rsidR="00483FE4">
        <w:rPr>
          <w:rFonts w:ascii="Arial" w:hAnsi="Arial" w:cs="Arial"/>
          <w:b/>
          <w:sz w:val="22"/>
          <w:szCs w:val="22"/>
        </w:rPr>
        <w:t>3</w:t>
      </w:r>
      <w:r w:rsidR="00331DDD" w:rsidRPr="006A1F4C">
        <w:rPr>
          <w:rFonts w:ascii="Arial" w:hAnsi="Arial" w:cs="Arial"/>
          <w:sz w:val="22"/>
          <w:szCs w:val="22"/>
        </w:rPr>
        <w:t xml:space="preserve">: </w:t>
      </w:r>
      <w:r w:rsidRPr="0070259A">
        <w:rPr>
          <w:rFonts w:ascii="Arial" w:hAnsi="Arial" w:cs="Arial"/>
          <w:b/>
          <w:sz w:val="22"/>
          <w:szCs w:val="22"/>
        </w:rPr>
        <w:t>Adverse reactions, by organ class and frequency, reported in RCC (VEG105192) and STS (VEG110727) studies</w:t>
      </w:r>
    </w:p>
    <w:p w:rsidR="002D5674" w:rsidRPr="006A1F4C" w:rsidRDefault="002D5674" w:rsidP="00882CF8">
      <w:pPr>
        <w:jc w:val="both"/>
        <w:rPr>
          <w:rFonts w:ascii="Arial" w:hAnsi="Arial" w:cs="Arial"/>
          <w:sz w:val="22"/>
          <w:szCs w:val="22"/>
        </w:rPr>
      </w:pPr>
    </w:p>
    <w:tbl>
      <w:tblPr>
        <w:tblStyle w:val="TableGrid"/>
        <w:tblW w:w="0" w:type="auto"/>
        <w:tblLook w:val="04A0"/>
      </w:tblPr>
      <w:tblGrid>
        <w:gridCol w:w="3192"/>
        <w:gridCol w:w="3192"/>
        <w:gridCol w:w="3192"/>
      </w:tblGrid>
      <w:tr w:rsidR="002D5674" w:rsidRPr="00765411" w:rsidTr="00683316">
        <w:trPr>
          <w:tblHeader/>
        </w:trPr>
        <w:tc>
          <w:tcPr>
            <w:tcW w:w="3192" w:type="dxa"/>
            <w:shd w:val="clear" w:color="auto" w:fill="auto"/>
          </w:tcPr>
          <w:p w:rsidR="0070259A" w:rsidRDefault="0070259A" w:rsidP="0070259A">
            <w:pPr>
              <w:rPr>
                <w:rFonts w:ascii="Arial" w:hAnsi="Arial" w:cs="Arial"/>
                <w:sz w:val="22"/>
                <w:szCs w:val="22"/>
              </w:rPr>
            </w:pPr>
          </w:p>
        </w:tc>
        <w:tc>
          <w:tcPr>
            <w:tcW w:w="6384" w:type="dxa"/>
            <w:gridSpan w:val="2"/>
          </w:tcPr>
          <w:p w:rsidR="0070259A" w:rsidRPr="0070259A" w:rsidRDefault="0070259A" w:rsidP="0070259A">
            <w:pPr>
              <w:jc w:val="center"/>
              <w:rPr>
                <w:rFonts w:ascii="Arial" w:hAnsi="Arial" w:cs="Arial"/>
                <w:b/>
                <w:sz w:val="22"/>
                <w:szCs w:val="22"/>
              </w:rPr>
            </w:pPr>
            <w:r w:rsidRPr="0070259A">
              <w:rPr>
                <w:rFonts w:ascii="Arial" w:hAnsi="Arial" w:cs="Arial"/>
                <w:b/>
                <w:sz w:val="22"/>
                <w:szCs w:val="22"/>
              </w:rPr>
              <w:t>Frequency Classification</w:t>
            </w:r>
          </w:p>
        </w:tc>
      </w:tr>
      <w:tr w:rsidR="002D5674" w:rsidRPr="00765411" w:rsidTr="00683316">
        <w:trPr>
          <w:tblHeader/>
        </w:trPr>
        <w:tc>
          <w:tcPr>
            <w:tcW w:w="3192" w:type="dxa"/>
          </w:tcPr>
          <w:p w:rsidR="0070259A" w:rsidRDefault="0070259A" w:rsidP="0070259A">
            <w:pPr>
              <w:rPr>
                <w:rFonts w:ascii="Arial" w:hAnsi="Arial" w:cs="Arial"/>
                <w:sz w:val="22"/>
                <w:szCs w:val="22"/>
              </w:rPr>
            </w:pPr>
          </w:p>
        </w:tc>
        <w:tc>
          <w:tcPr>
            <w:tcW w:w="3192" w:type="dxa"/>
          </w:tcPr>
          <w:p w:rsidR="0070259A" w:rsidRPr="0070259A" w:rsidRDefault="0070259A" w:rsidP="0070259A">
            <w:pPr>
              <w:jc w:val="center"/>
              <w:rPr>
                <w:rFonts w:ascii="Arial" w:hAnsi="Arial" w:cs="Arial"/>
                <w:b/>
                <w:sz w:val="22"/>
                <w:szCs w:val="22"/>
              </w:rPr>
            </w:pPr>
            <w:r w:rsidRPr="0070259A">
              <w:rPr>
                <w:rFonts w:ascii="Arial" w:hAnsi="Arial" w:cs="Arial"/>
                <w:b/>
                <w:sz w:val="22"/>
                <w:szCs w:val="22"/>
              </w:rPr>
              <w:t>RCC</w:t>
            </w:r>
          </w:p>
          <w:p w:rsidR="0070259A" w:rsidRDefault="0070259A" w:rsidP="0070259A">
            <w:pPr>
              <w:jc w:val="center"/>
              <w:rPr>
                <w:rFonts w:ascii="Arial" w:hAnsi="Arial" w:cs="Arial"/>
                <w:sz w:val="22"/>
                <w:szCs w:val="22"/>
              </w:rPr>
            </w:pPr>
            <w:r w:rsidRPr="0070259A">
              <w:rPr>
                <w:rFonts w:ascii="Arial" w:hAnsi="Arial" w:cs="Arial"/>
                <w:b/>
                <w:sz w:val="22"/>
                <w:szCs w:val="22"/>
              </w:rPr>
              <w:t>VEG105192 n=290</w:t>
            </w:r>
          </w:p>
        </w:tc>
        <w:tc>
          <w:tcPr>
            <w:tcW w:w="3192" w:type="dxa"/>
          </w:tcPr>
          <w:p w:rsidR="0070259A" w:rsidRPr="0070259A" w:rsidRDefault="0070259A" w:rsidP="0070259A">
            <w:pPr>
              <w:jc w:val="center"/>
              <w:rPr>
                <w:rFonts w:ascii="Arial" w:hAnsi="Arial" w:cs="Arial"/>
                <w:b/>
                <w:sz w:val="22"/>
                <w:szCs w:val="22"/>
              </w:rPr>
            </w:pPr>
            <w:r w:rsidRPr="0070259A">
              <w:rPr>
                <w:rFonts w:ascii="Arial" w:hAnsi="Arial" w:cs="Arial"/>
                <w:b/>
                <w:sz w:val="22"/>
                <w:szCs w:val="22"/>
              </w:rPr>
              <w:t>STS</w:t>
            </w:r>
          </w:p>
          <w:p w:rsidR="0070259A" w:rsidRDefault="0070259A" w:rsidP="0070259A">
            <w:pPr>
              <w:jc w:val="center"/>
              <w:rPr>
                <w:rFonts w:ascii="Arial" w:hAnsi="Arial" w:cs="Arial"/>
                <w:sz w:val="22"/>
                <w:szCs w:val="22"/>
              </w:rPr>
            </w:pPr>
            <w:r w:rsidRPr="0070259A">
              <w:rPr>
                <w:rFonts w:ascii="Arial" w:hAnsi="Arial" w:cs="Arial"/>
                <w:b/>
                <w:sz w:val="22"/>
                <w:szCs w:val="22"/>
              </w:rPr>
              <w:t>VEG110727 n=240</w:t>
            </w:r>
          </w:p>
        </w:tc>
      </w:tr>
      <w:tr w:rsidR="002D5674" w:rsidRPr="002B2A5B" w:rsidTr="0028756D">
        <w:tc>
          <w:tcPr>
            <w:tcW w:w="3192" w:type="dxa"/>
          </w:tcPr>
          <w:p w:rsidR="0070259A" w:rsidRPr="002B2A5B" w:rsidRDefault="0070259A" w:rsidP="0070259A">
            <w:pPr>
              <w:rPr>
                <w:rFonts w:ascii="Arial" w:hAnsi="Arial" w:cs="Arial"/>
                <w:sz w:val="22"/>
                <w:szCs w:val="22"/>
              </w:rPr>
            </w:pPr>
            <w:r w:rsidRPr="002B2A5B">
              <w:rPr>
                <w:rFonts w:ascii="Arial" w:hAnsi="Arial" w:cs="Arial"/>
                <w:b/>
                <w:sz w:val="22"/>
                <w:szCs w:val="22"/>
              </w:rPr>
              <w:t>Blood and lymphatic system</w:t>
            </w:r>
            <w:r w:rsidR="00995F2E" w:rsidRPr="002B2A5B">
              <w:rPr>
                <w:rFonts w:ascii="Arial" w:hAnsi="Arial" w:cs="Arial"/>
                <w:b/>
                <w:sz w:val="22"/>
                <w:szCs w:val="22"/>
              </w:rPr>
              <w:t xml:space="preserve"> </w:t>
            </w:r>
            <w:r w:rsidRPr="002B2A5B">
              <w:rPr>
                <w:rFonts w:ascii="Arial" w:hAnsi="Arial" w:cs="Arial"/>
                <w:b/>
                <w:sz w:val="22"/>
                <w:szCs w:val="22"/>
              </w:rPr>
              <w:t>disorders</w:t>
            </w:r>
          </w:p>
        </w:tc>
        <w:tc>
          <w:tcPr>
            <w:tcW w:w="3192" w:type="dxa"/>
          </w:tcPr>
          <w:p w:rsidR="002D5674" w:rsidRPr="002B2A5B"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2B2A5B"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2B2A5B" w:rsidTr="0028756D">
        <w:tc>
          <w:tcPr>
            <w:tcW w:w="3192" w:type="dxa"/>
          </w:tcPr>
          <w:p w:rsidR="0070259A" w:rsidRPr="002B2A5B" w:rsidRDefault="00004FF7" w:rsidP="0070259A">
            <w:pPr>
              <w:rPr>
                <w:rFonts w:ascii="Arial" w:hAnsi="Arial" w:cs="Arial"/>
                <w:sz w:val="22"/>
                <w:szCs w:val="22"/>
              </w:rPr>
            </w:pPr>
            <w:r w:rsidRPr="002B2A5B">
              <w:rPr>
                <w:rFonts w:ascii="Arial" w:hAnsi="Arial" w:cs="Arial"/>
                <w:sz w:val="22"/>
                <w:szCs w:val="22"/>
              </w:rPr>
              <w:t>Neutropenia</w:t>
            </w:r>
          </w:p>
        </w:tc>
        <w:tc>
          <w:tcPr>
            <w:tcW w:w="3192" w:type="dxa"/>
          </w:tcPr>
          <w:p w:rsidR="002D5674" w:rsidRPr="002B2A5B"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2B2A5B">
              <w:rPr>
                <w:rFonts w:ascii="Arial" w:hAnsi="Arial" w:cs="Arial"/>
                <w:sz w:val="22"/>
                <w:szCs w:val="22"/>
              </w:rPr>
              <w:t>Common</w:t>
            </w:r>
          </w:p>
        </w:tc>
        <w:tc>
          <w:tcPr>
            <w:tcW w:w="3192" w:type="dxa"/>
          </w:tcPr>
          <w:p w:rsidR="002D5674" w:rsidRPr="002B2A5B"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2B2A5B">
              <w:rPr>
                <w:rFonts w:ascii="Arial" w:hAnsi="Arial" w:cs="Arial"/>
                <w:sz w:val="22"/>
                <w:szCs w:val="22"/>
              </w:rPr>
              <w:t>♦</w:t>
            </w:r>
          </w:p>
        </w:tc>
      </w:tr>
      <w:tr w:rsidR="002D5674" w:rsidRPr="002B2A5B" w:rsidTr="0028756D">
        <w:tc>
          <w:tcPr>
            <w:tcW w:w="3192" w:type="dxa"/>
          </w:tcPr>
          <w:p w:rsidR="0070259A" w:rsidRPr="002B2A5B" w:rsidRDefault="00995F2E" w:rsidP="0070259A">
            <w:pPr>
              <w:rPr>
                <w:rFonts w:ascii="Arial" w:hAnsi="Arial" w:cs="Arial"/>
                <w:sz w:val="22"/>
                <w:szCs w:val="22"/>
              </w:rPr>
            </w:pPr>
            <w:r w:rsidRPr="002B2A5B">
              <w:rPr>
                <w:rFonts w:ascii="Arial" w:hAnsi="Arial" w:cs="Arial"/>
                <w:sz w:val="22"/>
                <w:szCs w:val="22"/>
              </w:rPr>
              <w:t>Thrombocytopenia</w:t>
            </w:r>
          </w:p>
        </w:tc>
        <w:tc>
          <w:tcPr>
            <w:tcW w:w="3192" w:type="dxa"/>
          </w:tcPr>
          <w:p w:rsidR="002D5674" w:rsidRPr="002B2A5B"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2B2A5B">
              <w:rPr>
                <w:rFonts w:ascii="Arial" w:hAnsi="Arial" w:cs="Arial"/>
                <w:sz w:val="22"/>
                <w:szCs w:val="22"/>
              </w:rPr>
              <w:t>Common</w:t>
            </w:r>
          </w:p>
        </w:tc>
        <w:tc>
          <w:tcPr>
            <w:tcW w:w="3192" w:type="dxa"/>
          </w:tcPr>
          <w:p w:rsidR="002D5674" w:rsidRPr="002B2A5B"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2B2A5B">
              <w:rPr>
                <w:rFonts w:ascii="Arial" w:hAnsi="Arial" w:cs="Arial"/>
                <w:sz w:val="22"/>
                <w:szCs w:val="22"/>
              </w:rPr>
              <w:t>♦</w:t>
            </w:r>
          </w:p>
        </w:tc>
      </w:tr>
      <w:tr w:rsidR="002D5674" w:rsidRPr="002B2A5B" w:rsidTr="0028756D">
        <w:tc>
          <w:tcPr>
            <w:tcW w:w="3192" w:type="dxa"/>
          </w:tcPr>
          <w:p w:rsidR="0070259A" w:rsidRPr="002B2A5B" w:rsidRDefault="0070259A" w:rsidP="0070259A">
            <w:pPr>
              <w:rPr>
                <w:rFonts w:ascii="Arial" w:hAnsi="Arial" w:cs="Arial"/>
                <w:sz w:val="22"/>
                <w:szCs w:val="22"/>
              </w:rPr>
            </w:pPr>
          </w:p>
        </w:tc>
        <w:tc>
          <w:tcPr>
            <w:tcW w:w="3192" w:type="dxa"/>
          </w:tcPr>
          <w:p w:rsidR="002D5674" w:rsidRPr="002B2A5B"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2B2A5B"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Pr="0070259A" w:rsidRDefault="0070259A" w:rsidP="0070259A">
            <w:pPr>
              <w:tabs>
                <w:tab w:val="clear" w:pos="274"/>
                <w:tab w:val="clear" w:pos="547"/>
                <w:tab w:val="clear" w:pos="821"/>
                <w:tab w:val="clear" w:pos="1094"/>
              </w:tabs>
              <w:spacing w:line="240" w:lineRule="auto"/>
              <w:rPr>
                <w:rFonts w:ascii="Arial" w:hAnsi="Arial" w:cs="Arial"/>
                <w:b/>
                <w:sz w:val="22"/>
                <w:szCs w:val="22"/>
              </w:rPr>
            </w:pPr>
            <w:r w:rsidRPr="0070259A">
              <w:rPr>
                <w:rFonts w:ascii="Arial" w:hAnsi="Arial" w:cs="Arial"/>
                <w:b/>
                <w:sz w:val="22"/>
                <w:szCs w:val="22"/>
              </w:rPr>
              <w:t>Endocrine disorders</w:t>
            </w: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Hypothyroidism*</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70259A" w:rsidP="0070259A">
            <w:pPr>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Pr="0070259A" w:rsidRDefault="0070259A" w:rsidP="0070259A">
            <w:pPr>
              <w:tabs>
                <w:tab w:val="clear" w:pos="274"/>
                <w:tab w:val="clear" w:pos="547"/>
                <w:tab w:val="clear" w:pos="821"/>
                <w:tab w:val="clear" w:pos="1094"/>
              </w:tabs>
              <w:spacing w:line="240" w:lineRule="auto"/>
              <w:rPr>
                <w:rFonts w:ascii="Arial" w:hAnsi="Arial" w:cs="Arial"/>
                <w:b/>
                <w:sz w:val="22"/>
                <w:szCs w:val="22"/>
              </w:rPr>
            </w:pPr>
            <w:r w:rsidRPr="0070259A">
              <w:rPr>
                <w:rFonts w:ascii="Arial" w:hAnsi="Arial" w:cs="Arial"/>
                <w:b/>
                <w:sz w:val="22"/>
                <w:szCs w:val="22"/>
              </w:rPr>
              <w:t>Metabolic disorders</w:t>
            </w: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Anorexia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Weight decreased</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70259A" w:rsidP="0070259A">
            <w:pPr>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Pr="0070259A" w:rsidRDefault="0070259A" w:rsidP="0070259A">
            <w:pPr>
              <w:tabs>
                <w:tab w:val="clear" w:pos="274"/>
                <w:tab w:val="clear" w:pos="547"/>
                <w:tab w:val="clear" w:pos="821"/>
                <w:tab w:val="clear" w:pos="1094"/>
              </w:tabs>
              <w:spacing w:line="240" w:lineRule="auto"/>
              <w:rPr>
                <w:rFonts w:ascii="Arial" w:hAnsi="Arial" w:cs="Arial"/>
                <w:b/>
                <w:sz w:val="22"/>
                <w:szCs w:val="22"/>
              </w:rPr>
            </w:pPr>
            <w:r w:rsidRPr="0070259A">
              <w:rPr>
                <w:rFonts w:ascii="Arial" w:hAnsi="Arial" w:cs="Arial"/>
                <w:b/>
                <w:sz w:val="22"/>
                <w:szCs w:val="22"/>
              </w:rPr>
              <w:t>Nervous System disorders</w:t>
            </w: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Dizziness</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Dysgeusia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Headache</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Ischaemic stroke*</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Transient ischaemic stroke*</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r>
      <w:tr w:rsidR="002D5674" w:rsidRPr="00765411" w:rsidTr="0028756D">
        <w:tc>
          <w:tcPr>
            <w:tcW w:w="3192" w:type="dxa"/>
          </w:tcPr>
          <w:p w:rsidR="0070259A" w:rsidRDefault="0070259A" w:rsidP="0070259A">
            <w:pPr>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Pr="0070259A" w:rsidRDefault="0070259A" w:rsidP="0070259A">
            <w:pPr>
              <w:tabs>
                <w:tab w:val="clear" w:pos="274"/>
                <w:tab w:val="clear" w:pos="547"/>
                <w:tab w:val="clear" w:pos="821"/>
                <w:tab w:val="clear" w:pos="1094"/>
              </w:tabs>
              <w:spacing w:line="240" w:lineRule="auto"/>
              <w:rPr>
                <w:rFonts w:ascii="Arial" w:hAnsi="Arial" w:cs="Arial"/>
                <w:b/>
                <w:sz w:val="22"/>
                <w:szCs w:val="22"/>
              </w:rPr>
            </w:pPr>
            <w:r w:rsidRPr="0070259A">
              <w:rPr>
                <w:rFonts w:ascii="Arial" w:hAnsi="Arial" w:cs="Arial"/>
                <w:b/>
                <w:sz w:val="22"/>
                <w:szCs w:val="22"/>
              </w:rPr>
              <w:t>Cardiac Disorders</w:t>
            </w: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Pr="00C03A92" w:rsidRDefault="00995F2E" w:rsidP="0070259A">
            <w:pPr>
              <w:rPr>
                <w:rFonts w:ascii="Arial" w:hAnsi="Arial" w:cs="Arial"/>
                <w:sz w:val="22"/>
                <w:szCs w:val="22"/>
              </w:rPr>
            </w:pPr>
            <w:r w:rsidRPr="00C03A92">
              <w:rPr>
                <w:rFonts w:ascii="Arial" w:hAnsi="Arial" w:cs="Arial"/>
                <w:sz w:val="22"/>
                <w:szCs w:val="22"/>
              </w:rPr>
              <w:t>Cardiac dysfunction (such as a decrease in ejection fraction and congestive heart failure)*</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Uncommon</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Common</w:t>
            </w:r>
          </w:p>
        </w:tc>
      </w:tr>
      <w:tr w:rsidR="006A7861" w:rsidRPr="00765411" w:rsidTr="0028756D">
        <w:tc>
          <w:tcPr>
            <w:tcW w:w="3192" w:type="dxa"/>
          </w:tcPr>
          <w:p w:rsidR="006A7861" w:rsidRPr="00C03A92" w:rsidRDefault="006A7861" w:rsidP="0070259A">
            <w:pPr>
              <w:rPr>
                <w:rFonts w:ascii="Arial" w:hAnsi="Arial" w:cs="Arial"/>
                <w:sz w:val="22"/>
                <w:szCs w:val="22"/>
              </w:rPr>
            </w:pPr>
            <w:r w:rsidRPr="00C03A92">
              <w:rPr>
                <w:rFonts w:ascii="Arial" w:hAnsi="Arial" w:cs="Arial"/>
                <w:sz w:val="22"/>
                <w:szCs w:val="22"/>
              </w:rPr>
              <w:t>Bradycardia</w:t>
            </w:r>
            <w:r w:rsidR="00CC6CAE" w:rsidRPr="00C03A92">
              <w:rPr>
                <w:rFonts w:ascii="Arial" w:hAnsi="Arial" w:cs="Arial"/>
                <w:b/>
                <w:i/>
                <w:sz w:val="22"/>
                <w:szCs w:val="22"/>
                <w:vertAlign w:val="superscript"/>
                <w:lang w:val="en-GB"/>
              </w:rPr>
              <w:t>†</w:t>
            </w:r>
          </w:p>
        </w:tc>
        <w:tc>
          <w:tcPr>
            <w:tcW w:w="3192" w:type="dxa"/>
          </w:tcPr>
          <w:p w:rsidR="006A7861" w:rsidRPr="00C03A92" w:rsidRDefault="006A7861" w:rsidP="00882CF8">
            <w:pPr>
              <w:jc w:val="both"/>
              <w:rPr>
                <w:rFonts w:ascii="Arial" w:hAnsi="Arial" w:cs="Arial"/>
                <w:sz w:val="22"/>
                <w:szCs w:val="22"/>
              </w:rPr>
            </w:pPr>
            <w:r w:rsidRPr="00C03A92">
              <w:rPr>
                <w:rFonts w:ascii="Arial" w:hAnsi="Arial" w:cs="Arial"/>
                <w:sz w:val="22"/>
                <w:szCs w:val="22"/>
              </w:rPr>
              <w:t>Common</w:t>
            </w:r>
          </w:p>
        </w:tc>
        <w:tc>
          <w:tcPr>
            <w:tcW w:w="3192" w:type="dxa"/>
          </w:tcPr>
          <w:p w:rsidR="006A7861" w:rsidRPr="00C03A92" w:rsidRDefault="006A7861" w:rsidP="00882CF8">
            <w:pPr>
              <w:jc w:val="both"/>
              <w:rPr>
                <w:rFonts w:ascii="Arial" w:hAnsi="Arial" w:cs="Arial"/>
                <w:sz w:val="22"/>
                <w:szCs w:val="22"/>
              </w:rPr>
            </w:pPr>
            <w:r w:rsidRPr="00C03A92">
              <w:rPr>
                <w:rFonts w:ascii="Arial" w:hAnsi="Arial" w:cs="Arial"/>
                <w:sz w:val="22"/>
                <w:szCs w:val="22"/>
              </w:rPr>
              <w:t>Common</w:t>
            </w:r>
          </w:p>
        </w:tc>
      </w:tr>
      <w:tr w:rsidR="002D5674" w:rsidRPr="00765411" w:rsidTr="0028756D">
        <w:tc>
          <w:tcPr>
            <w:tcW w:w="3192" w:type="dxa"/>
          </w:tcPr>
          <w:p w:rsidR="0070259A" w:rsidRPr="00C03A92" w:rsidRDefault="00995F2E" w:rsidP="0070259A">
            <w:pPr>
              <w:rPr>
                <w:rFonts w:ascii="Arial" w:hAnsi="Arial" w:cs="Arial"/>
                <w:sz w:val="22"/>
                <w:szCs w:val="22"/>
              </w:rPr>
            </w:pPr>
            <w:r w:rsidRPr="00C03A92">
              <w:rPr>
                <w:rFonts w:ascii="Arial" w:hAnsi="Arial" w:cs="Arial"/>
                <w:sz w:val="22"/>
                <w:szCs w:val="22"/>
              </w:rPr>
              <w:t>Myocardial infarction*</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Uncommon</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Common</w:t>
            </w:r>
          </w:p>
        </w:tc>
      </w:tr>
      <w:tr w:rsidR="002D5674" w:rsidRPr="00765411" w:rsidTr="0028756D">
        <w:tc>
          <w:tcPr>
            <w:tcW w:w="3192" w:type="dxa"/>
          </w:tcPr>
          <w:p w:rsidR="0070259A" w:rsidRPr="00C03A92" w:rsidRDefault="00995F2E" w:rsidP="0070259A">
            <w:pPr>
              <w:rPr>
                <w:rFonts w:ascii="Arial" w:hAnsi="Arial" w:cs="Arial"/>
                <w:sz w:val="22"/>
                <w:szCs w:val="22"/>
              </w:rPr>
            </w:pPr>
            <w:r w:rsidRPr="00C03A92">
              <w:rPr>
                <w:rFonts w:ascii="Arial" w:hAnsi="Arial" w:cs="Arial"/>
                <w:sz w:val="22"/>
                <w:szCs w:val="22"/>
              </w:rPr>
              <w:t>Myocardial ischaemia</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Common</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w:t>
            </w:r>
          </w:p>
        </w:tc>
      </w:tr>
      <w:tr w:rsidR="002D5674" w:rsidRPr="00765411" w:rsidTr="0028756D">
        <w:tc>
          <w:tcPr>
            <w:tcW w:w="3192" w:type="dxa"/>
          </w:tcPr>
          <w:p w:rsidR="0070259A" w:rsidRPr="00C03A92" w:rsidRDefault="00995F2E" w:rsidP="0070259A">
            <w:pPr>
              <w:rPr>
                <w:rFonts w:ascii="Arial" w:hAnsi="Arial" w:cs="Arial"/>
                <w:sz w:val="22"/>
                <w:szCs w:val="22"/>
              </w:rPr>
            </w:pPr>
            <w:r w:rsidRPr="00C03A92">
              <w:rPr>
                <w:rFonts w:ascii="Arial" w:hAnsi="Arial" w:cs="Arial"/>
                <w:sz w:val="22"/>
                <w:szCs w:val="22"/>
              </w:rPr>
              <w:t>QT prolongation*</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Common</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Common</w:t>
            </w:r>
          </w:p>
        </w:tc>
      </w:tr>
      <w:tr w:rsidR="002D5674" w:rsidRPr="00765411" w:rsidTr="0028756D">
        <w:tc>
          <w:tcPr>
            <w:tcW w:w="3192" w:type="dxa"/>
          </w:tcPr>
          <w:p w:rsidR="0070259A" w:rsidRPr="00C03A92" w:rsidRDefault="00995F2E" w:rsidP="0070259A">
            <w:pPr>
              <w:rPr>
                <w:rFonts w:ascii="Arial" w:hAnsi="Arial" w:cs="Arial"/>
                <w:sz w:val="22"/>
                <w:szCs w:val="22"/>
              </w:rPr>
            </w:pPr>
            <w:r w:rsidRPr="00C03A92">
              <w:rPr>
                <w:rFonts w:ascii="Arial" w:hAnsi="Arial" w:cs="Arial"/>
                <w:sz w:val="22"/>
                <w:szCs w:val="22"/>
              </w:rPr>
              <w:t>Torsade de pointes*</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Uncommon</w:t>
            </w:r>
          </w:p>
        </w:tc>
        <w:tc>
          <w:tcPr>
            <w:tcW w:w="3192" w:type="dxa"/>
          </w:tcPr>
          <w:p w:rsidR="002D5674" w:rsidRPr="00C03A92"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C03A92">
              <w:rPr>
                <w:rFonts w:ascii="Arial" w:hAnsi="Arial" w:cs="Arial"/>
                <w:sz w:val="22"/>
                <w:szCs w:val="22"/>
              </w:rPr>
              <w:t>♦</w:t>
            </w:r>
          </w:p>
        </w:tc>
      </w:tr>
      <w:tr w:rsidR="002D5674" w:rsidRPr="00765411" w:rsidTr="0028756D">
        <w:tc>
          <w:tcPr>
            <w:tcW w:w="3192" w:type="dxa"/>
          </w:tcPr>
          <w:p w:rsidR="0070259A" w:rsidRDefault="0070259A" w:rsidP="0070259A">
            <w:pPr>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Pr="0070259A" w:rsidRDefault="0070259A" w:rsidP="0070259A">
            <w:pPr>
              <w:tabs>
                <w:tab w:val="clear" w:pos="274"/>
                <w:tab w:val="clear" w:pos="547"/>
                <w:tab w:val="clear" w:pos="821"/>
                <w:tab w:val="clear" w:pos="1094"/>
              </w:tabs>
              <w:spacing w:line="240" w:lineRule="auto"/>
              <w:rPr>
                <w:rFonts w:ascii="Arial" w:hAnsi="Arial" w:cs="Arial"/>
                <w:b/>
                <w:sz w:val="22"/>
                <w:szCs w:val="22"/>
              </w:rPr>
            </w:pPr>
            <w:r w:rsidRPr="0070259A">
              <w:rPr>
                <w:rFonts w:ascii="Arial" w:hAnsi="Arial" w:cs="Arial"/>
                <w:b/>
                <w:sz w:val="22"/>
                <w:szCs w:val="22"/>
              </w:rPr>
              <w:t>Vascular disorders</w:t>
            </w: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Cerebral haemorrhage*</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Epistaxis</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Gastrointestinal haemorrhage*</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Haematuria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Hypertension*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Pulmonary haemorrhage*</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Venous thromboembolic events*</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70259A" w:rsidP="0070259A">
            <w:pPr>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484410" w:rsidTr="0028756D">
        <w:tc>
          <w:tcPr>
            <w:tcW w:w="3192" w:type="dxa"/>
          </w:tcPr>
          <w:p w:rsidR="0070259A" w:rsidRPr="0070259A" w:rsidRDefault="0070259A" w:rsidP="0070259A">
            <w:pPr>
              <w:tabs>
                <w:tab w:val="clear" w:pos="274"/>
                <w:tab w:val="clear" w:pos="547"/>
                <w:tab w:val="clear" w:pos="821"/>
                <w:tab w:val="clear" w:pos="1094"/>
              </w:tabs>
              <w:spacing w:line="240" w:lineRule="auto"/>
              <w:rPr>
                <w:rFonts w:ascii="Arial" w:hAnsi="Arial" w:cs="Arial"/>
                <w:b/>
                <w:sz w:val="22"/>
                <w:szCs w:val="22"/>
              </w:rPr>
            </w:pPr>
            <w:r w:rsidRPr="0070259A">
              <w:rPr>
                <w:rFonts w:ascii="Arial" w:hAnsi="Arial" w:cs="Arial"/>
                <w:b/>
                <w:sz w:val="22"/>
                <w:szCs w:val="22"/>
              </w:rPr>
              <w:t>Respiratory, thoracic and mediastinal disorders</w:t>
            </w:r>
          </w:p>
        </w:tc>
        <w:tc>
          <w:tcPr>
            <w:tcW w:w="3192" w:type="dxa"/>
          </w:tcPr>
          <w:p w:rsidR="002D5674" w:rsidRPr="00484410"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484410"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484410" w:rsidTr="0028756D">
        <w:tc>
          <w:tcPr>
            <w:tcW w:w="3192" w:type="dxa"/>
          </w:tcPr>
          <w:p w:rsidR="0070259A" w:rsidRDefault="00995F2E" w:rsidP="0070259A">
            <w:pPr>
              <w:rPr>
                <w:rFonts w:ascii="Arial" w:hAnsi="Arial" w:cs="Arial"/>
                <w:sz w:val="22"/>
                <w:szCs w:val="22"/>
              </w:rPr>
            </w:pPr>
            <w:r w:rsidRPr="00484410">
              <w:rPr>
                <w:rFonts w:ascii="Arial" w:hAnsi="Arial" w:cs="Arial"/>
                <w:sz w:val="22"/>
                <w:szCs w:val="22"/>
              </w:rPr>
              <w:t>Cough</w:t>
            </w:r>
          </w:p>
        </w:tc>
        <w:tc>
          <w:tcPr>
            <w:tcW w:w="3192" w:type="dxa"/>
          </w:tcPr>
          <w:p w:rsidR="002D5674" w:rsidRPr="00484410"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c>
          <w:tcPr>
            <w:tcW w:w="3192" w:type="dxa"/>
          </w:tcPr>
          <w:p w:rsidR="002D5674" w:rsidRPr="00484410"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090947" w:rsidP="0070259A">
            <w:pPr>
              <w:tabs>
                <w:tab w:val="clear" w:pos="274"/>
                <w:tab w:val="clear" w:pos="547"/>
                <w:tab w:val="clear" w:pos="821"/>
                <w:tab w:val="clear" w:pos="1094"/>
              </w:tabs>
              <w:spacing w:line="240" w:lineRule="auto"/>
              <w:rPr>
                <w:rFonts w:ascii="Arial" w:hAnsi="Arial" w:cs="Arial"/>
                <w:sz w:val="22"/>
                <w:szCs w:val="22"/>
              </w:rPr>
            </w:pPr>
            <w:r w:rsidRPr="00484410">
              <w:rPr>
                <w:rFonts w:ascii="Arial" w:hAnsi="Arial" w:cs="Arial"/>
                <w:sz w:val="22"/>
                <w:szCs w:val="22"/>
              </w:rPr>
              <w:t>Dysphonia</w:t>
            </w:r>
          </w:p>
        </w:tc>
        <w:tc>
          <w:tcPr>
            <w:tcW w:w="3192" w:type="dxa"/>
          </w:tcPr>
          <w:p w:rsidR="002D5674" w:rsidRPr="00484410"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Dyspnoea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Pnuemothorax</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70259A" w:rsidP="0070259A">
            <w:pPr>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Pr="0070259A" w:rsidRDefault="0070259A" w:rsidP="0070259A">
            <w:pPr>
              <w:tabs>
                <w:tab w:val="clear" w:pos="274"/>
                <w:tab w:val="clear" w:pos="547"/>
                <w:tab w:val="clear" w:pos="821"/>
                <w:tab w:val="clear" w:pos="1094"/>
              </w:tabs>
              <w:spacing w:line="240" w:lineRule="auto"/>
              <w:rPr>
                <w:rFonts w:ascii="Arial" w:hAnsi="Arial" w:cs="Arial"/>
                <w:b/>
                <w:sz w:val="22"/>
                <w:szCs w:val="22"/>
              </w:rPr>
            </w:pPr>
            <w:r w:rsidRPr="0070259A">
              <w:rPr>
                <w:rFonts w:ascii="Arial" w:hAnsi="Arial" w:cs="Arial"/>
                <w:b/>
                <w:sz w:val="22"/>
                <w:szCs w:val="22"/>
              </w:rPr>
              <w:t>Gastrointestinal disorders</w:t>
            </w: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Abdominal pain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Diarrhoea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Dyspepsia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Gastrointestinal perforation*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Gastrointestinal fistula*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 xml:space="preserve">Lipase </w:t>
            </w:r>
            <w:r w:rsidRPr="00DF656D">
              <w:rPr>
                <w:rFonts w:ascii="Arial" w:hAnsi="Arial" w:cs="Arial"/>
                <w:sz w:val="22"/>
                <w:szCs w:val="22"/>
              </w:rPr>
              <w:t>elevations</w:t>
            </w:r>
            <w:r w:rsidR="00DF656D" w:rsidRPr="00DF656D">
              <w:rPr>
                <w:rFonts w:ascii="Arial" w:hAnsi="Arial" w:cs="Arial"/>
                <w:i/>
                <w:iCs/>
                <w:sz w:val="22"/>
                <w:szCs w:val="22"/>
                <w:lang w:val="en-GB"/>
              </w:rPr>
              <w:t>‡</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Nausea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Stomatitis</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Vomiting</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r>
      <w:tr w:rsidR="002D5674" w:rsidRPr="00765411" w:rsidTr="0028756D">
        <w:tc>
          <w:tcPr>
            <w:tcW w:w="3192" w:type="dxa"/>
          </w:tcPr>
          <w:p w:rsidR="0070259A" w:rsidRDefault="0070259A" w:rsidP="0070259A">
            <w:pPr>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Pr="0070259A" w:rsidRDefault="0070259A" w:rsidP="0070259A">
            <w:pPr>
              <w:tabs>
                <w:tab w:val="clear" w:pos="274"/>
                <w:tab w:val="clear" w:pos="547"/>
                <w:tab w:val="clear" w:pos="821"/>
                <w:tab w:val="clear" w:pos="1094"/>
              </w:tabs>
              <w:spacing w:line="240" w:lineRule="auto"/>
              <w:rPr>
                <w:rFonts w:ascii="Arial" w:hAnsi="Arial" w:cs="Arial"/>
                <w:b/>
                <w:sz w:val="22"/>
                <w:szCs w:val="22"/>
              </w:rPr>
            </w:pPr>
            <w:r w:rsidRPr="0070259A">
              <w:rPr>
                <w:rFonts w:ascii="Arial" w:hAnsi="Arial" w:cs="Arial"/>
                <w:b/>
                <w:sz w:val="22"/>
                <w:szCs w:val="22"/>
              </w:rPr>
              <w:t>Hepatobiliary disorders</w:t>
            </w: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Alanine amino transferase increased</w:t>
            </w:r>
          </w:p>
        </w:tc>
        <w:tc>
          <w:tcPr>
            <w:tcW w:w="3192" w:type="dxa"/>
          </w:tcPr>
          <w:p w:rsidR="002D5674" w:rsidRPr="00765411" w:rsidRDefault="0070259A" w:rsidP="006A1F4C">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6A1F4C">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Aspartate amino transferase increased</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Very 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Hepatic function abnormal</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r>
      <w:tr w:rsidR="002D5674"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Hyperbilirubinaemia</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2D5674" w:rsidRPr="00765411" w:rsidRDefault="0070259A" w:rsidP="00882CF8">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Uncommon</w:t>
            </w:r>
          </w:p>
        </w:tc>
      </w:tr>
      <w:tr w:rsidR="002D5674" w:rsidRPr="00765411" w:rsidTr="0028756D">
        <w:tc>
          <w:tcPr>
            <w:tcW w:w="3192" w:type="dxa"/>
          </w:tcPr>
          <w:p w:rsidR="0070259A" w:rsidRDefault="0070259A" w:rsidP="0070259A">
            <w:pPr>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2D5674" w:rsidRPr="00765411" w:rsidRDefault="002D5674" w:rsidP="00882CF8">
            <w:pPr>
              <w:tabs>
                <w:tab w:val="clear" w:pos="274"/>
                <w:tab w:val="clear" w:pos="547"/>
                <w:tab w:val="clear" w:pos="821"/>
                <w:tab w:val="clear" w:pos="1094"/>
              </w:tabs>
              <w:spacing w:line="240" w:lineRule="auto"/>
              <w:jc w:val="both"/>
              <w:rPr>
                <w:rFonts w:ascii="Arial" w:hAnsi="Arial" w:cs="Arial"/>
                <w:sz w:val="22"/>
                <w:szCs w:val="22"/>
              </w:rPr>
            </w:pPr>
          </w:p>
        </w:tc>
      </w:tr>
      <w:tr w:rsidR="006A1F4C" w:rsidRPr="00765411" w:rsidTr="003E7716">
        <w:tc>
          <w:tcPr>
            <w:tcW w:w="3192" w:type="dxa"/>
            <w:tcBorders>
              <w:bottom w:val="single" w:sz="4" w:space="0" w:color="auto"/>
            </w:tcBorders>
          </w:tcPr>
          <w:p w:rsidR="0070259A" w:rsidRPr="0070259A" w:rsidRDefault="0070259A" w:rsidP="0070259A">
            <w:pPr>
              <w:rPr>
                <w:rFonts w:ascii="Arial" w:hAnsi="Arial" w:cs="Arial"/>
                <w:b/>
                <w:sz w:val="22"/>
                <w:szCs w:val="22"/>
              </w:rPr>
            </w:pPr>
            <w:r w:rsidRPr="0070259A">
              <w:rPr>
                <w:rFonts w:ascii="Arial" w:hAnsi="Arial" w:cs="Arial"/>
                <w:b/>
                <w:sz w:val="22"/>
                <w:szCs w:val="22"/>
              </w:rPr>
              <w:t>Skin and subcutaneous tissue disorders</w:t>
            </w:r>
          </w:p>
        </w:tc>
        <w:tc>
          <w:tcPr>
            <w:tcW w:w="3192" w:type="dxa"/>
            <w:tcBorders>
              <w:bottom w:val="single" w:sz="4" w:space="0" w:color="auto"/>
            </w:tcBorders>
          </w:tcPr>
          <w:p w:rsidR="006A1F4C" w:rsidRPr="00765411" w:rsidRDefault="006A1F4C" w:rsidP="006A1F4C">
            <w:pPr>
              <w:tabs>
                <w:tab w:val="clear" w:pos="274"/>
                <w:tab w:val="clear" w:pos="547"/>
                <w:tab w:val="clear" w:pos="821"/>
                <w:tab w:val="clear" w:pos="1094"/>
              </w:tabs>
              <w:spacing w:line="240" w:lineRule="auto"/>
              <w:jc w:val="both"/>
              <w:rPr>
                <w:rFonts w:ascii="Arial" w:hAnsi="Arial" w:cs="Arial"/>
                <w:sz w:val="22"/>
                <w:szCs w:val="22"/>
              </w:rPr>
            </w:pPr>
          </w:p>
        </w:tc>
        <w:tc>
          <w:tcPr>
            <w:tcW w:w="3192" w:type="dxa"/>
            <w:tcBorders>
              <w:bottom w:val="single" w:sz="4" w:space="0" w:color="auto"/>
            </w:tcBorders>
          </w:tcPr>
          <w:p w:rsidR="006A1F4C" w:rsidRPr="00765411" w:rsidRDefault="006A1F4C" w:rsidP="006A1F4C">
            <w:pPr>
              <w:tabs>
                <w:tab w:val="clear" w:pos="274"/>
                <w:tab w:val="clear" w:pos="547"/>
                <w:tab w:val="clear" w:pos="821"/>
                <w:tab w:val="clear" w:pos="1094"/>
              </w:tabs>
              <w:spacing w:line="240" w:lineRule="auto"/>
              <w:jc w:val="both"/>
              <w:rPr>
                <w:rFonts w:ascii="Arial" w:hAnsi="Arial" w:cs="Arial"/>
                <w:sz w:val="22"/>
                <w:szCs w:val="22"/>
              </w:rPr>
            </w:pPr>
          </w:p>
        </w:tc>
      </w:tr>
      <w:tr w:rsidR="006A1F4C" w:rsidRPr="00765411" w:rsidTr="006A1F4C">
        <w:tc>
          <w:tcPr>
            <w:tcW w:w="3192" w:type="dxa"/>
          </w:tcPr>
          <w:p w:rsidR="0070259A" w:rsidRDefault="00995F2E" w:rsidP="0070259A">
            <w:pPr>
              <w:tabs>
                <w:tab w:val="clear" w:pos="274"/>
                <w:tab w:val="clear" w:pos="547"/>
                <w:tab w:val="clear" w:pos="821"/>
                <w:tab w:val="clear" w:pos="1094"/>
              </w:tabs>
              <w:rPr>
                <w:rFonts w:ascii="Arial" w:hAnsi="Arial" w:cs="Arial"/>
                <w:sz w:val="22"/>
                <w:szCs w:val="22"/>
              </w:rPr>
            </w:pPr>
            <w:r>
              <w:rPr>
                <w:rFonts w:ascii="Arial" w:hAnsi="Arial" w:cs="Arial"/>
                <w:sz w:val="22"/>
                <w:szCs w:val="22"/>
              </w:rPr>
              <w:t>Alopecia</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Common</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Very common</w:t>
            </w:r>
          </w:p>
        </w:tc>
      </w:tr>
      <w:tr w:rsidR="006A1F4C" w:rsidRPr="00765411" w:rsidTr="006A1F4C">
        <w:tc>
          <w:tcPr>
            <w:tcW w:w="3192" w:type="dxa"/>
          </w:tcPr>
          <w:p w:rsidR="0070259A" w:rsidRDefault="00995F2E" w:rsidP="0070259A">
            <w:pPr>
              <w:tabs>
                <w:tab w:val="clear" w:pos="274"/>
                <w:tab w:val="clear" w:pos="547"/>
                <w:tab w:val="clear" w:pos="821"/>
                <w:tab w:val="clear" w:pos="1094"/>
              </w:tabs>
              <w:rPr>
                <w:rFonts w:ascii="Arial" w:hAnsi="Arial" w:cs="Arial"/>
                <w:sz w:val="22"/>
                <w:szCs w:val="22"/>
              </w:rPr>
            </w:pPr>
            <w:r>
              <w:rPr>
                <w:rFonts w:ascii="Arial" w:hAnsi="Arial" w:cs="Arial"/>
                <w:sz w:val="22"/>
                <w:szCs w:val="22"/>
              </w:rPr>
              <w:t>Dry Skin</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Common</w:t>
            </w:r>
          </w:p>
        </w:tc>
      </w:tr>
      <w:tr w:rsidR="006A1F4C" w:rsidRPr="00765411" w:rsidTr="006A1F4C">
        <w:tc>
          <w:tcPr>
            <w:tcW w:w="3192" w:type="dxa"/>
          </w:tcPr>
          <w:p w:rsidR="0070259A" w:rsidRDefault="00995F2E" w:rsidP="0070259A">
            <w:pPr>
              <w:tabs>
                <w:tab w:val="clear" w:pos="274"/>
                <w:tab w:val="clear" w:pos="547"/>
                <w:tab w:val="clear" w:pos="821"/>
                <w:tab w:val="clear" w:pos="1094"/>
              </w:tabs>
              <w:rPr>
                <w:rFonts w:ascii="Arial" w:hAnsi="Arial" w:cs="Arial"/>
                <w:sz w:val="22"/>
                <w:szCs w:val="22"/>
              </w:rPr>
            </w:pPr>
            <w:r>
              <w:rPr>
                <w:rFonts w:ascii="Arial" w:hAnsi="Arial" w:cs="Arial"/>
                <w:sz w:val="22"/>
                <w:szCs w:val="22"/>
              </w:rPr>
              <w:t>Exfoliative rash</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Very common</w:t>
            </w:r>
          </w:p>
        </w:tc>
      </w:tr>
      <w:tr w:rsidR="006A1F4C" w:rsidRPr="00765411" w:rsidTr="006A1F4C">
        <w:tc>
          <w:tcPr>
            <w:tcW w:w="3192" w:type="dxa"/>
          </w:tcPr>
          <w:p w:rsidR="0070259A" w:rsidRPr="002B2A5B" w:rsidRDefault="00995F2E" w:rsidP="0070259A">
            <w:pPr>
              <w:tabs>
                <w:tab w:val="clear" w:pos="274"/>
                <w:tab w:val="clear" w:pos="547"/>
                <w:tab w:val="clear" w:pos="821"/>
                <w:tab w:val="clear" w:pos="1094"/>
              </w:tabs>
              <w:rPr>
                <w:rFonts w:ascii="Arial" w:hAnsi="Arial" w:cs="Arial"/>
                <w:sz w:val="22"/>
                <w:szCs w:val="22"/>
              </w:rPr>
            </w:pPr>
            <w:r w:rsidRPr="002B2A5B">
              <w:rPr>
                <w:rFonts w:ascii="Arial" w:hAnsi="Arial" w:cs="Arial"/>
                <w:sz w:val="22"/>
                <w:szCs w:val="22"/>
              </w:rPr>
              <w:t>Hair depigmentation</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Very common</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Very common</w:t>
            </w:r>
          </w:p>
        </w:tc>
      </w:tr>
      <w:tr w:rsidR="006A1F4C" w:rsidRPr="00765411" w:rsidTr="006A1F4C">
        <w:tc>
          <w:tcPr>
            <w:tcW w:w="3192" w:type="dxa"/>
          </w:tcPr>
          <w:p w:rsidR="0070259A" w:rsidRPr="002B2A5B" w:rsidRDefault="00995F2E" w:rsidP="0070259A">
            <w:pPr>
              <w:tabs>
                <w:tab w:val="clear" w:pos="274"/>
                <w:tab w:val="clear" w:pos="547"/>
                <w:tab w:val="clear" w:pos="821"/>
                <w:tab w:val="clear" w:pos="1094"/>
              </w:tabs>
              <w:rPr>
                <w:rFonts w:ascii="Arial" w:hAnsi="Arial" w:cs="Arial"/>
                <w:sz w:val="22"/>
                <w:szCs w:val="22"/>
              </w:rPr>
            </w:pPr>
            <w:r w:rsidRPr="002B2A5B">
              <w:rPr>
                <w:rFonts w:ascii="Arial" w:hAnsi="Arial" w:cs="Arial"/>
                <w:sz w:val="22"/>
                <w:szCs w:val="22"/>
              </w:rPr>
              <w:t>Nail disorder</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Common</w:t>
            </w:r>
          </w:p>
        </w:tc>
      </w:tr>
      <w:tr w:rsidR="006A1F4C" w:rsidRPr="00765411" w:rsidTr="006A1F4C">
        <w:tc>
          <w:tcPr>
            <w:tcW w:w="3192" w:type="dxa"/>
          </w:tcPr>
          <w:p w:rsidR="0070259A" w:rsidRPr="002B2A5B" w:rsidRDefault="00995F2E" w:rsidP="0066332A">
            <w:pPr>
              <w:tabs>
                <w:tab w:val="clear" w:pos="274"/>
                <w:tab w:val="clear" w:pos="547"/>
                <w:tab w:val="clear" w:pos="821"/>
                <w:tab w:val="clear" w:pos="1094"/>
              </w:tabs>
              <w:rPr>
                <w:rFonts w:ascii="Arial" w:hAnsi="Arial" w:cs="Arial"/>
                <w:sz w:val="22"/>
                <w:szCs w:val="22"/>
              </w:rPr>
            </w:pPr>
            <w:r w:rsidRPr="002B2A5B">
              <w:rPr>
                <w:rFonts w:ascii="Arial" w:hAnsi="Arial" w:cs="Arial"/>
                <w:sz w:val="22"/>
                <w:szCs w:val="22"/>
              </w:rPr>
              <w:t xml:space="preserve">Palmar-plantar </w:t>
            </w:r>
            <w:r w:rsidR="00004FF7" w:rsidRPr="002B2A5B">
              <w:rPr>
                <w:rFonts w:ascii="Arial" w:hAnsi="Arial" w:cs="Arial"/>
                <w:sz w:val="22"/>
                <w:szCs w:val="22"/>
              </w:rPr>
              <w:t>erythrodysesthesia</w:t>
            </w:r>
            <w:r w:rsidRPr="002B2A5B">
              <w:rPr>
                <w:rFonts w:ascii="Arial" w:hAnsi="Arial" w:cs="Arial"/>
                <w:sz w:val="22"/>
                <w:szCs w:val="22"/>
              </w:rPr>
              <w:t xml:space="preserve"> syndrome</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Common</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Very common</w:t>
            </w:r>
          </w:p>
        </w:tc>
      </w:tr>
      <w:tr w:rsidR="006A1F4C" w:rsidRPr="00765411" w:rsidTr="006A1F4C">
        <w:tc>
          <w:tcPr>
            <w:tcW w:w="3192" w:type="dxa"/>
          </w:tcPr>
          <w:p w:rsidR="0070259A" w:rsidRPr="002B2A5B" w:rsidRDefault="00995F2E" w:rsidP="0070259A">
            <w:pPr>
              <w:tabs>
                <w:tab w:val="clear" w:pos="274"/>
                <w:tab w:val="clear" w:pos="547"/>
                <w:tab w:val="clear" w:pos="821"/>
                <w:tab w:val="clear" w:pos="1094"/>
              </w:tabs>
              <w:rPr>
                <w:rFonts w:ascii="Arial" w:hAnsi="Arial" w:cs="Arial"/>
                <w:sz w:val="22"/>
                <w:szCs w:val="22"/>
              </w:rPr>
            </w:pPr>
            <w:r w:rsidRPr="002B2A5B">
              <w:rPr>
                <w:rFonts w:ascii="Arial" w:hAnsi="Arial" w:cs="Arial"/>
                <w:sz w:val="22"/>
                <w:szCs w:val="22"/>
              </w:rPr>
              <w:t>Rash</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Common</w:t>
            </w:r>
          </w:p>
        </w:tc>
        <w:tc>
          <w:tcPr>
            <w:tcW w:w="3192" w:type="dxa"/>
          </w:tcPr>
          <w:p w:rsidR="0070259A" w:rsidRDefault="0070259A" w:rsidP="0070259A">
            <w:pPr>
              <w:tabs>
                <w:tab w:val="clear" w:pos="274"/>
                <w:tab w:val="clear" w:pos="547"/>
                <w:tab w:val="clear" w:pos="821"/>
                <w:tab w:val="clear" w:pos="1094"/>
              </w:tabs>
              <w:jc w:val="both"/>
              <w:rPr>
                <w:rFonts w:ascii="Arial" w:hAnsi="Arial" w:cs="Arial"/>
                <w:sz w:val="22"/>
                <w:szCs w:val="22"/>
              </w:rPr>
            </w:pPr>
            <w:r w:rsidRPr="0070259A">
              <w:rPr>
                <w:rFonts w:ascii="Arial" w:hAnsi="Arial" w:cs="Arial"/>
                <w:sz w:val="22"/>
                <w:szCs w:val="22"/>
              </w:rPr>
              <w:t>Uncommon</w:t>
            </w:r>
          </w:p>
        </w:tc>
      </w:tr>
      <w:tr w:rsidR="006A1F4C" w:rsidRPr="00765411" w:rsidTr="006A1F4C">
        <w:tc>
          <w:tcPr>
            <w:tcW w:w="3192" w:type="dxa"/>
          </w:tcPr>
          <w:p w:rsidR="0070259A" w:rsidRPr="002B2A5B" w:rsidRDefault="00995F2E" w:rsidP="0070259A">
            <w:pPr>
              <w:tabs>
                <w:tab w:val="clear" w:pos="274"/>
                <w:tab w:val="clear" w:pos="547"/>
                <w:tab w:val="clear" w:pos="821"/>
                <w:tab w:val="clear" w:pos="1094"/>
              </w:tabs>
              <w:rPr>
                <w:rFonts w:ascii="Arial" w:hAnsi="Arial" w:cs="Arial"/>
                <w:sz w:val="22"/>
                <w:szCs w:val="22"/>
              </w:rPr>
            </w:pPr>
            <w:r w:rsidRPr="002B2A5B">
              <w:rPr>
                <w:rFonts w:ascii="Arial" w:hAnsi="Arial" w:cs="Arial"/>
                <w:sz w:val="22"/>
                <w:szCs w:val="22"/>
              </w:rPr>
              <w:t>Skin depigmentation</w:t>
            </w:r>
          </w:p>
        </w:tc>
        <w:tc>
          <w:tcPr>
            <w:tcW w:w="3192" w:type="dxa"/>
          </w:tcPr>
          <w:p w:rsidR="0070259A" w:rsidRPr="0070259A" w:rsidRDefault="0070259A" w:rsidP="0070259A">
            <w:pPr>
              <w:tabs>
                <w:tab w:val="clear" w:pos="274"/>
                <w:tab w:val="clear" w:pos="547"/>
                <w:tab w:val="clear" w:pos="821"/>
                <w:tab w:val="clear" w:pos="1094"/>
              </w:tabs>
              <w:jc w:val="both"/>
              <w:rPr>
                <w:rFonts w:ascii="Arial" w:hAnsi="Arial" w:cs="Arial"/>
                <w:sz w:val="22"/>
                <w:szCs w:val="22"/>
                <w:highlight w:val="white"/>
              </w:rPr>
            </w:pPr>
            <w:r w:rsidRPr="0070259A">
              <w:rPr>
                <w:rFonts w:ascii="Arial" w:hAnsi="Arial" w:cs="Arial"/>
                <w:sz w:val="22"/>
                <w:szCs w:val="22"/>
              </w:rPr>
              <w:t>Common</w:t>
            </w:r>
          </w:p>
        </w:tc>
        <w:tc>
          <w:tcPr>
            <w:tcW w:w="3192" w:type="dxa"/>
          </w:tcPr>
          <w:p w:rsidR="0070259A" w:rsidRPr="0070259A" w:rsidRDefault="0070259A" w:rsidP="0070259A">
            <w:pPr>
              <w:tabs>
                <w:tab w:val="clear" w:pos="274"/>
                <w:tab w:val="clear" w:pos="547"/>
                <w:tab w:val="clear" w:pos="821"/>
                <w:tab w:val="clear" w:pos="1094"/>
              </w:tabs>
              <w:jc w:val="both"/>
              <w:rPr>
                <w:rFonts w:ascii="Arial" w:hAnsi="Arial" w:cs="Arial"/>
                <w:sz w:val="22"/>
                <w:szCs w:val="22"/>
                <w:highlight w:val="white"/>
              </w:rPr>
            </w:pPr>
            <w:r w:rsidRPr="0070259A">
              <w:rPr>
                <w:rFonts w:ascii="Arial" w:hAnsi="Arial" w:cs="Arial"/>
                <w:sz w:val="22"/>
                <w:szCs w:val="22"/>
              </w:rPr>
              <w:t>Very common</w:t>
            </w:r>
          </w:p>
        </w:tc>
      </w:tr>
      <w:tr w:rsidR="006A1F4C" w:rsidRPr="00765411" w:rsidTr="006A1F4C">
        <w:tc>
          <w:tcPr>
            <w:tcW w:w="3192" w:type="dxa"/>
          </w:tcPr>
          <w:p w:rsidR="0070259A" w:rsidRPr="002B2A5B" w:rsidRDefault="0070259A" w:rsidP="0070259A">
            <w:pPr>
              <w:tabs>
                <w:tab w:val="clear" w:pos="274"/>
                <w:tab w:val="clear" w:pos="547"/>
                <w:tab w:val="clear" w:pos="821"/>
                <w:tab w:val="clear" w:pos="1094"/>
              </w:tabs>
              <w:rPr>
                <w:rFonts w:ascii="Arial" w:hAnsi="Arial" w:cs="Arial"/>
                <w:sz w:val="22"/>
                <w:szCs w:val="22"/>
              </w:rPr>
            </w:pPr>
          </w:p>
        </w:tc>
        <w:tc>
          <w:tcPr>
            <w:tcW w:w="3192" w:type="dxa"/>
          </w:tcPr>
          <w:p w:rsidR="0070259A" w:rsidRPr="0070259A" w:rsidRDefault="0070259A" w:rsidP="0070259A">
            <w:pPr>
              <w:tabs>
                <w:tab w:val="clear" w:pos="274"/>
                <w:tab w:val="clear" w:pos="547"/>
                <w:tab w:val="clear" w:pos="821"/>
                <w:tab w:val="clear" w:pos="1094"/>
              </w:tabs>
              <w:jc w:val="both"/>
              <w:rPr>
                <w:rFonts w:ascii="Arial" w:hAnsi="Arial" w:cs="Arial"/>
                <w:sz w:val="22"/>
                <w:szCs w:val="22"/>
                <w:highlight w:val="white"/>
              </w:rPr>
            </w:pPr>
          </w:p>
        </w:tc>
        <w:tc>
          <w:tcPr>
            <w:tcW w:w="3192" w:type="dxa"/>
          </w:tcPr>
          <w:p w:rsidR="0070259A" w:rsidRPr="0070259A" w:rsidRDefault="0070259A" w:rsidP="0070259A">
            <w:pPr>
              <w:tabs>
                <w:tab w:val="clear" w:pos="274"/>
                <w:tab w:val="clear" w:pos="547"/>
                <w:tab w:val="clear" w:pos="821"/>
                <w:tab w:val="clear" w:pos="1094"/>
              </w:tabs>
              <w:jc w:val="both"/>
              <w:rPr>
                <w:rFonts w:ascii="Arial" w:hAnsi="Arial" w:cs="Arial"/>
                <w:sz w:val="22"/>
                <w:szCs w:val="22"/>
                <w:highlight w:val="white"/>
              </w:rPr>
            </w:pPr>
          </w:p>
        </w:tc>
      </w:tr>
      <w:tr w:rsidR="006A1F4C" w:rsidRPr="00765411" w:rsidTr="006A1F4C">
        <w:tc>
          <w:tcPr>
            <w:tcW w:w="3192" w:type="dxa"/>
          </w:tcPr>
          <w:p w:rsidR="0070259A" w:rsidRPr="002B2A5B" w:rsidRDefault="0070259A" w:rsidP="0070259A">
            <w:pPr>
              <w:rPr>
                <w:rFonts w:ascii="Arial" w:hAnsi="Arial" w:cs="Arial"/>
                <w:sz w:val="22"/>
                <w:szCs w:val="22"/>
              </w:rPr>
            </w:pPr>
            <w:r w:rsidRPr="002B2A5B">
              <w:rPr>
                <w:rFonts w:ascii="Arial" w:hAnsi="Arial" w:cs="Arial"/>
                <w:b/>
                <w:sz w:val="22"/>
                <w:szCs w:val="22"/>
              </w:rPr>
              <w:t>Musculoskeletal and connective tissue disorders</w:t>
            </w:r>
          </w:p>
        </w:tc>
        <w:tc>
          <w:tcPr>
            <w:tcW w:w="3192" w:type="dxa"/>
          </w:tcPr>
          <w:p w:rsidR="006A1F4C" w:rsidRPr="00765411" w:rsidRDefault="006A1F4C" w:rsidP="006A1F4C">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70259A" w:rsidRDefault="0070259A" w:rsidP="0070259A">
            <w:pPr>
              <w:jc w:val="both"/>
              <w:rPr>
                <w:rFonts w:ascii="Arial" w:hAnsi="Arial" w:cs="Arial"/>
                <w:sz w:val="22"/>
                <w:szCs w:val="22"/>
              </w:rPr>
            </w:pPr>
          </w:p>
        </w:tc>
      </w:tr>
      <w:tr w:rsidR="00DB77C7" w:rsidRPr="00765411" w:rsidTr="006A1F4C">
        <w:tc>
          <w:tcPr>
            <w:tcW w:w="3192" w:type="dxa"/>
          </w:tcPr>
          <w:p w:rsidR="0070259A" w:rsidRPr="002B2A5B" w:rsidRDefault="00995F2E" w:rsidP="0070259A">
            <w:pPr>
              <w:rPr>
                <w:rFonts w:ascii="Arial" w:hAnsi="Arial" w:cs="Arial"/>
                <w:sz w:val="22"/>
                <w:szCs w:val="22"/>
              </w:rPr>
            </w:pPr>
            <w:r w:rsidRPr="002B2A5B">
              <w:rPr>
                <w:rFonts w:ascii="Arial" w:hAnsi="Arial" w:cs="Arial"/>
                <w:sz w:val="22"/>
                <w:szCs w:val="22"/>
              </w:rPr>
              <w:t>Musculoskeletal pain</w:t>
            </w:r>
          </w:p>
        </w:tc>
        <w:tc>
          <w:tcPr>
            <w:tcW w:w="3192" w:type="dxa"/>
          </w:tcPr>
          <w:p w:rsidR="00DB77C7" w:rsidRPr="00765411" w:rsidRDefault="0070259A" w:rsidP="006A1F4C">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c>
          <w:tcPr>
            <w:tcW w:w="3192" w:type="dxa"/>
          </w:tcPr>
          <w:p w:rsidR="0070259A" w:rsidRDefault="0070259A" w:rsidP="0070259A">
            <w:pPr>
              <w:jc w:val="both"/>
              <w:rPr>
                <w:rFonts w:ascii="Arial" w:hAnsi="Arial" w:cs="Arial"/>
                <w:sz w:val="22"/>
                <w:szCs w:val="22"/>
              </w:rPr>
            </w:pPr>
            <w:r w:rsidRPr="0070259A">
              <w:rPr>
                <w:rFonts w:ascii="Arial" w:hAnsi="Arial" w:cs="Arial"/>
                <w:sz w:val="22"/>
                <w:szCs w:val="22"/>
              </w:rPr>
              <w:t>Very common</w:t>
            </w:r>
          </w:p>
        </w:tc>
      </w:tr>
      <w:tr w:rsidR="00DB77C7" w:rsidRPr="00765411" w:rsidTr="006A1F4C">
        <w:tc>
          <w:tcPr>
            <w:tcW w:w="3192" w:type="dxa"/>
          </w:tcPr>
          <w:p w:rsidR="0070259A" w:rsidRPr="002B2A5B" w:rsidRDefault="00995F2E" w:rsidP="0070259A">
            <w:pPr>
              <w:rPr>
                <w:rFonts w:ascii="Arial" w:hAnsi="Arial" w:cs="Arial"/>
                <w:sz w:val="22"/>
                <w:szCs w:val="22"/>
              </w:rPr>
            </w:pPr>
            <w:r w:rsidRPr="002B2A5B">
              <w:rPr>
                <w:rFonts w:ascii="Arial" w:hAnsi="Arial" w:cs="Arial"/>
                <w:sz w:val="22"/>
                <w:szCs w:val="22"/>
              </w:rPr>
              <w:t>Myalgia</w:t>
            </w:r>
          </w:p>
        </w:tc>
        <w:tc>
          <w:tcPr>
            <w:tcW w:w="3192" w:type="dxa"/>
          </w:tcPr>
          <w:p w:rsidR="00DB77C7" w:rsidRPr="00765411" w:rsidRDefault="0070259A" w:rsidP="006A1F4C">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w:t>
            </w:r>
          </w:p>
        </w:tc>
        <w:tc>
          <w:tcPr>
            <w:tcW w:w="3192" w:type="dxa"/>
          </w:tcPr>
          <w:p w:rsidR="0070259A" w:rsidRDefault="0070259A" w:rsidP="0070259A">
            <w:pPr>
              <w:jc w:val="both"/>
              <w:rPr>
                <w:rFonts w:ascii="Arial" w:hAnsi="Arial" w:cs="Arial"/>
                <w:sz w:val="22"/>
                <w:szCs w:val="22"/>
              </w:rPr>
            </w:pPr>
            <w:r w:rsidRPr="0070259A">
              <w:rPr>
                <w:rFonts w:ascii="Arial" w:hAnsi="Arial" w:cs="Arial"/>
                <w:sz w:val="22"/>
                <w:szCs w:val="22"/>
              </w:rPr>
              <w:t>Very common</w:t>
            </w:r>
          </w:p>
        </w:tc>
      </w:tr>
      <w:tr w:rsidR="00DB77C7" w:rsidRPr="00765411" w:rsidTr="006A1F4C">
        <w:tc>
          <w:tcPr>
            <w:tcW w:w="3192" w:type="dxa"/>
          </w:tcPr>
          <w:p w:rsidR="0070259A" w:rsidRPr="002B2A5B" w:rsidRDefault="0070259A" w:rsidP="0070259A">
            <w:pPr>
              <w:rPr>
                <w:rFonts w:ascii="Arial" w:hAnsi="Arial" w:cs="Arial"/>
                <w:sz w:val="22"/>
                <w:szCs w:val="22"/>
              </w:rPr>
            </w:pPr>
          </w:p>
        </w:tc>
        <w:tc>
          <w:tcPr>
            <w:tcW w:w="3192" w:type="dxa"/>
          </w:tcPr>
          <w:p w:rsidR="00DB77C7" w:rsidRPr="00765411" w:rsidRDefault="00DB77C7" w:rsidP="006A1F4C">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70259A" w:rsidRDefault="0070259A" w:rsidP="0070259A">
            <w:pPr>
              <w:jc w:val="both"/>
              <w:rPr>
                <w:rFonts w:ascii="Arial" w:hAnsi="Arial" w:cs="Arial"/>
                <w:sz w:val="22"/>
                <w:szCs w:val="22"/>
              </w:rPr>
            </w:pPr>
          </w:p>
        </w:tc>
      </w:tr>
      <w:tr w:rsidR="00DB77C7" w:rsidRPr="00765411" w:rsidTr="006A1F4C">
        <w:tc>
          <w:tcPr>
            <w:tcW w:w="3192" w:type="dxa"/>
          </w:tcPr>
          <w:p w:rsidR="0070259A" w:rsidRPr="002B2A5B" w:rsidRDefault="0070259A" w:rsidP="0066332A">
            <w:pPr>
              <w:rPr>
                <w:rFonts w:ascii="Arial" w:hAnsi="Arial" w:cs="Arial"/>
                <w:b/>
                <w:sz w:val="22"/>
                <w:szCs w:val="22"/>
              </w:rPr>
            </w:pPr>
            <w:r w:rsidRPr="002B2A5B">
              <w:rPr>
                <w:rFonts w:ascii="Arial" w:hAnsi="Arial" w:cs="Arial"/>
                <w:b/>
                <w:sz w:val="22"/>
                <w:szCs w:val="22"/>
              </w:rPr>
              <w:t xml:space="preserve">Renal </w:t>
            </w:r>
            <w:r w:rsidR="00004FF7" w:rsidRPr="002B2A5B">
              <w:rPr>
                <w:rFonts w:ascii="Arial" w:hAnsi="Arial" w:cs="Arial"/>
                <w:b/>
                <w:sz w:val="22"/>
                <w:szCs w:val="22"/>
              </w:rPr>
              <w:t>urinary</w:t>
            </w:r>
            <w:r w:rsidR="0066332A" w:rsidRPr="002B2A5B">
              <w:rPr>
                <w:rFonts w:ascii="Arial" w:hAnsi="Arial" w:cs="Arial"/>
                <w:b/>
                <w:sz w:val="22"/>
                <w:szCs w:val="22"/>
              </w:rPr>
              <w:t xml:space="preserve"> </w:t>
            </w:r>
            <w:r w:rsidRPr="002B2A5B">
              <w:rPr>
                <w:rFonts w:ascii="Arial" w:hAnsi="Arial" w:cs="Arial"/>
                <w:b/>
                <w:sz w:val="22"/>
                <w:szCs w:val="22"/>
              </w:rPr>
              <w:t>disorders</w:t>
            </w:r>
          </w:p>
        </w:tc>
        <w:tc>
          <w:tcPr>
            <w:tcW w:w="3192" w:type="dxa"/>
          </w:tcPr>
          <w:p w:rsidR="00DB77C7" w:rsidRPr="00765411" w:rsidRDefault="00DB77C7" w:rsidP="006A1F4C">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70259A" w:rsidRDefault="0070259A" w:rsidP="0070259A">
            <w:pPr>
              <w:jc w:val="both"/>
              <w:rPr>
                <w:rFonts w:ascii="Arial" w:hAnsi="Arial" w:cs="Arial"/>
                <w:sz w:val="22"/>
                <w:szCs w:val="22"/>
              </w:rPr>
            </w:pPr>
          </w:p>
        </w:tc>
      </w:tr>
      <w:tr w:rsidR="00DB77C7" w:rsidRPr="00765411" w:rsidTr="006A1F4C">
        <w:tc>
          <w:tcPr>
            <w:tcW w:w="3192" w:type="dxa"/>
          </w:tcPr>
          <w:p w:rsidR="0070259A" w:rsidRPr="002B2A5B" w:rsidRDefault="00995F2E" w:rsidP="0070259A">
            <w:pPr>
              <w:rPr>
                <w:rFonts w:ascii="Arial" w:hAnsi="Arial" w:cs="Arial"/>
                <w:sz w:val="22"/>
                <w:szCs w:val="22"/>
              </w:rPr>
            </w:pPr>
            <w:r w:rsidRPr="002B2A5B">
              <w:rPr>
                <w:rFonts w:ascii="Arial" w:hAnsi="Arial" w:cs="Arial"/>
                <w:sz w:val="22"/>
                <w:szCs w:val="22"/>
              </w:rPr>
              <w:t>Proteinuria*</w:t>
            </w:r>
          </w:p>
        </w:tc>
        <w:tc>
          <w:tcPr>
            <w:tcW w:w="3192" w:type="dxa"/>
          </w:tcPr>
          <w:p w:rsidR="00DB77C7" w:rsidRPr="00765411" w:rsidRDefault="0070259A" w:rsidP="006A1F4C">
            <w:pPr>
              <w:tabs>
                <w:tab w:val="clear" w:pos="274"/>
                <w:tab w:val="clear" w:pos="547"/>
                <w:tab w:val="clear" w:pos="821"/>
                <w:tab w:val="clear" w:pos="1094"/>
              </w:tabs>
              <w:spacing w:line="240" w:lineRule="auto"/>
              <w:jc w:val="both"/>
              <w:rPr>
                <w:rFonts w:ascii="Arial" w:hAnsi="Arial" w:cs="Arial"/>
                <w:sz w:val="22"/>
                <w:szCs w:val="22"/>
              </w:rPr>
            </w:pPr>
            <w:r w:rsidRPr="0070259A">
              <w:rPr>
                <w:rFonts w:ascii="Arial" w:hAnsi="Arial" w:cs="Arial"/>
                <w:sz w:val="22"/>
                <w:szCs w:val="22"/>
              </w:rPr>
              <w:t>Common</w:t>
            </w:r>
          </w:p>
        </w:tc>
        <w:tc>
          <w:tcPr>
            <w:tcW w:w="3192" w:type="dxa"/>
          </w:tcPr>
          <w:p w:rsidR="0070259A" w:rsidRDefault="0070259A" w:rsidP="0070259A">
            <w:pPr>
              <w:jc w:val="both"/>
              <w:rPr>
                <w:rFonts w:ascii="Arial" w:hAnsi="Arial" w:cs="Arial"/>
                <w:sz w:val="22"/>
                <w:szCs w:val="22"/>
              </w:rPr>
            </w:pPr>
            <w:r w:rsidRPr="0070259A">
              <w:rPr>
                <w:rFonts w:ascii="Arial" w:hAnsi="Arial" w:cs="Arial"/>
                <w:sz w:val="22"/>
                <w:szCs w:val="22"/>
              </w:rPr>
              <w:t>Uncommon</w:t>
            </w:r>
          </w:p>
        </w:tc>
      </w:tr>
      <w:tr w:rsidR="00DB77C7" w:rsidRPr="00765411" w:rsidTr="0028756D">
        <w:tc>
          <w:tcPr>
            <w:tcW w:w="3192" w:type="dxa"/>
          </w:tcPr>
          <w:p w:rsidR="0070259A" w:rsidRDefault="0070259A" w:rsidP="0070259A">
            <w:pPr>
              <w:rPr>
                <w:rFonts w:ascii="Arial" w:hAnsi="Arial" w:cs="Arial"/>
                <w:sz w:val="22"/>
                <w:szCs w:val="22"/>
              </w:rPr>
            </w:pPr>
          </w:p>
        </w:tc>
        <w:tc>
          <w:tcPr>
            <w:tcW w:w="3192" w:type="dxa"/>
          </w:tcPr>
          <w:p w:rsidR="00DB77C7" w:rsidRPr="00765411" w:rsidRDefault="00DB77C7" w:rsidP="006A1F4C">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70259A" w:rsidRDefault="0070259A" w:rsidP="0070259A">
            <w:pPr>
              <w:jc w:val="both"/>
              <w:rPr>
                <w:rFonts w:ascii="Arial" w:hAnsi="Arial" w:cs="Arial"/>
                <w:sz w:val="22"/>
                <w:szCs w:val="22"/>
              </w:rPr>
            </w:pPr>
          </w:p>
        </w:tc>
      </w:tr>
      <w:tr w:rsidR="00DB77C7" w:rsidRPr="00765411" w:rsidTr="0028756D">
        <w:tc>
          <w:tcPr>
            <w:tcW w:w="3192" w:type="dxa"/>
          </w:tcPr>
          <w:p w:rsidR="0070259A" w:rsidRDefault="0070259A" w:rsidP="0070259A">
            <w:pPr>
              <w:rPr>
                <w:rFonts w:ascii="Arial" w:hAnsi="Arial" w:cs="Arial"/>
                <w:sz w:val="22"/>
                <w:szCs w:val="22"/>
              </w:rPr>
            </w:pPr>
            <w:r w:rsidRPr="0070259A">
              <w:rPr>
                <w:rFonts w:ascii="Arial" w:hAnsi="Arial" w:cs="Arial"/>
                <w:b/>
                <w:sz w:val="22"/>
                <w:szCs w:val="22"/>
              </w:rPr>
              <w:t>General disorders and administration site disorders</w:t>
            </w:r>
          </w:p>
        </w:tc>
        <w:tc>
          <w:tcPr>
            <w:tcW w:w="3192" w:type="dxa"/>
          </w:tcPr>
          <w:p w:rsidR="0070259A" w:rsidRDefault="0070259A" w:rsidP="0070259A">
            <w:pPr>
              <w:rPr>
                <w:rFonts w:ascii="Arial" w:hAnsi="Arial" w:cs="Arial"/>
                <w:sz w:val="22"/>
                <w:szCs w:val="22"/>
              </w:rPr>
            </w:pPr>
          </w:p>
        </w:tc>
        <w:tc>
          <w:tcPr>
            <w:tcW w:w="3192" w:type="dxa"/>
          </w:tcPr>
          <w:p w:rsidR="0070259A" w:rsidRDefault="0070259A" w:rsidP="0070259A">
            <w:pPr>
              <w:rPr>
                <w:rFonts w:ascii="Arial" w:hAnsi="Arial" w:cs="Arial"/>
                <w:sz w:val="22"/>
                <w:szCs w:val="22"/>
              </w:rPr>
            </w:pPr>
          </w:p>
        </w:tc>
      </w:tr>
      <w:tr w:rsidR="00DB77C7"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Asthenia</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Very common</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Uncommon</w:t>
            </w:r>
          </w:p>
        </w:tc>
      </w:tr>
      <w:tr w:rsidR="00DB77C7"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Chest pain*</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Common</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Very common</w:t>
            </w:r>
          </w:p>
        </w:tc>
      </w:tr>
      <w:tr w:rsidR="00DB77C7"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Chills</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Common</w:t>
            </w:r>
          </w:p>
        </w:tc>
      </w:tr>
      <w:tr w:rsidR="00DB77C7"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Fatigue</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Very common</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Very common</w:t>
            </w:r>
          </w:p>
        </w:tc>
      </w:tr>
      <w:tr w:rsidR="00DB77C7"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Oedema peripheral</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Very common</w:t>
            </w:r>
          </w:p>
        </w:tc>
      </w:tr>
      <w:tr w:rsidR="00DB77C7" w:rsidRPr="00765411" w:rsidTr="0028756D">
        <w:tc>
          <w:tcPr>
            <w:tcW w:w="3192" w:type="dxa"/>
          </w:tcPr>
          <w:p w:rsidR="0070259A" w:rsidRDefault="00995F2E" w:rsidP="0070259A">
            <w:pPr>
              <w:rPr>
                <w:rFonts w:ascii="Arial" w:hAnsi="Arial" w:cs="Arial"/>
                <w:sz w:val="22"/>
                <w:szCs w:val="22"/>
              </w:rPr>
            </w:pPr>
            <w:r>
              <w:rPr>
                <w:rFonts w:ascii="Arial" w:hAnsi="Arial" w:cs="Arial"/>
                <w:sz w:val="22"/>
                <w:szCs w:val="22"/>
              </w:rPr>
              <w:t>Vision blurred</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w:t>
            </w:r>
          </w:p>
        </w:tc>
        <w:tc>
          <w:tcPr>
            <w:tcW w:w="3192" w:type="dxa"/>
          </w:tcPr>
          <w:p w:rsidR="0070259A" w:rsidRDefault="0070259A" w:rsidP="0070259A">
            <w:pPr>
              <w:rPr>
                <w:rFonts w:ascii="Arial" w:hAnsi="Arial" w:cs="Arial"/>
                <w:sz w:val="22"/>
                <w:szCs w:val="22"/>
              </w:rPr>
            </w:pPr>
            <w:r w:rsidRPr="0070259A">
              <w:rPr>
                <w:rFonts w:ascii="Arial" w:hAnsi="Arial" w:cs="Arial"/>
                <w:sz w:val="22"/>
                <w:szCs w:val="22"/>
              </w:rPr>
              <w:t>Common</w:t>
            </w:r>
          </w:p>
        </w:tc>
      </w:tr>
      <w:tr w:rsidR="00DB77C7" w:rsidRPr="00765411" w:rsidTr="0028756D">
        <w:tc>
          <w:tcPr>
            <w:tcW w:w="3192" w:type="dxa"/>
          </w:tcPr>
          <w:p w:rsidR="0070259A" w:rsidRDefault="0070259A" w:rsidP="0070259A">
            <w:pPr>
              <w:rPr>
                <w:rFonts w:ascii="Arial" w:hAnsi="Arial" w:cs="Arial"/>
                <w:sz w:val="22"/>
                <w:szCs w:val="22"/>
              </w:rPr>
            </w:pPr>
          </w:p>
        </w:tc>
        <w:tc>
          <w:tcPr>
            <w:tcW w:w="3192" w:type="dxa"/>
          </w:tcPr>
          <w:p w:rsidR="00DB77C7" w:rsidRPr="00765411" w:rsidRDefault="00DB77C7" w:rsidP="006A1F4C">
            <w:pPr>
              <w:tabs>
                <w:tab w:val="clear" w:pos="274"/>
                <w:tab w:val="clear" w:pos="547"/>
                <w:tab w:val="clear" w:pos="821"/>
                <w:tab w:val="clear" w:pos="1094"/>
              </w:tabs>
              <w:spacing w:line="240" w:lineRule="auto"/>
              <w:jc w:val="both"/>
              <w:rPr>
                <w:rFonts w:ascii="Arial" w:hAnsi="Arial" w:cs="Arial"/>
                <w:sz w:val="22"/>
                <w:szCs w:val="22"/>
              </w:rPr>
            </w:pPr>
          </w:p>
        </w:tc>
        <w:tc>
          <w:tcPr>
            <w:tcW w:w="3192" w:type="dxa"/>
          </w:tcPr>
          <w:p w:rsidR="00DB77C7" w:rsidRPr="00765411" w:rsidRDefault="00DB77C7" w:rsidP="006A1F4C">
            <w:pPr>
              <w:tabs>
                <w:tab w:val="clear" w:pos="274"/>
                <w:tab w:val="clear" w:pos="547"/>
                <w:tab w:val="clear" w:pos="821"/>
                <w:tab w:val="clear" w:pos="1094"/>
              </w:tabs>
              <w:spacing w:line="240" w:lineRule="auto"/>
              <w:jc w:val="both"/>
              <w:rPr>
                <w:rFonts w:ascii="Arial" w:hAnsi="Arial" w:cs="Arial"/>
                <w:sz w:val="22"/>
                <w:szCs w:val="22"/>
              </w:rPr>
            </w:pPr>
          </w:p>
        </w:tc>
      </w:tr>
    </w:tbl>
    <w:p w:rsidR="00DB77C7" w:rsidRPr="007B71A3" w:rsidRDefault="00DB77C7" w:rsidP="00DB77C7">
      <w:pPr>
        <w:keepLines/>
        <w:rPr>
          <w:i/>
          <w:color w:val="000000"/>
          <w:sz w:val="20"/>
        </w:rPr>
      </w:pPr>
      <w:r w:rsidRPr="007B71A3">
        <w:rPr>
          <w:i/>
          <w:color w:val="000000"/>
          <w:sz w:val="20"/>
          <w:vertAlign w:val="superscript"/>
        </w:rPr>
        <w:t xml:space="preserve">* </w:t>
      </w:r>
      <w:r w:rsidRPr="007B71A3">
        <w:rPr>
          <w:i/>
          <w:color w:val="000000"/>
          <w:sz w:val="20"/>
        </w:rPr>
        <w:t>See Warnings and Precautions for additional information.</w:t>
      </w:r>
    </w:p>
    <w:p w:rsidR="00DB77C7" w:rsidRPr="00CC6CAE" w:rsidRDefault="00DB77C7" w:rsidP="00DB77C7">
      <w:pPr>
        <w:keepLines/>
        <w:rPr>
          <w:i/>
          <w:sz w:val="20"/>
          <w:szCs w:val="20"/>
        </w:rPr>
      </w:pPr>
      <w:r w:rsidRPr="00685A25">
        <w:rPr>
          <w:i/>
          <w:sz w:val="20"/>
        </w:rPr>
        <w:t xml:space="preserve">♦ - </w:t>
      </w:r>
      <w:r w:rsidRPr="00CC6CAE">
        <w:rPr>
          <w:i/>
          <w:sz w:val="20"/>
          <w:szCs w:val="20"/>
        </w:rPr>
        <w:t xml:space="preserve">Adverse event </w:t>
      </w:r>
      <w:r w:rsidRPr="00CC6CAE">
        <w:rPr>
          <w:i/>
          <w:sz w:val="20"/>
          <w:szCs w:val="20"/>
          <w:lang w:val="en-US"/>
        </w:rPr>
        <w:t>was not considered causally related to pazopanib in the pivotal clinical trial for this indication.</w:t>
      </w:r>
    </w:p>
    <w:p w:rsidR="002D5674" w:rsidRPr="002B2A5B" w:rsidRDefault="00DB77C7" w:rsidP="00DB77C7">
      <w:pPr>
        <w:jc w:val="both"/>
        <w:rPr>
          <w:i/>
          <w:color w:val="000000" w:themeColor="text1"/>
          <w:sz w:val="20"/>
          <w:szCs w:val="20"/>
        </w:rPr>
      </w:pPr>
      <w:r w:rsidRPr="00C03A92">
        <w:rPr>
          <w:i/>
          <w:sz w:val="20"/>
          <w:szCs w:val="20"/>
        </w:rPr>
        <w:t>Note</w:t>
      </w:r>
      <w:r w:rsidRPr="00B74AB7">
        <w:rPr>
          <w:i/>
          <w:sz w:val="20"/>
          <w:szCs w:val="20"/>
        </w:rPr>
        <w:t xml:space="preserve">: Laboratory findings which met the CTC-AE criteria were recorded as adverse events at the discretion of the </w:t>
      </w:r>
      <w:r w:rsidR="00F94812" w:rsidRPr="002B2A5B">
        <w:rPr>
          <w:i/>
          <w:color w:val="000000" w:themeColor="text1"/>
          <w:sz w:val="20"/>
          <w:szCs w:val="20"/>
        </w:rPr>
        <w:t>Investigator</w:t>
      </w:r>
    </w:p>
    <w:p w:rsidR="00E34591" w:rsidRPr="002B2A5B" w:rsidRDefault="00F94812" w:rsidP="00DB77C7">
      <w:pPr>
        <w:jc w:val="both"/>
        <w:rPr>
          <w:i/>
          <w:color w:val="000000" w:themeColor="text1"/>
          <w:sz w:val="20"/>
          <w:szCs w:val="20"/>
          <w:lang w:val="en-GB"/>
        </w:rPr>
      </w:pPr>
      <w:r w:rsidRPr="002B2A5B">
        <w:rPr>
          <w:i/>
          <w:color w:val="000000" w:themeColor="text1"/>
          <w:sz w:val="20"/>
          <w:szCs w:val="20"/>
          <w:vertAlign w:val="superscript"/>
          <w:lang w:val="en-GB"/>
        </w:rPr>
        <w:t xml:space="preserve">† </w:t>
      </w:r>
      <w:r w:rsidRPr="002B2A5B">
        <w:rPr>
          <w:i/>
          <w:color w:val="000000" w:themeColor="text1"/>
          <w:sz w:val="20"/>
          <w:szCs w:val="20"/>
          <w:lang w:val="en-GB"/>
        </w:rPr>
        <w:t>See below for further information</w:t>
      </w:r>
    </w:p>
    <w:p w:rsidR="00B74AB7" w:rsidRPr="002B2A5B" w:rsidRDefault="00B74AB7" w:rsidP="00B74AB7">
      <w:pPr>
        <w:keepLines/>
        <w:rPr>
          <w:i/>
          <w:color w:val="000000" w:themeColor="text1"/>
          <w:sz w:val="20"/>
        </w:rPr>
      </w:pPr>
      <w:r w:rsidRPr="002B2A5B">
        <w:rPr>
          <w:i/>
          <w:iCs/>
          <w:color w:val="000000" w:themeColor="text1"/>
          <w:sz w:val="20"/>
        </w:rPr>
        <w:t>‡ -</w:t>
      </w:r>
      <w:r w:rsidRPr="002B2A5B">
        <w:rPr>
          <w:i/>
          <w:color w:val="000000" w:themeColor="text1"/>
        </w:rPr>
        <w:t xml:space="preserve"> </w:t>
      </w:r>
      <w:r w:rsidRPr="002B2A5B">
        <w:rPr>
          <w:i/>
          <w:iCs/>
          <w:color w:val="000000" w:themeColor="text1"/>
          <w:sz w:val="20"/>
        </w:rPr>
        <w:t xml:space="preserve">For RCC, the frequency category is based on data from the supportive single-arm study VEG102616. </w:t>
      </w:r>
    </w:p>
    <w:p w:rsidR="00B74AB7" w:rsidRPr="002B2A5B" w:rsidRDefault="00B74AB7" w:rsidP="00DB77C7">
      <w:pPr>
        <w:jc w:val="both"/>
        <w:rPr>
          <w:i/>
          <w:color w:val="000000" w:themeColor="text1"/>
          <w:sz w:val="20"/>
          <w:szCs w:val="20"/>
          <w:lang w:val="en-GB"/>
        </w:rPr>
      </w:pPr>
    </w:p>
    <w:p w:rsidR="00E34591" w:rsidRPr="00C03A92" w:rsidRDefault="00E34591" w:rsidP="00DB77C7">
      <w:pPr>
        <w:jc w:val="both"/>
        <w:rPr>
          <w:b/>
          <w:i/>
          <w:sz w:val="20"/>
          <w:szCs w:val="20"/>
          <w:vertAlign w:val="superscript"/>
          <w:lang w:val="en-GB"/>
        </w:rPr>
      </w:pPr>
    </w:p>
    <w:p w:rsidR="00412BF5" w:rsidRDefault="00F94812" w:rsidP="00412BF5">
      <w:pPr>
        <w:spacing w:line="300" w:lineRule="atLeast"/>
        <w:jc w:val="both"/>
        <w:rPr>
          <w:rFonts w:ascii="Arial" w:hAnsi="Arial" w:cs="Arial"/>
          <w:sz w:val="22"/>
          <w:szCs w:val="22"/>
        </w:rPr>
      </w:pPr>
      <w:r w:rsidRPr="00C03A92">
        <w:rPr>
          <w:rFonts w:ascii="Arial" w:hAnsi="Arial" w:cs="Arial"/>
          <w:i/>
          <w:sz w:val="22"/>
          <w:szCs w:val="22"/>
          <w:u w:val="single"/>
        </w:rPr>
        <w:t>Bradycardia</w:t>
      </w:r>
      <w:r w:rsidR="00E34591" w:rsidRPr="00C03A92">
        <w:rPr>
          <w:rFonts w:ascii="Arial" w:hAnsi="Arial" w:cs="Arial"/>
          <w:i/>
          <w:sz w:val="22"/>
          <w:szCs w:val="22"/>
          <w:u w:val="single"/>
        </w:rPr>
        <w:t>:</w:t>
      </w:r>
      <w:r w:rsidRPr="00C03A92">
        <w:rPr>
          <w:rFonts w:ascii="Arial" w:hAnsi="Arial" w:cs="Arial"/>
          <w:sz w:val="22"/>
          <w:szCs w:val="22"/>
        </w:rPr>
        <w:t xml:space="preserve"> In clinical studies with VOTRIENT, bradycardia has been experienced very commonly based on heart rate measurement.  In a randomised, double-blind study in renal cell carcinoma patients (see CLINICAL TRIALS), at least one episode of heart rate &lt;60 bpm was experienced in 33/280 patients (11.8%) in the </w:t>
      </w:r>
      <w:r w:rsidR="00E34591" w:rsidRPr="00C03A92">
        <w:rPr>
          <w:rFonts w:ascii="Arial" w:hAnsi="Arial" w:cs="Arial"/>
          <w:sz w:val="22"/>
          <w:szCs w:val="22"/>
        </w:rPr>
        <w:t>VOTRIENT</w:t>
      </w:r>
      <w:r w:rsidRPr="00C03A92">
        <w:rPr>
          <w:rFonts w:ascii="Arial" w:hAnsi="Arial" w:cs="Arial"/>
          <w:sz w:val="22"/>
          <w:szCs w:val="22"/>
        </w:rPr>
        <w:t xml:space="preserve"> arm and 11/144 patients (7.6%) in the placebo arm.  Bradycardia has also been reported commonly as an adverse event.  In the same study, bradycardia or sinus bradycardia were reported as adverse events in 7/290 patients (2.4%) in the </w:t>
      </w:r>
      <w:r w:rsidR="00E34591" w:rsidRPr="00C03A92">
        <w:rPr>
          <w:rFonts w:ascii="Arial" w:hAnsi="Arial" w:cs="Arial"/>
          <w:sz w:val="22"/>
          <w:szCs w:val="22"/>
        </w:rPr>
        <w:t>VOTRIENT</w:t>
      </w:r>
      <w:r w:rsidRPr="00C03A92">
        <w:rPr>
          <w:rFonts w:ascii="Arial" w:hAnsi="Arial" w:cs="Arial"/>
          <w:sz w:val="22"/>
          <w:szCs w:val="22"/>
        </w:rPr>
        <w:t xml:space="preserve"> arm, and 1/145 patients (0.7%) in the placebo arm. Most bradycardia with </w:t>
      </w:r>
      <w:r w:rsidR="00E34591" w:rsidRPr="00C03A92">
        <w:rPr>
          <w:rFonts w:ascii="Arial" w:hAnsi="Arial" w:cs="Arial"/>
          <w:sz w:val="22"/>
          <w:szCs w:val="22"/>
        </w:rPr>
        <w:t>VOTRIENT</w:t>
      </w:r>
      <w:r w:rsidRPr="00C03A92">
        <w:rPr>
          <w:rFonts w:ascii="Arial" w:hAnsi="Arial" w:cs="Arial"/>
          <w:sz w:val="22"/>
          <w:szCs w:val="22"/>
        </w:rPr>
        <w:t xml:space="preserve"> has been asymptomatic, however syncope due to bradycardia  has been reported.</w:t>
      </w:r>
    </w:p>
    <w:p w:rsidR="00412BF5" w:rsidRDefault="00412BF5" w:rsidP="00483FE4">
      <w:pPr>
        <w:jc w:val="both"/>
        <w:rPr>
          <w:rFonts w:ascii="Arial" w:hAnsi="Arial" w:cs="Arial"/>
          <w:sz w:val="22"/>
          <w:szCs w:val="22"/>
        </w:rPr>
      </w:pPr>
    </w:p>
    <w:p w:rsidR="00483FE4" w:rsidRDefault="00483FE4" w:rsidP="00483FE4">
      <w:pPr>
        <w:jc w:val="both"/>
        <w:rPr>
          <w:rFonts w:ascii="Arial" w:hAnsi="Arial" w:cs="Arial"/>
          <w:sz w:val="22"/>
          <w:szCs w:val="22"/>
        </w:rPr>
      </w:pPr>
      <w:r>
        <w:rPr>
          <w:rFonts w:ascii="Arial" w:hAnsi="Arial" w:cs="Arial"/>
          <w:sz w:val="22"/>
          <w:szCs w:val="22"/>
        </w:rPr>
        <w:t>Table 4 presents the incidence of very common (&gt;10%) treatment-related adverse events in RCC for patients receiving VOTRIENT versus those on placebo.</w:t>
      </w:r>
    </w:p>
    <w:p w:rsidR="00412BF5" w:rsidRDefault="00412BF5">
      <w:pPr>
        <w:rPr>
          <w:rFonts w:ascii="Arial" w:hAnsi="Arial" w:cs="Arial"/>
          <w:b/>
          <w:sz w:val="22"/>
          <w:szCs w:val="22"/>
        </w:rPr>
      </w:pPr>
      <w:r>
        <w:rPr>
          <w:rFonts w:ascii="Arial" w:hAnsi="Arial" w:cs="Arial"/>
          <w:b/>
          <w:sz w:val="22"/>
          <w:szCs w:val="22"/>
        </w:rPr>
        <w:br w:type="page"/>
      </w:r>
    </w:p>
    <w:p w:rsidR="000F0D69" w:rsidRDefault="000F0D69" w:rsidP="000F0D69">
      <w:pPr>
        <w:ind w:left="1440" w:hanging="1440"/>
        <w:jc w:val="both"/>
        <w:rPr>
          <w:rFonts w:ascii="Arial" w:hAnsi="Arial" w:cs="Arial"/>
          <w:b/>
          <w:sz w:val="22"/>
          <w:szCs w:val="22"/>
        </w:rPr>
      </w:pPr>
      <w:r>
        <w:rPr>
          <w:rFonts w:ascii="Arial" w:hAnsi="Arial" w:cs="Arial"/>
          <w:b/>
          <w:sz w:val="22"/>
          <w:szCs w:val="22"/>
        </w:rPr>
        <w:t xml:space="preserve">Table </w:t>
      </w:r>
      <w:r w:rsidR="00483FE4">
        <w:rPr>
          <w:rFonts w:ascii="Arial" w:hAnsi="Arial" w:cs="Arial"/>
          <w:b/>
          <w:sz w:val="22"/>
          <w:szCs w:val="22"/>
        </w:rPr>
        <w:t>4</w:t>
      </w:r>
      <w:r>
        <w:rPr>
          <w:rFonts w:ascii="Arial" w:hAnsi="Arial" w:cs="Arial"/>
          <w:b/>
          <w:sz w:val="22"/>
          <w:szCs w:val="22"/>
        </w:rPr>
        <w:t>.</w:t>
      </w:r>
      <w:r>
        <w:rPr>
          <w:rFonts w:ascii="Arial" w:hAnsi="Arial" w:cs="Arial"/>
          <w:b/>
          <w:sz w:val="22"/>
          <w:szCs w:val="22"/>
        </w:rPr>
        <w:tab/>
        <w:t xml:space="preserve">Treatment-related Adverse Events Reported for at least 10% of </w:t>
      </w:r>
      <w:r w:rsidR="006F3390">
        <w:rPr>
          <w:rFonts w:ascii="Arial" w:hAnsi="Arial" w:cs="Arial"/>
          <w:b/>
          <w:sz w:val="22"/>
          <w:szCs w:val="22"/>
        </w:rPr>
        <w:t>patients</w:t>
      </w:r>
      <w:r>
        <w:rPr>
          <w:rFonts w:ascii="Arial" w:hAnsi="Arial" w:cs="Arial"/>
          <w:b/>
          <w:sz w:val="22"/>
          <w:szCs w:val="22"/>
        </w:rPr>
        <w:t xml:space="preserve"> who received </w:t>
      </w:r>
      <w:r w:rsidR="002F1277">
        <w:rPr>
          <w:rFonts w:ascii="Arial" w:hAnsi="Arial" w:cs="Arial"/>
          <w:b/>
          <w:sz w:val="22"/>
          <w:szCs w:val="22"/>
        </w:rPr>
        <w:t>VOTRIENT</w:t>
      </w:r>
      <w:r>
        <w:rPr>
          <w:rFonts w:ascii="Arial" w:hAnsi="Arial" w:cs="Arial"/>
          <w:b/>
          <w:sz w:val="22"/>
          <w:szCs w:val="22"/>
        </w:rPr>
        <w:t xml:space="preserve"> or Placebo</w:t>
      </w:r>
      <w:r w:rsidR="009306E4">
        <w:rPr>
          <w:rFonts w:ascii="Arial" w:hAnsi="Arial" w:cs="Arial"/>
          <w:b/>
          <w:sz w:val="22"/>
          <w:szCs w:val="22"/>
        </w:rPr>
        <w:t xml:space="preserve"> in RCC (VEG105192)</w:t>
      </w:r>
    </w:p>
    <w:p w:rsidR="000F0D69" w:rsidRDefault="000F0D69" w:rsidP="00882CF8">
      <w:pPr>
        <w:jc w:val="both"/>
        <w:rPr>
          <w:rFonts w:ascii="Arial" w:hAnsi="Arial" w:cs="Arial"/>
          <w:b/>
          <w:sz w:val="22"/>
          <w:szCs w:val="22"/>
        </w:rPr>
      </w:pP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5"/>
        <w:gridCol w:w="1455"/>
        <w:gridCol w:w="1440"/>
        <w:gridCol w:w="1440"/>
        <w:gridCol w:w="1440"/>
        <w:gridCol w:w="1440"/>
        <w:gridCol w:w="1440"/>
      </w:tblGrid>
      <w:tr w:rsidR="00E87E26" w:rsidRPr="002C0225" w:rsidTr="00412BF5">
        <w:trPr>
          <w:tblHeader/>
        </w:trPr>
        <w:tc>
          <w:tcPr>
            <w:tcW w:w="2325" w:type="dxa"/>
            <w:vMerge w:val="restart"/>
          </w:tcPr>
          <w:p w:rsidR="00E87E26" w:rsidRPr="002C0225" w:rsidRDefault="00A90FCF" w:rsidP="002C0225">
            <w:pPr>
              <w:tabs>
                <w:tab w:val="left" w:pos="274"/>
                <w:tab w:val="left" w:pos="547"/>
                <w:tab w:val="left" w:pos="821"/>
                <w:tab w:val="left" w:pos="1094"/>
              </w:tabs>
              <w:spacing w:before="120" w:after="120" w:line="300" w:lineRule="atLeast"/>
              <w:jc w:val="both"/>
              <w:rPr>
                <w:rFonts w:ascii="Arial" w:hAnsi="Arial" w:cs="Arial"/>
                <w:b/>
                <w:sz w:val="20"/>
                <w:szCs w:val="20"/>
              </w:rPr>
            </w:pPr>
            <w:r w:rsidRPr="002C0225">
              <w:rPr>
                <w:rFonts w:ascii="Arial" w:hAnsi="Arial" w:cs="Arial"/>
                <w:b/>
                <w:sz w:val="20"/>
                <w:szCs w:val="20"/>
              </w:rPr>
              <w:t>Adverse Event, n (%)</w:t>
            </w:r>
          </w:p>
        </w:tc>
        <w:tc>
          <w:tcPr>
            <w:tcW w:w="8655" w:type="dxa"/>
            <w:gridSpan w:val="6"/>
          </w:tcPr>
          <w:p w:rsidR="00E87E26" w:rsidRPr="002C0225" w:rsidRDefault="00E87E26" w:rsidP="002C0225">
            <w:pPr>
              <w:tabs>
                <w:tab w:val="left" w:pos="274"/>
                <w:tab w:val="left" w:pos="547"/>
                <w:tab w:val="left" w:pos="821"/>
                <w:tab w:val="left" w:pos="1094"/>
              </w:tabs>
              <w:spacing w:before="120" w:after="120" w:line="300" w:lineRule="atLeast"/>
              <w:jc w:val="center"/>
              <w:rPr>
                <w:rFonts w:ascii="Arial" w:hAnsi="Arial" w:cs="Arial"/>
                <w:b/>
                <w:sz w:val="20"/>
                <w:szCs w:val="20"/>
              </w:rPr>
            </w:pPr>
            <w:r w:rsidRPr="002C0225">
              <w:rPr>
                <w:rFonts w:ascii="Arial" w:hAnsi="Arial" w:cs="Arial"/>
                <w:b/>
                <w:sz w:val="20"/>
                <w:szCs w:val="20"/>
              </w:rPr>
              <w:t xml:space="preserve">Number (% of </w:t>
            </w:r>
            <w:r w:rsidR="006F3390">
              <w:rPr>
                <w:rFonts w:ascii="Arial" w:hAnsi="Arial" w:cs="Arial"/>
                <w:b/>
                <w:sz w:val="20"/>
                <w:szCs w:val="20"/>
              </w:rPr>
              <w:t>patients</w:t>
            </w:r>
            <w:r w:rsidRPr="002C0225">
              <w:rPr>
                <w:rFonts w:ascii="Arial" w:hAnsi="Arial" w:cs="Arial"/>
                <w:b/>
                <w:sz w:val="20"/>
                <w:szCs w:val="20"/>
              </w:rPr>
              <w:t>)</w:t>
            </w:r>
          </w:p>
        </w:tc>
      </w:tr>
      <w:tr w:rsidR="00E90CC9" w:rsidRPr="002C0225" w:rsidTr="00412BF5">
        <w:trPr>
          <w:tblHeader/>
        </w:trPr>
        <w:tc>
          <w:tcPr>
            <w:tcW w:w="2325" w:type="dxa"/>
            <w:vMerge/>
          </w:tcPr>
          <w:p w:rsidR="00E90CC9" w:rsidRPr="002C0225" w:rsidRDefault="00E90CC9" w:rsidP="002C0225">
            <w:pPr>
              <w:tabs>
                <w:tab w:val="left" w:pos="274"/>
                <w:tab w:val="left" w:pos="547"/>
                <w:tab w:val="left" w:pos="821"/>
                <w:tab w:val="left" w:pos="1094"/>
              </w:tabs>
              <w:spacing w:before="120" w:after="120" w:line="300" w:lineRule="atLeast"/>
              <w:jc w:val="both"/>
              <w:rPr>
                <w:rFonts w:ascii="Arial" w:hAnsi="Arial" w:cs="Arial"/>
                <w:b/>
                <w:sz w:val="20"/>
                <w:szCs w:val="20"/>
              </w:rPr>
            </w:pPr>
          </w:p>
        </w:tc>
        <w:tc>
          <w:tcPr>
            <w:tcW w:w="4335" w:type="dxa"/>
            <w:gridSpan w:val="3"/>
          </w:tcPr>
          <w:p w:rsidR="00E90CC9" w:rsidRPr="002C0225" w:rsidRDefault="002F1277" w:rsidP="002C0225">
            <w:pPr>
              <w:tabs>
                <w:tab w:val="left" w:pos="274"/>
                <w:tab w:val="left" w:pos="547"/>
                <w:tab w:val="left" w:pos="821"/>
                <w:tab w:val="left" w:pos="1094"/>
              </w:tabs>
              <w:spacing w:before="120" w:after="120" w:line="300" w:lineRule="atLeast"/>
              <w:jc w:val="center"/>
              <w:rPr>
                <w:rFonts w:ascii="Arial" w:hAnsi="Arial" w:cs="Arial"/>
                <w:b/>
                <w:sz w:val="20"/>
                <w:szCs w:val="20"/>
              </w:rPr>
            </w:pPr>
            <w:r w:rsidRPr="002C0225">
              <w:rPr>
                <w:rFonts w:ascii="Arial" w:hAnsi="Arial" w:cs="Arial"/>
                <w:b/>
                <w:sz w:val="20"/>
                <w:szCs w:val="20"/>
              </w:rPr>
              <w:t>VOTRIENT</w:t>
            </w:r>
            <w:r w:rsidR="00E90CC9" w:rsidRPr="002C0225">
              <w:rPr>
                <w:rFonts w:ascii="Arial" w:hAnsi="Arial" w:cs="Arial"/>
                <w:b/>
                <w:sz w:val="20"/>
                <w:szCs w:val="20"/>
              </w:rPr>
              <w:t xml:space="preserve"> (n = 290)</w:t>
            </w:r>
          </w:p>
        </w:tc>
        <w:tc>
          <w:tcPr>
            <w:tcW w:w="4320" w:type="dxa"/>
            <w:gridSpan w:val="3"/>
          </w:tcPr>
          <w:p w:rsidR="00E90CC9" w:rsidRPr="002C0225" w:rsidRDefault="00E90CC9" w:rsidP="002C0225">
            <w:pPr>
              <w:tabs>
                <w:tab w:val="left" w:pos="274"/>
                <w:tab w:val="left" w:pos="547"/>
                <w:tab w:val="left" w:pos="821"/>
                <w:tab w:val="left" w:pos="1094"/>
              </w:tabs>
              <w:spacing w:before="120" w:after="120" w:line="300" w:lineRule="atLeast"/>
              <w:jc w:val="center"/>
              <w:rPr>
                <w:rFonts w:ascii="Arial" w:hAnsi="Arial" w:cs="Arial"/>
                <w:b/>
                <w:sz w:val="20"/>
                <w:szCs w:val="20"/>
              </w:rPr>
            </w:pPr>
            <w:r w:rsidRPr="002C0225">
              <w:rPr>
                <w:rFonts w:ascii="Arial" w:hAnsi="Arial" w:cs="Arial"/>
                <w:b/>
                <w:sz w:val="20"/>
                <w:szCs w:val="20"/>
              </w:rPr>
              <w:t>Placebo (n = 145)</w:t>
            </w:r>
          </w:p>
        </w:tc>
      </w:tr>
      <w:tr w:rsidR="00E90CC9" w:rsidRPr="002C0225" w:rsidTr="00412BF5">
        <w:trPr>
          <w:tblHeader/>
        </w:trPr>
        <w:tc>
          <w:tcPr>
            <w:tcW w:w="2325" w:type="dxa"/>
          </w:tcPr>
          <w:p w:rsidR="00E90CC9" w:rsidRPr="002C0225" w:rsidRDefault="00E90CC9" w:rsidP="002C0225">
            <w:pPr>
              <w:tabs>
                <w:tab w:val="left" w:pos="274"/>
                <w:tab w:val="left" w:pos="547"/>
                <w:tab w:val="left" w:pos="821"/>
                <w:tab w:val="left" w:pos="1094"/>
              </w:tabs>
              <w:spacing w:before="120" w:after="120" w:line="300" w:lineRule="atLeast"/>
              <w:jc w:val="both"/>
              <w:rPr>
                <w:rFonts w:ascii="Arial" w:hAnsi="Arial" w:cs="Arial"/>
                <w:b/>
                <w:sz w:val="20"/>
                <w:szCs w:val="20"/>
              </w:rPr>
            </w:pPr>
          </w:p>
        </w:tc>
        <w:tc>
          <w:tcPr>
            <w:tcW w:w="1455" w:type="dxa"/>
          </w:tcPr>
          <w:p w:rsidR="00E90CC9" w:rsidRPr="002C0225" w:rsidRDefault="00E90CC9" w:rsidP="002C0225">
            <w:pPr>
              <w:tabs>
                <w:tab w:val="left" w:pos="274"/>
                <w:tab w:val="left" w:pos="547"/>
                <w:tab w:val="left" w:pos="821"/>
                <w:tab w:val="left" w:pos="1094"/>
              </w:tabs>
              <w:spacing w:before="120" w:after="120" w:line="300" w:lineRule="atLeast"/>
              <w:jc w:val="center"/>
              <w:rPr>
                <w:rFonts w:ascii="Arial Bold" w:hAnsi="Arial Bold" w:cs="Arial"/>
                <w:b/>
                <w:sz w:val="20"/>
                <w:szCs w:val="20"/>
                <w:vertAlign w:val="superscript"/>
              </w:rPr>
            </w:pPr>
            <w:r w:rsidRPr="002C0225">
              <w:rPr>
                <w:rFonts w:ascii="Arial" w:hAnsi="Arial" w:cs="Arial"/>
                <w:b/>
                <w:sz w:val="20"/>
                <w:szCs w:val="20"/>
              </w:rPr>
              <w:t>Any Grade</w:t>
            </w:r>
          </w:p>
        </w:tc>
        <w:tc>
          <w:tcPr>
            <w:tcW w:w="1440" w:type="dxa"/>
          </w:tcPr>
          <w:p w:rsidR="00E90CC9" w:rsidRPr="002C0225" w:rsidRDefault="00E90CC9" w:rsidP="002C0225">
            <w:pPr>
              <w:tabs>
                <w:tab w:val="left" w:pos="274"/>
                <w:tab w:val="left" w:pos="547"/>
                <w:tab w:val="left" w:pos="821"/>
                <w:tab w:val="left" w:pos="1094"/>
              </w:tabs>
              <w:spacing w:before="120" w:after="120" w:line="300" w:lineRule="atLeast"/>
              <w:jc w:val="center"/>
              <w:rPr>
                <w:rFonts w:ascii="Arial" w:hAnsi="Arial" w:cs="Arial"/>
                <w:b/>
                <w:sz w:val="20"/>
                <w:szCs w:val="20"/>
              </w:rPr>
            </w:pPr>
            <w:r w:rsidRPr="002C0225">
              <w:rPr>
                <w:rFonts w:ascii="Arial" w:hAnsi="Arial" w:cs="Arial"/>
                <w:b/>
                <w:sz w:val="20"/>
                <w:szCs w:val="20"/>
              </w:rPr>
              <w:t>Grade 3</w:t>
            </w:r>
          </w:p>
        </w:tc>
        <w:tc>
          <w:tcPr>
            <w:tcW w:w="1440" w:type="dxa"/>
          </w:tcPr>
          <w:p w:rsidR="00E90CC9" w:rsidRPr="002C0225" w:rsidRDefault="00E90CC9" w:rsidP="002C0225">
            <w:pPr>
              <w:tabs>
                <w:tab w:val="left" w:pos="274"/>
                <w:tab w:val="left" w:pos="547"/>
                <w:tab w:val="left" w:pos="821"/>
                <w:tab w:val="left" w:pos="1094"/>
              </w:tabs>
              <w:spacing w:before="120" w:after="120" w:line="300" w:lineRule="atLeast"/>
              <w:jc w:val="center"/>
              <w:rPr>
                <w:rFonts w:ascii="Arial" w:hAnsi="Arial" w:cs="Arial"/>
                <w:b/>
                <w:sz w:val="20"/>
                <w:szCs w:val="20"/>
              </w:rPr>
            </w:pPr>
            <w:r w:rsidRPr="002C0225">
              <w:rPr>
                <w:rFonts w:ascii="Arial" w:hAnsi="Arial" w:cs="Arial"/>
                <w:b/>
                <w:sz w:val="20"/>
                <w:szCs w:val="20"/>
              </w:rPr>
              <w:t>Grade 4</w:t>
            </w:r>
          </w:p>
        </w:tc>
        <w:tc>
          <w:tcPr>
            <w:tcW w:w="1440" w:type="dxa"/>
          </w:tcPr>
          <w:p w:rsidR="00E90CC9" w:rsidRPr="002C0225" w:rsidRDefault="00E90CC9" w:rsidP="002C0225">
            <w:pPr>
              <w:tabs>
                <w:tab w:val="left" w:pos="274"/>
                <w:tab w:val="left" w:pos="547"/>
                <w:tab w:val="left" w:pos="821"/>
                <w:tab w:val="left" w:pos="1094"/>
              </w:tabs>
              <w:spacing w:before="120" w:after="120" w:line="300" w:lineRule="atLeast"/>
              <w:jc w:val="center"/>
              <w:rPr>
                <w:rFonts w:ascii="Arial Bold" w:hAnsi="Arial Bold" w:cs="Arial"/>
                <w:b/>
                <w:sz w:val="20"/>
                <w:szCs w:val="20"/>
                <w:vertAlign w:val="superscript"/>
              </w:rPr>
            </w:pPr>
            <w:r w:rsidRPr="002C0225">
              <w:rPr>
                <w:rFonts w:ascii="Arial" w:hAnsi="Arial" w:cs="Arial"/>
                <w:b/>
                <w:sz w:val="20"/>
                <w:szCs w:val="20"/>
              </w:rPr>
              <w:t>Any Grade</w:t>
            </w:r>
          </w:p>
        </w:tc>
        <w:tc>
          <w:tcPr>
            <w:tcW w:w="1440" w:type="dxa"/>
          </w:tcPr>
          <w:p w:rsidR="00E90CC9" w:rsidRPr="002C0225" w:rsidRDefault="00E90CC9" w:rsidP="002C0225">
            <w:pPr>
              <w:tabs>
                <w:tab w:val="left" w:pos="274"/>
                <w:tab w:val="left" w:pos="547"/>
                <w:tab w:val="left" w:pos="821"/>
                <w:tab w:val="left" w:pos="1094"/>
              </w:tabs>
              <w:spacing w:before="120" w:after="120" w:line="300" w:lineRule="atLeast"/>
              <w:jc w:val="center"/>
              <w:rPr>
                <w:rFonts w:ascii="Arial" w:hAnsi="Arial" w:cs="Arial"/>
                <w:b/>
                <w:sz w:val="20"/>
                <w:szCs w:val="20"/>
              </w:rPr>
            </w:pPr>
            <w:r w:rsidRPr="002C0225">
              <w:rPr>
                <w:rFonts w:ascii="Arial" w:hAnsi="Arial" w:cs="Arial"/>
                <w:b/>
                <w:sz w:val="20"/>
                <w:szCs w:val="20"/>
              </w:rPr>
              <w:t>Grade 3</w:t>
            </w:r>
          </w:p>
        </w:tc>
        <w:tc>
          <w:tcPr>
            <w:tcW w:w="1440" w:type="dxa"/>
          </w:tcPr>
          <w:p w:rsidR="00E90CC9" w:rsidRPr="002C0225" w:rsidRDefault="00E90CC9" w:rsidP="002C0225">
            <w:pPr>
              <w:tabs>
                <w:tab w:val="left" w:pos="274"/>
                <w:tab w:val="left" w:pos="547"/>
                <w:tab w:val="left" w:pos="821"/>
                <w:tab w:val="left" w:pos="1094"/>
              </w:tabs>
              <w:spacing w:before="120" w:after="120" w:line="300" w:lineRule="atLeast"/>
              <w:jc w:val="center"/>
              <w:rPr>
                <w:rFonts w:ascii="Arial" w:hAnsi="Arial" w:cs="Arial"/>
                <w:b/>
                <w:sz w:val="20"/>
                <w:szCs w:val="20"/>
              </w:rPr>
            </w:pPr>
            <w:r w:rsidRPr="002C0225">
              <w:rPr>
                <w:rFonts w:ascii="Arial" w:hAnsi="Arial" w:cs="Arial"/>
                <w:b/>
                <w:sz w:val="20"/>
                <w:szCs w:val="20"/>
              </w:rPr>
              <w:t>Grade 4</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b/>
                <w:sz w:val="20"/>
                <w:szCs w:val="20"/>
              </w:rPr>
            </w:pPr>
            <w:r w:rsidRPr="002C0225">
              <w:rPr>
                <w:rFonts w:ascii="Arial" w:hAnsi="Arial" w:cs="Arial"/>
                <w:b/>
                <w:sz w:val="20"/>
                <w:szCs w:val="20"/>
              </w:rPr>
              <w:t>Any</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270 (93)</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103(36)</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25 (9)</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107 (74)</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24 (17)</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8 (6)</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sidRPr="002C0225">
              <w:rPr>
                <w:rFonts w:ascii="Arial" w:hAnsi="Arial" w:cs="Arial"/>
                <w:sz w:val="20"/>
                <w:szCs w:val="20"/>
              </w:rPr>
              <w:t>Diarrhoea</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152 (52)</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11 (4)</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2 (&lt;1)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13 (9)</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1 (</w:t>
            </w:r>
            <w:r>
              <w:rPr>
                <w:rFonts w:ascii="Arial" w:hAnsi="Arial" w:cs="Arial"/>
                <w:sz w:val="20"/>
                <w:szCs w:val="20"/>
              </w:rPr>
              <w:t>&lt;</w:t>
            </w:r>
            <w:r w:rsidRPr="002C0225">
              <w:rPr>
                <w:rFonts w:ascii="Arial" w:hAnsi="Arial" w:cs="Arial"/>
                <w:sz w:val="20"/>
                <w:szCs w:val="20"/>
              </w:rPr>
              <w:t>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sidRPr="002C0225">
              <w:rPr>
                <w:rFonts w:ascii="Arial" w:hAnsi="Arial" w:cs="Arial"/>
                <w:sz w:val="20"/>
                <w:szCs w:val="20"/>
              </w:rPr>
              <w:t>Hair colour changes</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109 (38)</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1 (&lt;1)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4 (3)</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sidRPr="002C0225">
              <w:rPr>
                <w:rFonts w:ascii="Arial" w:hAnsi="Arial" w:cs="Arial"/>
                <w:sz w:val="20"/>
                <w:szCs w:val="20"/>
              </w:rPr>
              <w:t>Hypertension</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116 (40)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13 (4)</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15 (10)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1 (</w:t>
            </w:r>
            <w:r>
              <w:rPr>
                <w:rFonts w:ascii="Arial" w:hAnsi="Arial" w:cs="Arial"/>
                <w:sz w:val="20"/>
                <w:szCs w:val="20"/>
              </w:rPr>
              <w:t>&lt;</w:t>
            </w:r>
            <w:r w:rsidRPr="002C0225">
              <w:rPr>
                <w:rFonts w:ascii="Arial" w:hAnsi="Arial" w:cs="Arial"/>
                <w:sz w:val="20"/>
                <w:szCs w:val="20"/>
              </w:rPr>
              <w:t>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sidRPr="002C0225">
              <w:rPr>
                <w:rFonts w:ascii="Arial" w:hAnsi="Arial" w:cs="Arial"/>
                <w:sz w:val="20"/>
                <w:szCs w:val="20"/>
              </w:rPr>
              <w:t>Nausea</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74 (26)</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2 (&lt;1)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13 (9)</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Pr>
                <w:rFonts w:ascii="Arial" w:hAnsi="Arial" w:cs="Arial"/>
                <w:sz w:val="20"/>
                <w:szCs w:val="20"/>
              </w:rPr>
              <w:t>Decreased appetite</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70 (24)</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6 (2)</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17 (12)</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 (&lt;1)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sidRPr="002C0225">
              <w:rPr>
                <w:rFonts w:ascii="Arial" w:hAnsi="Arial" w:cs="Arial"/>
                <w:sz w:val="20"/>
                <w:szCs w:val="20"/>
              </w:rPr>
              <w:t>Vomiting</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62 (21)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7 (2)</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1 (&lt;1)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13 (9)</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3 (2)</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sidRPr="002C0225">
              <w:rPr>
                <w:rFonts w:ascii="Arial" w:hAnsi="Arial" w:cs="Arial"/>
                <w:sz w:val="20"/>
                <w:szCs w:val="20"/>
              </w:rPr>
              <w:t>Fatigue</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57 (20)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7 (2)</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14 (10)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2 (1)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2 (1)</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sidRPr="002C0225">
              <w:rPr>
                <w:rFonts w:ascii="Arial" w:hAnsi="Arial" w:cs="Arial"/>
                <w:sz w:val="20"/>
                <w:szCs w:val="20"/>
              </w:rPr>
              <w:t>ALT increased</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55 (19)</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18 (6)</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3 (1)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5 (3)</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 (&lt;1)</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r>
      <w:tr w:rsidR="00225254" w:rsidRPr="002C0225" w:rsidTr="002C0225">
        <w:tc>
          <w:tcPr>
            <w:tcW w:w="2325" w:type="dxa"/>
          </w:tcPr>
          <w:p w:rsidR="00225254" w:rsidRPr="002C0225" w:rsidRDefault="00225254" w:rsidP="002C0225">
            <w:pPr>
              <w:tabs>
                <w:tab w:val="left" w:pos="274"/>
                <w:tab w:val="left" w:pos="547"/>
                <w:tab w:val="left" w:pos="821"/>
                <w:tab w:val="left" w:pos="1094"/>
              </w:tabs>
              <w:spacing w:before="120" w:after="120" w:line="300" w:lineRule="atLeast"/>
              <w:jc w:val="both"/>
              <w:rPr>
                <w:rFonts w:ascii="Arial" w:hAnsi="Arial" w:cs="Arial"/>
                <w:sz w:val="20"/>
                <w:szCs w:val="20"/>
              </w:rPr>
            </w:pPr>
            <w:r w:rsidRPr="002C0225">
              <w:rPr>
                <w:rFonts w:ascii="Arial" w:hAnsi="Arial" w:cs="Arial"/>
                <w:sz w:val="20"/>
                <w:szCs w:val="20"/>
              </w:rPr>
              <w:t>AST increase</w:t>
            </w:r>
          </w:p>
        </w:tc>
        <w:tc>
          <w:tcPr>
            <w:tcW w:w="1455"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45 (16)</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14 (5)</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1 (&lt;1)</w:t>
            </w:r>
          </w:p>
        </w:tc>
        <w:tc>
          <w:tcPr>
            <w:tcW w:w="1440" w:type="dxa"/>
          </w:tcPr>
          <w:p w:rsidR="00225254" w:rsidRPr="002C0225" w:rsidRDefault="00225254" w:rsidP="008069E2">
            <w:pPr>
              <w:tabs>
                <w:tab w:val="left" w:pos="274"/>
                <w:tab w:val="left" w:pos="547"/>
                <w:tab w:val="left" w:pos="821"/>
                <w:tab w:val="left" w:pos="1094"/>
              </w:tabs>
              <w:spacing w:before="120" w:after="120" w:line="300" w:lineRule="atLeast"/>
              <w:jc w:val="center"/>
              <w:rPr>
                <w:rFonts w:ascii="Arial" w:hAnsi="Arial" w:cs="Arial"/>
                <w:sz w:val="20"/>
                <w:szCs w:val="20"/>
              </w:rPr>
            </w:pPr>
            <w:r>
              <w:rPr>
                <w:rFonts w:ascii="Arial" w:hAnsi="Arial" w:cs="Arial"/>
                <w:sz w:val="20"/>
                <w:szCs w:val="20"/>
              </w:rPr>
              <w:t xml:space="preserve">5 </w:t>
            </w:r>
            <w:r w:rsidR="008069E2">
              <w:rPr>
                <w:rFonts w:ascii="Arial" w:hAnsi="Arial" w:cs="Arial"/>
                <w:sz w:val="20"/>
                <w:szCs w:val="20"/>
              </w:rPr>
              <w:t>(</w:t>
            </w:r>
            <w:r>
              <w:rPr>
                <w:rFonts w:ascii="Arial" w:hAnsi="Arial" w:cs="Arial"/>
                <w:sz w:val="20"/>
                <w:szCs w:val="20"/>
              </w:rPr>
              <w:t>3)</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c>
          <w:tcPr>
            <w:tcW w:w="1440" w:type="dxa"/>
          </w:tcPr>
          <w:p w:rsidR="00225254" w:rsidRPr="002C0225" w:rsidRDefault="00225254" w:rsidP="002C0225">
            <w:pPr>
              <w:tabs>
                <w:tab w:val="left" w:pos="274"/>
                <w:tab w:val="left" w:pos="547"/>
                <w:tab w:val="left" w:pos="821"/>
                <w:tab w:val="left" w:pos="1094"/>
              </w:tabs>
              <w:spacing w:before="120" w:after="120" w:line="300" w:lineRule="atLeast"/>
              <w:jc w:val="center"/>
              <w:rPr>
                <w:rFonts w:ascii="Arial" w:hAnsi="Arial" w:cs="Arial"/>
                <w:sz w:val="20"/>
                <w:szCs w:val="20"/>
              </w:rPr>
            </w:pPr>
            <w:r w:rsidRPr="002C0225">
              <w:rPr>
                <w:rFonts w:ascii="Arial" w:hAnsi="Arial" w:cs="Arial"/>
                <w:sz w:val="20"/>
                <w:szCs w:val="20"/>
              </w:rPr>
              <w:t>0</w:t>
            </w:r>
          </w:p>
        </w:tc>
      </w:tr>
      <w:tr w:rsidR="00E046DB" w:rsidRPr="00515D83" w:rsidTr="00E046DB">
        <w:tc>
          <w:tcPr>
            <w:tcW w:w="232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both"/>
              <w:rPr>
                <w:rFonts w:ascii="Arial" w:hAnsi="Arial" w:cs="Arial"/>
                <w:sz w:val="20"/>
                <w:szCs w:val="20"/>
              </w:rPr>
            </w:pPr>
            <w:r w:rsidRPr="00515D83">
              <w:rPr>
                <w:rFonts w:ascii="Arial" w:hAnsi="Arial" w:cs="Arial"/>
                <w:sz w:val="20"/>
                <w:szCs w:val="20"/>
              </w:rPr>
              <w:t>Asthenia</w:t>
            </w:r>
          </w:p>
        </w:tc>
        <w:tc>
          <w:tcPr>
            <w:tcW w:w="1455" w:type="dxa"/>
            <w:tcBorders>
              <w:top w:val="single" w:sz="4" w:space="0" w:color="auto"/>
              <w:left w:val="single" w:sz="4" w:space="0" w:color="auto"/>
              <w:bottom w:val="single" w:sz="4" w:space="0" w:color="auto"/>
              <w:right w:val="single" w:sz="4" w:space="0" w:color="auto"/>
            </w:tcBorders>
          </w:tcPr>
          <w:p w:rsidR="00E046DB" w:rsidRPr="00515D83" w:rsidDel="00981FBF"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42 (14)</w:t>
            </w:r>
          </w:p>
        </w:tc>
        <w:tc>
          <w:tcPr>
            <w:tcW w:w="1440" w:type="dxa"/>
            <w:tcBorders>
              <w:top w:val="single" w:sz="4" w:space="0" w:color="auto"/>
              <w:left w:val="single" w:sz="4" w:space="0" w:color="auto"/>
              <w:bottom w:val="single" w:sz="4" w:space="0" w:color="auto"/>
              <w:right w:val="single" w:sz="4" w:space="0" w:color="auto"/>
            </w:tcBorders>
          </w:tcPr>
          <w:p w:rsidR="00E046DB" w:rsidRPr="00515D83" w:rsidDel="00981FBF"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8 (3)</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13 (9)</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r>
      <w:tr w:rsidR="00E046DB" w:rsidRPr="00515D83" w:rsidTr="00E046DB">
        <w:tc>
          <w:tcPr>
            <w:tcW w:w="232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both"/>
              <w:rPr>
                <w:rFonts w:ascii="Arial" w:hAnsi="Arial" w:cs="Arial"/>
                <w:sz w:val="20"/>
                <w:szCs w:val="20"/>
              </w:rPr>
            </w:pPr>
            <w:r w:rsidRPr="00515D83">
              <w:rPr>
                <w:rFonts w:ascii="Arial" w:hAnsi="Arial" w:cs="Arial"/>
                <w:sz w:val="20"/>
                <w:szCs w:val="20"/>
              </w:rPr>
              <w:t>Abdominal pain</w:t>
            </w:r>
          </w:p>
        </w:tc>
        <w:tc>
          <w:tcPr>
            <w:tcW w:w="145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32 (11)</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7 (2)</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2 (1)</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r>
      <w:tr w:rsidR="00E046DB" w:rsidRPr="00515D83" w:rsidTr="00E046DB">
        <w:tc>
          <w:tcPr>
            <w:tcW w:w="232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both"/>
              <w:rPr>
                <w:rFonts w:ascii="Arial" w:hAnsi="Arial" w:cs="Arial"/>
                <w:sz w:val="20"/>
                <w:szCs w:val="20"/>
              </w:rPr>
            </w:pPr>
            <w:r w:rsidRPr="00515D83">
              <w:rPr>
                <w:rFonts w:ascii="Arial" w:hAnsi="Arial" w:cs="Arial"/>
                <w:sz w:val="20"/>
                <w:szCs w:val="20"/>
              </w:rPr>
              <w:t>Headache</w:t>
            </w:r>
          </w:p>
        </w:tc>
        <w:tc>
          <w:tcPr>
            <w:tcW w:w="145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31 (11)</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7 (5)</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r>
      <w:tr w:rsidR="00E046DB" w:rsidRPr="00515D83" w:rsidTr="00E046DB">
        <w:tc>
          <w:tcPr>
            <w:tcW w:w="232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both"/>
              <w:rPr>
                <w:rFonts w:ascii="Arial" w:hAnsi="Arial" w:cs="Arial"/>
                <w:sz w:val="20"/>
                <w:szCs w:val="20"/>
              </w:rPr>
            </w:pPr>
            <w:r w:rsidRPr="00515D83">
              <w:rPr>
                <w:rFonts w:ascii="Arial" w:hAnsi="Arial" w:cs="Arial"/>
                <w:sz w:val="20"/>
                <w:szCs w:val="20"/>
              </w:rPr>
              <w:t>Proteinuria</w:t>
            </w:r>
          </w:p>
        </w:tc>
        <w:tc>
          <w:tcPr>
            <w:tcW w:w="145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30 (10)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6 (2)</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1 (&lt;1)</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r>
      <w:tr w:rsidR="00E046DB" w:rsidRPr="00515D83" w:rsidTr="00E046DB">
        <w:tc>
          <w:tcPr>
            <w:tcW w:w="232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both"/>
              <w:rPr>
                <w:rFonts w:ascii="Arial" w:hAnsi="Arial" w:cs="Arial"/>
                <w:sz w:val="20"/>
                <w:szCs w:val="20"/>
              </w:rPr>
            </w:pPr>
            <w:r w:rsidRPr="00515D83">
              <w:rPr>
                <w:rFonts w:ascii="Arial" w:hAnsi="Arial" w:cs="Arial"/>
                <w:sz w:val="20"/>
                <w:szCs w:val="20"/>
              </w:rPr>
              <w:t>Weight decreased</w:t>
            </w:r>
          </w:p>
        </w:tc>
        <w:tc>
          <w:tcPr>
            <w:tcW w:w="1455"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30 (10)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2 (&lt;1)</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5 (3)</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1 (&lt;1)</w:t>
            </w:r>
          </w:p>
        </w:tc>
        <w:tc>
          <w:tcPr>
            <w:tcW w:w="1440" w:type="dxa"/>
            <w:tcBorders>
              <w:top w:val="single" w:sz="4" w:space="0" w:color="auto"/>
              <w:left w:val="single" w:sz="4" w:space="0" w:color="auto"/>
              <w:bottom w:val="single" w:sz="4" w:space="0" w:color="auto"/>
              <w:right w:val="single" w:sz="4" w:space="0" w:color="auto"/>
            </w:tcBorders>
          </w:tcPr>
          <w:p w:rsidR="00E046DB" w:rsidRPr="00515D83" w:rsidRDefault="00E046DB" w:rsidP="00504E24">
            <w:pPr>
              <w:tabs>
                <w:tab w:val="left" w:pos="274"/>
                <w:tab w:val="left" w:pos="547"/>
                <w:tab w:val="left" w:pos="821"/>
                <w:tab w:val="left" w:pos="1094"/>
              </w:tabs>
              <w:spacing w:before="120" w:after="120" w:line="300" w:lineRule="atLeast"/>
              <w:jc w:val="center"/>
              <w:rPr>
                <w:rFonts w:ascii="Arial" w:hAnsi="Arial" w:cs="Arial"/>
                <w:sz w:val="20"/>
                <w:szCs w:val="20"/>
              </w:rPr>
            </w:pPr>
            <w:r w:rsidRPr="00515D83">
              <w:rPr>
                <w:rFonts w:ascii="Arial" w:hAnsi="Arial" w:cs="Arial"/>
                <w:sz w:val="20"/>
                <w:szCs w:val="20"/>
              </w:rPr>
              <w:t>0</w:t>
            </w:r>
          </w:p>
        </w:tc>
      </w:tr>
    </w:tbl>
    <w:p w:rsidR="006D6D4D" w:rsidRDefault="006D6D4D" w:rsidP="00882CF8">
      <w:pPr>
        <w:jc w:val="both"/>
        <w:rPr>
          <w:rFonts w:ascii="Arial" w:hAnsi="Arial" w:cs="Arial"/>
          <w:sz w:val="22"/>
          <w:szCs w:val="22"/>
        </w:rPr>
      </w:pPr>
    </w:p>
    <w:p w:rsidR="00412BF5" w:rsidRDefault="00412BF5" w:rsidP="00882CF8">
      <w:pPr>
        <w:jc w:val="both"/>
        <w:rPr>
          <w:rFonts w:ascii="Arial" w:hAnsi="Arial" w:cs="Arial"/>
          <w:sz w:val="22"/>
          <w:szCs w:val="22"/>
        </w:rPr>
      </w:pPr>
    </w:p>
    <w:p w:rsidR="00483FE4" w:rsidRDefault="00483FE4" w:rsidP="00483FE4">
      <w:pPr>
        <w:jc w:val="both"/>
        <w:rPr>
          <w:rFonts w:ascii="Arial" w:hAnsi="Arial" w:cs="Arial"/>
          <w:sz w:val="22"/>
          <w:szCs w:val="22"/>
        </w:rPr>
      </w:pPr>
      <w:r>
        <w:rPr>
          <w:rFonts w:ascii="Arial" w:hAnsi="Arial" w:cs="Arial"/>
          <w:sz w:val="22"/>
          <w:szCs w:val="22"/>
        </w:rPr>
        <w:t>Table 5 presents the incidence of very common (&gt;10%) treatment-related adverse events in STS for patients receiving VOTRIENT versus those on placebo.</w:t>
      </w:r>
    </w:p>
    <w:p w:rsidR="00683316" w:rsidRDefault="00683316">
      <w:pPr>
        <w:rPr>
          <w:rFonts w:ascii="Arial" w:hAnsi="Arial" w:cs="Arial"/>
          <w:b/>
          <w:sz w:val="22"/>
          <w:szCs w:val="22"/>
        </w:rPr>
      </w:pPr>
      <w:r>
        <w:rPr>
          <w:rFonts w:ascii="Arial" w:hAnsi="Arial" w:cs="Arial"/>
          <w:b/>
          <w:sz w:val="22"/>
          <w:szCs w:val="22"/>
        </w:rPr>
        <w:br w:type="page"/>
      </w:r>
    </w:p>
    <w:p w:rsidR="009306E4" w:rsidRDefault="009306E4" w:rsidP="009306E4">
      <w:pPr>
        <w:ind w:left="1440" w:hanging="1440"/>
        <w:jc w:val="both"/>
        <w:rPr>
          <w:rFonts w:ascii="Arial" w:hAnsi="Arial" w:cs="Arial"/>
          <w:b/>
          <w:sz w:val="22"/>
          <w:szCs w:val="22"/>
        </w:rPr>
      </w:pPr>
      <w:r>
        <w:rPr>
          <w:rFonts w:ascii="Arial" w:hAnsi="Arial" w:cs="Arial"/>
          <w:b/>
          <w:sz w:val="22"/>
          <w:szCs w:val="22"/>
        </w:rPr>
        <w:t xml:space="preserve">Table </w:t>
      </w:r>
      <w:r w:rsidR="00483FE4">
        <w:rPr>
          <w:rFonts w:ascii="Arial" w:hAnsi="Arial" w:cs="Arial"/>
          <w:b/>
          <w:sz w:val="22"/>
          <w:szCs w:val="22"/>
        </w:rPr>
        <w:t>5</w:t>
      </w:r>
      <w:r>
        <w:rPr>
          <w:rFonts w:ascii="Arial" w:hAnsi="Arial" w:cs="Arial"/>
          <w:b/>
          <w:sz w:val="22"/>
          <w:szCs w:val="22"/>
        </w:rPr>
        <w:t>.</w:t>
      </w:r>
      <w:r>
        <w:rPr>
          <w:rFonts w:ascii="Arial" w:hAnsi="Arial" w:cs="Arial"/>
          <w:b/>
          <w:sz w:val="22"/>
          <w:szCs w:val="22"/>
        </w:rPr>
        <w:tab/>
        <w:t xml:space="preserve">Treatment-related Adverse Events Reported for at least 10% of </w:t>
      </w:r>
      <w:r w:rsidR="006F3390">
        <w:rPr>
          <w:rFonts w:ascii="Arial" w:hAnsi="Arial" w:cs="Arial"/>
          <w:b/>
          <w:sz w:val="22"/>
          <w:szCs w:val="22"/>
        </w:rPr>
        <w:t>patients</w:t>
      </w:r>
      <w:r>
        <w:rPr>
          <w:rFonts w:ascii="Arial" w:hAnsi="Arial" w:cs="Arial"/>
          <w:b/>
          <w:sz w:val="22"/>
          <w:szCs w:val="22"/>
        </w:rPr>
        <w:t xml:space="preserve"> who received VOTRIENT or Placebo in STS (VEG110727)</w:t>
      </w:r>
    </w:p>
    <w:p w:rsidR="009306E4" w:rsidRDefault="009306E4" w:rsidP="009306E4">
      <w:pPr>
        <w:ind w:left="1440" w:hanging="1440"/>
        <w:jc w:val="both"/>
        <w:rPr>
          <w:rFonts w:ascii="Arial" w:hAnsi="Arial" w:cs="Arial"/>
          <w:b/>
          <w:sz w:val="22"/>
          <w:szCs w:val="22"/>
        </w:rPr>
      </w:pP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5"/>
        <w:gridCol w:w="1455"/>
        <w:gridCol w:w="1440"/>
        <w:gridCol w:w="1440"/>
        <w:gridCol w:w="1440"/>
        <w:gridCol w:w="1440"/>
        <w:gridCol w:w="1440"/>
      </w:tblGrid>
      <w:tr w:rsidR="009306E4" w:rsidRPr="002B2A5B" w:rsidTr="00683316">
        <w:trPr>
          <w:tblHeader/>
        </w:trPr>
        <w:tc>
          <w:tcPr>
            <w:tcW w:w="2325" w:type="dxa"/>
            <w:vMerge w:val="restart"/>
          </w:tcPr>
          <w:p w:rsidR="009306E4" w:rsidRPr="002B2A5B" w:rsidRDefault="009306E4" w:rsidP="009306E4">
            <w:pPr>
              <w:tabs>
                <w:tab w:val="left" w:pos="274"/>
                <w:tab w:val="left" w:pos="547"/>
                <w:tab w:val="left" w:pos="821"/>
                <w:tab w:val="left" w:pos="1094"/>
              </w:tabs>
              <w:spacing w:before="120" w:after="120" w:line="300" w:lineRule="atLeast"/>
              <w:jc w:val="both"/>
              <w:rPr>
                <w:rFonts w:ascii="Arial" w:hAnsi="Arial" w:cs="Arial"/>
                <w:b/>
                <w:sz w:val="20"/>
                <w:szCs w:val="20"/>
              </w:rPr>
            </w:pPr>
            <w:r w:rsidRPr="002B2A5B">
              <w:rPr>
                <w:rFonts w:ascii="Arial" w:hAnsi="Arial" w:cs="Arial"/>
                <w:b/>
                <w:sz w:val="20"/>
                <w:szCs w:val="20"/>
              </w:rPr>
              <w:t>Adverse Event, n (%)</w:t>
            </w:r>
          </w:p>
        </w:tc>
        <w:tc>
          <w:tcPr>
            <w:tcW w:w="8655" w:type="dxa"/>
            <w:gridSpan w:val="6"/>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w:hAnsi="Arial" w:cs="Arial"/>
                <w:b/>
                <w:sz w:val="20"/>
                <w:szCs w:val="20"/>
              </w:rPr>
            </w:pPr>
            <w:r w:rsidRPr="002B2A5B">
              <w:rPr>
                <w:rFonts w:ascii="Arial" w:hAnsi="Arial" w:cs="Arial"/>
                <w:b/>
                <w:sz w:val="20"/>
                <w:szCs w:val="20"/>
              </w:rPr>
              <w:t xml:space="preserve">Number (% of </w:t>
            </w:r>
            <w:r w:rsidR="006F3390" w:rsidRPr="002B2A5B">
              <w:rPr>
                <w:rFonts w:ascii="Arial" w:hAnsi="Arial" w:cs="Arial"/>
                <w:b/>
                <w:sz w:val="20"/>
                <w:szCs w:val="20"/>
              </w:rPr>
              <w:t>patients</w:t>
            </w:r>
            <w:r w:rsidRPr="002B2A5B">
              <w:rPr>
                <w:rFonts w:ascii="Arial" w:hAnsi="Arial" w:cs="Arial"/>
                <w:b/>
                <w:sz w:val="20"/>
                <w:szCs w:val="20"/>
              </w:rPr>
              <w:t>)</w:t>
            </w:r>
          </w:p>
        </w:tc>
      </w:tr>
      <w:tr w:rsidR="009306E4" w:rsidRPr="002B2A5B" w:rsidTr="00683316">
        <w:trPr>
          <w:tblHeader/>
        </w:trPr>
        <w:tc>
          <w:tcPr>
            <w:tcW w:w="2325" w:type="dxa"/>
            <w:vMerge/>
          </w:tcPr>
          <w:p w:rsidR="009306E4" w:rsidRPr="002B2A5B" w:rsidRDefault="009306E4" w:rsidP="009306E4">
            <w:pPr>
              <w:tabs>
                <w:tab w:val="left" w:pos="274"/>
                <w:tab w:val="left" w:pos="547"/>
                <w:tab w:val="left" w:pos="821"/>
                <w:tab w:val="left" w:pos="1094"/>
              </w:tabs>
              <w:spacing w:before="120" w:after="120" w:line="300" w:lineRule="atLeast"/>
              <w:jc w:val="both"/>
              <w:rPr>
                <w:rFonts w:ascii="Arial" w:hAnsi="Arial" w:cs="Arial"/>
                <w:b/>
                <w:sz w:val="20"/>
                <w:szCs w:val="20"/>
              </w:rPr>
            </w:pPr>
          </w:p>
        </w:tc>
        <w:tc>
          <w:tcPr>
            <w:tcW w:w="4335" w:type="dxa"/>
            <w:gridSpan w:val="3"/>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w:hAnsi="Arial" w:cs="Arial"/>
                <w:b/>
                <w:sz w:val="20"/>
                <w:szCs w:val="20"/>
              </w:rPr>
            </w:pPr>
            <w:r w:rsidRPr="002B2A5B">
              <w:rPr>
                <w:rFonts w:ascii="Arial" w:hAnsi="Arial" w:cs="Arial"/>
                <w:b/>
                <w:sz w:val="20"/>
                <w:szCs w:val="20"/>
              </w:rPr>
              <w:t>VOTRIENT (n = 240)</w:t>
            </w:r>
          </w:p>
        </w:tc>
        <w:tc>
          <w:tcPr>
            <w:tcW w:w="4320" w:type="dxa"/>
            <w:gridSpan w:val="3"/>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w:hAnsi="Arial" w:cs="Arial"/>
                <w:b/>
                <w:sz w:val="20"/>
                <w:szCs w:val="20"/>
              </w:rPr>
            </w:pPr>
            <w:r w:rsidRPr="002B2A5B">
              <w:rPr>
                <w:rFonts w:ascii="Arial" w:hAnsi="Arial" w:cs="Arial"/>
                <w:b/>
                <w:sz w:val="20"/>
                <w:szCs w:val="20"/>
              </w:rPr>
              <w:t>Placebo (n = 123)</w:t>
            </w:r>
          </w:p>
        </w:tc>
      </w:tr>
      <w:tr w:rsidR="009306E4" w:rsidRPr="002B2A5B" w:rsidTr="00683316">
        <w:trPr>
          <w:tblHeader/>
        </w:trPr>
        <w:tc>
          <w:tcPr>
            <w:tcW w:w="2325" w:type="dxa"/>
          </w:tcPr>
          <w:p w:rsidR="009306E4" w:rsidRPr="002B2A5B" w:rsidRDefault="009306E4" w:rsidP="009306E4">
            <w:pPr>
              <w:tabs>
                <w:tab w:val="left" w:pos="274"/>
                <w:tab w:val="left" w:pos="547"/>
                <w:tab w:val="left" w:pos="821"/>
                <w:tab w:val="left" w:pos="1094"/>
              </w:tabs>
              <w:spacing w:before="120" w:after="120" w:line="300" w:lineRule="atLeast"/>
              <w:jc w:val="both"/>
              <w:rPr>
                <w:rFonts w:ascii="Arial" w:hAnsi="Arial" w:cs="Arial"/>
                <w:b/>
                <w:sz w:val="20"/>
                <w:szCs w:val="20"/>
              </w:rPr>
            </w:pPr>
          </w:p>
        </w:tc>
        <w:tc>
          <w:tcPr>
            <w:tcW w:w="1455" w:type="dxa"/>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Bold" w:hAnsi="Arial Bold" w:cs="Arial"/>
                <w:b/>
                <w:sz w:val="20"/>
                <w:szCs w:val="20"/>
                <w:vertAlign w:val="superscript"/>
              </w:rPr>
            </w:pPr>
            <w:r w:rsidRPr="002B2A5B">
              <w:rPr>
                <w:rFonts w:ascii="Arial" w:hAnsi="Arial" w:cs="Arial"/>
                <w:b/>
                <w:sz w:val="20"/>
                <w:szCs w:val="20"/>
              </w:rPr>
              <w:t>Any Grade</w:t>
            </w:r>
          </w:p>
        </w:tc>
        <w:tc>
          <w:tcPr>
            <w:tcW w:w="1440" w:type="dxa"/>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w:hAnsi="Arial" w:cs="Arial"/>
                <w:b/>
                <w:sz w:val="20"/>
                <w:szCs w:val="20"/>
              </w:rPr>
            </w:pPr>
            <w:r w:rsidRPr="002B2A5B">
              <w:rPr>
                <w:rFonts w:ascii="Arial" w:hAnsi="Arial" w:cs="Arial"/>
                <w:b/>
                <w:sz w:val="20"/>
                <w:szCs w:val="20"/>
              </w:rPr>
              <w:t>Grade 3</w:t>
            </w:r>
          </w:p>
        </w:tc>
        <w:tc>
          <w:tcPr>
            <w:tcW w:w="1440" w:type="dxa"/>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w:hAnsi="Arial" w:cs="Arial"/>
                <w:b/>
                <w:sz w:val="20"/>
                <w:szCs w:val="20"/>
              </w:rPr>
            </w:pPr>
            <w:r w:rsidRPr="002B2A5B">
              <w:rPr>
                <w:rFonts w:ascii="Arial" w:hAnsi="Arial" w:cs="Arial"/>
                <w:b/>
                <w:sz w:val="20"/>
                <w:szCs w:val="20"/>
              </w:rPr>
              <w:t>Grade 4</w:t>
            </w:r>
          </w:p>
        </w:tc>
        <w:tc>
          <w:tcPr>
            <w:tcW w:w="1440" w:type="dxa"/>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Bold" w:hAnsi="Arial Bold" w:cs="Arial"/>
                <w:b/>
                <w:sz w:val="20"/>
                <w:szCs w:val="20"/>
                <w:vertAlign w:val="superscript"/>
              </w:rPr>
            </w:pPr>
            <w:r w:rsidRPr="002B2A5B">
              <w:rPr>
                <w:rFonts w:ascii="Arial" w:hAnsi="Arial" w:cs="Arial"/>
                <w:b/>
                <w:sz w:val="20"/>
                <w:szCs w:val="20"/>
              </w:rPr>
              <w:t>Any Grade</w:t>
            </w:r>
          </w:p>
        </w:tc>
        <w:tc>
          <w:tcPr>
            <w:tcW w:w="1440" w:type="dxa"/>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w:hAnsi="Arial" w:cs="Arial"/>
                <w:b/>
                <w:sz w:val="20"/>
                <w:szCs w:val="20"/>
              </w:rPr>
            </w:pPr>
            <w:r w:rsidRPr="002B2A5B">
              <w:rPr>
                <w:rFonts w:ascii="Arial" w:hAnsi="Arial" w:cs="Arial"/>
                <w:b/>
                <w:sz w:val="20"/>
                <w:szCs w:val="20"/>
              </w:rPr>
              <w:t>Grade 3</w:t>
            </w:r>
          </w:p>
        </w:tc>
        <w:tc>
          <w:tcPr>
            <w:tcW w:w="1440" w:type="dxa"/>
          </w:tcPr>
          <w:p w:rsidR="009306E4" w:rsidRPr="002B2A5B" w:rsidRDefault="009306E4" w:rsidP="009306E4">
            <w:pPr>
              <w:tabs>
                <w:tab w:val="left" w:pos="274"/>
                <w:tab w:val="left" w:pos="547"/>
                <w:tab w:val="left" w:pos="821"/>
                <w:tab w:val="left" w:pos="1094"/>
              </w:tabs>
              <w:spacing w:before="120" w:after="120" w:line="300" w:lineRule="atLeast"/>
              <w:jc w:val="center"/>
              <w:rPr>
                <w:rFonts w:ascii="Arial" w:hAnsi="Arial" w:cs="Arial"/>
                <w:b/>
                <w:sz w:val="20"/>
                <w:szCs w:val="20"/>
              </w:rPr>
            </w:pPr>
            <w:r w:rsidRPr="002B2A5B">
              <w:rPr>
                <w:rFonts w:ascii="Arial" w:hAnsi="Arial" w:cs="Arial"/>
                <w:b/>
                <w:sz w:val="20"/>
                <w:szCs w:val="20"/>
              </w:rPr>
              <w:t>Grade 4</w:t>
            </w:r>
          </w:p>
        </w:tc>
      </w:tr>
      <w:tr w:rsidR="007C25C6" w:rsidRPr="002B2A5B" w:rsidTr="009306E4">
        <w:tc>
          <w:tcPr>
            <w:tcW w:w="2325" w:type="dxa"/>
          </w:tcPr>
          <w:p w:rsidR="007C25C6" w:rsidRPr="002B2A5B" w:rsidRDefault="00995F2E" w:rsidP="009306E4">
            <w:pPr>
              <w:tabs>
                <w:tab w:val="left" w:pos="274"/>
                <w:tab w:val="left" w:pos="547"/>
                <w:tab w:val="left" w:pos="821"/>
                <w:tab w:val="left" w:pos="1094"/>
              </w:tabs>
              <w:spacing w:before="120" w:after="120" w:line="300" w:lineRule="atLeast"/>
              <w:jc w:val="both"/>
              <w:rPr>
                <w:rFonts w:ascii="Arial" w:hAnsi="Arial" w:cs="Arial"/>
                <w:b/>
                <w:sz w:val="20"/>
                <w:szCs w:val="20"/>
              </w:rPr>
            </w:pPr>
            <w:r w:rsidRPr="002B2A5B">
              <w:rPr>
                <w:rFonts w:ascii="Arial" w:hAnsi="Arial" w:cs="Arial"/>
                <w:b/>
                <w:sz w:val="20"/>
                <w:szCs w:val="20"/>
              </w:rPr>
              <w:t>Any AE</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b/>
                <w:sz w:val="20"/>
                <w:szCs w:val="20"/>
              </w:rPr>
              <w:t>219 (91)</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84 (35)</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17 (7)</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b/>
                <w:sz w:val="20"/>
                <w:szCs w:val="20"/>
              </w:rPr>
              <w:t>78 (63)</w:t>
            </w:r>
          </w:p>
        </w:tc>
        <w:tc>
          <w:tcPr>
            <w:tcW w:w="1440" w:type="dxa"/>
          </w:tcPr>
          <w:p w:rsidR="007C25C6" w:rsidRPr="002B2A5B" w:rsidRDefault="0035571B"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6 (5)</w:t>
            </w:r>
          </w:p>
        </w:tc>
        <w:tc>
          <w:tcPr>
            <w:tcW w:w="1440" w:type="dxa"/>
          </w:tcPr>
          <w:p w:rsidR="007C25C6" w:rsidRPr="002B2A5B" w:rsidRDefault="0035571B"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 (2)</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Diarrhoea</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130 (54)</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11 (5)</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14 (11)</w:t>
            </w:r>
          </w:p>
        </w:tc>
        <w:tc>
          <w:tcPr>
            <w:tcW w:w="1440" w:type="dxa"/>
          </w:tcPr>
          <w:p w:rsidR="007C25C6" w:rsidRPr="002B2A5B" w:rsidRDefault="0035571B"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35571B"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Fatigue</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126 (53)</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23 (10)</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33 (27)</w:t>
            </w:r>
          </w:p>
        </w:tc>
        <w:tc>
          <w:tcPr>
            <w:tcW w:w="1440" w:type="dxa"/>
          </w:tcPr>
          <w:p w:rsidR="007C25C6" w:rsidRPr="002B2A5B" w:rsidRDefault="0035571B"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 (2)</w:t>
            </w:r>
          </w:p>
        </w:tc>
        <w:tc>
          <w:tcPr>
            <w:tcW w:w="1440" w:type="dxa"/>
          </w:tcPr>
          <w:p w:rsidR="007C25C6" w:rsidRPr="002B2A5B" w:rsidRDefault="0035571B"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Nausea</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116 (48)</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7(3)</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19 (15)</w:t>
            </w:r>
          </w:p>
        </w:tc>
        <w:tc>
          <w:tcPr>
            <w:tcW w:w="1440" w:type="dxa"/>
          </w:tcPr>
          <w:p w:rsidR="007C25C6" w:rsidRPr="002B2A5B" w:rsidRDefault="0035571B"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 (2)</w:t>
            </w:r>
          </w:p>
        </w:tc>
        <w:tc>
          <w:tcPr>
            <w:tcW w:w="1440" w:type="dxa"/>
          </w:tcPr>
          <w:p w:rsidR="007C25C6" w:rsidRPr="002B2A5B" w:rsidRDefault="0035571B"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Hypertension</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94 (39)</w:t>
            </w:r>
          </w:p>
        </w:tc>
        <w:tc>
          <w:tcPr>
            <w:tcW w:w="1440" w:type="dxa"/>
          </w:tcPr>
          <w:p w:rsidR="007C25C6" w:rsidRPr="002B2A5B" w:rsidRDefault="002C172F"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16 (7)</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5 (4)</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Hair colour changes</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93 (39)</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 (2)</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Decreased appetite</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82 (34)</w:t>
            </w:r>
          </w:p>
        </w:tc>
        <w:tc>
          <w:tcPr>
            <w:tcW w:w="1440" w:type="dxa"/>
          </w:tcPr>
          <w:p w:rsidR="007C25C6" w:rsidRPr="002B2A5B" w:rsidRDefault="002C172F"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11 (5)</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10 (8)</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Weight decreased</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72 (30)</w:t>
            </w:r>
          </w:p>
        </w:tc>
        <w:tc>
          <w:tcPr>
            <w:tcW w:w="1440" w:type="dxa"/>
          </w:tcPr>
          <w:p w:rsidR="007C25C6" w:rsidRPr="002B2A5B" w:rsidRDefault="002C172F"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5 (2)</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8 (7)</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Dysgeusia</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65 (27)</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4 (3)</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Vomiting</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61 (25)</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7(3)</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8 (7)</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Headache</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38 (16)</w:t>
            </w:r>
          </w:p>
        </w:tc>
        <w:tc>
          <w:tcPr>
            <w:tcW w:w="1440" w:type="dxa"/>
          </w:tcPr>
          <w:p w:rsidR="007C25C6" w:rsidRPr="002B2A5B" w:rsidRDefault="002C172F"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5 (4)</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Exfoliative rash</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35 (15)</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 (&lt;1)</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9 (7)</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Gastrointestinal pain</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34 (14)</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3(1)</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4 (3)</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Ear, nose and throat examination abnormal</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28 (12)</w:t>
            </w:r>
          </w:p>
        </w:tc>
        <w:tc>
          <w:tcPr>
            <w:tcW w:w="1440" w:type="dxa"/>
          </w:tcPr>
          <w:p w:rsidR="007C25C6" w:rsidRPr="002B2A5B" w:rsidRDefault="002C172F"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4 (2)</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Myalgia</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27 (11)</w:t>
            </w:r>
          </w:p>
        </w:tc>
        <w:tc>
          <w:tcPr>
            <w:tcW w:w="1440" w:type="dxa"/>
          </w:tcPr>
          <w:p w:rsidR="007C25C6" w:rsidRPr="002B2A5B" w:rsidRDefault="002C172F"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 (&lt;1)</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 (2)</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Skin hypopigmentation</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27 (11)</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Skin disorder</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26 (11)</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4 (2)</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Stomatitis</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26 (11)</w:t>
            </w:r>
          </w:p>
        </w:tc>
        <w:tc>
          <w:tcPr>
            <w:tcW w:w="1440" w:type="dxa"/>
          </w:tcPr>
          <w:p w:rsidR="007C25C6" w:rsidRPr="002B2A5B" w:rsidRDefault="00AE5F8D"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4 (3)</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AE5F8D"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Alopecia</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25 (10)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r w:rsidR="007C25C6" w:rsidRPr="002B2A5B" w:rsidTr="009306E4">
        <w:tc>
          <w:tcPr>
            <w:tcW w:w="2325" w:type="dxa"/>
          </w:tcPr>
          <w:p w:rsidR="007C25C6" w:rsidRPr="002B2A5B" w:rsidRDefault="0070259A" w:rsidP="009306E4">
            <w:pPr>
              <w:tabs>
                <w:tab w:val="left" w:pos="274"/>
                <w:tab w:val="left" w:pos="547"/>
                <w:tab w:val="left" w:pos="821"/>
                <w:tab w:val="left" w:pos="1094"/>
              </w:tabs>
              <w:spacing w:before="120" w:after="120" w:line="300" w:lineRule="atLeast"/>
              <w:jc w:val="both"/>
              <w:rPr>
                <w:rFonts w:ascii="Arial" w:hAnsi="Arial" w:cs="Arial"/>
                <w:sz w:val="20"/>
                <w:szCs w:val="20"/>
              </w:rPr>
            </w:pPr>
            <w:r w:rsidRPr="002B2A5B">
              <w:rPr>
                <w:rFonts w:ascii="Arial" w:hAnsi="Arial" w:cs="Arial"/>
                <w:sz w:val="20"/>
                <w:szCs w:val="20"/>
              </w:rPr>
              <w:t>Musculoskeletal pain</w:t>
            </w:r>
          </w:p>
        </w:tc>
        <w:tc>
          <w:tcPr>
            <w:tcW w:w="1455"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23 (10)</w:t>
            </w:r>
          </w:p>
        </w:tc>
        <w:tc>
          <w:tcPr>
            <w:tcW w:w="1440" w:type="dxa"/>
          </w:tcPr>
          <w:p w:rsidR="007C25C6" w:rsidRPr="002B2A5B" w:rsidRDefault="002C172F" w:rsidP="00AB722C">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1 (&lt;1)</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70259A"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3 (2)</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c>
          <w:tcPr>
            <w:tcW w:w="1440" w:type="dxa"/>
          </w:tcPr>
          <w:p w:rsidR="007C25C6" w:rsidRPr="002B2A5B" w:rsidRDefault="002C172F" w:rsidP="009306E4">
            <w:pPr>
              <w:tabs>
                <w:tab w:val="left" w:pos="274"/>
                <w:tab w:val="left" w:pos="547"/>
                <w:tab w:val="left" w:pos="821"/>
                <w:tab w:val="left" w:pos="1094"/>
              </w:tabs>
              <w:spacing w:before="120" w:after="120" w:line="300" w:lineRule="atLeast"/>
              <w:jc w:val="center"/>
              <w:rPr>
                <w:rFonts w:ascii="Arial" w:hAnsi="Arial" w:cs="Arial"/>
                <w:sz w:val="20"/>
                <w:szCs w:val="20"/>
              </w:rPr>
            </w:pPr>
            <w:r w:rsidRPr="002B2A5B">
              <w:rPr>
                <w:rFonts w:ascii="Arial" w:hAnsi="Arial" w:cs="Arial"/>
                <w:sz w:val="20"/>
                <w:szCs w:val="20"/>
              </w:rPr>
              <w:t>0</w:t>
            </w:r>
          </w:p>
        </w:tc>
      </w:tr>
    </w:tbl>
    <w:p w:rsidR="009306E4" w:rsidRPr="002B2A5B" w:rsidRDefault="009306E4" w:rsidP="009306E4">
      <w:pPr>
        <w:ind w:left="1440" w:hanging="1440"/>
        <w:jc w:val="both"/>
        <w:rPr>
          <w:rFonts w:ascii="Arial" w:hAnsi="Arial" w:cs="Arial"/>
          <w:b/>
          <w:sz w:val="22"/>
          <w:szCs w:val="22"/>
        </w:rPr>
      </w:pPr>
    </w:p>
    <w:p w:rsidR="00683316" w:rsidRDefault="00683316" w:rsidP="00882CF8">
      <w:pPr>
        <w:jc w:val="both"/>
        <w:rPr>
          <w:rFonts w:ascii="Arial" w:hAnsi="Arial" w:cs="Arial"/>
          <w:sz w:val="22"/>
          <w:szCs w:val="22"/>
        </w:rPr>
      </w:pPr>
    </w:p>
    <w:p w:rsidR="00882CF8" w:rsidRDefault="00882CF8" w:rsidP="00882CF8">
      <w:pPr>
        <w:jc w:val="both"/>
        <w:rPr>
          <w:rFonts w:ascii="Arial" w:hAnsi="Arial" w:cs="Arial"/>
          <w:sz w:val="22"/>
          <w:szCs w:val="22"/>
        </w:rPr>
      </w:pPr>
      <w:r w:rsidRPr="002B2A5B">
        <w:rPr>
          <w:rFonts w:ascii="Arial" w:hAnsi="Arial" w:cs="Arial"/>
          <w:sz w:val="22"/>
          <w:szCs w:val="22"/>
        </w:rPr>
        <w:t xml:space="preserve">Table </w:t>
      </w:r>
      <w:r w:rsidR="00483FE4" w:rsidRPr="002B2A5B">
        <w:rPr>
          <w:rFonts w:ascii="Arial" w:hAnsi="Arial" w:cs="Arial"/>
          <w:sz w:val="22"/>
          <w:szCs w:val="22"/>
        </w:rPr>
        <w:t>6</w:t>
      </w:r>
      <w:r w:rsidR="00E405B8" w:rsidRPr="002B2A5B">
        <w:rPr>
          <w:rFonts w:ascii="Arial" w:hAnsi="Arial" w:cs="Arial"/>
          <w:sz w:val="22"/>
          <w:szCs w:val="22"/>
        </w:rPr>
        <w:t xml:space="preserve"> </w:t>
      </w:r>
      <w:r w:rsidRPr="002B2A5B">
        <w:rPr>
          <w:rFonts w:ascii="Arial" w:hAnsi="Arial" w:cs="Arial"/>
          <w:sz w:val="22"/>
          <w:szCs w:val="22"/>
        </w:rPr>
        <w:t>presents laboratory</w:t>
      </w:r>
      <w:r w:rsidRPr="00882CF8">
        <w:rPr>
          <w:rFonts w:ascii="Arial" w:hAnsi="Arial" w:cs="Arial"/>
          <w:sz w:val="22"/>
          <w:szCs w:val="22"/>
        </w:rPr>
        <w:t xml:space="preserve"> abnormalities occurring in ≥ 15 % of patients who received </w:t>
      </w:r>
      <w:r w:rsidR="002F1277">
        <w:rPr>
          <w:rFonts w:ascii="Arial" w:hAnsi="Arial" w:cs="Arial"/>
          <w:sz w:val="22"/>
          <w:szCs w:val="22"/>
        </w:rPr>
        <w:t>VOTRIENT</w:t>
      </w:r>
      <w:r w:rsidR="00DB77C7">
        <w:rPr>
          <w:rFonts w:ascii="Arial" w:hAnsi="Arial" w:cs="Arial"/>
          <w:sz w:val="22"/>
          <w:szCs w:val="22"/>
        </w:rPr>
        <w:t xml:space="preserve"> in the pivotal RCC studies</w:t>
      </w:r>
      <w:r w:rsidRPr="00882CF8">
        <w:rPr>
          <w:rFonts w:ascii="Arial" w:hAnsi="Arial" w:cs="Arial"/>
          <w:sz w:val="22"/>
          <w:szCs w:val="22"/>
        </w:rPr>
        <w:t>.</w:t>
      </w:r>
      <w:r w:rsidR="00305E34">
        <w:rPr>
          <w:rFonts w:ascii="Arial" w:hAnsi="Arial" w:cs="Arial"/>
          <w:sz w:val="22"/>
          <w:szCs w:val="22"/>
        </w:rPr>
        <w:t xml:space="preserve">  Grades are based on the NCI CTCAE.</w:t>
      </w:r>
    </w:p>
    <w:p w:rsidR="00683316" w:rsidRDefault="00683316">
      <w:pPr>
        <w:rPr>
          <w:rFonts w:ascii="Arial" w:hAnsi="Arial" w:cs="Arial"/>
          <w:sz w:val="22"/>
          <w:szCs w:val="22"/>
        </w:rPr>
      </w:pPr>
      <w:r>
        <w:rPr>
          <w:rFonts w:ascii="Arial" w:hAnsi="Arial" w:cs="Arial"/>
          <w:sz w:val="22"/>
          <w:szCs w:val="22"/>
        </w:rPr>
        <w:br w:type="page"/>
      </w:r>
    </w:p>
    <w:p w:rsidR="00882CF8" w:rsidRPr="00882CF8" w:rsidRDefault="00882CF8" w:rsidP="00882CF8">
      <w:pPr>
        <w:spacing w:before="120" w:after="120"/>
        <w:ind w:left="900" w:hanging="900"/>
        <w:rPr>
          <w:rFonts w:ascii="Arial" w:hAnsi="Arial" w:cs="Arial"/>
          <w:b/>
          <w:sz w:val="22"/>
          <w:szCs w:val="22"/>
        </w:rPr>
      </w:pPr>
      <w:r w:rsidRPr="00882CF8">
        <w:rPr>
          <w:rFonts w:ascii="Arial" w:hAnsi="Arial" w:cs="Arial"/>
          <w:b/>
          <w:sz w:val="22"/>
          <w:szCs w:val="22"/>
        </w:rPr>
        <w:t xml:space="preserve">Table </w:t>
      </w:r>
      <w:r w:rsidR="00483FE4">
        <w:rPr>
          <w:rFonts w:ascii="Arial" w:hAnsi="Arial" w:cs="Arial"/>
          <w:b/>
          <w:sz w:val="22"/>
          <w:szCs w:val="22"/>
        </w:rPr>
        <w:t>6</w:t>
      </w:r>
      <w:r>
        <w:rPr>
          <w:rFonts w:ascii="Arial" w:hAnsi="Arial" w:cs="Arial"/>
          <w:b/>
          <w:sz w:val="22"/>
          <w:szCs w:val="22"/>
        </w:rPr>
        <w:t>.</w:t>
      </w:r>
      <w:r>
        <w:rPr>
          <w:rFonts w:ascii="Arial" w:hAnsi="Arial" w:cs="Arial"/>
          <w:b/>
          <w:sz w:val="22"/>
          <w:szCs w:val="22"/>
        </w:rPr>
        <w:tab/>
      </w:r>
      <w:r w:rsidRPr="00882CF8">
        <w:rPr>
          <w:rFonts w:ascii="Arial" w:hAnsi="Arial" w:cs="Arial"/>
          <w:b/>
          <w:sz w:val="22"/>
          <w:szCs w:val="22"/>
        </w:rPr>
        <w:t xml:space="preserve">Selected Laboratory Abnormalities in ≥ 15 % of Patients who Received </w:t>
      </w:r>
      <w:r w:rsidR="002F1277">
        <w:rPr>
          <w:rFonts w:ascii="Arial" w:hAnsi="Arial" w:cs="Arial"/>
          <w:b/>
          <w:sz w:val="22"/>
          <w:szCs w:val="22"/>
        </w:rPr>
        <w:t>VOTRIENT</w:t>
      </w:r>
      <w:r w:rsidRPr="00882CF8">
        <w:rPr>
          <w:rFonts w:ascii="Arial" w:hAnsi="Arial" w:cs="Arial"/>
          <w:b/>
          <w:sz w:val="22"/>
          <w:szCs w:val="22"/>
        </w:rPr>
        <w:t xml:space="preserve"> and More Commonly than Placebo Arm</w:t>
      </w:r>
      <w:r w:rsidR="00DB77C7">
        <w:rPr>
          <w:rFonts w:ascii="Arial" w:hAnsi="Arial" w:cs="Arial"/>
          <w:b/>
          <w:sz w:val="22"/>
          <w:szCs w:val="22"/>
        </w:rPr>
        <w:t xml:space="preserve"> (VEG105192)</w:t>
      </w:r>
    </w:p>
    <w:tbl>
      <w:tblPr>
        <w:tblW w:w="5143"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95"/>
        <w:gridCol w:w="1225"/>
        <w:gridCol w:w="1133"/>
        <w:gridCol w:w="1170"/>
        <w:gridCol w:w="1137"/>
        <w:gridCol w:w="1095"/>
        <w:gridCol w:w="1095"/>
      </w:tblGrid>
      <w:tr w:rsidR="00882CF8" w:rsidRPr="002C0225" w:rsidTr="00683316">
        <w:trPr>
          <w:tblHeader/>
        </w:trPr>
        <w:tc>
          <w:tcPr>
            <w:tcW w:w="1520" w:type="pct"/>
            <w:tcBorders>
              <w:bottom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rPr>
                <w:rFonts w:ascii="Arial" w:hAnsi="Arial" w:cs="Arial"/>
                <w:b/>
                <w:color w:val="000000"/>
                <w:sz w:val="20"/>
                <w:szCs w:val="20"/>
              </w:rPr>
            </w:pPr>
          </w:p>
        </w:tc>
        <w:tc>
          <w:tcPr>
            <w:tcW w:w="1791" w:type="pct"/>
            <w:gridSpan w:val="3"/>
            <w:tcBorders>
              <w:bottom w:val="nil"/>
            </w:tcBorders>
            <w:shd w:val="clear" w:color="auto" w:fill="auto"/>
          </w:tcPr>
          <w:p w:rsidR="00882CF8" w:rsidRPr="002C0225" w:rsidRDefault="002F1277"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VOTRIENT</w:t>
            </w:r>
          </w:p>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(N =</w:t>
            </w:r>
            <w:r w:rsidRPr="002C0225">
              <w:rPr>
                <w:rFonts w:ascii="Arial" w:hAnsi="Arial" w:cs="Arial"/>
                <w:b/>
                <w:sz w:val="20"/>
                <w:szCs w:val="20"/>
              </w:rPr>
              <w:t> 290</w:t>
            </w:r>
            <w:r w:rsidRPr="002C0225">
              <w:rPr>
                <w:rFonts w:ascii="Arial" w:hAnsi="Arial" w:cs="Arial"/>
                <w:b/>
                <w:color w:val="000000"/>
                <w:sz w:val="20"/>
                <w:szCs w:val="20"/>
              </w:rPr>
              <w:t>)</w:t>
            </w:r>
          </w:p>
        </w:tc>
        <w:tc>
          <w:tcPr>
            <w:tcW w:w="1690" w:type="pct"/>
            <w:gridSpan w:val="3"/>
            <w:tcBorders>
              <w:bottom w:val="nil"/>
            </w:tcBorders>
            <w:shd w:val="clear" w:color="auto" w:fill="auto"/>
            <w:vAlign w:val="bottom"/>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Placebo</w:t>
            </w:r>
          </w:p>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vertAlign w:val="subscript"/>
              </w:rPr>
            </w:pPr>
            <w:r w:rsidRPr="002C0225">
              <w:rPr>
                <w:rFonts w:ascii="Arial" w:hAnsi="Arial" w:cs="Arial"/>
                <w:b/>
                <w:color w:val="000000"/>
                <w:sz w:val="20"/>
                <w:szCs w:val="20"/>
              </w:rPr>
              <w:t>(N = 145)</w:t>
            </w:r>
          </w:p>
        </w:tc>
      </w:tr>
      <w:tr w:rsidR="00882CF8" w:rsidRPr="002C0225" w:rsidTr="00683316">
        <w:trPr>
          <w:tblHeader/>
        </w:trPr>
        <w:tc>
          <w:tcPr>
            <w:tcW w:w="1520" w:type="pct"/>
            <w:tcBorders>
              <w:top w:val="nil"/>
              <w:bottom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rPr>
                <w:rFonts w:ascii="Arial" w:hAnsi="Arial" w:cs="Arial"/>
                <w:color w:val="000000"/>
                <w:sz w:val="20"/>
                <w:szCs w:val="20"/>
              </w:rPr>
            </w:pPr>
          </w:p>
        </w:tc>
        <w:tc>
          <w:tcPr>
            <w:tcW w:w="622" w:type="pct"/>
            <w:tcBorders>
              <w:bottom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All Grades</w:t>
            </w:r>
          </w:p>
        </w:tc>
        <w:tc>
          <w:tcPr>
            <w:tcW w:w="575" w:type="pct"/>
            <w:tcBorders>
              <w:bottom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Grade 3</w:t>
            </w:r>
          </w:p>
        </w:tc>
        <w:tc>
          <w:tcPr>
            <w:tcW w:w="593" w:type="pct"/>
            <w:tcBorders>
              <w:bottom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Grade 4</w:t>
            </w:r>
          </w:p>
        </w:tc>
        <w:tc>
          <w:tcPr>
            <w:tcW w:w="577" w:type="pct"/>
            <w:tcBorders>
              <w:bottom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highlight w:val="yellow"/>
              </w:rPr>
            </w:pPr>
            <w:r w:rsidRPr="002C0225">
              <w:rPr>
                <w:rFonts w:ascii="Arial" w:hAnsi="Arial" w:cs="Arial"/>
                <w:b/>
                <w:color w:val="000000"/>
                <w:sz w:val="20"/>
                <w:szCs w:val="20"/>
              </w:rPr>
              <w:t>All Grades</w:t>
            </w:r>
          </w:p>
        </w:tc>
        <w:tc>
          <w:tcPr>
            <w:tcW w:w="556" w:type="pct"/>
            <w:tcBorders>
              <w:bottom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highlight w:val="yellow"/>
              </w:rPr>
            </w:pPr>
            <w:r w:rsidRPr="002C0225">
              <w:rPr>
                <w:rFonts w:ascii="Arial" w:hAnsi="Arial" w:cs="Arial"/>
                <w:b/>
                <w:color w:val="000000"/>
                <w:sz w:val="20"/>
                <w:szCs w:val="20"/>
              </w:rPr>
              <w:t>Grade 3</w:t>
            </w:r>
          </w:p>
        </w:tc>
        <w:tc>
          <w:tcPr>
            <w:tcW w:w="556" w:type="pct"/>
            <w:tcBorders>
              <w:bottom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Grade 4</w:t>
            </w:r>
          </w:p>
        </w:tc>
      </w:tr>
      <w:tr w:rsidR="00882CF8" w:rsidRPr="002C0225" w:rsidTr="00683316">
        <w:trPr>
          <w:tblHeader/>
        </w:trPr>
        <w:tc>
          <w:tcPr>
            <w:tcW w:w="1520" w:type="pct"/>
            <w:tcBorders>
              <w:top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rPr>
                <w:rFonts w:ascii="Arial" w:hAnsi="Arial" w:cs="Arial"/>
                <w:b/>
                <w:color w:val="000000"/>
                <w:sz w:val="20"/>
                <w:szCs w:val="20"/>
              </w:rPr>
            </w:pPr>
            <w:r w:rsidRPr="002C0225">
              <w:rPr>
                <w:rFonts w:ascii="Arial" w:hAnsi="Arial" w:cs="Arial"/>
                <w:b/>
                <w:color w:val="000000"/>
                <w:sz w:val="20"/>
                <w:szCs w:val="20"/>
              </w:rPr>
              <w:t>Parameters</w:t>
            </w:r>
          </w:p>
        </w:tc>
        <w:tc>
          <w:tcPr>
            <w:tcW w:w="622" w:type="pct"/>
            <w:tcBorders>
              <w:top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w:t>
            </w:r>
          </w:p>
        </w:tc>
        <w:tc>
          <w:tcPr>
            <w:tcW w:w="575" w:type="pct"/>
            <w:tcBorders>
              <w:top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w:t>
            </w:r>
          </w:p>
        </w:tc>
        <w:tc>
          <w:tcPr>
            <w:tcW w:w="593" w:type="pct"/>
            <w:tcBorders>
              <w:top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w:t>
            </w:r>
          </w:p>
        </w:tc>
        <w:tc>
          <w:tcPr>
            <w:tcW w:w="577" w:type="pct"/>
            <w:tcBorders>
              <w:top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w:t>
            </w:r>
          </w:p>
        </w:tc>
        <w:tc>
          <w:tcPr>
            <w:tcW w:w="556" w:type="pct"/>
            <w:tcBorders>
              <w:top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w:t>
            </w:r>
          </w:p>
        </w:tc>
        <w:tc>
          <w:tcPr>
            <w:tcW w:w="556" w:type="pct"/>
            <w:tcBorders>
              <w:top w:val="nil"/>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b/>
                <w:color w:val="000000"/>
                <w:sz w:val="20"/>
                <w:szCs w:val="20"/>
              </w:rPr>
            </w:pPr>
            <w:r w:rsidRPr="002C0225">
              <w:rPr>
                <w:rFonts w:ascii="Arial" w:hAnsi="Arial" w:cs="Arial"/>
                <w:b/>
                <w:color w:val="000000"/>
                <w:sz w:val="20"/>
                <w:szCs w:val="20"/>
              </w:rPr>
              <w:t>%</w:t>
            </w:r>
          </w:p>
        </w:tc>
      </w:tr>
      <w:tr w:rsidR="00882CF8" w:rsidRPr="002C0225" w:rsidTr="002C0225">
        <w:tc>
          <w:tcPr>
            <w:tcW w:w="1520"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rPr>
                <w:rFonts w:ascii="Arial" w:hAnsi="Arial" w:cs="Arial"/>
                <w:b/>
                <w:bCs/>
                <w:color w:val="000000"/>
                <w:sz w:val="20"/>
                <w:szCs w:val="20"/>
              </w:rPr>
            </w:pPr>
            <w:r w:rsidRPr="002C0225">
              <w:rPr>
                <w:rFonts w:ascii="Arial" w:hAnsi="Arial" w:cs="Arial"/>
                <w:b/>
                <w:bCs/>
                <w:color w:val="000000"/>
                <w:sz w:val="20"/>
                <w:szCs w:val="20"/>
              </w:rPr>
              <w:t>Haematologic</w:t>
            </w:r>
          </w:p>
        </w:tc>
        <w:tc>
          <w:tcPr>
            <w:tcW w:w="622"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color w:val="000000"/>
                <w:sz w:val="20"/>
                <w:szCs w:val="20"/>
              </w:rPr>
            </w:pPr>
          </w:p>
        </w:tc>
        <w:tc>
          <w:tcPr>
            <w:tcW w:w="575"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color w:val="000000"/>
                <w:sz w:val="20"/>
                <w:szCs w:val="20"/>
              </w:rPr>
            </w:pPr>
          </w:p>
        </w:tc>
        <w:tc>
          <w:tcPr>
            <w:tcW w:w="593"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color w:val="000000"/>
                <w:sz w:val="20"/>
                <w:szCs w:val="20"/>
              </w:rPr>
            </w:pPr>
          </w:p>
        </w:tc>
        <w:tc>
          <w:tcPr>
            <w:tcW w:w="577"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color w:val="000000"/>
                <w:sz w:val="20"/>
                <w:szCs w:val="20"/>
              </w:rPr>
            </w:pPr>
          </w:p>
        </w:tc>
        <w:tc>
          <w:tcPr>
            <w:tcW w:w="556"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color w:val="000000"/>
                <w:sz w:val="20"/>
                <w:szCs w:val="20"/>
              </w:rPr>
            </w:pPr>
          </w:p>
        </w:tc>
        <w:tc>
          <w:tcPr>
            <w:tcW w:w="556"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240" w:lineRule="atLeast"/>
              <w:ind w:left="144"/>
              <w:jc w:val="center"/>
              <w:rPr>
                <w:rFonts w:ascii="Arial" w:hAnsi="Arial" w:cs="Arial"/>
                <w:color w:val="000000"/>
                <w:sz w:val="20"/>
                <w:szCs w:val="20"/>
              </w:rPr>
            </w:pP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2"/>
              <w:rPr>
                <w:rFonts w:ascii="Arial" w:hAnsi="Arial" w:cs="Arial"/>
                <w:color w:val="000000"/>
                <w:sz w:val="20"/>
                <w:szCs w:val="20"/>
              </w:rPr>
            </w:pPr>
            <w:r w:rsidRPr="002C0225">
              <w:rPr>
                <w:rFonts w:ascii="Arial" w:hAnsi="Arial" w:cs="Arial"/>
                <w:color w:val="000000"/>
                <w:sz w:val="20"/>
                <w:szCs w:val="20"/>
              </w:rPr>
              <w:tab/>
              <w:t>Leukopenia</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37</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6</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Neutropenia</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34</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6</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Thrombocytopenia</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32</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5</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r>
      <w:tr w:rsidR="00882CF8" w:rsidRPr="002C0225" w:rsidTr="002C0225">
        <w:trPr>
          <w:trHeight w:val="188"/>
        </w:trPr>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Lymphocytopenia</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31</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4</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24</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b/>
                <w:bCs/>
                <w:color w:val="000000"/>
                <w:sz w:val="20"/>
                <w:szCs w:val="20"/>
              </w:rPr>
            </w:pPr>
            <w:r w:rsidRPr="002C0225">
              <w:rPr>
                <w:rFonts w:ascii="Arial" w:hAnsi="Arial" w:cs="Arial"/>
                <w:b/>
                <w:bCs/>
                <w:color w:val="000000"/>
                <w:sz w:val="20"/>
                <w:szCs w:val="20"/>
              </w:rPr>
              <w:t>Chemistry</w:t>
            </w:r>
          </w:p>
        </w:tc>
        <w:tc>
          <w:tcPr>
            <w:tcW w:w="622"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p>
        </w:tc>
        <w:tc>
          <w:tcPr>
            <w:tcW w:w="575"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p>
        </w:tc>
        <w:tc>
          <w:tcPr>
            <w:tcW w:w="593"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p>
        </w:tc>
        <w:tc>
          <w:tcPr>
            <w:tcW w:w="577"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p>
        </w:tc>
        <w:tc>
          <w:tcPr>
            <w:tcW w:w="556"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p>
        </w:tc>
        <w:tc>
          <w:tcPr>
            <w:tcW w:w="556"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r>
            <w:smartTag w:uri="urn:schemas-microsoft-com:office:smarttags" w:element="stockticker">
              <w:r w:rsidRPr="002C0225">
                <w:rPr>
                  <w:rFonts w:ascii="Arial" w:hAnsi="Arial" w:cs="Arial"/>
                  <w:color w:val="000000"/>
                  <w:sz w:val="20"/>
                  <w:szCs w:val="20"/>
                </w:rPr>
                <w:t>ALT</w:t>
              </w:r>
            </w:smartTag>
            <w:r w:rsidRPr="002C0225">
              <w:rPr>
                <w:rFonts w:ascii="Arial" w:hAnsi="Arial" w:cs="Arial"/>
                <w:color w:val="000000"/>
                <w:sz w:val="20"/>
                <w:szCs w:val="20"/>
              </w:rPr>
              <w:t xml:space="preserve"> increased</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53</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10</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22</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AST increased</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53</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7</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19</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Glucose increased</w:t>
            </w:r>
          </w:p>
        </w:tc>
        <w:tc>
          <w:tcPr>
            <w:tcW w:w="622"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41</w:t>
            </w:r>
          </w:p>
        </w:tc>
        <w:tc>
          <w:tcPr>
            <w:tcW w:w="575"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93"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77"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33</w:t>
            </w:r>
          </w:p>
        </w:tc>
        <w:tc>
          <w:tcPr>
            <w:tcW w:w="556"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56"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81"/>
              <w:rPr>
                <w:rFonts w:ascii="Arial" w:hAnsi="Arial" w:cs="Arial"/>
                <w:color w:val="000000"/>
                <w:sz w:val="20"/>
                <w:szCs w:val="20"/>
              </w:rPr>
            </w:pPr>
            <w:r w:rsidRPr="002C0225">
              <w:rPr>
                <w:rFonts w:ascii="Arial" w:hAnsi="Arial" w:cs="Arial"/>
                <w:color w:val="000000"/>
                <w:sz w:val="20"/>
                <w:szCs w:val="20"/>
              </w:rPr>
              <w:tab/>
              <w:t>Total Bilirubin increased</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36</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10</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81"/>
              <w:rPr>
                <w:rFonts w:ascii="Arial" w:hAnsi="Arial" w:cs="Arial"/>
                <w:color w:val="000000"/>
                <w:sz w:val="20"/>
                <w:szCs w:val="20"/>
              </w:rPr>
            </w:pPr>
            <w:r w:rsidRPr="002C0225">
              <w:rPr>
                <w:rFonts w:ascii="Arial" w:hAnsi="Arial" w:cs="Arial"/>
                <w:color w:val="000000"/>
                <w:sz w:val="20"/>
                <w:szCs w:val="20"/>
              </w:rPr>
              <w:tab/>
              <w:t>Phosphorus decreased</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34</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4</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11</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Calcium decreased</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33</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26</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Sodium decreased</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31</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4</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24</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4</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Potassium increased</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27</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4</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23</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5</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Creatinine increased</w:t>
            </w:r>
          </w:p>
        </w:tc>
        <w:tc>
          <w:tcPr>
            <w:tcW w:w="622"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26</w:t>
            </w:r>
          </w:p>
        </w:tc>
        <w:tc>
          <w:tcPr>
            <w:tcW w:w="575"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93"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77"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25</w:t>
            </w:r>
          </w:p>
        </w:tc>
        <w:tc>
          <w:tcPr>
            <w:tcW w:w="556"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56" w:type="pct"/>
            <w:tcBorders>
              <w:bottom w:val="single" w:sz="4" w:space="0" w:color="auto"/>
            </w:tcBorders>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Magnesium decreased</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26</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14</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r w:rsidR="00882CF8" w:rsidRPr="002C0225" w:rsidTr="002C0225">
        <w:tc>
          <w:tcPr>
            <w:tcW w:w="1520"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rPr>
                <w:rFonts w:ascii="Arial" w:hAnsi="Arial" w:cs="Arial"/>
                <w:color w:val="000000"/>
                <w:sz w:val="20"/>
                <w:szCs w:val="20"/>
              </w:rPr>
            </w:pPr>
            <w:r w:rsidRPr="002C0225">
              <w:rPr>
                <w:rFonts w:ascii="Arial" w:hAnsi="Arial" w:cs="Arial"/>
                <w:color w:val="000000"/>
                <w:sz w:val="20"/>
                <w:szCs w:val="20"/>
              </w:rPr>
              <w:tab/>
              <w:t xml:space="preserve">Glucose decreased </w:t>
            </w:r>
          </w:p>
        </w:tc>
        <w:tc>
          <w:tcPr>
            <w:tcW w:w="622"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17</w:t>
            </w:r>
          </w:p>
        </w:tc>
        <w:tc>
          <w:tcPr>
            <w:tcW w:w="575"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93"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&lt;1</w:t>
            </w:r>
          </w:p>
        </w:tc>
        <w:tc>
          <w:tcPr>
            <w:tcW w:w="577"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3</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c>
          <w:tcPr>
            <w:tcW w:w="556" w:type="pct"/>
            <w:shd w:val="clear" w:color="auto" w:fill="auto"/>
          </w:tcPr>
          <w:p w:rsidR="00882CF8" w:rsidRPr="002C0225" w:rsidRDefault="00882CF8" w:rsidP="002C0225">
            <w:pPr>
              <w:keepNext/>
              <w:keepLines/>
              <w:tabs>
                <w:tab w:val="left" w:pos="274"/>
                <w:tab w:val="left" w:pos="547"/>
                <w:tab w:val="left" w:pos="821"/>
                <w:tab w:val="left" w:pos="1094"/>
              </w:tabs>
              <w:spacing w:before="60" w:after="60" w:line="320" w:lineRule="atLeast"/>
              <w:ind w:left="144"/>
              <w:jc w:val="center"/>
              <w:rPr>
                <w:rFonts w:ascii="Arial" w:hAnsi="Arial" w:cs="Arial"/>
                <w:color w:val="000000"/>
                <w:sz w:val="20"/>
                <w:szCs w:val="20"/>
              </w:rPr>
            </w:pPr>
            <w:r w:rsidRPr="002C0225">
              <w:rPr>
                <w:rFonts w:ascii="Arial" w:hAnsi="Arial" w:cs="Arial"/>
                <w:color w:val="000000"/>
                <w:sz w:val="20"/>
                <w:szCs w:val="20"/>
              </w:rPr>
              <w:t>0</w:t>
            </w:r>
          </w:p>
        </w:tc>
      </w:tr>
    </w:tbl>
    <w:p w:rsidR="00882CF8" w:rsidRPr="00882CF8" w:rsidRDefault="00882CF8" w:rsidP="00882CF8">
      <w:pPr>
        <w:rPr>
          <w:rFonts w:ascii="Arial" w:hAnsi="Arial" w:cs="Arial"/>
          <w:sz w:val="20"/>
          <w:szCs w:val="20"/>
          <w:lang w:val="en-US"/>
        </w:rPr>
      </w:pPr>
    </w:p>
    <w:p w:rsidR="00017045" w:rsidRPr="00560F6D" w:rsidRDefault="00017045" w:rsidP="00560F6D">
      <w:pPr>
        <w:spacing w:before="120" w:after="120" w:line="300" w:lineRule="atLeast"/>
        <w:jc w:val="both"/>
        <w:rPr>
          <w:rFonts w:ascii="Arial" w:hAnsi="Arial" w:cs="Arial"/>
          <w:sz w:val="22"/>
          <w:szCs w:val="22"/>
        </w:rPr>
      </w:pPr>
      <w:r w:rsidRPr="00560F6D">
        <w:rPr>
          <w:rStyle w:val="LBLLevel3"/>
          <w:rFonts w:cs="Arial"/>
          <w:b/>
          <w:sz w:val="22"/>
          <w:szCs w:val="22"/>
        </w:rPr>
        <w:t>Lipase Elevations:</w:t>
      </w:r>
      <w:r w:rsidRPr="00560F6D">
        <w:rPr>
          <w:rFonts w:ascii="Arial" w:hAnsi="Arial" w:cs="Arial"/>
          <w:sz w:val="22"/>
          <w:szCs w:val="22"/>
        </w:rPr>
        <w:t xml:space="preserve"> In a single-arm clinical study, increases in lipase values were observed for 48/181 patients (27%).  Elevations in lipase as an adverse reaction were reported for 10 patients (4%) and were Grade 3 for 6 patients and Grade 4 for 1 patient.  In clinical RCC studies of VOTRIENT, clinical pancreatitis was observed in 4/586 patients (&lt;1%).</w:t>
      </w:r>
    </w:p>
    <w:p w:rsidR="00523B9F" w:rsidRPr="00765411" w:rsidRDefault="0070259A" w:rsidP="005A4E8F">
      <w:pPr>
        <w:spacing w:line="300" w:lineRule="atLeast"/>
        <w:jc w:val="both"/>
        <w:rPr>
          <w:rFonts w:ascii="Arial" w:hAnsi="Arial" w:cs="Arial"/>
          <w:color w:val="000000"/>
          <w:sz w:val="22"/>
          <w:szCs w:val="22"/>
        </w:rPr>
      </w:pPr>
      <w:r w:rsidRPr="0070259A">
        <w:rPr>
          <w:rFonts w:ascii="Arial" w:hAnsi="Arial" w:cs="Arial"/>
          <w:color w:val="000000"/>
          <w:sz w:val="22"/>
          <w:szCs w:val="22"/>
        </w:rPr>
        <w:t>Table 7 presents laboratory abnormalities occurring in ≥ 15 % of patients who received VOTRIENT in the pivotal STS study.</w:t>
      </w:r>
      <w:r w:rsidRPr="0070259A">
        <w:rPr>
          <w:rFonts w:ascii="Arial" w:hAnsi="Arial" w:cs="Arial"/>
          <w:b/>
          <w:i/>
          <w:color w:val="000000"/>
          <w:sz w:val="22"/>
          <w:szCs w:val="22"/>
        </w:rPr>
        <w:t xml:space="preserve"> </w:t>
      </w:r>
      <w:r w:rsidRPr="0070259A">
        <w:rPr>
          <w:rFonts w:ascii="Arial" w:hAnsi="Arial" w:cs="Arial"/>
          <w:color w:val="000000"/>
          <w:sz w:val="22"/>
          <w:szCs w:val="22"/>
        </w:rPr>
        <w:t xml:space="preserve">Grades are based on the </w:t>
      </w:r>
      <w:smartTag w:uri="urn:schemas-microsoft-com:office:smarttags" w:element="stockticker">
        <w:r w:rsidRPr="0070259A">
          <w:rPr>
            <w:rFonts w:ascii="Arial" w:hAnsi="Arial" w:cs="Arial"/>
            <w:color w:val="000000"/>
            <w:sz w:val="22"/>
            <w:szCs w:val="22"/>
          </w:rPr>
          <w:t>NCI</w:t>
        </w:r>
      </w:smartTag>
      <w:r w:rsidRPr="0070259A">
        <w:rPr>
          <w:rFonts w:ascii="Arial" w:hAnsi="Arial" w:cs="Arial"/>
          <w:color w:val="000000"/>
          <w:sz w:val="22"/>
          <w:szCs w:val="22"/>
        </w:rPr>
        <w:t xml:space="preserve"> C</w:t>
      </w:r>
      <w:smartTag w:uri="schemas-GSKSiteLocations-com/fourthcoffee" w:element="flavor">
        <w:r w:rsidRPr="0070259A">
          <w:rPr>
            <w:rFonts w:ascii="Arial" w:hAnsi="Arial" w:cs="Arial"/>
            <w:color w:val="000000"/>
            <w:sz w:val="22"/>
            <w:szCs w:val="22"/>
          </w:rPr>
          <w:t>TCA</w:t>
        </w:r>
      </w:smartTag>
      <w:r w:rsidRPr="0070259A">
        <w:rPr>
          <w:rFonts w:ascii="Arial" w:hAnsi="Arial" w:cs="Arial"/>
          <w:color w:val="000000"/>
          <w:sz w:val="22"/>
          <w:szCs w:val="22"/>
        </w:rPr>
        <w:t>E</w:t>
      </w:r>
    </w:p>
    <w:p w:rsidR="00683316" w:rsidRDefault="00683316">
      <w:pPr>
        <w:rPr>
          <w:rFonts w:ascii="Arial" w:hAnsi="Arial" w:cs="Arial"/>
          <w:b/>
          <w:sz w:val="22"/>
          <w:szCs w:val="22"/>
        </w:rPr>
      </w:pPr>
      <w:r>
        <w:rPr>
          <w:rFonts w:ascii="Arial" w:hAnsi="Arial" w:cs="Arial"/>
          <w:b/>
          <w:sz w:val="22"/>
          <w:szCs w:val="22"/>
        </w:rPr>
        <w:br w:type="page"/>
      </w:r>
    </w:p>
    <w:p w:rsidR="00523B9F" w:rsidRPr="00523B9F" w:rsidRDefault="0070259A" w:rsidP="00523B9F">
      <w:pPr>
        <w:rPr>
          <w:rFonts w:ascii="Arial" w:hAnsi="Arial" w:cs="Arial"/>
          <w:b/>
          <w:sz w:val="22"/>
          <w:szCs w:val="22"/>
        </w:rPr>
      </w:pPr>
      <w:r w:rsidRPr="0070259A">
        <w:rPr>
          <w:rFonts w:ascii="Arial" w:hAnsi="Arial" w:cs="Arial"/>
          <w:b/>
          <w:sz w:val="22"/>
          <w:szCs w:val="22"/>
        </w:rPr>
        <w:t xml:space="preserve">Table </w:t>
      </w:r>
      <w:r w:rsidRPr="0070259A">
        <w:rPr>
          <w:rFonts w:ascii="Arial" w:hAnsi="Arial" w:cs="Arial"/>
          <w:b/>
          <w:color w:val="000000"/>
          <w:sz w:val="22"/>
          <w:szCs w:val="22"/>
        </w:rPr>
        <w:t>7</w:t>
      </w:r>
      <w:r w:rsidR="008D468A">
        <w:rPr>
          <w:rFonts w:ascii="Arial" w:hAnsi="Arial" w:cs="Arial"/>
          <w:b/>
          <w:color w:val="000000"/>
          <w:sz w:val="22"/>
          <w:szCs w:val="22"/>
        </w:rPr>
        <w:t>.</w:t>
      </w:r>
      <w:r w:rsidRPr="0070259A">
        <w:rPr>
          <w:rFonts w:ascii="Arial" w:hAnsi="Arial" w:cs="Arial"/>
          <w:b/>
          <w:sz w:val="22"/>
          <w:szCs w:val="22"/>
        </w:rPr>
        <w:t xml:space="preserve"> Selected Laboratory Abnormalities in ≥ 15 % of Patients who Received VOTRIENT and More Common than Placebo Arm (VEG110727)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2"/>
        <w:gridCol w:w="1208"/>
        <w:gridCol w:w="1151"/>
        <w:gridCol w:w="1168"/>
        <w:gridCol w:w="1138"/>
        <w:gridCol w:w="1095"/>
        <w:gridCol w:w="1094"/>
      </w:tblGrid>
      <w:tr w:rsidR="00523B9F" w:rsidRPr="00765411" w:rsidTr="00683316">
        <w:trPr>
          <w:tblHeader/>
        </w:trPr>
        <w:tc>
          <w:tcPr>
            <w:tcW w:w="1421" w:type="pct"/>
            <w:tcBorders>
              <w:bottom w:val="nil"/>
            </w:tcBorders>
            <w:shd w:val="clear" w:color="auto" w:fill="auto"/>
          </w:tcPr>
          <w:p w:rsidR="00523B9F" w:rsidRPr="00765411" w:rsidRDefault="00523B9F" w:rsidP="00523B9F">
            <w:pPr>
              <w:keepNext/>
              <w:keepLines/>
              <w:tabs>
                <w:tab w:val="left" w:pos="274"/>
                <w:tab w:val="left" w:pos="547"/>
                <w:tab w:val="left" w:pos="821"/>
                <w:tab w:val="left" w:pos="1094"/>
              </w:tabs>
              <w:spacing w:line="240" w:lineRule="atLeast"/>
              <w:ind w:left="144"/>
              <w:rPr>
                <w:rFonts w:ascii="Arial" w:hAnsi="Arial" w:cs="Arial"/>
                <w:b/>
                <w:color w:val="000000"/>
                <w:sz w:val="20"/>
                <w:szCs w:val="20"/>
              </w:rPr>
            </w:pPr>
          </w:p>
        </w:tc>
        <w:tc>
          <w:tcPr>
            <w:tcW w:w="1842" w:type="pct"/>
            <w:gridSpan w:val="3"/>
            <w:tcBorders>
              <w:bottom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Pazopanib</w:t>
            </w:r>
          </w:p>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(N =</w:t>
            </w:r>
            <w:r w:rsidRPr="0070259A">
              <w:rPr>
                <w:rFonts w:ascii="Arial" w:hAnsi="Arial" w:cs="Arial"/>
                <w:b/>
                <w:sz w:val="20"/>
                <w:szCs w:val="20"/>
              </w:rPr>
              <w:t> 240</w:t>
            </w:r>
            <w:r w:rsidRPr="0070259A">
              <w:rPr>
                <w:rFonts w:ascii="Arial" w:hAnsi="Arial" w:cs="Arial"/>
                <w:b/>
                <w:color w:val="000000"/>
                <w:sz w:val="20"/>
                <w:szCs w:val="20"/>
              </w:rPr>
              <w:t>)</w:t>
            </w:r>
          </w:p>
        </w:tc>
        <w:tc>
          <w:tcPr>
            <w:tcW w:w="1737" w:type="pct"/>
            <w:gridSpan w:val="3"/>
            <w:tcBorders>
              <w:bottom w:val="nil"/>
            </w:tcBorders>
            <w:shd w:val="clear" w:color="auto" w:fill="auto"/>
            <w:vAlign w:val="bottom"/>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Placebo</w:t>
            </w:r>
          </w:p>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vertAlign w:val="subscript"/>
              </w:rPr>
            </w:pPr>
            <w:r w:rsidRPr="0070259A">
              <w:rPr>
                <w:rFonts w:ascii="Arial" w:hAnsi="Arial" w:cs="Arial"/>
                <w:b/>
                <w:color w:val="000000"/>
                <w:sz w:val="20"/>
                <w:szCs w:val="20"/>
              </w:rPr>
              <w:t>(N = 123)</w:t>
            </w:r>
          </w:p>
        </w:tc>
      </w:tr>
      <w:tr w:rsidR="00523B9F" w:rsidRPr="00765411" w:rsidTr="00683316">
        <w:trPr>
          <w:tblHeader/>
        </w:trPr>
        <w:tc>
          <w:tcPr>
            <w:tcW w:w="1421" w:type="pct"/>
            <w:tcBorders>
              <w:top w:val="nil"/>
              <w:bottom w:val="nil"/>
            </w:tcBorders>
            <w:shd w:val="clear" w:color="auto" w:fill="auto"/>
          </w:tcPr>
          <w:p w:rsidR="00523B9F" w:rsidRPr="00765411" w:rsidRDefault="00523B9F" w:rsidP="00523B9F">
            <w:pPr>
              <w:keepNext/>
              <w:keepLines/>
              <w:tabs>
                <w:tab w:val="left" w:pos="274"/>
                <w:tab w:val="left" w:pos="547"/>
                <w:tab w:val="left" w:pos="821"/>
                <w:tab w:val="left" w:pos="1094"/>
              </w:tabs>
              <w:spacing w:line="240" w:lineRule="atLeast"/>
              <w:ind w:left="144"/>
              <w:rPr>
                <w:rFonts w:ascii="Arial" w:hAnsi="Arial" w:cs="Arial"/>
                <w:color w:val="000000"/>
                <w:sz w:val="20"/>
                <w:szCs w:val="20"/>
              </w:rPr>
            </w:pPr>
          </w:p>
        </w:tc>
        <w:tc>
          <w:tcPr>
            <w:tcW w:w="631" w:type="pct"/>
            <w:tcBorders>
              <w:bottom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All Grades</w:t>
            </w:r>
          </w:p>
        </w:tc>
        <w:tc>
          <w:tcPr>
            <w:tcW w:w="601" w:type="pct"/>
            <w:tcBorders>
              <w:bottom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Grade 3</w:t>
            </w:r>
          </w:p>
        </w:tc>
        <w:tc>
          <w:tcPr>
            <w:tcW w:w="610" w:type="pct"/>
            <w:tcBorders>
              <w:bottom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Grade 4</w:t>
            </w:r>
          </w:p>
        </w:tc>
        <w:tc>
          <w:tcPr>
            <w:tcW w:w="594" w:type="pct"/>
            <w:tcBorders>
              <w:bottom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highlight w:val="yellow"/>
              </w:rPr>
            </w:pPr>
            <w:r w:rsidRPr="0070259A">
              <w:rPr>
                <w:rFonts w:ascii="Arial" w:hAnsi="Arial" w:cs="Arial"/>
                <w:b/>
                <w:color w:val="000000"/>
                <w:sz w:val="20"/>
                <w:szCs w:val="20"/>
              </w:rPr>
              <w:t>All Grades</w:t>
            </w:r>
          </w:p>
        </w:tc>
        <w:tc>
          <w:tcPr>
            <w:tcW w:w="572" w:type="pct"/>
            <w:tcBorders>
              <w:bottom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highlight w:val="yellow"/>
              </w:rPr>
            </w:pPr>
            <w:r w:rsidRPr="0070259A">
              <w:rPr>
                <w:rFonts w:ascii="Arial" w:hAnsi="Arial" w:cs="Arial"/>
                <w:b/>
                <w:color w:val="000000"/>
                <w:sz w:val="20"/>
                <w:szCs w:val="20"/>
              </w:rPr>
              <w:t>Grade 3</w:t>
            </w:r>
          </w:p>
        </w:tc>
        <w:tc>
          <w:tcPr>
            <w:tcW w:w="571" w:type="pct"/>
            <w:tcBorders>
              <w:bottom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Grade 4</w:t>
            </w:r>
          </w:p>
        </w:tc>
      </w:tr>
      <w:tr w:rsidR="00523B9F" w:rsidRPr="00765411" w:rsidTr="00683316">
        <w:trPr>
          <w:tblHeader/>
        </w:trPr>
        <w:tc>
          <w:tcPr>
            <w:tcW w:w="1421" w:type="pct"/>
            <w:tcBorders>
              <w:top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rPr>
                <w:rFonts w:ascii="Arial" w:hAnsi="Arial" w:cs="Arial"/>
                <w:b/>
                <w:color w:val="000000"/>
                <w:sz w:val="20"/>
                <w:szCs w:val="20"/>
              </w:rPr>
            </w:pPr>
            <w:r w:rsidRPr="0070259A">
              <w:rPr>
                <w:rFonts w:ascii="Arial" w:hAnsi="Arial" w:cs="Arial"/>
                <w:b/>
                <w:color w:val="000000"/>
                <w:sz w:val="20"/>
                <w:szCs w:val="20"/>
              </w:rPr>
              <w:t>Parameters</w:t>
            </w:r>
          </w:p>
        </w:tc>
        <w:tc>
          <w:tcPr>
            <w:tcW w:w="631" w:type="pct"/>
            <w:tcBorders>
              <w:top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w:t>
            </w:r>
          </w:p>
        </w:tc>
        <w:tc>
          <w:tcPr>
            <w:tcW w:w="601" w:type="pct"/>
            <w:tcBorders>
              <w:top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w:t>
            </w:r>
          </w:p>
        </w:tc>
        <w:tc>
          <w:tcPr>
            <w:tcW w:w="610" w:type="pct"/>
            <w:tcBorders>
              <w:top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w:t>
            </w:r>
          </w:p>
        </w:tc>
        <w:tc>
          <w:tcPr>
            <w:tcW w:w="594" w:type="pct"/>
            <w:tcBorders>
              <w:top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w:t>
            </w:r>
          </w:p>
        </w:tc>
        <w:tc>
          <w:tcPr>
            <w:tcW w:w="572" w:type="pct"/>
            <w:tcBorders>
              <w:top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w:t>
            </w:r>
          </w:p>
        </w:tc>
        <w:tc>
          <w:tcPr>
            <w:tcW w:w="571" w:type="pct"/>
            <w:tcBorders>
              <w:top w:val="nil"/>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jc w:val="center"/>
              <w:rPr>
                <w:rFonts w:ascii="Arial" w:hAnsi="Arial" w:cs="Arial"/>
                <w:b/>
                <w:color w:val="000000"/>
                <w:sz w:val="20"/>
                <w:szCs w:val="20"/>
              </w:rPr>
            </w:pPr>
            <w:r w:rsidRPr="0070259A">
              <w:rPr>
                <w:rFonts w:ascii="Arial" w:hAnsi="Arial" w:cs="Arial"/>
                <w:b/>
                <w:color w:val="000000"/>
                <w:sz w:val="20"/>
                <w:szCs w:val="20"/>
              </w:rPr>
              <w:t>%</w:t>
            </w:r>
          </w:p>
        </w:tc>
      </w:tr>
      <w:tr w:rsidR="00523B9F" w:rsidRPr="00765411" w:rsidTr="00765411">
        <w:tc>
          <w:tcPr>
            <w:tcW w:w="142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240" w:lineRule="atLeast"/>
              <w:ind w:left="144"/>
              <w:rPr>
                <w:rFonts w:ascii="Arial" w:hAnsi="Arial" w:cs="Arial"/>
                <w:b/>
                <w:bCs/>
                <w:color w:val="000000"/>
                <w:sz w:val="20"/>
                <w:szCs w:val="20"/>
              </w:rPr>
            </w:pPr>
            <w:r w:rsidRPr="0070259A">
              <w:rPr>
                <w:rFonts w:ascii="Arial" w:hAnsi="Arial" w:cs="Arial"/>
                <w:b/>
                <w:bCs/>
                <w:color w:val="000000"/>
                <w:sz w:val="20"/>
                <w:szCs w:val="20"/>
              </w:rPr>
              <w:t>Haematological</w:t>
            </w:r>
          </w:p>
        </w:tc>
        <w:tc>
          <w:tcPr>
            <w:tcW w:w="631"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240" w:lineRule="atLeast"/>
              <w:ind w:left="144"/>
              <w:jc w:val="center"/>
              <w:rPr>
                <w:rFonts w:ascii="Arial" w:hAnsi="Arial" w:cs="Arial"/>
                <w:color w:val="000000"/>
                <w:sz w:val="20"/>
                <w:szCs w:val="20"/>
              </w:rPr>
            </w:pPr>
          </w:p>
        </w:tc>
        <w:tc>
          <w:tcPr>
            <w:tcW w:w="601"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240" w:lineRule="atLeast"/>
              <w:ind w:left="144"/>
              <w:jc w:val="center"/>
              <w:rPr>
                <w:rFonts w:ascii="Arial" w:hAnsi="Arial" w:cs="Arial"/>
                <w:color w:val="000000"/>
                <w:sz w:val="20"/>
                <w:szCs w:val="20"/>
              </w:rPr>
            </w:pPr>
          </w:p>
        </w:tc>
        <w:tc>
          <w:tcPr>
            <w:tcW w:w="610"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240" w:lineRule="atLeast"/>
              <w:ind w:left="144"/>
              <w:jc w:val="center"/>
              <w:rPr>
                <w:rFonts w:ascii="Arial" w:hAnsi="Arial" w:cs="Arial"/>
                <w:color w:val="000000"/>
                <w:sz w:val="20"/>
                <w:szCs w:val="20"/>
              </w:rPr>
            </w:pPr>
          </w:p>
        </w:tc>
        <w:tc>
          <w:tcPr>
            <w:tcW w:w="594"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240" w:lineRule="atLeast"/>
              <w:ind w:left="144"/>
              <w:jc w:val="center"/>
              <w:rPr>
                <w:rFonts w:ascii="Arial" w:hAnsi="Arial" w:cs="Arial"/>
                <w:color w:val="000000"/>
                <w:sz w:val="20"/>
                <w:szCs w:val="20"/>
              </w:rPr>
            </w:pPr>
          </w:p>
        </w:tc>
        <w:tc>
          <w:tcPr>
            <w:tcW w:w="572"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240" w:lineRule="atLeast"/>
              <w:ind w:left="144"/>
              <w:jc w:val="center"/>
              <w:rPr>
                <w:rFonts w:ascii="Arial" w:hAnsi="Arial" w:cs="Arial"/>
                <w:color w:val="000000"/>
                <w:sz w:val="20"/>
                <w:szCs w:val="20"/>
              </w:rPr>
            </w:pPr>
          </w:p>
        </w:tc>
        <w:tc>
          <w:tcPr>
            <w:tcW w:w="571"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240" w:lineRule="atLeast"/>
              <w:ind w:left="144"/>
              <w:jc w:val="center"/>
              <w:rPr>
                <w:rFonts w:ascii="Arial" w:hAnsi="Arial" w:cs="Arial"/>
                <w:color w:val="000000"/>
                <w:sz w:val="20"/>
                <w:szCs w:val="20"/>
              </w:rPr>
            </w:pPr>
          </w:p>
        </w:tc>
      </w:tr>
      <w:tr w:rsidR="00523B9F" w:rsidRPr="00765411" w:rsidTr="00765411">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Leukopenia</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44</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1</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15</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Neutropenia</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33</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4</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7</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c>
          <w:tcPr>
            <w:tcW w:w="142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Thrombocytopenia</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36</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&lt;1</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6</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rPr>
          <w:trHeight w:val="188"/>
        </w:trPr>
        <w:tc>
          <w:tcPr>
            <w:tcW w:w="142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Lymphocytopenia</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43</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10</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36</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9</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w:t>
            </w:r>
          </w:p>
        </w:tc>
      </w:tr>
      <w:tr w:rsidR="00523B9F" w:rsidRPr="00765411" w:rsidTr="00765411">
        <w:trPr>
          <w:trHeight w:val="188"/>
        </w:trPr>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Anaemia</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27</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5</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23</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&lt;1</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&lt;1</w:t>
            </w:r>
          </w:p>
        </w:tc>
      </w:tr>
      <w:tr w:rsidR="00523B9F" w:rsidRPr="00765411" w:rsidTr="00765411">
        <w:tc>
          <w:tcPr>
            <w:tcW w:w="142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b/>
                <w:bCs/>
                <w:color w:val="000000"/>
                <w:sz w:val="20"/>
                <w:szCs w:val="20"/>
              </w:rPr>
            </w:pPr>
            <w:r w:rsidRPr="0070259A">
              <w:rPr>
                <w:rFonts w:ascii="Arial" w:hAnsi="Arial" w:cs="Arial"/>
                <w:b/>
                <w:bCs/>
                <w:color w:val="000000"/>
                <w:sz w:val="20"/>
                <w:szCs w:val="20"/>
              </w:rPr>
              <w:t>Chemistry</w:t>
            </w:r>
          </w:p>
        </w:tc>
        <w:tc>
          <w:tcPr>
            <w:tcW w:w="631"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p>
        </w:tc>
        <w:tc>
          <w:tcPr>
            <w:tcW w:w="601"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p>
        </w:tc>
        <w:tc>
          <w:tcPr>
            <w:tcW w:w="610"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p>
        </w:tc>
        <w:tc>
          <w:tcPr>
            <w:tcW w:w="594"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p>
        </w:tc>
        <w:tc>
          <w:tcPr>
            <w:tcW w:w="572"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p>
        </w:tc>
        <w:tc>
          <w:tcPr>
            <w:tcW w:w="571" w:type="pct"/>
            <w:tcBorders>
              <w:bottom w:val="single" w:sz="4" w:space="0" w:color="auto"/>
            </w:tcBorders>
            <w:shd w:val="clear" w:color="auto" w:fill="auto"/>
          </w:tcPr>
          <w:p w:rsidR="00523B9F" w:rsidRPr="00765411" w:rsidRDefault="00523B9F"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p>
        </w:tc>
      </w:tr>
      <w:tr w:rsidR="00523B9F" w:rsidRPr="00765411" w:rsidTr="00765411">
        <w:tc>
          <w:tcPr>
            <w:tcW w:w="142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b/>
                <w:bCs/>
                <w:color w:val="000000"/>
                <w:sz w:val="20"/>
                <w:szCs w:val="20"/>
              </w:rPr>
            </w:pPr>
            <w:r w:rsidRPr="0070259A">
              <w:rPr>
                <w:rFonts w:ascii="Arial" w:hAnsi="Arial" w:cs="Arial"/>
                <w:color w:val="000000"/>
                <w:sz w:val="20"/>
                <w:szCs w:val="20"/>
              </w:rPr>
              <w:tab/>
              <w:t>ALKP increased</w:t>
            </w:r>
          </w:p>
        </w:tc>
        <w:tc>
          <w:tcPr>
            <w:tcW w:w="63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32</w:t>
            </w:r>
          </w:p>
        </w:tc>
        <w:tc>
          <w:tcPr>
            <w:tcW w:w="60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w:t>
            </w:r>
          </w:p>
        </w:tc>
        <w:tc>
          <w:tcPr>
            <w:tcW w:w="610"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23</w:t>
            </w:r>
          </w:p>
        </w:tc>
        <w:tc>
          <w:tcPr>
            <w:tcW w:w="572"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&lt;1</w:t>
            </w:r>
          </w:p>
        </w:tc>
        <w:tc>
          <w:tcPr>
            <w:tcW w:w="57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r>
            <w:smartTag w:uri="urn:schemas-microsoft-com:office:smarttags" w:element="stockticker">
              <w:r w:rsidRPr="0070259A">
                <w:rPr>
                  <w:rFonts w:ascii="Arial" w:hAnsi="Arial" w:cs="Arial"/>
                  <w:color w:val="000000"/>
                  <w:sz w:val="20"/>
                  <w:szCs w:val="20"/>
                </w:rPr>
                <w:t>ALT</w:t>
              </w:r>
            </w:smartTag>
            <w:r w:rsidRPr="0070259A">
              <w:rPr>
                <w:rFonts w:ascii="Arial" w:hAnsi="Arial" w:cs="Arial"/>
                <w:color w:val="000000"/>
                <w:sz w:val="20"/>
                <w:szCs w:val="20"/>
              </w:rPr>
              <w:t xml:space="preserve"> increased</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46</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8</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18</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&lt;1</w:t>
            </w:r>
          </w:p>
        </w:tc>
      </w:tr>
      <w:tr w:rsidR="00523B9F" w:rsidRPr="00765411" w:rsidTr="00765411">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AST increased</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51</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5</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22</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Albumin increased</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34</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&lt;1</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21</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c>
          <w:tcPr>
            <w:tcW w:w="142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Glucose increased</w:t>
            </w:r>
          </w:p>
        </w:tc>
        <w:tc>
          <w:tcPr>
            <w:tcW w:w="63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45</w:t>
            </w:r>
          </w:p>
        </w:tc>
        <w:tc>
          <w:tcPr>
            <w:tcW w:w="60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&lt;1</w:t>
            </w:r>
          </w:p>
        </w:tc>
        <w:tc>
          <w:tcPr>
            <w:tcW w:w="610"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35</w:t>
            </w:r>
          </w:p>
        </w:tc>
        <w:tc>
          <w:tcPr>
            <w:tcW w:w="572"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w:t>
            </w:r>
          </w:p>
        </w:tc>
        <w:tc>
          <w:tcPr>
            <w:tcW w:w="571" w:type="pct"/>
            <w:tcBorders>
              <w:bottom w:val="single" w:sz="4" w:space="0" w:color="auto"/>
            </w:tcBorders>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Total Bilirubin   increased</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29</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1</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7</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Sodium decreased</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31</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4</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20</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3</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r w:rsidR="00523B9F" w:rsidRPr="00765411" w:rsidTr="00765411">
        <w:tc>
          <w:tcPr>
            <w:tcW w:w="142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rPr>
                <w:rFonts w:ascii="Arial" w:hAnsi="Arial" w:cs="Arial"/>
                <w:color w:val="000000"/>
                <w:sz w:val="20"/>
                <w:szCs w:val="20"/>
              </w:rPr>
            </w:pPr>
            <w:r w:rsidRPr="0070259A">
              <w:rPr>
                <w:rFonts w:ascii="Arial" w:hAnsi="Arial" w:cs="Arial"/>
                <w:color w:val="000000"/>
                <w:sz w:val="20"/>
                <w:szCs w:val="20"/>
              </w:rPr>
              <w:tab/>
              <w:t>Potassium increased</w:t>
            </w:r>
          </w:p>
        </w:tc>
        <w:tc>
          <w:tcPr>
            <w:tcW w:w="63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16</w:t>
            </w:r>
          </w:p>
        </w:tc>
        <w:tc>
          <w:tcPr>
            <w:tcW w:w="60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1</w:t>
            </w:r>
          </w:p>
        </w:tc>
        <w:tc>
          <w:tcPr>
            <w:tcW w:w="610"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94"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11</w:t>
            </w:r>
          </w:p>
        </w:tc>
        <w:tc>
          <w:tcPr>
            <w:tcW w:w="572"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c>
          <w:tcPr>
            <w:tcW w:w="571" w:type="pct"/>
            <w:shd w:val="clear" w:color="auto" w:fill="auto"/>
          </w:tcPr>
          <w:p w:rsidR="00523B9F" w:rsidRPr="00765411" w:rsidRDefault="0070259A" w:rsidP="00523B9F">
            <w:pPr>
              <w:keepNext/>
              <w:keepLines/>
              <w:tabs>
                <w:tab w:val="left" w:pos="274"/>
                <w:tab w:val="left" w:pos="547"/>
                <w:tab w:val="left" w:pos="821"/>
                <w:tab w:val="left" w:pos="1094"/>
              </w:tabs>
              <w:spacing w:line="320" w:lineRule="atLeast"/>
              <w:ind w:left="144"/>
              <w:jc w:val="center"/>
              <w:rPr>
                <w:rFonts w:ascii="Arial" w:hAnsi="Arial" w:cs="Arial"/>
                <w:color w:val="000000"/>
                <w:sz w:val="20"/>
                <w:szCs w:val="20"/>
              </w:rPr>
            </w:pPr>
            <w:r w:rsidRPr="0070259A">
              <w:rPr>
                <w:rFonts w:ascii="Arial" w:hAnsi="Arial" w:cs="Arial"/>
                <w:color w:val="000000"/>
                <w:sz w:val="20"/>
                <w:szCs w:val="20"/>
              </w:rPr>
              <w:t>0</w:t>
            </w:r>
          </w:p>
        </w:tc>
      </w:tr>
    </w:tbl>
    <w:p w:rsidR="00523B9F" w:rsidRPr="007E4D67" w:rsidRDefault="00523B9F" w:rsidP="00017045">
      <w:pPr>
        <w:autoSpaceDE w:val="0"/>
        <w:autoSpaceDN w:val="0"/>
        <w:adjustRightInd w:val="0"/>
        <w:spacing w:before="120" w:after="120" w:line="300" w:lineRule="atLeast"/>
        <w:jc w:val="both"/>
        <w:rPr>
          <w:rFonts w:ascii="Arial" w:hAnsi="Arial" w:cs="Arial"/>
          <w:sz w:val="22"/>
          <w:szCs w:val="22"/>
        </w:rPr>
      </w:pPr>
    </w:p>
    <w:p w:rsidR="00DD77B2" w:rsidRPr="00523B9F" w:rsidRDefault="00995F2E" w:rsidP="00DD77B2">
      <w:pPr>
        <w:pStyle w:val="NoNumHead3"/>
        <w:rPr>
          <w:rFonts w:cs="Arial"/>
          <w:i/>
          <w:sz w:val="22"/>
          <w:szCs w:val="22"/>
        </w:rPr>
      </w:pPr>
      <w:r>
        <w:rPr>
          <w:rFonts w:cs="Arial"/>
          <w:i/>
          <w:sz w:val="22"/>
          <w:szCs w:val="22"/>
        </w:rPr>
        <w:t>Post marketing data</w:t>
      </w:r>
    </w:p>
    <w:p w:rsidR="00BC1CAE" w:rsidRPr="002B2A5B" w:rsidRDefault="00090947" w:rsidP="006D291E">
      <w:pPr>
        <w:spacing w:line="300" w:lineRule="atLeast"/>
        <w:jc w:val="both"/>
        <w:rPr>
          <w:rFonts w:ascii="Arial" w:hAnsi="Arial" w:cs="Arial"/>
          <w:sz w:val="22"/>
          <w:szCs w:val="22"/>
        </w:rPr>
      </w:pPr>
      <w:r w:rsidRPr="006F690F">
        <w:rPr>
          <w:rFonts w:ascii="Arial" w:hAnsi="Arial" w:cs="Arial"/>
          <w:sz w:val="22"/>
          <w:szCs w:val="22"/>
        </w:rPr>
        <w:t xml:space="preserve">The following </w:t>
      </w:r>
      <w:r w:rsidRPr="002B2A5B">
        <w:rPr>
          <w:rFonts w:ascii="Arial" w:hAnsi="Arial" w:cs="Arial"/>
          <w:sz w:val="22"/>
          <w:szCs w:val="22"/>
        </w:rPr>
        <w:t>adverse reactions have been identified during post-approval use of pazopanib. This includes spontaneous case reports as well as serious adverse events from ongoing studies, clinical pharmacology studies and exploratory studies in unapproved indications.</w:t>
      </w:r>
    </w:p>
    <w:p w:rsidR="00BC1CAE" w:rsidRPr="002B2A5B" w:rsidRDefault="00BC1CAE" w:rsidP="006D291E">
      <w:pPr>
        <w:spacing w:line="300" w:lineRule="atLeast"/>
        <w:jc w:val="both"/>
        <w:rPr>
          <w:rFonts w:ascii="Arial" w:hAnsi="Arial" w:cs="Arial"/>
          <w:sz w:val="22"/>
          <w:szCs w:val="22"/>
        </w:rPr>
      </w:pPr>
    </w:p>
    <w:p w:rsidR="00BC1CAE" w:rsidRPr="002B2A5B" w:rsidRDefault="00090947">
      <w:pPr>
        <w:spacing w:line="300" w:lineRule="atLeast"/>
        <w:rPr>
          <w:rFonts w:ascii="Arial" w:hAnsi="Arial" w:cs="Arial"/>
          <w:b/>
          <w:sz w:val="22"/>
          <w:szCs w:val="22"/>
        </w:rPr>
      </w:pPr>
      <w:r w:rsidRPr="002B2A5B">
        <w:rPr>
          <w:rFonts w:ascii="Arial" w:hAnsi="Arial" w:cs="Arial"/>
          <w:b/>
          <w:sz w:val="22"/>
          <w:szCs w:val="22"/>
        </w:rPr>
        <w:t>Infections and infestations</w:t>
      </w:r>
    </w:p>
    <w:p w:rsidR="00BC1CAE" w:rsidRPr="002B2A5B" w:rsidRDefault="00BC1CAE">
      <w:pPr>
        <w:spacing w:line="300" w:lineRule="atLeast"/>
        <w:rPr>
          <w:rFonts w:ascii="Arial" w:hAnsi="Arial" w:cs="Arial"/>
          <w:b/>
          <w:sz w:val="22"/>
          <w:szCs w:val="22"/>
        </w:rPr>
      </w:pPr>
    </w:p>
    <w:p w:rsidR="00BC1CAE" w:rsidRPr="002B2A5B" w:rsidRDefault="00090947">
      <w:pPr>
        <w:spacing w:line="300" w:lineRule="atLeast"/>
        <w:rPr>
          <w:rFonts w:ascii="Arial" w:hAnsi="Arial" w:cs="Arial"/>
          <w:sz w:val="22"/>
          <w:szCs w:val="22"/>
        </w:rPr>
      </w:pPr>
      <w:r w:rsidRPr="002B2A5B">
        <w:rPr>
          <w:rFonts w:ascii="Arial" w:hAnsi="Arial" w:cs="Arial"/>
          <w:i/>
          <w:sz w:val="22"/>
          <w:szCs w:val="22"/>
        </w:rPr>
        <w:t>Uncommon</w:t>
      </w:r>
      <w:r w:rsidRPr="002B2A5B">
        <w:rPr>
          <w:rFonts w:ascii="Arial" w:hAnsi="Arial" w:cs="Arial"/>
          <w:i/>
          <w:sz w:val="22"/>
          <w:szCs w:val="22"/>
        </w:rPr>
        <w:tab/>
      </w:r>
      <w:r w:rsidRPr="002B2A5B">
        <w:rPr>
          <w:rFonts w:ascii="Arial" w:hAnsi="Arial" w:cs="Arial"/>
          <w:i/>
          <w:sz w:val="22"/>
          <w:szCs w:val="22"/>
        </w:rPr>
        <w:tab/>
      </w:r>
      <w:r w:rsidRPr="002B2A5B">
        <w:rPr>
          <w:rFonts w:ascii="Arial" w:hAnsi="Arial" w:cs="Arial"/>
          <w:sz w:val="22"/>
          <w:szCs w:val="22"/>
        </w:rPr>
        <w:t>Infections (with or without neutropenia)</w:t>
      </w:r>
    </w:p>
    <w:p w:rsidR="00DD77B2" w:rsidRPr="002B2A5B" w:rsidRDefault="00DD77B2" w:rsidP="006C4A20">
      <w:pPr>
        <w:autoSpaceDE w:val="0"/>
        <w:autoSpaceDN w:val="0"/>
        <w:adjustRightInd w:val="0"/>
        <w:rPr>
          <w:rFonts w:ascii="Arial" w:hAnsi="Arial" w:cs="Arial"/>
          <w:b/>
          <w:sz w:val="22"/>
          <w:szCs w:val="22"/>
        </w:rPr>
      </w:pPr>
    </w:p>
    <w:p w:rsidR="00B91050" w:rsidRPr="002B2A5B" w:rsidRDefault="00B91050" w:rsidP="00B91050">
      <w:pPr>
        <w:rPr>
          <w:rFonts w:ascii="Arial" w:hAnsi="Arial" w:cs="Arial"/>
          <w:b/>
          <w:sz w:val="22"/>
          <w:szCs w:val="22"/>
        </w:rPr>
      </w:pPr>
      <w:r w:rsidRPr="002B2A5B">
        <w:rPr>
          <w:rFonts w:ascii="Arial" w:hAnsi="Arial" w:cs="Arial"/>
          <w:b/>
          <w:sz w:val="22"/>
          <w:szCs w:val="22"/>
        </w:rPr>
        <w:t>Blood and lymphatic system disorders</w:t>
      </w:r>
    </w:p>
    <w:p w:rsidR="00B91050" w:rsidRPr="002B2A5B" w:rsidRDefault="00B91050" w:rsidP="00B91050">
      <w:pPr>
        <w:rPr>
          <w:rFonts w:ascii="Arial" w:hAnsi="Arial" w:cs="Arial"/>
          <w:sz w:val="22"/>
          <w:szCs w:val="22"/>
        </w:rPr>
      </w:pPr>
    </w:p>
    <w:p w:rsidR="00B91050" w:rsidRPr="002B2A5B" w:rsidRDefault="00B91050" w:rsidP="00B91050">
      <w:pPr>
        <w:ind w:left="2160" w:hanging="2160"/>
        <w:rPr>
          <w:rFonts w:ascii="Arial" w:hAnsi="Arial" w:cs="Arial"/>
          <w:sz w:val="22"/>
          <w:szCs w:val="22"/>
        </w:rPr>
      </w:pPr>
      <w:r w:rsidRPr="002B2A5B">
        <w:rPr>
          <w:rFonts w:ascii="Arial" w:hAnsi="Arial" w:cs="Arial"/>
          <w:i/>
          <w:sz w:val="22"/>
          <w:szCs w:val="22"/>
        </w:rPr>
        <w:t>Rare</w:t>
      </w:r>
      <w:r w:rsidRPr="002B2A5B">
        <w:rPr>
          <w:rFonts w:ascii="Arial" w:hAnsi="Arial" w:cs="Arial"/>
          <w:i/>
          <w:sz w:val="22"/>
          <w:szCs w:val="22"/>
        </w:rPr>
        <w:tab/>
      </w:r>
      <w:r w:rsidRPr="002B2A5B">
        <w:rPr>
          <w:rFonts w:ascii="Arial" w:hAnsi="Arial" w:cs="Arial"/>
          <w:sz w:val="22"/>
          <w:szCs w:val="22"/>
        </w:rPr>
        <w:t>Thrombotic microangiopathy (including thrombotic thrombocytopenic purpura and haemolytic uraemic syndrome)</w:t>
      </w:r>
    </w:p>
    <w:p w:rsidR="00B91050" w:rsidRPr="002B2A5B" w:rsidRDefault="00B91050" w:rsidP="00B91050">
      <w:pPr>
        <w:rPr>
          <w:rFonts w:ascii="Arial" w:hAnsi="Arial" w:cs="Arial"/>
          <w:sz w:val="22"/>
          <w:szCs w:val="22"/>
        </w:rPr>
      </w:pPr>
    </w:p>
    <w:p w:rsidR="00B91050" w:rsidRPr="002B2A5B" w:rsidRDefault="00B91050" w:rsidP="00B91050">
      <w:pPr>
        <w:rPr>
          <w:rFonts w:ascii="Arial" w:hAnsi="Arial" w:cs="Arial"/>
          <w:b/>
          <w:sz w:val="22"/>
          <w:szCs w:val="22"/>
        </w:rPr>
      </w:pPr>
      <w:r w:rsidRPr="002B2A5B">
        <w:rPr>
          <w:rFonts w:ascii="Arial" w:hAnsi="Arial" w:cs="Arial"/>
          <w:b/>
          <w:sz w:val="22"/>
          <w:szCs w:val="22"/>
        </w:rPr>
        <w:t>Nervous system disorders</w:t>
      </w:r>
    </w:p>
    <w:p w:rsidR="00B91050" w:rsidRPr="002B2A5B" w:rsidRDefault="00B91050" w:rsidP="00B91050">
      <w:pPr>
        <w:rPr>
          <w:rFonts w:ascii="Arial" w:hAnsi="Arial" w:cs="Arial"/>
          <w:sz w:val="22"/>
          <w:szCs w:val="22"/>
        </w:rPr>
      </w:pPr>
    </w:p>
    <w:p w:rsidR="00B91050" w:rsidRPr="002B2A5B" w:rsidRDefault="00B91050" w:rsidP="00B91050">
      <w:pPr>
        <w:rPr>
          <w:rFonts w:ascii="Arial" w:hAnsi="Arial" w:cs="Arial"/>
          <w:sz w:val="22"/>
          <w:szCs w:val="22"/>
        </w:rPr>
      </w:pPr>
      <w:r w:rsidRPr="002B2A5B">
        <w:rPr>
          <w:rFonts w:ascii="Arial" w:hAnsi="Arial" w:cs="Arial"/>
          <w:i/>
          <w:sz w:val="22"/>
          <w:szCs w:val="22"/>
        </w:rPr>
        <w:t>Rare</w:t>
      </w:r>
      <w:r w:rsidRPr="002B2A5B">
        <w:rPr>
          <w:rFonts w:ascii="Arial" w:hAnsi="Arial" w:cs="Arial"/>
          <w:i/>
          <w:sz w:val="22"/>
          <w:szCs w:val="22"/>
        </w:rPr>
        <w:tab/>
      </w:r>
      <w:r w:rsidRPr="002B2A5B">
        <w:rPr>
          <w:rFonts w:ascii="Arial" w:hAnsi="Arial" w:cs="Arial"/>
          <w:sz w:val="22"/>
          <w:szCs w:val="22"/>
        </w:rPr>
        <w:tab/>
      </w:r>
      <w:r w:rsidRPr="002B2A5B">
        <w:rPr>
          <w:rFonts w:ascii="Arial" w:hAnsi="Arial" w:cs="Arial"/>
          <w:sz w:val="22"/>
          <w:szCs w:val="22"/>
        </w:rPr>
        <w:tab/>
        <w:t>Posterior reversible encephalopathy syndrome</w:t>
      </w:r>
    </w:p>
    <w:p w:rsidR="00B91050" w:rsidRPr="002B2A5B" w:rsidRDefault="00B91050" w:rsidP="00B91050">
      <w:pPr>
        <w:rPr>
          <w:rFonts w:ascii="Arial" w:hAnsi="Arial" w:cs="Arial"/>
          <w:b/>
          <w:sz w:val="22"/>
          <w:szCs w:val="22"/>
        </w:rPr>
      </w:pPr>
      <w:r w:rsidRPr="002B2A5B">
        <w:rPr>
          <w:rFonts w:ascii="Arial" w:hAnsi="Arial" w:cs="Arial"/>
          <w:b/>
          <w:sz w:val="22"/>
          <w:szCs w:val="22"/>
        </w:rPr>
        <w:t>Gastrointestinal disorders</w:t>
      </w:r>
    </w:p>
    <w:p w:rsidR="00B91050" w:rsidRPr="002B2A5B" w:rsidRDefault="00B91050" w:rsidP="00B91050">
      <w:pPr>
        <w:rPr>
          <w:rFonts w:ascii="Arial" w:hAnsi="Arial" w:cs="Arial"/>
          <w:sz w:val="22"/>
          <w:szCs w:val="22"/>
        </w:rPr>
      </w:pPr>
    </w:p>
    <w:p w:rsidR="00B91050" w:rsidRPr="002B2A5B" w:rsidRDefault="00B91050" w:rsidP="00B91050">
      <w:pPr>
        <w:rPr>
          <w:rFonts w:ascii="Arial" w:hAnsi="Arial" w:cs="Arial"/>
          <w:sz w:val="22"/>
          <w:szCs w:val="22"/>
        </w:rPr>
      </w:pPr>
      <w:r w:rsidRPr="002B2A5B">
        <w:rPr>
          <w:rFonts w:ascii="Arial" w:hAnsi="Arial" w:cs="Arial"/>
          <w:i/>
          <w:sz w:val="22"/>
          <w:szCs w:val="22"/>
        </w:rPr>
        <w:t>Uncommon</w:t>
      </w:r>
      <w:r w:rsidRPr="002B2A5B">
        <w:rPr>
          <w:rFonts w:ascii="Arial" w:hAnsi="Arial" w:cs="Arial"/>
          <w:i/>
          <w:sz w:val="22"/>
          <w:szCs w:val="22"/>
        </w:rPr>
        <w:tab/>
      </w:r>
      <w:r w:rsidRPr="002B2A5B">
        <w:rPr>
          <w:rFonts w:ascii="Arial" w:hAnsi="Arial" w:cs="Arial"/>
          <w:sz w:val="22"/>
          <w:szCs w:val="22"/>
        </w:rPr>
        <w:tab/>
        <w:t>Pancreatitis</w:t>
      </w:r>
    </w:p>
    <w:p w:rsidR="00B91050" w:rsidRPr="002B2A5B" w:rsidRDefault="00B91050" w:rsidP="006C4A20">
      <w:pPr>
        <w:autoSpaceDE w:val="0"/>
        <w:autoSpaceDN w:val="0"/>
        <w:adjustRightInd w:val="0"/>
        <w:rPr>
          <w:rFonts w:ascii="Arial" w:hAnsi="Arial" w:cs="Arial"/>
          <w:b/>
          <w:sz w:val="22"/>
          <w:szCs w:val="22"/>
        </w:rPr>
      </w:pPr>
    </w:p>
    <w:p w:rsidR="00867F68" w:rsidRPr="002B2A5B" w:rsidRDefault="00867F68" w:rsidP="006C4A20">
      <w:pPr>
        <w:autoSpaceDE w:val="0"/>
        <w:autoSpaceDN w:val="0"/>
        <w:adjustRightInd w:val="0"/>
        <w:rPr>
          <w:rFonts w:ascii="Arial" w:hAnsi="Arial" w:cs="Arial"/>
          <w:b/>
          <w:sz w:val="22"/>
          <w:szCs w:val="22"/>
        </w:rPr>
      </w:pPr>
    </w:p>
    <w:p w:rsidR="006C4A20" w:rsidRPr="002B2A5B" w:rsidRDefault="006C4A20" w:rsidP="006C4A20">
      <w:pPr>
        <w:autoSpaceDE w:val="0"/>
        <w:autoSpaceDN w:val="0"/>
        <w:adjustRightInd w:val="0"/>
        <w:rPr>
          <w:rFonts w:ascii="Arial" w:hAnsi="Arial" w:cs="Arial"/>
          <w:b/>
        </w:rPr>
      </w:pPr>
      <w:r w:rsidRPr="002B2A5B">
        <w:rPr>
          <w:rFonts w:ascii="Arial" w:hAnsi="Arial" w:cs="Arial"/>
          <w:b/>
        </w:rPr>
        <w:t xml:space="preserve">DOSAGE </w:t>
      </w:r>
      <w:smartTag w:uri="urn:schemas-microsoft-com:office:smarttags" w:element="stockticker">
        <w:r w:rsidRPr="002B2A5B">
          <w:rPr>
            <w:rFonts w:ascii="Arial" w:hAnsi="Arial" w:cs="Arial"/>
            <w:b/>
          </w:rPr>
          <w:t>AND</w:t>
        </w:r>
      </w:smartTag>
      <w:r w:rsidR="00913017" w:rsidRPr="002B2A5B">
        <w:rPr>
          <w:rFonts w:ascii="Arial" w:hAnsi="Arial" w:cs="Arial"/>
          <w:b/>
        </w:rPr>
        <w:t xml:space="preserve"> ADMINISTRATION</w:t>
      </w:r>
    </w:p>
    <w:p w:rsidR="006C4A20" w:rsidRPr="002B2A5B" w:rsidRDefault="006C4A20" w:rsidP="00913017">
      <w:pPr>
        <w:rPr>
          <w:rFonts w:ascii="Arial" w:hAnsi="Arial"/>
          <w:sz w:val="22"/>
        </w:rPr>
      </w:pPr>
    </w:p>
    <w:p w:rsidR="000D7C7E" w:rsidRPr="006A038F" w:rsidRDefault="000D7C7E" w:rsidP="000D7C7E">
      <w:pPr>
        <w:spacing w:line="300" w:lineRule="atLeast"/>
        <w:jc w:val="both"/>
        <w:rPr>
          <w:rFonts w:ascii="Arial" w:hAnsi="Arial" w:cs="Arial"/>
          <w:sz w:val="22"/>
          <w:szCs w:val="22"/>
          <w:lang w:val="en-US"/>
        </w:rPr>
      </w:pPr>
      <w:r w:rsidRPr="002B2A5B">
        <w:rPr>
          <w:rFonts w:ascii="Arial" w:hAnsi="Arial" w:cs="Arial"/>
          <w:sz w:val="22"/>
          <w:szCs w:val="22"/>
          <w:lang w:val="en-US"/>
        </w:rPr>
        <w:t>The recommended</w:t>
      </w:r>
      <w:r w:rsidRPr="006A038F">
        <w:rPr>
          <w:rFonts w:ascii="Arial" w:hAnsi="Arial" w:cs="Arial"/>
          <w:sz w:val="22"/>
          <w:szCs w:val="22"/>
          <w:lang w:val="en-US"/>
        </w:rPr>
        <w:t xml:space="preserve"> dose of </w:t>
      </w:r>
      <w:r w:rsidR="002F1277">
        <w:rPr>
          <w:rFonts w:ascii="Arial" w:hAnsi="Arial" w:cs="Arial"/>
          <w:sz w:val="22"/>
          <w:szCs w:val="22"/>
          <w:lang w:val="en-US"/>
        </w:rPr>
        <w:t>VOTRIENT</w:t>
      </w:r>
      <w:r w:rsidRPr="006A038F">
        <w:rPr>
          <w:rFonts w:ascii="Arial" w:hAnsi="Arial" w:cs="Arial"/>
          <w:sz w:val="22"/>
          <w:szCs w:val="22"/>
          <w:lang w:val="en-US"/>
        </w:rPr>
        <w:t xml:space="preserve"> </w:t>
      </w:r>
      <w:r w:rsidR="0070259A" w:rsidRPr="0070259A">
        <w:rPr>
          <w:rFonts w:ascii="Arial" w:hAnsi="Arial" w:cs="Arial"/>
          <w:sz w:val="22"/>
          <w:szCs w:val="22"/>
        </w:rPr>
        <w:t>for the treatment of RCC or STS</w:t>
      </w:r>
      <w:r w:rsidR="00E405B8">
        <w:t xml:space="preserve"> </w:t>
      </w:r>
      <w:r w:rsidRPr="006A038F">
        <w:rPr>
          <w:rFonts w:ascii="Arial" w:hAnsi="Arial" w:cs="Arial"/>
          <w:sz w:val="22"/>
          <w:szCs w:val="22"/>
          <w:lang w:val="en-US"/>
        </w:rPr>
        <w:t>is 800 mg orally once daily.</w:t>
      </w:r>
    </w:p>
    <w:p w:rsidR="000D7C7E" w:rsidRPr="006A038F" w:rsidRDefault="000D7C7E" w:rsidP="000D7C7E">
      <w:pPr>
        <w:spacing w:line="300" w:lineRule="atLeast"/>
        <w:jc w:val="both"/>
        <w:rPr>
          <w:rFonts w:ascii="Arial" w:hAnsi="Arial" w:cs="Arial"/>
          <w:sz w:val="22"/>
          <w:szCs w:val="22"/>
          <w:lang w:val="en-US"/>
        </w:rPr>
      </w:pPr>
    </w:p>
    <w:p w:rsidR="000D7C7E" w:rsidRPr="006A038F" w:rsidRDefault="002F1277" w:rsidP="000D7C7E">
      <w:pPr>
        <w:spacing w:line="300" w:lineRule="atLeast"/>
        <w:jc w:val="both"/>
        <w:rPr>
          <w:rFonts w:ascii="Arial" w:hAnsi="Arial" w:cs="Arial"/>
          <w:sz w:val="22"/>
          <w:szCs w:val="22"/>
          <w:lang w:val="en-US"/>
        </w:rPr>
      </w:pPr>
      <w:r>
        <w:rPr>
          <w:rFonts w:ascii="Arial" w:hAnsi="Arial" w:cs="Arial"/>
          <w:sz w:val="22"/>
          <w:szCs w:val="22"/>
          <w:lang w:val="en-US"/>
        </w:rPr>
        <w:t>VOTRIENT</w:t>
      </w:r>
      <w:r w:rsidR="000D7C7E" w:rsidRPr="006A038F">
        <w:rPr>
          <w:rFonts w:ascii="Arial" w:hAnsi="Arial" w:cs="Arial"/>
          <w:sz w:val="22"/>
          <w:szCs w:val="22"/>
          <w:lang w:val="en-US"/>
        </w:rPr>
        <w:t xml:space="preserve"> should be taken without food (at least one hour before or two hours after a meal) (</w:t>
      </w:r>
      <w:r w:rsidR="000D7C7E" w:rsidRPr="006A038F">
        <w:rPr>
          <w:rFonts w:ascii="Arial" w:hAnsi="Arial" w:cs="Arial"/>
          <w:i/>
          <w:sz w:val="22"/>
          <w:szCs w:val="22"/>
          <w:lang w:val="en-US"/>
        </w:rPr>
        <w:t>see Pharmacokinetics</w:t>
      </w:r>
      <w:r w:rsidR="000D7C7E" w:rsidRPr="006A038F">
        <w:rPr>
          <w:rFonts w:ascii="Arial" w:hAnsi="Arial" w:cs="Arial"/>
          <w:sz w:val="22"/>
          <w:szCs w:val="22"/>
          <w:lang w:val="en-US"/>
        </w:rPr>
        <w:t>).</w:t>
      </w:r>
    </w:p>
    <w:p w:rsidR="000D7C7E" w:rsidRDefault="000D7C7E" w:rsidP="000D7C7E">
      <w:pPr>
        <w:spacing w:line="300" w:lineRule="atLeast"/>
        <w:jc w:val="both"/>
        <w:rPr>
          <w:rFonts w:ascii="Arial" w:hAnsi="Arial" w:cs="Arial"/>
          <w:sz w:val="22"/>
          <w:szCs w:val="22"/>
          <w:lang w:val="en-US"/>
        </w:rPr>
      </w:pPr>
    </w:p>
    <w:p w:rsidR="005E3DE7" w:rsidRDefault="005E3DE7" w:rsidP="000D7C7E">
      <w:pPr>
        <w:spacing w:line="300" w:lineRule="atLeast"/>
        <w:jc w:val="both"/>
        <w:rPr>
          <w:rFonts w:ascii="Arial" w:hAnsi="Arial" w:cs="Arial"/>
          <w:sz w:val="22"/>
          <w:szCs w:val="22"/>
          <w:lang w:val="en-US"/>
        </w:rPr>
      </w:pPr>
      <w:r>
        <w:rPr>
          <w:rFonts w:ascii="Arial" w:hAnsi="Arial" w:cs="Arial"/>
          <w:sz w:val="22"/>
          <w:szCs w:val="22"/>
          <w:lang w:val="en-US"/>
        </w:rPr>
        <w:t>VOTRIENT should be taken whole with water and must not be broken or crushed.</w:t>
      </w:r>
    </w:p>
    <w:p w:rsidR="005E3DE7" w:rsidRDefault="005E3DE7" w:rsidP="000D7C7E">
      <w:pPr>
        <w:spacing w:line="300" w:lineRule="atLeast"/>
        <w:jc w:val="both"/>
        <w:rPr>
          <w:rFonts w:ascii="Arial" w:hAnsi="Arial" w:cs="Arial"/>
          <w:sz w:val="22"/>
          <w:szCs w:val="22"/>
          <w:lang w:val="en-US"/>
        </w:rPr>
      </w:pPr>
    </w:p>
    <w:p w:rsidR="005E3DE7" w:rsidRDefault="005E3DE7" w:rsidP="000D7C7E">
      <w:pPr>
        <w:spacing w:line="300" w:lineRule="atLeast"/>
        <w:jc w:val="both"/>
        <w:rPr>
          <w:rFonts w:ascii="Arial" w:hAnsi="Arial" w:cs="Arial"/>
          <w:sz w:val="22"/>
          <w:szCs w:val="22"/>
          <w:lang w:val="en-US"/>
        </w:rPr>
      </w:pPr>
      <w:r>
        <w:rPr>
          <w:rFonts w:ascii="Arial" w:hAnsi="Arial" w:cs="Arial"/>
          <w:sz w:val="22"/>
          <w:szCs w:val="22"/>
          <w:lang w:val="en-US"/>
        </w:rPr>
        <w:t>If a dose is missed, it should not be taken if it is less than 12 hours until the next dose.</w:t>
      </w:r>
    </w:p>
    <w:p w:rsidR="005E3DE7" w:rsidRPr="006A038F" w:rsidRDefault="005E3DE7" w:rsidP="000D7C7E">
      <w:pPr>
        <w:spacing w:line="300" w:lineRule="atLeast"/>
        <w:jc w:val="both"/>
        <w:rPr>
          <w:rFonts w:ascii="Arial" w:hAnsi="Arial" w:cs="Arial"/>
          <w:sz w:val="22"/>
          <w:szCs w:val="22"/>
          <w:lang w:val="en-US"/>
        </w:rPr>
      </w:pPr>
    </w:p>
    <w:p w:rsidR="000D7C7E" w:rsidRPr="006A038F" w:rsidRDefault="000D7C7E" w:rsidP="000D7C7E">
      <w:pPr>
        <w:spacing w:line="300" w:lineRule="atLeast"/>
        <w:jc w:val="both"/>
        <w:rPr>
          <w:rFonts w:ascii="Arial" w:hAnsi="Arial" w:cs="Arial"/>
          <w:i/>
          <w:sz w:val="22"/>
          <w:szCs w:val="22"/>
          <w:u w:val="single"/>
        </w:rPr>
      </w:pPr>
      <w:r w:rsidRPr="006A038F">
        <w:rPr>
          <w:rFonts w:ascii="Arial" w:hAnsi="Arial" w:cs="Arial"/>
          <w:i/>
          <w:sz w:val="22"/>
          <w:szCs w:val="22"/>
          <w:u w:val="single"/>
        </w:rPr>
        <w:t>Dose Modifications</w:t>
      </w:r>
    </w:p>
    <w:p w:rsidR="000D7C7E" w:rsidRPr="006A038F" w:rsidRDefault="000D7C7E" w:rsidP="000D7C7E">
      <w:pPr>
        <w:spacing w:line="300" w:lineRule="atLeast"/>
        <w:jc w:val="both"/>
        <w:rPr>
          <w:rFonts w:ascii="Arial" w:hAnsi="Arial" w:cs="Arial"/>
          <w:i/>
          <w:sz w:val="22"/>
          <w:szCs w:val="22"/>
          <w:u w:val="single"/>
        </w:rPr>
      </w:pPr>
    </w:p>
    <w:p w:rsidR="000D7C7E" w:rsidRPr="006A038F" w:rsidRDefault="00EE44A6" w:rsidP="000D7C7E">
      <w:pPr>
        <w:spacing w:line="300" w:lineRule="atLeast"/>
        <w:jc w:val="both"/>
        <w:rPr>
          <w:rFonts w:ascii="Arial" w:hAnsi="Arial" w:cs="Arial"/>
          <w:sz w:val="22"/>
          <w:szCs w:val="22"/>
        </w:rPr>
      </w:pPr>
      <w:r>
        <w:rPr>
          <w:rFonts w:ascii="Arial" w:hAnsi="Arial" w:cs="Arial"/>
          <w:sz w:val="22"/>
          <w:szCs w:val="22"/>
        </w:rPr>
        <w:t>D</w:t>
      </w:r>
      <w:r w:rsidR="00022845" w:rsidRPr="006A038F">
        <w:rPr>
          <w:rFonts w:ascii="Arial" w:hAnsi="Arial" w:cs="Arial"/>
          <w:sz w:val="22"/>
          <w:szCs w:val="22"/>
        </w:rPr>
        <w:t xml:space="preserve">ose </w:t>
      </w:r>
      <w:r w:rsidR="000D7C7E" w:rsidRPr="006A038F">
        <w:rPr>
          <w:rFonts w:ascii="Arial" w:hAnsi="Arial" w:cs="Arial"/>
          <w:sz w:val="22"/>
          <w:szCs w:val="22"/>
        </w:rPr>
        <w:t>modification</w:t>
      </w:r>
      <w:r w:rsidR="00FB4B15">
        <w:rPr>
          <w:rFonts w:ascii="Arial" w:hAnsi="Arial" w:cs="Arial"/>
          <w:sz w:val="22"/>
          <w:szCs w:val="22"/>
        </w:rPr>
        <w:t>, either an increase or decrease in dose,</w:t>
      </w:r>
      <w:r w:rsidR="000D7C7E" w:rsidRPr="006A038F">
        <w:rPr>
          <w:rFonts w:ascii="Arial" w:hAnsi="Arial" w:cs="Arial"/>
          <w:sz w:val="22"/>
          <w:szCs w:val="22"/>
        </w:rPr>
        <w:t xml:space="preserve"> should be in 200 mg increments in a stepwise fashion based on individual tolerability in order to manage adverse reactions. </w:t>
      </w:r>
      <w:r w:rsidR="006A038F">
        <w:rPr>
          <w:rFonts w:ascii="Arial" w:hAnsi="Arial" w:cs="Arial"/>
          <w:sz w:val="22"/>
          <w:szCs w:val="22"/>
        </w:rPr>
        <w:t xml:space="preserve"> </w:t>
      </w:r>
      <w:r w:rsidR="000D7C7E" w:rsidRPr="006A038F">
        <w:rPr>
          <w:rFonts w:ascii="Arial" w:hAnsi="Arial" w:cs="Arial"/>
          <w:sz w:val="22"/>
          <w:szCs w:val="22"/>
        </w:rPr>
        <w:t xml:space="preserve">The </w:t>
      </w:r>
      <w:r w:rsidR="00090947">
        <w:rPr>
          <w:rFonts w:ascii="Arial" w:hAnsi="Arial" w:cs="Arial"/>
          <w:sz w:val="22"/>
          <w:szCs w:val="22"/>
        </w:rPr>
        <w:t>daily</w:t>
      </w:r>
      <w:r w:rsidR="00F51450">
        <w:rPr>
          <w:rFonts w:ascii="Arial" w:hAnsi="Arial" w:cs="Arial"/>
          <w:sz w:val="22"/>
          <w:szCs w:val="22"/>
        </w:rPr>
        <w:t xml:space="preserve"> </w:t>
      </w:r>
      <w:r w:rsidR="000D7C7E" w:rsidRPr="006A038F">
        <w:rPr>
          <w:rFonts w:ascii="Arial" w:hAnsi="Arial" w:cs="Arial"/>
          <w:sz w:val="22"/>
          <w:szCs w:val="22"/>
        </w:rPr>
        <w:t xml:space="preserve">dose of </w:t>
      </w:r>
      <w:r w:rsidR="002F1277">
        <w:rPr>
          <w:rFonts w:ascii="Arial" w:hAnsi="Arial" w:cs="Arial"/>
          <w:sz w:val="22"/>
          <w:szCs w:val="22"/>
        </w:rPr>
        <w:t>VOTRIENT</w:t>
      </w:r>
      <w:r w:rsidR="000D7C7E" w:rsidRPr="006A038F">
        <w:rPr>
          <w:rFonts w:ascii="Arial" w:hAnsi="Arial" w:cs="Arial"/>
          <w:sz w:val="22"/>
          <w:szCs w:val="22"/>
        </w:rPr>
        <w:t xml:space="preserve"> should not exceed 800 mg.</w:t>
      </w:r>
    </w:p>
    <w:p w:rsidR="000D7C7E" w:rsidRPr="006A038F" w:rsidRDefault="000D7C7E" w:rsidP="000D7C7E">
      <w:pPr>
        <w:spacing w:line="300" w:lineRule="atLeast"/>
        <w:jc w:val="both"/>
        <w:rPr>
          <w:rFonts w:ascii="Arial" w:hAnsi="Arial" w:cs="Arial"/>
          <w:i/>
          <w:sz w:val="22"/>
          <w:szCs w:val="22"/>
          <w:u w:val="single"/>
        </w:rPr>
      </w:pPr>
    </w:p>
    <w:p w:rsidR="000D7C7E" w:rsidRPr="006A038F" w:rsidRDefault="000D7C7E" w:rsidP="000D7C7E">
      <w:pPr>
        <w:pStyle w:val="NoNumHead3"/>
        <w:spacing w:line="300" w:lineRule="atLeast"/>
        <w:jc w:val="both"/>
        <w:rPr>
          <w:rFonts w:cs="Arial"/>
          <w:snapToGrid w:val="0"/>
          <w:sz w:val="22"/>
          <w:szCs w:val="22"/>
          <w:lang w:val="en-US" w:eastAsia="en-US"/>
        </w:rPr>
      </w:pPr>
      <w:r w:rsidRPr="006A038F">
        <w:rPr>
          <w:rFonts w:cs="Arial"/>
          <w:snapToGrid w:val="0"/>
          <w:sz w:val="22"/>
          <w:szCs w:val="22"/>
          <w:lang w:val="en-US" w:eastAsia="en-US"/>
        </w:rPr>
        <w:t>Populations</w:t>
      </w:r>
    </w:p>
    <w:p w:rsidR="000D7C7E" w:rsidRPr="006A038F" w:rsidRDefault="000D7C7E" w:rsidP="006A038F">
      <w:pPr>
        <w:pStyle w:val="listbull"/>
        <w:numPr>
          <w:ilvl w:val="0"/>
          <w:numId w:val="0"/>
        </w:numPr>
        <w:tabs>
          <w:tab w:val="num" w:pos="540"/>
        </w:tabs>
        <w:spacing w:before="120" w:line="300" w:lineRule="atLeast"/>
        <w:jc w:val="both"/>
        <w:rPr>
          <w:rFonts w:ascii="Arial" w:hAnsi="Arial" w:cs="Arial"/>
          <w:sz w:val="22"/>
          <w:szCs w:val="22"/>
          <w:u w:val="single"/>
        </w:rPr>
      </w:pPr>
      <w:r w:rsidRPr="006A038F">
        <w:rPr>
          <w:rFonts w:ascii="Arial" w:hAnsi="Arial" w:cs="Arial"/>
          <w:snapToGrid w:val="0"/>
          <w:sz w:val="22"/>
          <w:szCs w:val="22"/>
          <w:u w:val="single"/>
          <w:lang w:val="en-US" w:eastAsia="en-US"/>
        </w:rPr>
        <w:t>Children</w:t>
      </w:r>
    </w:p>
    <w:p w:rsidR="000D7C7E" w:rsidRPr="00A62D57" w:rsidRDefault="00A62D57" w:rsidP="006A038F">
      <w:pPr>
        <w:pStyle w:val="listbull"/>
        <w:numPr>
          <w:ilvl w:val="0"/>
          <w:numId w:val="0"/>
        </w:numPr>
        <w:spacing w:after="0" w:line="300" w:lineRule="atLeast"/>
        <w:jc w:val="both"/>
        <w:rPr>
          <w:rFonts w:ascii="Arial" w:hAnsi="Arial" w:cs="Arial"/>
          <w:snapToGrid w:val="0"/>
          <w:sz w:val="22"/>
          <w:szCs w:val="22"/>
          <w:lang w:eastAsia="en-US"/>
        </w:rPr>
      </w:pPr>
      <w:r w:rsidRPr="00A62D57">
        <w:rPr>
          <w:rFonts w:ascii="Arial" w:hAnsi="Arial" w:cs="Arial"/>
          <w:noProof/>
          <w:sz w:val="22"/>
          <w:szCs w:val="22"/>
        </w:rPr>
        <w:t>VOTRIENT is not recommended for use in children and adolescents below 18 years of age due to insufficient data on safety and efficacy</w:t>
      </w:r>
      <w:r>
        <w:rPr>
          <w:rFonts w:ascii="Arial" w:hAnsi="Arial" w:cs="Arial"/>
          <w:snapToGrid w:val="0"/>
          <w:sz w:val="22"/>
          <w:szCs w:val="22"/>
          <w:lang w:eastAsia="en-US"/>
        </w:rPr>
        <w:t xml:space="preserve"> </w:t>
      </w:r>
      <w:r w:rsidR="00EE44A6" w:rsidRPr="00A62D57">
        <w:rPr>
          <w:rFonts w:ascii="Arial" w:hAnsi="Arial" w:cs="Arial"/>
          <w:snapToGrid w:val="0"/>
          <w:sz w:val="22"/>
          <w:szCs w:val="22"/>
          <w:lang w:eastAsia="en-US"/>
        </w:rPr>
        <w:t>(see Precautions)</w:t>
      </w:r>
      <w:r w:rsidR="000D7C7E" w:rsidRPr="00A62D57">
        <w:rPr>
          <w:rFonts w:ascii="Arial" w:hAnsi="Arial" w:cs="Arial"/>
          <w:snapToGrid w:val="0"/>
          <w:sz w:val="22"/>
          <w:szCs w:val="22"/>
          <w:lang w:eastAsia="en-US"/>
        </w:rPr>
        <w:t>.</w:t>
      </w:r>
    </w:p>
    <w:p w:rsidR="006A038F" w:rsidRPr="006A038F" w:rsidRDefault="006A038F" w:rsidP="006A038F">
      <w:pPr>
        <w:pStyle w:val="listbull"/>
        <w:numPr>
          <w:ilvl w:val="0"/>
          <w:numId w:val="0"/>
        </w:numPr>
        <w:spacing w:after="0" w:line="300" w:lineRule="atLeast"/>
        <w:jc w:val="both"/>
        <w:rPr>
          <w:rFonts w:ascii="Arial" w:hAnsi="Arial" w:cs="Arial"/>
          <w:snapToGrid w:val="0"/>
          <w:sz w:val="22"/>
          <w:szCs w:val="22"/>
          <w:lang w:eastAsia="en-US"/>
        </w:rPr>
      </w:pPr>
    </w:p>
    <w:p w:rsidR="000D7C7E" w:rsidRPr="006A038F" w:rsidRDefault="000D7C7E" w:rsidP="006A038F">
      <w:pPr>
        <w:pStyle w:val="listbull"/>
        <w:numPr>
          <w:ilvl w:val="0"/>
          <w:numId w:val="0"/>
        </w:numPr>
        <w:spacing w:before="120" w:line="300" w:lineRule="atLeast"/>
        <w:jc w:val="both"/>
        <w:rPr>
          <w:rFonts w:ascii="Arial" w:hAnsi="Arial" w:cs="Arial"/>
          <w:sz w:val="22"/>
          <w:szCs w:val="22"/>
          <w:u w:val="single"/>
        </w:rPr>
      </w:pPr>
      <w:r w:rsidRPr="006A038F">
        <w:rPr>
          <w:rFonts w:ascii="Arial" w:hAnsi="Arial" w:cs="Arial"/>
          <w:sz w:val="22"/>
          <w:szCs w:val="22"/>
          <w:u w:val="single"/>
        </w:rPr>
        <w:t>Elderly</w:t>
      </w:r>
    </w:p>
    <w:p w:rsidR="000D7C7E" w:rsidRDefault="000D7C7E" w:rsidP="006A038F">
      <w:pPr>
        <w:spacing w:line="300" w:lineRule="atLeast"/>
        <w:jc w:val="both"/>
        <w:rPr>
          <w:rFonts w:ascii="Arial" w:hAnsi="Arial" w:cs="Arial"/>
          <w:sz w:val="22"/>
          <w:szCs w:val="22"/>
        </w:rPr>
      </w:pPr>
      <w:r w:rsidRPr="006A038F">
        <w:rPr>
          <w:rFonts w:ascii="Arial" w:hAnsi="Arial" w:cs="Arial"/>
          <w:sz w:val="22"/>
          <w:szCs w:val="22"/>
        </w:rPr>
        <w:t>No alteration of dosage, dosing frequency or route of administration is required in patients over 65 years.</w:t>
      </w:r>
    </w:p>
    <w:p w:rsidR="006A038F" w:rsidRPr="006A038F" w:rsidRDefault="006A038F" w:rsidP="006A038F">
      <w:pPr>
        <w:spacing w:line="300" w:lineRule="atLeast"/>
        <w:jc w:val="both"/>
        <w:rPr>
          <w:rFonts w:ascii="Arial" w:hAnsi="Arial" w:cs="Arial"/>
          <w:b/>
          <w:i/>
          <w:sz w:val="22"/>
          <w:szCs w:val="22"/>
        </w:rPr>
      </w:pPr>
    </w:p>
    <w:p w:rsidR="000D7C7E" w:rsidRPr="006A038F" w:rsidRDefault="000D7C7E" w:rsidP="00560F6D">
      <w:pPr>
        <w:pStyle w:val="listbull"/>
        <w:numPr>
          <w:ilvl w:val="0"/>
          <w:numId w:val="0"/>
        </w:numPr>
        <w:spacing w:before="120" w:line="300" w:lineRule="atLeast"/>
        <w:jc w:val="both"/>
        <w:rPr>
          <w:rFonts w:ascii="Arial" w:hAnsi="Arial" w:cs="Arial"/>
          <w:snapToGrid w:val="0"/>
          <w:sz w:val="22"/>
          <w:szCs w:val="22"/>
          <w:u w:val="single"/>
          <w:lang w:val="en-US" w:eastAsia="en-US"/>
        </w:rPr>
      </w:pPr>
      <w:r w:rsidRPr="006A038F">
        <w:rPr>
          <w:rFonts w:ascii="Arial" w:hAnsi="Arial" w:cs="Arial"/>
          <w:snapToGrid w:val="0"/>
          <w:sz w:val="22"/>
          <w:szCs w:val="22"/>
          <w:u w:val="single"/>
          <w:lang w:val="en-US" w:eastAsia="en-US"/>
        </w:rPr>
        <w:t>Renal Impairment</w:t>
      </w:r>
    </w:p>
    <w:p w:rsidR="006F690F" w:rsidRDefault="006F690F" w:rsidP="006F690F">
      <w:pPr>
        <w:spacing w:before="120" w:after="120" w:line="300" w:lineRule="atLeast"/>
        <w:jc w:val="both"/>
        <w:rPr>
          <w:rFonts w:ascii="Arial" w:hAnsi="Arial" w:cs="Arial"/>
          <w:sz w:val="22"/>
          <w:szCs w:val="22"/>
        </w:rPr>
      </w:pPr>
      <w:r w:rsidRPr="006A038F">
        <w:rPr>
          <w:rFonts w:ascii="Arial" w:hAnsi="Arial" w:cs="Arial"/>
          <w:sz w:val="22"/>
          <w:szCs w:val="22"/>
        </w:rPr>
        <w:t xml:space="preserve">Renal impairment is </w:t>
      </w:r>
      <w:r w:rsidRPr="00602833">
        <w:rPr>
          <w:rFonts w:ascii="Arial" w:hAnsi="Arial" w:cs="Arial"/>
          <w:sz w:val="22"/>
          <w:szCs w:val="22"/>
        </w:rPr>
        <w:t>not expected</w:t>
      </w:r>
      <w:r w:rsidRPr="006A038F">
        <w:rPr>
          <w:rFonts w:ascii="Arial" w:hAnsi="Arial" w:cs="Arial"/>
          <w:sz w:val="22"/>
          <w:szCs w:val="22"/>
        </w:rPr>
        <w:t xml:space="preserve"> to have a clinically relevant effect on </w:t>
      </w:r>
      <w:r>
        <w:rPr>
          <w:rFonts w:ascii="Arial" w:hAnsi="Arial" w:cs="Arial"/>
          <w:sz w:val="22"/>
          <w:szCs w:val="22"/>
        </w:rPr>
        <w:t>VOTRIENT</w:t>
      </w:r>
      <w:r w:rsidRPr="006A038F">
        <w:rPr>
          <w:rFonts w:ascii="Arial" w:hAnsi="Arial" w:cs="Arial"/>
          <w:sz w:val="22"/>
          <w:szCs w:val="22"/>
        </w:rPr>
        <w:t xml:space="preserve"> pharmacokinetics given the low renal excretion of pazopanib and metabolites (</w:t>
      </w:r>
      <w:r w:rsidRPr="006A038F">
        <w:rPr>
          <w:rFonts w:ascii="Arial" w:hAnsi="Arial" w:cs="Arial"/>
          <w:i/>
          <w:sz w:val="22"/>
          <w:szCs w:val="22"/>
        </w:rPr>
        <w:t xml:space="preserve">see </w:t>
      </w:r>
      <w:r w:rsidR="00B73F92">
        <w:rPr>
          <w:rFonts w:ascii="Arial" w:hAnsi="Arial" w:cs="Arial"/>
          <w:i/>
          <w:sz w:val="22"/>
          <w:szCs w:val="22"/>
        </w:rPr>
        <w:t>Excretion</w:t>
      </w:r>
      <w:r w:rsidRPr="006A038F">
        <w:rPr>
          <w:rFonts w:ascii="Arial" w:hAnsi="Arial" w:cs="Arial"/>
          <w:sz w:val="22"/>
          <w:szCs w:val="22"/>
        </w:rPr>
        <w:t>).</w:t>
      </w:r>
    </w:p>
    <w:p w:rsidR="00683316" w:rsidRDefault="006F690F" w:rsidP="00412BF5">
      <w:pPr>
        <w:spacing w:before="120" w:after="120" w:line="300" w:lineRule="atLeast"/>
        <w:jc w:val="both"/>
        <w:rPr>
          <w:rFonts w:ascii="Arial" w:hAnsi="Arial" w:cs="Arial"/>
          <w:sz w:val="22"/>
          <w:szCs w:val="22"/>
        </w:rPr>
      </w:pPr>
      <w:r w:rsidRPr="00602833">
        <w:rPr>
          <w:rFonts w:ascii="Arial" w:hAnsi="Arial" w:cs="Arial"/>
          <w:color w:val="000000"/>
          <w:sz w:val="22"/>
          <w:szCs w:val="22"/>
        </w:rPr>
        <w:t xml:space="preserve">Renal impairment is not expected to influence pazopanib exposure, and dose adjustment is not necessary in patients </w:t>
      </w:r>
      <w:r w:rsidRPr="00871343">
        <w:rPr>
          <w:rFonts w:ascii="Arial" w:hAnsi="Arial" w:cs="Arial"/>
          <w:color w:val="000000"/>
          <w:sz w:val="22"/>
          <w:szCs w:val="22"/>
        </w:rPr>
        <w:t>with creatinine clearance ≥30ml/min. There is no experience of VOTRIENT in patients with severe renal impairment or in patients undergoing peritoneal dialysis or haemodialysis;</w:t>
      </w:r>
      <w:r w:rsidRPr="00871343">
        <w:rPr>
          <w:rFonts w:ascii="Arial" w:hAnsi="Arial" w:cs="Arial"/>
          <w:bCs/>
          <w:iCs/>
          <w:color w:val="000000"/>
          <w:sz w:val="22"/>
          <w:szCs w:val="22"/>
        </w:rPr>
        <w:t xml:space="preserve"> therefore, use of pazopanib is not recommended</w:t>
      </w:r>
      <w:r w:rsidRPr="00602833">
        <w:rPr>
          <w:rFonts w:ascii="Arial" w:hAnsi="Arial" w:cs="Arial"/>
          <w:bCs/>
          <w:iCs/>
          <w:color w:val="000000"/>
          <w:sz w:val="22"/>
          <w:szCs w:val="22"/>
        </w:rPr>
        <w:t xml:space="preserve"> in these patients.</w:t>
      </w:r>
      <w:r w:rsidRPr="00B35891">
        <w:rPr>
          <w:rFonts w:ascii="Arial" w:hAnsi="Arial" w:cs="Arial"/>
          <w:sz w:val="22"/>
          <w:szCs w:val="22"/>
        </w:rPr>
        <w:t xml:space="preserve">  </w:t>
      </w:r>
    </w:p>
    <w:p w:rsidR="000D7C7E" w:rsidRPr="006A038F" w:rsidRDefault="000D7C7E" w:rsidP="00560F6D">
      <w:pPr>
        <w:pStyle w:val="listbull"/>
        <w:numPr>
          <w:ilvl w:val="0"/>
          <w:numId w:val="0"/>
        </w:numPr>
        <w:spacing w:before="120" w:line="300" w:lineRule="atLeast"/>
        <w:jc w:val="both"/>
        <w:rPr>
          <w:rFonts w:ascii="Arial" w:hAnsi="Arial" w:cs="Arial"/>
          <w:snapToGrid w:val="0"/>
          <w:sz w:val="22"/>
          <w:szCs w:val="22"/>
          <w:u w:val="single"/>
          <w:lang w:val="en-US" w:eastAsia="en-US"/>
        </w:rPr>
      </w:pPr>
      <w:r w:rsidRPr="006A038F">
        <w:rPr>
          <w:rFonts w:ascii="Arial" w:hAnsi="Arial" w:cs="Arial"/>
          <w:snapToGrid w:val="0"/>
          <w:sz w:val="22"/>
          <w:szCs w:val="22"/>
          <w:u w:val="single"/>
          <w:lang w:val="en-US" w:eastAsia="en-US"/>
        </w:rPr>
        <w:t>Hepatic Impairment</w:t>
      </w:r>
    </w:p>
    <w:p w:rsidR="006F690F" w:rsidRDefault="006F690F" w:rsidP="006D291E">
      <w:pPr>
        <w:pStyle w:val="listbull"/>
        <w:numPr>
          <w:ilvl w:val="0"/>
          <w:numId w:val="0"/>
        </w:numPr>
        <w:spacing w:before="120" w:line="300" w:lineRule="atLeast"/>
        <w:jc w:val="both"/>
        <w:rPr>
          <w:rFonts w:ascii="Arial" w:hAnsi="Arial" w:cs="Arial"/>
          <w:sz w:val="22"/>
          <w:szCs w:val="22"/>
        </w:rPr>
      </w:pPr>
      <w:r w:rsidRPr="006A038F">
        <w:rPr>
          <w:rFonts w:ascii="Arial" w:hAnsi="Arial" w:cs="Arial"/>
          <w:sz w:val="22"/>
          <w:szCs w:val="22"/>
        </w:rPr>
        <w:t xml:space="preserve">The safety and pharmacokinetics of </w:t>
      </w:r>
      <w:r>
        <w:rPr>
          <w:rFonts w:ascii="Arial" w:hAnsi="Arial" w:cs="Arial"/>
          <w:sz w:val="22"/>
          <w:szCs w:val="22"/>
        </w:rPr>
        <w:t>VOTRIENT</w:t>
      </w:r>
      <w:r w:rsidRPr="006A038F">
        <w:rPr>
          <w:rFonts w:ascii="Arial" w:hAnsi="Arial" w:cs="Arial"/>
          <w:sz w:val="22"/>
          <w:szCs w:val="22"/>
        </w:rPr>
        <w:t xml:space="preserve"> in patients with </w:t>
      </w:r>
      <w:r>
        <w:rPr>
          <w:rFonts w:ascii="Arial" w:hAnsi="Arial" w:cs="Arial"/>
          <w:sz w:val="22"/>
          <w:szCs w:val="22"/>
        </w:rPr>
        <w:t xml:space="preserve">pre-existing </w:t>
      </w:r>
      <w:r w:rsidRPr="006A038F">
        <w:rPr>
          <w:rFonts w:ascii="Arial" w:hAnsi="Arial" w:cs="Arial"/>
          <w:sz w:val="22"/>
          <w:szCs w:val="22"/>
        </w:rPr>
        <w:t>hepatic impairment have not been fully established (</w:t>
      </w:r>
      <w:r w:rsidRPr="006A038F">
        <w:rPr>
          <w:rFonts w:ascii="Arial" w:hAnsi="Arial" w:cs="Arial"/>
          <w:i/>
          <w:sz w:val="22"/>
          <w:szCs w:val="22"/>
        </w:rPr>
        <w:t>see Precautions</w:t>
      </w:r>
      <w:r w:rsidRPr="006A038F">
        <w:rPr>
          <w:rFonts w:ascii="Arial" w:hAnsi="Arial" w:cs="Arial"/>
          <w:sz w:val="22"/>
          <w:szCs w:val="22"/>
        </w:rPr>
        <w:t>).</w:t>
      </w:r>
    </w:p>
    <w:p w:rsidR="006F690F" w:rsidRDefault="006F690F" w:rsidP="006D291E">
      <w:pPr>
        <w:pStyle w:val="listbull"/>
        <w:numPr>
          <w:ilvl w:val="0"/>
          <w:numId w:val="0"/>
        </w:numPr>
        <w:spacing w:line="300" w:lineRule="atLeast"/>
        <w:jc w:val="both"/>
        <w:rPr>
          <w:rFonts w:ascii="Arial" w:hAnsi="Arial" w:cs="Arial"/>
          <w:color w:val="000000"/>
          <w:sz w:val="22"/>
          <w:szCs w:val="22"/>
        </w:rPr>
      </w:pPr>
      <w:r w:rsidRPr="000A15B5">
        <w:rPr>
          <w:rFonts w:ascii="Arial" w:hAnsi="Arial" w:cs="Arial"/>
          <w:color w:val="000000"/>
          <w:sz w:val="22"/>
          <w:szCs w:val="22"/>
        </w:rPr>
        <w:t>No dose adjustment is required in patients with mild hepatic impairment as defined by alanine aminotransferase (ALT) and bilirubin (</w:t>
      </w:r>
      <w:r w:rsidRPr="000A15B5">
        <w:rPr>
          <w:rFonts w:ascii="Arial" w:hAnsi="Arial" w:cs="Arial"/>
          <w:i/>
          <w:color w:val="000000"/>
          <w:sz w:val="22"/>
          <w:szCs w:val="22"/>
        </w:rPr>
        <w:t>see Pharmacology</w:t>
      </w:r>
      <w:r w:rsidRPr="000A15B5">
        <w:rPr>
          <w:rFonts w:ascii="Arial" w:hAnsi="Arial" w:cs="Arial"/>
          <w:color w:val="000000"/>
          <w:sz w:val="22"/>
          <w:szCs w:val="22"/>
        </w:rPr>
        <w:t>).</w:t>
      </w:r>
    </w:p>
    <w:p w:rsidR="00913017" w:rsidRPr="000D7C7E" w:rsidRDefault="006F690F" w:rsidP="006D291E">
      <w:pPr>
        <w:autoSpaceDE w:val="0"/>
        <w:autoSpaceDN w:val="0"/>
        <w:adjustRightInd w:val="0"/>
        <w:spacing w:line="300" w:lineRule="atLeast"/>
        <w:jc w:val="both"/>
        <w:rPr>
          <w:rFonts w:ascii="Arial" w:hAnsi="Arial" w:cs="Arial"/>
          <w:sz w:val="22"/>
          <w:szCs w:val="22"/>
          <w:lang w:val="en-GB"/>
        </w:rPr>
      </w:pPr>
      <w:r w:rsidRPr="006F690F">
        <w:rPr>
          <w:rFonts w:ascii="Arial" w:hAnsi="Arial" w:cs="Arial"/>
          <w:sz w:val="22"/>
          <w:szCs w:val="22"/>
        </w:rPr>
        <w:t>The dose of VOTRIENT should be reduced to 200 mg per day in patients with moderate hepatic</w:t>
      </w:r>
      <w:r>
        <w:rPr>
          <w:rFonts w:ascii="Arial" w:hAnsi="Arial" w:cs="Arial"/>
          <w:sz w:val="22"/>
          <w:szCs w:val="22"/>
        </w:rPr>
        <w:t xml:space="preserve"> impairment).  There are insufficient data in patients with severe hepatic impairment (total bilirubin &gt; 3 x ULN regardless of any level of ALT); therefore, use of VOTRIENT is not recommended in these patients.  </w:t>
      </w:r>
    </w:p>
    <w:p w:rsidR="00AE4348" w:rsidRPr="007E4D67" w:rsidRDefault="00AE4348" w:rsidP="006D291E">
      <w:pPr>
        <w:autoSpaceDE w:val="0"/>
        <w:autoSpaceDN w:val="0"/>
        <w:adjustRightInd w:val="0"/>
        <w:jc w:val="both"/>
        <w:rPr>
          <w:rFonts w:ascii="Arial" w:hAnsi="Arial" w:cs="Arial"/>
          <w:sz w:val="22"/>
          <w:szCs w:val="22"/>
        </w:rPr>
      </w:pPr>
    </w:p>
    <w:p w:rsidR="006C4A20" w:rsidRPr="007E4D67" w:rsidRDefault="006C4A20" w:rsidP="006C4A20">
      <w:pPr>
        <w:autoSpaceDE w:val="0"/>
        <w:autoSpaceDN w:val="0"/>
        <w:adjustRightInd w:val="0"/>
        <w:rPr>
          <w:rFonts w:ascii="Arial" w:hAnsi="Arial" w:cs="Arial"/>
        </w:rPr>
      </w:pPr>
      <w:r w:rsidRPr="007E4D67">
        <w:rPr>
          <w:rFonts w:ascii="Arial" w:hAnsi="Arial" w:cs="Arial"/>
          <w:b/>
        </w:rPr>
        <w:t>O</w:t>
      </w:r>
      <w:smartTag w:uri="schemas-GSKSiteLocations-com/fourthcoffee" w:element="flavor">
        <w:r w:rsidRPr="007E4D67">
          <w:rPr>
            <w:rFonts w:ascii="Arial" w:hAnsi="Arial" w:cs="Arial"/>
            <w:b/>
          </w:rPr>
          <w:t>VER</w:t>
        </w:r>
      </w:smartTag>
      <w:r w:rsidRPr="007E4D67">
        <w:rPr>
          <w:rFonts w:ascii="Arial" w:hAnsi="Arial" w:cs="Arial"/>
          <w:b/>
        </w:rPr>
        <w:t>DOSAGE</w:t>
      </w:r>
    </w:p>
    <w:p w:rsidR="00AC7ED0" w:rsidRPr="007E4D67" w:rsidRDefault="00AC7ED0" w:rsidP="00AC7ED0"/>
    <w:p w:rsidR="004279B2" w:rsidRPr="004279B2" w:rsidRDefault="002F1277" w:rsidP="004279B2">
      <w:pPr>
        <w:spacing w:after="120" w:line="300" w:lineRule="atLeast"/>
        <w:jc w:val="both"/>
        <w:rPr>
          <w:rFonts w:ascii="Arial" w:hAnsi="Arial" w:cs="Arial"/>
          <w:sz w:val="22"/>
          <w:szCs w:val="22"/>
        </w:rPr>
      </w:pPr>
      <w:r>
        <w:rPr>
          <w:rFonts w:ascii="Arial" w:hAnsi="Arial" w:cs="Arial"/>
          <w:sz w:val="22"/>
          <w:szCs w:val="22"/>
        </w:rPr>
        <w:t>VOTRIENT</w:t>
      </w:r>
      <w:r w:rsidR="004279B2" w:rsidRPr="004279B2">
        <w:rPr>
          <w:rFonts w:ascii="Arial" w:hAnsi="Arial" w:cs="Arial"/>
          <w:sz w:val="22"/>
          <w:szCs w:val="22"/>
        </w:rPr>
        <w:t xml:space="preserve"> doses up to 2,000 mg have been evaluated in clinical trials.</w:t>
      </w:r>
      <w:r w:rsidR="00305E34">
        <w:rPr>
          <w:rFonts w:ascii="Arial" w:hAnsi="Arial" w:cs="Arial"/>
          <w:sz w:val="22"/>
          <w:szCs w:val="22"/>
        </w:rPr>
        <w:t xml:space="preserve">  Grade 3 fatigue (dose limiting toxicity) and Grade 3 hypertension were each observed in 1 of 3 patients dosed at 2,000 mg and 1,000 mg daily, respectively.</w:t>
      </w:r>
    </w:p>
    <w:p w:rsidR="004279B2" w:rsidRPr="004279B2" w:rsidRDefault="004279B2" w:rsidP="004279B2">
      <w:pPr>
        <w:pStyle w:val="NoNumHead3"/>
        <w:spacing w:before="240" w:after="120" w:line="300" w:lineRule="atLeast"/>
        <w:jc w:val="both"/>
        <w:rPr>
          <w:rFonts w:cs="Arial"/>
          <w:snapToGrid w:val="0"/>
          <w:sz w:val="22"/>
          <w:szCs w:val="22"/>
          <w:lang w:val="en-US" w:eastAsia="en-US"/>
        </w:rPr>
      </w:pPr>
      <w:r w:rsidRPr="004279B2">
        <w:rPr>
          <w:rFonts w:cs="Arial"/>
          <w:snapToGrid w:val="0"/>
          <w:sz w:val="22"/>
          <w:szCs w:val="22"/>
          <w:lang w:val="en-US" w:eastAsia="en-US"/>
        </w:rPr>
        <w:t>Symptoms and Signs</w:t>
      </w:r>
    </w:p>
    <w:p w:rsidR="004279B2" w:rsidRPr="004279B2" w:rsidRDefault="004279B2" w:rsidP="004279B2">
      <w:pPr>
        <w:spacing w:line="300" w:lineRule="atLeast"/>
        <w:jc w:val="both"/>
        <w:rPr>
          <w:rFonts w:ascii="Arial" w:hAnsi="Arial" w:cs="Arial"/>
          <w:sz w:val="22"/>
          <w:szCs w:val="22"/>
          <w:lang w:val="en-US"/>
        </w:rPr>
      </w:pPr>
      <w:r w:rsidRPr="004279B2">
        <w:rPr>
          <w:rFonts w:ascii="Arial" w:hAnsi="Arial" w:cs="Arial"/>
          <w:sz w:val="22"/>
          <w:szCs w:val="22"/>
          <w:lang w:val="en-US"/>
        </w:rPr>
        <w:t xml:space="preserve">There is currently limited experience with overdosage in </w:t>
      </w:r>
      <w:r w:rsidR="002F1277">
        <w:rPr>
          <w:rFonts w:ascii="Arial" w:hAnsi="Arial" w:cs="Arial"/>
          <w:sz w:val="22"/>
          <w:szCs w:val="22"/>
          <w:lang w:val="en-US"/>
        </w:rPr>
        <w:t>VOTRIENT</w:t>
      </w:r>
      <w:r w:rsidRPr="004279B2">
        <w:rPr>
          <w:rFonts w:ascii="Arial" w:hAnsi="Arial" w:cs="Arial"/>
          <w:sz w:val="22"/>
          <w:szCs w:val="22"/>
          <w:lang w:val="en-US"/>
        </w:rPr>
        <w:t>.</w:t>
      </w:r>
    </w:p>
    <w:p w:rsidR="004279B2" w:rsidRPr="004279B2" w:rsidRDefault="004279B2" w:rsidP="004279B2">
      <w:pPr>
        <w:pStyle w:val="NoNumHead3"/>
        <w:spacing w:before="240" w:after="120" w:line="300" w:lineRule="atLeast"/>
        <w:jc w:val="both"/>
        <w:rPr>
          <w:rFonts w:cs="Arial"/>
          <w:snapToGrid w:val="0"/>
          <w:sz w:val="22"/>
          <w:szCs w:val="22"/>
          <w:lang w:val="en-US" w:eastAsia="en-US"/>
        </w:rPr>
      </w:pPr>
      <w:r w:rsidRPr="004279B2">
        <w:rPr>
          <w:rFonts w:cs="Arial"/>
          <w:snapToGrid w:val="0"/>
          <w:sz w:val="22"/>
          <w:szCs w:val="22"/>
          <w:lang w:val="en-US" w:eastAsia="en-US"/>
        </w:rPr>
        <w:t>Treatment</w:t>
      </w:r>
    </w:p>
    <w:p w:rsidR="004279B2" w:rsidRPr="00090421" w:rsidRDefault="004279B2" w:rsidP="004279B2">
      <w:pPr>
        <w:spacing w:line="300" w:lineRule="atLeast"/>
        <w:jc w:val="both"/>
        <w:rPr>
          <w:rFonts w:ascii="Arial" w:hAnsi="Arial" w:cs="Arial"/>
          <w:i/>
          <w:color w:val="000000" w:themeColor="text1"/>
          <w:sz w:val="22"/>
          <w:szCs w:val="22"/>
        </w:rPr>
      </w:pPr>
      <w:r w:rsidRPr="004279B2">
        <w:rPr>
          <w:rFonts w:ascii="Arial" w:hAnsi="Arial" w:cs="Arial"/>
          <w:sz w:val="22"/>
          <w:szCs w:val="22"/>
        </w:rPr>
        <w:t xml:space="preserve">Further management should be as clinically indicated or as recommended by the national poisons centre, where available. </w:t>
      </w:r>
      <w:r>
        <w:rPr>
          <w:rFonts w:ascii="Arial" w:hAnsi="Arial" w:cs="Arial"/>
          <w:sz w:val="22"/>
          <w:szCs w:val="22"/>
        </w:rPr>
        <w:t xml:space="preserve"> </w:t>
      </w:r>
      <w:r w:rsidRPr="004279B2">
        <w:rPr>
          <w:rFonts w:ascii="Arial" w:hAnsi="Arial" w:cs="Arial"/>
          <w:color w:val="000000"/>
          <w:sz w:val="22"/>
          <w:szCs w:val="22"/>
        </w:rPr>
        <w:t xml:space="preserve">Haemodialysis is not expected to enhance the elimination of </w:t>
      </w:r>
      <w:r w:rsidR="002F1277">
        <w:rPr>
          <w:rFonts w:ascii="Arial" w:hAnsi="Arial" w:cs="Arial"/>
          <w:color w:val="000000"/>
          <w:sz w:val="22"/>
          <w:szCs w:val="22"/>
        </w:rPr>
        <w:t>VOTRIENT</w:t>
      </w:r>
      <w:r w:rsidRPr="004279B2">
        <w:rPr>
          <w:rFonts w:ascii="Arial" w:hAnsi="Arial" w:cs="Arial"/>
          <w:color w:val="000000"/>
          <w:sz w:val="22"/>
          <w:szCs w:val="22"/>
        </w:rPr>
        <w:t xml:space="preserve"> </w:t>
      </w:r>
      <w:r w:rsidRPr="00090421">
        <w:rPr>
          <w:rFonts w:ascii="Arial" w:hAnsi="Arial" w:cs="Arial"/>
          <w:color w:val="000000" w:themeColor="text1"/>
          <w:sz w:val="22"/>
          <w:szCs w:val="22"/>
        </w:rPr>
        <w:t>because pazopanib is not significantly renally excreted and is highly bound to plasma proteins.</w:t>
      </w:r>
    </w:p>
    <w:p w:rsidR="00765411" w:rsidRPr="00090421" w:rsidRDefault="00765411" w:rsidP="00560F6D">
      <w:pPr>
        <w:autoSpaceDE w:val="0"/>
        <w:autoSpaceDN w:val="0"/>
        <w:adjustRightInd w:val="0"/>
        <w:rPr>
          <w:rFonts w:ascii="Arial" w:hAnsi="Arial" w:cs="Arial"/>
          <w:b/>
          <w:color w:val="000000" w:themeColor="text1"/>
        </w:rPr>
      </w:pPr>
    </w:p>
    <w:p w:rsidR="00090421" w:rsidRDefault="00090421" w:rsidP="00560F6D">
      <w:pPr>
        <w:autoSpaceDE w:val="0"/>
        <w:autoSpaceDN w:val="0"/>
        <w:adjustRightInd w:val="0"/>
        <w:rPr>
          <w:rFonts w:ascii="Arial" w:hAnsi="Arial" w:cs="Arial"/>
          <w:b/>
        </w:rPr>
      </w:pPr>
    </w:p>
    <w:p w:rsidR="0042465B" w:rsidRDefault="006C4A20" w:rsidP="00560F6D">
      <w:pPr>
        <w:autoSpaceDE w:val="0"/>
        <w:autoSpaceDN w:val="0"/>
        <w:adjustRightInd w:val="0"/>
        <w:rPr>
          <w:rFonts w:ascii="Arial" w:hAnsi="Arial" w:cs="Arial"/>
        </w:rPr>
      </w:pPr>
      <w:r w:rsidRPr="007E4D67">
        <w:rPr>
          <w:rFonts w:ascii="Arial" w:hAnsi="Arial" w:cs="Arial"/>
          <w:b/>
        </w:rPr>
        <w:t xml:space="preserve">PRESENTATION </w:t>
      </w:r>
      <w:smartTag w:uri="urn:schemas-microsoft-com:office:smarttags" w:element="stockticker">
        <w:r w:rsidRPr="007E4D67">
          <w:rPr>
            <w:rFonts w:ascii="Arial" w:hAnsi="Arial" w:cs="Arial"/>
            <w:b/>
          </w:rPr>
          <w:t>AND</w:t>
        </w:r>
      </w:smartTag>
      <w:r w:rsidRPr="007E4D67">
        <w:rPr>
          <w:rFonts w:ascii="Arial" w:hAnsi="Arial" w:cs="Arial"/>
          <w:b/>
        </w:rPr>
        <w:t xml:space="preserve"> STORAGE CONDITIONS</w:t>
      </w:r>
    </w:p>
    <w:p w:rsidR="00560F6D" w:rsidRPr="00560F6D" w:rsidRDefault="00560F6D" w:rsidP="00560F6D">
      <w:pPr>
        <w:autoSpaceDE w:val="0"/>
        <w:autoSpaceDN w:val="0"/>
        <w:adjustRightInd w:val="0"/>
        <w:rPr>
          <w:rFonts w:ascii="Arial" w:hAnsi="Arial" w:cs="Arial"/>
        </w:rPr>
      </w:pPr>
    </w:p>
    <w:p w:rsidR="00630382" w:rsidRDefault="00630382" w:rsidP="00630382">
      <w:pPr>
        <w:spacing w:line="300" w:lineRule="atLeast"/>
        <w:jc w:val="both"/>
        <w:rPr>
          <w:rFonts w:ascii="Arial" w:hAnsi="Arial" w:cs="Arial"/>
          <w:sz w:val="22"/>
          <w:szCs w:val="22"/>
        </w:rPr>
      </w:pPr>
      <w:r>
        <w:rPr>
          <w:rFonts w:ascii="Arial" w:hAnsi="Arial" w:cs="Arial"/>
          <w:sz w:val="22"/>
          <w:szCs w:val="22"/>
        </w:rPr>
        <w:t>The 200 mg tablets are m</w:t>
      </w:r>
      <w:r w:rsidRPr="00630382">
        <w:rPr>
          <w:rFonts w:ascii="Arial" w:hAnsi="Arial" w:cs="Arial"/>
          <w:sz w:val="22"/>
          <w:szCs w:val="22"/>
        </w:rPr>
        <w:t xml:space="preserve">odified capsule-shaped, pink, film-coated with </w:t>
      </w:r>
      <w:r>
        <w:rPr>
          <w:rFonts w:ascii="Arial" w:hAnsi="Arial" w:cs="Arial"/>
          <w:sz w:val="22"/>
          <w:szCs w:val="22"/>
        </w:rPr>
        <w:t>‘</w:t>
      </w:r>
      <w:r w:rsidRPr="00630382">
        <w:rPr>
          <w:rFonts w:ascii="Arial" w:hAnsi="Arial" w:cs="Arial"/>
          <w:sz w:val="22"/>
          <w:szCs w:val="22"/>
        </w:rPr>
        <w:t>GS JT</w:t>
      </w:r>
      <w:r>
        <w:rPr>
          <w:rFonts w:ascii="Arial" w:hAnsi="Arial" w:cs="Arial"/>
          <w:sz w:val="22"/>
          <w:szCs w:val="22"/>
        </w:rPr>
        <w:t>’</w:t>
      </w:r>
      <w:r w:rsidRPr="00630382">
        <w:rPr>
          <w:rFonts w:ascii="Arial" w:hAnsi="Arial" w:cs="Arial"/>
          <w:sz w:val="22"/>
          <w:szCs w:val="22"/>
        </w:rPr>
        <w:t xml:space="preserve"> debossed on one side. </w:t>
      </w:r>
    </w:p>
    <w:p w:rsidR="00630382" w:rsidRPr="00630382" w:rsidRDefault="00630382" w:rsidP="00630382">
      <w:pPr>
        <w:spacing w:line="300" w:lineRule="atLeast"/>
        <w:jc w:val="both"/>
        <w:rPr>
          <w:rFonts w:ascii="Arial" w:hAnsi="Arial" w:cs="Arial"/>
          <w:i/>
          <w:sz w:val="22"/>
          <w:szCs w:val="22"/>
        </w:rPr>
      </w:pPr>
    </w:p>
    <w:p w:rsidR="00630382" w:rsidRPr="005E27A4" w:rsidRDefault="00630382" w:rsidP="00630382">
      <w:pPr>
        <w:spacing w:line="300" w:lineRule="atLeast"/>
        <w:jc w:val="both"/>
        <w:rPr>
          <w:i/>
        </w:rPr>
      </w:pPr>
      <w:r>
        <w:rPr>
          <w:rFonts w:ascii="Arial" w:hAnsi="Arial" w:cs="Arial"/>
          <w:sz w:val="22"/>
          <w:szCs w:val="22"/>
        </w:rPr>
        <w:t>The 400 mg tablets are m</w:t>
      </w:r>
      <w:r w:rsidRPr="00630382">
        <w:rPr>
          <w:rFonts w:ascii="Arial" w:hAnsi="Arial" w:cs="Arial"/>
          <w:sz w:val="22"/>
          <w:szCs w:val="22"/>
        </w:rPr>
        <w:t xml:space="preserve">odified capsule-shaped, white, film-coated with </w:t>
      </w:r>
      <w:r>
        <w:rPr>
          <w:rFonts w:ascii="Arial" w:hAnsi="Arial" w:cs="Arial"/>
          <w:sz w:val="22"/>
          <w:szCs w:val="22"/>
        </w:rPr>
        <w:t>‘</w:t>
      </w:r>
      <w:r w:rsidRPr="00630382">
        <w:rPr>
          <w:rFonts w:ascii="Arial" w:hAnsi="Arial" w:cs="Arial"/>
          <w:sz w:val="22"/>
          <w:szCs w:val="22"/>
        </w:rPr>
        <w:t>GS UHL</w:t>
      </w:r>
      <w:r>
        <w:rPr>
          <w:rFonts w:ascii="Arial" w:hAnsi="Arial" w:cs="Arial"/>
          <w:sz w:val="22"/>
          <w:szCs w:val="22"/>
        </w:rPr>
        <w:t>’</w:t>
      </w:r>
      <w:r w:rsidRPr="00630382">
        <w:rPr>
          <w:rFonts w:ascii="Arial" w:hAnsi="Arial" w:cs="Arial"/>
          <w:sz w:val="22"/>
          <w:szCs w:val="22"/>
        </w:rPr>
        <w:t xml:space="preserve"> debossed on one side. </w:t>
      </w:r>
    </w:p>
    <w:p w:rsidR="00630382" w:rsidRPr="007E4D67" w:rsidRDefault="00630382" w:rsidP="0042465B">
      <w:pPr>
        <w:rPr>
          <w:rFonts w:ascii="Arial" w:hAnsi="Arial" w:cs="Arial"/>
          <w:sz w:val="22"/>
          <w:szCs w:val="22"/>
        </w:rPr>
      </w:pPr>
    </w:p>
    <w:p w:rsidR="00E25FB0" w:rsidRPr="007E4D67" w:rsidRDefault="00E25FB0" w:rsidP="00E25FB0">
      <w:pPr>
        <w:pStyle w:val="NoNumHead2"/>
        <w:spacing w:before="0" w:after="0" w:line="300" w:lineRule="atLeast"/>
        <w:jc w:val="both"/>
        <w:rPr>
          <w:rFonts w:cs="Arial"/>
          <w:i/>
          <w:snapToGrid w:val="0"/>
          <w:sz w:val="22"/>
          <w:szCs w:val="22"/>
          <w:lang w:val="en-US" w:eastAsia="en-US"/>
        </w:rPr>
      </w:pPr>
      <w:r w:rsidRPr="007E4D67">
        <w:rPr>
          <w:rFonts w:cs="Arial"/>
          <w:i/>
          <w:caps w:val="0"/>
          <w:snapToGrid w:val="0"/>
          <w:sz w:val="22"/>
          <w:szCs w:val="22"/>
          <w:lang w:val="en-US" w:eastAsia="en-US"/>
        </w:rPr>
        <w:t>Shelf-Life</w:t>
      </w:r>
    </w:p>
    <w:p w:rsidR="00E25FB0" w:rsidRPr="007E4D67" w:rsidRDefault="00630382" w:rsidP="00E25FB0">
      <w:pPr>
        <w:spacing w:line="300" w:lineRule="atLeast"/>
        <w:jc w:val="both"/>
        <w:rPr>
          <w:rFonts w:ascii="Arial" w:hAnsi="Arial" w:cs="Arial"/>
          <w:sz w:val="22"/>
          <w:szCs w:val="22"/>
        </w:rPr>
      </w:pPr>
      <w:r>
        <w:rPr>
          <w:rFonts w:ascii="Arial" w:hAnsi="Arial" w:cs="Arial"/>
          <w:sz w:val="22"/>
          <w:szCs w:val="22"/>
        </w:rPr>
        <w:t>24</w:t>
      </w:r>
      <w:r w:rsidR="00E25FB0" w:rsidRPr="007E4D67">
        <w:rPr>
          <w:rFonts w:ascii="Arial" w:hAnsi="Arial" w:cs="Arial"/>
          <w:sz w:val="22"/>
          <w:szCs w:val="22"/>
        </w:rPr>
        <w:t xml:space="preserve"> months.</w:t>
      </w:r>
    </w:p>
    <w:p w:rsidR="00E25FB0" w:rsidRPr="007E4D67" w:rsidRDefault="00E25FB0" w:rsidP="00E25FB0">
      <w:pPr>
        <w:spacing w:line="300" w:lineRule="atLeast"/>
        <w:jc w:val="both"/>
        <w:rPr>
          <w:rFonts w:ascii="Arial" w:hAnsi="Arial" w:cs="Arial"/>
          <w:sz w:val="22"/>
          <w:szCs w:val="22"/>
        </w:rPr>
      </w:pPr>
    </w:p>
    <w:p w:rsidR="00E25FB0" w:rsidRPr="007E4D67" w:rsidRDefault="00E25FB0" w:rsidP="00E25FB0">
      <w:pPr>
        <w:pStyle w:val="NoNumHead2"/>
        <w:spacing w:before="0" w:after="0" w:line="300" w:lineRule="atLeast"/>
        <w:jc w:val="both"/>
        <w:rPr>
          <w:rFonts w:cs="Arial"/>
          <w:i/>
          <w:snapToGrid w:val="0"/>
          <w:sz w:val="22"/>
          <w:szCs w:val="22"/>
          <w:lang w:val="en-US" w:eastAsia="en-US"/>
        </w:rPr>
      </w:pPr>
      <w:r w:rsidRPr="007E4D67">
        <w:rPr>
          <w:rFonts w:cs="Arial"/>
          <w:i/>
          <w:caps w:val="0"/>
          <w:snapToGrid w:val="0"/>
          <w:sz w:val="22"/>
          <w:szCs w:val="22"/>
          <w:lang w:val="en-US" w:eastAsia="en-US"/>
        </w:rPr>
        <w:t>Storage</w:t>
      </w:r>
    </w:p>
    <w:p w:rsidR="00E25FB0" w:rsidRPr="007E4D67" w:rsidRDefault="00E25FB0" w:rsidP="00E25FB0">
      <w:pPr>
        <w:spacing w:line="300" w:lineRule="atLeast"/>
        <w:jc w:val="both"/>
        <w:rPr>
          <w:rFonts w:ascii="Arial" w:hAnsi="Arial" w:cs="Arial"/>
          <w:sz w:val="22"/>
          <w:szCs w:val="22"/>
        </w:rPr>
      </w:pPr>
      <w:r w:rsidRPr="007E4D67">
        <w:rPr>
          <w:rStyle w:val="CSIchar"/>
          <w:rFonts w:ascii="Arial" w:hAnsi="Arial" w:cs="Arial"/>
          <w:sz w:val="22"/>
          <w:szCs w:val="22"/>
          <w:shd w:val="clear" w:color="auto" w:fill="auto"/>
        </w:rPr>
        <w:t xml:space="preserve">Store </w:t>
      </w:r>
      <w:r w:rsidR="00AE39C4">
        <w:rPr>
          <w:rStyle w:val="CSIchar"/>
          <w:rFonts w:ascii="Arial" w:hAnsi="Arial" w:cs="Arial"/>
          <w:sz w:val="22"/>
          <w:szCs w:val="22"/>
          <w:shd w:val="clear" w:color="auto" w:fill="auto"/>
        </w:rPr>
        <w:t>below 30</w:t>
      </w:r>
      <w:r w:rsidRPr="007E4D67">
        <w:rPr>
          <w:rStyle w:val="CSIchar"/>
          <w:rFonts w:ascii="Arial" w:hAnsi="Arial" w:cs="Arial"/>
          <w:sz w:val="22"/>
          <w:szCs w:val="22"/>
          <w:shd w:val="clear" w:color="auto" w:fill="auto"/>
        </w:rPr>
        <w:t>°C</w:t>
      </w:r>
      <w:r w:rsidR="00AE39C4">
        <w:rPr>
          <w:rStyle w:val="CSIchar"/>
          <w:rFonts w:ascii="Arial" w:hAnsi="Arial" w:cs="Arial"/>
          <w:sz w:val="22"/>
          <w:szCs w:val="22"/>
          <w:shd w:val="clear" w:color="auto" w:fill="auto"/>
        </w:rPr>
        <w:t>.</w:t>
      </w:r>
    </w:p>
    <w:p w:rsidR="00F16776" w:rsidRPr="007E4D67" w:rsidRDefault="00F16776" w:rsidP="00E25FB0">
      <w:pPr>
        <w:spacing w:line="300" w:lineRule="atLeast"/>
        <w:jc w:val="both"/>
        <w:rPr>
          <w:rStyle w:val="CSIchar"/>
          <w:rFonts w:ascii="Arial" w:hAnsi="Arial" w:cs="Arial"/>
          <w:sz w:val="22"/>
          <w:szCs w:val="22"/>
        </w:rPr>
      </w:pPr>
    </w:p>
    <w:p w:rsidR="00E25FB0" w:rsidRPr="007E4D67" w:rsidRDefault="00E25FB0" w:rsidP="00E25FB0">
      <w:pPr>
        <w:pStyle w:val="NoNumHead3"/>
        <w:spacing w:before="0" w:after="0" w:line="300" w:lineRule="atLeast"/>
        <w:jc w:val="both"/>
        <w:rPr>
          <w:rFonts w:cs="Arial"/>
          <w:i/>
          <w:snapToGrid w:val="0"/>
          <w:sz w:val="22"/>
          <w:szCs w:val="22"/>
          <w:lang w:val="en-US" w:eastAsia="en-US"/>
        </w:rPr>
      </w:pPr>
      <w:r w:rsidRPr="007E4D67">
        <w:rPr>
          <w:rFonts w:cs="Arial"/>
          <w:i/>
          <w:snapToGrid w:val="0"/>
          <w:sz w:val="22"/>
          <w:szCs w:val="22"/>
          <w:lang w:val="en-US" w:eastAsia="en-US"/>
        </w:rPr>
        <w:t>Nature and Contents of Container</w:t>
      </w:r>
    </w:p>
    <w:p w:rsidR="00E25FB0" w:rsidRPr="007E4D67" w:rsidRDefault="002F1277" w:rsidP="00E25FB0">
      <w:pPr>
        <w:autoSpaceDE w:val="0"/>
        <w:autoSpaceDN w:val="0"/>
        <w:adjustRightInd w:val="0"/>
        <w:spacing w:line="300" w:lineRule="atLeast"/>
        <w:jc w:val="both"/>
        <w:rPr>
          <w:rFonts w:ascii="Arial" w:hAnsi="Arial" w:cs="Arial"/>
          <w:sz w:val="22"/>
          <w:szCs w:val="22"/>
        </w:rPr>
      </w:pPr>
      <w:r>
        <w:rPr>
          <w:rFonts w:ascii="Arial" w:hAnsi="Arial" w:cs="Arial"/>
          <w:sz w:val="22"/>
          <w:szCs w:val="22"/>
        </w:rPr>
        <w:t>VOTRIENT</w:t>
      </w:r>
      <w:r w:rsidR="00AE39C4">
        <w:rPr>
          <w:rFonts w:ascii="Arial" w:hAnsi="Arial" w:cs="Arial"/>
          <w:sz w:val="22"/>
          <w:szCs w:val="22"/>
        </w:rPr>
        <w:t xml:space="preserve"> </w:t>
      </w:r>
      <w:r w:rsidR="00630382">
        <w:rPr>
          <w:rFonts w:ascii="Arial" w:hAnsi="Arial" w:cs="Arial"/>
          <w:sz w:val="22"/>
          <w:szCs w:val="22"/>
        </w:rPr>
        <w:t xml:space="preserve">200 mg </w:t>
      </w:r>
      <w:r w:rsidR="00AE39C4">
        <w:rPr>
          <w:rFonts w:ascii="Arial" w:hAnsi="Arial" w:cs="Arial"/>
          <w:sz w:val="22"/>
          <w:szCs w:val="22"/>
        </w:rPr>
        <w:t xml:space="preserve">film-coated tablets are supplied in </w:t>
      </w:r>
      <w:r w:rsidR="00630382" w:rsidRPr="00630382">
        <w:rPr>
          <w:rFonts w:ascii="Arial" w:hAnsi="Arial" w:cs="Arial"/>
          <w:sz w:val="22"/>
          <w:szCs w:val="22"/>
        </w:rPr>
        <w:t>high-density polyethylene (HDPE) bottles with child resistant polypropylene closures</w:t>
      </w:r>
      <w:r w:rsidR="00630382">
        <w:rPr>
          <w:szCs w:val="22"/>
        </w:rPr>
        <w:t xml:space="preserve"> </w:t>
      </w:r>
      <w:r w:rsidR="00630382">
        <w:rPr>
          <w:rFonts w:ascii="Arial" w:hAnsi="Arial" w:cs="Arial"/>
          <w:sz w:val="22"/>
          <w:szCs w:val="22"/>
        </w:rPr>
        <w:t>containing 30 or 90 tablets</w:t>
      </w:r>
      <w:r w:rsidR="00E6622A">
        <w:rPr>
          <w:rFonts w:ascii="Arial" w:hAnsi="Arial" w:cs="Arial"/>
          <w:sz w:val="22"/>
          <w:szCs w:val="22"/>
        </w:rPr>
        <w:t>*</w:t>
      </w:r>
      <w:r w:rsidR="00AE39C4">
        <w:rPr>
          <w:rFonts w:ascii="Arial" w:hAnsi="Arial" w:cs="Arial"/>
          <w:sz w:val="22"/>
          <w:szCs w:val="22"/>
        </w:rPr>
        <w:t>.</w:t>
      </w:r>
    </w:p>
    <w:p w:rsidR="00F16776" w:rsidRDefault="00F16776" w:rsidP="00E25FB0">
      <w:pPr>
        <w:spacing w:line="300" w:lineRule="atLeast"/>
        <w:jc w:val="both"/>
        <w:rPr>
          <w:rFonts w:ascii="Arial" w:eastAsia="MS Mincho" w:hAnsi="Arial" w:cs="Arial"/>
          <w:sz w:val="22"/>
          <w:szCs w:val="22"/>
          <w:lang w:eastAsia="ja-JP"/>
        </w:rPr>
      </w:pPr>
    </w:p>
    <w:p w:rsidR="00630382" w:rsidRPr="00F5627B" w:rsidRDefault="002F1277" w:rsidP="00630382">
      <w:pPr>
        <w:autoSpaceDE w:val="0"/>
        <w:autoSpaceDN w:val="0"/>
        <w:adjustRightInd w:val="0"/>
        <w:spacing w:line="300" w:lineRule="atLeast"/>
        <w:jc w:val="both"/>
        <w:rPr>
          <w:rFonts w:ascii="Arial" w:hAnsi="Arial" w:cs="Arial"/>
          <w:sz w:val="22"/>
          <w:szCs w:val="22"/>
        </w:rPr>
      </w:pPr>
      <w:r>
        <w:rPr>
          <w:rFonts w:ascii="Arial" w:hAnsi="Arial" w:cs="Arial"/>
          <w:sz w:val="22"/>
          <w:szCs w:val="22"/>
        </w:rPr>
        <w:t>VOTRIENT</w:t>
      </w:r>
      <w:r w:rsidR="00630382">
        <w:rPr>
          <w:rFonts w:ascii="Arial" w:hAnsi="Arial" w:cs="Arial"/>
          <w:sz w:val="22"/>
          <w:szCs w:val="22"/>
        </w:rPr>
        <w:t xml:space="preserve"> 400 mg film-coated tablets are supplied in </w:t>
      </w:r>
      <w:r w:rsidR="00630382" w:rsidRPr="00630382">
        <w:rPr>
          <w:rFonts w:ascii="Arial" w:hAnsi="Arial" w:cs="Arial"/>
          <w:sz w:val="22"/>
          <w:szCs w:val="22"/>
        </w:rPr>
        <w:t xml:space="preserve">high-density polyethylene (HDPE) bottles with child </w:t>
      </w:r>
      <w:r w:rsidR="00630382" w:rsidRPr="00F5627B">
        <w:rPr>
          <w:rFonts w:ascii="Arial" w:hAnsi="Arial" w:cs="Arial"/>
          <w:sz w:val="22"/>
          <w:szCs w:val="22"/>
        </w:rPr>
        <w:t>resistant polypropylene closures</w:t>
      </w:r>
      <w:r w:rsidR="00630382" w:rsidRPr="00F5627B">
        <w:rPr>
          <w:szCs w:val="22"/>
        </w:rPr>
        <w:t xml:space="preserve"> </w:t>
      </w:r>
      <w:r w:rsidR="00630382" w:rsidRPr="00F5627B">
        <w:rPr>
          <w:rFonts w:ascii="Arial" w:hAnsi="Arial" w:cs="Arial"/>
          <w:sz w:val="22"/>
          <w:szCs w:val="22"/>
        </w:rPr>
        <w:t>containing 30 or 60 tablets*.</w:t>
      </w:r>
    </w:p>
    <w:p w:rsidR="00630382" w:rsidRPr="00F5627B" w:rsidRDefault="00630382" w:rsidP="00E25FB0">
      <w:pPr>
        <w:spacing w:line="300" w:lineRule="atLeast"/>
        <w:jc w:val="both"/>
        <w:rPr>
          <w:rFonts w:ascii="Arial" w:eastAsia="MS Mincho" w:hAnsi="Arial" w:cs="Arial"/>
          <w:sz w:val="22"/>
          <w:szCs w:val="22"/>
          <w:lang w:eastAsia="ja-JP"/>
        </w:rPr>
      </w:pPr>
    </w:p>
    <w:p w:rsidR="00F16776" w:rsidRDefault="00E6622A" w:rsidP="00E25FB0">
      <w:pPr>
        <w:spacing w:line="300" w:lineRule="atLeast"/>
        <w:jc w:val="both"/>
        <w:rPr>
          <w:rFonts w:ascii="Arial" w:hAnsi="Arial" w:cs="Arial"/>
          <w:sz w:val="22"/>
          <w:szCs w:val="22"/>
        </w:rPr>
      </w:pPr>
      <w:r w:rsidRPr="00F5627B">
        <w:rPr>
          <w:rFonts w:ascii="Arial" w:hAnsi="Arial" w:cs="Arial"/>
          <w:sz w:val="22"/>
          <w:szCs w:val="22"/>
        </w:rPr>
        <w:t xml:space="preserve">* </w:t>
      </w:r>
      <w:r w:rsidR="004F4E4F" w:rsidRPr="00F5627B">
        <w:rPr>
          <w:rFonts w:ascii="Arial" w:hAnsi="Arial" w:cs="Arial"/>
          <w:sz w:val="22"/>
          <w:szCs w:val="22"/>
        </w:rPr>
        <w:t xml:space="preserve">Not </w:t>
      </w:r>
      <w:r w:rsidRPr="00F5627B">
        <w:rPr>
          <w:rFonts w:ascii="Arial" w:hAnsi="Arial" w:cs="Arial"/>
          <w:sz w:val="22"/>
          <w:szCs w:val="22"/>
        </w:rPr>
        <w:t xml:space="preserve">all pack sizes may be </w:t>
      </w:r>
      <w:r w:rsidR="004F4E4F" w:rsidRPr="00F5627B">
        <w:rPr>
          <w:rFonts w:ascii="Arial" w:hAnsi="Arial" w:cs="Arial"/>
          <w:sz w:val="22"/>
          <w:szCs w:val="22"/>
        </w:rPr>
        <w:t>distributed in Australia.</w:t>
      </w:r>
    </w:p>
    <w:p w:rsidR="00E6622A" w:rsidRDefault="00E6622A" w:rsidP="00E25FB0">
      <w:pPr>
        <w:spacing w:line="300" w:lineRule="atLeast"/>
        <w:jc w:val="both"/>
        <w:rPr>
          <w:rFonts w:ascii="Arial" w:hAnsi="Arial" w:cs="Arial"/>
          <w:sz w:val="22"/>
          <w:szCs w:val="22"/>
        </w:rPr>
      </w:pPr>
    </w:p>
    <w:p w:rsidR="00017045" w:rsidRDefault="00017045" w:rsidP="006C4A20">
      <w:pPr>
        <w:tabs>
          <w:tab w:val="left" w:pos="-720"/>
        </w:tabs>
        <w:ind w:right="878"/>
        <w:rPr>
          <w:rFonts w:ascii="Arial" w:hAnsi="Arial" w:cs="Arial"/>
          <w:b/>
        </w:rPr>
      </w:pPr>
    </w:p>
    <w:p w:rsidR="006C4A20" w:rsidRPr="007E4D67" w:rsidRDefault="006C4A20" w:rsidP="006C4A20">
      <w:pPr>
        <w:tabs>
          <w:tab w:val="left" w:pos="-720"/>
        </w:tabs>
        <w:ind w:right="878"/>
        <w:rPr>
          <w:rFonts w:ascii="Arial" w:hAnsi="Arial" w:cs="Arial"/>
        </w:rPr>
      </w:pPr>
      <w:r w:rsidRPr="007E4D67">
        <w:rPr>
          <w:rFonts w:ascii="Arial" w:hAnsi="Arial" w:cs="Arial"/>
          <w:b/>
        </w:rPr>
        <w:t xml:space="preserve">NAME </w:t>
      </w:r>
      <w:smartTag w:uri="urn:schemas-microsoft-com:office:smarttags" w:element="stockticker">
        <w:r w:rsidRPr="007E4D67">
          <w:rPr>
            <w:rFonts w:ascii="Arial" w:hAnsi="Arial" w:cs="Arial"/>
            <w:b/>
          </w:rPr>
          <w:t>AND</w:t>
        </w:r>
      </w:smartTag>
      <w:r w:rsidRPr="007E4D67">
        <w:rPr>
          <w:rFonts w:ascii="Arial" w:hAnsi="Arial" w:cs="Arial"/>
          <w:b/>
        </w:rPr>
        <w:t xml:space="preserve"> ADDRESS OF THE SPONSOR:</w:t>
      </w:r>
    </w:p>
    <w:p w:rsidR="006C4A20" w:rsidRPr="007E4D67" w:rsidRDefault="006C4A20" w:rsidP="00A62D57">
      <w:pPr>
        <w:tabs>
          <w:tab w:val="left" w:pos="-720"/>
        </w:tabs>
        <w:spacing w:line="300" w:lineRule="atLeast"/>
        <w:ind w:right="879"/>
        <w:rPr>
          <w:rFonts w:ascii="Arial" w:hAnsi="Arial" w:cs="Arial"/>
          <w:sz w:val="22"/>
          <w:szCs w:val="22"/>
        </w:rPr>
      </w:pPr>
    </w:p>
    <w:p w:rsidR="006C4A20" w:rsidRPr="007E4D67" w:rsidRDefault="006C4A20" w:rsidP="00A62D57">
      <w:pPr>
        <w:tabs>
          <w:tab w:val="left" w:pos="-720"/>
        </w:tabs>
        <w:spacing w:line="300" w:lineRule="atLeast"/>
        <w:ind w:right="879"/>
        <w:rPr>
          <w:rFonts w:ascii="Arial" w:hAnsi="Arial" w:cs="Arial"/>
          <w:sz w:val="22"/>
          <w:szCs w:val="22"/>
        </w:rPr>
      </w:pPr>
      <w:r w:rsidRPr="007E4D67">
        <w:rPr>
          <w:rFonts w:ascii="Arial" w:hAnsi="Arial" w:cs="Arial"/>
          <w:sz w:val="22"/>
          <w:szCs w:val="22"/>
        </w:rPr>
        <w:t>GlaxoSmithKline Australia Pty Ltd</w:t>
      </w:r>
    </w:p>
    <w:p w:rsidR="006C4A20" w:rsidRDefault="00C04C5F" w:rsidP="00A62D57">
      <w:pPr>
        <w:tabs>
          <w:tab w:val="left" w:pos="-720"/>
        </w:tabs>
        <w:spacing w:line="300" w:lineRule="atLeast"/>
        <w:ind w:right="879"/>
        <w:rPr>
          <w:rFonts w:ascii="Arial" w:hAnsi="Arial" w:cs="Arial"/>
          <w:sz w:val="22"/>
          <w:szCs w:val="22"/>
        </w:rPr>
      </w:pPr>
      <w:r>
        <w:rPr>
          <w:rFonts w:ascii="Arial" w:hAnsi="Arial" w:cs="Arial"/>
          <w:sz w:val="22"/>
          <w:szCs w:val="22"/>
        </w:rPr>
        <w:t>Level 4</w:t>
      </w:r>
    </w:p>
    <w:p w:rsidR="00C04C5F" w:rsidRDefault="00C04C5F" w:rsidP="00A62D57">
      <w:pPr>
        <w:tabs>
          <w:tab w:val="left" w:pos="-720"/>
        </w:tabs>
        <w:spacing w:line="300" w:lineRule="atLeast"/>
        <w:ind w:right="879"/>
        <w:rPr>
          <w:rFonts w:ascii="Arial" w:hAnsi="Arial" w:cs="Arial"/>
          <w:sz w:val="22"/>
          <w:szCs w:val="22"/>
        </w:rPr>
      </w:pPr>
      <w:r>
        <w:rPr>
          <w:rFonts w:ascii="Arial" w:hAnsi="Arial" w:cs="Arial"/>
          <w:sz w:val="22"/>
          <w:szCs w:val="22"/>
        </w:rPr>
        <w:t>436 Johnston Street,</w:t>
      </w:r>
    </w:p>
    <w:p w:rsidR="00C04C5F" w:rsidRPr="007E4D67" w:rsidRDefault="00C04C5F" w:rsidP="00A62D57">
      <w:pPr>
        <w:tabs>
          <w:tab w:val="left" w:pos="-720"/>
        </w:tabs>
        <w:spacing w:line="300" w:lineRule="atLeast"/>
        <w:ind w:right="879"/>
        <w:rPr>
          <w:rFonts w:ascii="Arial" w:hAnsi="Arial" w:cs="Arial"/>
          <w:sz w:val="22"/>
          <w:szCs w:val="22"/>
        </w:rPr>
      </w:pPr>
      <w:r>
        <w:rPr>
          <w:rFonts w:ascii="Arial" w:hAnsi="Arial" w:cs="Arial"/>
          <w:sz w:val="22"/>
          <w:szCs w:val="22"/>
        </w:rPr>
        <w:t>Abbotsford, Victoria 3067</w:t>
      </w:r>
    </w:p>
    <w:p w:rsidR="006C4A20" w:rsidRPr="007E4D67" w:rsidRDefault="006C4A20" w:rsidP="00A62D57">
      <w:pPr>
        <w:tabs>
          <w:tab w:val="left" w:pos="-720"/>
        </w:tabs>
        <w:spacing w:line="300" w:lineRule="atLeast"/>
        <w:ind w:right="879"/>
        <w:rPr>
          <w:rFonts w:ascii="Arial" w:hAnsi="Arial" w:cs="Arial"/>
          <w:b/>
          <w:sz w:val="22"/>
          <w:szCs w:val="22"/>
        </w:rPr>
      </w:pPr>
    </w:p>
    <w:p w:rsidR="00913017" w:rsidRPr="007E4D67" w:rsidRDefault="00913017" w:rsidP="006C4A20">
      <w:pPr>
        <w:tabs>
          <w:tab w:val="left" w:pos="-720"/>
        </w:tabs>
        <w:ind w:right="878"/>
        <w:rPr>
          <w:rFonts w:ascii="Arial" w:hAnsi="Arial" w:cs="Arial"/>
          <w:b/>
          <w:sz w:val="22"/>
          <w:szCs w:val="22"/>
        </w:rPr>
      </w:pPr>
    </w:p>
    <w:p w:rsidR="006C4A20" w:rsidRPr="007E4D67" w:rsidRDefault="006C4A20" w:rsidP="006C4A20">
      <w:pPr>
        <w:tabs>
          <w:tab w:val="left" w:pos="-720"/>
        </w:tabs>
        <w:ind w:right="878"/>
        <w:rPr>
          <w:rFonts w:ascii="Arial" w:hAnsi="Arial" w:cs="Arial"/>
          <w:b/>
        </w:rPr>
      </w:pPr>
      <w:r w:rsidRPr="007E4D67">
        <w:rPr>
          <w:rFonts w:ascii="Arial" w:hAnsi="Arial" w:cs="Arial"/>
          <w:b/>
        </w:rPr>
        <w:t>POISON SCHEDULE OF THE MEDICINE</w:t>
      </w:r>
      <w:r w:rsidR="006760E1" w:rsidRPr="007E4D67">
        <w:rPr>
          <w:rFonts w:ascii="Arial" w:hAnsi="Arial" w:cs="Arial"/>
          <w:b/>
        </w:rPr>
        <w:t xml:space="preserve"> </w:t>
      </w:r>
      <w:r w:rsidRPr="007E4D67">
        <w:rPr>
          <w:rFonts w:ascii="Arial" w:hAnsi="Arial" w:cs="Arial"/>
          <w:b/>
        </w:rPr>
        <w:t xml:space="preserve">- </w:t>
      </w:r>
      <w:r w:rsidRPr="007E4D67">
        <w:rPr>
          <w:rFonts w:ascii="Arial" w:hAnsi="Arial" w:cs="Arial"/>
        </w:rPr>
        <w:t>S4</w:t>
      </w:r>
      <w:r w:rsidRPr="007E4D67">
        <w:rPr>
          <w:rFonts w:ascii="Arial" w:hAnsi="Arial" w:cs="Arial"/>
          <w:b/>
        </w:rPr>
        <w:t xml:space="preserve"> </w:t>
      </w:r>
    </w:p>
    <w:p w:rsidR="006C4A20" w:rsidRPr="007E4D67" w:rsidRDefault="006C4A20" w:rsidP="006C4A20">
      <w:pPr>
        <w:tabs>
          <w:tab w:val="left" w:pos="-720"/>
        </w:tabs>
        <w:ind w:right="878"/>
        <w:rPr>
          <w:rFonts w:ascii="Arial" w:hAnsi="Arial" w:cs="Arial"/>
          <w:sz w:val="22"/>
          <w:szCs w:val="22"/>
        </w:rPr>
      </w:pPr>
    </w:p>
    <w:p w:rsidR="00A62D57" w:rsidRDefault="00A62D57" w:rsidP="00A62D57">
      <w:pPr>
        <w:tabs>
          <w:tab w:val="left" w:pos="-720"/>
        </w:tabs>
        <w:ind w:right="878"/>
        <w:rPr>
          <w:rFonts w:ascii="Arial" w:hAnsi="Arial" w:cs="Arial"/>
          <w:b/>
          <w:sz w:val="22"/>
          <w:szCs w:val="22"/>
        </w:rPr>
      </w:pPr>
    </w:p>
    <w:p w:rsidR="00A62D57" w:rsidRPr="007E4D67" w:rsidRDefault="00A62D57" w:rsidP="00A62D57">
      <w:pPr>
        <w:tabs>
          <w:tab w:val="left" w:pos="-720"/>
        </w:tabs>
        <w:ind w:right="878"/>
        <w:rPr>
          <w:rFonts w:ascii="Arial" w:hAnsi="Arial" w:cs="Arial"/>
          <w:sz w:val="22"/>
          <w:szCs w:val="22"/>
        </w:rPr>
      </w:pPr>
      <w:r w:rsidRPr="007C3B62">
        <w:rPr>
          <w:rFonts w:ascii="Arial" w:hAnsi="Arial" w:cs="Arial"/>
          <w:b/>
          <w:sz w:val="22"/>
          <w:szCs w:val="22"/>
        </w:rPr>
        <w:t>DATE OF FIRST INCLUSION IN THE AUSTRALIAN REGISTER OF THERAPEUTIC GOODS (</w:t>
      </w:r>
      <w:r>
        <w:rPr>
          <w:rFonts w:ascii="Arial" w:hAnsi="Arial" w:cs="Arial"/>
          <w:b/>
          <w:sz w:val="22"/>
          <w:szCs w:val="22"/>
        </w:rPr>
        <w:t xml:space="preserve">THE </w:t>
      </w:r>
      <w:r w:rsidRPr="007C3B62">
        <w:rPr>
          <w:rFonts w:ascii="Arial" w:hAnsi="Arial" w:cs="Arial"/>
          <w:b/>
          <w:sz w:val="22"/>
          <w:szCs w:val="22"/>
        </w:rPr>
        <w:t>ARTG):</w:t>
      </w:r>
      <w:r>
        <w:rPr>
          <w:rFonts w:ascii="Arial" w:hAnsi="Arial" w:cs="Arial"/>
          <w:sz w:val="22"/>
          <w:szCs w:val="22"/>
        </w:rPr>
        <w:t xml:space="preserve"> 30 June 2010</w:t>
      </w:r>
    </w:p>
    <w:p w:rsidR="00A62D57" w:rsidRDefault="00A62D57" w:rsidP="00A62D57">
      <w:pPr>
        <w:tabs>
          <w:tab w:val="left" w:pos="-720"/>
        </w:tabs>
        <w:ind w:right="878"/>
        <w:rPr>
          <w:rFonts w:ascii="Arial" w:hAnsi="Arial" w:cs="Arial"/>
          <w:sz w:val="22"/>
          <w:szCs w:val="22"/>
        </w:rPr>
      </w:pPr>
    </w:p>
    <w:p w:rsidR="00A62D57" w:rsidRDefault="00A62D57" w:rsidP="00A62D57">
      <w:pPr>
        <w:tabs>
          <w:tab w:val="left" w:pos="-720"/>
        </w:tabs>
        <w:ind w:right="878"/>
        <w:rPr>
          <w:rFonts w:ascii="Arial" w:hAnsi="Arial" w:cs="Arial"/>
          <w:sz w:val="22"/>
          <w:szCs w:val="22"/>
        </w:rPr>
      </w:pPr>
    </w:p>
    <w:p w:rsidR="00A62D57" w:rsidRPr="002B2A5B" w:rsidRDefault="00A62D57" w:rsidP="00A62D57">
      <w:pPr>
        <w:tabs>
          <w:tab w:val="left" w:pos="-720"/>
        </w:tabs>
        <w:ind w:right="878"/>
        <w:rPr>
          <w:rFonts w:ascii="Arial" w:hAnsi="Arial" w:cs="Arial"/>
          <w:sz w:val="22"/>
          <w:szCs w:val="22"/>
        </w:rPr>
      </w:pPr>
      <w:r w:rsidRPr="002B2A5B">
        <w:rPr>
          <w:rFonts w:ascii="Arial" w:hAnsi="Arial" w:cs="Arial"/>
          <w:b/>
          <w:sz w:val="22"/>
          <w:szCs w:val="22"/>
        </w:rPr>
        <w:t>DATE OF MOST RECENT AMENDMENT:</w:t>
      </w:r>
      <w:r w:rsidRPr="002B2A5B">
        <w:rPr>
          <w:rFonts w:ascii="Arial" w:hAnsi="Arial" w:cs="Arial"/>
          <w:sz w:val="22"/>
          <w:szCs w:val="22"/>
        </w:rPr>
        <w:t xml:space="preserve"> </w:t>
      </w:r>
      <w:r w:rsidR="00757A25">
        <w:rPr>
          <w:rFonts w:ascii="Arial" w:hAnsi="Arial" w:cs="Arial"/>
          <w:sz w:val="22"/>
          <w:szCs w:val="22"/>
        </w:rPr>
        <w:t>21</w:t>
      </w:r>
      <w:r w:rsidR="002943EB">
        <w:rPr>
          <w:rFonts w:ascii="Arial" w:hAnsi="Arial" w:cs="Arial"/>
          <w:sz w:val="22"/>
          <w:szCs w:val="22"/>
        </w:rPr>
        <w:t xml:space="preserve"> December 2012</w:t>
      </w:r>
    </w:p>
    <w:p w:rsidR="006C4A20" w:rsidRPr="002B2A5B" w:rsidRDefault="006C4A20" w:rsidP="006C4A20">
      <w:pPr>
        <w:tabs>
          <w:tab w:val="left" w:pos="-720"/>
        </w:tabs>
        <w:ind w:right="878"/>
        <w:rPr>
          <w:rFonts w:ascii="Arial" w:hAnsi="Arial" w:cs="Arial"/>
          <w:sz w:val="22"/>
          <w:szCs w:val="22"/>
        </w:rPr>
      </w:pPr>
    </w:p>
    <w:p w:rsidR="00F16776" w:rsidRPr="002B2A5B" w:rsidRDefault="002F1277" w:rsidP="00F16776">
      <w:pPr>
        <w:tabs>
          <w:tab w:val="right" w:pos="8550"/>
        </w:tabs>
        <w:ind w:right="878"/>
        <w:jc w:val="both"/>
        <w:rPr>
          <w:rFonts w:ascii="Arial" w:hAnsi="Arial" w:cs="Arial"/>
          <w:sz w:val="22"/>
          <w:szCs w:val="22"/>
        </w:rPr>
      </w:pPr>
      <w:r w:rsidRPr="002B2A5B">
        <w:rPr>
          <w:rFonts w:ascii="Arial" w:hAnsi="Arial" w:cs="Arial"/>
          <w:sz w:val="22"/>
          <w:szCs w:val="22"/>
        </w:rPr>
        <w:t>VOTRIENT</w:t>
      </w:r>
      <w:r w:rsidR="004C3E69" w:rsidRPr="002B2A5B">
        <w:rPr>
          <w:rFonts w:ascii="Arial" w:hAnsi="Arial" w:cs="Arial"/>
          <w:sz w:val="22"/>
          <w:szCs w:val="22"/>
          <w:vertAlign w:val="superscript"/>
        </w:rPr>
        <w:t>®</w:t>
      </w:r>
      <w:r w:rsidR="006C4A20" w:rsidRPr="002B2A5B">
        <w:rPr>
          <w:rFonts w:ascii="Arial" w:hAnsi="Arial" w:cs="Arial"/>
          <w:sz w:val="22"/>
          <w:szCs w:val="22"/>
          <w:vertAlign w:val="superscript"/>
        </w:rPr>
        <w:t xml:space="preserve"> </w:t>
      </w:r>
      <w:r w:rsidR="006C4A20" w:rsidRPr="002B2A5B">
        <w:rPr>
          <w:rFonts w:ascii="Arial" w:hAnsi="Arial" w:cs="Arial"/>
          <w:sz w:val="22"/>
          <w:szCs w:val="22"/>
        </w:rPr>
        <w:t xml:space="preserve">is a </w:t>
      </w:r>
      <w:r w:rsidR="004C3E69" w:rsidRPr="002B2A5B">
        <w:rPr>
          <w:rFonts w:ascii="Arial" w:hAnsi="Arial" w:cs="Arial"/>
          <w:sz w:val="22"/>
          <w:szCs w:val="22"/>
        </w:rPr>
        <w:t xml:space="preserve">registered </w:t>
      </w:r>
      <w:r w:rsidR="006C4A20" w:rsidRPr="002B2A5B">
        <w:rPr>
          <w:rFonts w:ascii="Arial" w:hAnsi="Arial" w:cs="Arial"/>
          <w:sz w:val="22"/>
          <w:szCs w:val="22"/>
        </w:rPr>
        <w:t>trade mark of the GlaxoSmithKline Group of Companies.</w:t>
      </w:r>
      <w:r w:rsidR="006C4A20" w:rsidRPr="002B2A5B">
        <w:rPr>
          <w:rFonts w:ascii="Arial" w:hAnsi="Arial" w:cs="Arial"/>
          <w:sz w:val="22"/>
          <w:szCs w:val="22"/>
        </w:rPr>
        <w:tab/>
      </w:r>
    </w:p>
    <w:p w:rsidR="00F16776" w:rsidRPr="002B2A5B" w:rsidRDefault="00F16776" w:rsidP="00F16776">
      <w:pPr>
        <w:tabs>
          <w:tab w:val="right" w:pos="8550"/>
        </w:tabs>
        <w:ind w:right="878"/>
        <w:jc w:val="both"/>
        <w:rPr>
          <w:rFonts w:ascii="Arial" w:hAnsi="Arial" w:cs="Arial"/>
          <w:sz w:val="22"/>
          <w:szCs w:val="22"/>
        </w:rPr>
      </w:pPr>
    </w:p>
    <w:p w:rsidR="00F16776" w:rsidRPr="007E4D67" w:rsidRDefault="002F1277" w:rsidP="00F16776">
      <w:pPr>
        <w:tabs>
          <w:tab w:val="right" w:pos="8550"/>
        </w:tabs>
        <w:ind w:right="878"/>
        <w:jc w:val="both"/>
        <w:rPr>
          <w:rFonts w:ascii="Arial" w:hAnsi="Arial" w:cs="Arial"/>
          <w:sz w:val="22"/>
          <w:szCs w:val="22"/>
        </w:rPr>
      </w:pPr>
      <w:r w:rsidRPr="002B2A5B">
        <w:rPr>
          <w:rFonts w:ascii="Arial" w:hAnsi="Arial" w:cs="Arial"/>
          <w:sz w:val="22"/>
          <w:szCs w:val="22"/>
        </w:rPr>
        <w:t xml:space="preserve">Version </w:t>
      </w:r>
      <w:r w:rsidR="005455F8">
        <w:rPr>
          <w:rFonts w:ascii="Arial" w:hAnsi="Arial" w:cs="Arial"/>
          <w:sz w:val="22"/>
          <w:szCs w:val="22"/>
        </w:rPr>
        <w:t>10.0</w:t>
      </w:r>
    </w:p>
    <w:sectPr w:rsidR="00F16776" w:rsidRPr="007E4D67" w:rsidSect="00405698">
      <w:headerReference w:type="default" r:id="rId13"/>
      <w:footerReference w:type="even" r:id="rId14"/>
      <w:footerReference w:type="default" r:id="rId15"/>
      <w:pgSz w:w="12240" w:h="15840"/>
      <w:pgMar w:top="1440" w:right="1440" w:bottom="1276"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62F" w:rsidRDefault="0013262F">
      <w:r>
        <w:separator/>
      </w:r>
    </w:p>
  </w:endnote>
  <w:endnote w:type="continuationSeparator" w:id="0">
    <w:p w:rsidR="0013262F" w:rsidRDefault="001326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62F" w:rsidRDefault="00E96467" w:rsidP="00CB4136">
    <w:pPr>
      <w:pStyle w:val="Footer"/>
      <w:framePr w:wrap="around" w:vAnchor="text" w:hAnchor="margin" w:xAlign="center" w:y="1"/>
      <w:rPr>
        <w:rStyle w:val="PageNumber"/>
      </w:rPr>
    </w:pPr>
    <w:r>
      <w:rPr>
        <w:rStyle w:val="PageNumber"/>
      </w:rPr>
      <w:fldChar w:fldCharType="begin"/>
    </w:r>
    <w:r w:rsidR="0013262F">
      <w:rPr>
        <w:rStyle w:val="PageNumber"/>
      </w:rPr>
      <w:instrText xml:space="preserve">PAGE  </w:instrText>
    </w:r>
    <w:r>
      <w:rPr>
        <w:rStyle w:val="PageNumber"/>
      </w:rPr>
      <w:fldChar w:fldCharType="end"/>
    </w:r>
  </w:p>
  <w:p w:rsidR="0013262F" w:rsidRDefault="001326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62F" w:rsidRPr="00CB4136" w:rsidRDefault="00E96467" w:rsidP="00CB4136">
    <w:pPr>
      <w:pStyle w:val="Footer"/>
      <w:framePr w:wrap="around" w:vAnchor="text" w:hAnchor="margin" w:xAlign="center" w:y="1"/>
      <w:rPr>
        <w:rStyle w:val="PageNumber"/>
        <w:rFonts w:ascii="Arial" w:hAnsi="Arial" w:cs="Arial"/>
      </w:rPr>
    </w:pPr>
    <w:r w:rsidRPr="00CB4136">
      <w:rPr>
        <w:rStyle w:val="PageNumber"/>
        <w:rFonts w:ascii="Arial" w:hAnsi="Arial" w:cs="Arial"/>
      </w:rPr>
      <w:fldChar w:fldCharType="begin"/>
    </w:r>
    <w:r w:rsidR="0013262F" w:rsidRPr="00CB4136">
      <w:rPr>
        <w:rStyle w:val="PageNumber"/>
        <w:rFonts w:ascii="Arial" w:hAnsi="Arial" w:cs="Arial"/>
      </w:rPr>
      <w:instrText xml:space="preserve">PAGE  </w:instrText>
    </w:r>
    <w:r w:rsidRPr="00CB4136">
      <w:rPr>
        <w:rStyle w:val="PageNumber"/>
        <w:rFonts w:ascii="Arial" w:hAnsi="Arial" w:cs="Arial"/>
      </w:rPr>
      <w:fldChar w:fldCharType="separate"/>
    </w:r>
    <w:r w:rsidR="009730A7">
      <w:rPr>
        <w:rStyle w:val="PageNumber"/>
        <w:rFonts w:ascii="Arial" w:hAnsi="Arial" w:cs="Arial"/>
        <w:noProof/>
      </w:rPr>
      <w:t>29</w:t>
    </w:r>
    <w:r w:rsidRPr="00CB4136">
      <w:rPr>
        <w:rStyle w:val="PageNumber"/>
        <w:rFonts w:ascii="Arial" w:hAnsi="Arial" w:cs="Arial"/>
      </w:rPr>
      <w:fldChar w:fldCharType="end"/>
    </w:r>
  </w:p>
  <w:p w:rsidR="0013262F" w:rsidRPr="00CB4136" w:rsidRDefault="0013262F" w:rsidP="002F1277">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62F" w:rsidRDefault="0013262F">
      <w:r>
        <w:separator/>
      </w:r>
    </w:p>
  </w:footnote>
  <w:footnote w:type="continuationSeparator" w:id="0">
    <w:p w:rsidR="0013262F" w:rsidRDefault="00132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13262F" w:rsidTr="006C427A">
      <w:tc>
        <w:tcPr>
          <w:tcW w:w="8720" w:type="dxa"/>
          <w:shd w:val="clear" w:color="auto" w:fill="E4F2E0"/>
        </w:tcPr>
        <w:p w:rsidR="0013262F" w:rsidRPr="00D361CA" w:rsidRDefault="0013262F" w:rsidP="006C427A">
          <w:pPr>
            <w:spacing w:before="40" w:after="40"/>
            <w:rPr>
              <w:b/>
              <w:sz w:val="20"/>
              <w:szCs w:val="20"/>
            </w:rPr>
          </w:pPr>
          <w:r w:rsidRPr="00D361CA">
            <w:rPr>
              <w:b/>
              <w:sz w:val="20"/>
              <w:szCs w:val="20"/>
            </w:rPr>
            <w:t xml:space="preserve">Attachment 1: Product information for </w:t>
          </w:r>
          <w:r w:rsidRPr="00133F4E">
            <w:rPr>
              <w:b/>
              <w:sz w:val="20"/>
              <w:szCs w:val="20"/>
            </w:rPr>
            <w:t>AusPAR Votrient Pazopanib HCl GlaxoSmithKline Australia Pty Ltd PM-2011-01972-3-4 Final 25 February 2013</w:t>
          </w:r>
          <w:r w:rsidRPr="00D361CA">
            <w:rPr>
              <w:b/>
              <w:sz w:val="20"/>
              <w:szCs w:val="20"/>
            </w:rPr>
            <w:t>. This Product Information was approved at the time this AusPAR was published.</w:t>
          </w:r>
        </w:p>
      </w:tc>
    </w:tr>
  </w:tbl>
  <w:p w:rsidR="0013262F" w:rsidRDefault="001326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0ACC"/>
    <w:multiLevelType w:val="singleLevel"/>
    <w:tmpl w:val="8F9CD274"/>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
    <w:nsid w:val="08F14806"/>
    <w:multiLevelType w:val="hybridMultilevel"/>
    <w:tmpl w:val="BD24BE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9B0510C"/>
    <w:multiLevelType w:val="hybridMultilevel"/>
    <w:tmpl w:val="EA960F90"/>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09DC64E1"/>
    <w:multiLevelType w:val="singleLevel"/>
    <w:tmpl w:val="5888E7EA"/>
    <w:lvl w:ilvl="0">
      <w:start w:val="1"/>
      <w:numFmt w:val="lowerLetter"/>
      <w:lvlText w:val="%1"/>
      <w:legacy w:legacy="1" w:legacySpace="0" w:legacyIndent="432"/>
      <w:lvlJc w:val="left"/>
      <w:pPr>
        <w:ind w:left="432" w:hanging="432"/>
      </w:pPr>
    </w:lvl>
  </w:abstractNum>
  <w:abstractNum w:abstractNumId="4">
    <w:nsid w:val="0B2F4B8A"/>
    <w:multiLevelType w:val="multilevel"/>
    <w:tmpl w:val="BE0EBB68"/>
    <w:numStyleLink w:val="GDSTablefootnotes"/>
  </w:abstractNum>
  <w:abstractNum w:abstractNumId="5">
    <w:nsid w:val="0CB36F14"/>
    <w:multiLevelType w:val="hybridMultilevel"/>
    <w:tmpl w:val="9C3C11C8"/>
    <w:lvl w:ilvl="0" w:tplc="525636EA">
      <w:start w:val="1"/>
      <w:numFmt w:val="decimal"/>
      <w:pStyle w:val="LBLListStyle1"/>
      <w:lvlText w:val="%1."/>
      <w:lvlJc w:val="left"/>
      <w:pPr>
        <w:tabs>
          <w:tab w:val="num" w:pos="480"/>
        </w:tabs>
        <w:ind w:left="48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282291B"/>
    <w:multiLevelType w:val="hybridMultilevel"/>
    <w:tmpl w:val="646023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7C33660"/>
    <w:multiLevelType w:val="multilevel"/>
    <w:tmpl w:val="BE0EBB68"/>
    <w:numStyleLink w:val="GDSTablefootnotes"/>
  </w:abstractNum>
  <w:abstractNum w:abstractNumId="8">
    <w:nsid w:val="1D06177E"/>
    <w:multiLevelType w:val="hybridMultilevel"/>
    <w:tmpl w:val="F6802D3A"/>
    <w:lvl w:ilvl="0" w:tplc="D4EC1CCE">
      <w:start w:val="1"/>
      <w:numFmt w:val="decimal"/>
      <w:lvlText w:val="%1."/>
      <w:lvlJc w:val="left"/>
      <w:pPr>
        <w:tabs>
          <w:tab w:val="num" w:pos="480"/>
        </w:tabs>
        <w:ind w:left="480" w:hanging="360"/>
      </w:pPr>
    </w:lvl>
    <w:lvl w:ilvl="1" w:tplc="4C8A9FCE">
      <w:start w:val="1"/>
      <w:numFmt w:val="bullet"/>
      <w:lvlText w:val=""/>
      <w:lvlJc w:val="left"/>
      <w:pPr>
        <w:tabs>
          <w:tab w:val="num" w:pos="1080"/>
        </w:tabs>
        <w:ind w:left="1080" w:hanging="360"/>
      </w:pPr>
      <w:rPr>
        <w:rFonts w:ascii="Symbol" w:hAnsi="Symbol" w:hint="default"/>
      </w:rPr>
    </w:lvl>
    <w:lvl w:ilvl="2" w:tplc="1EDE88A6" w:tentative="1">
      <w:start w:val="1"/>
      <w:numFmt w:val="lowerRoman"/>
      <w:lvlText w:val="%3."/>
      <w:lvlJc w:val="right"/>
      <w:pPr>
        <w:tabs>
          <w:tab w:val="num" w:pos="1800"/>
        </w:tabs>
        <w:ind w:left="1800" w:hanging="180"/>
      </w:pPr>
    </w:lvl>
    <w:lvl w:ilvl="3" w:tplc="E0804AB4" w:tentative="1">
      <w:start w:val="1"/>
      <w:numFmt w:val="decimal"/>
      <w:lvlText w:val="%4."/>
      <w:lvlJc w:val="left"/>
      <w:pPr>
        <w:tabs>
          <w:tab w:val="num" w:pos="2520"/>
        </w:tabs>
        <w:ind w:left="2520" w:hanging="360"/>
      </w:pPr>
    </w:lvl>
    <w:lvl w:ilvl="4" w:tplc="415CC8C2" w:tentative="1">
      <w:start w:val="1"/>
      <w:numFmt w:val="lowerLetter"/>
      <w:lvlText w:val="%5."/>
      <w:lvlJc w:val="left"/>
      <w:pPr>
        <w:tabs>
          <w:tab w:val="num" w:pos="3240"/>
        </w:tabs>
        <w:ind w:left="3240" w:hanging="360"/>
      </w:pPr>
    </w:lvl>
    <w:lvl w:ilvl="5" w:tplc="72907F76" w:tentative="1">
      <w:start w:val="1"/>
      <w:numFmt w:val="lowerRoman"/>
      <w:lvlText w:val="%6."/>
      <w:lvlJc w:val="right"/>
      <w:pPr>
        <w:tabs>
          <w:tab w:val="num" w:pos="3960"/>
        </w:tabs>
        <w:ind w:left="3960" w:hanging="180"/>
      </w:pPr>
    </w:lvl>
    <w:lvl w:ilvl="6" w:tplc="46744CE8" w:tentative="1">
      <w:start w:val="1"/>
      <w:numFmt w:val="decimal"/>
      <w:lvlText w:val="%7."/>
      <w:lvlJc w:val="left"/>
      <w:pPr>
        <w:tabs>
          <w:tab w:val="num" w:pos="4680"/>
        </w:tabs>
        <w:ind w:left="4680" w:hanging="360"/>
      </w:pPr>
    </w:lvl>
    <w:lvl w:ilvl="7" w:tplc="F73E963E" w:tentative="1">
      <w:start w:val="1"/>
      <w:numFmt w:val="lowerLetter"/>
      <w:lvlText w:val="%8."/>
      <w:lvlJc w:val="left"/>
      <w:pPr>
        <w:tabs>
          <w:tab w:val="num" w:pos="5400"/>
        </w:tabs>
        <w:ind w:left="5400" w:hanging="360"/>
      </w:pPr>
    </w:lvl>
    <w:lvl w:ilvl="8" w:tplc="597C6342" w:tentative="1">
      <w:start w:val="1"/>
      <w:numFmt w:val="lowerRoman"/>
      <w:lvlText w:val="%9."/>
      <w:lvlJc w:val="right"/>
      <w:pPr>
        <w:tabs>
          <w:tab w:val="num" w:pos="6120"/>
        </w:tabs>
        <w:ind w:left="6120" w:hanging="180"/>
      </w:pPr>
    </w:lvl>
  </w:abstractNum>
  <w:abstractNum w:abstractNumId="9">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10">
    <w:nsid w:val="28142F0F"/>
    <w:multiLevelType w:val="hybridMultilevel"/>
    <w:tmpl w:val="26C6D36E"/>
    <w:lvl w:ilvl="0" w:tplc="525636EA">
      <w:start w:val="1"/>
      <w:numFmt w:val="bullet"/>
      <w:lvlText w:val=""/>
      <w:lvlJc w:val="left"/>
      <w:pPr>
        <w:tabs>
          <w:tab w:val="num" w:pos="720"/>
        </w:tabs>
        <w:ind w:left="720" w:hanging="360"/>
      </w:pPr>
      <w:rPr>
        <w:rFonts w:ascii="Symbol" w:hAnsi="Symbol" w:hint="default"/>
      </w:rPr>
    </w:lvl>
    <w:lvl w:ilvl="1" w:tplc="08090001"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2A4D10E9"/>
    <w:multiLevelType w:val="hybridMultilevel"/>
    <w:tmpl w:val="F242677C"/>
    <w:lvl w:ilvl="0" w:tplc="D846B73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EE01A5"/>
    <w:multiLevelType w:val="multilevel"/>
    <w:tmpl w:val="BE0EBB68"/>
    <w:numStyleLink w:val="GDSTablefootnotes"/>
  </w:abstractNum>
  <w:abstractNum w:abstractNumId="13">
    <w:nsid w:val="2D235713"/>
    <w:multiLevelType w:val="multilevel"/>
    <w:tmpl w:val="BE0EBB68"/>
    <w:numStyleLink w:val="GDSTablefootnotes"/>
  </w:abstractNum>
  <w:abstractNum w:abstractNumId="14">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15">
    <w:nsid w:val="36AD51AF"/>
    <w:multiLevelType w:val="hybridMultilevel"/>
    <w:tmpl w:val="F9746840"/>
    <w:lvl w:ilvl="0" w:tplc="EF5A1354">
      <w:start w:val="1"/>
      <w:numFmt w:val="decimal"/>
      <w:lvlText w:val="%1."/>
      <w:lvlJc w:val="left"/>
      <w:pPr>
        <w:tabs>
          <w:tab w:val="num" w:pos="720"/>
        </w:tabs>
        <w:ind w:left="720" w:hanging="360"/>
      </w:pPr>
    </w:lvl>
    <w:lvl w:ilvl="1" w:tplc="CA76C132" w:tentative="1">
      <w:start w:val="1"/>
      <w:numFmt w:val="lowerLetter"/>
      <w:lvlText w:val="%2."/>
      <w:lvlJc w:val="left"/>
      <w:pPr>
        <w:tabs>
          <w:tab w:val="num" w:pos="1440"/>
        </w:tabs>
        <w:ind w:left="1440" w:hanging="360"/>
      </w:pPr>
    </w:lvl>
    <w:lvl w:ilvl="2" w:tplc="4866E936" w:tentative="1">
      <w:start w:val="1"/>
      <w:numFmt w:val="lowerRoman"/>
      <w:lvlText w:val="%3."/>
      <w:lvlJc w:val="right"/>
      <w:pPr>
        <w:tabs>
          <w:tab w:val="num" w:pos="2160"/>
        </w:tabs>
        <w:ind w:left="2160" w:hanging="180"/>
      </w:pPr>
    </w:lvl>
    <w:lvl w:ilvl="3" w:tplc="73285FFC" w:tentative="1">
      <w:start w:val="1"/>
      <w:numFmt w:val="decimal"/>
      <w:lvlText w:val="%4."/>
      <w:lvlJc w:val="left"/>
      <w:pPr>
        <w:tabs>
          <w:tab w:val="num" w:pos="2880"/>
        </w:tabs>
        <w:ind w:left="2880" w:hanging="360"/>
      </w:pPr>
    </w:lvl>
    <w:lvl w:ilvl="4" w:tplc="C8CCBC28" w:tentative="1">
      <w:start w:val="1"/>
      <w:numFmt w:val="lowerLetter"/>
      <w:lvlText w:val="%5."/>
      <w:lvlJc w:val="left"/>
      <w:pPr>
        <w:tabs>
          <w:tab w:val="num" w:pos="3600"/>
        </w:tabs>
        <w:ind w:left="3600" w:hanging="360"/>
      </w:pPr>
    </w:lvl>
    <w:lvl w:ilvl="5" w:tplc="BA666A5E" w:tentative="1">
      <w:start w:val="1"/>
      <w:numFmt w:val="lowerRoman"/>
      <w:lvlText w:val="%6."/>
      <w:lvlJc w:val="right"/>
      <w:pPr>
        <w:tabs>
          <w:tab w:val="num" w:pos="4320"/>
        </w:tabs>
        <w:ind w:left="4320" w:hanging="180"/>
      </w:pPr>
    </w:lvl>
    <w:lvl w:ilvl="6" w:tplc="F26CCE92" w:tentative="1">
      <w:start w:val="1"/>
      <w:numFmt w:val="decimal"/>
      <w:lvlText w:val="%7."/>
      <w:lvlJc w:val="left"/>
      <w:pPr>
        <w:tabs>
          <w:tab w:val="num" w:pos="5040"/>
        </w:tabs>
        <w:ind w:left="5040" w:hanging="360"/>
      </w:pPr>
    </w:lvl>
    <w:lvl w:ilvl="7" w:tplc="3B2EDA32" w:tentative="1">
      <w:start w:val="1"/>
      <w:numFmt w:val="lowerLetter"/>
      <w:lvlText w:val="%8."/>
      <w:lvlJc w:val="left"/>
      <w:pPr>
        <w:tabs>
          <w:tab w:val="num" w:pos="5760"/>
        </w:tabs>
        <w:ind w:left="5760" w:hanging="360"/>
      </w:pPr>
    </w:lvl>
    <w:lvl w:ilvl="8" w:tplc="39AE3F2E" w:tentative="1">
      <w:start w:val="1"/>
      <w:numFmt w:val="lowerRoman"/>
      <w:lvlText w:val="%9."/>
      <w:lvlJc w:val="right"/>
      <w:pPr>
        <w:tabs>
          <w:tab w:val="num" w:pos="6480"/>
        </w:tabs>
        <w:ind w:left="6480" w:hanging="180"/>
      </w:pPr>
    </w:lvl>
  </w:abstractNum>
  <w:abstractNum w:abstractNumId="16">
    <w:nsid w:val="3CEF5853"/>
    <w:multiLevelType w:val="multilevel"/>
    <w:tmpl w:val="BE0EBB68"/>
    <w:styleLink w:val="GDSTablefootnotes"/>
    <w:lvl w:ilvl="0">
      <w:start w:val="1"/>
      <w:numFmt w:val="lowerLetter"/>
      <w:lvlText w:val="%1. "/>
      <w:lvlJc w:val="left"/>
      <w:pPr>
        <w:tabs>
          <w:tab w:val="num" w:pos="360"/>
        </w:tabs>
        <w:ind w:left="360" w:hanging="360"/>
      </w:pPr>
      <w:rPr>
        <w:rFonts w:ascii="Arial Narrow" w:hAnsi="Arial Narrow" w:hint="default"/>
        <w:sz w:val="16"/>
        <w:szCs w:val="1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hint="default"/>
      </w:rPr>
    </w:lvl>
  </w:abstractNum>
  <w:abstractNum w:abstractNumId="18">
    <w:nsid w:val="4BE83ECD"/>
    <w:multiLevelType w:val="hybridMultilevel"/>
    <w:tmpl w:val="F124921C"/>
    <w:lvl w:ilvl="0" w:tplc="8C5AC440">
      <w:start w:val="1"/>
      <w:numFmt w:val="bullet"/>
      <w:pStyle w:val="LBLBulletStyle1"/>
      <w:lvlText w:val=""/>
      <w:lvlJc w:val="left"/>
      <w:pPr>
        <w:tabs>
          <w:tab w:val="num" w:pos="360"/>
        </w:tabs>
        <w:ind w:left="360" w:hanging="360"/>
      </w:pPr>
      <w:rPr>
        <w:rFonts w:ascii="Symbol" w:hAnsi="Symbol" w:hint="default"/>
      </w:rPr>
    </w:lvl>
    <w:lvl w:ilvl="1" w:tplc="4FDC0474">
      <w:start w:val="1"/>
      <w:numFmt w:val="bullet"/>
      <w:lvlText w:val=""/>
      <w:lvlJc w:val="left"/>
      <w:pPr>
        <w:tabs>
          <w:tab w:val="num" w:pos="1080"/>
        </w:tabs>
        <w:ind w:left="1080" w:hanging="360"/>
      </w:pPr>
      <w:rPr>
        <w:rFonts w:ascii="Symbol" w:hAnsi="Symbol" w:hint="default"/>
      </w:rPr>
    </w:lvl>
    <w:lvl w:ilvl="2" w:tplc="226840C4" w:tentative="1">
      <w:start w:val="1"/>
      <w:numFmt w:val="bullet"/>
      <w:lvlText w:val=""/>
      <w:lvlJc w:val="left"/>
      <w:pPr>
        <w:tabs>
          <w:tab w:val="num" w:pos="1800"/>
        </w:tabs>
        <w:ind w:left="1800" w:hanging="360"/>
      </w:pPr>
      <w:rPr>
        <w:rFonts w:ascii="Wingdings" w:hAnsi="Wingdings" w:hint="default"/>
      </w:rPr>
    </w:lvl>
    <w:lvl w:ilvl="3" w:tplc="2A685BA0" w:tentative="1">
      <w:start w:val="1"/>
      <w:numFmt w:val="bullet"/>
      <w:lvlText w:val=""/>
      <w:lvlJc w:val="left"/>
      <w:pPr>
        <w:tabs>
          <w:tab w:val="num" w:pos="2520"/>
        </w:tabs>
        <w:ind w:left="2520" w:hanging="360"/>
      </w:pPr>
      <w:rPr>
        <w:rFonts w:ascii="Symbol" w:hAnsi="Symbol" w:hint="default"/>
      </w:rPr>
    </w:lvl>
    <w:lvl w:ilvl="4" w:tplc="769CD3B4" w:tentative="1">
      <w:start w:val="1"/>
      <w:numFmt w:val="bullet"/>
      <w:lvlText w:val="o"/>
      <w:lvlJc w:val="left"/>
      <w:pPr>
        <w:tabs>
          <w:tab w:val="num" w:pos="3240"/>
        </w:tabs>
        <w:ind w:left="3240" w:hanging="360"/>
      </w:pPr>
      <w:rPr>
        <w:rFonts w:ascii="Courier New" w:hAnsi="Courier New" w:cs="Courier New" w:hint="default"/>
      </w:rPr>
    </w:lvl>
    <w:lvl w:ilvl="5" w:tplc="5E64A41E" w:tentative="1">
      <w:start w:val="1"/>
      <w:numFmt w:val="bullet"/>
      <w:lvlText w:val=""/>
      <w:lvlJc w:val="left"/>
      <w:pPr>
        <w:tabs>
          <w:tab w:val="num" w:pos="3960"/>
        </w:tabs>
        <w:ind w:left="3960" w:hanging="360"/>
      </w:pPr>
      <w:rPr>
        <w:rFonts w:ascii="Wingdings" w:hAnsi="Wingdings" w:hint="default"/>
      </w:rPr>
    </w:lvl>
    <w:lvl w:ilvl="6" w:tplc="89F2AEF4" w:tentative="1">
      <w:start w:val="1"/>
      <w:numFmt w:val="bullet"/>
      <w:lvlText w:val=""/>
      <w:lvlJc w:val="left"/>
      <w:pPr>
        <w:tabs>
          <w:tab w:val="num" w:pos="4680"/>
        </w:tabs>
        <w:ind w:left="4680" w:hanging="360"/>
      </w:pPr>
      <w:rPr>
        <w:rFonts w:ascii="Symbol" w:hAnsi="Symbol" w:hint="default"/>
      </w:rPr>
    </w:lvl>
    <w:lvl w:ilvl="7" w:tplc="5E38025C" w:tentative="1">
      <w:start w:val="1"/>
      <w:numFmt w:val="bullet"/>
      <w:lvlText w:val="o"/>
      <w:lvlJc w:val="left"/>
      <w:pPr>
        <w:tabs>
          <w:tab w:val="num" w:pos="5400"/>
        </w:tabs>
        <w:ind w:left="5400" w:hanging="360"/>
      </w:pPr>
      <w:rPr>
        <w:rFonts w:ascii="Courier New" w:hAnsi="Courier New" w:cs="Courier New" w:hint="default"/>
      </w:rPr>
    </w:lvl>
    <w:lvl w:ilvl="8" w:tplc="BA668D7A" w:tentative="1">
      <w:start w:val="1"/>
      <w:numFmt w:val="bullet"/>
      <w:lvlText w:val=""/>
      <w:lvlJc w:val="left"/>
      <w:pPr>
        <w:tabs>
          <w:tab w:val="num" w:pos="6120"/>
        </w:tabs>
        <w:ind w:left="6120" w:hanging="360"/>
      </w:pPr>
      <w:rPr>
        <w:rFonts w:ascii="Wingdings" w:hAnsi="Wingdings" w:hint="default"/>
      </w:rPr>
    </w:lvl>
  </w:abstractNum>
  <w:abstractNum w:abstractNumId="19">
    <w:nsid w:val="4F5109CC"/>
    <w:multiLevelType w:val="hybridMultilevel"/>
    <w:tmpl w:val="F52C3C0A"/>
    <w:lvl w:ilvl="0" w:tplc="21F2825C">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4B6B4A"/>
    <w:multiLevelType w:val="hybridMultilevel"/>
    <w:tmpl w:val="8404FF06"/>
    <w:lvl w:ilvl="0" w:tplc="0C090001">
      <w:start w:val="1"/>
      <w:numFmt w:val="decimal"/>
      <w:lvlText w:val="%1."/>
      <w:lvlJc w:val="left"/>
      <w:pPr>
        <w:tabs>
          <w:tab w:val="num" w:pos="720"/>
        </w:tabs>
        <w:ind w:left="720" w:hanging="360"/>
      </w:pPr>
      <w:rPr>
        <w:rFont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29225AF"/>
    <w:multiLevelType w:val="hybridMultilevel"/>
    <w:tmpl w:val="D2F2277A"/>
    <w:lvl w:ilvl="0" w:tplc="0C09000F">
      <w:start w:val="1"/>
      <w:numFmt w:val="decimal"/>
      <w:lvlText w:val="%1."/>
      <w:lvlJc w:val="left"/>
      <w:pPr>
        <w:tabs>
          <w:tab w:val="num" w:pos="720"/>
        </w:tabs>
        <w:ind w:left="720" w:hanging="360"/>
      </w:p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22">
    <w:nsid w:val="75C85A55"/>
    <w:multiLevelType w:val="singleLevel"/>
    <w:tmpl w:val="8A8ECA6C"/>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3">
    <w:nsid w:val="76B84858"/>
    <w:multiLevelType w:val="multilevel"/>
    <w:tmpl w:val="BE0EBB68"/>
    <w:numStyleLink w:val="GDSTablefootnotes"/>
  </w:abstractNum>
  <w:num w:numId="1">
    <w:abstractNumId w:val="5"/>
  </w:num>
  <w:num w:numId="2">
    <w:abstractNumId w:val="8"/>
  </w:num>
  <w:num w:numId="3">
    <w:abstractNumId w:val="10"/>
  </w:num>
  <w:num w:numId="4">
    <w:abstractNumId w:val="3"/>
  </w:num>
  <w:num w:numId="5">
    <w:abstractNumId w:val="21"/>
  </w:num>
  <w:num w:numId="6">
    <w:abstractNumId w:val="18"/>
  </w:num>
  <w:num w:numId="7">
    <w:abstractNumId w:val="16"/>
  </w:num>
  <w:num w:numId="8">
    <w:abstractNumId w:val="23"/>
  </w:num>
  <w:num w:numId="9">
    <w:abstractNumId w:val="12"/>
  </w:num>
  <w:num w:numId="10">
    <w:abstractNumId w:val="13"/>
  </w:num>
  <w:num w:numId="11">
    <w:abstractNumId w:val="4"/>
  </w:num>
  <w:num w:numId="12">
    <w:abstractNumId w:val="7"/>
  </w:num>
  <w:num w:numId="13">
    <w:abstractNumId w:val="17"/>
  </w:num>
  <w:num w:numId="14">
    <w:abstractNumId w:val="19"/>
  </w:num>
  <w:num w:numId="15">
    <w:abstractNumId w:val="20"/>
  </w:num>
  <w:num w:numId="16">
    <w:abstractNumId w:val="2"/>
  </w:num>
  <w:num w:numId="17">
    <w:abstractNumId w:val="0"/>
  </w:num>
  <w:num w:numId="18">
    <w:abstractNumId w:val="22"/>
  </w:num>
  <w:num w:numId="19">
    <w:abstractNumId w:val="1"/>
  </w:num>
  <w:num w:numId="20">
    <w:abstractNumId w:val="15"/>
  </w:num>
  <w:num w:numId="21">
    <w:abstractNumId w:val="6"/>
  </w:num>
  <w:num w:numId="22">
    <w:abstractNumId w:val="14"/>
  </w:num>
  <w:num w:numId="23">
    <w:abstractNumId w:val="9"/>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81869"/>
    <w:rsid w:val="00001A06"/>
    <w:rsid w:val="00001F49"/>
    <w:rsid w:val="000037DD"/>
    <w:rsid w:val="00004FF7"/>
    <w:rsid w:val="0001118E"/>
    <w:rsid w:val="00017045"/>
    <w:rsid w:val="00017D1E"/>
    <w:rsid w:val="000209D8"/>
    <w:rsid w:val="00022845"/>
    <w:rsid w:val="00034BC6"/>
    <w:rsid w:val="0003736D"/>
    <w:rsid w:val="00043DA8"/>
    <w:rsid w:val="00053EC9"/>
    <w:rsid w:val="000558AF"/>
    <w:rsid w:val="000644CB"/>
    <w:rsid w:val="00064CF2"/>
    <w:rsid w:val="000669A6"/>
    <w:rsid w:val="00070875"/>
    <w:rsid w:val="00072E55"/>
    <w:rsid w:val="0007579F"/>
    <w:rsid w:val="00080328"/>
    <w:rsid w:val="0008570D"/>
    <w:rsid w:val="00086BEA"/>
    <w:rsid w:val="00090421"/>
    <w:rsid w:val="00090947"/>
    <w:rsid w:val="00092CDD"/>
    <w:rsid w:val="000A74BE"/>
    <w:rsid w:val="000B28FF"/>
    <w:rsid w:val="000B741B"/>
    <w:rsid w:val="000C401D"/>
    <w:rsid w:val="000C42F1"/>
    <w:rsid w:val="000C6EA1"/>
    <w:rsid w:val="000C75B7"/>
    <w:rsid w:val="000D0C60"/>
    <w:rsid w:val="000D0F20"/>
    <w:rsid w:val="000D7C7E"/>
    <w:rsid w:val="000F0D69"/>
    <w:rsid w:val="000F4E6C"/>
    <w:rsid w:val="000F7694"/>
    <w:rsid w:val="000F7E31"/>
    <w:rsid w:val="001024C5"/>
    <w:rsid w:val="00102704"/>
    <w:rsid w:val="001108B8"/>
    <w:rsid w:val="00120837"/>
    <w:rsid w:val="00120CD3"/>
    <w:rsid w:val="00130BC4"/>
    <w:rsid w:val="0013262F"/>
    <w:rsid w:val="001350BD"/>
    <w:rsid w:val="00141EF5"/>
    <w:rsid w:val="00144FB5"/>
    <w:rsid w:val="00153172"/>
    <w:rsid w:val="001676DE"/>
    <w:rsid w:val="00170E9A"/>
    <w:rsid w:val="0017169B"/>
    <w:rsid w:val="0017274D"/>
    <w:rsid w:val="00175AA9"/>
    <w:rsid w:val="0018077E"/>
    <w:rsid w:val="00180919"/>
    <w:rsid w:val="001812E8"/>
    <w:rsid w:val="0018251E"/>
    <w:rsid w:val="001850C3"/>
    <w:rsid w:val="00191310"/>
    <w:rsid w:val="001939EF"/>
    <w:rsid w:val="00195C78"/>
    <w:rsid w:val="001B15AF"/>
    <w:rsid w:val="001B7B92"/>
    <w:rsid w:val="001C3BD1"/>
    <w:rsid w:val="001E4B7E"/>
    <w:rsid w:val="001F4D25"/>
    <w:rsid w:val="001F6AA1"/>
    <w:rsid w:val="00200A84"/>
    <w:rsid w:val="00200A87"/>
    <w:rsid w:val="002054BE"/>
    <w:rsid w:val="00206B8E"/>
    <w:rsid w:val="002100BD"/>
    <w:rsid w:val="00210166"/>
    <w:rsid w:val="00221B12"/>
    <w:rsid w:val="00225254"/>
    <w:rsid w:val="00234695"/>
    <w:rsid w:val="00240D96"/>
    <w:rsid w:val="002429B5"/>
    <w:rsid w:val="00253832"/>
    <w:rsid w:val="0025444F"/>
    <w:rsid w:val="002555AD"/>
    <w:rsid w:val="002568E9"/>
    <w:rsid w:val="00264191"/>
    <w:rsid w:val="00265432"/>
    <w:rsid w:val="002654F0"/>
    <w:rsid w:val="00271C63"/>
    <w:rsid w:val="00281869"/>
    <w:rsid w:val="0028756D"/>
    <w:rsid w:val="002943EB"/>
    <w:rsid w:val="002962F2"/>
    <w:rsid w:val="002A06AC"/>
    <w:rsid w:val="002A3B95"/>
    <w:rsid w:val="002B0669"/>
    <w:rsid w:val="002B2A5B"/>
    <w:rsid w:val="002B414E"/>
    <w:rsid w:val="002B4A20"/>
    <w:rsid w:val="002B4D09"/>
    <w:rsid w:val="002B582F"/>
    <w:rsid w:val="002B683B"/>
    <w:rsid w:val="002C0225"/>
    <w:rsid w:val="002C172F"/>
    <w:rsid w:val="002D3A11"/>
    <w:rsid w:val="002D4CEE"/>
    <w:rsid w:val="002D5674"/>
    <w:rsid w:val="002D59DF"/>
    <w:rsid w:val="002E1AD9"/>
    <w:rsid w:val="002E24FA"/>
    <w:rsid w:val="002F1277"/>
    <w:rsid w:val="002F63C8"/>
    <w:rsid w:val="0030022D"/>
    <w:rsid w:val="003002BA"/>
    <w:rsid w:val="00305E34"/>
    <w:rsid w:val="00326CF9"/>
    <w:rsid w:val="00331DDD"/>
    <w:rsid w:val="003329C4"/>
    <w:rsid w:val="00333767"/>
    <w:rsid w:val="00337EF6"/>
    <w:rsid w:val="00342B98"/>
    <w:rsid w:val="00353A2C"/>
    <w:rsid w:val="0035571B"/>
    <w:rsid w:val="00356BBC"/>
    <w:rsid w:val="00361C5F"/>
    <w:rsid w:val="003652FE"/>
    <w:rsid w:val="00366508"/>
    <w:rsid w:val="00367B35"/>
    <w:rsid w:val="003714DD"/>
    <w:rsid w:val="00371B17"/>
    <w:rsid w:val="003806BF"/>
    <w:rsid w:val="00386F45"/>
    <w:rsid w:val="003A6F97"/>
    <w:rsid w:val="003B4348"/>
    <w:rsid w:val="003C317E"/>
    <w:rsid w:val="003C4759"/>
    <w:rsid w:val="003D0B4A"/>
    <w:rsid w:val="003D202A"/>
    <w:rsid w:val="003D35F9"/>
    <w:rsid w:val="003E3C35"/>
    <w:rsid w:val="003E7716"/>
    <w:rsid w:val="003F12DD"/>
    <w:rsid w:val="003F5E95"/>
    <w:rsid w:val="003F791B"/>
    <w:rsid w:val="003F7ECC"/>
    <w:rsid w:val="00400357"/>
    <w:rsid w:val="00405698"/>
    <w:rsid w:val="004076C6"/>
    <w:rsid w:val="004107C5"/>
    <w:rsid w:val="00411019"/>
    <w:rsid w:val="00411B9E"/>
    <w:rsid w:val="00412BF5"/>
    <w:rsid w:val="0041327F"/>
    <w:rsid w:val="00417417"/>
    <w:rsid w:val="0042465B"/>
    <w:rsid w:val="004279B2"/>
    <w:rsid w:val="00435AD0"/>
    <w:rsid w:val="004363E9"/>
    <w:rsid w:val="00443891"/>
    <w:rsid w:val="00444CDB"/>
    <w:rsid w:val="00452797"/>
    <w:rsid w:val="004601D8"/>
    <w:rsid w:val="004617C6"/>
    <w:rsid w:val="00465D54"/>
    <w:rsid w:val="0047717C"/>
    <w:rsid w:val="00481C2B"/>
    <w:rsid w:val="00483FE4"/>
    <w:rsid w:val="00484410"/>
    <w:rsid w:val="00495050"/>
    <w:rsid w:val="004959E8"/>
    <w:rsid w:val="00495E83"/>
    <w:rsid w:val="004B768E"/>
    <w:rsid w:val="004C36C1"/>
    <w:rsid w:val="004C3E69"/>
    <w:rsid w:val="004C6E9D"/>
    <w:rsid w:val="004C71C4"/>
    <w:rsid w:val="004C789D"/>
    <w:rsid w:val="004D24ED"/>
    <w:rsid w:val="004D5C68"/>
    <w:rsid w:val="004D6F9B"/>
    <w:rsid w:val="004E1800"/>
    <w:rsid w:val="004E5DA9"/>
    <w:rsid w:val="004F1BA1"/>
    <w:rsid w:val="004F4E4F"/>
    <w:rsid w:val="00503BBD"/>
    <w:rsid w:val="00504472"/>
    <w:rsid w:val="00504E24"/>
    <w:rsid w:val="005154C4"/>
    <w:rsid w:val="0051665E"/>
    <w:rsid w:val="0051744E"/>
    <w:rsid w:val="005202CA"/>
    <w:rsid w:val="005204BA"/>
    <w:rsid w:val="005218BC"/>
    <w:rsid w:val="005224A8"/>
    <w:rsid w:val="00523B9F"/>
    <w:rsid w:val="0053170C"/>
    <w:rsid w:val="00535FEF"/>
    <w:rsid w:val="0054039C"/>
    <w:rsid w:val="0054365D"/>
    <w:rsid w:val="00544D2B"/>
    <w:rsid w:val="0054507B"/>
    <w:rsid w:val="005455F8"/>
    <w:rsid w:val="0055120C"/>
    <w:rsid w:val="005517B9"/>
    <w:rsid w:val="00555A21"/>
    <w:rsid w:val="00555D59"/>
    <w:rsid w:val="005562F4"/>
    <w:rsid w:val="00557376"/>
    <w:rsid w:val="00560138"/>
    <w:rsid w:val="00560F6D"/>
    <w:rsid w:val="005701B3"/>
    <w:rsid w:val="005704B1"/>
    <w:rsid w:val="005744AC"/>
    <w:rsid w:val="00574FCE"/>
    <w:rsid w:val="00585BAA"/>
    <w:rsid w:val="00593BEA"/>
    <w:rsid w:val="005A3FB2"/>
    <w:rsid w:val="005A4E8F"/>
    <w:rsid w:val="005C4454"/>
    <w:rsid w:val="005D0815"/>
    <w:rsid w:val="005E107E"/>
    <w:rsid w:val="005E142F"/>
    <w:rsid w:val="005E3DE7"/>
    <w:rsid w:val="005E5F58"/>
    <w:rsid w:val="005F04AC"/>
    <w:rsid w:val="005F0BAB"/>
    <w:rsid w:val="005F3D10"/>
    <w:rsid w:val="00600308"/>
    <w:rsid w:val="0060080F"/>
    <w:rsid w:val="00603D98"/>
    <w:rsid w:val="00604FAA"/>
    <w:rsid w:val="006057F8"/>
    <w:rsid w:val="006145D8"/>
    <w:rsid w:val="00614F0A"/>
    <w:rsid w:val="00615FF2"/>
    <w:rsid w:val="00630382"/>
    <w:rsid w:val="00633C31"/>
    <w:rsid w:val="00640AC0"/>
    <w:rsid w:val="006443E1"/>
    <w:rsid w:val="006451B0"/>
    <w:rsid w:val="0065036F"/>
    <w:rsid w:val="00657F64"/>
    <w:rsid w:val="0066332A"/>
    <w:rsid w:val="00665AF4"/>
    <w:rsid w:val="006760E1"/>
    <w:rsid w:val="0067680C"/>
    <w:rsid w:val="00676FB7"/>
    <w:rsid w:val="00683316"/>
    <w:rsid w:val="00686667"/>
    <w:rsid w:val="0068739E"/>
    <w:rsid w:val="00692C27"/>
    <w:rsid w:val="00695F75"/>
    <w:rsid w:val="006A038F"/>
    <w:rsid w:val="006A1F4C"/>
    <w:rsid w:val="006A22C7"/>
    <w:rsid w:val="006A2DD0"/>
    <w:rsid w:val="006A3691"/>
    <w:rsid w:val="006A7538"/>
    <w:rsid w:val="006A7861"/>
    <w:rsid w:val="006B466E"/>
    <w:rsid w:val="006B5166"/>
    <w:rsid w:val="006C427A"/>
    <w:rsid w:val="006C4A20"/>
    <w:rsid w:val="006D291E"/>
    <w:rsid w:val="006D6D4D"/>
    <w:rsid w:val="006D7D13"/>
    <w:rsid w:val="006E7DCF"/>
    <w:rsid w:val="006F2C87"/>
    <w:rsid w:val="006F3390"/>
    <w:rsid w:val="006F3735"/>
    <w:rsid w:val="006F4658"/>
    <w:rsid w:val="006F690F"/>
    <w:rsid w:val="007002E3"/>
    <w:rsid w:val="0070259A"/>
    <w:rsid w:val="00730C28"/>
    <w:rsid w:val="007322A1"/>
    <w:rsid w:val="0074590F"/>
    <w:rsid w:val="00746095"/>
    <w:rsid w:val="00757A25"/>
    <w:rsid w:val="0076307B"/>
    <w:rsid w:val="007646E9"/>
    <w:rsid w:val="00765411"/>
    <w:rsid w:val="00767CED"/>
    <w:rsid w:val="00785909"/>
    <w:rsid w:val="00786A22"/>
    <w:rsid w:val="00795E3A"/>
    <w:rsid w:val="007A5360"/>
    <w:rsid w:val="007B48F9"/>
    <w:rsid w:val="007B4924"/>
    <w:rsid w:val="007C25C6"/>
    <w:rsid w:val="007D29D1"/>
    <w:rsid w:val="007D2DF2"/>
    <w:rsid w:val="007E4D67"/>
    <w:rsid w:val="007E60B0"/>
    <w:rsid w:val="007F1764"/>
    <w:rsid w:val="00801F81"/>
    <w:rsid w:val="008069E2"/>
    <w:rsid w:val="008069F7"/>
    <w:rsid w:val="008131CD"/>
    <w:rsid w:val="00814F2E"/>
    <w:rsid w:val="0082027F"/>
    <w:rsid w:val="0083330E"/>
    <w:rsid w:val="00834B0B"/>
    <w:rsid w:val="00842B53"/>
    <w:rsid w:val="00844575"/>
    <w:rsid w:val="00852017"/>
    <w:rsid w:val="0086190E"/>
    <w:rsid w:val="00862760"/>
    <w:rsid w:val="00864F19"/>
    <w:rsid w:val="00867F68"/>
    <w:rsid w:val="00871C5E"/>
    <w:rsid w:val="00882CF8"/>
    <w:rsid w:val="00886762"/>
    <w:rsid w:val="00893396"/>
    <w:rsid w:val="008959F0"/>
    <w:rsid w:val="00897B7B"/>
    <w:rsid w:val="008A17B0"/>
    <w:rsid w:val="008A4FB1"/>
    <w:rsid w:val="008A5959"/>
    <w:rsid w:val="008C1AF4"/>
    <w:rsid w:val="008C2C67"/>
    <w:rsid w:val="008D468A"/>
    <w:rsid w:val="008D4B6B"/>
    <w:rsid w:val="008E1030"/>
    <w:rsid w:val="008E3DC7"/>
    <w:rsid w:val="008F0E88"/>
    <w:rsid w:val="008F7050"/>
    <w:rsid w:val="009043D0"/>
    <w:rsid w:val="00906B1A"/>
    <w:rsid w:val="009121F1"/>
    <w:rsid w:val="00913017"/>
    <w:rsid w:val="00917978"/>
    <w:rsid w:val="00921048"/>
    <w:rsid w:val="0092185C"/>
    <w:rsid w:val="0092397D"/>
    <w:rsid w:val="009306E4"/>
    <w:rsid w:val="00930747"/>
    <w:rsid w:val="00931430"/>
    <w:rsid w:val="00934F26"/>
    <w:rsid w:val="00957543"/>
    <w:rsid w:val="00962C53"/>
    <w:rsid w:val="00965DC6"/>
    <w:rsid w:val="009671AA"/>
    <w:rsid w:val="009703EE"/>
    <w:rsid w:val="009730A7"/>
    <w:rsid w:val="00976692"/>
    <w:rsid w:val="009803B4"/>
    <w:rsid w:val="00980962"/>
    <w:rsid w:val="00983E27"/>
    <w:rsid w:val="0098496F"/>
    <w:rsid w:val="009866A2"/>
    <w:rsid w:val="00995F2E"/>
    <w:rsid w:val="0099671B"/>
    <w:rsid w:val="009A3839"/>
    <w:rsid w:val="009C13D4"/>
    <w:rsid w:val="009C4A98"/>
    <w:rsid w:val="009C4E6F"/>
    <w:rsid w:val="009C75E7"/>
    <w:rsid w:val="009D7402"/>
    <w:rsid w:val="009E0172"/>
    <w:rsid w:val="009E1049"/>
    <w:rsid w:val="009F51DA"/>
    <w:rsid w:val="00A119BB"/>
    <w:rsid w:val="00A155F4"/>
    <w:rsid w:val="00A17788"/>
    <w:rsid w:val="00A27782"/>
    <w:rsid w:val="00A37FFB"/>
    <w:rsid w:val="00A4504D"/>
    <w:rsid w:val="00A56546"/>
    <w:rsid w:val="00A62D57"/>
    <w:rsid w:val="00A638E5"/>
    <w:rsid w:val="00A65314"/>
    <w:rsid w:val="00A7172B"/>
    <w:rsid w:val="00A75A1A"/>
    <w:rsid w:val="00A80246"/>
    <w:rsid w:val="00A90FCF"/>
    <w:rsid w:val="00A91321"/>
    <w:rsid w:val="00A9162B"/>
    <w:rsid w:val="00AB6DA2"/>
    <w:rsid w:val="00AB722C"/>
    <w:rsid w:val="00AC0FB3"/>
    <w:rsid w:val="00AC3DB8"/>
    <w:rsid w:val="00AC79A0"/>
    <w:rsid w:val="00AC7ED0"/>
    <w:rsid w:val="00AD3E28"/>
    <w:rsid w:val="00AE14F9"/>
    <w:rsid w:val="00AE39C4"/>
    <w:rsid w:val="00AE4348"/>
    <w:rsid w:val="00AE599C"/>
    <w:rsid w:val="00AE5CEC"/>
    <w:rsid w:val="00AE5F8D"/>
    <w:rsid w:val="00AF4A0D"/>
    <w:rsid w:val="00AF6BE3"/>
    <w:rsid w:val="00AF7961"/>
    <w:rsid w:val="00B00AE9"/>
    <w:rsid w:val="00B063E5"/>
    <w:rsid w:val="00B22BCB"/>
    <w:rsid w:val="00B24E4B"/>
    <w:rsid w:val="00B263C5"/>
    <w:rsid w:val="00B26F8C"/>
    <w:rsid w:val="00B36CEE"/>
    <w:rsid w:val="00B40BDD"/>
    <w:rsid w:val="00B412F6"/>
    <w:rsid w:val="00B47A44"/>
    <w:rsid w:val="00B525AE"/>
    <w:rsid w:val="00B57DF5"/>
    <w:rsid w:val="00B64FC0"/>
    <w:rsid w:val="00B65277"/>
    <w:rsid w:val="00B7353E"/>
    <w:rsid w:val="00B73F92"/>
    <w:rsid w:val="00B74AB7"/>
    <w:rsid w:val="00B83F25"/>
    <w:rsid w:val="00B85283"/>
    <w:rsid w:val="00B854C9"/>
    <w:rsid w:val="00B91050"/>
    <w:rsid w:val="00B92049"/>
    <w:rsid w:val="00B9663D"/>
    <w:rsid w:val="00B97BB5"/>
    <w:rsid w:val="00BA38B3"/>
    <w:rsid w:val="00BC1CAE"/>
    <w:rsid w:val="00BC516A"/>
    <w:rsid w:val="00BD38E1"/>
    <w:rsid w:val="00BD6397"/>
    <w:rsid w:val="00BE020F"/>
    <w:rsid w:val="00BE3AFB"/>
    <w:rsid w:val="00BE3FA2"/>
    <w:rsid w:val="00BE4581"/>
    <w:rsid w:val="00BE5E75"/>
    <w:rsid w:val="00BF343E"/>
    <w:rsid w:val="00BF6E47"/>
    <w:rsid w:val="00BF7C13"/>
    <w:rsid w:val="00C03A92"/>
    <w:rsid w:val="00C04C5F"/>
    <w:rsid w:val="00C04C86"/>
    <w:rsid w:val="00C21187"/>
    <w:rsid w:val="00C26D09"/>
    <w:rsid w:val="00C331E7"/>
    <w:rsid w:val="00C3398E"/>
    <w:rsid w:val="00C34775"/>
    <w:rsid w:val="00C35ADC"/>
    <w:rsid w:val="00C374C3"/>
    <w:rsid w:val="00C4163C"/>
    <w:rsid w:val="00C43DE4"/>
    <w:rsid w:val="00C575BC"/>
    <w:rsid w:val="00C62296"/>
    <w:rsid w:val="00C62A8D"/>
    <w:rsid w:val="00C66BF4"/>
    <w:rsid w:val="00C7085E"/>
    <w:rsid w:val="00C73058"/>
    <w:rsid w:val="00C84193"/>
    <w:rsid w:val="00C92B7B"/>
    <w:rsid w:val="00C93CB6"/>
    <w:rsid w:val="00CA71A5"/>
    <w:rsid w:val="00CB0566"/>
    <w:rsid w:val="00CB0942"/>
    <w:rsid w:val="00CB2C49"/>
    <w:rsid w:val="00CB4136"/>
    <w:rsid w:val="00CB49D2"/>
    <w:rsid w:val="00CC0F33"/>
    <w:rsid w:val="00CC6CAE"/>
    <w:rsid w:val="00CD09A8"/>
    <w:rsid w:val="00CD23E1"/>
    <w:rsid w:val="00CD5BB7"/>
    <w:rsid w:val="00CE0CF1"/>
    <w:rsid w:val="00CE314C"/>
    <w:rsid w:val="00CE4142"/>
    <w:rsid w:val="00CE6CB0"/>
    <w:rsid w:val="00CF16EF"/>
    <w:rsid w:val="00CF5244"/>
    <w:rsid w:val="00CF5A4E"/>
    <w:rsid w:val="00D06486"/>
    <w:rsid w:val="00D06A3E"/>
    <w:rsid w:val="00D11D32"/>
    <w:rsid w:val="00D139B8"/>
    <w:rsid w:val="00D266B0"/>
    <w:rsid w:val="00D268A4"/>
    <w:rsid w:val="00D3001E"/>
    <w:rsid w:val="00D35961"/>
    <w:rsid w:val="00D412F1"/>
    <w:rsid w:val="00D412FE"/>
    <w:rsid w:val="00D45C90"/>
    <w:rsid w:val="00D566D3"/>
    <w:rsid w:val="00D65096"/>
    <w:rsid w:val="00D67503"/>
    <w:rsid w:val="00D73A25"/>
    <w:rsid w:val="00D772B9"/>
    <w:rsid w:val="00D8232A"/>
    <w:rsid w:val="00D8286B"/>
    <w:rsid w:val="00DA0056"/>
    <w:rsid w:val="00DB62D7"/>
    <w:rsid w:val="00DB77C7"/>
    <w:rsid w:val="00DC1F81"/>
    <w:rsid w:val="00DC498F"/>
    <w:rsid w:val="00DD4E5D"/>
    <w:rsid w:val="00DD50D2"/>
    <w:rsid w:val="00DD77B2"/>
    <w:rsid w:val="00DE5B89"/>
    <w:rsid w:val="00DF5084"/>
    <w:rsid w:val="00DF5A35"/>
    <w:rsid w:val="00DF656D"/>
    <w:rsid w:val="00E00CD4"/>
    <w:rsid w:val="00E03B64"/>
    <w:rsid w:val="00E046DB"/>
    <w:rsid w:val="00E0513C"/>
    <w:rsid w:val="00E11B6A"/>
    <w:rsid w:val="00E12623"/>
    <w:rsid w:val="00E134D7"/>
    <w:rsid w:val="00E14D7D"/>
    <w:rsid w:val="00E2287D"/>
    <w:rsid w:val="00E25668"/>
    <w:rsid w:val="00E25FB0"/>
    <w:rsid w:val="00E31768"/>
    <w:rsid w:val="00E34591"/>
    <w:rsid w:val="00E40089"/>
    <w:rsid w:val="00E405B8"/>
    <w:rsid w:val="00E41B5D"/>
    <w:rsid w:val="00E42F2A"/>
    <w:rsid w:val="00E430B7"/>
    <w:rsid w:val="00E4636A"/>
    <w:rsid w:val="00E46F86"/>
    <w:rsid w:val="00E47D0D"/>
    <w:rsid w:val="00E5169B"/>
    <w:rsid w:val="00E63873"/>
    <w:rsid w:val="00E642DA"/>
    <w:rsid w:val="00E6622A"/>
    <w:rsid w:val="00E73986"/>
    <w:rsid w:val="00E77379"/>
    <w:rsid w:val="00E80DAC"/>
    <w:rsid w:val="00E80F13"/>
    <w:rsid w:val="00E817C2"/>
    <w:rsid w:val="00E83655"/>
    <w:rsid w:val="00E87E26"/>
    <w:rsid w:val="00E90CC9"/>
    <w:rsid w:val="00E912AC"/>
    <w:rsid w:val="00E91528"/>
    <w:rsid w:val="00E96467"/>
    <w:rsid w:val="00E96720"/>
    <w:rsid w:val="00EA1F7E"/>
    <w:rsid w:val="00EC173C"/>
    <w:rsid w:val="00EC4D33"/>
    <w:rsid w:val="00EC5F03"/>
    <w:rsid w:val="00EC6D6B"/>
    <w:rsid w:val="00EC6DC3"/>
    <w:rsid w:val="00ED0F79"/>
    <w:rsid w:val="00ED3890"/>
    <w:rsid w:val="00ED3E1C"/>
    <w:rsid w:val="00ED67EE"/>
    <w:rsid w:val="00EE44A6"/>
    <w:rsid w:val="00EE4D0D"/>
    <w:rsid w:val="00EF2C8F"/>
    <w:rsid w:val="00EF7365"/>
    <w:rsid w:val="00F04657"/>
    <w:rsid w:val="00F05BFB"/>
    <w:rsid w:val="00F11F24"/>
    <w:rsid w:val="00F1419D"/>
    <w:rsid w:val="00F158B8"/>
    <w:rsid w:val="00F15F91"/>
    <w:rsid w:val="00F16776"/>
    <w:rsid w:val="00F27321"/>
    <w:rsid w:val="00F34B69"/>
    <w:rsid w:val="00F355A4"/>
    <w:rsid w:val="00F37782"/>
    <w:rsid w:val="00F41A96"/>
    <w:rsid w:val="00F43377"/>
    <w:rsid w:val="00F43494"/>
    <w:rsid w:val="00F4501B"/>
    <w:rsid w:val="00F5128B"/>
    <w:rsid w:val="00F51450"/>
    <w:rsid w:val="00F52343"/>
    <w:rsid w:val="00F5456C"/>
    <w:rsid w:val="00F5627B"/>
    <w:rsid w:val="00F717A8"/>
    <w:rsid w:val="00F73467"/>
    <w:rsid w:val="00F817A9"/>
    <w:rsid w:val="00F94812"/>
    <w:rsid w:val="00FA7533"/>
    <w:rsid w:val="00FB3AE4"/>
    <w:rsid w:val="00FB4B15"/>
    <w:rsid w:val="00FB5A70"/>
    <w:rsid w:val="00FB7279"/>
    <w:rsid w:val="00FB7684"/>
    <w:rsid w:val="00FC00FC"/>
    <w:rsid w:val="00FC07B0"/>
    <w:rsid w:val="00FC07BF"/>
    <w:rsid w:val="00FC780F"/>
    <w:rsid w:val="00FD2546"/>
    <w:rsid w:val="00FD341C"/>
    <w:rsid w:val="00FD7418"/>
    <w:rsid w:val="00FE0099"/>
    <w:rsid w:val="00FE59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20"/>
    <w:rPr>
      <w:sz w:val="24"/>
      <w:szCs w:val="24"/>
    </w:rPr>
  </w:style>
  <w:style w:type="paragraph" w:styleId="Heading1">
    <w:name w:val="heading 1"/>
    <w:basedOn w:val="Normal"/>
    <w:next w:val="Normal"/>
    <w:qFormat/>
    <w:rsid w:val="006C4A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622A"/>
    <w:pPr>
      <w:keepNext/>
      <w:spacing w:line="360" w:lineRule="atLeast"/>
      <w:jc w:val="both"/>
      <w:outlineLvl w:val="1"/>
    </w:pPr>
    <w:rPr>
      <w:b/>
      <w:szCs w:val="20"/>
      <w:u w:val="single"/>
    </w:rPr>
  </w:style>
  <w:style w:type="paragraph" w:styleId="Heading5">
    <w:name w:val="heading 5"/>
    <w:basedOn w:val="Normal"/>
    <w:next w:val="Normal"/>
    <w:qFormat/>
    <w:rsid w:val="00E6622A"/>
    <w:pPr>
      <w:keepNext/>
      <w:spacing w:before="40" w:after="40"/>
      <w:jc w:val="both"/>
      <w:outlineLvl w:val="4"/>
    </w:pPr>
    <w:rPr>
      <w:b/>
      <w:vanis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CarCarChar">
    <w:name w:val="Char1 Char Char Car Car Char"/>
    <w:basedOn w:val="Normal"/>
    <w:rsid w:val="006C4A20"/>
    <w:pPr>
      <w:spacing w:after="160" w:line="240" w:lineRule="exact"/>
    </w:pPr>
    <w:rPr>
      <w:lang w:val="en-US" w:eastAsia="en-US"/>
    </w:rPr>
  </w:style>
  <w:style w:type="character" w:customStyle="1" w:styleId="CSIchar">
    <w:name w:val="CSIchar"/>
    <w:basedOn w:val="DefaultParagraphFont"/>
    <w:rsid w:val="006C4A20"/>
    <w:rPr>
      <w:bdr w:val="none" w:sz="0" w:space="0" w:color="auto"/>
      <w:shd w:val="clear" w:color="auto" w:fill="CCCCCC"/>
    </w:rPr>
  </w:style>
  <w:style w:type="paragraph" w:customStyle="1" w:styleId="NoNumHead2">
    <w:name w:val="NoNum:Head2"/>
    <w:basedOn w:val="Normal"/>
    <w:next w:val="Normal"/>
    <w:link w:val="NoNumHead2Char"/>
    <w:rsid w:val="006C4A20"/>
    <w:pPr>
      <w:keepNext/>
      <w:spacing w:before="120" w:after="240"/>
      <w:outlineLvl w:val="0"/>
    </w:pPr>
    <w:rPr>
      <w:rFonts w:ascii="Arial" w:hAnsi="Arial"/>
      <w:b/>
      <w:caps/>
      <w:sz w:val="26"/>
      <w:szCs w:val="26"/>
      <w:lang w:val="en-GB" w:eastAsia="ja-JP"/>
    </w:rPr>
  </w:style>
  <w:style w:type="character" w:customStyle="1" w:styleId="NoNumHead2Char">
    <w:name w:val="NoNum:Head2 Char"/>
    <w:basedOn w:val="DefaultParagraphFont"/>
    <w:link w:val="NoNumHead2"/>
    <w:rsid w:val="006C4A20"/>
    <w:rPr>
      <w:rFonts w:ascii="Arial" w:hAnsi="Arial"/>
      <w:b/>
      <w:caps/>
      <w:sz w:val="26"/>
      <w:szCs w:val="26"/>
      <w:lang w:val="en-GB" w:eastAsia="ja-JP" w:bidi="ar-SA"/>
    </w:rPr>
  </w:style>
  <w:style w:type="character" w:styleId="CommentReference">
    <w:name w:val="annotation reference"/>
    <w:basedOn w:val="DefaultParagraphFont"/>
    <w:uiPriority w:val="99"/>
    <w:semiHidden/>
    <w:rsid w:val="006C4A20"/>
    <w:rPr>
      <w:rFonts w:ascii="Arial" w:hAnsi="Arial"/>
      <w:vanish/>
      <w:color w:val="FF0000"/>
      <w:sz w:val="16"/>
    </w:rPr>
  </w:style>
  <w:style w:type="paragraph" w:customStyle="1" w:styleId="NoNumHead4">
    <w:name w:val="NoNum:Head4"/>
    <w:basedOn w:val="Normal"/>
    <w:next w:val="Normal"/>
    <w:rsid w:val="006C4A20"/>
    <w:pPr>
      <w:keepNext/>
      <w:spacing w:before="120" w:after="240"/>
      <w:outlineLvl w:val="0"/>
    </w:pPr>
    <w:rPr>
      <w:rFonts w:ascii="Arial" w:hAnsi="Arial"/>
      <w:b/>
      <w:sz w:val="22"/>
      <w:szCs w:val="22"/>
      <w:lang w:val="en-GB" w:eastAsia="ja-JP"/>
    </w:rPr>
  </w:style>
  <w:style w:type="paragraph" w:customStyle="1" w:styleId="NoNumHead3">
    <w:name w:val="NoNum:Head3"/>
    <w:basedOn w:val="Normal"/>
    <w:next w:val="Normal"/>
    <w:link w:val="NoNumHead3Char"/>
    <w:rsid w:val="006C4A20"/>
    <w:pPr>
      <w:keepNext/>
      <w:spacing w:before="120" w:after="240"/>
      <w:outlineLvl w:val="0"/>
    </w:pPr>
    <w:rPr>
      <w:rFonts w:ascii="Arial" w:hAnsi="Arial"/>
      <w:b/>
      <w:lang w:val="en-GB" w:eastAsia="ja-JP"/>
    </w:rPr>
  </w:style>
  <w:style w:type="character" w:customStyle="1" w:styleId="NoNumHead3Char">
    <w:name w:val="NoNum:Head3 Char"/>
    <w:basedOn w:val="DefaultParagraphFont"/>
    <w:link w:val="NoNumHead3"/>
    <w:rsid w:val="006C4A20"/>
    <w:rPr>
      <w:rFonts w:ascii="Arial" w:hAnsi="Arial"/>
      <w:b/>
      <w:sz w:val="24"/>
      <w:szCs w:val="24"/>
      <w:lang w:val="en-GB" w:eastAsia="ja-JP" w:bidi="ar-SA"/>
    </w:rPr>
  </w:style>
  <w:style w:type="paragraph" w:customStyle="1" w:styleId="NoNumHead5">
    <w:name w:val="NoNum:Head5"/>
    <w:basedOn w:val="NoNumHead4"/>
    <w:next w:val="Normal"/>
    <w:rsid w:val="006C4A20"/>
    <w:pPr>
      <w:spacing w:before="0"/>
    </w:pPr>
    <w:rPr>
      <w:i/>
    </w:rPr>
  </w:style>
  <w:style w:type="paragraph" w:customStyle="1" w:styleId="NoNumHead6GDS">
    <w:name w:val="NoNum:Head6 GDS"/>
    <w:basedOn w:val="Normal"/>
    <w:rsid w:val="006C4A20"/>
    <w:pPr>
      <w:keepNext/>
      <w:spacing w:after="240"/>
      <w:outlineLvl w:val="0"/>
    </w:pPr>
    <w:rPr>
      <w:b/>
      <w:i/>
      <w:szCs w:val="20"/>
      <w:lang w:val="en-GB" w:eastAsia="ja-JP"/>
    </w:rPr>
  </w:style>
  <w:style w:type="paragraph" w:customStyle="1" w:styleId="LBLListStyle1">
    <w:name w:val="LBL ListStyle 1"/>
    <w:basedOn w:val="Normal"/>
    <w:rsid w:val="006C4A20"/>
    <w:pPr>
      <w:numPr>
        <w:numId w:val="1"/>
      </w:numPr>
      <w:tabs>
        <w:tab w:val="left" w:pos="720"/>
        <w:tab w:val="left" w:pos="994"/>
      </w:tabs>
      <w:spacing w:line="320" w:lineRule="atLeast"/>
    </w:pPr>
    <w:rPr>
      <w:szCs w:val="20"/>
      <w:lang w:val="en-US" w:eastAsia="en-US"/>
    </w:rPr>
  </w:style>
  <w:style w:type="paragraph" w:styleId="CommentText">
    <w:name w:val="annotation text"/>
    <w:basedOn w:val="Normal"/>
    <w:link w:val="CommentTextChar"/>
    <w:uiPriority w:val="99"/>
    <w:semiHidden/>
    <w:rsid w:val="006C4A20"/>
    <w:rPr>
      <w:sz w:val="20"/>
      <w:szCs w:val="20"/>
    </w:rPr>
  </w:style>
  <w:style w:type="table" w:styleId="TableGrid">
    <w:name w:val="Table Grid"/>
    <w:basedOn w:val="TableNormal"/>
    <w:uiPriority w:val="59"/>
    <w:rsid w:val="006C4A20"/>
    <w:pPr>
      <w:tabs>
        <w:tab w:val="left" w:pos="274"/>
        <w:tab w:val="left" w:pos="547"/>
        <w:tab w:val="left" w:pos="821"/>
        <w:tab w:val="left" w:pos="1094"/>
      </w:tabs>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tiontable">
    <w:name w:val="caption:table"/>
    <w:basedOn w:val="Normal"/>
    <w:next w:val="Normal"/>
    <w:rsid w:val="006C4A20"/>
    <w:pPr>
      <w:keepNext/>
      <w:spacing w:after="240"/>
      <w:ind w:left="1440" w:hanging="1440"/>
    </w:pPr>
    <w:rPr>
      <w:rFonts w:ascii="Arial" w:hAnsi="Arial"/>
      <w:b/>
      <w:sz w:val="22"/>
      <w:szCs w:val="20"/>
      <w:lang w:val="en-GB" w:eastAsia="ja-JP"/>
    </w:rPr>
  </w:style>
  <w:style w:type="paragraph" w:customStyle="1" w:styleId="listalpha">
    <w:name w:val="list:alpha"/>
    <w:basedOn w:val="Normal"/>
    <w:rsid w:val="006C4A20"/>
    <w:pPr>
      <w:spacing w:after="120"/>
      <w:ind w:left="432" w:hanging="432"/>
    </w:pPr>
    <w:rPr>
      <w:szCs w:val="20"/>
      <w:lang w:val="en-GB" w:eastAsia="ja-JP"/>
    </w:rPr>
  </w:style>
  <w:style w:type="paragraph" w:customStyle="1" w:styleId="tabletextNS">
    <w:name w:val="table:textNS"/>
    <w:basedOn w:val="Normal"/>
    <w:link w:val="tabletextNSChar"/>
    <w:rsid w:val="006C4A20"/>
    <w:rPr>
      <w:rFonts w:ascii="Arial Narrow" w:hAnsi="Arial Narrow"/>
      <w:szCs w:val="20"/>
      <w:lang w:val="en-GB" w:eastAsia="ja-JP"/>
    </w:rPr>
  </w:style>
  <w:style w:type="character" w:customStyle="1" w:styleId="LBLLevel3">
    <w:name w:val="LBLLevel 3"/>
    <w:basedOn w:val="DefaultParagraphFont"/>
    <w:rsid w:val="006C4A20"/>
    <w:rPr>
      <w:rFonts w:ascii="Arial" w:hAnsi="Arial"/>
      <w:u w:val="single"/>
    </w:rPr>
  </w:style>
  <w:style w:type="character" w:customStyle="1" w:styleId="LBLLevel4">
    <w:name w:val="LBLLevel 4"/>
    <w:rsid w:val="006C4A20"/>
    <w:rPr>
      <w:rFonts w:ascii="Arial" w:hAnsi="Arial" w:cs="Arial"/>
      <w:i/>
    </w:rPr>
  </w:style>
  <w:style w:type="character" w:customStyle="1" w:styleId="LBLTableFootnotesChar">
    <w:name w:val="LBL Table Footnotes Char"/>
    <w:basedOn w:val="DefaultParagraphFont"/>
    <w:link w:val="LBLTableFootnotes"/>
    <w:rsid w:val="006C4A20"/>
    <w:rPr>
      <w:sz w:val="24"/>
      <w:szCs w:val="24"/>
      <w:lang w:val="en-GB" w:eastAsia="en-US" w:bidi="ar-SA"/>
    </w:rPr>
  </w:style>
  <w:style w:type="paragraph" w:customStyle="1" w:styleId="LBLTableFootnotes">
    <w:name w:val="LBL Table Footnotes"/>
    <w:basedOn w:val="Normal"/>
    <w:link w:val="LBLTableFootnotesChar"/>
    <w:rsid w:val="006C4A20"/>
    <w:pPr>
      <w:keepNext/>
      <w:keepLines/>
      <w:tabs>
        <w:tab w:val="left" w:pos="720"/>
        <w:tab w:val="left" w:pos="994"/>
      </w:tabs>
      <w:spacing w:line="320" w:lineRule="atLeast"/>
    </w:pPr>
    <w:rPr>
      <w:lang w:val="en-GB" w:eastAsia="en-US"/>
    </w:rPr>
  </w:style>
  <w:style w:type="paragraph" w:customStyle="1" w:styleId="LBLBulletStyle1">
    <w:name w:val="LBL BulletStyle 1"/>
    <w:basedOn w:val="Normal"/>
    <w:rsid w:val="006C4A20"/>
    <w:pPr>
      <w:numPr>
        <w:numId w:val="6"/>
      </w:numPr>
      <w:tabs>
        <w:tab w:val="left" w:pos="720"/>
        <w:tab w:val="left" w:pos="994"/>
      </w:tabs>
      <w:spacing w:line="320" w:lineRule="atLeast"/>
    </w:pPr>
    <w:rPr>
      <w:szCs w:val="20"/>
      <w:lang w:val="en-GB" w:eastAsia="en-US"/>
    </w:rPr>
  </w:style>
  <w:style w:type="numbering" w:customStyle="1" w:styleId="GDSTablefootnotes">
    <w:name w:val="GDS Table footnotes"/>
    <w:basedOn w:val="NoList"/>
    <w:rsid w:val="006C4A20"/>
    <w:pPr>
      <w:numPr>
        <w:numId w:val="7"/>
      </w:numPr>
    </w:pPr>
  </w:style>
  <w:style w:type="paragraph" w:customStyle="1" w:styleId="NoNumHead1">
    <w:name w:val="NoNum:Head1"/>
    <w:basedOn w:val="Heading1"/>
    <w:next w:val="Normal"/>
    <w:link w:val="NoNumHead1Char"/>
    <w:rsid w:val="006C4A20"/>
    <w:pPr>
      <w:spacing w:before="120" w:after="240"/>
    </w:pPr>
    <w:rPr>
      <w:rFonts w:cs="Times New Roman"/>
      <w:bCs w:val="0"/>
      <w:caps/>
      <w:kern w:val="0"/>
      <w:sz w:val="28"/>
      <w:szCs w:val="24"/>
      <w:lang w:val="en-GB" w:eastAsia="ja-JP"/>
    </w:rPr>
  </w:style>
  <w:style w:type="character" w:customStyle="1" w:styleId="NoNumHead1Char">
    <w:name w:val="NoNum:Head1 Char"/>
    <w:basedOn w:val="DefaultParagraphFont"/>
    <w:link w:val="NoNumHead1"/>
    <w:rsid w:val="006C4A20"/>
    <w:rPr>
      <w:rFonts w:ascii="Arial" w:hAnsi="Arial"/>
      <w:b/>
      <w:caps/>
      <w:sz w:val="28"/>
      <w:szCs w:val="24"/>
      <w:lang w:val="en-GB" w:eastAsia="ja-JP" w:bidi="ar-SA"/>
    </w:rPr>
  </w:style>
  <w:style w:type="paragraph" w:customStyle="1" w:styleId="listindentbull">
    <w:name w:val="list:indent bull"/>
    <w:link w:val="listindentbullChar"/>
    <w:rsid w:val="006C4A20"/>
    <w:pPr>
      <w:numPr>
        <w:numId w:val="13"/>
      </w:numPr>
      <w:spacing w:after="120"/>
    </w:pPr>
    <w:rPr>
      <w:sz w:val="24"/>
      <w:lang w:val="en-GB" w:eastAsia="ja-JP"/>
    </w:rPr>
  </w:style>
  <w:style w:type="paragraph" w:styleId="BalloonText">
    <w:name w:val="Balloon Text"/>
    <w:basedOn w:val="Normal"/>
    <w:semiHidden/>
    <w:rsid w:val="008A4FB1"/>
    <w:rPr>
      <w:rFonts w:ascii="Tahoma" w:hAnsi="Tahoma" w:cs="Tahoma"/>
      <w:sz w:val="16"/>
      <w:szCs w:val="16"/>
    </w:rPr>
  </w:style>
  <w:style w:type="paragraph" w:styleId="CommentSubject">
    <w:name w:val="annotation subject"/>
    <w:basedOn w:val="CommentText"/>
    <w:next w:val="CommentText"/>
    <w:semiHidden/>
    <w:rsid w:val="00CE314C"/>
    <w:rPr>
      <w:b/>
      <w:bCs/>
    </w:rPr>
  </w:style>
  <w:style w:type="paragraph" w:customStyle="1" w:styleId="Default">
    <w:name w:val="Default"/>
    <w:rsid w:val="005A3FB2"/>
    <w:pPr>
      <w:autoSpaceDE w:val="0"/>
      <w:autoSpaceDN w:val="0"/>
      <w:adjustRightInd w:val="0"/>
    </w:pPr>
    <w:rPr>
      <w:color w:val="000000"/>
      <w:sz w:val="24"/>
      <w:szCs w:val="24"/>
    </w:rPr>
  </w:style>
  <w:style w:type="paragraph" w:styleId="Header">
    <w:name w:val="header"/>
    <w:basedOn w:val="Normal"/>
    <w:rsid w:val="00746095"/>
    <w:pPr>
      <w:tabs>
        <w:tab w:val="center" w:pos="4153"/>
        <w:tab w:val="right" w:pos="8306"/>
      </w:tabs>
    </w:pPr>
  </w:style>
  <w:style w:type="paragraph" w:styleId="Footer">
    <w:name w:val="footer"/>
    <w:basedOn w:val="Normal"/>
    <w:rsid w:val="00746095"/>
    <w:pPr>
      <w:tabs>
        <w:tab w:val="center" w:pos="4153"/>
        <w:tab w:val="right" w:pos="8306"/>
      </w:tabs>
    </w:pPr>
  </w:style>
  <w:style w:type="character" w:styleId="PageNumber">
    <w:name w:val="page number"/>
    <w:basedOn w:val="DefaultParagraphFont"/>
    <w:rsid w:val="00746095"/>
  </w:style>
  <w:style w:type="paragraph" w:customStyle="1" w:styleId="captionfigure">
    <w:name w:val="caption:figure"/>
    <w:basedOn w:val="Normal"/>
    <w:next w:val="Normal"/>
    <w:rsid w:val="002D3A11"/>
    <w:pPr>
      <w:keepNext/>
      <w:spacing w:after="240"/>
      <w:ind w:left="1440" w:hanging="1440"/>
    </w:pPr>
    <w:rPr>
      <w:rFonts w:ascii="Arial" w:hAnsi="Arial"/>
      <w:b/>
      <w:sz w:val="22"/>
      <w:szCs w:val="20"/>
      <w:lang w:val="en-GB" w:eastAsia="en-GB"/>
    </w:rPr>
  </w:style>
  <w:style w:type="paragraph" w:customStyle="1" w:styleId="CharChar1CharCharCharCharCharChar1CharCharCharCharCharChar">
    <w:name w:val="Char Char1 Char Char Char Char Char Char1 Char Char Char Char Char Char"/>
    <w:basedOn w:val="Normal"/>
    <w:rsid w:val="002D3A11"/>
    <w:pPr>
      <w:widowControl w:val="0"/>
      <w:adjustRightInd w:val="0"/>
      <w:spacing w:after="160" w:line="240" w:lineRule="exact"/>
      <w:jc w:val="both"/>
      <w:textAlignment w:val="baseline"/>
    </w:pPr>
    <w:rPr>
      <w:rFonts w:ascii="Verdana" w:eastAsia="SimSun" w:hAnsi="Verdana"/>
      <w:sz w:val="20"/>
      <w:szCs w:val="20"/>
      <w:lang w:val="en-US" w:eastAsia="zh-CN"/>
    </w:rPr>
  </w:style>
  <w:style w:type="paragraph" w:customStyle="1" w:styleId="tableref">
    <w:name w:val="table:ref"/>
    <w:basedOn w:val="Normal"/>
    <w:rsid w:val="00BF6E47"/>
    <w:pPr>
      <w:tabs>
        <w:tab w:val="left" w:pos="360"/>
      </w:tabs>
      <w:ind w:left="360" w:hanging="360"/>
    </w:pPr>
    <w:rPr>
      <w:rFonts w:ascii="Arial Narrow" w:hAnsi="Arial Narrow"/>
      <w:sz w:val="20"/>
      <w:szCs w:val="20"/>
      <w:lang w:val="en-GB" w:eastAsia="en-GB"/>
    </w:rPr>
  </w:style>
  <w:style w:type="character" w:customStyle="1" w:styleId="tabletextNSChar">
    <w:name w:val="table:textNS Char"/>
    <w:basedOn w:val="DefaultParagraphFont"/>
    <w:link w:val="tabletextNS"/>
    <w:rsid w:val="00BF6E47"/>
    <w:rPr>
      <w:rFonts w:ascii="Arial Narrow" w:hAnsi="Arial Narrow"/>
      <w:sz w:val="24"/>
      <w:lang w:val="en-GB" w:eastAsia="ja-JP" w:bidi="ar-SA"/>
    </w:rPr>
  </w:style>
  <w:style w:type="character" w:customStyle="1" w:styleId="listindentbullChar">
    <w:name w:val="list:indent bull Char"/>
    <w:basedOn w:val="DefaultParagraphFont"/>
    <w:link w:val="listindentbull"/>
    <w:rsid w:val="00965DC6"/>
    <w:rPr>
      <w:sz w:val="24"/>
      <w:lang w:val="en-GB" w:eastAsia="ja-JP" w:bidi="ar-SA"/>
    </w:rPr>
  </w:style>
  <w:style w:type="table" w:customStyle="1" w:styleId="GSKTableStyle">
    <w:name w:val="GSK Table Style"/>
    <w:basedOn w:val="TableGrid"/>
    <w:rsid w:val="00C3398E"/>
    <w:pPr>
      <w:tabs>
        <w:tab w:val="clear" w:pos="274"/>
        <w:tab w:val="clear" w:pos="547"/>
        <w:tab w:val="clear" w:pos="821"/>
        <w:tab w:val="clear" w:pos="1094"/>
      </w:tabs>
      <w:spacing w:after="240" w:line="240" w:lineRule="auto"/>
    </w:pPr>
    <w:rPr>
      <w:rFonts w:ascii="Arial Narrow" w:hAnsi="Arial Narro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Head">
    <w:name w:val="Bull Head"/>
    <w:basedOn w:val="Normal"/>
    <w:autoRedefine/>
    <w:rsid w:val="00200A87"/>
    <w:pPr>
      <w:shd w:val="clear" w:color="000000" w:fill="FFFFFF"/>
      <w:tabs>
        <w:tab w:val="left" w:pos="562"/>
      </w:tabs>
      <w:spacing w:before="240" w:after="120" w:line="300" w:lineRule="atLeast"/>
      <w:jc w:val="both"/>
    </w:pPr>
    <w:rPr>
      <w:rFonts w:ascii="Arial" w:hAnsi="Arial" w:cs="Arial"/>
      <w:b/>
      <w:i/>
      <w:color w:val="000000"/>
      <w:sz w:val="22"/>
      <w:szCs w:val="22"/>
      <w:lang w:val="en-GB" w:eastAsia="en-US"/>
    </w:rPr>
  </w:style>
  <w:style w:type="paragraph" w:customStyle="1" w:styleId="BridgeheadGDS">
    <w:name w:val="Bridgehead GDS"/>
    <w:basedOn w:val="Normal"/>
    <w:autoRedefine/>
    <w:rsid w:val="00957543"/>
    <w:pPr>
      <w:keepNext/>
      <w:spacing w:after="240" w:line="300" w:lineRule="atLeast"/>
      <w:jc w:val="both"/>
      <w:outlineLvl w:val="0"/>
    </w:pPr>
    <w:rPr>
      <w:rFonts w:ascii="Arial" w:hAnsi="Arial" w:cs="Arial"/>
      <w:b/>
      <w:i/>
      <w:sz w:val="22"/>
      <w:szCs w:val="22"/>
      <w:lang w:val="en-GB" w:eastAsia="en-US"/>
    </w:rPr>
  </w:style>
  <w:style w:type="paragraph" w:customStyle="1" w:styleId="TableCell">
    <w:name w:val="TableCell"/>
    <w:basedOn w:val="Normal"/>
    <w:rsid w:val="0018077E"/>
    <w:rPr>
      <w:szCs w:val="20"/>
      <w:lang w:val="en-GB" w:eastAsia="en-US"/>
    </w:rPr>
  </w:style>
  <w:style w:type="character" w:styleId="Hyperlink">
    <w:name w:val="Hyperlink"/>
    <w:basedOn w:val="DefaultParagraphFont"/>
    <w:rsid w:val="008F7050"/>
    <w:rPr>
      <w:color w:val="0000FF"/>
      <w:u w:val="single"/>
    </w:rPr>
  </w:style>
  <w:style w:type="paragraph" w:styleId="Caption">
    <w:name w:val="caption"/>
    <w:basedOn w:val="Normal"/>
    <w:next w:val="Normal"/>
    <w:link w:val="CaptionChar"/>
    <w:qFormat/>
    <w:rsid w:val="006A22C7"/>
    <w:pPr>
      <w:spacing w:before="120" w:after="120"/>
    </w:pPr>
    <w:rPr>
      <w:b/>
      <w:lang w:val="en-GB" w:eastAsia="en-GB"/>
    </w:rPr>
  </w:style>
  <w:style w:type="character" w:customStyle="1" w:styleId="CaptionChar">
    <w:name w:val="Caption Char"/>
    <w:basedOn w:val="DefaultParagraphFont"/>
    <w:link w:val="Caption"/>
    <w:rsid w:val="006A22C7"/>
    <w:rPr>
      <w:b/>
      <w:sz w:val="24"/>
      <w:szCs w:val="24"/>
      <w:lang w:val="en-GB" w:eastAsia="en-GB" w:bidi="ar-SA"/>
    </w:rPr>
  </w:style>
  <w:style w:type="paragraph" w:customStyle="1" w:styleId="LBLLevel2">
    <w:name w:val="LBLLevel 2"/>
    <w:basedOn w:val="Normal"/>
    <w:next w:val="Normal"/>
    <w:link w:val="LBLLevel2Char"/>
    <w:rsid w:val="007A5360"/>
    <w:pPr>
      <w:tabs>
        <w:tab w:val="left" w:pos="720"/>
        <w:tab w:val="left" w:pos="990"/>
        <w:tab w:val="left" w:pos="1260"/>
      </w:tabs>
      <w:spacing w:line="320" w:lineRule="atLeast"/>
    </w:pPr>
    <w:rPr>
      <w:rFonts w:ascii="Arial" w:hAnsi="Arial"/>
      <w:b/>
      <w:lang w:val="en-US" w:eastAsia="en-US"/>
    </w:rPr>
  </w:style>
  <w:style w:type="character" w:customStyle="1" w:styleId="LBLLevel2Char">
    <w:name w:val="LBLLevel 2 Char"/>
    <w:basedOn w:val="DefaultParagraphFont"/>
    <w:link w:val="LBLLevel2"/>
    <w:rsid w:val="007A5360"/>
    <w:rPr>
      <w:rFonts w:ascii="Arial" w:hAnsi="Arial"/>
      <w:b/>
      <w:sz w:val="24"/>
      <w:szCs w:val="24"/>
      <w:lang w:val="en-US" w:eastAsia="en-US" w:bidi="ar-SA"/>
    </w:rPr>
  </w:style>
  <w:style w:type="paragraph" w:customStyle="1" w:styleId="listbull">
    <w:name w:val="list:bull"/>
    <w:basedOn w:val="listalpha"/>
    <w:link w:val="listbullChar"/>
    <w:rsid w:val="00886762"/>
    <w:pPr>
      <w:numPr>
        <w:numId w:val="22"/>
      </w:numPr>
    </w:pPr>
    <w:rPr>
      <w:lang w:eastAsia="en-GB"/>
    </w:rPr>
  </w:style>
  <w:style w:type="paragraph" w:customStyle="1" w:styleId="tablerefalpha">
    <w:name w:val="table:ref (alpha)"/>
    <w:basedOn w:val="Normal"/>
    <w:link w:val="tablerefalphaChar"/>
    <w:rsid w:val="0042465B"/>
    <w:pPr>
      <w:numPr>
        <w:numId w:val="23"/>
      </w:numPr>
    </w:pPr>
    <w:rPr>
      <w:rFonts w:ascii="Arial Narrow" w:hAnsi="Arial Narrow" w:cs="Arial Narrow"/>
      <w:lang w:val="en-GB" w:eastAsia="en-US"/>
    </w:rPr>
  </w:style>
  <w:style w:type="character" w:customStyle="1" w:styleId="tablerefalphaChar">
    <w:name w:val="table:ref (alpha) Char"/>
    <w:basedOn w:val="DefaultParagraphFont"/>
    <w:link w:val="tablerefalpha"/>
    <w:rsid w:val="0042465B"/>
    <w:rPr>
      <w:rFonts w:ascii="Arial Narrow" w:hAnsi="Arial Narrow" w:cs="Arial Narrow"/>
      <w:sz w:val="24"/>
      <w:szCs w:val="24"/>
      <w:lang w:val="en-GB" w:eastAsia="en-US" w:bidi="ar-SA"/>
    </w:rPr>
  </w:style>
  <w:style w:type="paragraph" w:customStyle="1" w:styleId="Text">
    <w:name w:val="Text"/>
    <w:basedOn w:val="Normal"/>
    <w:rsid w:val="00E6622A"/>
    <w:pPr>
      <w:spacing w:line="312" w:lineRule="exact"/>
    </w:pPr>
    <w:rPr>
      <w:rFonts w:ascii="Arial" w:hAnsi="Arial"/>
      <w:szCs w:val="20"/>
      <w:lang w:val="en-GB"/>
    </w:rPr>
  </w:style>
  <w:style w:type="paragraph" w:styleId="Title">
    <w:name w:val="Title"/>
    <w:basedOn w:val="Normal"/>
    <w:qFormat/>
    <w:rsid w:val="00E6622A"/>
    <w:pPr>
      <w:pBdr>
        <w:top w:val="single" w:sz="18" w:space="1" w:color="FF0000"/>
        <w:bottom w:val="single" w:sz="18" w:space="1" w:color="FF0000"/>
      </w:pBdr>
      <w:jc w:val="center"/>
    </w:pPr>
    <w:rPr>
      <w:rFonts w:ascii="Arial" w:hAnsi="Arial"/>
      <w:b/>
      <w:i/>
      <w:color w:val="FF0000"/>
      <w:sz w:val="36"/>
      <w:szCs w:val="20"/>
      <w:lang w:val="en-GB"/>
    </w:rPr>
  </w:style>
  <w:style w:type="paragraph" w:styleId="Salutation">
    <w:name w:val="Salutation"/>
    <w:basedOn w:val="Normal"/>
    <w:next w:val="Normal"/>
    <w:link w:val="SalutationChar"/>
    <w:rsid w:val="00E73986"/>
    <w:pPr>
      <w:tabs>
        <w:tab w:val="left" w:pos="720"/>
        <w:tab w:val="left" w:pos="994"/>
      </w:tabs>
    </w:pPr>
    <w:rPr>
      <w:lang w:val="en-US" w:eastAsia="en-US"/>
    </w:rPr>
  </w:style>
  <w:style w:type="character" w:customStyle="1" w:styleId="SalutationChar">
    <w:name w:val="Salutation Char"/>
    <w:basedOn w:val="DefaultParagraphFont"/>
    <w:link w:val="Salutation"/>
    <w:rsid w:val="00E73986"/>
    <w:rPr>
      <w:sz w:val="24"/>
      <w:szCs w:val="24"/>
      <w:lang w:val="en-US" w:eastAsia="en-US" w:bidi="ar-SA"/>
    </w:rPr>
  </w:style>
  <w:style w:type="character" w:customStyle="1" w:styleId="listbullChar">
    <w:name w:val="list:bull Char"/>
    <w:basedOn w:val="DefaultParagraphFont"/>
    <w:link w:val="listbull"/>
    <w:rsid w:val="000D7C7E"/>
    <w:rPr>
      <w:sz w:val="24"/>
      <w:lang w:val="en-GB" w:eastAsia="en-GB" w:bidi="ar-SA"/>
    </w:rPr>
  </w:style>
  <w:style w:type="paragraph" w:customStyle="1" w:styleId="Char2CharChar">
    <w:name w:val="Char2 Char Char"/>
    <w:basedOn w:val="Normal"/>
    <w:rsid w:val="00FB7684"/>
    <w:pPr>
      <w:spacing w:after="160" w:line="240" w:lineRule="exact"/>
    </w:pPr>
    <w:rPr>
      <w:rFonts w:ascii="Tahoma" w:hAnsi="Tahoma"/>
      <w:sz w:val="20"/>
      <w:lang w:val="en-GB" w:eastAsia="en-US"/>
    </w:rPr>
  </w:style>
  <w:style w:type="paragraph" w:customStyle="1" w:styleId="LBLLevel1">
    <w:name w:val="LBLLevel 1"/>
    <w:basedOn w:val="Normal"/>
    <w:next w:val="Normal"/>
    <w:link w:val="LBLLevel1Char"/>
    <w:rsid w:val="00B57DF5"/>
    <w:pPr>
      <w:keepNext/>
      <w:tabs>
        <w:tab w:val="left" w:pos="720"/>
        <w:tab w:val="left" w:pos="994"/>
      </w:tabs>
      <w:spacing w:before="240" w:line="320" w:lineRule="atLeast"/>
    </w:pPr>
    <w:rPr>
      <w:rFonts w:ascii="Arial" w:hAnsi="Arial"/>
      <w:b/>
      <w:caps/>
      <w:szCs w:val="20"/>
      <w:lang w:val="en-US" w:eastAsia="en-US"/>
    </w:rPr>
  </w:style>
  <w:style w:type="character" w:customStyle="1" w:styleId="LBLLevel1Char">
    <w:name w:val="LBLLevel 1 Char"/>
    <w:basedOn w:val="DefaultParagraphFont"/>
    <w:link w:val="LBLLevel1"/>
    <w:rsid w:val="00B57DF5"/>
    <w:rPr>
      <w:rFonts w:ascii="Arial" w:hAnsi="Arial"/>
      <w:b/>
      <w:caps/>
      <w:sz w:val="24"/>
      <w:lang w:val="en-US" w:eastAsia="en-US"/>
    </w:rPr>
  </w:style>
  <w:style w:type="paragraph" w:styleId="ListParagraph">
    <w:name w:val="List Paragraph"/>
    <w:basedOn w:val="Normal"/>
    <w:uiPriority w:val="34"/>
    <w:qFormat/>
    <w:rsid w:val="002A06AC"/>
    <w:pPr>
      <w:ind w:left="720"/>
    </w:pPr>
  </w:style>
  <w:style w:type="character" w:customStyle="1" w:styleId="CSI">
    <w:name w:val="CSI"/>
    <w:basedOn w:val="DefaultParagraphFont"/>
    <w:uiPriority w:val="1"/>
    <w:qFormat/>
    <w:rsid w:val="006A1F4C"/>
    <w:rPr>
      <w:bdr w:val="none" w:sz="0" w:space="0" w:color="auto"/>
      <w:shd w:val="clear" w:color="auto" w:fill="BFBFBF"/>
    </w:rPr>
  </w:style>
  <w:style w:type="paragraph" w:styleId="Revision">
    <w:name w:val="Revision"/>
    <w:hidden/>
    <w:uiPriority w:val="99"/>
    <w:semiHidden/>
    <w:rsid w:val="003C317E"/>
    <w:rPr>
      <w:sz w:val="24"/>
      <w:szCs w:val="24"/>
    </w:rPr>
  </w:style>
  <w:style w:type="character" w:customStyle="1" w:styleId="CommentTextChar">
    <w:name w:val="Comment Text Char"/>
    <w:basedOn w:val="DefaultParagraphFont"/>
    <w:link w:val="CommentText"/>
    <w:uiPriority w:val="99"/>
    <w:semiHidden/>
    <w:rsid w:val="00E5169B"/>
  </w:style>
</w:styles>
</file>

<file path=word/webSettings.xml><?xml version="1.0" encoding="utf-8"?>
<w:webSettings xmlns:r="http://schemas.openxmlformats.org/officeDocument/2006/relationships" xmlns:w="http://schemas.openxmlformats.org/wordprocessingml/2006/main">
  <w:divs>
    <w:div w:id="91709090">
      <w:bodyDiv w:val="1"/>
      <w:marLeft w:val="0"/>
      <w:marRight w:val="0"/>
      <w:marTop w:val="0"/>
      <w:marBottom w:val="0"/>
      <w:divBdr>
        <w:top w:val="none" w:sz="0" w:space="0" w:color="auto"/>
        <w:left w:val="none" w:sz="0" w:space="0" w:color="auto"/>
        <w:bottom w:val="none" w:sz="0" w:space="0" w:color="auto"/>
        <w:right w:val="none" w:sz="0" w:space="0" w:color="auto"/>
      </w:divBdr>
    </w:div>
    <w:div w:id="1129475756">
      <w:bodyDiv w:val="1"/>
      <w:marLeft w:val="0"/>
      <w:marRight w:val="0"/>
      <w:marTop w:val="0"/>
      <w:marBottom w:val="0"/>
      <w:divBdr>
        <w:top w:val="none" w:sz="0" w:space="0" w:color="auto"/>
        <w:left w:val="none" w:sz="0" w:space="0" w:color="auto"/>
        <w:bottom w:val="none" w:sz="0" w:space="0" w:color="auto"/>
        <w:right w:val="none" w:sz="0" w:space="0" w:color="auto"/>
      </w:divBdr>
    </w:div>
    <w:div w:id="133892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2255E-AD39-42B4-BA2A-CF333BB8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7705</Words>
  <Characters>42927</Characters>
  <Application>Microsoft Office Word</Application>
  <DocSecurity>0</DocSecurity>
  <Lines>357</Lines>
  <Paragraphs>101</Paragraphs>
  <ScaleCrop>false</ScaleCrop>
  <HeadingPairs>
    <vt:vector size="2" baseType="variant">
      <vt:variant>
        <vt:lpstr>Title</vt:lpstr>
      </vt:variant>
      <vt:variant>
        <vt:i4>1</vt:i4>
      </vt:variant>
    </vt:vector>
  </HeadingPairs>
  <TitlesOfParts>
    <vt:vector size="1" baseType="lpstr">
      <vt:lpstr>Attachment 1: Product information for Votrient</vt:lpstr>
    </vt:vector>
  </TitlesOfParts>
  <Company>GlaxoSmithKline</Company>
  <LinksUpToDate>false</LinksUpToDate>
  <CharactersWithSpaces>50531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Votrient</dc:title>
  <dc:subject>prescription medicine regulation</dc:subject>
  <dc:creator>GlaxoSmithKline Australia Pty Ltd</dc:creator>
  <cp:keywords>product information, prescription, medicine, regulation, votrient, pazopanib, hydrochloride </cp:keywords>
  <cp:lastModifiedBy>Searson, Lisa</cp:lastModifiedBy>
  <cp:revision>7</cp:revision>
  <cp:lastPrinted>2012-10-08T02:32:00Z</cp:lastPrinted>
  <dcterms:created xsi:type="dcterms:W3CDTF">2013-02-20T22:37:00Z</dcterms:created>
  <dcterms:modified xsi:type="dcterms:W3CDTF">2013-07-19T00:26:00Z</dcterms:modified>
</cp:coreProperties>
</file>