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15D713F" w14:textId="77777777" w:rsidTr="00BF1190">
        <w:trPr>
          <w:trHeight w:val="1863"/>
        </w:trPr>
        <w:tc>
          <w:tcPr>
            <w:tcW w:w="3652" w:type="dxa"/>
            <w:tcBorders>
              <w:top w:val="nil"/>
              <w:left w:val="nil"/>
              <w:bottom w:val="nil"/>
              <w:right w:val="nil"/>
            </w:tcBorders>
          </w:tcPr>
          <w:p w14:paraId="39266780" w14:textId="77777777" w:rsidR="008E7846" w:rsidRPr="00096AA7" w:rsidRDefault="00613954" w:rsidP="00613954">
            <w:pPr>
              <w:rPr>
                <w:rFonts w:ascii="Arial" w:hAnsi="Arial" w:cs="Arial"/>
                <w:b/>
                <w:color w:val="002C47"/>
                <w:sz w:val="36"/>
                <w:szCs w:val="36"/>
              </w:rPr>
            </w:pPr>
            <w:r>
              <w:rPr>
                <w:rFonts w:ascii="Arial" w:hAnsi="Arial" w:cs="Arial"/>
                <w:b/>
                <w:color w:val="002C47"/>
                <w:sz w:val="36"/>
                <w:szCs w:val="36"/>
              </w:rPr>
              <w:t>March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790C23F" w14:textId="77777777" w:rsidTr="0032583B">
        <w:trPr>
          <w:trHeight w:val="868"/>
        </w:trPr>
        <w:tc>
          <w:tcPr>
            <w:tcW w:w="9079" w:type="dxa"/>
          </w:tcPr>
          <w:p w14:paraId="48CE25E6" w14:textId="77777777" w:rsidR="0032583B" w:rsidRPr="00A964D1" w:rsidRDefault="0032583B" w:rsidP="00745726">
            <w:pPr>
              <w:pStyle w:val="Title"/>
              <w:rPr>
                <w:color w:val="FFFFFF" w:themeColor="background1"/>
              </w:rPr>
            </w:pPr>
            <w:r w:rsidRPr="00A964D1">
              <w:rPr>
                <w:color w:val="FFFFFF" w:themeColor="background1"/>
              </w:rPr>
              <w:lastRenderedPageBreak/>
              <w:t xml:space="preserve">Australian Public Assessment Report for </w:t>
            </w:r>
            <w:proofErr w:type="spellStart"/>
            <w:r w:rsidR="00745726">
              <w:rPr>
                <w:color w:val="FFFFFF" w:themeColor="background1"/>
              </w:rPr>
              <w:t>p</w:t>
            </w:r>
            <w:r w:rsidR="00613954">
              <w:rPr>
                <w:color w:val="FFFFFF" w:themeColor="background1"/>
              </w:rPr>
              <w:t>asireotide</w:t>
            </w:r>
            <w:proofErr w:type="spellEnd"/>
            <w:r w:rsidR="004E2A98">
              <w:rPr>
                <w:color w:val="FFFFFF" w:themeColor="background1"/>
              </w:rPr>
              <w:t xml:space="preserve"> (as </w:t>
            </w:r>
            <w:proofErr w:type="spellStart"/>
            <w:r w:rsidR="004E2A98">
              <w:rPr>
                <w:color w:val="FFFFFF" w:themeColor="background1"/>
              </w:rPr>
              <w:t>diaspartate</w:t>
            </w:r>
            <w:proofErr w:type="spellEnd"/>
            <w:r w:rsidR="004E2A98">
              <w:rPr>
                <w:color w:val="FFFFFF" w:themeColor="background1"/>
              </w:rPr>
              <w:t>)</w:t>
            </w:r>
          </w:p>
        </w:tc>
      </w:tr>
      <w:tr w:rsidR="0032583B" w:rsidRPr="00B64760" w14:paraId="6BCFEB64" w14:textId="77777777" w:rsidTr="0032583B">
        <w:tc>
          <w:tcPr>
            <w:tcW w:w="9079" w:type="dxa"/>
          </w:tcPr>
          <w:p w14:paraId="7778AE9E" w14:textId="77777777" w:rsidR="0032583B" w:rsidRPr="008E7846" w:rsidRDefault="0032583B" w:rsidP="00613954">
            <w:pPr>
              <w:pStyle w:val="Subtitle"/>
              <w:rPr>
                <w:color w:val="FFFFFF" w:themeColor="background1"/>
              </w:rPr>
            </w:pPr>
            <w:r w:rsidRPr="008E7846">
              <w:rPr>
                <w:color w:val="FFFFFF" w:themeColor="background1"/>
              </w:rPr>
              <w:t xml:space="preserve">Proprietary Product Name: </w:t>
            </w:r>
            <w:r w:rsidR="00613954">
              <w:rPr>
                <w:color w:val="FFFFFF" w:themeColor="background1"/>
              </w:rPr>
              <w:t>Signifor</w:t>
            </w:r>
            <w:r w:rsidRPr="008E7846">
              <w:rPr>
                <w:color w:val="FFFFFF" w:themeColor="background1"/>
              </w:rPr>
              <w:t xml:space="preserve"> </w:t>
            </w:r>
          </w:p>
        </w:tc>
      </w:tr>
      <w:tr w:rsidR="0032583B" w:rsidRPr="00B64760" w14:paraId="159AD75E" w14:textId="77777777" w:rsidTr="0032583B">
        <w:trPr>
          <w:trHeight w:val="486"/>
        </w:trPr>
        <w:tc>
          <w:tcPr>
            <w:tcW w:w="9079" w:type="dxa"/>
          </w:tcPr>
          <w:p w14:paraId="22864F3F" w14:textId="77777777" w:rsidR="0032583B" w:rsidRPr="008E7846" w:rsidRDefault="0032583B" w:rsidP="00613954">
            <w:pPr>
              <w:pStyle w:val="Subtitle"/>
              <w:rPr>
                <w:color w:val="FFFFFF" w:themeColor="background1"/>
              </w:rPr>
            </w:pPr>
            <w:r w:rsidRPr="008E7846">
              <w:rPr>
                <w:color w:val="FFFFFF" w:themeColor="background1"/>
              </w:rPr>
              <w:t xml:space="preserve">Sponsor: </w:t>
            </w:r>
            <w:r w:rsidR="00613954">
              <w:rPr>
                <w:color w:val="FFFFFF" w:themeColor="background1"/>
              </w:rPr>
              <w:t>Novartis Pharmaceuticals Australia Pty Ltd</w:t>
            </w:r>
          </w:p>
        </w:tc>
      </w:tr>
    </w:tbl>
    <w:p w14:paraId="7044DC74" w14:textId="77777777" w:rsidR="008E7846" w:rsidRDefault="008E7846" w:rsidP="008E7846">
      <w:pPr>
        <w:pStyle w:val="NonTOCHeading2"/>
      </w:pPr>
      <w:r>
        <w:br w:type="page"/>
      </w:r>
    </w:p>
    <w:p w14:paraId="1CCA4DE5" w14:textId="77777777" w:rsidR="008E7846" w:rsidRPr="001F6CBA" w:rsidRDefault="008E7846" w:rsidP="008E7846">
      <w:pPr>
        <w:pStyle w:val="NonTOCHeading2"/>
      </w:pPr>
      <w:r w:rsidRPr="001F6CBA">
        <w:lastRenderedPageBreak/>
        <w:t>About the Therapeutic Goods Administration (TGA)</w:t>
      </w:r>
    </w:p>
    <w:p w14:paraId="181B187F"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2876C7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14:paraId="005A0BFF"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198AF088"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23A6269" w14:textId="77777777"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14:paraId="14DDFF31" w14:textId="77777777" w:rsidR="008E7846" w:rsidRDefault="008E7846" w:rsidP="008E7846">
      <w:pPr>
        <w:pStyle w:val="NonTOCHeading2"/>
      </w:pPr>
      <w:r>
        <w:t xml:space="preserve">About </w:t>
      </w:r>
      <w:proofErr w:type="spellStart"/>
      <w:r>
        <w:t>AusPARs</w:t>
      </w:r>
      <w:proofErr w:type="spellEnd"/>
    </w:p>
    <w:p w14:paraId="2393A472" w14:textId="77777777" w:rsidR="008E7846" w:rsidRDefault="008E7846" w:rsidP="008E7846">
      <w:pPr>
        <w:pStyle w:val="ListBullet"/>
        <w:numPr>
          <w:ilvl w:val="0"/>
          <w:numId w:val="3"/>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14:paraId="72187B70"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30447BCA"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14:paraId="4E4DB0D9"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14:paraId="15866514"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5FE0677C" w14:textId="77777777" w:rsidR="00924482" w:rsidRPr="00DF1D7F" w:rsidRDefault="00924482" w:rsidP="00F54B65">
      <w:pPr>
        <w:pStyle w:val="LegalSubheading"/>
        <w:spacing w:before="3120"/>
      </w:pPr>
      <w:r w:rsidRPr="00DF1D7F">
        <w:t>Copyright</w:t>
      </w:r>
    </w:p>
    <w:p w14:paraId="3EEEFB3B" w14:textId="77777777"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7128D196"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5FD4873" w14:textId="77777777" w:rsidR="0089635C" w:rsidRPr="0089635C" w:rsidRDefault="0089635C" w:rsidP="0010788A">
          <w:pPr>
            <w:pStyle w:val="Contents"/>
          </w:pPr>
          <w:r w:rsidRPr="0010788A">
            <w:t>Contents</w:t>
          </w:r>
        </w:p>
        <w:p w14:paraId="20D13F6B" w14:textId="3E90C264" w:rsidR="00A500D5"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3680699" w:history="1">
            <w:r w:rsidR="00A500D5" w:rsidRPr="00A24F43">
              <w:rPr>
                <w:rStyle w:val="Hyperlink"/>
                <w:noProof/>
              </w:rPr>
              <w:t>List of abbreviations</w:t>
            </w:r>
            <w:r w:rsidR="00A500D5">
              <w:rPr>
                <w:noProof/>
                <w:webHidden/>
              </w:rPr>
              <w:tab/>
            </w:r>
            <w:r w:rsidR="00A500D5">
              <w:rPr>
                <w:noProof/>
                <w:webHidden/>
              </w:rPr>
              <w:fldChar w:fldCharType="begin"/>
            </w:r>
            <w:r w:rsidR="00A500D5">
              <w:rPr>
                <w:noProof/>
                <w:webHidden/>
              </w:rPr>
              <w:instrText xml:space="preserve"> PAGEREF _Toc383680699 \h </w:instrText>
            </w:r>
            <w:r w:rsidR="00A500D5">
              <w:rPr>
                <w:noProof/>
                <w:webHidden/>
              </w:rPr>
            </w:r>
            <w:r w:rsidR="00A500D5">
              <w:rPr>
                <w:noProof/>
                <w:webHidden/>
              </w:rPr>
              <w:fldChar w:fldCharType="separate"/>
            </w:r>
            <w:r w:rsidR="00A803EA">
              <w:rPr>
                <w:noProof/>
                <w:webHidden/>
              </w:rPr>
              <w:t>6</w:t>
            </w:r>
            <w:r w:rsidR="00A500D5">
              <w:rPr>
                <w:noProof/>
                <w:webHidden/>
              </w:rPr>
              <w:fldChar w:fldCharType="end"/>
            </w:r>
          </w:hyperlink>
        </w:p>
        <w:p w14:paraId="167AA4F8" w14:textId="4A3268C9" w:rsidR="00A500D5" w:rsidRDefault="00000000">
          <w:pPr>
            <w:pStyle w:val="TOC2"/>
            <w:rPr>
              <w:rFonts w:asciiTheme="minorHAnsi" w:eastAsiaTheme="minorEastAsia" w:hAnsiTheme="minorHAnsi" w:cstheme="minorBidi"/>
              <w:b w:val="0"/>
              <w:noProof/>
              <w:sz w:val="22"/>
              <w:lang w:eastAsia="en-AU"/>
            </w:rPr>
          </w:pPr>
          <w:hyperlink w:anchor="_Toc383680700" w:history="1">
            <w:r w:rsidR="00A500D5" w:rsidRPr="00A24F43">
              <w:rPr>
                <w:rStyle w:val="Hyperlink"/>
                <w:noProof/>
                <w:lang w:eastAsia="en-AU"/>
              </w:rPr>
              <w:t>Introduction to product submission</w:t>
            </w:r>
            <w:r w:rsidR="00A500D5">
              <w:rPr>
                <w:noProof/>
                <w:webHidden/>
              </w:rPr>
              <w:tab/>
            </w:r>
            <w:r w:rsidR="00A500D5">
              <w:rPr>
                <w:noProof/>
                <w:webHidden/>
              </w:rPr>
              <w:fldChar w:fldCharType="begin"/>
            </w:r>
            <w:r w:rsidR="00A500D5">
              <w:rPr>
                <w:noProof/>
                <w:webHidden/>
              </w:rPr>
              <w:instrText xml:space="preserve"> PAGEREF _Toc383680700 \h </w:instrText>
            </w:r>
            <w:r w:rsidR="00A500D5">
              <w:rPr>
                <w:noProof/>
                <w:webHidden/>
              </w:rPr>
            </w:r>
            <w:r w:rsidR="00A500D5">
              <w:rPr>
                <w:noProof/>
                <w:webHidden/>
              </w:rPr>
              <w:fldChar w:fldCharType="separate"/>
            </w:r>
            <w:r w:rsidR="00A803EA">
              <w:rPr>
                <w:noProof/>
                <w:webHidden/>
              </w:rPr>
              <w:t>8</w:t>
            </w:r>
            <w:r w:rsidR="00A500D5">
              <w:rPr>
                <w:noProof/>
                <w:webHidden/>
              </w:rPr>
              <w:fldChar w:fldCharType="end"/>
            </w:r>
          </w:hyperlink>
        </w:p>
        <w:p w14:paraId="7A17814D" w14:textId="68B6A375" w:rsidR="00A500D5" w:rsidRDefault="00000000">
          <w:pPr>
            <w:pStyle w:val="TOC3"/>
            <w:rPr>
              <w:rFonts w:asciiTheme="minorHAnsi" w:eastAsiaTheme="minorEastAsia" w:hAnsiTheme="minorHAnsi" w:cstheme="minorBidi"/>
              <w:noProof/>
              <w:lang w:eastAsia="en-AU"/>
            </w:rPr>
          </w:pPr>
          <w:hyperlink w:anchor="_Toc383680701" w:history="1">
            <w:r w:rsidR="00A500D5" w:rsidRPr="00A24F43">
              <w:rPr>
                <w:rStyle w:val="Hyperlink"/>
                <w:noProof/>
                <w:lang w:eastAsia="en-AU"/>
              </w:rPr>
              <w:t>Submission details</w:t>
            </w:r>
            <w:r w:rsidR="00A500D5">
              <w:rPr>
                <w:noProof/>
                <w:webHidden/>
              </w:rPr>
              <w:tab/>
            </w:r>
            <w:r w:rsidR="00A500D5">
              <w:rPr>
                <w:noProof/>
                <w:webHidden/>
              </w:rPr>
              <w:fldChar w:fldCharType="begin"/>
            </w:r>
            <w:r w:rsidR="00A500D5">
              <w:rPr>
                <w:noProof/>
                <w:webHidden/>
              </w:rPr>
              <w:instrText xml:space="preserve"> PAGEREF _Toc383680701 \h </w:instrText>
            </w:r>
            <w:r w:rsidR="00A500D5">
              <w:rPr>
                <w:noProof/>
                <w:webHidden/>
              </w:rPr>
            </w:r>
            <w:r w:rsidR="00A500D5">
              <w:rPr>
                <w:noProof/>
                <w:webHidden/>
              </w:rPr>
              <w:fldChar w:fldCharType="separate"/>
            </w:r>
            <w:r w:rsidR="00A803EA">
              <w:rPr>
                <w:noProof/>
                <w:webHidden/>
              </w:rPr>
              <w:t>8</w:t>
            </w:r>
            <w:r w:rsidR="00A500D5">
              <w:rPr>
                <w:noProof/>
                <w:webHidden/>
              </w:rPr>
              <w:fldChar w:fldCharType="end"/>
            </w:r>
          </w:hyperlink>
        </w:p>
        <w:p w14:paraId="72C8648D" w14:textId="25243758" w:rsidR="00A500D5" w:rsidRDefault="00000000">
          <w:pPr>
            <w:pStyle w:val="TOC3"/>
            <w:rPr>
              <w:rFonts w:asciiTheme="minorHAnsi" w:eastAsiaTheme="minorEastAsia" w:hAnsiTheme="minorHAnsi" w:cstheme="minorBidi"/>
              <w:noProof/>
              <w:lang w:eastAsia="en-AU"/>
            </w:rPr>
          </w:pPr>
          <w:hyperlink w:anchor="_Toc383680702" w:history="1">
            <w:r w:rsidR="00A500D5" w:rsidRPr="00A24F43">
              <w:rPr>
                <w:rStyle w:val="Hyperlink"/>
                <w:noProof/>
              </w:rPr>
              <w:t>Product background</w:t>
            </w:r>
            <w:r w:rsidR="00A500D5">
              <w:rPr>
                <w:noProof/>
                <w:webHidden/>
              </w:rPr>
              <w:tab/>
            </w:r>
            <w:r w:rsidR="00A500D5">
              <w:rPr>
                <w:noProof/>
                <w:webHidden/>
              </w:rPr>
              <w:fldChar w:fldCharType="begin"/>
            </w:r>
            <w:r w:rsidR="00A500D5">
              <w:rPr>
                <w:noProof/>
                <w:webHidden/>
              </w:rPr>
              <w:instrText xml:space="preserve"> PAGEREF _Toc383680702 \h </w:instrText>
            </w:r>
            <w:r w:rsidR="00A500D5">
              <w:rPr>
                <w:noProof/>
                <w:webHidden/>
              </w:rPr>
            </w:r>
            <w:r w:rsidR="00A500D5">
              <w:rPr>
                <w:noProof/>
                <w:webHidden/>
              </w:rPr>
              <w:fldChar w:fldCharType="separate"/>
            </w:r>
            <w:r w:rsidR="00A803EA">
              <w:rPr>
                <w:noProof/>
                <w:webHidden/>
              </w:rPr>
              <w:t>8</w:t>
            </w:r>
            <w:r w:rsidR="00A500D5">
              <w:rPr>
                <w:noProof/>
                <w:webHidden/>
              </w:rPr>
              <w:fldChar w:fldCharType="end"/>
            </w:r>
          </w:hyperlink>
        </w:p>
        <w:p w14:paraId="0CC65F8D" w14:textId="3FF5CB64" w:rsidR="00A500D5" w:rsidRDefault="00000000">
          <w:pPr>
            <w:pStyle w:val="TOC3"/>
            <w:rPr>
              <w:rFonts w:asciiTheme="minorHAnsi" w:eastAsiaTheme="minorEastAsia" w:hAnsiTheme="minorHAnsi" w:cstheme="minorBidi"/>
              <w:noProof/>
              <w:lang w:eastAsia="en-AU"/>
            </w:rPr>
          </w:pPr>
          <w:hyperlink w:anchor="_Toc383680703" w:history="1">
            <w:r w:rsidR="00A500D5" w:rsidRPr="00A24F43">
              <w:rPr>
                <w:rStyle w:val="Hyperlink"/>
                <w:noProof/>
              </w:rPr>
              <w:t>Regulatory status</w:t>
            </w:r>
            <w:r w:rsidR="00A500D5">
              <w:rPr>
                <w:noProof/>
                <w:webHidden/>
              </w:rPr>
              <w:tab/>
            </w:r>
            <w:r w:rsidR="00A500D5">
              <w:rPr>
                <w:noProof/>
                <w:webHidden/>
              </w:rPr>
              <w:fldChar w:fldCharType="begin"/>
            </w:r>
            <w:r w:rsidR="00A500D5">
              <w:rPr>
                <w:noProof/>
                <w:webHidden/>
              </w:rPr>
              <w:instrText xml:space="preserve"> PAGEREF _Toc383680703 \h </w:instrText>
            </w:r>
            <w:r w:rsidR="00A500D5">
              <w:rPr>
                <w:noProof/>
                <w:webHidden/>
              </w:rPr>
            </w:r>
            <w:r w:rsidR="00A500D5">
              <w:rPr>
                <w:noProof/>
                <w:webHidden/>
              </w:rPr>
              <w:fldChar w:fldCharType="separate"/>
            </w:r>
            <w:r w:rsidR="00A803EA">
              <w:rPr>
                <w:noProof/>
                <w:webHidden/>
              </w:rPr>
              <w:t>9</w:t>
            </w:r>
            <w:r w:rsidR="00A500D5">
              <w:rPr>
                <w:noProof/>
                <w:webHidden/>
              </w:rPr>
              <w:fldChar w:fldCharType="end"/>
            </w:r>
          </w:hyperlink>
        </w:p>
        <w:p w14:paraId="314C4E1C" w14:textId="367C8A93" w:rsidR="00A500D5" w:rsidRDefault="00000000">
          <w:pPr>
            <w:pStyle w:val="TOC3"/>
            <w:rPr>
              <w:rFonts w:asciiTheme="minorHAnsi" w:eastAsiaTheme="minorEastAsia" w:hAnsiTheme="minorHAnsi" w:cstheme="minorBidi"/>
              <w:noProof/>
              <w:lang w:eastAsia="en-AU"/>
            </w:rPr>
          </w:pPr>
          <w:hyperlink w:anchor="_Toc383680704" w:history="1">
            <w:r w:rsidR="00A500D5" w:rsidRPr="00A24F43">
              <w:rPr>
                <w:rStyle w:val="Hyperlink"/>
                <w:noProof/>
              </w:rPr>
              <w:t>Product Information</w:t>
            </w:r>
            <w:r w:rsidR="00A500D5">
              <w:rPr>
                <w:noProof/>
                <w:webHidden/>
              </w:rPr>
              <w:tab/>
            </w:r>
            <w:r w:rsidR="00A500D5">
              <w:rPr>
                <w:noProof/>
                <w:webHidden/>
              </w:rPr>
              <w:fldChar w:fldCharType="begin"/>
            </w:r>
            <w:r w:rsidR="00A500D5">
              <w:rPr>
                <w:noProof/>
                <w:webHidden/>
              </w:rPr>
              <w:instrText xml:space="preserve"> PAGEREF _Toc383680704 \h </w:instrText>
            </w:r>
            <w:r w:rsidR="00A500D5">
              <w:rPr>
                <w:noProof/>
                <w:webHidden/>
              </w:rPr>
            </w:r>
            <w:r w:rsidR="00A500D5">
              <w:rPr>
                <w:noProof/>
                <w:webHidden/>
              </w:rPr>
              <w:fldChar w:fldCharType="separate"/>
            </w:r>
            <w:r w:rsidR="00A803EA">
              <w:rPr>
                <w:noProof/>
                <w:webHidden/>
              </w:rPr>
              <w:t>10</w:t>
            </w:r>
            <w:r w:rsidR="00A500D5">
              <w:rPr>
                <w:noProof/>
                <w:webHidden/>
              </w:rPr>
              <w:fldChar w:fldCharType="end"/>
            </w:r>
          </w:hyperlink>
        </w:p>
        <w:p w14:paraId="575D5040" w14:textId="5296016C" w:rsidR="00A500D5" w:rsidRDefault="00000000">
          <w:pPr>
            <w:pStyle w:val="TOC2"/>
            <w:rPr>
              <w:rFonts w:asciiTheme="minorHAnsi" w:eastAsiaTheme="minorEastAsia" w:hAnsiTheme="minorHAnsi" w:cstheme="minorBidi"/>
              <w:b w:val="0"/>
              <w:noProof/>
              <w:sz w:val="22"/>
              <w:lang w:eastAsia="en-AU"/>
            </w:rPr>
          </w:pPr>
          <w:hyperlink w:anchor="_Toc383680705" w:history="1">
            <w:r w:rsidR="00A500D5" w:rsidRPr="00A24F43">
              <w:rPr>
                <w:rStyle w:val="Hyperlink"/>
                <w:noProof/>
              </w:rPr>
              <w:t>II. Quality findings</w:t>
            </w:r>
            <w:r w:rsidR="00A500D5">
              <w:rPr>
                <w:noProof/>
                <w:webHidden/>
              </w:rPr>
              <w:tab/>
            </w:r>
            <w:r w:rsidR="00A500D5">
              <w:rPr>
                <w:noProof/>
                <w:webHidden/>
              </w:rPr>
              <w:fldChar w:fldCharType="begin"/>
            </w:r>
            <w:r w:rsidR="00A500D5">
              <w:rPr>
                <w:noProof/>
                <w:webHidden/>
              </w:rPr>
              <w:instrText xml:space="preserve"> PAGEREF _Toc383680705 \h </w:instrText>
            </w:r>
            <w:r w:rsidR="00A500D5">
              <w:rPr>
                <w:noProof/>
                <w:webHidden/>
              </w:rPr>
            </w:r>
            <w:r w:rsidR="00A500D5">
              <w:rPr>
                <w:noProof/>
                <w:webHidden/>
              </w:rPr>
              <w:fldChar w:fldCharType="separate"/>
            </w:r>
            <w:r w:rsidR="00A803EA">
              <w:rPr>
                <w:noProof/>
                <w:webHidden/>
              </w:rPr>
              <w:t>10</w:t>
            </w:r>
            <w:r w:rsidR="00A500D5">
              <w:rPr>
                <w:noProof/>
                <w:webHidden/>
              </w:rPr>
              <w:fldChar w:fldCharType="end"/>
            </w:r>
          </w:hyperlink>
        </w:p>
        <w:p w14:paraId="31DC9D6A" w14:textId="18564582" w:rsidR="00A500D5" w:rsidRDefault="00000000">
          <w:pPr>
            <w:pStyle w:val="TOC3"/>
            <w:rPr>
              <w:rFonts w:asciiTheme="minorHAnsi" w:eastAsiaTheme="minorEastAsia" w:hAnsiTheme="minorHAnsi" w:cstheme="minorBidi"/>
              <w:noProof/>
              <w:lang w:eastAsia="en-AU"/>
            </w:rPr>
          </w:pPr>
          <w:hyperlink w:anchor="_Toc383680706" w:history="1">
            <w:r w:rsidR="00A500D5" w:rsidRPr="00A24F43">
              <w:rPr>
                <w:rStyle w:val="Hyperlink"/>
                <w:noProof/>
              </w:rPr>
              <w:t>Drug substance (active ingredient)</w:t>
            </w:r>
            <w:r w:rsidR="00A500D5">
              <w:rPr>
                <w:noProof/>
                <w:webHidden/>
              </w:rPr>
              <w:tab/>
            </w:r>
            <w:r w:rsidR="00A500D5">
              <w:rPr>
                <w:noProof/>
                <w:webHidden/>
              </w:rPr>
              <w:fldChar w:fldCharType="begin"/>
            </w:r>
            <w:r w:rsidR="00A500D5">
              <w:rPr>
                <w:noProof/>
                <w:webHidden/>
              </w:rPr>
              <w:instrText xml:space="preserve"> PAGEREF _Toc383680706 \h </w:instrText>
            </w:r>
            <w:r w:rsidR="00A500D5">
              <w:rPr>
                <w:noProof/>
                <w:webHidden/>
              </w:rPr>
            </w:r>
            <w:r w:rsidR="00A500D5">
              <w:rPr>
                <w:noProof/>
                <w:webHidden/>
              </w:rPr>
              <w:fldChar w:fldCharType="separate"/>
            </w:r>
            <w:r w:rsidR="00A803EA">
              <w:rPr>
                <w:noProof/>
                <w:webHidden/>
              </w:rPr>
              <w:t>10</w:t>
            </w:r>
            <w:r w:rsidR="00A500D5">
              <w:rPr>
                <w:noProof/>
                <w:webHidden/>
              </w:rPr>
              <w:fldChar w:fldCharType="end"/>
            </w:r>
          </w:hyperlink>
        </w:p>
        <w:p w14:paraId="778FB024" w14:textId="088CBDB3" w:rsidR="00A500D5" w:rsidRDefault="00000000">
          <w:pPr>
            <w:pStyle w:val="TOC3"/>
            <w:rPr>
              <w:rFonts w:asciiTheme="minorHAnsi" w:eastAsiaTheme="minorEastAsia" w:hAnsiTheme="minorHAnsi" w:cstheme="minorBidi"/>
              <w:noProof/>
              <w:lang w:eastAsia="en-AU"/>
            </w:rPr>
          </w:pPr>
          <w:hyperlink w:anchor="_Toc383680707" w:history="1">
            <w:r w:rsidR="00A500D5" w:rsidRPr="00A24F43">
              <w:rPr>
                <w:rStyle w:val="Hyperlink"/>
                <w:noProof/>
              </w:rPr>
              <w:t>Drug product</w:t>
            </w:r>
            <w:r w:rsidR="00A500D5">
              <w:rPr>
                <w:noProof/>
                <w:webHidden/>
              </w:rPr>
              <w:tab/>
            </w:r>
            <w:r w:rsidR="00A500D5">
              <w:rPr>
                <w:noProof/>
                <w:webHidden/>
              </w:rPr>
              <w:fldChar w:fldCharType="begin"/>
            </w:r>
            <w:r w:rsidR="00A500D5">
              <w:rPr>
                <w:noProof/>
                <w:webHidden/>
              </w:rPr>
              <w:instrText xml:space="preserve"> PAGEREF _Toc383680707 \h </w:instrText>
            </w:r>
            <w:r w:rsidR="00A500D5">
              <w:rPr>
                <w:noProof/>
                <w:webHidden/>
              </w:rPr>
            </w:r>
            <w:r w:rsidR="00A500D5">
              <w:rPr>
                <w:noProof/>
                <w:webHidden/>
              </w:rPr>
              <w:fldChar w:fldCharType="separate"/>
            </w:r>
            <w:r w:rsidR="00A803EA">
              <w:rPr>
                <w:noProof/>
                <w:webHidden/>
              </w:rPr>
              <w:t>11</w:t>
            </w:r>
            <w:r w:rsidR="00A500D5">
              <w:rPr>
                <w:noProof/>
                <w:webHidden/>
              </w:rPr>
              <w:fldChar w:fldCharType="end"/>
            </w:r>
          </w:hyperlink>
        </w:p>
        <w:p w14:paraId="5E653D9A" w14:textId="765545F3" w:rsidR="00A500D5" w:rsidRDefault="00000000">
          <w:pPr>
            <w:pStyle w:val="TOC3"/>
            <w:rPr>
              <w:rFonts w:asciiTheme="minorHAnsi" w:eastAsiaTheme="minorEastAsia" w:hAnsiTheme="minorHAnsi" w:cstheme="minorBidi"/>
              <w:noProof/>
              <w:lang w:eastAsia="en-AU"/>
            </w:rPr>
          </w:pPr>
          <w:hyperlink w:anchor="_Toc383680708" w:history="1">
            <w:r w:rsidR="00A500D5" w:rsidRPr="00A24F43">
              <w:rPr>
                <w:rStyle w:val="Hyperlink"/>
                <w:noProof/>
              </w:rPr>
              <w:t>Biopharmaceutics</w:t>
            </w:r>
            <w:r w:rsidR="00A500D5">
              <w:rPr>
                <w:noProof/>
                <w:webHidden/>
              </w:rPr>
              <w:tab/>
            </w:r>
            <w:r w:rsidR="00A500D5">
              <w:rPr>
                <w:noProof/>
                <w:webHidden/>
              </w:rPr>
              <w:fldChar w:fldCharType="begin"/>
            </w:r>
            <w:r w:rsidR="00A500D5">
              <w:rPr>
                <w:noProof/>
                <w:webHidden/>
              </w:rPr>
              <w:instrText xml:space="preserve"> PAGEREF _Toc383680708 \h </w:instrText>
            </w:r>
            <w:r w:rsidR="00A500D5">
              <w:rPr>
                <w:noProof/>
                <w:webHidden/>
              </w:rPr>
            </w:r>
            <w:r w:rsidR="00A500D5">
              <w:rPr>
                <w:noProof/>
                <w:webHidden/>
              </w:rPr>
              <w:fldChar w:fldCharType="separate"/>
            </w:r>
            <w:r w:rsidR="00A803EA">
              <w:rPr>
                <w:noProof/>
                <w:webHidden/>
              </w:rPr>
              <w:t>11</w:t>
            </w:r>
            <w:r w:rsidR="00A500D5">
              <w:rPr>
                <w:noProof/>
                <w:webHidden/>
              </w:rPr>
              <w:fldChar w:fldCharType="end"/>
            </w:r>
          </w:hyperlink>
        </w:p>
        <w:p w14:paraId="6CF925C4" w14:textId="25ADDDBB" w:rsidR="00A500D5" w:rsidRDefault="00000000">
          <w:pPr>
            <w:pStyle w:val="TOC3"/>
            <w:rPr>
              <w:rFonts w:asciiTheme="minorHAnsi" w:eastAsiaTheme="minorEastAsia" w:hAnsiTheme="minorHAnsi" w:cstheme="minorBidi"/>
              <w:noProof/>
              <w:lang w:eastAsia="en-AU"/>
            </w:rPr>
          </w:pPr>
          <w:hyperlink w:anchor="_Toc383680709" w:history="1">
            <w:r w:rsidR="00A500D5" w:rsidRPr="00A24F43">
              <w:rPr>
                <w:rStyle w:val="Hyperlink"/>
                <w:noProof/>
              </w:rPr>
              <w:t>Advisory committee considerations</w:t>
            </w:r>
            <w:r w:rsidR="00A500D5">
              <w:rPr>
                <w:noProof/>
                <w:webHidden/>
              </w:rPr>
              <w:tab/>
            </w:r>
            <w:r w:rsidR="00A500D5">
              <w:rPr>
                <w:noProof/>
                <w:webHidden/>
              </w:rPr>
              <w:fldChar w:fldCharType="begin"/>
            </w:r>
            <w:r w:rsidR="00A500D5">
              <w:rPr>
                <w:noProof/>
                <w:webHidden/>
              </w:rPr>
              <w:instrText xml:space="preserve"> PAGEREF _Toc383680709 \h </w:instrText>
            </w:r>
            <w:r w:rsidR="00A500D5">
              <w:rPr>
                <w:noProof/>
                <w:webHidden/>
              </w:rPr>
            </w:r>
            <w:r w:rsidR="00A500D5">
              <w:rPr>
                <w:noProof/>
                <w:webHidden/>
              </w:rPr>
              <w:fldChar w:fldCharType="separate"/>
            </w:r>
            <w:r w:rsidR="00A803EA">
              <w:rPr>
                <w:noProof/>
                <w:webHidden/>
              </w:rPr>
              <w:t>12</w:t>
            </w:r>
            <w:r w:rsidR="00A500D5">
              <w:rPr>
                <w:noProof/>
                <w:webHidden/>
              </w:rPr>
              <w:fldChar w:fldCharType="end"/>
            </w:r>
          </w:hyperlink>
        </w:p>
        <w:p w14:paraId="2D2AD4D4" w14:textId="5CA3FE4D" w:rsidR="00A500D5" w:rsidRDefault="00000000">
          <w:pPr>
            <w:pStyle w:val="TOC3"/>
            <w:rPr>
              <w:rFonts w:asciiTheme="minorHAnsi" w:eastAsiaTheme="minorEastAsia" w:hAnsiTheme="minorHAnsi" w:cstheme="minorBidi"/>
              <w:noProof/>
              <w:lang w:eastAsia="en-AU"/>
            </w:rPr>
          </w:pPr>
          <w:hyperlink w:anchor="_Toc383680710" w:history="1">
            <w:r w:rsidR="00A500D5" w:rsidRPr="00A24F43">
              <w:rPr>
                <w:rStyle w:val="Hyperlink"/>
                <w:noProof/>
              </w:rPr>
              <w:t>Quality summary and conclusions</w:t>
            </w:r>
            <w:r w:rsidR="00A500D5">
              <w:rPr>
                <w:noProof/>
                <w:webHidden/>
              </w:rPr>
              <w:tab/>
            </w:r>
            <w:r w:rsidR="00A500D5">
              <w:rPr>
                <w:noProof/>
                <w:webHidden/>
              </w:rPr>
              <w:fldChar w:fldCharType="begin"/>
            </w:r>
            <w:r w:rsidR="00A500D5">
              <w:rPr>
                <w:noProof/>
                <w:webHidden/>
              </w:rPr>
              <w:instrText xml:space="preserve"> PAGEREF _Toc383680710 \h </w:instrText>
            </w:r>
            <w:r w:rsidR="00A500D5">
              <w:rPr>
                <w:noProof/>
                <w:webHidden/>
              </w:rPr>
            </w:r>
            <w:r w:rsidR="00A500D5">
              <w:rPr>
                <w:noProof/>
                <w:webHidden/>
              </w:rPr>
              <w:fldChar w:fldCharType="separate"/>
            </w:r>
            <w:r w:rsidR="00A803EA">
              <w:rPr>
                <w:noProof/>
                <w:webHidden/>
              </w:rPr>
              <w:t>12</w:t>
            </w:r>
            <w:r w:rsidR="00A500D5">
              <w:rPr>
                <w:noProof/>
                <w:webHidden/>
              </w:rPr>
              <w:fldChar w:fldCharType="end"/>
            </w:r>
          </w:hyperlink>
        </w:p>
        <w:p w14:paraId="5F338FF9" w14:textId="65EAE0BD" w:rsidR="00A500D5" w:rsidRDefault="00000000">
          <w:pPr>
            <w:pStyle w:val="TOC2"/>
            <w:rPr>
              <w:rFonts w:asciiTheme="minorHAnsi" w:eastAsiaTheme="minorEastAsia" w:hAnsiTheme="minorHAnsi" w:cstheme="minorBidi"/>
              <w:b w:val="0"/>
              <w:noProof/>
              <w:sz w:val="22"/>
              <w:lang w:eastAsia="en-AU"/>
            </w:rPr>
          </w:pPr>
          <w:hyperlink w:anchor="_Toc383680711" w:history="1">
            <w:r w:rsidR="00A500D5" w:rsidRPr="00A24F43">
              <w:rPr>
                <w:rStyle w:val="Hyperlink"/>
                <w:noProof/>
              </w:rPr>
              <w:t>III. Nonclinical findings</w:t>
            </w:r>
            <w:r w:rsidR="00A500D5">
              <w:rPr>
                <w:noProof/>
                <w:webHidden/>
              </w:rPr>
              <w:tab/>
            </w:r>
            <w:r w:rsidR="00A500D5">
              <w:rPr>
                <w:noProof/>
                <w:webHidden/>
              </w:rPr>
              <w:fldChar w:fldCharType="begin"/>
            </w:r>
            <w:r w:rsidR="00A500D5">
              <w:rPr>
                <w:noProof/>
                <w:webHidden/>
              </w:rPr>
              <w:instrText xml:space="preserve"> PAGEREF _Toc383680711 \h </w:instrText>
            </w:r>
            <w:r w:rsidR="00A500D5">
              <w:rPr>
                <w:noProof/>
                <w:webHidden/>
              </w:rPr>
            </w:r>
            <w:r w:rsidR="00A500D5">
              <w:rPr>
                <w:noProof/>
                <w:webHidden/>
              </w:rPr>
              <w:fldChar w:fldCharType="separate"/>
            </w:r>
            <w:r w:rsidR="00A803EA">
              <w:rPr>
                <w:noProof/>
                <w:webHidden/>
              </w:rPr>
              <w:t>12</w:t>
            </w:r>
            <w:r w:rsidR="00A500D5">
              <w:rPr>
                <w:noProof/>
                <w:webHidden/>
              </w:rPr>
              <w:fldChar w:fldCharType="end"/>
            </w:r>
          </w:hyperlink>
        </w:p>
        <w:p w14:paraId="58271DD2" w14:textId="235B312E" w:rsidR="00A500D5" w:rsidRDefault="00000000">
          <w:pPr>
            <w:pStyle w:val="TOC3"/>
            <w:rPr>
              <w:rFonts w:asciiTheme="minorHAnsi" w:eastAsiaTheme="minorEastAsia" w:hAnsiTheme="minorHAnsi" w:cstheme="minorBidi"/>
              <w:noProof/>
              <w:lang w:eastAsia="en-AU"/>
            </w:rPr>
          </w:pPr>
          <w:hyperlink w:anchor="_Toc383680712" w:history="1">
            <w:r w:rsidR="00A500D5" w:rsidRPr="00A24F43">
              <w:rPr>
                <w:rStyle w:val="Hyperlink"/>
                <w:noProof/>
              </w:rPr>
              <w:t>Introduction</w:t>
            </w:r>
            <w:r w:rsidR="00A500D5">
              <w:rPr>
                <w:noProof/>
                <w:webHidden/>
              </w:rPr>
              <w:tab/>
            </w:r>
            <w:r w:rsidR="00A500D5">
              <w:rPr>
                <w:noProof/>
                <w:webHidden/>
              </w:rPr>
              <w:fldChar w:fldCharType="begin"/>
            </w:r>
            <w:r w:rsidR="00A500D5">
              <w:rPr>
                <w:noProof/>
                <w:webHidden/>
              </w:rPr>
              <w:instrText xml:space="preserve"> PAGEREF _Toc383680712 \h </w:instrText>
            </w:r>
            <w:r w:rsidR="00A500D5">
              <w:rPr>
                <w:noProof/>
                <w:webHidden/>
              </w:rPr>
            </w:r>
            <w:r w:rsidR="00A500D5">
              <w:rPr>
                <w:noProof/>
                <w:webHidden/>
              </w:rPr>
              <w:fldChar w:fldCharType="separate"/>
            </w:r>
            <w:r w:rsidR="00A803EA">
              <w:rPr>
                <w:noProof/>
                <w:webHidden/>
              </w:rPr>
              <w:t>12</w:t>
            </w:r>
            <w:r w:rsidR="00A500D5">
              <w:rPr>
                <w:noProof/>
                <w:webHidden/>
              </w:rPr>
              <w:fldChar w:fldCharType="end"/>
            </w:r>
          </w:hyperlink>
        </w:p>
        <w:p w14:paraId="6FAFDD60" w14:textId="03797B36" w:rsidR="00A500D5" w:rsidRDefault="00000000">
          <w:pPr>
            <w:pStyle w:val="TOC3"/>
            <w:rPr>
              <w:rFonts w:asciiTheme="minorHAnsi" w:eastAsiaTheme="minorEastAsia" w:hAnsiTheme="minorHAnsi" w:cstheme="minorBidi"/>
              <w:noProof/>
              <w:lang w:eastAsia="en-AU"/>
            </w:rPr>
          </w:pPr>
          <w:hyperlink w:anchor="_Toc383680713" w:history="1">
            <w:r w:rsidR="00A500D5" w:rsidRPr="00A24F43">
              <w:rPr>
                <w:rStyle w:val="Hyperlink"/>
                <w:noProof/>
              </w:rPr>
              <w:t>Pharmacology</w:t>
            </w:r>
            <w:r w:rsidR="00A500D5">
              <w:rPr>
                <w:noProof/>
                <w:webHidden/>
              </w:rPr>
              <w:tab/>
            </w:r>
            <w:r w:rsidR="00A500D5">
              <w:rPr>
                <w:noProof/>
                <w:webHidden/>
              </w:rPr>
              <w:fldChar w:fldCharType="begin"/>
            </w:r>
            <w:r w:rsidR="00A500D5">
              <w:rPr>
                <w:noProof/>
                <w:webHidden/>
              </w:rPr>
              <w:instrText xml:space="preserve"> PAGEREF _Toc383680713 \h </w:instrText>
            </w:r>
            <w:r w:rsidR="00A500D5">
              <w:rPr>
                <w:noProof/>
                <w:webHidden/>
              </w:rPr>
            </w:r>
            <w:r w:rsidR="00A500D5">
              <w:rPr>
                <w:noProof/>
                <w:webHidden/>
              </w:rPr>
              <w:fldChar w:fldCharType="separate"/>
            </w:r>
            <w:r w:rsidR="00A803EA">
              <w:rPr>
                <w:noProof/>
                <w:webHidden/>
              </w:rPr>
              <w:t>12</w:t>
            </w:r>
            <w:r w:rsidR="00A500D5">
              <w:rPr>
                <w:noProof/>
                <w:webHidden/>
              </w:rPr>
              <w:fldChar w:fldCharType="end"/>
            </w:r>
          </w:hyperlink>
        </w:p>
        <w:p w14:paraId="48CC8EC8" w14:textId="355E4E7F" w:rsidR="00A500D5" w:rsidRDefault="00000000">
          <w:pPr>
            <w:pStyle w:val="TOC3"/>
            <w:rPr>
              <w:rFonts w:asciiTheme="minorHAnsi" w:eastAsiaTheme="minorEastAsia" w:hAnsiTheme="minorHAnsi" w:cstheme="minorBidi"/>
              <w:noProof/>
              <w:lang w:eastAsia="en-AU"/>
            </w:rPr>
          </w:pPr>
          <w:hyperlink w:anchor="_Toc383680714" w:history="1">
            <w:r w:rsidR="00A500D5" w:rsidRPr="00A24F43">
              <w:rPr>
                <w:rStyle w:val="Hyperlink"/>
                <w:noProof/>
              </w:rPr>
              <w:t>Pharmacokinetics</w:t>
            </w:r>
            <w:r w:rsidR="00A500D5">
              <w:rPr>
                <w:noProof/>
                <w:webHidden/>
              </w:rPr>
              <w:tab/>
            </w:r>
            <w:r w:rsidR="00A500D5">
              <w:rPr>
                <w:noProof/>
                <w:webHidden/>
              </w:rPr>
              <w:fldChar w:fldCharType="begin"/>
            </w:r>
            <w:r w:rsidR="00A500D5">
              <w:rPr>
                <w:noProof/>
                <w:webHidden/>
              </w:rPr>
              <w:instrText xml:space="preserve"> PAGEREF _Toc383680714 \h </w:instrText>
            </w:r>
            <w:r w:rsidR="00A500D5">
              <w:rPr>
                <w:noProof/>
                <w:webHidden/>
              </w:rPr>
            </w:r>
            <w:r w:rsidR="00A500D5">
              <w:rPr>
                <w:noProof/>
                <w:webHidden/>
              </w:rPr>
              <w:fldChar w:fldCharType="separate"/>
            </w:r>
            <w:r w:rsidR="00A803EA">
              <w:rPr>
                <w:noProof/>
                <w:webHidden/>
              </w:rPr>
              <w:t>14</w:t>
            </w:r>
            <w:r w:rsidR="00A500D5">
              <w:rPr>
                <w:noProof/>
                <w:webHidden/>
              </w:rPr>
              <w:fldChar w:fldCharType="end"/>
            </w:r>
          </w:hyperlink>
        </w:p>
        <w:p w14:paraId="6A8E5F80" w14:textId="69F681AE" w:rsidR="00A500D5" w:rsidRDefault="00000000">
          <w:pPr>
            <w:pStyle w:val="TOC3"/>
            <w:rPr>
              <w:rFonts w:asciiTheme="minorHAnsi" w:eastAsiaTheme="minorEastAsia" w:hAnsiTheme="minorHAnsi" w:cstheme="minorBidi"/>
              <w:noProof/>
              <w:lang w:eastAsia="en-AU"/>
            </w:rPr>
          </w:pPr>
          <w:hyperlink w:anchor="_Toc383680715" w:history="1">
            <w:r w:rsidR="00A500D5" w:rsidRPr="00A24F43">
              <w:rPr>
                <w:rStyle w:val="Hyperlink"/>
                <w:noProof/>
              </w:rPr>
              <w:t>Toxicology</w:t>
            </w:r>
            <w:r w:rsidR="00A500D5">
              <w:rPr>
                <w:noProof/>
                <w:webHidden/>
              </w:rPr>
              <w:tab/>
            </w:r>
            <w:r w:rsidR="00A500D5">
              <w:rPr>
                <w:noProof/>
                <w:webHidden/>
              </w:rPr>
              <w:fldChar w:fldCharType="begin"/>
            </w:r>
            <w:r w:rsidR="00A500D5">
              <w:rPr>
                <w:noProof/>
                <w:webHidden/>
              </w:rPr>
              <w:instrText xml:space="preserve"> PAGEREF _Toc383680715 \h </w:instrText>
            </w:r>
            <w:r w:rsidR="00A500D5">
              <w:rPr>
                <w:noProof/>
                <w:webHidden/>
              </w:rPr>
            </w:r>
            <w:r w:rsidR="00A500D5">
              <w:rPr>
                <w:noProof/>
                <w:webHidden/>
              </w:rPr>
              <w:fldChar w:fldCharType="separate"/>
            </w:r>
            <w:r w:rsidR="00A803EA">
              <w:rPr>
                <w:noProof/>
                <w:webHidden/>
              </w:rPr>
              <w:t>15</w:t>
            </w:r>
            <w:r w:rsidR="00A500D5">
              <w:rPr>
                <w:noProof/>
                <w:webHidden/>
              </w:rPr>
              <w:fldChar w:fldCharType="end"/>
            </w:r>
          </w:hyperlink>
        </w:p>
        <w:p w14:paraId="72F2B153" w14:textId="30F20653" w:rsidR="00A500D5" w:rsidRDefault="00000000">
          <w:pPr>
            <w:pStyle w:val="TOC3"/>
            <w:rPr>
              <w:rFonts w:asciiTheme="minorHAnsi" w:eastAsiaTheme="minorEastAsia" w:hAnsiTheme="minorHAnsi" w:cstheme="minorBidi"/>
              <w:noProof/>
              <w:lang w:eastAsia="en-AU"/>
            </w:rPr>
          </w:pPr>
          <w:hyperlink w:anchor="_Toc383680716" w:history="1">
            <w:r w:rsidR="00A500D5" w:rsidRPr="00A24F43">
              <w:rPr>
                <w:rStyle w:val="Hyperlink"/>
                <w:noProof/>
              </w:rPr>
              <w:t>Nonclinical summary and conclusions</w:t>
            </w:r>
            <w:r w:rsidR="00A500D5">
              <w:rPr>
                <w:noProof/>
                <w:webHidden/>
              </w:rPr>
              <w:tab/>
            </w:r>
            <w:r w:rsidR="00A500D5">
              <w:rPr>
                <w:noProof/>
                <w:webHidden/>
              </w:rPr>
              <w:fldChar w:fldCharType="begin"/>
            </w:r>
            <w:r w:rsidR="00A500D5">
              <w:rPr>
                <w:noProof/>
                <w:webHidden/>
              </w:rPr>
              <w:instrText xml:space="preserve"> PAGEREF _Toc383680716 \h </w:instrText>
            </w:r>
            <w:r w:rsidR="00A500D5">
              <w:rPr>
                <w:noProof/>
                <w:webHidden/>
              </w:rPr>
            </w:r>
            <w:r w:rsidR="00A500D5">
              <w:rPr>
                <w:noProof/>
                <w:webHidden/>
              </w:rPr>
              <w:fldChar w:fldCharType="separate"/>
            </w:r>
            <w:r w:rsidR="00A803EA">
              <w:rPr>
                <w:noProof/>
                <w:webHidden/>
              </w:rPr>
              <w:t>21</w:t>
            </w:r>
            <w:r w:rsidR="00A500D5">
              <w:rPr>
                <w:noProof/>
                <w:webHidden/>
              </w:rPr>
              <w:fldChar w:fldCharType="end"/>
            </w:r>
          </w:hyperlink>
        </w:p>
        <w:p w14:paraId="6389B8B5" w14:textId="46ED0824" w:rsidR="00A500D5" w:rsidRDefault="00000000">
          <w:pPr>
            <w:pStyle w:val="TOC2"/>
            <w:rPr>
              <w:rFonts w:asciiTheme="minorHAnsi" w:eastAsiaTheme="minorEastAsia" w:hAnsiTheme="minorHAnsi" w:cstheme="minorBidi"/>
              <w:b w:val="0"/>
              <w:noProof/>
              <w:sz w:val="22"/>
              <w:lang w:eastAsia="en-AU"/>
            </w:rPr>
          </w:pPr>
          <w:hyperlink w:anchor="_Toc383680717" w:history="1">
            <w:r w:rsidR="00A500D5" w:rsidRPr="00A24F43">
              <w:rPr>
                <w:rStyle w:val="Hyperlink"/>
                <w:noProof/>
              </w:rPr>
              <w:t>IV. Clinical findings</w:t>
            </w:r>
            <w:r w:rsidR="00A500D5">
              <w:rPr>
                <w:noProof/>
                <w:webHidden/>
              </w:rPr>
              <w:tab/>
            </w:r>
            <w:r w:rsidR="00A500D5">
              <w:rPr>
                <w:noProof/>
                <w:webHidden/>
              </w:rPr>
              <w:fldChar w:fldCharType="begin"/>
            </w:r>
            <w:r w:rsidR="00A500D5">
              <w:rPr>
                <w:noProof/>
                <w:webHidden/>
              </w:rPr>
              <w:instrText xml:space="preserve"> PAGEREF _Toc383680717 \h </w:instrText>
            </w:r>
            <w:r w:rsidR="00A500D5">
              <w:rPr>
                <w:noProof/>
                <w:webHidden/>
              </w:rPr>
            </w:r>
            <w:r w:rsidR="00A500D5">
              <w:rPr>
                <w:noProof/>
                <w:webHidden/>
              </w:rPr>
              <w:fldChar w:fldCharType="separate"/>
            </w:r>
            <w:r w:rsidR="00A803EA">
              <w:rPr>
                <w:noProof/>
                <w:webHidden/>
              </w:rPr>
              <w:t>23</w:t>
            </w:r>
            <w:r w:rsidR="00A500D5">
              <w:rPr>
                <w:noProof/>
                <w:webHidden/>
              </w:rPr>
              <w:fldChar w:fldCharType="end"/>
            </w:r>
          </w:hyperlink>
        </w:p>
        <w:p w14:paraId="357FE5D3" w14:textId="4C445FD6" w:rsidR="00A500D5" w:rsidRDefault="00000000">
          <w:pPr>
            <w:pStyle w:val="TOC3"/>
            <w:rPr>
              <w:rFonts w:asciiTheme="minorHAnsi" w:eastAsiaTheme="minorEastAsia" w:hAnsiTheme="minorHAnsi" w:cstheme="minorBidi"/>
              <w:noProof/>
              <w:lang w:eastAsia="en-AU"/>
            </w:rPr>
          </w:pPr>
          <w:hyperlink w:anchor="_Toc383680718" w:history="1">
            <w:r w:rsidR="00A500D5" w:rsidRPr="00A24F43">
              <w:rPr>
                <w:rStyle w:val="Hyperlink"/>
                <w:noProof/>
              </w:rPr>
              <w:t>Introduction</w:t>
            </w:r>
            <w:r w:rsidR="00A500D5">
              <w:rPr>
                <w:noProof/>
                <w:webHidden/>
              </w:rPr>
              <w:tab/>
            </w:r>
            <w:r w:rsidR="00A500D5">
              <w:rPr>
                <w:noProof/>
                <w:webHidden/>
              </w:rPr>
              <w:fldChar w:fldCharType="begin"/>
            </w:r>
            <w:r w:rsidR="00A500D5">
              <w:rPr>
                <w:noProof/>
                <w:webHidden/>
              </w:rPr>
              <w:instrText xml:space="preserve"> PAGEREF _Toc383680718 \h </w:instrText>
            </w:r>
            <w:r w:rsidR="00A500D5">
              <w:rPr>
                <w:noProof/>
                <w:webHidden/>
              </w:rPr>
            </w:r>
            <w:r w:rsidR="00A500D5">
              <w:rPr>
                <w:noProof/>
                <w:webHidden/>
              </w:rPr>
              <w:fldChar w:fldCharType="separate"/>
            </w:r>
            <w:r w:rsidR="00A803EA">
              <w:rPr>
                <w:noProof/>
                <w:webHidden/>
              </w:rPr>
              <w:t>23</w:t>
            </w:r>
            <w:r w:rsidR="00A500D5">
              <w:rPr>
                <w:noProof/>
                <w:webHidden/>
              </w:rPr>
              <w:fldChar w:fldCharType="end"/>
            </w:r>
          </w:hyperlink>
        </w:p>
        <w:p w14:paraId="06A0A2FA" w14:textId="63D74866" w:rsidR="00A500D5" w:rsidRDefault="00000000">
          <w:pPr>
            <w:pStyle w:val="TOC3"/>
            <w:rPr>
              <w:rFonts w:asciiTheme="minorHAnsi" w:eastAsiaTheme="minorEastAsia" w:hAnsiTheme="minorHAnsi" w:cstheme="minorBidi"/>
              <w:noProof/>
              <w:lang w:eastAsia="en-AU"/>
            </w:rPr>
          </w:pPr>
          <w:hyperlink w:anchor="_Toc383680719" w:history="1">
            <w:r w:rsidR="00A500D5" w:rsidRPr="00A24F43">
              <w:rPr>
                <w:rStyle w:val="Hyperlink"/>
                <w:noProof/>
              </w:rPr>
              <w:t>Paediatric data</w:t>
            </w:r>
            <w:r w:rsidR="00A500D5">
              <w:rPr>
                <w:noProof/>
                <w:webHidden/>
              </w:rPr>
              <w:tab/>
            </w:r>
            <w:r w:rsidR="00A500D5">
              <w:rPr>
                <w:noProof/>
                <w:webHidden/>
              </w:rPr>
              <w:fldChar w:fldCharType="begin"/>
            </w:r>
            <w:r w:rsidR="00A500D5">
              <w:rPr>
                <w:noProof/>
                <w:webHidden/>
              </w:rPr>
              <w:instrText xml:space="preserve"> PAGEREF _Toc383680719 \h </w:instrText>
            </w:r>
            <w:r w:rsidR="00A500D5">
              <w:rPr>
                <w:noProof/>
                <w:webHidden/>
              </w:rPr>
            </w:r>
            <w:r w:rsidR="00A500D5">
              <w:rPr>
                <w:noProof/>
                <w:webHidden/>
              </w:rPr>
              <w:fldChar w:fldCharType="separate"/>
            </w:r>
            <w:r w:rsidR="00A803EA">
              <w:rPr>
                <w:noProof/>
                <w:webHidden/>
              </w:rPr>
              <w:t>23</w:t>
            </w:r>
            <w:r w:rsidR="00A500D5">
              <w:rPr>
                <w:noProof/>
                <w:webHidden/>
              </w:rPr>
              <w:fldChar w:fldCharType="end"/>
            </w:r>
          </w:hyperlink>
        </w:p>
        <w:p w14:paraId="5B9903B2" w14:textId="32AACAED" w:rsidR="00A500D5" w:rsidRDefault="00000000">
          <w:pPr>
            <w:pStyle w:val="TOC3"/>
            <w:rPr>
              <w:rFonts w:asciiTheme="minorHAnsi" w:eastAsiaTheme="minorEastAsia" w:hAnsiTheme="minorHAnsi" w:cstheme="minorBidi"/>
              <w:noProof/>
              <w:lang w:eastAsia="en-AU"/>
            </w:rPr>
          </w:pPr>
          <w:hyperlink w:anchor="_Toc383680720" w:history="1">
            <w:r w:rsidR="00A500D5" w:rsidRPr="00A24F43">
              <w:rPr>
                <w:rStyle w:val="Hyperlink"/>
                <w:noProof/>
              </w:rPr>
              <w:t>Good clinical practice</w:t>
            </w:r>
            <w:r w:rsidR="00A500D5">
              <w:rPr>
                <w:noProof/>
                <w:webHidden/>
              </w:rPr>
              <w:tab/>
            </w:r>
            <w:r w:rsidR="00A500D5">
              <w:rPr>
                <w:noProof/>
                <w:webHidden/>
              </w:rPr>
              <w:fldChar w:fldCharType="begin"/>
            </w:r>
            <w:r w:rsidR="00A500D5">
              <w:rPr>
                <w:noProof/>
                <w:webHidden/>
              </w:rPr>
              <w:instrText xml:space="preserve"> PAGEREF _Toc383680720 \h </w:instrText>
            </w:r>
            <w:r w:rsidR="00A500D5">
              <w:rPr>
                <w:noProof/>
                <w:webHidden/>
              </w:rPr>
            </w:r>
            <w:r w:rsidR="00A500D5">
              <w:rPr>
                <w:noProof/>
                <w:webHidden/>
              </w:rPr>
              <w:fldChar w:fldCharType="separate"/>
            </w:r>
            <w:r w:rsidR="00A803EA">
              <w:rPr>
                <w:noProof/>
                <w:webHidden/>
              </w:rPr>
              <w:t>24</w:t>
            </w:r>
            <w:r w:rsidR="00A500D5">
              <w:rPr>
                <w:noProof/>
                <w:webHidden/>
              </w:rPr>
              <w:fldChar w:fldCharType="end"/>
            </w:r>
          </w:hyperlink>
        </w:p>
        <w:p w14:paraId="182FAA52" w14:textId="3E01F4EA" w:rsidR="00A500D5" w:rsidRDefault="00000000">
          <w:pPr>
            <w:pStyle w:val="TOC3"/>
            <w:rPr>
              <w:rFonts w:asciiTheme="minorHAnsi" w:eastAsiaTheme="minorEastAsia" w:hAnsiTheme="minorHAnsi" w:cstheme="minorBidi"/>
              <w:noProof/>
              <w:lang w:eastAsia="en-AU"/>
            </w:rPr>
          </w:pPr>
          <w:hyperlink w:anchor="_Toc383680721" w:history="1">
            <w:r w:rsidR="00A500D5" w:rsidRPr="00A24F43">
              <w:rPr>
                <w:rStyle w:val="Hyperlink"/>
                <w:noProof/>
              </w:rPr>
              <w:t>Pharmacokinetics</w:t>
            </w:r>
            <w:r w:rsidR="00A500D5">
              <w:rPr>
                <w:noProof/>
                <w:webHidden/>
              </w:rPr>
              <w:tab/>
            </w:r>
            <w:r w:rsidR="00A500D5">
              <w:rPr>
                <w:noProof/>
                <w:webHidden/>
              </w:rPr>
              <w:fldChar w:fldCharType="begin"/>
            </w:r>
            <w:r w:rsidR="00A500D5">
              <w:rPr>
                <w:noProof/>
                <w:webHidden/>
              </w:rPr>
              <w:instrText xml:space="preserve"> PAGEREF _Toc383680721 \h </w:instrText>
            </w:r>
            <w:r w:rsidR="00A500D5">
              <w:rPr>
                <w:noProof/>
                <w:webHidden/>
              </w:rPr>
            </w:r>
            <w:r w:rsidR="00A500D5">
              <w:rPr>
                <w:noProof/>
                <w:webHidden/>
              </w:rPr>
              <w:fldChar w:fldCharType="separate"/>
            </w:r>
            <w:r w:rsidR="00A803EA">
              <w:rPr>
                <w:noProof/>
                <w:webHidden/>
              </w:rPr>
              <w:t>24</w:t>
            </w:r>
            <w:r w:rsidR="00A500D5">
              <w:rPr>
                <w:noProof/>
                <w:webHidden/>
              </w:rPr>
              <w:fldChar w:fldCharType="end"/>
            </w:r>
          </w:hyperlink>
        </w:p>
        <w:p w14:paraId="77A5B96B" w14:textId="42298D18" w:rsidR="00A500D5" w:rsidRDefault="00000000">
          <w:pPr>
            <w:pStyle w:val="TOC3"/>
            <w:rPr>
              <w:rFonts w:asciiTheme="minorHAnsi" w:eastAsiaTheme="minorEastAsia" w:hAnsiTheme="minorHAnsi" w:cstheme="minorBidi"/>
              <w:noProof/>
              <w:lang w:eastAsia="en-AU"/>
            </w:rPr>
          </w:pPr>
          <w:hyperlink w:anchor="_Toc383680722" w:history="1">
            <w:r w:rsidR="00A500D5" w:rsidRPr="00A24F43">
              <w:rPr>
                <w:rStyle w:val="Hyperlink"/>
                <w:noProof/>
              </w:rPr>
              <w:t>Pharmacodynamics</w:t>
            </w:r>
            <w:r w:rsidR="00A500D5">
              <w:rPr>
                <w:noProof/>
                <w:webHidden/>
              </w:rPr>
              <w:tab/>
            </w:r>
            <w:r w:rsidR="00A500D5">
              <w:rPr>
                <w:noProof/>
                <w:webHidden/>
              </w:rPr>
              <w:fldChar w:fldCharType="begin"/>
            </w:r>
            <w:r w:rsidR="00A500D5">
              <w:rPr>
                <w:noProof/>
                <w:webHidden/>
              </w:rPr>
              <w:instrText xml:space="preserve"> PAGEREF _Toc383680722 \h </w:instrText>
            </w:r>
            <w:r w:rsidR="00A500D5">
              <w:rPr>
                <w:noProof/>
                <w:webHidden/>
              </w:rPr>
            </w:r>
            <w:r w:rsidR="00A500D5">
              <w:rPr>
                <w:noProof/>
                <w:webHidden/>
              </w:rPr>
              <w:fldChar w:fldCharType="separate"/>
            </w:r>
            <w:r w:rsidR="00A803EA">
              <w:rPr>
                <w:noProof/>
                <w:webHidden/>
              </w:rPr>
              <w:t>25</w:t>
            </w:r>
            <w:r w:rsidR="00A500D5">
              <w:rPr>
                <w:noProof/>
                <w:webHidden/>
              </w:rPr>
              <w:fldChar w:fldCharType="end"/>
            </w:r>
          </w:hyperlink>
        </w:p>
        <w:p w14:paraId="2BC72F77" w14:textId="341C5A7C" w:rsidR="00A500D5" w:rsidRDefault="00000000">
          <w:pPr>
            <w:pStyle w:val="TOC3"/>
            <w:rPr>
              <w:rFonts w:asciiTheme="minorHAnsi" w:eastAsiaTheme="minorEastAsia" w:hAnsiTheme="minorHAnsi" w:cstheme="minorBidi"/>
              <w:noProof/>
              <w:lang w:eastAsia="en-AU"/>
            </w:rPr>
          </w:pPr>
          <w:hyperlink w:anchor="_Toc383680723" w:history="1">
            <w:r w:rsidR="00A500D5" w:rsidRPr="00A24F43">
              <w:rPr>
                <w:rStyle w:val="Hyperlink"/>
                <w:noProof/>
              </w:rPr>
              <w:t>Efficacy</w:t>
            </w:r>
            <w:r w:rsidR="00A500D5">
              <w:rPr>
                <w:noProof/>
                <w:webHidden/>
              </w:rPr>
              <w:tab/>
            </w:r>
            <w:r w:rsidR="00A500D5">
              <w:rPr>
                <w:noProof/>
                <w:webHidden/>
              </w:rPr>
              <w:fldChar w:fldCharType="begin"/>
            </w:r>
            <w:r w:rsidR="00A500D5">
              <w:rPr>
                <w:noProof/>
                <w:webHidden/>
              </w:rPr>
              <w:instrText xml:space="preserve"> PAGEREF _Toc383680723 \h </w:instrText>
            </w:r>
            <w:r w:rsidR="00A500D5">
              <w:rPr>
                <w:noProof/>
                <w:webHidden/>
              </w:rPr>
            </w:r>
            <w:r w:rsidR="00A500D5">
              <w:rPr>
                <w:noProof/>
                <w:webHidden/>
              </w:rPr>
              <w:fldChar w:fldCharType="separate"/>
            </w:r>
            <w:r w:rsidR="00A803EA">
              <w:rPr>
                <w:noProof/>
                <w:webHidden/>
              </w:rPr>
              <w:t>26</w:t>
            </w:r>
            <w:r w:rsidR="00A500D5">
              <w:rPr>
                <w:noProof/>
                <w:webHidden/>
              </w:rPr>
              <w:fldChar w:fldCharType="end"/>
            </w:r>
          </w:hyperlink>
        </w:p>
        <w:p w14:paraId="1374A9CC" w14:textId="1C0D53E2" w:rsidR="00A500D5" w:rsidRDefault="00000000">
          <w:pPr>
            <w:pStyle w:val="TOC3"/>
            <w:rPr>
              <w:rFonts w:asciiTheme="minorHAnsi" w:eastAsiaTheme="minorEastAsia" w:hAnsiTheme="minorHAnsi" w:cstheme="minorBidi"/>
              <w:noProof/>
              <w:lang w:eastAsia="en-AU"/>
            </w:rPr>
          </w:pPr>
          <w:hyperlink w:anchor="_Toc383680724" w:history="1">
            <w:r w:rsidR="00A500D5" w:rsidRPr="00A24F43">
              <w:rPr>
                <w:rStyle w:val="Hyperlink"/>
                <w:noProof/>
              </w:rPr>
              <w:t>Safety</w:t>
            </w:r>
            <w:r w:rsidR="00A500D5">
              <w:rPr>
                <w:noProof/>
                <w:webHidden/>
              </w:rPr>
              <w:tab/>
            </w:r>
            <w:r w:rsidR="00A500D5">
              <w:rPr>
                <w:noProof/>
                <w:webHidden/>
              </w:rPr>
              <w:fldChar w:fldCharType="begin"/>
            </w:r>
            <w:r w:rsidR="00A500D5">
              <w:rPr>
                <w:noProof/>
                <w:webHidden/>
              </w:rPr>
              <w:instrText xml:space="preserve"> PAGEREF _Toc383680724 \h </w:instrText>
            </w:r>
            <w:r w:rsidR="00A500D5">
              <w:rPr>
                <w:noProof/>
                <w:webHidden/>
              </w:rPr>
            </w:r>
            <w:r w:rsidR="00A500D5">
              <w:rPr>
                <w:noProof/>
                <w:webHidden/>
              </w:rPr>
              <w:fldChar w:fldCharType="separate"/>
            </w:r>
            <w:r w:rsidR="00A803EA">
              <w:rPr>
                <w:noProof/>
                <w:webHidden/>
              </w:rPr>
              <w:t>28</w:t>
            </w:r>
            <w:r w:rsidR="00A500D5">
              <w:rPr>
                <w:noProof/>
                <w:webHidden/>
              </w:rPr>
              <w:fldChar w:fldCharType="end"/>
            </w:r>
          </w:hyperlink>
        </w:p>
        <w:p w14:paraId="7DA2A81C" w14:textId="32502966" w:rsidR="00A500D5" w:rsidRDefault="00000000">
          <w:pPr>
            <w:pStyle w:val="TOC3"/>
            <w:rPr>
              <w:rFonts w:asciiTheme="minorHAnsi" w:eastAsiaTheme="minorEastAsia" w:hAnsiTheme="minorHAnsi" w:cstheme="minorBidi"/>
              <w:noProof/>
              <w:lang w:eastAsia="en-AU"/>
            </w:rPr>
          </w:pPr>
          <w:hyperlink w:anchor="_Toc383680725" w:history="1">
            <w:r w:rsidR="00A500D5" w:rsidRPr="00A24F43">
              <w:rPr>
                <w:rStyle w:val="Hyperlink"/>
                <w:noProof/>
              </w:rPr>
              <w:t>First round benefit-risk assessment</w:t>
            </w:r>
            <w:r w:rsidR="00A500D5">
              <w:rPr>
                <w:noProof/>
                <w:webHidden/>
              </w:rPr>
              <w:tab/>
            </w:r>
            <w:r w:rsidR="00A500D5">
              <w:rPr>
                <w:noProof/>
                <w:webHidden/>
              </w:rPr>
              <w:fldChar w:fldCharType="begin"/>
            </w:r>
            <w:r w:rsidR="00A500D5">
              <w:rPr>
                <w:noProof/>
                <w:webHidden/>
              </w:rPr>
              <w:instrText xml:space="preserve"> PAGEREF _Toc383680725 \h </w:instrText>
            </w:r>
            <w:r w:rsidR="00A500D5">
              <w:rPr>
                <w:noProof/>
                <w:webHidden/>
              </w:rPr>
            </w:r>
            <w:r w:rsidR="00A500D5">
              <w:rPr>
                <w:noProof/>
                <w:webHidden/>
              </w:rPr>
              <w:fldChar w:fldCharType="separate"/>
            </w:r>
            <w:r w:rsidR="00A803EA">
              <w:rPr>
                <w:noProof/>
                <w:webHidden/>
              </w:rPr>
              <w:t>31</w:t>
            </w:r>
            <w:r w:rsidR="00A500D5">
              <w:rPr>
                <w:noProof/>
                <w:webHidden/>
              </w:rPr>
              <w:fldChar w:fldCharType="end"/>
            </w:r>
          </w:hyperlink>
        </w:p>
        <w:p w14:paraId="6418326E" w14:textId="6632FEAC" w:rsidR="00A500D5" w:rsidRDefault="00000000">
          <w:pPr>
            <w:pStyle w:val="TOC3"/>
            <w:rPr>
              <w:rFonts w:asciiTheme="minorHAnsi" w:eastAsiaTheme="minorEastAsia" w:hAnsiTheme="minorHAnsi" w:cstheme="minorBidi"/>
              <w:noProof/>
              <w:lang w:eastAsia="en-AU"/>
            </w:rPr>
          </w:pPr>
          <w:hyperlink w:anchor="_Toc383680726" w:history="1">
            <w:r w:rsidR="00A500D5" w:rsidRPr="00A24F43">
              <w:rPr>
                <w:rStyle w:val="Hyperlink"/>
                <w:noProof/>
              </w:rPr>
              <w:t>First round recommendation regarding authorisation</w:t>
            </w:r>
            <w:r w:rsidR="00A500D5">
              <w:rPr>
                <w:noProof/>
                <w:webHidden/>
              </w:rPr>
              <w:tab/>
            </w:r>
            <w:r w:rsidR="00A500D5">
              <w:rPr>
                <w:noProof/>
                <w:webHidden/>
              </w:rPr>
              <w:fldChar w:fldCharType="begin"/>
            </w:r>
            <w:r w:rsidR="00A500D5">
              <w:rPr>
                <w:noProof/>
                <w:webHidden/>
              </w:rPr>
              <w:instrText xml:space="preserve"> PAGEREF _Toc383680726 \h </w:instrText>
            </w:r>
            <w:r w:rsidR="00A500D5">
              <w:rPr>
                <w:noProof/>
                <w:webHidden/>
              </w:rPr>
            </w:r>
            <w:r w:rsidR="00A500D5">
              <w:rPr>
                <w:noProof/>
                <w:webHidden/>
              </w:rPr>
              <w:fldChar w:fldCharType="separate"/>
            </w:r>
            <w:r w:rsidR="00A803EA">
              <w:rPr>
                <w:noProof/>
                <w:webHidden/>
              </w:rPr>
              <w:t>32</w:t>
            </w:r>
            <w:r w:rsidR="00A500D5">
              <w:rPr>
                <w:noProof/>
                <w:webHidden/>
              </w:rPr>
              <w:fldChar w:fldCharType="end"/>
            </w:r>
          </w:hyperlink>
        </w:p>
        <w:p w14:paraId="0F539455" w14:textId="1EEB90B7" w:rsidR="00A500D5" w:rsidRDefault="00000000">
          <w:pPr>
            <w:pStyle w:val="TOC3"/>
            <w:rPr>
              <w:rFonts w:asciiTheme="minorHAnsi" w:eastAsiaTheme="minorEastAsia" w:hAnsiTheme="minorHAnsi" w:cstheme="minorBidi"/>
              <w:noProof/>
              <w:lang w:eastAsia="en-AU"/>
            </w:rPr>
          </w:pPr>
          <w:hyperlink w:anchor="_Toc383680727" w:history="1">
            <w:r w:rsidR="00A500D5" w:rsidRPr="00A24F43">
              <w:rPr>
                <w:rStyle w:val="Hyperlink"/>
                <w:noProof/>
              </w:rPr>
              <w:t>List of questions</w:t>
            </w:r>
            <w:r w:rsidR="00A500D5">
              <w:rPr>
                <w:noProof/>
                <w:webHidden/>
              </w:rPr>
              <w:tab/>
            </w:r>
            <w:r w:rsidR="00A500D5">
              <w:rPr>
                <w:noProof/>
                <w:webHidden/>
              </w:rPr>
              <w:fldChar w:fldCharType="begin"/>
            </w:r>
            <w:r w:rsidR="00A500D5">
              <w:rPr>
                <w:noProof/>
                <w:webHidden/>
              </w:rPr>
              <w:instrText xml:space="preserve"> PAGEREF _Toc383680727 \h </w:instrText>
            </w:r>
            <w:r w:rsidR="00A500D5">
              <w:rPr>
                <w:noProof/>
                <w:webHidden/>
              </w:rPr>
            </w:r>
            <w:r w:rsidR="00A500D5">
              <w:rPr>
                <w:noProof/>
                <w:webHidden/>
              </w:rPr>
              <w:fldChar w:fldCharType="separate"/>
            </w:r>
            <w:r w:rsidR="00A803EA">
              <w:rPr>
                <w:noProof/>
                <w:webHidden/>
              </w:rPr>
              <w:t>32</w:t>
            </w:r>
            <w:r w:rsidR="00A500D5">
              <w:rPr>
                <w:noProof/>
                <w:webHidden/>
              </w:rPr>
              <w:fldChar w:fldCharType="end"/>
            </w:r>
          </w:hyperlink>
        </w:p>
        <w:p w14:paraId="146E49B6" w14:textId="10E4762D" w:rsidR="00A500D5" w:rsidRDefault="00000000">
          <w:pPr>
            <w:pStyle w:val="TOC2"/>
            <w:rPr>
              <w:rFonts w:asciiTheme="minorHAnsi" w:eastAsiaTheme="minorEastAsia" w:hAnsiTheme="minorHAnsi" w:cstheme="minorBidi"/>
              <w:b w:val="0"/>
              <w:noProof/>
              <w:sz w:val="22"/>
              <w:lang w:eastAsia="en-AU"/>
            </w:rPr>
          </w:pPr>
          <w:hyperlink w:anchor="_Toc383680728" w:history="1">
            <w:r w:rsidR="00A500D5" w:rsidRPr="00A24F43">
              <w:rPr>
                <w:rStyle w:val="Hyperlink"/>
                <w:noProof/>
              </w:rPr>
              <w:t>V. Pharmacovigilance findings</w:t>
            </w:r>
            <w:r w:rsidR="00A500D5">
              <w:rPr>
                <w:noProof/>
                <w:webHidden/>
              </w:rPr>
              <w:tab/>
            </w:r>
            <w:r w:rsidR="00A500D5">
              <w:rPr>
                <w:noProof/>
                <w:webHidden/>
              </w:rPr>
              <w:fldChar w:fldCharType="begin"/>
            </w:r>
            <w:r w:rsidR="00A500D5">
              <w:rPr>
                <w:noProof/>
                <w:webHidden/>
              </w:rPr>
              <w:instrText xml:space="preserve"> PAGEREF _Toc383680728 \h </w:instrText>
            </w:r>
            <w:r w:rsidR="00A500D5">
              <w:rPr>
                <w:noProof/>
                <w:webHidden/>
              </w:rPr>
            </w:r>
            <w:r w:rsidR="00A500D5">
              <w:rPr>
                <w:noProof/>
                <w:webHidden/>
              </w:rPr>
              <w:fldChar w:fldCharType="separate"/>
            </w:r>
            <w:r w:rsidR="00A803EA">
              <w:rPr>
                <w:noProof/>
                <w:webHidden/>
              </w:rPr>
              <w:t>32</w:t>
            </w:r>
            <w:r w:rsidR="00A500D5">
              <w:rPr>
                <w:noProof/>
                <w:webHidden/>
              </w:rPr>
              <w:fldChar w:fldCharType="end"/>
            </w:r>
          </w:hyperlink>
        </w:p>
        <w:p w14:paraId="660E93DF" w14:textId="4B8FAE30" w:rsidR="00A500D5" w:rsidRDefault="00000000">
          <w:pPr>
            <w:pStyle w:val="TOC3"/>
            <w:rPr>
              <w:rFonts w:asciiTheme="minorHAnsi" w:eastAsiaTheme="minorEastAsia" w:hAnsiTheme="minorHAnsi" w:cstheme="minorBidi"/>
              <w:noProof/>
              <w:lang w:eastAsia="en-AU"/>
            </w:rPr>
          </w:pPr>
          <w:hyperlink w:anchor="_Toc383680729" w:history="1">
            <w:r w:rsidR="00A500D5" w:rsidRPr="00A24F43">
              <w:rPr>
                <w:rStyle w:val="Hyperlink"/>
                <w:noProof/>
                <w:lang w:eastAsia="en-AU"/>
              </w:rPr>
              <w:t>Risk management plan</w:t>
            </w:r>
            <w:r w:rsidR="00A500D5">
              <w:rPr>
                <w:noProof/>
                <w:webHidden/>
              </w:rPr>
              <w:tab/>
            </w:r>
            <w:r w:rsidR="00A500D5">
              <w:rPr>
                <w:noProof/>
                <w:webHidden/>
              </w:rPr>
              <w:fldChar w:fldCharType="begin"/>
            </w:r>
            <w:r w:rsidR="00A500D5">
              <w:rPr>
                <w:noProof/>
                <w:webHidden/>
              </w:rPr>
              <w:instrText xml:space="preserve"> PAGEREF _Toc383680729 \h </w:instrText>
            </w:r>
            <w:r w:rsidR="00A500D5">
              <w:rPr>
                <w:noProof/>
                <w:webHidden/>
              </w:rPr>
            </w:r>
            <w:r w:rsidR="00A500D5">
              <w:rPr>
                <w:noProof/>
                <w:webHidden/>
              </w:rPr>
              <w:fldChar w:fldCharType="separate"/>
            </w:r>
            <w:r w:rsidR="00A803EA">
              <w:rPr>
                <w:noProof/>
                <w:webHidden/>
              </w:rPr>
              <w:t>32</w:t>
            </w:r>
            <w:r w:rsidR="00A500D5">
              <w:rPr>
                <w:noProof/>
                <w:webHidden/>
              </w:rPr>
              <w:fldChar w:fldCharType="end"/>
            </w:r>
          </w:hyperlink>
        </w:p>
        <w:p w14:paraId="584BBA29" w14:textId="245851B1" w:rsidR="00A500D5" w:rsidRDefault="00000000">
          <w:pPr>
            <w:pStyle w:val="TOC3"/>
            <w:rPr>
              <w:rFonts w:asciiTheme="minorHAnsi" w:eastAsiaTheme="minorEastAsia" w:hAnsiTheme="minorHAnsi" w:cstheme="minorBidi"/>
              <w:noProof/>
              <w:lang w:eastAsia="en-AU"/>
            </w:rPr>
          </w:pPr>
          <w:hyperlink w:anchor="_Toc383680730" w:history="1">
            <w:r w:rsidR="00A500D5" w:rsidRPr="00A24F43">
              <w:rPr>
                <w:rStyle w:val="Hyperlink"/>
                <w:noProof/>
              </w:rPr>
              <w:t>Safety specification</w:t>
            </w:r>
            <w:r w:rsidR="00A500D5">
              <w:rPr>
                <w:noProof/>
                <w:webHidden/>
              </w:rPr>
              <w:tab/>
            </w:r>
            <w:r w:rsidR="00A500D5">
              <w:rPr>
                <w:noProof/>
                <w:webHidden/>
              </w:rPr>
              <w:fldChar w:fldCharType="begin"/>
            </w:r>
            <w:r w:rsidR="00A500D5">
              <w:rPr>
                <w:noProof/>
                <w:webHidden/>
              </w:rPr>
              <w:instrText xml:space="preserve"> PAGEREF _Toc383680730 \h </w:instrText>
            </w:r>
            <w:r w:rsidR="00A500D5">
              <w:rPr>
                <w:noProof/>
                <w:webHidden/>
              </w:rPr>
            </w:r>
            <w:r w:rsidR="00A500D5">
              <w:rPr>
                <w:noProof/>
                <w:webHidden/>
              </w:rPr>
              <w:fldChar w:fldCharType="separate"/>
            </w:r>
            <w:r w:rsidR="00A803EA">
              <w:rPr>
                <w:noProof/>
                <w:webHidden/>
              </w:rPr>
              <w:t>33</w:t>
            </w:r>
            <w:r w:rsidR="00A500D5">
              <w:rPr>
                <w:noProof/>
                <w:webHidden/>
              </w:rPr>
              <w:fldChar w:fldCharType="end"/>
            </w:r>
          </w:hyperlink>
        </w:p>
        <w:p w14:paraId="6C31A32A" w14:textId="78FEDB33" w:rsidR="00A500D5" w:rsidRDefault="00000000">
          <w:pPr>
            <w:pStyle w:val="TOC3"/>
            <w:rPr>
              <w:rFonts w:asciiTheme="minorHAnsi" w:eastAsiaTheme="minorEastAsia" w:hAnsiTheme="minorHAnsi" w:cstheme="minorBidi"/>
              <w:noProof/>
              <w:lang w:eastAsia="en-AU"/>
            </w:rPr>
          </w:pPr>
          <w:hyperlink w:anchor="_Toc383680731" w:history="1">
            <w:r w:rsidR="00A500D5" w:rsidRPr="00A24F43">
              <w:rPr>
                <w:rStyle w:val="Hyperlink"/>
                <w:noProof/>
                <w:lang w:eastAsia="en-AU"/>
              </w:rPr>
              <w:t>Pharmacovigilance plan</w:t>
            </w:r>
            <w:r w:rsidR="00A500D5">
              <w:rPr>
                <w:noProof/>
                <w:webHidden/>
              </w:rPr>
              <w:tab/>
            </w:r>
            <w:r w:rsidR="00A500D5">
              <w:rPr>
                <w:noProof/>
                <w:webHidden/>
              </w:rPr>
              <w:fldChar w:fldCharType="begin"/>
            </w:r>
            <w:r w:rsidR="00A500D5">
              <w:rPr>
                <w:noProof/>
                <w:webHidden/>
              </w:rPr>
              <w:instrText xml:space="preserve"> PAGEREF _Toc383680731 \h </w:instrText>
            </w:r>
            <w:r w:rsidR="00A500D5">
              <w:rPr>
                <w:noProof/>
                <w:webHidden/>
              </w:rPr>
            </w:r>
            <w:r w:rsidR="00A500D5">
              <w:rPr>
                <w:noProof/>
                <w:webHidden/>
              </w:rPr>
              <w:fldChar w:fldCharType="separate"/>
            </w:r>
            <w:r w:rsidR="00A803EA">
              <w:rPr>
                <w:noProof/>
                <w:webHidden/>
              </w:rPr>
              <w:t>33</w:t>
            </w:r>
            <w:r w:rsidR="00A500D5">
              <w:rPr>
                <w:noProof/>
                <w:webHidden/>
              </w:rPr>
              <w:fldChar w:fldCharType="end"/>
            </w:r>
          </w:hyperlink>
        </w:p>
        <w:p w14:paraId="474D6E28" w14:textId="0F47D8FE" w:rsidR="00A500D5" w:rsidRDefault="00000000">
          <w:pPr>
            <w:pStyle w:val="TOC3"/>
            <w:rPr>
              <w:rFonts w:asciiTheme="minorHAnsi" w:eastAsiaTheme="minorEastAsia" w:hAnsiTheme="minorHAnsi" w:cstheme="minorBidi"/>
              <w:noProof/>
              <w:lang w:eastAsia="en-AU"/>
            </w:rPr>
          </w:pPr>
          <w:hyperlink w:anchor="_Toc383680732" w:history="1">
            <w:r w:rsidR="00A500D5" w:rsidRPr="00A24F43">
              <w:rPr>
                <w:rStyle w:val="Hyperlink"/>
                <w:noProof/>
                <w:lang w:eastAsia="en-AU"/>
              </w:rPr>
              <w:t>Risk minimisation activities</w:t>
            </w:r>
            <w:r w:rsidR="00A500D5">
              <w:rPr>
                <w:noProof/>
                <w:webHidden/>
              </w:rPr>
              <w:tab/>
            </w:r>
            <w:r w:rsidR="00A500D5">
              <w:rPr>
                <w:noProof/>
                <w:webHidden/>
              </w:rPr>
              <w:fldChar w:fldCharType="begin"/>
            </w:r>
            <w:r w:rsidR="00A500D5">
              <w:rPr>
                <w:noProof/>
                <w:webHidden/>
              </w:rPr>
              <w:instrText xml:space="preserve"> PAGEREF _Toc383680732 \h </w:instrText>
            </w:r>
            <w:r w:rsidR="00A500D5">
              <w:rPr>
                <w:noProof/>
                <w:webHidden/>
              </w:rPr>
            </w:r>
            <w:r w:rsidR="00A500D5">
              <w:rPr>
                <w:noProof/>
                <w:webHidden/>
              </w:rPr>
              <w:fldChar w:fldCharType="separate"/>
            </w:r>
            <w:r w:rsidR="00A803EA">
              <w:rPr>
                <w:noProof/>
                <w:webHidden/>
              </w:rPr>
              <w:t>34</w:t>
            </w:r>
            <w:r w:rsidR="00A500D5">
              <w:rPr>
                <w:noProof/>
                <w:webHidden/>
              </w:rPr>
              <w:fldChar w:fldCharType="end"/>
            </w:r>
          </w:hyperlink>
        </w:p>
        <w:p w14:paraId="0087BD97" w14:textId="39F98911" w:rsidR="00A500D5" w:rsidRDefault="00000000">
          <w:pPr>
            <w:pStyle w:val="TOC3"/>
            <w:rPr>
              <w:rFonts w:asciiTheme="minorHAnsi" w:eastAsiaTheme="minorEastAsia" w:hAnsiTheme="minorHAnsi" w:cstheme="minorBidi"/>
              <w:noProof/>
              <w:lang w:eastAsia="en-AU"/>
            </w:rPr>
          </w:pPr>
          <w:hyperlink w:anchor="_Toc383680733" w:history="1">
            <w:r w:rsidR="00A500D5" w:rsidRPr="00A24F43">
              <w:rPr>
                <w:rStyle w:val="Hyperlink"/>
                <w:noProof/>
              </w:rPr>
              <w:t>Risk minimisation plan</w:t>
            </w:r>
            <w:r w:rsidR="00A500D5">
              <w:rPr>
                <w:noProof/>
                <w:webHidden/>
              </w:rPr>
              <w:tab/>
            </w:r>
            <w:r w:rsidR="00A500D5">
              <w:rPr>
                <w:noProof/>
                <w:webHidden/>
              </w:rPr>
              <w:fldChar w:fldCharType="begin"/>
            </w:r>
            <w:r w:rsidR="00A500D5">
              <w:rPr>
                <w:noProof/>
                <w:webHidden/>
              </w:rPr>
              <w:instrText xml:space="preserve"> PAGEREF _Toc383680733 \h </w:instrText>
            </w:r>
            <w:r w:rsidR="00A500D5">
              <w:rPr>
                <w:noProof/>
                <w:webHidden/>
              </w:rPr>
            </w:r>
            <w:r w:rsidR="00A500D5">
              <w:rPr>
                <w:noProof/>
                <w:webHidden/>
              </w:rPr>
              <w:fldChar w:fldCharType="separate"/>
            </w:r>
            <w:r w:rsidR="00A803EA">
              <w:rPr>
                <w:noProof/>
                <w:webHidden/>
              </w:rPr>
              <w:t>35</w:t>
            </w:r>
            <w:r w:rsidR="00A500D5">
              <w:rPr>
                <w:noProof/>
                <w:webHidden/>
              </w:rPr>
              <w:fldChar w:fldCharType="end"/>
            </w:r>
          </w:hyperlink>
        </w:p>
        <w:p w14:paraId="72810126" w14:textId="2C938461" w:rsidR="00A500D5" w:rsidRDefault="00000000">
          <w:pPr>
            <w:pStyle w:val="TOC3"/>
            <w:rPr>
              <w:rFonts w:asciiTheme="minorHAnsi" w:eastAsiaTheme="minorEastAsia" w:hAnsiTheme="minorHAnsi" w:cstheme="minorBidi"/>
              <w:noProof/>
              <w:lang w:eastAsia="en-AU"/>
            </w:rPr>
          </w:pPr>
          <w:hyperlink w:anchor="_Toc383680734" w:history="1">
            <w:r w:rsidR="00A500D5" w:rsidRPr="00A24F43">
              <w:rPr>
                <w:rStyle w:val="Hyperlink"/>
                <w:noProof/>
              </w:rPr>
              <w:t>Summary of recommendations</w:t>
            </w:r>
            <w:r w:rsidR="00A500D5">
              <w:rPr>
                <w:noProof/>
                <w:webHidden/>
              </w:rPr>
              <w:tab/>
            </w:r>
            <w:r w:rsidR="00A500D5">
              <w:rPr>
                <w:noProof/>
                <w:webHidden/>
              </w:rPr>
              <w:fldChar w:fldCharType="begin"/>
            </w:r>
            <w:r w:rsidR="00A500D5">
              <w:rPr>
                <w:noProof/>
                <w:webHidden/>
              </w:rPr>
              <w:instrText xml:space="preserve"> PAGEREF _Toc383680734 \h </w:instrText>
            </w:r>
            <w:r w:rsidR="00A500D5">
              <w:rPr>
                <w:noProof/>
                <w:webHidden/>
              </w:rPr>
            </w:r>
            <w:r w:rsidR="00A500D5">
              <w:rPr>
                <w:noProof/>
                <w:webHidden/>
              </w:rPr>
              <w:fldChar w:fldCharType="separate"/>
            </w:r>
            <w:r w:rsidR="00A803EA">
              <w:rPr>
                <w:noProof/>
                <w:webHidden/>
              </w:rPr>
              <w:t>36</w:t>
            </w:r>
            <w:r w:rsidR="00A500D5">
              <w:rPr>
                <w:noProof/>
                <w:webHidden/>
              </w:rPr>
              <w:fldChar w:fldCharType="end"/>
            </w:r>
          </w:hyperlink>
        </w:p>
        <w:p w14:paraId="5A1610F4" w14:textId="67CD9984" w:rsidR="00A500D5" w:rsidRDefault="00000000">
          <w:pPr>
            <w:pStyle w:val="TOC2"/>
            <w:rPr>
              <w:rFonts w:asciiTheme="minorHAnsi" w:eastAsiaTheme="minorEastAsia" w:hAnsiTheme="minorHAnsi" w:cstheme="minorBidi"/>
              <w:b w:val="0"/>
              <w:noProof/>
              <w:sz w:val="22"/>
              <w:lang w:eastAsia="en-AU"/>
            </w:rPr>
          </w:pPr>
          <w:hyperlink w:anchor="_Toc383680735" w:history="1">
            <w:r w:rsidR="00A500D5" w:rsidRPr="00A24F43">
              <w:rPr>
                <w:rStyle w:val="Hyperlink"/>
                <w:noProof/>
              </w:rPr>
              <w:t>VI. Overall conclusion and risk/benefit assessment</w:t>
            </w:r>
            <w:r w:rsidR="00A500D5">
              <w:rPr>
                <w:noProof/>
                <w:webHidden/>
              </w:rPr>
              <w:tab/>
            </w:r>
            <w:r w:rsidR="00A500D5">
              <w:rPr>
                <w:noProof/>
                <w:webHidden/>
              </w:rPr>
              <w:fldChar w:fldCharType="begin"/>
            </w:r>
            <w:r w:rsidR="00A500D5">
              <w:rPr>
                <w:noProof/>
                <w:webHidden/>
              </w:rPr>
              <w:instrText xml:space="preserve"> PAGEREF _Toc383680735 \h </w:instrText>
            </w:r>
            <w:r w:rsidR="00A500D5">
              <w:rPr>
                <w:noProof/>
                <w:webHidden/>
              </w:rPr>
            </w:r>
            <w:r w:rsidR="00A500D5">
              <w:rPr>
                <w:noProof/>
                <w:webHidden/>
              </w:rPr>
              <w:fldChar w:fldCharType="separate"/>
            </w:r>
            <w:r w:rsidR="00A803EA">
              <w:rPr>
                <w:noProof/>
                <w:webHidden/>
              </w:rPr>
              <w:t>38</w:t>
            </w:r>
            <w:r w:rsidR="00A500D5">
              <w:rPr>
                <w:noProof/>
                <w:webHidden/>
              </w:rPr>
              <w:fldChar w:fldCharType="end"/>
            </w:r>
          </w:hyperlink>
        </w:p>
        <w:p w14:paraId="1B9559A7" w14:textId="40D7A9B3" w:rsidR="00A500D5" w:rsidRDefault="00000000">
          <w:pPr>
            <w:pStyle w:val="TOC3"/>
            <w:rPr>
              <w:rFonts w:asciiTheme="minorHAnsi" w:eastAsiaTheme="minorEastAsia" w:hAnsiTheme="minorHAnsi" w:cstheme="minorBidi"/>
              <w:noProof/>
              <w:lang w:eastAsia="en-AU"/>
            </w:rPr>
          </w:pPr>
          <w:hyperlink w:anchor="_Toc383680736" w:history="1">
            <w:r w:rsidR="00A500D5" w:rsidRPr="00A24F43">
              <w:rPr>
                <w:rStyle w:val="Hyperlink"/>
                <w:noProof/>
              </w:rPr>
              <w:t>Quality</w:t>
            </w:r>
            <w:r w:rsidR="00A500D5">
              <w:rPr>
                <w:noProof/>
                <w:webHidden/>
              </w:rPr>
              <w:tab/>
            </w:r>
            <w:r w:rsidR="00A500D5">
              <w:rPr>
                <w:noProof/>
                <w:webHidden/>
              </w:rPr>
              <w:fldChar w:fldCharType="begin"/>
            </w:r>
            <w:r w:rsidR="00A500D5">
              <w:rPr>
                <w:noProof/>
                <w:webHidden/>
              </w:rPr>
              <w:instrText xml:space="preserve"> PAGEREF _Toc383680736 \h </w:instrText>
            </w:r>
            <w:r w:rsidR="00A500D5">
              <w:rPr>
                <w:noProof/>
                <w:webHidden/>
              </w:rPr>
            </w:r>
            <w:r w:rsidR="00A500D5">
              <w:rPr>
                <w:noProof/>
                <w:webHidden/>
              </w:rPr>
              <w:fldChar w:fldCharType="separate"/>
            </w:r>
            <w:r w:rsidR="00A803EA">
              <w:rPr>
                <w:noProof/>
                <w:webHidden/>
              </w:rPr>
              <w:t>38</w:t>
            </w:r>
            <w:r w:rsidR="00A500D5">
              <w:rPr>
                <w:noProof/>
                <w:webHidden/>
              </w:rPr>
              <w:fldChar w:fldCharType="end"/>
            </w:r>
          </w:hyperlink>
        </w:p>
        <w:p w14:paraId="4B9D1C8E" w14:textId="15C7D159" w:rsidR="00A500D5" w:rsidRDefault="00000000">
          <w:pPr>
            <w:pStyle w:val="TOC3"/>
            <w:rPr>
              <w:rFonts w:asciiTheme="minorHAnsi" w:eastAsiaTheme="minorEastAsia" w:hAnsiTheme="minorHAnsi" w:cstheme="minorBidi"/>
              <w:noProof/>
              <w:lang w:eastAsia="en-AU"/>
            </w:rPr>
          </w:pPr>
          <w:hyperlink w:anchor="_Toc383680737" w:history="1">
            <w:r w:rsidR="00A500D5" w:rsidRPr="00A24F43">
              <w:rPr>
                <w:rStyle w:val="Hyperlink"/>
                <w:rFonts w:eastAsiaTheme="minorHAnsi"/>
                <w:noProof/>
              </w:rPr>
              <w:t>Nonclinical evaluation</w:t>
            </w:r>
            <w:r w:rsidR="00A500D5">
              <w:rPr>
                <w:noProof/>
                <w:webHidden/>
              </w:rPr>
              <w:tab/>
            </w:r>
            <w:r w:rsidR="00A500D5">
              <w:rPr>
                <w:noProof/>
                <w:webHidden/>
              </w:rPr>
              <w:fldChar w:fldCharType="begin"/>
            </w:r>
            <w:r w:rsidR="00A500D5">
              <w:rPr>
                <w:noProof/>
                <w:webHidden/>
              </w:rPr>
              <w:instrText xml:space="preserve"> PAGEREF _Toc383680737 \h </w:instrText>
            </w:r>
            <w:r w:rsidR="00A500D5">
              <w:rPr>
                <w:noProof/>
                <w:webHidden/>
              </w:rPr>
            </w:r>
            <w:r w:rsidR="00A500D5">
              <w:rPr>
                <w:noProof/>
                <w:webHidden/>
              </w:rPr>
              <w:fldChar w:fldCharType="separate"/>
            </w:r>
            <w:r w:rsidR="00A803EA">
              <w:rPr>
                <w:noProof/>
                <w:webHidden/>
              </w:rPr>
              <w:t>39</w:t>
            </w:r>
            <w:r w:rsidR="00A500D5">
              <w:rPr>
                <w:noProof/>
                <w:webHidden/>
              </w:rPr>
              <w:fldChar w:fldCharType="end"/>
            </w:r>
          </w:hyperlink>
        </w:p>
        <w:p w14:paraId="655D58F6" w14:textId="5F7A911E" w:rsidR="00A500D5" w:rsidRDefault="00000000">
          <w:pPr>
            <w:pStyle w:val="TOC3"/>
            <w:rPr>
              <w:rFonts w:asciiTheme="minorHAnsi" w:eastAsiaTheme="minorEastAsia" w:hAnsiTheme="minorHAnsi" w:cstheme="minorBidi"/>
              <w:noProof/>
              <w:lang w:eastAsia="en-AU"/>
            </w:rPr>
          </w:pPr>
          <w:hyperlink w:anchor="_Toc383680738" w:history="1">
            <w:r w:rsidR="00A500D5" w:rsidRPr="00A24F43">
              <w:rPr>
                <w:rStyle w:val="Hyperlink"/>
                <w:noProof/>
              </w:rPr>
              <w:t>Clinical</w:t>
            </w:r>
            <w:r w:rsidR="00A500D5">
              <w:rPr>
                <w:noProof/>
                <w:webHidden/>
              </w:rPr>
              <w:tab/>
            </w:r>
            <w:r w:rsidR="00A500D5">
              <w:rPr>
                <w:noProof/>
                <w:webHidden/>
              </w:rPr>
              <w:fldChar w:fldCharType="begin"/>
            </w:r>
            <w:r w:rsidR="00A500D5">
              <w:rPr>
                <w:noProof/>
                <w:webHidden/>
              </w:rPr>
              <w:instrText xml:space="preserve"> PAGEREF _Toc383680738 \h </w:instrText>
            </w:r>
            <w:r w:rsidR="00A500D5">
              <w:rPr>
                <w:noProof/>
                <w:webHidden/>
              </w:rPr>
            </w:r>
            <w:r w:rsidR="00A500D5">
              <w:rPr>
                <w:noProof/>
                <w:webHidden/>
              </w:rPr>
              <w:fldChar w:fldCharType="separate"/>
            </w:r>
            <w:r w:rsidR="00A803EA">
              <w:rPr>
                <w:noProof/>
                <w:webHidden/>
              </w:rPr>
              <w:t>39</w:t>
            </w:r>
            <w:r w:rsidR="00A500D5">
              <w:rPr>
                <w:noProof/>
                <w:webHidden/>
              </w:rPr>
              <w:fldChar w:fldCharType="end"/>
            </w:r>
          </w:hyperlink>
        </w:p>
        <w:p w14:paraId="492ACC5A" w14:textId="2BD3DB86" w:rsidR="00A500D5" w:rsidRDefault="00000000">
          <w:pPr>
            <w:pStyle w:val="TOC3"/>
            <w:rPr>
              <w:rFonts w:asciiTheme="minorHAnsi" w:eastAsiaTheme="minorEastAsia" w:hAnsiTheme="minorHAnsi" w:cstheme="minorBidi"/>
              <w:noProof/>
              <w:lang w:eastAsia="en-AU"/>
            </w:rPr>
          </w:pPr>
          <w:hyperlink w:anchor="_Toc383680739" w:history="1">
            <w:r w:rsidR="00A500D5" w:rsidRPr="00A24F43">
              <w:rPr>
                <w:rStyle w:val="Hyperlink"/>
                <w:rFonts w:eastAsiaTheme="minorHAnsi"/>
                <w:noProof/>
              </w:rPr>
              <w:t>Risk Management Plan</w:t>
            </w:r>
            <w:r w:rsidR="00A500D5">
              <w:rPr>
                <w:noProof/>
                <w:webHidden/>
              </w:rPr>
              <w:tab/>
            </w:r>
            <w:r w:rsidR="00A500D5">
              <w:rPr>
                <w:noProof/>
                <w:webHidden/>
              </w:rPr>
              <w:fldChar w:fldCharType="begin"/>
            </w:r>
            <w:r w:rsidR="00A500D5">
              <w:rPr>
                <w:noProof/>
                <w:webHidden/>
              </w:rPr>
              <w:instrText xml:space="preserve"> PAGEREF _Toc383680739 \h </w:instrText>
            </w:r>
            <w:r w:rsidR="00A500D5">
              <w:rPr>
                <w:noProof/>
                <w:webHidden/>
              </w:rPr>
            </w:r>
            <w:r w:rsidR="00A500D5">
              <w:rPr>
                <w:noProof/>
                <w:webHidden/>
              </w:rPr>
              <w:fldChar w:fldCharType="separate"/>
            </w:r>
            <w:r w:rsidR="00A803EA">
              <w:rPr>
                <w:noProof/>
                <w:webHidden/>
              </w:rPr>
              <w:t>44</w:t>
            </w:r>
            <w:r w:rsidR="00A500D5">
              <w:rPr>
                <w:noProof/>
                <w:webHidden/>
              </w:rPr>
              <w:fldChar w:fldCharType="end"/>
            </w:r>
          </w:hyperlink>
        </w:p>
        <w:p w14:paraId="09EE839F" w14:textId="1048EACD" w:rsidR="00A500D5" w:rsidRDefault="00000000">
          <w:pPr>
            <w:pStyle w:val="TOC3"/>
            <w:rPr>
              <w:rFonts w:asciiTheme="minorHAnsi" w:eastAsiaTheme="minorEastAsia" w:hAnsiTheme="minorHAnsi" w:cstheme="minorBidi"/>
              <w:noProof/>
              <w:lang w:eastAsia="en-AU"/>
            </w:rPr>
          </w:pPr>
          <w:hyperlink w:anchor="_Toc383680740" w:history="1">
            <w:r w:rsidR="00A500D5" w:rsidRPr="00A24F43">
              <w:rPr>
                <w:rStyle w:val="Hyperlink"/>
                <w:noProof/>
              </w:rPr>
              <w:t>Delegate considerations</w:t>
            </w:r>
            <w:r w:rsidR="00A500D5">
              <w:rPr>
                <w:noProof/>
                <w:webHidden/>
              </w:rPr>
              <w:tab/>
            </w:r>
            <w:r w:rsidR="00A500D5">
              <w:rPr>
                <w:noProof/>
                <w:webHidden/>
              </w:rPr>
              <w:fldChar w:fldCharType="begin"/>
            </w:r>
            <w:r w:rsidR="00A500D5">
              <w:rPr>
                <w:noProof/>
                <w:webHidden/>
              </w:rPr>
              <w:instrText xml:space="preserve"> PAGEREF _Toc383680740 \h </w:instrText>
            </w:r>
            <w:r w:rsidR="00A500D5">
              <w:rPr>
                <w:noProof/>
                <w:webHidden/>
              </w:rPr>
            </w:r>
            <w:r w:rsidR="00A500D5">
              <w:rPr>
                <w:noProof/>
                <w:webHidden/>
              </w:rPr>
              <w:fldChar w:fldCharType="separate"/>
            </w:r>
            <w:r w:rsidR="00A803EA">
              <w:rPr>
                <w:noProof/>
                <w:webHidden/>
              </w:rPr>
              <w:t>44</w:t>
            </w:r>
            <w:r w:rsidR="00A500D5">
              <w:rPr>
                <w:noProof/>
                <w:webHidden/>
              </w:rPr>
              <w:fldChar w:fldCharType="end"/>
            </w:r>
          </w:hyperlink>
        </w:p>
        <w:p w14:paraId="1E3C25F5" w14:textId="22AF345C" w:rsidR="00A500D5" w:rsidRDefault="00000000">
          <w:pPr>
            <w:pStyle w:val="TOC3"/>
            <w:rPr>
              <w:rFonts w:asciiTheme="minorHAnsi" w:eastAsiaTheme="minorEastAsia" w:hAnsiTheme="minorHAnsi" w:cstheme="minorBidi"/>
              <w:noProof/>
              <w:lang w:eastAsia="en-AU"/>
            </w:rPr>
          </w:pPr>
          <w:hyperlink w:anchor="_Toc383680741" w:history="1">
            <w:r w:rsidR="00A500D5" w:rsidRPr="00A24F43">
              <w:rPr>
                <w:rStyle w:val="Hyperlink"/>
                <w:rFonts w:eastAsiaTheme="minorHAnsi"/>
                <w:noProof/>
              </w:rPr>
              <w:t>Proposed Action</w:t>
            </w:r>
            <w:r w:rsidR="00A500D5">
              <w:rPr>
                <w:noProof/>
                <w:webHidden/>
              </w:rPr>
              <w:tab/>
            </w:r>
            <w:r w:rsidR="00A500D5">
              <w:rPr>
                <w:noProof/>
                <w:webHidden/>
              </w:rPr>
              <w:fldChar w:fldCharType="begin"/>
            </w:r>
            <w:r w:rsidR="00A500D5">
              <w:rPr>
                <w:noProof/>
                <w:webHidden/>
              </w:rPr>
              <w:instrText xml:space="preserve"> PAGEREF _Toc383680741 \h </w:instrText>
            </w:r>
            <w:r w:rsidR="00A500D5">
              <w:rPr>
                <w:noProof/>
                <w:webHidden/>
              </w:rPr>
            </w:r>
            <w:r w:rsidR="00A500D5">
              <w:rPr>
                <w:noProof/>
                <w:webHidden/>
              </w:rPr>
              <w:fldChar w:fldCharType="separate"/>
            </w:r>
            <w:r w:rsidR="00A803EA">
              <w:rPr>
                <w:noProof/>
                <w:webHidden/>
              </w:rPr>
              <w:t>44</w:t>
            </w:r>
            <w:r w:rsidR="00A500D5">
              <w:rPr>
                <w:noProof/>
                <w:webHidden/>
              </w:rPr>
              <w:fldChar w:fldCharType="end"/>
            </w:r>
          </w:hyperlink>
        </w:p>
        <w:p w14:paraId="0488EE84" w14:textId="48712C71" w:rsidR="00A500D5" w:rsidRDefault="00000000">
          <w:pPr>
            <w:pStyle w:val="TOC3"/>
            <w:rPr>
              <w:rFonts w:asciiTheme="minorHAnsi" w:eastAsiaTheme="minorEastAsia" w:hAnsiTheme="minorHAnsi" w:cstheme="minorBidi"/>
              <w:noProof/>
              <w:lang w:eastAsia="en-AU"/>
            </w:rPr>
          </w:pPr>
          <w:hyperlink w:anchor="_Toc383680742" w:history="1">
            <w:r w:rsidR="00A500D5" w:rsidRPr="00A24F43">
              <w:rPr>
                <w:rStyle w:val="Hyperlink"/>
                <w:noProof/>
              </w:rPr>
              <w:t>Response from Sponsor</w:t>
            </w:r>
            <w:r w:rsidR="00A500D5">
              <w:rPr>
                <w:noProof/>
                <w:webHidden/>
              </w:rPr>
              <w:tab/>
            </w:r>
            <w:r w:rsidR="00A500D5">
              <w:rPr>
                <w:noProof/>
                <w:webHidden/>
              </w:rPr>
              <w:fldChar w:fldCharType="begin"/>
            </w:r>
            <w:r w:rsidR="00A500D5">
              <w:rPr>
                <w:noProof/>
                <w:webHidden/>
              </w:rPr>
              <w:instrText xml:space="preserve"> PAGEREF _Toc383680742 \h </w:instrText>
            </w:r>
            <w:r w:rsidR="00A500D5">
              <w:rPr>
                <w:noProof/>
                <w:webHidden/>
              </w:rPr>
            </w:r>
            <w:r w:rsidR="00A500D5">
              <w:rPr>
                <w:noProof/>
                <w:webHidden/>
              </w:rPr>
              <w:fldChar w:fldCharType="separate"/>
            </w:r>
            <w:r w:rsidR="00A803EA">
              <w:rPr>
                <w:noProof/>
                <w:webHidden/>
              </w:rPr>
              <w:t>45</w:t>
            </w:r>
            <w:r w:rsidR="00A500D5">
              <w:rPr>
                <w:noProof/>
                <w:webHidden/>
              </w:rPr>
              <w:fldChar w:fldCharType="end"/>
            </w:r>
          </w:hyperlink>
        </w:p>
        <w:p w14:paraId="1432EE82" w14:textId="25E80F65" w:rsidR="00A500D5" w:rsidRDefault="00000000">
          <w:pPr>
            <w:pStyle w:val="TOC2"/>
            <w:rPr>
              <w:rFonts w:asciiTheme="minorHAnsi" w:eastAsiaTheme="minorEastAsia" w:hAnsiTheme="minorHAnsi" w:cstheme="minorBidi"/>
              <w:b w:val="0"/>
              <w:noProof/>
              <w:sz w:val="22"/>
              <w:lang w:eastAsia="en-AU"/>
            </w:rPr>
          </w:pPr>
          <w:hyperlink w:anchor="_Toc383680743" w:history="1">
            <w:r w:rsidR="00A500D5" w:rsidRPr="00A24F43">
              <w:rPr>
                <w:rStyle w:val="Hyperlink"/>
                <w:noProof/>
              </w:rPr>
              <w:t>Attachment 1: Product Information</w:t>
            </w:r>
            <w:r w:rsidR="00A500D5">
              <w:rPr>
                <w:noProof/>
                <w:webHidden/>
              </w:rPr>
              <w:tab/>
            </w:r>
            <w:r w:rsidR="00A500D5">
              <w:rPr>
                <w:noProof/>
                <w:webHidden/>
              </w:rPr>
              <w:fldChar w:fldCharType="begin"/>
            </w:r>
            <w:r w:rsidR="00A500D5">
              <w:rPr>
                <w:noProof/>
                <w:webHidden/>
              </w:rPr>
              <w:instrText xml:space="preserve"> PAGEREF _Toc383680743 \h </w:instrText>
            </w:r>
            <w:r w:rsidR="00A500D5">
              <w:rPr>
                <w:noProof/>
                <w:webHidden/>
              </w:rPr>
            </w:r>
            <w:r w:rsidR="00A500D5">
              <w:rPr>
                <w:noProof/>
                <w:webHidden/>
              </w:rPr>
              <w:fldChar w:fldCharType="separate"/>
            </w:r>
            <w:r w:rsidR="00A803EA">
              <w:rPr>
                <w:noProof/>
                <w:webHidden/>
              </w:rPr>
              <w:t>52</w:t>
            </w:r>
            <w:r w:rsidR="00A500D5">
              <w:rPr>
                <w:noProof/>
                <w:webHidden/>
              </w:rPr>
              <w:fldChar w:fldCharType="end"/>
            </w:r>
          </w:hyperlink>
        </w:p>
        <w:p w14:paraId="00F4BFAE" w14:textId="600967F6" w:rsidR="00A500D5" w:rsidRDefault="00000000">
          <w:pPr>
            <w:pStyle w:val="TOC2"/>
            <w:rPr>
              <w:rFonts w:asciiTheme="minorHAnsi" w:eastAsiaTheme="minorEastAsia" w:hAnsiTheme="minorHAnsi" w:cstheme="minorBidi"/>
              <w:b w:val="0"/>
              <w:noProof/>
              <w:sz w:val="22"/>
              <w:lang w:eastAsia="en-AU"/>
            </w:rPr>
          </w:pPr>
          <w:hyperlink w:anchor="_Toc383680744" w:history="1">
            <w:r w:rsidR="00A500D5" w:rsidRPr="00A24F43">
              <w:rPr>
                <w:rStyle w:val="Hyperlink"/>
                <w:noProof/>
                <w:lang w:eastAsia="en-AU"/>
              </w:rPr>
              <w:t>Attachment 2: Extract from the Clinical Evaluation Report</w:t>
            </w:r>
            <w:r w:rsidR="00A500D5">
              <w:rPr>
                <w:noProof/>
                <w:webHidden/>
              </w:rPr>
              <w:tab/>
            </w:r>
            <w:r w:rsidR="00A500D5">
              <w:rPr>
                <w:noProof/>
                <w:webHidden/>
              </w:rPr>
              <w:fldChar w:fldCharType="begin"/>
            </w:r>
            <w:r w:rsidR="00A500D5">
              <w:rPr>
                <w:noProof/>
                <w:webHidden/>
              </w:rPr>
              <w:instrText xml:space="preserve"> PAGEREF _Toc383680744 \h </w:instrText>
            </w:r>
            <w:r w:rsidR="00A500D5">
              <w:rPr>
                <w:noProof/>
                <w:webHidden/>
              </w:rPr>
            </w:r>
            <w:r w:rsidR="00A500D5">
              <w:rPr>
                <w:noProof/>
                <w:webHidden/>
              </w:rPr>
              <w:fldChar w:fldCharType="separate"/>
            </w:r>
            <w:r w:rsidR="00A803EA">
              <w:rPr>
                <w:noProof/>
                <w:webHidden/>
              </w:rPr>
              <w:t>52</w:t>
            </w:r>
            <w:r w:rsidR="00A500D5">
              <w:rPr>
                <w:noProof/>
                <w:webHidden/>
              </w:rPr>
              <w:fldChar w:fldCharType="end"/>
            </w:r>
          </w:hyperlink>
        </w:p>
        <w:p w14:paraId="486A3081" w14:textId="77777777" w:rsidR="003A7F6C" w:rsidRPr="00B811C6" w:rsidRDefault="00DB6124" w:rsidP="00B811C6">
          <w:pPr>
            <w:pStyle w:val="TOC2"/>
          </w:pPr>
          <w:r>
            <w:fldChar w:fldCharType="end"/>
          </w:r>
        </w:p>
      </w:sdtContent>
    </w:sdt>
    <w:bookmarkStart w:id="2" w:name="_Toc314842482" w:displacedByCustomXml="prev"/>
    <w:p w14:paraId="2CD3AAD8" w14:textId="77777777" w:rsidR="00242737" w:rsidRDefault="00242737">
      <w:pPr>
        <w:spacing w:before="0" w:after="200" w:line="0" w:lineRule="auto"/>
        <w:rPr>
          <w:rFonts w:ascii="Arial" w:eastAsia="Times New Roman" w:hAnsi="Arial"/>
          <w:b/>
          <w:bCs/>
          <w:sz w:val="32"/>
          <w:szCs w:val="26"/>
        </w:rPr>
      </w:pPr>
      <w:bookmarkStart w:id="3" w:name="_Toc351716269"/>
      <w:bookmarkStart w:id="4" w:name="_Toc351718881"/>
      <w:bookmarkStart w:id="5" w:name="_Toc355338616"/>
      <w:bookmarkStart w:id="6" w:name="_Toc381199058"/>
      <w:r>
        <w:br w:type="page"/>
      </w:r>
    </w:p>
    <w:p w14:paraId="4F4DE793" w14:textId="77777777" w:rsidR="00B113A0" w:rsidRDefault="00242737" w:rsidP="00B113A0">
      <w:pPr>
        <w:pStyle w:val="Heading2"/>
      </w:pPr>
      <w:bookmarkStart w:id="7" w:name="_Toc383680699"/>
      <w:r>
        <w:lastRenderedPageBreak/>
        <w:t>List of abbreviations</w:t>
      </w:r>
      <w:bookmarkEnd w:id="7"/>
      <w:r>
        <w:t xml:space="preserve"> </w:t>
      </w:r>
      <w:bookmarkEnd w:id="3"/>
      <w:bookmarkEnd w:id="4"/>
      <w:bookmarkEnd w:id="5"/>
      <w:bookmarkEnd w:id="6"/>
    </w:p>
    <w:tbl>
      <w:tblPr>
        <w:tblStyle w:val="TableTGAblue"/>
        <w:tblW w:w="0" w:type="auto"/>
        <w:tblLook w:val="04A0" w:firstRow="1" w:lastRow="0" w:firstColumn="1" w:lastColumn="0" w:noHBand="0" w:noVBand="1"/>
      </w:tblPr>
      <w:tblGrid>
        <w:gridCol w:w="1890"/>
        <w:gridCol w:w="6594"/>
      </w:tblGrid>
      <w:tr w:rsidR="00B113A0" w14:paraId="18D78487" w14:textId="77777777" w:rsidTr="006F32E1">
        <w:trPr>
          <w:cnfStyle w:val="100000000000" w:firstRow="1" w:lastRow="0" w:firstColumn="0" w:lastColumn="0" w:oddVBand="0" w:evenVBand="0" w:oddHBand="0" w:evenHBand="0" w:firstRowFirstColumn="0" w:firstRowLastColumn="0" w:lastRowFirstColumn="0" w:lastRowLastColumn="0"/>
        </w:trPr>
        <w:tc>
          <w:tcPr>
            <w:tcW w:w="1890" w:type="dxa"/>
          </w:tcPr>
          <w:p w14:paraId="7AB9DAB3" w14:textId="77777777" w:rsidR="00B113A0" w:rsidRDefault="00B113A0" w:rsidP="00B113A0">
            <w:r>
              <w:t>Abbreviation</w:t>
            </w:r>
          </w:p>
        </w:tc>
        <w:tc>
          <w:tcPr>
            <w:tcW w:w="6830" w:type="dxa"/>
          </w:tcPr>
          <w:p w14:paraId="4707FF3C" w14:textId="77777777" w:rsidR="00B113A0" w:rsidRDefault="00B113A0" w:rsidP="00B113A0">
            <w:r>
              <w:t>Meaning</w:t>
            </w:r>
          </w:p>
        </w:tc>
      </w:tr>
      <w:tr w:rsidR="00B113A0" w14:paraId="15E4538D" w14:textId="77777777" w:rsidTr="006F32E1">
        <w:tc>
          <w:tcPr>
            <w:tcW w:w="1890" w:type="dxa"/>
          </w:tcPr>
          <w:p w14:paraId="1F03FFD1" w14:textId="77777777" w:rsidR="00B113A0" w:rsidRPr="00CC31BA" w:rsidRDefault="00B113A0" w:rsidP="00B113A0">
            <w:r w:rsidRPr="00CC31BA">
              <w:t>ACTH</w:t>
            </w:r>
          </w:p>
        </w:tc>
        <w:tc>
          <w:tcPr>
            <w:tcW w:w="6830" w:type="dxa"/>
          </w:tcPr>
          <w:p w14:paraId="7779C76B" w14:textId="77777777" w:rsidR="00B113A0" w:rsidRPr="00CC31BA" w:rsidRDefault="00B113A0" w:rsidP="00B113A0">
            <w:r>
              <w:t>A</w:t>
            </w:r>
            <w:r w:rsidRPr="00CC31BA">
              <w:t>drenocorticotrophic hormone</w:t>
            </w:r>
          </w:p>
        </w:tc>
      </w:tr>
      <w:tr w:rsidR="00B113A0" w14:paraId="3DE486B4" w14:textId="77777777" w:rsidTr="006F32E1">
        <w:tc>
          <w:tcPr>
            <w:tcW w:w="1890" w:type="dxa"/>
          </w:tcPr>
          <w:p w14:paraId="73660F7A" w14:textId="77777777" w:rsidR="00B113A0" w:rsidRPr="00CC31BA" w:rsidRDefault="00B113A0" w:rsidP="00B113A0">
            <w:r w:rsidRPr="00CC31BA">
              <w:t>AE</w:t>
            </w:r>
          </w:p>
        </w:tc>
        <w:tc>
          <w:tcPr>
            <w:tcW w:w="6830" w:type="dxa"/>
          </w:tcPr>
          <w:p w14:paraId="2D6CB18F" w14:textId="77777777" w:rsidR="00B113A0" w:rsidRPr="00CC31BA" w:rsidRDefault="00B113A0" w:rsidP="00B113A0">
            <w:r>
              <w:t>A</w:t>
            </w:r>
            <w:r w:rsidRPr="00CC31BA">
              <w:t>dverse event</w:t>
            </w:r>
          </w:p>
        </w:tc>
      </w:tr>
      <w:tr w:rsidR="00B113A0" w14:paraId="4E550D6D" w14:textId="77777777" w:rsidTr="006F32E1">
        <w:tc>
          <w:tcPr>
            <w:tcW w:w="1890" w:type="dxa"/>
          </w:tcPr>
          <w:p w14:paraId="0310735F" w14:textId="77777777" w:rsidR="00B113A0" w:rsidRPr="00CC31BA" w:rsidRDefault="00B113A0" w:rsidP="00B113A0">
            <w:r w:rsidRPr="00CC31BA">
              <w:t>AMS</w:t>
            </w:r>
          </w:p>
        </w:tc>
        <w:tc>
          <w:tcPr>
            <w:tcW w:w="6830" w:type="dxa"/>
          </w:tcPr>
          <w:p w14:paraId="2926BE08" w14:textId="77777777" w:rsidR="00B113A0" w:rsidRPr="00CC31BA" w:rsidRDefault="00B113A0" w:rsidP="00B113A0">
            <w:r>
              <w:t>A</w:t>
            </w:r>
            <w:r w:rsidRPr="00CC31BA">
              <w:t>ccelerator mass spectrometry</w:t>
            </w:r>
          </w:p>
        </w:tc>
      </w:tr>
      <w:tr w:rsidR="00B113A0" w14:paraId="102F8F5F" w14:textId="77777777" w:rsidTr="006F32E1">
        <w:tc>
          <w:tcPr>
            <w:tcW w:w="1890" w:type="dxa"/>
          </w:tcPr>
          <w:p w14:paraId="2FF0FB3F" w14:textId="77777777" w:rsidR="00B113A0" w:rsidRPr="00CC31BA" w:rsidRDefault="00B113A0" w:rsidP="00B113A0">
            <w:r w:rsidRPr="00CC31BA">
              <w:t>AST</w:t>
            </w:r>
          </w:p>
        </w:tc>
        <w:tc>
          <w:tcPr>
            <w:tcW w:w="6830" w:type="dxa"/>
          </w:tcPr>
          <w:p w14:paraId="4AE361E6" w14:textId="77777777" w:rsidR="00B113A0" w:rsidRPr="00CC31BA" w:rsidRDefault="00B113A0" w:rsidP="00B113A0">
            <w:r>
              <w:t>A</w:t>
            </w:r>
            <w:r w:rsidRPr="00CC31BA">
              <w:t>spartate aminotransferase</w:t>
            </w:r>
          </w:p>
        </w:tc>
      </w:tr>
      <w:tr w:rsidR="00B113A0" w14:paraId="1278FE36" w14:textId="77777777" w:rsidTr="006F32E1">
        <w:tc>
          <w:tcPr>
            <w:tcW w:w="1890" w:type="dxa"/>
          </w:tcPr>
          <w:p w14:paraId="0B9BE8AF" w14:textId="77777777" w:rsidR="00B113A0" w:rsidRPr="00CC31BA" w:rsidRDefault="00B113A0" w:rsidP="00B113A0">
            <w:r w:rsidRPr="00CC31BA">
              <w:t>AUC</w:t>
            </w:r>
          </w:p>
        </w:tc>
        <w:tc>
          <w:tcPr>
            <w:tcW w:w="6830" w:type="dxa"/>
          </w:tcPr>
          <w:p w14:paraId="773A4BC0" w14:textId="77777777" w:rsidR="00B113A0" w:rsidRPr="00CC31BA" w:rsidRDefault="00B113A0" w:rsidP="00B113A0">
            <w:r>
              <w:t>A</w:t>
            </w:r>
            <w:r w:rsidRPr="00CC31BA">
              <w:t>rea under curve</w:t>
            </w:r>
          </w:p>
        </w:tc>
      </w:tr>
      <w:tr w:rsidR="005673D5" w14:paraId="08F72C03" w14:textId="77777777" w:rsidTr="006F32E1">
        <w:tc>
          <w:tcPr>
            <w:tcW w:w="1890" w:type="dxa"/>
          </w:tcPr>
          <w:p w14:paraId="46BD2207" w14:textId="77777777" w:rsidR="005673D5" w:rsidRPr="00CC31BA" w:rsidRDefault="0009268D" w:rsidP="00B113A0">
            <w:r>
              <w:t>BD</w:t>
            </w:r>
          </w:p>
        </w:tc>
        <w:tc>
          <w:tcPr>
            <w:tcW w:w="6830" w:type="dxa"/>
          </w:tcPr>
          <w:p w14:paraId="60CF3A29" w14:textId="77777777" w:rsidR="005673D5" w:rsidRDefault="005673D5" w:rsidP="00B113A0">
            <w:r>
              <w:t>Twice daily</w:t>
            </w:r>
          </w:p>
        </w:tc>
      </w:tr>
      <w:tr w:rsidR="00B113A0" w14:paraId="53897914" w14:textId="77777777" w:rsidTr="006F32E1">
        <w:tc>
          <w:tcPr>
            <w:tcW w:w="1890" w:type="dxa"/>
          </w:tcPr>
          <w:p w14:paraId="0D601EE6" w14:textId="77777777" w:rsidR="00B113A0" w:rsidRPr="00CC31BA" w:rsidRDefault="00B113A0" w:rsidP="00B113A0">
            <w:r w:rsidRPr="00CC31BA">
              <w:t>BMI</w:t>
            </w:r>
          </w:p>
        </w:tc>
        <w:tc>
          <w:tcPr>
            <w:tcW w:w="6830" w:type="dxa"/>
          </w:tcPr>
          <w:p w14:paraId="3B8E0CAF" w14:textId="77777777" w:rsidR="00B113A0" w:rsidRPr="00CC31BA" w:rsidRDefault="00B113A0" w:rsidP="00B113A0">
            <w:r>
              <w:t>B</w:t>
            </w:r>
            <w:r w:rsidRPr="00CC31BA">
              <w:t>ody mass index</w:t>
            </w:r>
          </w:p>
        </w:tc>
      </w:tr>
      <w:tr w:rsidR="00B113A0" w14:paraId="4CB9A2D4" w14:textId="77777777" w:rsidTr="006F32E1">
        <w:tc>
          <w:tcPr>
            <w:tcW w:w="1890" w:type="dxa"/>
          </w:tcPr>
          <w:p w14:paraId="5BF6D67F" w14:textId="77777777" w:rsidR="00B113A0" w:rsidRPr="00CC31BA" w:rsidRDefault="00B113A0" w:rsidP="00B113A0">
            <w:r>
              <w:t>BW</w:t>
            </w:r>
          </w:p>
        </w:tc>
        <w:tc>
          <w:tcPr>
            <w:tcW w:w="6830" w:type="dxa"/>
          </w:tcPr>
          <w:p w14:paraId="278FA4FF" w14:textId="77777777" w:rsidR="00B113A0" w:rsidRDefault="00B113A0" w:rsidP="00B113A0">
            <w:r>
              <w:t>Body weight</w:t>
            </w:r>
          </w:p>
        </w:tc>
      </w:tr>
      <w:tr w:rsidR="00B113A0" w14:paraId="5E4BDD85" w14:textId="77777777" w:rsidTr="006F32E1">
        <w:tc>
          <w:tcPr>
            <w:tcW w:w="1890" w:type="dxa"/>
          </w:tcPr>
          <w:p w14:paraId="08A870D7" w14:textId="77777777" w:rsidR="00B113A0" w:rsidRPr="00CC31BA" w:rsidRDefault="00B113A0" w:rsidP="00B113A0">
            <w:proofErr w:type="spellStart"/>
            <w:r w:rsidRPr="00CC31BA">
              <w:t>C</w:t>
            </w:r>
            <w:r w:rsidRPr="00B113A0">
              <w:rPr>
                <w:vertAlign w:val="subscript"/>
              </w:rPr>
              <w:t>max</w:t>
            </w:r>
            <w:proofErr w:type="spellEnd"/>
          </w:p>
        </w:tc>
        <w:tc>
          <w:tcPr>
            <w:tcW w:w="6830" w:type="dxa"/>
          </w:tcPr>
          <w:p w14:paraId="40FDA912" w14:textId="77777777" w:rsidR="00B113A0" w:rsidRPr="00CC31BA" w:rsidRDefault="00B113A0" w:rsidP="00B113A0">
            <w:r>
              <w:t>M</w:t>
            </w:r>
            <w:r w:rsidRPr="00CC31BA">
              <w:t>aximum concentration</w:t>
            </w:r>
          </w:p>
        </w:tc>
      </w:tr>
      <w:tr w:rsidR="00B113A0" w14:paraId="1730B4C4" w14:textId="77777777" w:rsidTr="006F32E1">
        <w:tc>
          <w:tcPr>
            <w:tcW w:w="1890" w:type="dxa"/>
          </w:tcPr>
          <w:p w14:paraId="1F7E2A2F" w14:textId="77777777" w:rsidR="00B113A0" w:rsidRPr="00CC31BA" w:rsidRDefault="00B113A0" w:rsidP="00B113A0">
            <w:r w:rsidRPr="00CC31BA">
              <w:t>CL/F</w:t>
            </w:r>
          </w:p>
        </w:tc>
        <w:tc>
          <w:tcPr>
            <w:tcW w:w="6830" w:type="dxa"/>
          </w:tcPr>
          <w:p w14:paraId="46251202" w14:textId="77777777" w:rsidR="00B113A0" w:rsidRPr="00CC31BA" w:rsidRDefault="00B113A0" w:rsidP="00B113A0">
            <w:r>
              <w:t>A</w:t>
            </w:r>
            <w:r w:rsidRPr="00CC31BA">
              <w:t>pparent plasma clearance</w:t>
            </w:r>
          </w:p>
        </w:tc>
      </w:tr>
      <w:tr w:rsidR="00B113A0" w14:paraId="604681C9" w14:textId="77777777" w:rsidTr="006F32E1">
        <w:tc>
          <w:tcPr>
            <w:tcW w:w="1890" w:type="dxa"/>
          </w:tcPr>
          <w:p w14:paraId="4293751B" w14:textId="77777777" w:rsidR="00B113A0" w:rsidRPr="00CC31BA" w:rsidRDefault="00B113A0" w:rsidP="006F32E1">
            <w:r w:rsidRPr="00CC31BA">
              <w:t>CMI</w:t>
            </w:r>
          </w:p>
        </w:tc>
        <w:tc>
          <w:tcPr>
            <w:tcW w:w="6830" w:type="dxa"/>
          </w:tcPr>
          <w:p w14:paraId="2E00659A" w14:textId="77777777" w:rsidR="00B113A0" w:rsidRPr="00CC31BA" w:rsidRDefault="00B113A0" w:rsidP="00B113A0">
            <w:r>
              <w:t>C</w:t>
            </w:r>
            <w:r w:rsidRPr="00CC31BA">
              <w:t xml:space="preserve">onsumer </w:t>
            </w:r>
            <w:r>
              <w:t>M</w:t>
            </w:r>
            <w:r w:rsidRPr="00CC31BA">
              <w:t xml:space="preserve">edicine </w:t>
            </w:r>
            <w:r>
              <w:t>I</w:t>
            </w:r>
            <w:r w:rsidRPr="00CC31BA">
              <w:t>nformation</w:t>
            </w:r>
          </w:p>
        </w:tc>
      </w:tr>
      <w:tr w:rsidR="00B113A0" w14:paraId="32E91F0E" w14:textId="77777777" w:rsidTr="006F32E1">
        <w:tc>
          <w:tcPr>
            <w:tcW w:w="1890" w:type="dxa"/>
          </w:tcPr>
          <w:p w14:paraId="0BEDE8BE" w14:textId="77777777" w:rsidR="00B113A0" w:rsidRPr="00CC31BA" w:rsidRDefault="00B113A0" w:rsidP="00B113A0">
            <w:r w:rsidRPr="00CC31BA">
              <w:t>CTCAE</w:t>
            </w:r>
          </w:p>
        </w:tc>
        <w:tc>
          <w:tcPr>
            <w:tcW w:w="6830" w:type="dxa"/>
          </w:tcPr>
          <w:p w14:paraId="41068A01" w14:textId="77777777" w:rsidR="00B113A0" w:rsidRPr="00CC31BA" w:rsidRDefault="00B113A0" w:rsidP="00B113A0">
            <w:r>
              <w:t>C</w:t>
            </w:r>
            <w:r w:rsidRPr="00CC31BA">
              <w:t>ommon terminology criteria for adverse events</w:t>
            </w:r>
          </w:p>
        </w:tc>
      </w:tr>
      <w:tr w:rsidR="00B113A0" w14:paraId="0DCA5E1A" w14:textId="77777777" w:rsidTr="006F32E1">
        <w:tc>
          <w:tcPr>
            <w:tcW w:w="1890" w:type="dxa"/>
          </w:tcPr>
          <w:p w14:paraId="34593BFF" w14:textId="77777777" w:rsidR="00B113A0" w:rsidRPr="00CC31BA" w:rsidRDefault="00B113A0" w:rsidP="006F32E1">
            <w:r w:rsidRPr="00CC31BA">
              <w:t>EM</w:t>
            </w:r>
            <w:r w:rsidR="006F32E1">
              <w:t>A</w:t>
            </w:r>
          </w:p>
        </w:tc>
        <w:tc>
          <w:tcPr>
            <w:tcW w:w="6830" w:type="dxa"/>
          </w:tcPr>
          <w:p w14:paraId="5E5F6C4B" w14:textId="77777777" w:rsidR="00B113A0" w:rsidRPr="00CC31BA" w:rsidRDefault="00B113A0" w:rsidP="00B113A0">
            <w:r w:rsidRPr="00CC31BA">
              <w:t>European Medicines Authority</w:t>
            </w:r>
          </w:p>
        </w:tc>
      </w:tr>
      <w:tr w:rsidR="00B113A0" w14:paraId="13FE18D7" w14:textId="77777777" w:rsidTr="006F32E1">
        <w:tc>
          <w:tcPr>
            <w:tcW w:w="1890" w:type="dxa"/>
          </w:tcPr>
          <w:p w14:paraId="2788D1A8" w14:textId="77777777" w:rsidR="00B113A0" w:rsidRPr="00CC31BA" w:rsidRDefault="00B113A0" w:rsidP="00B113A0">
            <w:r w:rsidRPr="00CC31BA">
              <w:t>EU</w:t>
            </w:r>
          </w:p>
        </w:tc>
        <w:tc>
          <w:tcPr>
            <w:tcW w:w="6830" w:type="dxa"/>
          </w:tcPr>
          <w:p w14:paraId="46DFD513" w14:textId="77777777" w:rsidR="00B113A0" w:rsidRPr="00CC31BA" w:rsidRDefault="00B113A0" w:rsidP="00B113A0">
            <w:r w:rsidRPr="00CC31BA">
              <w:t>European Union</w:t>
            </w:r>
          </w:p>
        </w:tc>
      </w:tr>
      <w:tr w:rsidR="00B113A0" w14:paraId="476F5C19" w14:textId="77777777" w:rsidTr="006F32E1">
        <w:tc>
          <w:tcPr>
            <w:tcW w:w="1890" w:type="dxa"/>
          </w:tcPr>
          <w:p w14:paraId="160BA8E7" w14:textId="77777777" w:rsidR="00B113A0" w:rsidRPr="00CC31BA" w:rsidRDefault="00B113A0" w:rsidP="00B113A0">
            <w:r w:rsidRPr="00CC31BA">
              <w:t>FDA</w:t>
            </w:r>
          </w:p>
        </w:tc>
        <w:tc>
          <w:tcPr>
            <w:tcW w:w="6830" w:type="dxa"/>
          </w:tcPr>
          <w:p w14:paraId="585B739E" w14:textId="77777777" w:rsidR="00B113A0" w:rsidRPr="00CC31BA" w:rsidRDefault="00B113A0" w:rsidP="006F32E1">
            <w:r w:rsidRPr="00CC31BA">
              <w:t>F</w:t>
            </w:r>
            <w:r w:rsidR="006F32E1">
              <w:t xml:space="preserve">ood and </w:t>
            </w:r>
            <w:r w:rsidRPr="00CC31BA">
              <w:t>Drug Administration</w:t>
            </w:r>
          </w:p>
        </w:tc>
      </w:tr>
      <w:tr w:rsidR="00B113A0" w14:paraId="6AE6604D" w14:textId="77777777" w:rsidTr="006F32E1">
        <w:tc>
          <w:tcPr>
            <w:tcW w:w="1890" w:type="dxa"/>
          </w:tcPr>
          <w:p w14:paraId="162D13E9" w14:textId="77777777" w:rsidR="00B113A0" w:rsidRPr="00CC31BA" w:rsidRDefault="00B113A0" w:rsidP="00B113A0">
            <w:r w:rsidRPr="00CC31BA">
              <w:t>FPG</w:t>
            </w:r>
          </w:p>
        </w:tc>
        <w:tc>
          <w:tcPr>
            <w:tcW w:w="6830" w:type="dxa"/>
          </w:tcPr>
          <w:p w14:paraId="5A61898A" w14:textId="77777777" w:rsidR="00B113A0" w:rsidRPr="00CC31BA" w:rsidRDefault="00B113A0" w:rsidP="00B113A0">
            <w:r>
              <w:t>F</w:t>
            </w:r>
            <w:r w:rsidRPr="00CC31BA">
              <w:t>asting plasma glucose</w:t>
            </w:r>
          </w:p>
        </w:tc>
      </w:tr>
      <w:tr w:rsidR="00B113A0" w14:paraId="48F318C7" w14:textId="77777777" w:rsidTr="006F32E1">
        <w:tc>
          <w:tcPr>
            <w:tcW w:w="1890" w:type="dxa"/>
          </w:tcPr>
          <w:p w14:paraId="23095CC4" w14:textId="77777777" w:rsidR="00B113A0" w:rsidRPr="00CC31BA" w:rsidRDefault="00B113A0" w:rsidP="00B113A0">
            <w:r w:rsidRPr="00CC31BA">
              <w:t>GDR</w:t>
            </w:r>
          </w:p>
        </w:tc>
        <w:tc>
          <w:tcPr>
            <w:tcW w:w="6830" w:type="dxa"/>
          </w:tcPr>
          <w:p w14:paraId="3938892B" w14:textId="77777777" w:rsidR="00B113A0" w:rsidRPr="00CC31BA" w:rsidRDefault="00B113A0" w:rsidP="00B113A0">
            <w:r>
              <w:t>G</w:t>
            </w:r>
            <w:r w:rsidRPr="00CC31BA">
              <w:t>lucose disposal rate</w:t>
            </w:r>
          </w:p>
        </w:tc>
      </w:tr>
      <w:tr w:rsidR="00B113A0" w14:paraId="2F21846A" w14:textId="77777777" w:rsidTr="006F32E1">
        <w:tc>
          <w:tcPr>
            <w:tcW w:w="1890" w:type="dxa"/>
          </w:tcPr>
          <w:p w14:paraId="310A622F" w14:textId="77777777" w:rsidR="00B113A0" w:rsidRPr="00CC31BA" w:rsidRDefault="00B113A0" w:rsidP="00B113A0">
            <w:r w:rsidRPr="00CC31BA">
              <w:t>GEP</w:t>
            </w:r>
          </w:p>
        </w:tc>
        <w:tc>
          <w:tcPr>
            <w:tcW w:w="6830" w:type="dxa"/>
          </w:tcPr>
          <w:p w14:paraId="76658162" w14:textId="77777777" w:rsidR="00B113A0" w:rsidRPr="00CC31BA" w:rsidRDefault="00B113A0" w:rsidP="00B113A0">
            <w:r>
              <w:t>G</w:t>
            </w:r>
            <w:r w:rsidRPr="00CC31BA">
              <w:t xml:space="preserve">astro </w:t>
            </w:r>
            <w:proofErr w:type="spellStart"/>
            <w:r w:rsidRPr="00CC31BA">
              <w:t>entero</w:t>
            </w:r>
            <w:proofErr w:type="spellEnd"/>
            <w:r w:rsidRPr="00CC31BA">
              <w:t xml:space="preserve"> pancreatic</w:t>
            </w:r>
          </w:p>
        </w:tc>
      </w:tr>
      <w:tr w:rsidR="00B113A0" w14:paraId="2A833ECE" w14:textId="77777777" w:rsidTr="006F32E1">
        <w:tc>
          <w:tcPr>
            <w:tcW w:w="1890" w:type="dxa"/>
          </w:tcPr>
          <w:p w14:paraId="33E19B11" w14:textId="77777777" w:rsidR="00B113A0" w:rsidRPr="00CC31BA" w:rsidRDefault="00B113A0" w:rsidP="00B113A0">
            <w:r w:rsidRPr="00CC31BA">
              <w:t>GGT</w:t>
            </w:r>
          </w:p>
        </w:tc>
        <w:tc>
          <w:tcPr>
            <w:tcW w:w="6830" w:type="dxa"/>
          </w:tcPr>
          <w:p w14:paraId="7106BCBB" w14:textId="77777777" w:rsidR="00B113A0" w:rsidRPr="00CC31BA" w:rsidRDefault="00B113A0" w:rsidP="00B113A0">
            <w:r>
              <w:t>G</w:t>
            </w:r>
            <w:r w:rsidRPr="00CC31BA">
              <w:t>amma-</w:t>
            </w:r>
            <w:proofErr w:type="spellStart"/>
            <w:r w:rsidRPr="00CC31BA">
              <w:t>glutamyltransferase</w:t>
            </w:r>
            <w:proofErr w:type="spellEnd"/>
            <w:r w:rsidRPr="00CC31BA">
              <w:t xml:space="preserve"> </w:t>
            </w:r>
          </w:p>
        </w:tc>
      </w:tr>
      <w:tr w:rsidR="00B113A0" w14:paraId="351FC3DD" w14:textId="77777777" w:rsidTr="006F32E1">
        <w:tc>
          <w:tcPr>
            <w:tcW w:w="1890" w:type="dxa"/>
          </w:tcPr>
          <w:p w14:paraId="080D3BD5" w14:textId="77777777" w:rsidR="00B113A0" w:rsidRPr="00CC31BA" w:rsidRDefault="00B113A0" w:rsidP="00B113A0">
            <w:r w:rsidRPr="00CC31BA">
              <w:t>GH</w:t>
            </w:r>
          </w:p>
        </w:tc>
        <w:tc>
          <w:tcPr>
            <w:tcW w:w="6830" w:type="dxa"/>
          </w:tcPr>
          <w:p w14:paraId="7EBD096E" w14:textId="77777777" w:rsidR="00B113A0" w:rsidRPr="00CC31BA" w:rsidRDefault="00B113A0" w:rsidP="00B113A0">
            <w:r>
              <w:t>G</w:t>
            </w:r>
            <w:r w:rsidRPr="00CC31BA">
              <w:t>rowth hormone</w:t>
            </w:r>
          </w:p>
        </w:tc>
      </w:tr>
      <w:tr w:rsidR="00B113A0" w14:paraId="4154829C" w14:textId="77777777" w:rsidTr="006F32E1">
        <w:tc>
          <w:tcPr>
            <w:tcW w:w="1890" w:type="dxa"/>
          </w:tcPr>
          <w:p w14:paraId="1EA9B55A" w14:textId="77777777" w:rsidR="00B113A0" w:rsidRPr="00CC31BA" w:rsidRDefault="00B113A0" w:rsidP="00B113A0">
            <w:r w:rsidRPr="00CC31BA">
              <w:t>GHRH</w:t>
            </w:r>
          </w:p>
        </w:tc>
        <w:tc>
          <w:tcPr>
            <w:tcW w:w="6830" w:type="dxa"/>
          </w:tcPr>
          <w:p w14:paraId="6F9EFCC8" w14:textId="77777777" w:rsidR="00B113A0" w:rsidRPr="00CC31BA" w:rsidRDefault="00B113A0" w:rsidP="00B113A0">
            <w:r>
              <w:t>G</w:t>
            </w:r>
            <w:r w:rsidRPr="00CC31BA">
              <w:t>rowth hormone releasing hormone</w:t>
            </w:r>
          </w:p>
        </w:tc>
      </w:tr>
      <w:tr w:rsidR="00B113A0" w14:paraId="0148B7B5" w14:textId="77777777" w:rsidTr="006F32E1">
        <w:tc>
          <w:tcPr>
            <w:tcW w:w="1890" w:type="dxa"/>
          </w:tcPr>
          <w:p w14:paraId="6223818C" w14:textId="77777777" w:rsidR="00B113A0" w:rsidRPr="00CC31BA" w:rsidRDefault="00B113A0" w:rsidP="00B113A0">
            <w:r>
              <w:t>GI</w:t>
            </w:r>
          </w:p>
        </w:tc>
        <w:tc>
          <w:tcPr>
            <w:tcW w:w="6830" w:type="dxa"/>
          </w:tcPr>
          <w:p w14:paraId="072DC0C3" w14:textId="77777777" w:rsidR="00B113A0" w:rsidRDefault="00B113A0" w:rsidP="00B113A0">
            <w:r>
              <w:t>Gastrointestinal</w:t>
            </w:r>
          </w:p>
        </w:tc>
      </w:tr>
      <w:tr w:rsidR="00B113A0" w14:paraId="6B4A8B77" w14:textId="77777777" w:rsidTr="006F32E1">
        <w:tc>
          <w:tcPr>
            <w:tcW w:w="1890" w:type="dxa"/>
          </w:tcPr>
          <w:p w14:paraId="5DBC5D70" w14:textId="77777777" w:rsidR="00B113A0" w:rsidRPr="00CC31BA" w:rsidRDefault="00B113A0" w:rsidP="00B113A0">
            <w:r w:rsidRPr="00CC31BA">
              <w:t>HPLC</w:t>
            </w:r>
          </w:p>
        </w:tc>
        <w:tc>
          <w:tcPr>
            <w:tcW w:w="6830" w:type="dxa"/>
          </w:tcPr>
          <w:p w14:paraId="1E5984DB" w14:textId="77777777" w:rsidR="00B113A0" w:rsidRPr="00CC31BA" w:rsidRDefault="00B113A0" w:rsidP="00B113A0">
            <w:r>
              <w:t>H</w:t>
            </w:r>
            <w:r w:rsidRPr="00CC31BA">
              <w:t>igh-performance liquid chromatography</w:t>
            </w:r>
          </w:p>
        </w:tc>
      </w:tr>
      <w:tr w:rsidR="00B113A0" w14:paraId="76F0B2A7" w14:textId="77777777" w:rsidTr="006F32E1">
        <w:tc>
          <w:tcPr>
            <w:tcW w:w="1890" w:type="dxa"/>
          </w:tcPr>
          <w:p w14:paraId="25D54021" w14:textId="77777777" w:rsidR="00B113A0" w:rsidRPr="00CC31BA" w:rsidRDefault="00B113A0" w:rsidP="00B113A0">
            <w:r w:rsidRPr="00CC31BA">
              <w:t>HV</w:t>
            </w:r>
          </w:p>
        </w:tc>
        <w:tc>
          <w:tcPr>
            <w:tcW w:w="6830" w:type="dxa"/>
          </w:tcPr>
          <w:p w14:paraId="0109FB0C" w14:textId="77777777" w:rsidR="00B113A0" w:rsidRPr="00CC31BA" w:rsidRDefault="00B113A0" w:rsidP="00B113A0">
            <w:r>
              <w:t>H</w:t>
            </w:r>
            <w:r w:rsidRPr="00CC31BA">
              <w:t>ealthy volunteers</w:t>
            </w:r>
          </w:p>
        </w:tc>
      </w:tr>
      <w:tr w:rsidR="00B113A0" w14:paraId="7DCB5C12" w14:textId="77777777" w:rsidTr="006F32E1">
        <w:tc>
          <w:tcPr>
            <w:tcW w:w="1890" w:type="dxa"/>
          </w:tcPr>
          <w:p w14:paraId="0B02B2D3" w14:textId="77777777" w:rsidR="00B113A0" w:rsidRPr="00CC31BA" w:rsidRDefault="00B113A0" w:rsidP="00B113A0">
            <w:r w:rsidRPr="00CC31BA">
              <w:t>IGF</w:t>
            </w:r>
          </w:p>
        </w:tc>
        <w:tc>
          <w:tcPr>
            <w:tcW w:w="6830" w:type="dxa"/>
          </w:tcPr>
          <w:p w14:paraId="0192F4F0" w14:textId="77777777" w:rsidR="00B113A0" w:rsidRPr="00CC31BA" w:rsidRDefault="00B113A0" w:rsidP="00B113A0">
            <w:r>
              <w:t>I</w:t>
            </w:r>
            <w:r w:rsidRPr="00CC31BA">
              <w:t>nsulin like growth factor</w:t>
            </w:r>
          </w:p>
        </w:tc>
      </w:tr>
      <w:tr w:rsidR="00B113A0" w14:paraId="3ED2353F" w14:textId="77777777" w:rsidTr="006F32E1">
        <w:tc>
          <w:tcPr>
            <w:tcW w:w="1890" w:type="dxa"/>
          </w:tcPr>
          <w:p w14:paraId="7D982A47" w14:textId="77777777" w:rsidR="00B113A0" w:rsidRPr="00CC31BA" w:rsidRDefault="00B113A0" w:rsidP="00B113A0">
            <w:r w:rsidRPr="00CC31BA">
              <w:lastRenderedPageBreak/>
              <w:t>IGFBP</w:t>
            </w:r>
          </w:p>
        </w:tc>
        <w:tc>
          <w:tcPr>
            <w:tcW w:w="6830" w:type="dxa"/>
          </w:tcPr>
          <w:p w14:paraId="519AE864" w14:textId="77777777" w:rsidR="00B113A0" w:rsidRPr="00CC31BA" w:rsidRDefault="00B113A0" w:rsidP="00B113A0">
            <w:r>
              <w:t>I</w:t>
            </w:r>
            <w:r w:rsidRPr="00CC31BA">
              <w:t>nsulin like growth factor binding protein</w:t>
            </w:r>
          </w:p>
        </w:tc>
      </w:tr>
      <w:tr w:rsidR="00B113A0" w14:paraId="111AE8E5" w14:textId="77777777" w:rsidTr="006F32E1">
        <w:tc>
          <w:tcPr>
            <w:tcW w:w="1890" w:type="dxa"/>
          </w:tcPr>
          <w:p w14:paraId="21518176" w14:textId="77777777" w:rsidR="00B113A0" w:rsidRPr="00CC31BA" w:rsidRDefault="00B113A0" w:rsidP="00B113A0">
            <w:r w:rsidRPr="00CC31BA">
              <w:t>IVRS</w:t>
            </w:r>
          </w:p>
        </w:tc>
        <w:tc>
          <w:tcPr>
            <w:tcW w:w="6830" w:type="dxa"/>
          </w:tcPr>
          <w:p w14:paraId="4EE061F6" w14:textId="77777777" w:rsidR="00B113A0" w:rsidRPr="00CC31BA" w:rsidRDefault="00B113A0" w:rsidP="00B113A0">
            <w:r>
              <w:t>I</w:t>
            </w:r>
            <w:r w:rsidRPr="00CC31BA">
              <w:t>nteractive voice response system</w:t>
            </w:r>
          </w:p>
        </w:tc>
      </w:tr>
      <w:tr w:rsidR="00B113A0" w14:paraId="0C291A05" w14:textId="77777777" w:rsidTr="006F32E1">
        <w:tc>
          <w:tcPr>
            <w:tcW w:w="1890" w:type="dxa"/>
          </w:tcPr>
          <w:p w14:paraId="50655A74" w14:textId="77777777" w:rsidR="00B113A0" w:rsidRPr="00CC31BA" w:rsidRDefault="00B113A0" w:rsidP="00B113A0">
            <w:r w:rsidRPr="00CC31BA">
              <w:t>PD</w:t>
            </w:r>
          </w:p>
        </w:tc>
        <w:tc>
          <w:tcPr>
            <w:tcW w:w="6830" w:type="dxa"/>
          </w:tcPr>
          <w:p w14:paraId="5B4BF5FF" w14:textId="77777777" w:rsidR="00B113A0" w:rsidRPr="00CC31BA" w:rsidRDefault="00B113A0" w:rsidP="00B113A0">
            <w:r>
              <w:t>P</w:t>
            </w:r>
            <w:r w:rsidRPr="00CC31BA">
              <w:t>harmacodynamic</w:t>
            </w:r>
          </w:p>
        </w:tc>
      </w:tr>
      <w:tr w:rsidR="00B113A0" w14:paraId="402B9A19" w14:textId="77777777" w:rsidTr="006F32E1">
        <w:tc>
          <w:tcPr>
            <w:tcW w:w="1890" w:type="dxa"/>
          </w:tcPr>
          <w:p w14:paraId="1FD7F840" w14:textId="77777777" w:rsidR="00B113A0" w:rsidRPr="00CC31BA" w:rsidRDefault="00B113A0" w:rsidP="00B113A0">
            <w:r w:rsidRPr="00CC31BA">
              <w:t>PI</w:t>
            </w:r>
          </w:p>
        </w:tc>
        <w:tc>
          <w:tcPr>
            <w:tcW w:w="6830" w:type="dxa"/>
          </w:tcPr>
          <w:p w14:paraId="3B5B7F33" w14:textId="77777777" w:rsidR="00B113A0" w:rsidRPr="00CC31BA" w:rsidRDefault="00B113A0" w:rsidP="00B113A0">
            <w:r>
              <w:t>P</w:t>
            </w:r>
            <w:r w:rsidRPr="00CC31BA">
              <w:t xml:space="preserve">roduct </w:t>
            </w:r>
            <w:r>
              <w:t>I</w:t>
            </w:r>
            <w:r w:rsidRPr="00CC31BA">
              <w:t>nformation</w:t>
            </w:r>
          </w:p>
        </w:tc>
      </w:tr>
      <w:tr w:rsidR="00B113A0" w14:paraId="55A86EC4" w14:textId="77777777" w:rsidTr="006F32E1">
        <w:tc>
          <w:tcPr>
            <w:tcW w:w="1890" w:type="dxa"/>
          </w:tcPr>
          <w:p w14:paraId="63C3915D" w14:textId="77777777" w:rsidR="00B113A0" w:rsidRPr="00CC31BA" w:rsidRDefault="00B113A0" w:rsidP="00B113A0">
            <w:r w:rsidRPr="00CC31BA">
              <w:t>PK</w:t>
            </w:r>
          </w:p>
        </w:tc>
        <w:tc>
          <w:tcPr>
            <w:tcW w:w="6830" w:type="dxa"/>
          </w:tcPr>
          <w:p w14:paraId="60AC8648" w14:textId="77777777" w:rsidR="00B113A0" w:rsidRPr="00CC31BA" w:rsidRDefault="00B113A0" w:rsidP="00B113A0">
            <w:r>
              <w:t>P</w:t>
            </w:r>
            <w:r w:rsidRPr="00CC31BA">
              <w:t>harmacokinetic</w:t>
            </w:r>
          </w:p>
        </w:tc>
      </w:tr>
      <w:tr w:rsidR="00B113A0" w14:paraId="7E2B5B70" w14:textId="77777777" w:rsidTr="006F32E1">
        <w:tc>
          <w:tcPr>
            <w:tcW w:w="1890" w:type="dxa"/>
          </w:tcPr>
          <w:p w14:paraId="39AE43A6" w14:textId="77777777" w:rsidR="00B113A0" w:rsidRPr="00CC31BA" w:rsidRDefault="00B113A0" w:rsidP="00B113A0">
            <w:r w:rsidRPr="00CC31BA">
              <w:t>SAE</w:t>
            </w:r>
          </w:p>
        </w:tc>
        <w:tc>
          <w:tcPr>
            <w:tcW w:w="6830" w:type="dxa"/>
          </w:tcPr>
          <w:p w14:paraId="6D66071A" w14:textId="77777777" w:rsidR="00B113A0" w:rsidRPr="00CC31BA" w:rsidRDefault="00B113A0" w:rsidP="00B113A0">
            <w:r>
              <w:t>S</w:t>
            </w:r>
            <w:r w:rsidRPr="00CC31BA">
              <w:t>erious adverse event</w:t>
            </w:r>
          </w:p>
        </w:tc>
      </w:tr>
      <w:tr w:rsidR="00B113A0" w14:paraId="38805555" w14:textId="77777777" w:rsidTr="006F32E1">
        <w:tc>
          <w:tcPr>
            <w:tcW w:w="1890" w:type="dxa"/>
          </w:tcPr>
          <w:p w14:paraId="605FE693" w14:textId="77777777" w:rsidR="00B113A0" w:rsidRPr="00CC31BA" w:rsidRDefault="00B113A0" w:rsidP="00B113A0">
            <w:proofErr w:type="spellStart"/>
            <w:r>
              <w:t>sc</w:t>
            </w:r>
            <w:proofErr w:type="spellEnd"/>
          </w:p>
        </w:tc>
        <w:tc>
          <w:tcPr>
            <w:tcW w:w="6830" w:type="dxa"/>
          </w:tcPr>
          <w:p w14:paraId="5A1D7E3A" w14:textId="77777777" w:rsidR="00B113A0" w:rsidRDefault="00B113A0" w:rsidP="00B113A0">
            <w:r>
              <w:t>Subcutaneous</w:t>
            </w:r>
          </w:p>
        </w:tc>
      </w:tr>
      <w:tr w:rsidR="00B113A0" w14:paraId="0E86541E" w14:textId="77777777" w:rsidTr="006F32E1">
        <w:tc>
          <w:tcPr>
            <w:tcW w:w="1890" w:type="dxa"/>
          </w:tcPr>
          <w:p w14:paraId="2E5664B0" w14:textId="77777777" w:rsidR="00B113A0" w:rsidRPr="00CC31BA" w:rsidRDefault="00B113A0" w:rsidP="00B113A0">
            <w:r w:rsidRPr="00CC31BA">
              <w:t>SCS</w:t>
            </w:r>
          </w:p>
        </w:tc>
        <w:tc>
          <w:tcPr>
            <w:tcW w:w="6830" w:type="dxa"/>
          </w:tcPr>
          <w:p w14:paraId="4361805D" w14:textId="77777777" w:rsidR="00B113A0" w:rsidRPr="00CC31BA" w:rsidRDefault="00B113A0" w:rsidP="00B113A0">
            <w:r w:rsidRPr="00CC31BA">
              <w:t>Summary of Clinical Safety</w:t>
            </w:r>
          </w:p>
        </w:tc>
      </w:tr>
      <w:tr w:rsidR="00B113A0" w14:paraId="04ED881E" w14:textId="77777777" w:rsidTr="006F32E1">
        <w:tc>
          <w:tcPr>
            <w:tcW w:w="1890" w:type="dxa"/>
          </w:tcPr>
          <w:p w14:paraId="5255BEB1" w14:textId="77777777" w:rsidR="00B113A0" w:rsidRPr="00CC31BA" w:rsidRDefault="00B113A0" w:rsidP="00B113A0">
            <w:r w:rsidRPr="00CC31BA">
              <w:t>SD</w:t>
            </w:r>
          </w:p>
        </w:tc>
        <w:tc>
          <w:tcPr>
            <w:tcW w:w="6830" w:type="dxa"/>
          </w:tcPr>
          <w:p w14:paraId="3E816431" w14:textId="77777777" w:rsidR="00B113A0" w:rsidRPr="00CC31BA" w:rsidRDefault="00B113A0" w:rsidP="00B113A0">
            <w:r>
              <w:t>S</w:t>
            </w:r>
            <w:r w:rsidRPr="00CC31BA">
              <w:t>tandard deviation</w:t>
            </w:r>
          </w:p>
        </w:tc>
      </w:tr>
      <w:tr w:rsidR="00B113A0" w14:paraId="423B4E7F" w14:textId="77777777" w:rsidTr="006F32E1">
        <w:tc>
          <w:tcPr>
            <w:tcW w:w="1890" w:type="dxa"/>
          </w:tcPr>
          <w:p w14:paraId="278B91FC" w14:textId="77777777" w:rsidR="00B113A0" w:rsidRPr="00CC31BA" w:rsidRDefault="00B113A0" w:rsidP="00B113A0">
            <w:r w:rsidRPr="00CC31BA">
              <w:t>SE</w:t>
            </w:r>
          </w:p>
        </w:tc>
        <w:tc>
          <w:tcPr>
            <w:tcW w:w="6830" w:type="dxa"/>
          </w:tcPr>
          <w:p w14:paraId="306C3508" w14:textId="77777777" w:rsidR="00B113A0" w:rsidRPr="00CC31BA" w:rsidRDefault="00B113A0" w:rsidP="00B113A0">
            <w:r>
              <w:t>S</w:t>
            </w:r>
            <w:r w:rsidRPr="00CC31BA">
              <w:t>tandard error</w:t>
            </w:r>
          </w:p>
        </w:tc>
      </w:tr>
      <w:tr w:rsidR="005673D5" w14:paraId="1F7B1A6F" w14:textId="77777777" w:rsidTr="006F32E1">
        <w:tc>
          <w:tcPr>
            <w:tcW w:w="1890" w:type="dxa"/>
          </w:tcPr>
          <w:p w14:paraId="783F28C3" w14:textId="77777777" w:rsidR="005673D5" w:rsidRPr="00CC31BA" w:rsidRDefault="005673D5" w:rsidP="00B113A0">
            <w:r>
              <w:t>SSTR</w:t>
            </w:r>
          </w:p>
        </w:tc>
        <w:tc>
          <w:tcPr>
            <w:tcW w:w="6830" w:type="dxa"/>
          </w:tcPr>
          <w:p w14:paraId="2A0BBDBF" w14:textId="77777777" w:rsidR="005673D5" w:rsidRDefault="005673D5" w:rsidP="005673D5">
            <w:r>
              <w:t>S</w:t>
            </w:r>
            <w:r w:rsidRPr="00574D77">
              <w:t>omatostati</w:t>
            </w:r>
            <w:r>
              <w:t>n receptors</w:t>
            </w:r>
          </w:p>
        </w:tc>
      </w:tr>
      <w:tr w:rsidR="00B113A0" w14:paraId="3D1FA1A5" w14:textId="77777777" w:rsidTr="006F32E1">
        <w:tc>
          <w:tcPr>
            <w:tcW w:w="1890" w:type="dxa"/>
          </w:tcPr>
          <w:p w14:paraId="50B1EA31" w14:textId="77777777" w:rsidR="00B113A0" w:rsidRPr="00CC31BA" w:rsidRDefault="00B113A0" w:rsidP="00B113A0">
            <w:r w:rsidRPr="00CC31BA">
              <w:t>TGA</w:t>
            </w:r>
          </w:p>
        </w:tc>
        <w:tc>
          <w:tcPr>
            <w:tcW w:w="6830" w:type="dxa"/>
          </w:tcPr>
          <w:p w14:paraId="547239C8" w14:textId="77777777" w:rsidR="00B113A0" w:rsidRPr="00CC31BA" w:rsidRDefault="00B113A0" w:rsidP="00B113A0">
            <w:r w:rsidRPr="00CC31BA">
              <w:t>Therapeutic Goods Administration</w:t>
            </w:r>
          </w:p>
        </w:tc>
      </w:tr>
      <w:tr w:rsidR="00B113A0" w14:paraId="4A5C6FD9" w14:textId="77777777" w:rsidTr="006F32E1">
        <w:tc>
          <w:tcPr>
            <w:tcW w:w="1890" w:type="dxa"/>
          </w:tcPr>
          <w:p w14:paraId="018917AE" w14:textId="77777777" w:rsidR="00B113A0" w:rsidRPr="00CC31BA" w:rsidRDefault="00B113A0" w:rsidP="00B113A0">
            <w:r w:rsidRPr="00CC31BA">
              <w:t>t</w:t>
            </w:r>
            <w:r>
              <w:t>½</w:t>
            </w:r>
          </w:p>
        </w:tc>
        <w:tc>
          <w:tcPr>
            <w:tcW w:w="6830" w:type="dxa"/>
          </w:tcPr>
          <w:p w14:paraId="035E0E6F" w14:textId="77777777" w:rsidR="00B113A0" w:rsidRPr="00CC31BA" w:rsidRDefault="00B113A0" w:rsidP="00B113A0">
            <w:r>
              <w:t>H</w:t>
            </w:r>
            <w:r w:rsidRPr="00CC31BA">
              <w:t xml:space="preserve">alf </w:t>
            </w:r>
            <w:r>
              <w:t>life</w:t>
            </w:r>
          </w:p>
        </w:tc>
      </w:tr>
      <w:tr w:rsidR="00B113A0" w14:paraId="3E98671D" w14:textId="77777777" w:rsidTr="006F32E1">
        <w:tc>
          <w:tcPr>
            <w:tcW w:w="1890" w:type="dxa"/>
          </w:tcPr>
          <w:p w14:paraId="573BADA8" w14:textId="77777777" w:rsidR="00B113A0" w:rsidRPr="00CC31BA" w:rsidRDefault="00B113A0" w:rsidP="00B113A0">
            <w:proofErr w:type="spellStart"/>
            <w:r w:rsidRPr="00CC31BA">
              <w:t>T</w:t>
            </w:r>
            <w:r w:rsidRPr="00B113A0">
              <w:rPr>
                <w:vertAlign w:val="subscript"/>
              </w:rPr>
              <w:t>max</w:t>
            </w:r>
            <w:proofErr w:type="spellEnd"/>
          </w:p>
        </w:tc>
        <w:tc>
          <w:tcPr>
            <w:tcW w:w="6830" w:type="dxa"/>
          </w:tcPr>
          <w:p w14:paraId="2781EE1C" w14:textId="77777777" w:rsidR="00B113A0" w:rsidRPr="00CC31BA" w:rsidRDefault="00B113A0" w:rsidP="00B113A0">
            <w:r>
              <w:t>T</w:t>
            </w:r>
            <w:r w:rsidRPr="00CC31BA">
              <w:t>ime to maximum concentration</w:t>
            </w:r>
          </w:p>
        </w:tc>
      </w:tr>
      <w:tr w:rsidR="00B113A0" w14:paraId="612EA504" w14:textId="77777777" w:rsidTr="006F32E1">
        <w:tc>
          <w:tcPr>
            <w:tcW w:w="1890" w:type="dxa"/>
          </w:tcPr>
          <w:p w14:paraId="77B88D30" w14:textId="77777777" w:rsidR="00B113A0" w:rsidRPr="00CC31BA" w:rsidRDefault="00B113A0" w:rsidP="00B113A0">
            <w:r w:rsidRPr="00CC31BA">
              <w:t>UFC</w:t>
            </w:r>
          </w:p>
        </w:tc>
        <w:tc>
          <w:tcPr>
            <w:tcW w:w="6830" w:type="dxa"/>
          </w:tcPr>
          <w:p w14:paraId="7E0D597A" w14:textId="77777777" w:rsidR="00B113A0" w:rsidRPr="00CC31BA" w:rsidRDefault="00B113A0" w:rsidP="00B113A0">
            <w:r>
              <w:t>U</w:t>
            </w:r>
            <w:r w:rsidRPr="00CC31BA">
              <w:t>rinary free cortisol</w:t>
            </w:r>
          </w:p>
        </w:tc>
      </w:tr>
      <w:tr w:rsidR="00B113A0" w14:paraId="7CAEBD62" w14:textId="77777777" w:rsidTr="006F32E1">
        <w:tc>
          <w:tcPr>
            <w:tcW w:w="1890" w:type="dxa"/>
          </w:tcPr>
          <w:p w14:paraId="557D627E" w14:textId="77777777" w:rsidR="00B113A0" w:rsidRPr="00CC31BA" w:rsidRDefault="00B113A0" w:rsidP="00B113A0">
            <w:r w:rsidRPr="00CC31BA">
              <w:t>ULN</w:t>
            </w:r>
          </w:p>
        </w:tc>
        <w:tc>
          <w:tcPr>
            <w:tcW w:w="6830" w:type="dxa"/>
          </w:tcPr>
          <w:p w14:paraId="46386606" w14:textId="77777777" w:rsidR="00B113A0" w:rsidRPr="00CC31BA" w:rsidRDefault="00B113A0" w:rsidP="00B113A0">
            <w:r>
              <w:t>U</w:t>
            </w:r>
            <w:r w:rsidRPr="00CC31BA">
              <w:t>pper limit of normal</w:t>
            </w:r>
          </w:p>
        </w:tc>
      </w:tr>
    </w:tbl>
    <w:p w14:paraId="56A44433" w14:textId="77777777" w:rsidR="00242737" w:rsidRDefault="00242737" w:rsidP="008E7846">
      <w:pPr>
        <w:pStyle w:val="Heading2"/>
        <w:rPr>
          <w:b w:val="0"/>
        </w:rPr>
      </w:pPr>
    </w:p>
    <w:p w14:paraId="76D92C12" w14:textId="77777777" w:rsidR="00242737" w:rsidRDefault="00242737">
      <w:pPr>
        <w:spacing w:before="0" w:after="200" w:line="0" w:lineRule="auto"/>
        <w:rPr>
          <w:rFonts w:ascii="Arial" w:eastAsia="Times New Roman" w:hAnsi="Arial"/>
          <w:bCs/>
          <w:sz w:val="32"/>
          <w:szCs w:val="26"/>
        </w:rPr>
      </w:pPr>
      <w:r>
        <w:rPr>
          <w:b/>
        </w:rPr>
        <w:br w:type="page"/>
      </w:r>
    </w:p>
    <w:p w14:paraId="047C9CB0" w14:textId="77777777" w:rsidR="00242737" w:rsidRDefault="00242737" w:rsidP="00242737">
      <w:pPr>
        <w:pStyle w:val="Heading2"/>
        <w:rPr>
          <w:lang w:eastAsia="en-AU"/>
        </w:rPr>
      </w:pPr>
      <w:bookmarkStart w:id="8" w:name="_Toc383680700"/>
      <w:bookmarkStart w:id="9" w:name="_Toc247691502"/>
      <w:bookmarkStart w:id="10" w:name="_Toc314842483"/>
      <w:bookmarkEnd w:id="0"/>
      <w:bookmarkEnd w:id="2"/>
      <w:r>
        <w:rPr>
          <w:lang w:eastAsia="en-AU"/>
        </w:rPr>
        <w:lastRenderedPageBreak/>
        <w:t>Introduction to product submission</w:t>
      </w:r>
      <w:bookmarkEnd w:id="8"/>
    </w:p>
    <w:p w14:paraId="3B93C003" w14:textId="77777777" w:rsidR="008E7846" w:rsidRDefault="008E7846" w:rsidP="00242737">
      <w:pPr>
        <w:pStyle w:val="Heading3"/>
        <w:rPr>
          <w:lang w:eastAsia="en-AU"/>
        </w:rPr>
      </w:pPr>
      <w:bookmarkStart w:id="11" w:name="_Toc383680701"/>
      <w:r>
        <w:rPr>
          <w:lang w:eastAsia="en-AU"/>
        </w:rPr>
        <w:t>Submission details</w:t>
      </w:r>
      <w:bookmarkEnd w:id="9"/>
      <w:bookmarkEnd w:id="10"/>
      <w:bookmarkEnd w:id="11"/>
    </w:p>
    <w:tbl>
      <w:tblPr>
        <w:tblW w:w="9497" w:type="dxa"/>
        <w:tblInd w:w="108" w:type="dxa"/>
        <w:tblLook w:val="01E0" w:firstRow="1" w:lastRow="1" w:firstColumn="1" w:lastColumn="1" w:noHBand="0" w:noVBand="0"/>
      </w:tblPr>
      <w:tblGrid>
        <w:gridCol w:w="2907"/>
        <w:gridCol w:w="6307"/>
        <w:gridCol w:w="283"/>
      </w:tblGrid>
      <w:tr w:rsidR="008E7846" w:rsidRPr="003D1E62" w14:paraId="445B4A4B" w14:textId="77777777" w:rsidTr="00100F7D">
        <w:trPr>
          <w:trHeight w:hRule="exact" w:val="454"/>
        </w:trPr>
        <w:tc>
          <w:tcPr>
            <w:tcW w:w="2907" w:type="dxa"/>
          </w:tcPr>
          <w:p w14:paraId="2E3A1625"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0570683B" w14:textId="77777777" w:rsidR="008E7846" w:rsidRPr="003D1E62" w:rsidRDefault="008E7846" w:rsidP="00100F7D">
            <w:r w:rsidRPr="003D1E62">
              <w:t xml:space="preserve">New </w:t>
            </w:r>
            <w:r w:rsidR="001B5C90">
              <w:t>c</w:t>
            </w:r>
            <w:r w:rsidRPr="003D1E62">
              <w:t xml:space="preserve">hemical </w:t>
            </w:r>
            <w:r w:rsidR="001B5C90">
              <w:t>e</w:t>
            </w:r>
            <w:r w:rsidRPr="003D1E62">
              <w:t>ntity</w:t>
            </w:r>
          </w:p>
        </w:tc>
      </w:tr>
      <w:tr w:rsidR="008E7846" w:rsidRPr="003D1E62" w14:paraId="4B7EDAFB" w14:textId="77777777" w:rsidTr="00100F7D">
        <w:trPr>
          <w:trHeight w:hRule="exact" w:val="454"/>
        </w:trPr>
        <w:tc>
          <w:tcPr>
            <w:tcW w:w="2907" w:type="dxa"/>
          </w:tcPr>
          <w:p w14:paraId="7D3DF52F" w14:textId="77777777" w:rsidR="008E7846" w:rsidRPr="003D1E62" w:rsidRDefault="008E7846" w:rsidP="003D1E62">
            <w:r w:rsidRPr="003D1E62">
              <w:rPr>
                <w:i/>
              </w:rPr>
              <w:t>Decision</w:t>
            </w:r>
            <w:r w:rsidRPr="003D1E62">
              <w:t>:</w:t>
            </w:r>
          </w:p>
        </w:tc>
        <w:tc>
          <w:tcPr>
            <w:tcW w:w="6590" w:type="dxa"/>
            <w:gridSpan w:val="2"/>
          </w:tcPr>
          <w:p w14:paraId="4CF41963" w14:textId="77777777" w:rsidR="008E7846" w:rsidRPr="003D1E62" w:rsidRDefault="008E7846" w:rsidP="00100F7D">
            <w:r w:rsidRPr="003D1E62">
              <w:t xml:space="preserve">Approved </w:t>
            </w:r>
          </w:p>
        </w:tc>
      </w:tr>
      <w:tr w:rsidR="008E7846" w:rsidRPr="003D1E62" w14:paraId="076EBFA5" w14:textId="77777777" w:rsidTr="00100F7D">
        <w:trPr>
          <w:trHeight w:hRule="exact" w:val="454"/>
        </w:trPr>
        <w:tc>
          <w:tcPr>
            <w:tcW w:w="2907" w:type="dxa"/>
          </w:tcPr>
          <w:p w14:paraId="5CA3BE3A"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10C59841" w14:textId="77777777" w:rsidR="008E7846" w:rsidRPr="003D1E62" w:rsidRDefault="00B5322F" w:rsidP="00B5322F">
            <w:r>
              <w:t>28 October 2013</w:t>
            </w:r>
          </w:p>
        </w:tc>
      </w:tr>
      <w:tr w:rsidR="008E7846" w:rsidRPr="00487162" w14:paraId="421FCE15" w14:textId="77777777" w:rsidTr="00100F7D">
        <w:trPr>
          <w:gridAfter w:val="1"/>
          <w:wAfter w:w="283" w:type="dxa"/>
        </w:trPr>
        <w:tc>
          <w:tcPr>
            <w:tcW w:w="2907" w:type="dxa"/>
          </w:tcPr>
          <w:p w14:paraId="3EBAE21A" w14:textId="77777777" w:rsidR="008E7846" w:rsidRPr="00487162" w:rsidRDefault="001B5C90" w:rsidP="00100F7D">
            <w:pPr>
              <w:rPr>
                <w:i/>
              </w:rPr>
            </w:pPr>
            <w:r>
              <w:rPr>
                <w:i/>
              </w:rPr>
              <w:t>Active ingredient:</w:t>
            </w:r>
          </w:p>
        </w:tc>
        <w:tc>
          <w:tcPr>
            <w:tcW w:w="6307" w:type="dxa"/>
          </w:tcPr>
          <w:p w14:paraId="2280CC06" w14:textId="77777777" w:rsidR="008E7846" w:rsidRPr="00100F7D" w:rsidRDefault="00100F7D" w:rsidP="00B5322F">
            <w:proofErr w:type="spellStart"/>
            <w:r w:rsidRPr="00100F7D">
              <w:t>Pasireotide</w:t>
            </w:r>
            <w:proofErr w:type="spellEnd"/>
            <w:r w:rsidRPr="00100F7D">
              <w:t xml:space="preserve"> (as </w:t>
            </w:r>
            <w:proofErr w:type="spellStart"/>
            <w:r w:rsidRPr="00100F7D">
              <w:t>diaspartate</w:t>
            </w:r>
            <w:proofErr w:type="spellEnd"/>
            <w:r w:rsidRPr="00100F7D">
              <w:t>)</w:t>
            </w:r>
          </w:p>
        </w:tc>
      </w:tr>
      <w:tr w:rsidR="008E7846" w:rsidRPr="00487162" w14:paraId="335D29FC" w14:textId="77777777" w:rsidTr="00100F7D">
        <w:trPr>
          <w:gridAfter w:val="1"/>
          <w:wAfter w:w="283" w:type="dxa"/>
        </w:trPr>
        <w:tc>
          <w:tcPr>
            <w:tcW w:w="2907" w:type="dxa"/>
          </w:tcPr>
          <w:p w14:paraId="5931D58B" w14:textId="77777777" w:rsidR="008E7846" w:rsidRPr="00487162" w:rsidRDefault="008E7846" w:rsidP="00100F7D">
            <w:pPr>
              <w:rPr>
                <w:i/>
              </w:rPr>
            </w:pPr>
            <w:r w:rsidRPr="00487162">
              <w:rPr>
                <w:i/>
              </w:rPr>
              <w:t>Product</w:t>
            </w:r>
            <w:r w:rsidR="001B5C90">
              <w:rPr>
                <w:i/>
              </w:rPr>
              <w:t xml:space="preserve"> name:</w:t>
            </w:r>
          </w:p>
        </w:tc>
        <w:tc>
          <w:tcPr>
            <w:tcW w:w="6307" w:type="dxa"/>
          </w:tcPr>
          <w:p w14:paraId="67DA0E22" w14:textId="77777777" w:rsidR="008E7846" w:rsidRPr="00487162" w:rsidRDefault="00100F7D" w:rsidP="00E45619">
            <w:r>
              <w:t>Signifor</w:t>
            </w:r>
          </w:p>
        </w:tc>
      </w:tr>
      <w:tr w:rsidR="008E7846" w:rsidRPr="00487162" w14:paraId="4AF6652C" w14:textId="77777777" w:rsidTr="004212BC">
        <w:trPr>
          <w:gridAfter w:val="1"/>
          <w:wAfter w:w="283" w:type="dxa"/>
        </w:trPr>
        <w:tc>
          <w:tcPr>
            <w:tcW w:w="2907" w:type="dxa"/>
            <w:shd w:val="clear" w:color="auto" w:fill="auto"/>
          </w:tcPr>
          <w:p w14:paraId="18207726"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087B509" w14:textId="77777777" w:rsidR="008E7846" w:rsidRDefault="00100F7D" w:rsidP="00100F7D">
            <w:r w:rsidRPr="00100F7D">
              <w:t>Novartis Pharmaceuticals Australia Pty Ltd</w:t>
            </w:r>
            <w:r w:rsidR="00B5322F">
              <w:t xml:space="preserve"> </w:t>
            </w:r>
          </w:p>
          <w:p w14:paraId="6138F801" w14:textId="77777777" w:rsidR="004212BC" w:rsidRDefault="004212BC" w:rsidP="004212BC">
            <w:r w:rsidRPr="004212BC">
              <w:t>54 Waterloo Road</w:t>
            </w:r>
          </w:p>
          <w:p w14:paraId="618F211E" w14:textId="77777777" w:rsidR="00B5322F" w:rsidRPr="00100F7D" w:rsidRDefault="004212BC" w:rsidP="004212BC">
            <w:r w:rsidRPr="004212BC">
              <w:t>N</w:t>
            </w:r>
            <w:r>
              <w:t xml:space="preserve">orth </w:t>
            </w:r>
            <w:r w:rsidRPr="004212BC">
              <w:t>R</w:t>
            </w:r>
            <w:r>
              <w:t>yde   NSW   2113</w:t>
            </w:r>
          </w:p>
        </w:tc>
      </w:tr>
      <w:tr w:rsidR="008E7846" w:rsidRPr="00487162" w14:paraId="6E281A0F" w14:textId="77777777" w:rsidTr="00100F7D">
        <w:trPr>
          <w:gridAfter w:val="1"/>
          <w:wAfter w:w="283" w:type="dxa"/>
        </w:trPr>
        <w:tc>
          <w:tcPr>
            <w:tcW w:w="2907" w:type="dxa"/>
          </w:tcPr>
          <w:p w14:paraId="69942AB0" w14:textId="77777777" w:rsidR="008E7846" w:rsidRPr="00487162" w:rsidRDefault="001B5C90" w:rsidP="00100F7D">
            <w:pPr>
              <w:rPr>
                <w:i/>
              </w:rPr>
            </w:pPr>
            <w:r>
              <w:rPr>
                <w:i/>
              </w:rPr>
              <w:t>Dose form:</w:t>
            </w:r>
          </w:p>
        </w:tc>
        <w:tc>
          <w:tcPr>
            <w:tcW w:w="6307" w:type="dxa"/>
          </w:tcPr>
          <w:p w14:paraId="74369CBE" w14:textId="77777777" w:rsidR="008E7846" w:rsidRPr="00100F7D" w:rsidRDefault="003D4CAF" w:rsidP="003D4CAF">
            <w:r>
              <w:t>So</w:t>
            </w:r>
            <w:r w:rsidR="00100F7D" w:rsidRPr="00100F7D">
              <w:t xml:space="preserve">lution for injection </w:t>
            </w:r>
          </w:p>
        </w:tc>
      </w:tr>
      <w:tr w:rsidR="008E7846" w:rsidRPr="00487162" w14:paraId="31FE4B2D" w14:textId="77777777" w:rsidTr="00100F7D">
        <w:trPr>
          <w:gridAfter w:val="1"/>
          <w:wAfter w:w="283" w:type="dxa"/>
        </w:trPr>
        <w:tc>
          <w:tcPr>
            <w:tcW w:w="2907" w:type="dxa"/>
          </w:tcPr>
          <w:p w14:paraId="137CA72A" w14:textId="77777777" w:rsidR="008E7846" w:rsidRPr="00487162" w:rsidRDefault="008E7846" w:rsidP="00100F7D">
            <w:pPr>
              <w:rPr>
                <w:i/>
              </w:rPr>
            </w:pPr>
            <w:r w:rsidRPr="00487162">
              <w:rPr>
                <w:i/>
              </w:rPr>
              <w:t xml:space="preserve">Strengths: </w:t>
            </w:r>
          </w:p>
        </w:tc>
        <w:tc>
          <w:tcPr>
            <w:tcW w:w="6307" w:type="dxa"/>
          </w:tcPr>
          <w:p w14:paraId="3025B786" w14:textId="77777777" w:rsidR="008E7846" w:rsidRPr="00100F7D" w:rsidRDefault="00100F7D" w:rsidP="00100F7D">
            <w:r w:rsidRPr="00100F7D">
              <w:t xml:space="preserve">300 </w:t>
            </w:r>
            <w:r>
              <w:t>µ</w:t>
            </w:r>
            <w:r w:rsidRPr="00100F7D">
              <w:t xml:space="preserve">g/1 mL, 600 </w:t>
            </w:r>
            <w:r>
              <w:t>µ</w:t>
            </w:r>
            <w:r w:rsidRPr="00100F7D">
              <w:t xml:space="preserve">g/1 mL and 900 </w:t>
            </w:r>
            <w:r>
              <w:t>µ</w:t>
            </w:r>
            <w:r w:rsidRPr="00100F7D">
              <w:t>g/1 mL</w:t>
            </w:r>
          </w:p>
        </w:tc>
      </w:tr>
      <w:tr w:rsidR="008E7846" w:rsidRPr="00487162" w14:paraId="0F795115" w14:textId="77777777" w:rsidTr="00100F7D">
        <w:trPr>
          <w:gridAfter w:val="1"/>
          <w:wAfter w:w="283" w:type="dxa"/>
        </w:trPr>
        <w:tc>
          <w:tcPr>
            <w:tcW w:w="2907" w:type="dxa"/>
          </w:tcPr>
          <w:p w14:paraId="0396B95F" w14:textId="77777777" w:rsidR="008E7846" w:rsidRPr="00487162" w:rsidRDefault="008E7846" w:rsidP="00100F7D">
            <w:pPr>
              <w:rPr>
                <w:i/>
              </w:rPr>
            </w:pPr>
            <w:r w:rsidRPr="00487162">
              <w:rPr>
                <w:i/>
              </w:rPr>
              <w:t>Container:</w:t>
            </w:r>
          </w:p>
        </w:tc>
        <w:tc>
          <w:tcPr>
            <w:tcW w:w="6307" w:type="dxa"/>
          </w:tcPr>
          <w:p w14:paraId="48521195" w14:textId="77777777" w:rsidR="008E7846" w:rsidRPr="00100F7D" w:rsidRDefault="000F1D0D" w:rsidP="000F1D0D">
            <w:r>
              <w:t>G</w:t>
            </w:r>
            <w:r w:rsidR="00100F7D" w:rsidRPr="00100F7D">
              <w:t xml:space="preserve">lass ampoules </w:t>
            </w:r>
          </w:p>
        </w:tc>
      </w:tr>
      <w:tr w:rsidR="008E7846" w:rsidRPr="00487162" w14:paraId="59AC67AD" w14:textId="77777777" w:rsidTr="00100F7D">
        <w:trPr>
          <w:gridAfter w:val="1"/>
          <w:wAfter w:w="283" w:type="dxa"/>
        </w:trPr>
        <w:tc>
          <w:tcPr>
            <w:tcW w:w="2907" w:type="dxa"/>
          </w:tcPr>
          <w:p w14:paraId="3C283ED6" w14:textId="77777777" w:rsidR="008E7846" w:rsidRPr="00487162" w:rsidRDefault="008E7846" w:rsidP="00100F7D">
            <w:pPr>
              <w:rPr>
                <w:i/>
              </w:rPr>
            </w:pPr>
            <w:r w:rsidRPr="00487162">
              <w:rPr>
                <w:i/>
              </w:rPr>
              <w:t>Pack sizes:</w:t>
            </w:r>
          </w:p>
        </w:tc>
        <w:tc>
          <w:tcPr>
            <w:tcW w:w="6307" w:type="dxa"/>
          </w:tcPr>
          <w:p w14:paraId="6EFF7806" w14:textId="77777777" w:rsidR="008E7846" w:rsidRPr="00100F7D" w:rsidRDefault="00100F7D" w:rsidP="00100F7D">
            <w:r w:rsidRPr="00100F7D">
              <w:t xml:space="preserve">Cartons containing 6, 30 and 60 ampoules </w:t>
            </w:r>
          </w:p>
        </w:tc>
      </w:tr>
      <w:tr w:rsidR="008E7846" w:rsidRPr="00487162" w14:paraId="34BB5614" w14:textId="77777777" w:rsidTr="00100F7D">
        <w:trPr>
          <w:gridAfter w:val="1"/>
          <w:wAfter w:w="283" w:type="dxa"/>
        </w:trPr>
        <w:tc>
          <w:tcPr>
            <w:tcW w:w="2907" w:type="dxa"/>
          </w:tcPr>
          <w:p w14:paraId="46124E7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758CCF3" w14:textId="77777777" w:rsidR="008E7846" w:rsidRPr="000F1D0D" w:rsidRDefault="00100F7D" w:rsidP="00100F7D">
            <w:pPr>
              <w:rPr>
                <w:i/>
              </w:rPr>
            </w:pPr>
            <w:r w:rsidRPr="000F1D0D">
              <w:rPr>
                <w:i/>
              </w:rPr>
              <w:t>The treatment of patients with Cushing’s disease for whom medical therapy is appropriate</w:t>
            </w:r>
          </w:p>
        </w:tc>
      </w:tr>
      <w:tr w:rsidR="008E7846" w:rsidRPr="00487162" w14:paraId="27B59104" w14:textId="77777777" w:rsidTr="00100F7D">
        <w:trPr>
          <w:gridAfter w:val="1"/>
          <w:wAfter w:w="283" w:type="dxa"/>
        </w:trPr>
        <w:tc>
          <w:tcPr>
            <w:tcW w:w="2907" w:type="dxa"/>
          </w:tcPr>
          <w:p w14:paraId="11E201E7" w14:textId="77777777" w:rsidR="008E7846" w:rsidRPr="00487162" w:rsidRDefault="008E7846" w:rsidP="00100F7D">
            <w:pPr>
              <w:rPr>
                <w:i/>
              </w:rPr>
            </w:pPr>
            <w:r w:rsidRPr="00487162">
              <w:rPr>
                <w:i/>
              </w:rPr>
              <w:t>Route of administration:</w:t>
            </w:r>
          </w:p>
        </w:tc>
        <w:tc>
          <w:tcPr>
            <w:tcW w:w="6307" w:type="dxa"/>
          </w:tcPr>
          <w:p w14:paraId="266FBD15" w14:textId="77777777" w:rsidR="008E7846" w:rsidRPr="00100F7D" w:rsidRDefault="00100F7D" w:rsidP="00100F7D">
            <w:r w:rsidRPr="00100F7D">
              <w:t>Subcutaneous injection</w:t>
            </w:r>
          </w:p>
        </w:tc>
      </w:tr>
      <w:tr w:rsidR="008E7846" w:rsidRPr="00487162" w14:paraId="7AF1367A" w14:textId="77777777" w:rsidTr="00100F7D">
        <w:trPr>
          <w:gridAfter w:val="1"/>
          <w:wAfter w:w="283" w:type="dxa"/>
        </w:trPr>
        <w:tc>
          <w:tcPr>
            <w:tcW w:w="2907" w:type="dxa"/>
          </w:tcPr>
          <w:p w14:paraId="7B891DBE" w14:textId="77777777" w:rsidR="008E7846" w:rsidRPr="00487162" w:rsidRDefault="008E7846" w:rsidP="00E45619">
            <w:pPr>
              <w:rPr>
                <w:i/>
              </w:rPr>
            </w:pPr>
            <w:r w:rsidRPr="00487162">
              <w:rPr>
                <w:i/>
              </w:rPr>
              <w:t>Dosage:</w:t>
            </w:r>
          </w:p>
        </w:tc>
        <w:tc>
          <w:tcPr>
            <w:tcW w:w="6307" w:type="dxa"/>
          </w:tcPr>
          <w:p w14:paraId="5646F350" w14:textId="77777777" w:rsidR="008E7846" w:rsidRPr="00100F7D" w:rsidRDefault="009A7C0B" w:rsidP="009A7C0B">
            <w:r w:rsidRPr="009A7C0B">
              <w:t>300</w:t>
            </w:r>
            <w:r>
              <w:t xml:space="preserve"> µ</w:t>
            </w:r>
            <w:r w:rsidRPr="009A7C0B">
              <w:t>g to</w:t>
            </w:r>
            <w:r>
              <w:t xml:space="preserve"> </w:t>
            </w:r>
            <w:r w:rsidRPr="009A7C0B">
              <w:t xml:space="preserve">900 </w:t>
            </w:r>
            <w:r>
              <w:t>µ</w:t>
            </w:r>
            <w:r w:rsidRPr="009A7C0B">
              <w:t>g twice a day.</w:t>
            </w:r>
          </w:p>
        </w:tc>
      </w:tr>
      <w:tr w:rsidR="008E7846" w:rsidRPr="00487162" w14:paraId="4F70CB5C" w14:textId="77777777" w:rsidTr="00100F7D">
        <w:trPr>
          <w:gridAfter w:val="1"/>
          <w:wAfter w:w="283" w:type="dxa"/>
        </w:trPr>
        <w:tc>
          <w:tcPr>
            <w:tcW w:w="2907" w:type="dxa"/>
          </w:tcPr>
          <w:p w14:paraId="12C3CE2D" w14:textId="77777777" w:rsidR="008E7846" w:rsidRPr="00487162" w:rsidRDefault="008E7846" w:rsidP="004E2A98">
            <w:pPr>
              <w:rPr>
                <w:i/>
              </w:rPr>
            </w:pPr>
            <w:r w:rsidRPr="00487162">
              <w:rPr>
                <w:i/>
              </w:rPr>
              <w:t xml:space="preserve">ARTG </w:t>
            </w:r>
            <w:r w:rsidR="001B5C90">
              <w:rPr>
                <w:i/>
              </w:rPr>
              <w:t>n</w:t>
            </w:r>
            <w:r w:rsidRPr="00487162">
              <w:rPr>
                <w:i/>
              </w:rPr>
              <w:t>umbers</w:t>
            </w:r>
            <w:r w:rsidR="001B5C90">
              <w:rPr>
                <w:i/>
              </w:rPr>
              <w:t>:</w:t>
            </w:r>
          </w:p>
        </w:tc>
        <w:tc>
          <w:tcPr>
            <w:tcW w:w="6307" w:type="dxa"/>
          </w:tcPr>
          <w:p w14:paraId="7CC93E87" w14:textId="77777777" w:rsidR="008E7846" w:rsidRPr="00487162" w:rsidRDefault="004E2A98" w:rsidP="004E2A98">
            <w:r>
              <w:t>201484, 201485, 201486</w:t>
            </w:r>
          </w:p>
        </w:tc>
      </w:tr>
    </w:tbl>
    <w:p w14:paraId="35366E40" w14:textId="77777777" w:rsidR="008E7846" w:rsidRDefault="008E7846" w:rsidP="008E7846">
      <w:pPr>
        <w:pStyle w:val="Heading3"/>
      </w:pPr>
      <w:bookmarkStart w:id="12" w:name="_Toc247691503"/>
      <w:bookmarkStart w:id="13" w:name="_Toc314842484"/>
      <w:bookmarkStart w:id="14" w:name="_Toc383680702"/>
      <w:r>
        <w:t>Product background</w:t>
      </w:r>
      <w:bookmarkEnd w:id="12"/>
      <w:bookmarkEnd w:id="13"/>
      <w:bookmarkEnd w:id="14"/>
    </w:p>
    <w:p w14:paraId="04306153" w14:textId="77777777" w:rsidR="004D5B38" w:rsidRDefault="004D5B38" w:rsidP="004D5B38">
      <w:r w:rsidRPr="00087317">
        <w:t xml:space="preserve">Novartis Pharmaceuticals Australia seeks registration of the new chemical entity </w:t>
      </w:r>
      <w:proofErr w:type="spellStart"/>
      <w:r w:rsidRPr="00087317">
        <w:t>pasireotide</w:t>
      </w:r>
      <w:proofErr w:type="spellEnd"/>
      <w:r w:rsidR="00826A5E">
        <w:t xml:space="preserve"> (as </w:t>
      </w:r>
      <w:proofErr w:type="spellStart"/>
      <w:r w:rsidRPr="00087317">
        <w:t>diaspartate</w:t>
      </w:r>
      <w:proofErr w:type="spellEnd"/>
      <w:r w:rsidR="00826A5E">
        <w:t>)</w:t>
      </w:r>
      <w:r w:rsidRPr="00087317">
        <w:t xml:space="preserve">, which is a </w:t>
      </w:r>
      <w:r w:rsidRPr="006B6961">
        <w:rPr>
          <w:szCs w:val="24"/>
        </w:rPr>
        <w:t xml:space="preserve">novel </w:t>
      </w:r>
      <w:proofErr w:type="spellStart"/>
      <w:r>
        <w:rPr>
          <w:szCs w:val="24"/>
        </w:rPr>
        <w:t>cyclohexapeptide</w:t>
      </w:r>
      <w:proofErr w:type="spellEnd"/>
      <w:r>
        <w:rPr>
          <w:szCs w:val="24"/>
        </w:rPr>
        <w:t xml:space="preserve"> containing the </w:t>
      </w:r>
      <w:r w:rsidRPr="006B6961">
        <w:rPr>
          <w:szCs w:val="24"/>
        </w:rPr>
        <w:t xml:space="preserve">amino acids </w:t>
      </w:r>
      <w:r>
        <w:rPr>
          <w:szCs w:val="24"/>
        </w:rPr>
        <w:t>L-</w:t>
      </w:r>
      <w:r w:rsidRPr="006B6961">
        <w:rPr>
          <w:szCs w:val="24"/>
        </w:rPr>
        <w:t xml:space="preserve">lysine, </w:t>
      </w:r>
      <w:r>
        <w:rPr>
          <w:szCs w:val="24"/>
        </w:rPr>
        <w:t>D-</w:t>
      </w:r>
      <w:r w:rsidRPr="006B6961">
        <w:rPr>
          <w:szCs w:val="24"/>
        </w:rPr>
        <w:t xml:space="preserve">tryptophan, </w:t>
      </w:r>
      <w:r>
        <w:rPr>
          <w:szCs w:val="24"/>
        </w:rPr>
        <w:t>L-</w:t>
      </w:r>
      <w:r w:rsidRPr="006B6961">
        <w:rPr>
          <w:szCs w:val="24"/>
        </w:rPr>
        <w:t xml:space="preserve">phenylglycine, </w:t>
      </w:r>
      <w:proofErr w:type="spellStart"/>
      <w:r w:rsidRPr="006B6961">
        <w:rPr>
          <w:szCs w:val="24"/>
        </w:rPr>
        <w:t>aminoethylcarbamoyl</w:t>
      </w:r>
      <w:proofErr w:type="spellEnd"/>
      <w:r w:rsidRPr="006B6961">
        <w:rPr>
          <w:szCs w:val="24"/>
        </w:rPr>
        <w:t>-</w:t>
      </w:r>
      <w:r>
        <w:rPr>
          <w:szCs w:val="24"/>
        </w:rPr>
        <w:t>L-</w:t>
      </w:r>
      <w:r w:rsidRPr="006B6961">
        <w:rPr>
          <w:szCs w:val="24"/>
        </w:rPr>
        <w:t xml:space="preserve">hydroxyproline, </w:t>
      </w:r>
      <w:r>
        <w:rPr>
          <w:szCs w:val="24"/>
        </w:rPr>
        <w:t>L-</w:t>
      </w:r>
      <w:r w:rsidRPr="006B6961">
        <w:rPr>
          <w:szCs w:val="24"/>
        </w:rPr>
        <w:t>phen</w:t>
      </w:r>
      <w:r>
        <w:rPr>
          <w:szCs w:val="24"/>
        </w:rPr>
        <w:t>ylalanine and O-benzyl-L-tyrosine.</w:t>
      </w:r>
      <w:r>
        <w:t xml:space="preserve"> It will be formulated</w:t>
      </w:r>
      <w:r w:rsidRPr="00087317">
        <w:t xml:space="preserve"> as</w:t>
      </w:r>
      <w:r>
        <w:t xml:space="preserve"> single dose solutions for injection containing </w:t>
      </w:r>
      <w:r w:rsidRPr="00087317">
        <w:t>300</w:t>
      </w:r>
      <w:r w:rsidR="006D5E5E">
        <w:t xml:space="preserve"> </w:t>
      </w:r>
      <w:r w:rsidRPr="00204539">
        <w:rPr>
          <w:rFonts w:ascii="Symbol" w:hAnsi="Symbol"/>
        </w:rPr>
        <w:t></w:t>
      </w:r>
      <w:r w:rsidRPr="00087317">
        <w:t>g/</w:t>
      </w:r>
      <w:r>
        <w:t xml:space="preserve">1 </w:t>
      </w:r>
      <w:r w:rsidRPr="00087317">
        <w:t>mL, 600</w:t>
      </w:r>
      <w:r>
        <w:t xml:space="preserve"> </w:t>
      </w:r>
      <w:r w:rsidRPr="00204539">
        <w:rPr>
          <w:rFonts w:ascii="Symbol" w:hAnsi="Symbol"/>
        </w:rPr>
        <w:t></w:t>
      </w:r>
      <w:r w:rsidRPr="00087317">
        <w:t>g/</w:t>
      </w:r>
      <w:r>
        <w:t xml:space="preserve">1 </w:t>
      </w:r>
      <w:r w:rsidRPr="00087317">
        <w:t xml:space="preserve">mL and 900 </w:t>
      </w:r>
      <w:r w:rsidRPr="00204539">
        <w:rPr>
          <w:rFonts w:ascii="Symbol" w:hAnsi="Symbol"/>
        </w:rPr>
        <w:t></w:t>
      </w:r>
      <w:r w:rsidRPr="00087317">
        <w:t>g/</w:t>
      </w:r>
      <w:r>
        <w:t xml:space="preserve">1 </w:t>
      </w:r>
      <w:r w:rsidRPr="00087317">
        <w:t>mL</w:t>
      </w:r>
      <w:r>
        <w:t xml:space="preserve"> of pasireotide. The proposed product was granted orphan drug status by the TGA in 2011.</w:t>
      </w:r>
    </w:p>
    <w:p w14:paraId="4F1258FC" w14:textId="77777777" w:rsidR="004D5B38" w:rsidRDefault="004D5B38" w:rsidP="004D5B38">
      <w:proofErr w:type="spellStart"/>
      <w:r w:rsidRPr="00574D77">
        <w:t>Pasireotide</w:t>
      </w:r>
      <w:proofErr w:type="spellEnd"/>
      <w:r w:rsidRPr="00574D77">
        <w:t xml:space="preserve"> is a somatostatin analogue and exerts its pharmacological activity by binding to four of the five known somatostatin receptors (SSTR) that are found in large numbers in the tumour cells of the pituitary gland. Pasireotide binds to each of these receptors and blocks the release of adrenocort</w:t>
      </w:r>
      <w:r>
        <w:t>icotrophin (ACTH). This in turn</w:t>
      </w:r>
      <w:r w:rsidRPr="00574D77">
        <w:t xml:space="preserve"> results in the reduction of cortisol levels, thereby helping to relieve the symptoms assoc</w:t>
      </w:r>
      <w:r>
        <w:t>iated with Cushing’s disease.</w:t>
      </w:r>
    </w:p>
    <w:p w14:paraId="0DEC9F5B" w14:textId="77777777" w:rsidR="001D7979" w:rsidRDefault="004D5B38" w:rsidP="004D5B38">
      <w:r w:rsidRPr="00A85F30">
        <w:t>The proposed product is indicated for</w:t>
      </w:r>
      <w:r w:rsidR="001D7979">
        <w:t>:</w:t>
      </w:r>
    </w:p>
    <w:p w14:paraId="49AA1770" w14:textId="77777777" w:rsidR="004D5B38" w:rsidRPr="001D7979" w:rsidRDefault="004D5B38" w:rsidP="001D7979">
      <w:pPr>
        <w:ind w:left="720"/>
        <w:rPr>
          <w:i/>
        </w:rPr>
      </w:pPr>
      <w:r w:rsidRPr="001D7979">
        <w:rPr>
          <w:i/>
        </w:rPr>
        <w:t>the treatment of patients with Cushing’s disease for whom medical therapy is appropriate.</w:t>
      </w:r>
    </w:p>
    <w:p w14:paraId="1D51F211" w14:textId="77777777" w:rsidR="008E7846" w:rsidRPr="003F31A2" w:rsidRDefault="00386150" w:rsidP="008E7846">
      <w:pPr>
        <w:pStyle w:val="Heading3"/>
      </w:pPr>
      <w:bookmarkStart w:id="15" w:name="_Toc314842485"/>
      <w:bookmarkStart w:id="16" w:name="_Toc383680703"/>
      <w:bookmarkStart w:id="17" w:name="_Toc247691504"/>
      <w:r>
        <w:lastRenderedPageBreak/>
        <w:t>Regulatory s</w:t>
      </w:r>
      <w:r w:rsidR="008E7846">
        <w:t>tatus</w:t>
      </w:r>
      <w:bookmarkEnd w:id="15"/>
      <w:bookmarkEnd w:id="16"/>
      <w:r w:rsidR="008E7846">
        <w:t xml:space="preserve"> </w:t>
      </w:r>
      <w:bookmarkEnd w:id="17"/>
    </w:p>
    <w:p w14:paraId="6BC02980" w14:textId="77777777" w:rsidR="003D4CAF" w:rsidRDefault="008E7846" w:rsidP="00915A9C">
      <w:r>
        <w:t>The product received initial ARTG Registration on</w:t>
      </w:r>
      <w:r w:rsidR="003D4CAF">
        <w:t xml:space="preserve"> 1 November 2013</w:t>
      </w:r>
    </w:p>
    <w:p w14:paraId="4604FD99" w14:textId="77777777" w:rsidR="00915A9C" w:rsidRPr="00915A9C" w:rsidRDefault="003D4CAF" w:rsidP="00915A9C">
      <w:r>
        <w:t>A</w:t>
      </w:r>
      <w:r w:rsidR="00915A9C" w:rsidRPr="00915A9C">
        <w:t>pplications for Signifor have been submitted or approved in several jurisdictions (listed in Table 1</w:t>
      </w:r>
      <w:r w:rsidR="00915A9C">
        <w:t>)</w:t>
      </w:r>
      <w:r w:rsidR="00915A9C" w:rsidRPr="00915A9C">
        <w:t>.</w:t>
      </w:r>
    </w:p>
    <w:p w14:paraId="4881B837" w14:textId="77777777" w:rsidR="003D4CAF" w:rsidRDefault="00915A9C" w:rsidP="00242737">
      <w:pPr>
        <w:keepNext/>
        <w:keepLines/>
        <w:rPr>
          <w:rStyle w:val="TableTitleChar"/>
        </w:rPr>
      </w:pPr>
      <w:r w:rsidRPr="00242737">
        <w:rPr>
          <w:rStyle w:val="TableTitleChar"/>
        </w:rPr>
        <w:t>Table 1: Overseas registration status</w:t>
      </w:r>
    </w:p>
    <w:tbl>
      <w:tblPr>
        <w:tblStyle w:val="TableTGAblue"/>
        <w:tblW w:w="0" w:type="auto"/>
        <w:tblLook w:val="01E0" w:firstRow="1" w:lastRow="1" w:firstColumn="1" w:lastColumn="1" w:noHBand="0" w:noVBand="0"/>
      </w:tblPr>
      <w:tblGrid>
        <w:gridCol w:w="1667"/>
        <w:gridCol w:w="1403"/>
        <w:gridCol w:w="1392"/>
        <w:gridCol w:w="1398"/>
        <w:gridCol w:w="2624"/>
      </w:tblGrid>
      <w:tr w:rsidR="00242737" w:rsidRPr="00E12FE5" w14:paraId="585F12DB" w14:textId="77777777" w:rsidTr="007E68D3">
        <w:trPr>
          <w:cnfStyle w:val="100000000000" w:firstRow="1" w:lastRow="0" w:firstColumn="0" w:lastColumn="0" w:oddVBand="0" w:evenVBand="0" w:oddHBand="0" w:evenHBand="0" w:firstRowFirstColumn="0" w:firstRowLastColumn="0" w:lastRowFirstColumn="0" w:lastRowLastColumn="0"/>
        </w:trPr>
        <w:tc>
          <w:tcPr>
            <w:tcW w:w="1668" w:type="dxa"/>
          </w:tcPr>
          <w:p w14:paraId="3384E375" w14:textId="77777777" w:rsidR="00D7578E" w:rsidRPr="00DF7187" w:rsidRDefault="00D7578E" w:rsidP="00242737">
            <w:pPr>
              <w:keepLines/>
              <w:spacing w:before="0" w:after="0" w:line="360" w:lineRule="auto"/>
              <w:ind w:left="57" w:right="57"/>
              <w:rPr>
                <w:rFonts w:asciiTheme="minorHAnsi" w:hAnsiTheme="minorHAnsi"/>
                <w:b w:val="0"/>
                <w:sz w:val="18"/>
                <w:szCs w:val="18"/>
              </w:rPr>
            </w:pPr>
            <w:r w:rsidRPr="00DF7187">
              <w:rPr>
                <w:rFonts w:asciiTheme="minorHAnsi" w:hAnsiTheme="minorHAnsi"/>
                <w:sz w:val="18"/>
                <w:szCs w:val="18"/>
              </w:rPr>
              <w:t xml:space="preserve">Country/Region </w:t>
            </w:r>
          </w:p>
        </w:tc>
        <w:tc>
          <w:tcPr>
            <w:tcW w:w="1417" w:type="dxa"/>
          </w:tcPr>
          <w:p w14:paraId="0C16D24E" w14:textId="77777777" w:rsidR="00D7578E" w:rsidRPr="00DF7187" w:rsidRDefault="00D7578E" w:rsidP="00242737">
            <w:pPr>
              <w:keepLines/>
              <w:spacing w:before="0" w:after="0" w:line="360" w:lineRule="auto"/>
              <w:ind w:left="57" w:right="57"/>
              <w:rPr>
                <w:rFonts w:asciiTheme="minorHAnsi" w:hAnsiTheme="minorHAnsi"/>
                <w:b w:val="0"/>
                <w:sz w:val="18"/>
                <w:szCs w:val="18"/>
              </w:rPr>
            </w:pPr>
            <w:r w:rsidRPr="00DF7187">
              <w:rPr>
                <w:rFonts w:asciiTheme="minorHAnsi" w:hAnsiTheme="minorHAnsi"/>
                <w:sz w:val="18"/>
                <w:szCs w:val="18"/>
              </w:rPr>
              <w:t>Tradename</w:t>
            </w:r>
          </w:p>
        </w:tc>
        <w:tc>
          <w:tcPr>
            <w:tcW w:w="1418" w:type="dxa"/>
          </w:tcPr>
          <w:p w14:paraId="628EA2CC" w14:textId="77777777" w:rsidR="00D7578E" w:rsidRPr="00DF7187" w:rsidRDefault="00D7578E" w:rsidP="00242737">
            <w:pPr>
              <w:keepLines/>
              <w:spacing w:before="0" w:after="0" w:line="360" w:lineRule="auto"/>
              <w:ind w:left="57" w:right="57"/>
              <w:rPr>
                <w:rFonts w:asciiTheme="minorHAnsi" w:hAnsiTheme="minorHAnsi"/>
                <w:b w:val="0"/>
                <w:sz w:val="18"/>
                <w:szCs w:val="18"/>
              </w:rPr>
            </w:pPr>
            <w:r w:rsidRPr="00DF7187">
              <w:rPr>
                <w:rFonts w:asciiTheme="minorHAnsi" w:hAnsiTheme="minorHAnsi"/>
                <w:sz w:val="18"/>
                <w:szCs w:val="18"/>
              </w:rPr>
              <w:t>Submitted</w:t>
            </w:r>
          </w:p>
        </w:tc>
        <w:tc>
          <w:tcPr>
            <w:tcW w:w="1430" w:type="dxa"/>
          </w:tcPr>
          <w:p w14:paraId="15084940" w14:textId="77777777" w:rsidR="00D7578E" w:rsidRPr="00DF7187" w:rsidRDefault="00D7578E" w:rsidP="00242737">
            <w:pPr>
              <w:keepLines/>
              <w:spacing w:before="0" w:after="0" w:line="360" w:lineRule="auto"/>
              <w:ind w:left="57" w:right="57"/>
              <w:rPr>
                <w:rFonts w:asciiTheme="minorHAnsi" w:hAnsiTheme="minorHAnsi"/>
                <w:b w:val="0"/>
                <w:sz w:val="18"/>
                <w:szCs w:val="18"/>
              </w:rPr>
            </w:pPr>
            <w:r w:rsidRPr="00DF7187">
              <w:rPr>
                <w:rFonts w:asciiTheme="minorHAnsi" w:hAnsiTheme="minorHAnsi"/>
                <w:sz w:val="18"/>
                <w:szCs w:val="18"/>
              </w:rPr>
              <w:t>Approved</w:t>
            </w:r>
          </w:p>
        </w:tc>
        <w:tc>
          <w:tcPr>
            <w:tcW w:w="2787" w:type="dxa"/>
          </w:tcPr>
          <w:p w14:paraId="79EEC741" w14:textId="77777777" w:rsidR="00D7578E" w:rsidRPr="00DF7187" w:rsidRDefault="00D7578E" w:rsidP="00242737">
            <w:pPr>
              <w:keepLines/>
              <w:spacing w:before="0" w:after="0" w:line="360" w:lineRule="auto"/>
              <w:ind w:left="57" w:right="57"/>
              <w:rPr>
                <w:rFonts w:asciiTheme="minorHAnsi" w:hAnsiTheme="minorHAnsi"/>
                <w:b w:val="0"/>
                <w:sz w:val="18"/>
                <w:szCs w:val="18"/>
              </w:rPr>
            </w:pPr>
            <w:r w:rsidRPr="00DF7187">
              <w:rPr>
                <w:rFonts w:asciiTheme="minorHAnsi" w:hAnsiTheme="minorHAnsi"/>
                <w:sz w:val="18"/>
                <w:szCs w:val="18"/>
              </w:rPr>
              <w:t>Approved Indication</w:t>
            </w:r>
          </w:p>
        </w:tc>
      </w:tr>
      <w:tr w:rsidR="00242737" w:rsidRPr="00B22D29" w14:paraId="5A1C8C42" w14:textId="77777777" w:rsidTr="007E68D3">
        <w:tc>
          <w:tcPr>
            <w:tcW w:w="1668" w:type="dxa"/>
          </w:tcPr>
          <w:p w14:paraId="52633A58"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 xml:space="preserve">EU </w:t>
            </w:r>
          </w:p>
        </w:tc>
        <w:tc>
          <w:tcPr>
            <w:tcW w:w="1417" w:type="dxa"/>
          </w:tcPr>
          <w:p w14:paraId="43C21331" w14:textId="77777777" w:rsidR="00D7578E" w:rsidRPr="00DF7187" w:rsidRDefault="00D7578E" w:rsidP="00242737">
            <w:pPr>
              <w:keepNext/>
              <w:keepLines/>
              <w:spacing w:before="0" w:after="0"/>
              <w:ind w:left="57" w:right="57"/>
              <w:rPr>
                <w:rFonts w:asciiTheme="minorHAnsi" w:hAnsiTheme="minorHAnsi"/>
                <w:sz w:val="18"/>
                <w:szCs w:val="18"/>
              </w:rPr>
            </w:pPr>
            <w:r w:rsidRPr="00DF7187">
              <w:rPr>
                <w:rFonts w:asciiTheme="minorHAnsi" w:hAnsiTheme="minorHAnsi"/>
                <w:sz w:val="18"/>
                <w:szCs w:val="18"/>
              </w:rPr>
              <w:t>S</w:t>
            </w:r>
            <w:r w:rsidR="00242737">
              <w:rPr>
                <w:rFonts w:asciiTheme="minorHAnsi" w:hAnsiTheme="minorHAnsi"/>
                <w:sz w:val="18"/>
                <w:szCs w:val="18"/>
              </w:rPr>
              <w:t>ignifor</w:t>
            </w:r>
          </w:p>
        </w:tc>
        <w:tc>
          <w:tcPr>
            <w:tcW w:w="1418" w:type="dxa"/>
          </w:tcPr>
          <w:p w14:paraId="076714BF"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01-Oct-2010</w:t>
            </w:r>
          </w:p>
        </w:tc>
        <w:tc>
          <w:tcPr>
            <w:tcW w:w="1430" w:type="dxa"/>
          </w:tcPr>
          <w:p w14:paraId="1893A3FA"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24-Apr-2012</w:t>
            </w:r>
          </w:p>
        </w:tc>
        <w:tc>
          <w:tcPr>
            <w:tcW w:w="2787" w:type="dxa"/>
          </w:tcPr>
          <w:p w14:paraId="73067752" w14:textId="77777777" w:rsidR="00D7578E" w:rsidRPr="00DF7187" w:rsidRDefault="00D7578E" w:rsidP="00242737">
            <w:pPr>
              <w:keepNext/>
              <w:keepLines/>
              <w:spacing w:before="0" w:after="0" w:line="360" w:lineRule="auto"/>
              <w:ind w:left="57" w:right="57"/>
              <w:rPr>
                <w:rFonts w:asciiTheme="minorHAnsi" w:hAnsiTheme="minorHAnsi"/>
                <w:sz w:val="18"/>
                <w:szCs w:val="18"/>
                <w:lang w:val="en-US"/>
              </w:rPr>
            </w:pPr>
            <w:r w:rsidRPr="00DF7187">
              <w:rPr>
                <w:rFonts w:asciiTheme="minorHAnsi" w:hAnsiTheme="minorHAnsi"/>
                <w:sz w:val="18"/>
                <w:szCs w:val="18"/>
                <w:lang w:val="en-US"/>
              </w:rPr>
              <w:t>Signifor is indicated for the treatment of adult patients with Cushing’s disease for whom surgery is not an option or for whom surgery has failed.</w:t>
            </w:r>
          </w:p>
        </w:tc>
      </w:tr>
      <w:tr w:rsidR="00242737" w:rsidRPr="00B22D29" w14:paraId="477D3408" w14:textId="77777777" w:rsidTr="007E68D3">
        <w:tc>
          <w:tcPr>
            <w:tcW w:w="1668" w:type="dxa"/>
          </w:tcPr>
          <w:p w14:paraId="143DA967"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USA</w:t>
            </w:r>
          </w:p>
        </w:tc>
        <w:tc>
          <w:tcPr>
            <w:tcW w:w="1417" w:type="dxa"/>
          </w:tcPr>
          <w:p w14:paraId="1C989DB3" w14:textId="77777777" w:rsidR="00D7578E" w:rsidRPr="00DF7187" w:rsidRDefault="00242737" w:rsidP="00242737">
            <w:pPr>
              <w:keepNext/>
              <w:keepLines/>
              <w:spacing w:before="0" w:after="0"/>
              <w:ind w:left="57" w:right="57"/>
              <w:rPr>
                <w:rFonts w:asciiTheme="minorHAnsi" w:hAnsiTheme="minorHAnsi"/>
                <w:sz w:val="18"/>
                <w:szCs w:val="18"/>
              </w:rPr>
            </w:pPr>
            <w:r w:rsidRPr="00DF7187">
              <w:rPr>
                <w:rFonts w:asciiTheme="minorHAnsi" w:hAnsiTheme="minorHAnsi"/>
                <w:sz w:val="18"/>
                <w:szCs w:val="18"/>
              </w:rPr>
              <w:t>S</w:t>
            </w:r>
            <w:r>
              <w:rPr>
                <w:rFonts w:asciiTheme="minorHAnsi" w:hAnsiTheme="minorHAnsi"/>
                <w:sz w:val="18"/>
                <w:szCs w:val="18"/>
              </w:rPr>
              <w:t>ignifor</w:t>
            </w:r>
          </w:p>
        </w:tc>
        <w:tc>
          <w:tcPr>
            <w:tcW w:w="1418" w:type="dxa"/>
          </w:tcPr>
          <w:p w14:paraId="25E6A83B"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17-Feb-2012</w:t>
            </w:r>
          </w:p>
        </w:tc>
        <w:tc>
          <w:tcPr>
            <w:tcW w:w="1430" w:type="dxa"/>
          </w:tcPr>
          <w:p w14:paraId="1CD0AEDC"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17-Dec-2012</w:t>
            </w:r>
          </w:p>
        </w:tc>
        <w:tc>
          <w:tcPr>
            <w:tcW w:w="2787" w:type="dxa"/>
          </w:tcPr>
          <w:p w14:paraId="0CD0F615" w14:textId="77777777" w:rsidR="00D7578E" w:rsidRPr="00DF7187" w:rsidRDefault="00D7578E" w:rsidP="00242737">
            <w:pPr>
              <w:keepNext/>
              <w:keepLines/>
              <w:spacing w:before="0" w:after="0" w:line="360" w:lineRule="auto"/>
              <w:ind w:left="57" w:right="57"/>
              <w:rPr>
                <w:rFonts w:asciiTheme="minorHAnsi" w:hAnsiTheme="minorHAnsi"/>
                <w:sz w:val="18"/>
                <w:szCs w:val="18"/>
                <w:lang w:val="en-US"/>
              </w:rPr>
            </w:pPr>
            <w:proofErr w:type="spellStart"/>
            <w:r w:rsidRPr="00DF7187">
              <w:rPr>
                <w:rFonts w:asciiTheme="minorHAnsi" w:hAnsiTheme="minorHAnsi"/>
                <w:sz w:val="18"/>
                <w:szCs w:val="18"/>
                <w:lang w:val="en-US"/>
              </w:rPr>
              <w:t>S</w:t>
            </w:r>
            <w:r w:rsidR="00242737">
              <w:rPr>
                <w:rFonts w:asciiTheme="minorHAnsi" w:hAnsiTheme="minorHAnsi"/>
                <w:sz w:val="18"/>
                <w:szCs w:val="18"/>
                <w:lang w:val="en-US"/>
              </w:rPr>
              <w:t>ignifor</w:t>
            </w:r>
            <w:proofErr w:type="spellEnd"/>
            <w:r w:rsidRPr="00DF7187">
              <w:rPr>
                <w:rFonts w:asciiTheme="minorHAnsi" w:hAnsiTheme="minorHAnsi"/>
                <w:sz w:val="18"/>
                <w:szCs w:val="18"/>
                <w:lang w:val="en-US"/>
              </w:rPr>
              <w:t xml:space="preserve"> is a somatostatin analog indicated for the treatment of adult patients with Cushing’s disease for whom pituitary surgery is not an option or has not been curative.</w:t>
            </w:r>
          </w:p>
        </w:tc>
      </w:tr>
      <w:tr w:rsidR="00242737" w:rsidRPr="00E12FE5" w14:paraId="5287938C" w14:textId="77777777" w:rsidTr="007E68D3">
        <w:tc>
          <w:tcPr>
            <w:tcW w:w="1668" w:type="dxa"/>
          </w:tcPr>
          <w:p w14:paraId="2941FDC9"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 xml:space="preserve">Canada </w:t>
            </w:r>
          </w:p>
        </w:tc>
        <w:tc>
          <w:tcPr>
            <w:tcW w:w="1417" w:type="dxa"/>
          </w:tcPr>
          <w:p w14:paraId="63B1CA8E" w14:textId="77777777" w:rsidR="00D7578E" w:rsidRPr="00DF7187" w:rsidRDefault="00D7578E" w:rsidP="00242737">
            <w:pPr>
              <w:keepNext/>
              <w:keepLines/>
              <w:spacing w:before="0" w:after="0"/>
              <w:ind w:left="57" w:right="57"/>
              <w:rPr>
                <w:rFonts w:asciiTheme="minorHAnsi" w:hAnsiTheme="minorHAnsi"/>
                <w:sz w:val="18"/>
                <w:szCs w:val="18"/>
              </w:rPr>
            </w:pPr>
            <w:r w:rsidRPr="00DF7187">
              <w:rPr>
                <w:rFonts w:asciiTheme="minorHAnsi" w:hAnsiTheme="minorHAnsi"/>
                <w:sz w:val="18"/>
                <w:szCs w:val="18"/>
              </w:rPr>
              <w:t>S</w:t>
            </w:r>
            <w:r w:rsidR="00242737">
              <w:rPr>
                <w:rFonts w:asciiTheme="minorHAnsi" w:hAnsiTheme="minorHAnsi"/>
                <w:sz w:val="18"/>
                <w:szCs w:val="18"/>
              </w:rPr>
              <w:t>ignifor</w:t>
            </w:r>
          </w:p>
        </w:tc>
        <w:tc>
          <w:tcPr>
            <w:tcW w:w="1418" w:type="dxa"/>
          </w:tcPr>
          <w:p w14:paraId="36B48ED1"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27-Jan-2011</w:t>
            </w:r>
          </w:p>
        </w:tc>
        <w:tc>
          <w:tcPr>
            <w:tcW w:w="1430" w:type="dxa"/>
          </w:tcPr>
          <w:p w14:paraId="47D7AA9D"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~Sep-2013</w:t>
            </w:r>
          </w:p>
        </w:tc>
        <w:tc>
          <w:tcPr>
            <w:tcW w:w="2787" w:type="dxa"/>
          </w:tcPr>
          <w:p w14:paraId="37B915D6" w14:textId="77777777" w:rsidR="00D7578E" w:rsidRPr="00DF7187" w:rsidRDefault="00D7578E" w:rsidP="00242737">
            <w:pPr>
              <w:keepNext/>
              <w:keepLines/>
              <w:spacing w:before="0" w:after="0" w:line="360" w:lineRule="auto"/>
              <w:ind w:left="57" w:right="57"/>
              <w:rPr>
                <w:rFonts w:asciiTheme="minorHAnsi" w:hAnsiTheme="minorHAnsi"/>
                <w:sz w:val="18"/>
                <w:szCs w:val="18"/>
              </w:rPr>
            </w:pPr>
          </w:p>
        </w:tc>
      </w:tr>
      <w:tr w:rsidR="00242737" w:rsidRPr="00E12FE5" w14:paraId="593BA129" w14:textId="77777777" w:rsidTr="007E68D3">
        <w:tc>
          <w:tcPr>
            <w:tcW w:w="1668" w:type="dxa"/>
          </w:tcPr>
          <w:p w14:paraId="363455C6"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New Zealand</w:t>
            </w:r>
          </w:p>
        </w:tc>
        <w:tc>
          <w:tcPr>
            <w:tcW w:w="1417" w:type="dxa"/>
          </w:tcPr>
          <w:p w14:paraId="10CB66B2" w14:textId="77777777" w:rsidR="00D7578E" w:rsidRPr="00DF7187" w:rsidRDefault="00D7578E" w:rsidP="00242737">
            <w:pPr>
              <w:keepNext/>
              <w:keepLines/>
              <w:spacing w:before="0" w:after="0"/>
              <w:ind w:left="57" w:right="57"/>
              <w:rPr>
                <w:rFonts w:asciiTheme="minorHAnsi" w:hAnsiTheme="minorHAnsi"/>
                <w:sz w:val="18"/>
                <w:szCs w:val="18"/>
              </w:rPr>
            </w:pPr>
          </w:p>
        </w:tc>
        <w:tc>
          <w:tcPr>
            <w:tcW w:w="1418" w:type="dxa"/>
          </w:tcPr>
          <w:p w14:paraId="662F855E"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TBD</w:t>
            </w:r>
          </w:p>
        </w:tc>
        <w:tc>
          <w:tcPr>
            <w:tcW w:w="1430" w:type="dxa"/>
          </w:tcPr>
          <w:p w14:paraId="481C44A9" w14:textId="77777777" w:rsidR="00D7578E" w:rsidRPr="00DF7187" w:rsidRDefault="00D7578E" w:rsidP="00242737">
            <w:pPr>
              <w:keepNext/>
              <w:keepLines/>
              <w:spacing w:before="0" w:after="0" w:line="360" w:lineRule="auto"/>
              <w:ind w:left="57" w:right="57"/>
              <w:rPr>
                <w:rFonts w:asciiTheme="minorHAnsi" w:hAnsiTheme="minorHAnsi"/>
                <w:sz w:val="18"/>
                <w:szCs w:val="18"/>
              </w:rPr>
            </w:pPr>
          </w:p>
        </w:tc>
        <w:tc>
          <w:tcPr>
            <w:tcW w:w="2787" w:type="dxa"/>
          </w:tcPr>
          <w:p w14:paraId="7F82D53E" w14:textId="77777777" w:rsidR="00D7578E" w:rsidRPr="00DF7187" w:rsidRDefault="00D7578E" w:rsidP="00242737">
            <w:pPr>
              <w:keepNext/>
              <w:keepLines/>
              <w:spacing w:before="0" w:after="0" w:line="360" w:lineRule="auto"/>
              <w:ind w:left="57" w:right="57"/>
              <w:rPr>
                <w:rFonts w:asciiTheme="minorHAnsi" w:hAnsiTheme="minorHAnsi"/>
                <w:sz w:val="18"/>
                <w:szCs w:val="18"/>
              </w:rPr>
            </w:pPr>
          </w:p>
        </w:tc>
      </w:tr>
      <w:tr w:rsidR="00242737" w:rsidRPr="00D90DE1" w14:paraId="027515BA" w14:textId="77777777" w:rsidTr="007E68D3">
        <w:tc>
          <w:tcPr>
            <w:tcW w:w="1668" w:type="dxa"/>
          </w:tcPr>
          <w:p w14:paraId="5FA282A0"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Switzerland</w:t>
            </w:r>
          </w:p>
        </w:tc>
        <w:tc>
          <w:tcPr>
            <w:tcW w:w="1417" w:type="dxa"/>
          </w:tcPr>
          <w:p w14:paraId="787A2111" w14:textId="77777777" w:rsidR="00D7578E" w:rsidRPr="00DF7187" w:rsidRDefault="00D7578E" w:rsidP="00242737">
            <w:pPr>
              <w:keepNext/>
              <w:keepLines/>
              <w:spacing w:before="0" w:after="0"/>
              <w:ind w:left="57" w:right="57"/>
              <w:rPr>
                <w:rFonts w:asciiTheme="minorHAnsi" w:hAnsiTheme="minorHAnsi"/>
                <w:sz w:val="18"/>
                <w:szCs w:val="18"/>
              </w:rPr>
            </w:pPr>
            <w:r w:rsidRPr="00DF7187">
              <w:rPr>
                <w:rFonts w:asciiTheme="minorHAnsi" w:hAnsiTheme="minorHAnsi"/>
                <w:sz w:val="18"/>
                <w:szCs w:val="18"/>
              </w:rPr>
              <w:t>S</w:t>
            </w:r>
            <w:r w:rsidR="00242737">
              <w:rPr>
                <w:rFonts w:asciiTheme="minorHAnsi" w:hAnsiTheme="minorHAnsi"/>
                <w:sz w:val="18"/>
                <w:szCs w:val="18"/>
              </w:rPr>
              <w:t>ignifor</w:t>
            </w:r>
          </w:p>
        </w:tc>
        <w:tc>
          <w:tcPr>
            <w:tcW w:w="1418" w:type="dxa"/>
          </w:tcPr>
          <w:p w14:paraId="00538D6E"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29-Nov-2010</w:t>
            </w:r>
          </w:p>
        </w:tc>
        <w:tc>
          <w:tcPr>
            <w:tcW w:w="1430" w:type="dxa"/>
          </w:tcPr>
          <w:p w14:paraId="20655901" w14:textId="77777777" w:rsidR="00D7578E" w:rsidRPr="00DF7187" w:rsidRDefault="00D7578E" w:rsidP="00242737">
            <w:pPr>
              <w:keepNext/>
              <w:keepLines/>
              <w:spacing w:before="0" w:after="0" w:line="360" w:lineRule="auto"/>
              <w:ind w:left="57" w:right="57"/>
              <w:rPr>
                <w:rFonts w:asciiTheme="minorHAnsi" w:hAnsiTheme="minorHAnsi"/>
                <w:sz w:val="18"/>
                <w:szCs w:val="18"/>
              </w:rPr>
            </w:pPr>
            <w:r w:rsidRPr="00DF7187">
              <w:rPr>
                <w:rFonts w:asciiTheme="minorHAnsi" w:hAnsiTheme="minorHAnsi"/>
                <w:sz w:val="18"/>
                <w:szCs w:val="18"/>
              </w:rPr>
              <w:t>02-Nov-2012</w:t>
            </w:r>
          </w:p>
        </w:tc>
        <w:tc>
          <w:tcPr>
            <w:tcW w:w="2787" w:type="dxa"/>
          </w:tcPr>
          <w:p w14:paraId="6B143D00" w14:textId="77777777" w:rsidR="00D7578E" w:rsidRPr="00DF7187" w:rsidRDefault="00D7578E" w:rsidP="00242737">
            <w:pPr>
              <w:keepNext/>
              <w:keepLines/>
              <w:spacing w:before="0" w:after="0" w:line="360" w:lineRule="auto"/>
              <w:ind w:left="57" w:right="57"/>
              <w:rPr>
                <w:rFonts w:asciiTheme="minorHAnsi" w:hAnsiTheme="minorHAnsi"/>
                <w:sz w:val="18"/>
                <w:szCs w:val="18"/>
                <w:lang w:val="en-US"/>
              </w:rPr>
            </w:pPr>
            <w:r w:rsidRPr="00DF7187">
              <w:rPr>
                <w:rFonts w:asciiTheme="minorHAnsi" w:hAnsiTheme="minorHAnsi"/>
                <w:sz w:val="18"/>
                <w:szCs w:val="18"/>
                <w:lang w:val="en-US"/>
              </w:rPr>
              <w:t xml:space="preserve">Treatment of patients </w:t>
            </w:r>
            <w:r w:rsidR="00DF7187" w:rsidRPr="00DF7187">
              <w:rPr>
                <w:rFonts w:asciiTheme="minorHAnsi" w:hAnsiTheme="minorHAnsi"/>
                <w:sz w:val="18"/>
                <w:szCs w:val="18"/>
                <w:lang w:val="en-US"/>
              </w:rPr>
              <w:t xml:space="preserve">with </w:t>
            </w:r>
            <w:r w:rsidR="00DF7187">
              <w:rPr>
                <w:rFonts w:asciiTheme="minorHAnsi" w:hAnsiTheme="minorHAnsi"/>
                <w:sz w:val="18"/>
                <w:szCs w:val="18"/>
                <w:lang w:val="en-US"/>
              </w:rPr>
              <w:t>C</w:t>
            </w:r>
            <w:r w:rsidRPr="00DF7187">
              <w:rPr>
                <w:rFonts w:asciiTheme="minorHAnsi" w:hAnsiTheme="minorHAnsi"/>
                <w:sz w:val="18"/>
                <w:szCs w:val="18"/>
                <w:lang w:val="en-US"/>
              </w:rPr>
              <w:t>ushing’s disease if all non-drug therapy alternatives according to current standards have been exploited.</w:t>
            </w:r>
          </w:p>
        </w:tc>
      </w:tr>
    </w:tbl>
    <w:p w14:paraId="60CF2343" w14:textId="77777777" w:rsidR="00915A9C" w:rsidRPr="00915A9C" w:rsidRDefault="00915A9C" w:rsidP="00915A9C">
      <w:r>
        <w:t>T</w:t>
      </w:r>
      <w:r w:rsidRPr="00915A9C">
        <w:t xml:space="preserve">he EMA approved </w:t>
      </w:r>
      <w:proofErr w:type="spellStart"/>
      <w:r w:rsidRPr="00915A9C">
        <w:t>pasireotide</w:t>
      </w:r>
      <w:proofErr w:type="spellEnd"/>
      <w:r w:rsidRPr="00915A9C">
        <w:t xml:space="preserve"> on 24</w:t>
      </w:r>
      <w:r>
        <w:t xml:space="preserve"> April </w:t>
      </w:r>
      <w:r w:rsidRPr="00915A9C">
        <w:t>2012</w:t>
      </w:r>
      <w:r w:rsidR="00045CBC">
        <w:t xml:space="preserve">, </w:t>
      </w:r>
      <w:r>
        <w:t xml:space="preserve">the FDA on </w:t>
      </w:r>
      <w:r w:rsidRPr="00915A9C">
        <w:t>14</w:t>
      </w:r>
      <w:r>
        <w:t xml:space="preserve"> December 2</w:t>
      </w:r>
      <w:r w:rsidRPr="00915A9C">
        <w:t>012</w:t>
      </w:r>
      <w:r w:rsidR="00045CBC">
        <w:t xml:space="preserve"> and Switzerland on the 02 November 2012</w:t>
      </w:r>
      <w:r w:rsidRPr="00915A9C">
        <w:t xml:space="preserve">. </w:t>
      </w:r>
    </w:p>
    <w:p w14:paraId="05889F02" w14:textId="77777777" w:rsidR="00915A9C" w:rsidRPr="00915A9C" w:rsidRDefault="00915A9C" w:rsidP="00915A9C">
      <w:r>
        <w:t>T</w:t>
      </w:r>
      <w:r w:rsidRPr="00915A9C">
        <w:t xml:space="preserve">he FDA and EMA approved indications differ slightly from the proposed Australian indication (Table </w:t>
      </w:r>
      <w:r>
        <w:t>2</w:t>
      </w:r>
      <w:r w:rsidRPr="00915A9C">
        <w:t>). The FDA and EMA approved indications restricts the use of the drug to adult patients who are not candidates for surgery.</w:t>
      </w:r>
    </w:p>
    <w:p w14:paraId="6548B5CA" w14:textId="77777777" w:rsidR="00915A9C" w:rsidRPr="00915A9C" w:rsidRDefault="00915A9C" w:rsidP="00A60283">
      <w:pPr>
        <w:pStyle w:val="TableTitle"/>
        <w:keepLines/>
      </w:pPr>
      <w:r w:rsidRPr="00915A9C">
        <w:lastRenderedPageBreak/>
        <w:t xml:space="preserve">Table </w:t>
      </w:r>
      <w:r>
        <w:t xml:space="preserve">2: </w:t>
      </w:r>
      <w:r w:rsidRPr="00915A9C">
        <w:t>Comparison of indications for Signifor in different jurisdictions</w:t>
      </w:r>
    </w:p>
    <w:tbl>
      <w:tblPr>
        <w:tblStyle w:val="TableTGAblue"/>
        <w:tblW w:w="0" w:type="auto"/>
        <w:tblLook w:val="04A0" w:firstRow="1" w:lastRow="0" w:firstColumn="1" w:lastColumn="0" w:noHBand="0" w:noVBand="1"/>
      </w:tblPr>
      <w:tblGrid>
        <w:gridCol w:w="1251"/>
        <w:gridCol w:w="5322"/>
        <w:gridCol w:w="1911"/>
      </w:tblGrid>
      <w:tr w:rsidR="00DF7187" w14:paraId="554F011A" w14:textId="77777777" w:rsidTr="00DF7187">
        <w:trPr>
          <w:cnfStyle w:val="100000000000" w:firstRow="1" w:lastRow="0" w:firstColumn="0" w:lastColumn="0" w:oddVBand="0" w:evenVBand="0" w:oddHBand="0" w:evenHBand="0" w:firstRowFirstColumn="0" w:firstRowLastColumn="0" w:lastRowFirstColumn="0" w:lastRowLastColumn="0"/>
        </w:trPr>
        <w:tc>
          <w:tcPr>
            <w:tcW w:w="1251" w:type="dxa"/>
          </w:tcPr>
          <w:p w14:paraId="3172EAB7" w14:textId="77777777" w:rsidR="00915A9C" w:rsidRPr="00DF7187" w:rsidRDefault="00915A9C" w:rsidP="00A60283">
            <w:pPr>
              <w:keepLines/>
              <w:ind w:left="0"/>
              <w:rPr>
                <w:sz w:val="18"/>
                <w:szCs w:val="18"/>
              </w:rPr>
            </w:pPr>
          </w:p>
        </w:tc>
        <w:tc>
          <w:tcPr>
            <w:tcW w:w="5520" w:type="dxa"/>
          </w:tcPr>
          <w:p w14:paraId="20A32A47" w14:textId="77777777" w:rsidR="00915A9C" w:rsidRPr="00DF7187" w:rsidRDefault="00915A9C" w:rsidP="00A60283">
            <w:pPr>
              <w:keepLines/>
              <w:ind w:left="0"/>
              <w:rPr>
                <w:sz w:val="18"/>
                <w:szCs w:val="18"/>
              </w:rPr>
            </w:pPr>
            <w:r w:rsidRPr="00DF7187">
              <w:rPr>
                <w:sz w:val="18"/>
                <w:szCs w:val="18"/>
              </w:rPr>
              <w:t>Indication (or proposed indication)</w:t>
            </w:r>
          </w:p>
        </w:tc>
        <w:tc>
          <w:tcPr>
            <w:tcW w:w="1949" w:type="dxa"/>
          </w:tcPr>
          <w:p w14:paraId="2E999752" w14:textId="77777777" w:rsidR="00915A9C" w:rsidRPr="00DF7187" w:rsidRDefault="00915A9C" w:rsidP="00A60283">
            <w:pPr>
              <w:keepLines/>
              <w:ind w:left="0"/>
              <w:rPr>
                <w:sz w:val="18"/>
                <w:szCs w:val="18"/>
              </w:rPr>
            </w:pPr>
            <w:r w:rsidRPr="00DF7187">
              <w:rPr>
                <w:sz w:val="18"/>
                <w:szCs w:val="18"/>
              </w:rPr>
              <w:t>Approval date</w:t>
            </w:r>
          </w:p>
        </w:tc>
      </w:tr>
      <w:tr w:rsidR="00915A9C" w14:paraId="25A0BA65" w14:textId="77777777" w:rsidTr="00DF7187">
        <w:tc>
          <w:tcPr>
            <w:tcW w:w="1251" w:type="dxa"/>
          </w:tcPr>
          <w:p w14:paraId="52EA13E4" w14:textId="77777777" w:rsidR="00915A9C" w:rsidRPr="00DF7187" w:rsidRDefault="00915A9C" w:rsidP="00A60283">
            <w:pPr>
              <w:keepNext/>
              <w:keepLines/>
              <w:ind w:left="0"/>
              <w:rPr>
                <w:sz w:val="18"/>
                <w:szCs w:val="18"/>
              </w:rPr>
            </w:pPr>
            <w:r w:rsidRPr="00DF7187">
              <w:rPr>
                <w:sz w:val="18"/>
                <w:szCs w:val="18"/>
              </w:rPr>
              <w:t>Australia</w:t>
            </w:r>
          </w:p>
        </w:tc>
        <w:tc>
          <w:tcPr>
            <w:tcW w:w="5520" w:type="dxa"/>
          </w:tcPr>
          <w:p w14:paraId="7909FCAC" w14:textId="77777777" w:rsidR="00915A9C" w:rsidRPr="00DF7187" w:rsidRDefault="00915A9C" w:rsidP="00A60283">
            <w:pPr>
              <w:keepNext/>
              <w:keepLines/>
              <w:rPr>
                <w:i/>
                <w:sz w:val="18"/>
                <w:szCs w:val="18"/>
              </w:rPr>
            </w:pPr>
            <w:r w:rsidRPr="00DF7187">
              <w:rPr>
                <w:i/>
                <w:sz w:val="18"/>
                <w:szCs w:val="18"/>
              </w:rPr>
              <w:t>Treatment of patients with Cushing’s disease for whom medical therapy is appropriate.</w:t>
            </w:r>
          </w:p>
        </w:tc>
        <w:tc>
          <w:tcPr>
            <w:tcW w:w="1949" w:type="dxa"/>
          </w:tcPr>
          <w:p w14:paraId="0F2F5370" w14:textId="77777777" w:rsidR="00915A9C" w:rsidRPr="00DF7187" w:rsidRDefault="00915A9C" w:rsidP="00A60283">
            <w:pPr>
              <w:keepNext/>
              <w:keepLines/>
              <w:ind w:left="0"/>
              <w:rPr>
                <w:sz w:val="18"/>
                <w:szCs w:val="18"/>
              </w:rPr>
            </w:pPr>
          </w:p>
        </w:tc>
      </w:tr>
      <w:tr w:rsidR="00915A9C" w14:paraId="6B243660" w14:textId="77777777" w:rsidTr="00DF7187">
        <w:tc>
          <w:tcPr>
            <w:tcW w:w="1251" w:type="dxa"/>
          </w:tcPr>
          <w:p w14:paraId="221B6BD7" w14:textId="77777777" w:rsidR="00915A9C" w:rsidRPr="00DF7187" w:rsidRDefault="00915A9C" w:rsidP="00A60283">
            <w:pPr>
              <w:keepNext/>
              <w:keepLines/>
              <w:ind w:left="0"/>
              <w:rPr>
                <w:sz w:val="18"/>
                <w:szCs w:val="18"/>
              </w:rPr>
            </w:pPr>
            <w:r w:rsidRPr="00DF7187">
              <w:rPr>
                <w:sz w:val="18"/>
                <w:szCs w:val="18"/>
              </w:rPr>
              <w:t>EU</w:t>
            </w:r>
          </w:p>
        </w:tc>
        <w:tc>
          <w:tcPr>
            <w:tcW w:w="5520" w:type="dxa"/>
          </w:tcPr>
          <w:p w14:paraId="1104E4F6" w14:textId="77777777" w:rsidR="00915A9C" w:rsidRPr="00DF7187" w:rsidRDefault="00915A9C" w:rsidP="00A60283">
            <w:pPr>
              <w:keepNext/>
              <w:keepLines/>
              <w:rPr>
                <w:i/>
                <w:sz w:val="18"/>
                <w:szCs w:val="18"/>
              </w:rPr>
            </w:pPr>
            <w:r w:rsidRPr="00DF7187">
              <w:rPr>
                <w:i/>
                <w:sz w:val="18"/>
                <w:szCs w:val="18"/>
              </w:rPr>
              <w:t>Signifor is indicated for the treatment of adult patients with Cushing’s disease for whom surgery is not an option or for whom surgery has failed’</w:t>
            </w:r>
          </w:p>
        </w:tc>
        <w:tc>
          <w:tcPr>
            <w:tcW w:w="1949" w:type="dxa"/>
          </w:tcPr>
          <w:p w14:paraId="03D05A48" w14:textId="77777777" w:rsidR="00915A9C" w:rsidRPr="00DF7187" w:rsidRDefault="00915A9C" w:rsidP="00DF7187">
            <w:pPr>
              <w:keepNext/>
              <w:keepLines/>
              <w:ind w:left="0"/>
              <w:rPr>
                <w:sz w:val="18"/>
                <w:szCs w:val="18"/>
              </w:rPr>
            </w:pPr>
            <w:r w:rsidRPr="00DF7187">
              <w:rPr>
                <w:sz w:val="18"/>
                <w:szCs w:val="18"/>
              </w:rPr>
              <w:t>24</w:t>
            </w:r>
            <w:r w:rsidR="00DF7187" w:rsidRPr="00DF7187">
              <w:rPr>
                <w:sz w:val="18"/>
                <w:szCs w:val="18"/>
              </w:rPr>
              <w:t xml:space="preserve"> April </w:t>
            </w:r>
            <w:r w:rsidRPr="00DF7187">
              <w:rPr>
                <w:sz w:val="18"/>
                <w:szCs w:val="18"/>
              </w:rPr>
              <w:t>2012</w:t>
            </w:r>
          </w:p>
        </w:tc>
      </w:tr>
      <w:tr w:rsidR="00915A9C" w14:paraId="71D5172A" w14:textId="77777777" w:rsidTr="00DF7187">
        <w:tc>
          <w:tcPr>
            <w:tcW w:w="1251" w:type="dxa"/>
          </w:tcPr>
          <w:p w14:paraId="6746DFE2" w14:textId="77777777" w:rsidR="00915A9C" w:rsidRPr="00DF7187" w:rsidRDefault="00915A9C" w:rsidP="00A60283">
            <w:pPr>
              <w:keepNext/>
              <w:keepLines/>
              <w:ind w:left="0"/>
              <w:rPr>
                <w:sz w:val="18"/>
                <w:szCs w:val="18"/>
              </w:rPr>
            </w:pPr>
            <w:r w:rsidRPr="00DF7187">
              <w:rPr>
                <w:sz w:val="18"/>
                <w:szCs w:val="18"/>
              </w:rPr>
              <w:t>USA</w:t>
            </w:r>
          </w:p>
        </w:tc>
        <w:tc>
          <w:tcPr>
            <w:tcW w:w="5520" w:type="dxa"/>
          </w:tcPr>
          <w:p w14:paraId="2507C73B" w14:textId="77777777" w:rsidR="00915A9C" w:rsidRPr="00DF7187" w:rsidRDefault="00915A9C" w:rsidP="00A60283">
            <w:pPr>
              <w:keepNext/>
              <w:keepLines/>
              <w:rPr>
                <w:i/>
                <w:sz w:val="18"/>
                <w:szCs w:val="18"/>
              </w:rPr>
            </w:pPr>
            <w:r w:rsidRPr="00DF7187">
              <w:rPr>
                <w:i/>
                <w:sz w:val="18"/>
                <w:szCs w:val="18"/>
              </w:rPr>
              <w:t>SIGNIFOR is indicated for the treatment of adult patients with Cushing’s disease for whom pituitary surgery is not an option or has not been curative.</w:t>
            </w:r>
          </w:p>
        </w:tc>
        <w:tc>
          <w:tcPr>
            <w:tcW w:w="1949" w:type="dxa"/>
          </w:tcPr>
          <w:p w14:paraId="3672EC04" w14:textId="77777777" w:rsidR="00915A9C" w:rsidRPr="00DF7187" w:rsidRDefault="00915A9C" w:rsidP="00DF7187">
            <w:pPr>
              <w:keepNext/>
              <w:keepLines/>
              <w:ind w:left="0"/>
              <w:rPr>
                <w:sz w:val="18"/>
                <w:szCs w:val="18"/>
              </w:rPr>
            </w:pPr>
            <w:r w:rsidRPr="00DF7187">
              <w:rPr>
                <w:sz w:val="18"/>
                <w:szCs w:val="18"/>
              </w:rPr>
              <w:t>14</w:t>
            </w:r>
            <w:r w:rsidR="00DF7187" w:rsidRPr="00DF7187">
              <w:rPr>
                <w:sz w:val="18"/>
                <w:szCs w:val="18"/>
              </w:rPr>
              <w:t xml:space="preserve"> December </w:t>
            </w:r>
            <w:r w:rsidR="00DF7187">
              <w:rPr>
                <w:sz w:val="18"/>
                <w:szCs w:val="18"/>
              </w:rPr>
              <w:t>2</w:t>
            </w:r>
            <w:r w:rsidRPr="00DF7187">
              <w:rPr>
                <w:sz w:val="18"/>
                <w:szCs w:val="18"/>
              </w:rPr>
              <w:t>012</w:t>
            </w:r>
          </w:p>
        </w:tc>
      </w:tr>
      <w:tr w:rsidR="00DF7187" w14:paraId="15F8331D" w14:textId="77777777" w:rsidTr="00DF7187">
        <w:tc>
          <w:tcPr>
            <w:tcW w:w="1251" w:type="dxa"/>
          </w:tcPr>
          <w:p w14:paraId="16E68B90" w14:textId="77777777" w:rsidR="00DF7187" w:rsidRPr="00DF7187" w:rsidRDefault="00DF7187" w:rsidP="00DF7187">
            <w:pPr>
              <w:keepNext/>
              <w:keepLines/>
              <w:ind w:left="57" w:right="57"/>
              <w:rPr>
                <w:sz w:val="18"/>
                <w:szCs w:val="18"/>
              </w:rPr>
            </w:pPr>
            <w:r w:rsidRPr="00DF7187">
              <w:rPr>
                <w:sz w:val="18"/>
                <w:szCs w:val="18"/>
              </w:rPr>
              <w:t xml:space="preserve">Switzerland </w:t>
            </w:r>
          </w:p>
        </w:tc>
        <w:tc>
          <w:tcPr>
            <w:tcW w:w="5520" w:type="dxa"/>
          </w:tcPr>
          <w:p w14:paraId="2584DCF8" w14:textId="77777777" w:rsidR="00DF7187" w:rsidRPr="00DF7187" w:rsidRDefault="00DF7187" w:rsidP="00DF7187">
            <w:pPr>
              <w:keepNext/>
              <w:keepLines/>
              <w:rPr>
                <w:i/>
                <w:sz w:val="18"/>
                <w:szCs w:val="18"/>
              </w:rPr>
            </w:pPr>
            <w:r w:rsidRPr="00DF7187">
              <w:rPr>
                <w:i/>
                <w:sz w:val="18"/>
                <w:szCs w:val="18"/>
              </w:rPr>
              <w:t>Treatment of patients with Cushing’s disease if all non-drug therapy alternatives according to current standards have been exploited.</w:t>
            </w:r>
          </w:p>
        </w:tc>
        <w:tc>
          <w:tcPr>
            <w:tcW w:w="1949" w:type="dxa"/>
          </w:tcPr>
          <w:p w14:paraId="751DDEC5" w14:textId="77777777" w:rsidR="00DF7187" w:rsidRPr="00DF7187" w:rsidRDefault="00DF7187" w:rsidP="00DF7187">
            <w:pPr>
              <w:keepNext/>
              <w:keepLines/>
              <w:ind w:left="57" w:right="57"/>
              <w:rPr>
                <w:sz w:val="18"/>
                <w:szCs w:val="18"/>
              </w:rPr>
            </w:pPr>
            <w:r w:rsidRPr="00DF7187">
              <w:rPr>
                <w:sz w:val="18"/>
                <w:szCs w:val="18"/>
              </w:rPr>
              <w:t>2 September 2012</w:t>
            </w:r>
          </w:p>
        </w:tc>
      </w:tr>
    </w:tbl>
    <w:p w14:paraId="6DCDA9A3" w14:textId="77777777" w:rsidR="008E7846" w:rsidRDefault="008E7846" w:rsidP="008E7846">
      <w:pPr>
        <w:pStyle w:val="Heading3"/>
      </w:pPr>
      <w:bookmarkStart w:id="18" w:name="_Toc247691505"/>
      <w:bookmarkStart w:id="19" w:name="_Toc314842486"/>
      <w:bookmarkStart w:id="20" w:name="_Toc383680704"/>
      <w:r>
        <w:t>Product Information</w:t>
      </w:r>
      <w:bookmarkEnd w:id="18"/>
      <w:bookmarkEnd w:id="19"/>
      <w:bookmarkEnd w:id="20"/>
    </w:p>
    <w:p w14:paraId="05F1C4B6" w14:textId="77777777" w:rsidR="008E7846" w:rsidRDefault="008E7846" w:rsidP="008E7846">
      <w:r>
        <w:t xml:space="preserve">The approved Product Information (PI) current at the time this </w:t>
      </w:r>
      <w:proofErr w:type="spellStart"/>
      <w:r>
        <w:t>AusPAR</w:t>
      </w:r>
      <w:proofErr w:type="spellEnd"/>
      <w:r>
        <w:t xml:space="preserve"> was prepared can be found as Attachment 1.</w:t>
      </w:r>
      <w:bookmarkStart w:id="21" w:name="_Toc247691506"/>
      <w:bookmarkStart w:id="22" w:name="_Toc314842487"/>
    </w:p>
    <w:p w14:paraId="27141C36" w14:textId="77777777" w:rsidR="008E7846" w:rsidRPr="003602A9" w:rsidRDefault="008E7846" w:rsidP="008E7846">
      <w:pPr>
        <w:pStyle w:val="Heading2"/>
        <w:ind w:left="-11"/>
      </w:pPr>
      <w:bookmarkStart w:id="23" w:name="_Toc383680705"/>
      <w:r>
        <w:t>II. Quality</w:t>
      </w:r>
      <w:bookmarkEnd w:id="1"/>
      <w:r>
        <w:t xml:space="preserve"> findings</w:t>
      </w:r>
      <w:bookmarkEnd w:id="21"/>
      <w:bookmarkEnd w:id="22"/>
      <w:bookmarkEnd w:id="23"/>
    </w:p>
    <w:p w14:paraId="498B0FE5" w14:textId="77777777" w:rsidR="008E7846" w:rsidRDefault="008E7846" w:rsidP="008E7846">
      <w:pPr>
        <w:pStyle w:val="Heading3"/>
      </w:pPr>
      <w:bookmarkStart w:id="24" w:name="_Toc247691507"/>
      <w:bookmarkStart w:id="25" w:name="_Toc314842488"/>
      <w:bookmarkStart w:id="26" w:name="_Toc383680706"/>
      <w:r w:rsidRPr="008751DC">
        <w:t xml:space="preserve">Drug </w:t>
      </w:r>
      <w:r>
        <w:t>s</w:t>
      </w:r>
      <w:r w:rsidRPr="008751DC">
        <w:t>ubstance</w:t>
      </w:r>
      <w:r>
        <w:t xml:space="preserve"> (active ingredient)</w:t>
      </w:r>
      <w:bookmarkEnd w:id="24"/>
      <w:bookmarkEnd w:id="25"/>
      <w:bookmarkEnd w:id="26"/>
    </w:p>
    <w:p w14:paraId="76ED9A95" w14:textId="77777777" w:rsidR="00D50FCC" w:rsidRPr="00F0565F" w:rsidRDefault="00D50FCC" w:rsidP="00D50FCC">
      <w:pPr>
        <w:spacing w:after="0"/>
        <w:rPr>
          <w:rFonts w:ascii="Arial" w:hAnsi="Arial" w:cs="Arial"/>
          <w:b/>
        </w:rPr>
      </w:pPr>
      <w:r w:rsidRPr="00F0565F">
        <w:rPr>
          <w:rFonts w:ascii="Arial" w:hAnsi="Arial" w:cs="Arial"/>
          <w:b/>
        </w:rPr>
        <w:t>Structure</w:t>
      </w:r>
    </w:p>
    <w:p w14:paraId="14503088" w14:textId="77777777" w:rsidR="00D50FCC" w:rsidRDefault="00D50FCC" w:rsidP="00D50FCC">
      <w:r>
        <w:t>The drug substance has the following structure:</w:t>
      </w:r>
    </w:p>
    <w:p w14:paraId="6362822F" w14:textId="77777777" w:rsidR="00D50FCC" w:rsidRDefault="00D50FCC" w:rsidP="00D50FCC">
      <w:pPr>
        <w:pStyle w:val="FigureTitle"/>
        <w:keepLines/>
      </w:pPr>
      <w:r>
        <w:t xml:space="preserve">Figure 1: Structure of </w:t>
      </w:r>
      <w:proofErr w:type="spellStart"/>
      <w:r>
        <w:t>pasireotide</w:t>
      </w:r>
      <w:proofErr w:type="spellEnd"/>
      <w:r>
        <w:t xml:space="preserve"> (as </w:t>
      </w:r>
      <w:proofErr w:type="spellStart"/>
      <w:r>
        <w:t>diaspartate</w:t>
      </w:r>
      <w:proofErr w:type="spellEnd"/>
      <w:r>
        <w:t>)</w:t>
      </w:r>
    </w:p>
    <w:p w14:paraId="5529286E" w14:textId="77777777" w:rsidR="00D50FCC" w:rsidRDefault="00D50FCC" w:rsidP="00D50FCC">
      <w:pPr>
        <w:keepNext/>
        <w:keepLines/>
        <w:jc w:val="center"/>
      </w:pPr>
      <w:r>
        <w:rPr>
          <w:noProof/>
          <w:lang w:eastAsia="en-AU"/>
        </w:rPr>
        <w:drawing>
          <wp:inline distT="0" distB="0" distL="0" distR="0" wp14:anchorId="434C4310" wp14:editId="5FB5A6D6">
            <wp:extent cx="3971925" cy="2200275"/>
            <wp:effectExtent l="0" t="0" r="9525" b="9525"/>
            <wp:docPr id="2" name="Picture 2" descr="Figure 1: Structure of pasireotide (as diaspar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1925" cy="2200275"/>
                    </a:xfrm>
                    <a:prstGeom prst="rect">
                      <a:avLst/>
                    </a:prstGeom>
                    <a:noFill/>
                    <a:ln>
                      <a:noFill/>
                    </a:ln>
                  </pic:spPr>
                </pic:pic>
              </a:graphicData>
            </a:graphic>
          </wp:inline>
        </w:drawing>
      </w:r>
    </w:p>
    <w:p w14:paraId="2700D842" w14:textId="77777777" w:rsidR="00D50FCC" w:rsidRDefault="00D50FCC" w:rsidP="00D50FCC">
      <w:r>
        <w:t xml:space="preserve">It is synthesised via a sequence of coupling reactions and deprotection steps using a solid phase peptide (Merrifield) synthetic route. </w:t>
      </w:r>
      <w:r w:rsidR="0054372B">
        <w:t xml:space="preserve">After chromatographic purification, </w:t>
      </w:r>
      <w:r>
        <w:t xml:space="preserve">the </w:t>
      </w:r>
      <w:proofErr w:type="spellStart"/>
      <w:r>
        <w:t>diaspartate</w:t>
      </w:r>
      <w:proofErr w:type="spellEnd"/>
      <w:r>
        <w:t xml:space="preserve"> salt </w:t>
      </w:r>
      <w:r w:rsidR="0054372B">
        <w:t xml:space="preserve">is formed </w:t>
      </w:r>
      <w:r>
        <w:t xml:space="preserve">by </w:t>
      </w:r>
      <w:r w:rsidR="0054372B">
        <w:t xml:space="preserve">ion-exchange </w:t>
      </w:r>
      <w:r>
        <w:t>with L-aspartic acid, lyophilised and ultimately obtained as a white to slightly greyish powder.</w:t>
      </w:r>
    </w:p>
    <w:p w14:paraId="66751CB6" w14:textId="77777777" w:rsidR="00D50FCC" w:rsidRDefault="00D50FCC" w:rsidP="00D50FCC">
      <w:r>
        <w:t xml:space="preserve">Pasireotide contains seven chiral centres but is produced as a single stereoisomer of known absolute configuration. The drug substance is insoluble in n-octanol and </w:t>
      </w:r>
      <w:r>
        <w:lastRenderedPageBreak/>
        <w:t xml:space="preserve">acetonitrile, very slightly soluble in acetone and ethanol, sparingly soluble in methanol and freely soluble in water (&gt;10% w/v). </w:t>
      </w:r>
    </w:p>
    <w:p w14:paraId="35DB6FEC" w14:textId="77777777" w:rsidR="00D50FCC" w:rsidRDefault="00D50FCC" w:rsidP="00D50FCC">
      <w:r>
        <w:t xml:space="preserve">The proposed specifications include tests and limits for identity, related substances, residual solvents, assay and other relevant chemical and physical properties of the drug substance. </w:t>
      </w:r>
      <w:r w:rsidR="00EE37EA" w:rsidRPr="00EE37EA">
        <w:t xml:space="preserve"> Detailed information on impurities was provided. Impurity limits are in line with the Ph. Eur. General monograph for substances for pharmaceutical use, criteria applicable to synthetic peptides. The specification limits for the impurities were also justified by toxicology studies and found safe.</w:t>
      </w:r>
      <w:r w:rsidR="00EE37EA">
        <w:t xml:space="preserve"> </w:t>
      </w:r>
      <w:r>
        <w:t>All of these are adequately controlled.</w:t>
      </w:r>
    </w:p>
    <w:p w14:paraId="3E61899A" w14:textId="77777777" w:rsidR="00D50FCC" w:rsidRDefault="00D50FCC" w:rsidP="00D50FCC">
      <w:r>
        <w:t xml:space="preserve">Adequate method details were provided for the test methods used and appropriate validation data have been submitted in support of the test procedures. </w:t>
      </w:r>
    </w:p>
    <w:p w14:paraId="3EE89CC1" w14:textId="77777777" w:rsidR="00D50FCC" w:rsidRDefault="00D50FCC" w:rsidP="00D50FCC">
      <w:r>
        <w:t>Stability data have been generated under stressed and accelerated conditions that support the proposed retest period of five years when the drug substance is stored between -15°C and -25°C. Photostability studies have shown that the drug substance is light sensitive.</w:t>
      </w:r>
    </w:p>
    <w:p w14:paraId="7CD280B6" w14:textId="77777777" w:rsidR="008E7846" w:rsidRDefault="008E7846" w:rsidP="008E7846">
      <w:pPr>
        <w:pStyle w:val="Heading3"/>
      </w:pPr>
      <w:bookmarkStart w:id="27" w:name="_Toc247691508"/>
      <w:bookmarkStart w:id="28" w:name="_Toc314842490"/>
      <w:bookmarkStart w:id="29" w:name="_Toc383680707"/>
      <w:r w:rsidRPr="008751DC">
        <w:t xml:space="preserve">Drug </w:t>
      </w:r>
      <w:r>
        <w:t>p</w:t>
      </w:r>
      <w:r w:rsidRPr="008751DC">
        <w:t>roduct</w:t>
      </w:r>
      <w:bookmarkEnd w:id="27"/>
      <w:bookmarkEnd w:id="28"/>
      <w:bookmarkEnd w:id="29"/>
    </w:p>
    <w:p w14:paraId="32A0B5D6" w14:textId="77777777" w:rsidR="005D1C8F" w:rsidRPr="004A6696" w:rsidRDefault="005D1C8F" w:rsidP="005D1C8F">
      <w:pPr>
        <w:numPr>
          <w:ilvl w:val="12"/>
          <w:numId w:val="0"/>
        </w:numPr>
        <w:rPr>
          <w:szCs w:val="24"/>
        </w:rPr>
      </w:pPr>
      <w:bookmarkStart w:id="30" w:name="_Toc314842491"/>
      <w:r>
        <w:rPr>
          <w:szCs w:val="24"/>
        </w:rPr>
        <w:t xml:space="preserve">The proposed products are sterile water for injection solutions. Each strength </w:t>
      </w:r>
      <w:r w:rsidR="00774598">
        <w:rPr>
          <w:szCs w:val="24"/>
        </w:rPr>
        <w:t xml:space="preserve">of the drug product </w:t>
      </w:r>
      <w:r>
        <w:rPr>
          <w:szCs w:val="24"/>
        </w:rPr>
        <w:t>contains</w:t>
      </w:r>
      <w:r w:rsidRPr="00AF0C49">
        <w:rPr>
          <w:szCs w:val="24"/>
        </w:rPr>
        <w:t xml:space="preserve"> the same amounts of the same three excipients</w:t>
      </w:r>
      <w:r>
        <w:rPr>
          <w:szCs w:val="24"/>
        </w:rPr>
        <w:t xml:space="preserve"> (in 1 mL solutions)</w:t>
      </w:r>
      <w:r w:rsidRPr="00AF0C49">
        <w:rPr>
          <w:szCs w:val="24"/>
        </w:rPr>
        <w:t xml:space="preserve"> whose purpose is to either control the pH (sodium hydroxide), the tonicity (mannitol) or the buffering capacity (t</w:t>
      </w:r>
      <w:r>
        <w:rPr>
          <w:szCs w:val="24"/>
        </w:rPr>
        <w:t>artaric acid) of the solution. The products are manufactured using a standard process comprising: compounding; filtration; filling and terminal sterilisation.</w:t>
      </w:r>
    </w:p>
    <w:p w14:paraId="5A6CA5FC" w14:textId="77777777" w:rsidR="005D1C8F" w:rsidRDefault="005D1C8F" w:rsidP="005D1C8F">
      <w:r>
        <w:t>The proposed specifications included tests and limits for: the identity of the drug substance, pH, extractable volume, sub</w:t>
      </w:r>
      <w:r w:rsidR="00A63A6A">
        <w:t>-</w:t>
      </w:r>
      <w:r>
        <w:t>visible particulate matter, degradation products</w:t>
      </w:r>
      <w:r w:rsidR="00827941">
        <w:t xml:space="preserve">, </w:t>
      </w:r>
      <w:r>
        <w:t>assay</w:t>
      </w:r>
      <w:r w:rsidR="00827941">
        <w:t xml:space="preserve"> and other relevant chemical and physical properties of the drug product</w:t>
      </w:r>
      <w:r>
        <w:t xml:space="preserve">. The acceptability of the sterility and bacterial endotoxins tests have been considered separately. </w:t>
      </w:r>
    </w:p>
    <w:p w14:paraId="1528AD2F" w14:textId="77777777" w:rsidR="005D1C8F" w:rsidRDefault="005D1C8F" w:rsidP="005D1C8F">
      <w:r>
        <w:t>The analytical procedures used in the product specifications were adequately described and were supported by appropriate validation data.</w:t>
      </w:r>
    </w:p>
    <w:p w14:paraId="5488A87C" w14:textId="77777777" w:rsidR="005D1C8F" w:rsidRDefault="005D1C8F" w:rsidP="005D1C8F">
      <w:r>
        <w:t>Stability data were provided that support the proposed shelf life for the product of 24 months when it is stored below 25</w:t>
      </w:r>
      <w:r w:rsidR="00A63A6A">
        <w:t>°</w:t>
      </w:r>
      <w:r>
        <w:t>C and protected from light.</w:t>
      </w:r>
    </w:p>
    <w:p w14:paraId="19B470AB" w14:textId="77777777" w:rsidR="008E7846" w:rsidRDefault="008E7846" w:rsidP="008E7846">
      <w:pPr>
        <w:pStyle w:val="Heading3"/>
      </w:pPr>
      <w:bookmarkStart w:id="31" w:name="_Toc383680708"/>
      <w:r>
        <w:t>Biopharmaceutics</w:t>
      </w:r>
      <w:bookmarkEnd w:id="30"/>
      <w:bookmarkEnd w:id="31"/>
    </w:p>
    <w:p w14:paraId="3A531EDF" w14:textId="77777777" w:rsidR="00A63A6A" w:rsidRDefault="00A63A6A" w:rsidP="00A63A6A">
      <w:pPr>
        <w:rPr>
          <w:szCs w:val="24"/>
        </w:rPr>
      </w:pPr>
      <w:r>
        <w:t xml:space="preserve">The product is to be administered by </w:t>
      </w:r>
      <w:r w:rsidR="005673D5">
        <w:t>subcutaneous (</w:t>
      </w:r>
      <w:proofErr w:type="spellStart"/>
      <w:r w:rsidR="005673D5">
        <w:t>sc</w:t>
      </w:r>
      <w:proofErr w:type="spellEnd"/>
      <w:r>
        <w:t>) injection. Clinical studies have shown that in</w:t>
      </w:r>
      <w:r>
        <w:rPr>
          <w:szCs w:val="24"/>
        </w:rPr>
        <w:t xml:space="preserve"> healthy volunteers</w:t>
      </w:r>
      <w:r w:rsidRPr="009B583C">
        <w:rPr>
          <w:szCs w:val="24"/>
        </w:rPr>
        <w:t xml:space="preserve"> </w:t>
      </w:r>
      <w:r>
        <w:rPr>
          <w:szCs w:val="24"/>
        </w:rPr>
        <w:t xml:space="preserve">(HV) </w:t>
      </w:r>
      <w:r w:rsidRPr="009B583C">
        <w:rPr>
          <w:szCs w:val="24"/>
        </w:rPr>
        <w:t>pasireotide demonstrates approximate</w:t>
      </w:r>
      <w:r>
        <w:rPr>
          <w:szCs w:val="24"/>
        </w:rPr>
        <w:t>ly linear pharmacokinetics (PK)</w:t>
      </w:r>
      <w:r w:rsidR="006D5E5E">
        <w:rPr>
          <w:szCs w:val="24"/>
        </w:rPr>
        <w:t xml:space="preserve"> </w:t>
      </w:r>
      <w:r w:rsidRPr="009B583C">
        <w:rPr>
          <w:szCs w:val="24"/>
        </w:rPr>
        <w:t>for a wide dos</w:t>
      </w:r>
      <w:r>
        <w:rPr>
          <w:szCs w:val="24"/>
        </w:rPr>
        <w:t xml:space="preserve">e range from 2.5 </w:t>
      </w:r>
      <w:proofErr w:type="spellStart"/>
      <w:r>
        <w:rPr>
          <w:szCs w:val="24"/>
        </w:rPr>
        <w:t>μg</w:t>
      </w:r>
      <w:proofErr w:type="spellEnd"/>
      <w:r>
        <w:rPr>
          <w:szCs w:val="24"/>
        </w:rPr>
        <w:t xml:space="preserve"> to 1500 </w:t>
      </w:r>
      <w:proofErr w:type="spellStart"/>
      <w:r>
        <w:rPr>
          <w:szCs w:val="24"/>
        </w:rPr>
        <w:t>μg</w:t>
      </w:r>
      <w:proofErr w:type="spellEnd"/>
      <w:r>
        <w:rPr>
          <w:szCs w:val="24"/>
        </w:rPr>
        <w:t xml:space="preserve">. </w:t>
      </w:r>
      <w:r w:rsidRPr="009B583C">
        <w:rPr>
          <w:szCs w:val="24"/>
        </w:rPr>
        <w:t xml:space="preserve">In Cushing’s disease patients, pasireotide demonstrates </w:t>
      </w:r>
      <w:r>
        <w:rPr>
          <w:szCs w:val="24"/>
        </w:rPr>
        <w:t xml:space="preserve">a </w:t>
      </w:r>
      <w:r w:rsidRPr="009B583C">
        <w:rPr>
          <w:szCs w:val="24"/>
        </w:rPr>
        <w:t xml:space="preserve">linear dose-exposure relationship in a dose range from 300 </w:t>
      </w:r>
      <w:proofErr w:type="spellStart"/>
      <w:r w:rsidRPr="009B583C">
        <w:rPr>
          <w:szCs w:val="24"/>
        </w:rPr>
        <w:t>μg</w:t>
      </w:r>
      <w:proofErr w:type="spellEnd"/>
      <w:r w:rsidRPr="009B583C">
        <w:rPr>
          <w:szCs w:val="24"/>
        </w:rPr>
        <w:t xml:space="preserve"> to 1200 </w:t>
      </w:r>
      <w:proofErr w:type="spellStart"/>
      <w:r w:rsidRPr="009B583C">
        <w:rPr>
          <w:szCs w:val="24"/>
        </w:rPr>
        <w:t>μg</w:t>
      </w:r>
      <w:proofErr w:type="spellEnd"/>
      <w:r w:rsidRPr="009B583C">
        <w:rPr>
          <w:szCs w:val="24"/>
        </w:rPr>
        <w:t>.</w:t>
      </w:r>
      <w:r>
        <w:rPr>
          <w:szCs w:val="24"/>
        </w:rPr>
        <w:t xml:space="preserve"> </w:t>
      </w:r>
      <w:r w:rsidRPr="009B583C">
        <w:rPr>
          <w:szCs w:val="24"/>
        </w:rPr>
        <w:t xml:space="preserve">In </w:t>
      </w:r>
      <w:r>
        <w:rPr>
          <w:szCs w:val="24"/>
        </w:rPr>
        <w:t>HV</w:t>
      </w:r>
      <w:r w:rsidRPr="009B583C">
        <w:rPr>
          <w:szCs w:val="24"/>
        </w:rPr>
        <w:t xml:space="preserve">, pasireotide is rapidly absorbed and peak plasma concentration is reached within </w:t>
      </w:r>
      <w:r>
        <w:rPr>
          <w:szCs w:val="24"/>
        </w:rPr>
        <w:t xml:space="preserve">a </w:t>
      </w:r>
      <w:proofErr w:type="spellStart"/>
      <w:r w:rsidRPr="009B583C">
        <w:rPr>
          <w:szCs w:val="24"/>
        </w:rPr>
        <w:t>T</w:t>
      </w:r>
      <w:r w:rsidRPr="00A63A6A">
        <w:rPr>
          <w:szCs w:val="24"/>
          <w:vertAlign w:val="subscript"/>
        </w:rPr>
        <w:t>max</w:t>
      </w:r>
      <w:proofErr w:type="spellEnd"/>
      <w:r w:rsidRPr="009B583C">
        <w:rPr>
          <w:szCs w:val="24"/>
        </w:rPr>
        <w:t xml:space="preserve"> </w:t>
      </w:r>
      <w:r>
        <w:rPr>
          <w:szCs w:val="24"/>
        </w:rPr>
        <w:t xml:space="preserve">of </w:t>
      </w:r>
      <w:r w:rsidRPr="009B583C">
        <w:rPr>
          <w:szCs w:val="24"/>
        </w:rPr>
        <w:t>0.25-0.5 hour</w:t>
      </w:r>
      <w:r>
        <w:rPr>
          <w:szCs w:val="24"/>
        </w:rPr>
        <w:t xml:space="preserve">s. </w:t>
      </w:r>
      <w:proofErr w:type="spellStart"/>
      <w:r w:rsidRPr="009B583C">
        <w:rPr>
          <w:szCs w:val="24"/>
        </w:rPr>
        <w:t>C</w:t>
      </w:r>
      <w:r w:rsidRPr="00A63A6A">
        <w:rPr>
          <w:szCs w:val="24"/>
          <w:vertAlign w:val="subscript"/>
        </w:rPr>
        <w:t>max</w:t>
      </w:r>
      <w:proofErr w:type="spellEnd"/>
      <w:r w:rsidRPr="009B583C">
        <w:rPr>
          <w:szCs w:val="24"/>
        </w:rPr>
        <w:t xml:space="preserve"> and AUC are approximately dose-proportional following administration of single and multiple doses.</w:t>
      </w:r>
      <w:r>
        <w:rPr>
          <w:szCs w:val="24"/>
        </w:rPr>
        <w:t xml:space="preserve"> </w:t>
      </w:r>
      <w:r w:rsidRPr="009B583C">
        <w:rPr>
          <w:szCs w:val="24"/>
        </w:rPr>
        <w:t>Based on the accumulation ratios of AUC, the c</w:t>
      </w:r>
      <w:r>
        <w:rPr>
          <w:szCs w:val="24"/>
        </w:rPr>
        <w:t>alculated effective half-life</w:t>
      </w:r>
      <w:r w:rsidRPr="009B583C">
        <w:rPr>
          <w:szCs w:val="24"/>
        </w:rPr>
        <w:t xml:space="preserve"> </w:t>
      </w:r>
      <w:r>
        <w:rPr>
          <w:szCs w:val="24"/>
        </w:rPr>
        <w:t xml:space="preserve">(t½) </w:t>
      </w:r>
      <w:r w:rsidRPr="009B583C">
        <w:rPr>
          <w:szCs w:val="24"/>
        </w:rPr>
        <w:t xml:space="preserve">in </w:t>
      </w:r>
      <w:r>
        <w:rPr>
          <w:szCs w:val="24"/>
        </w:rPr>
        <w:t>HV</w:t>
      </w:r>
      <w:r w:rsidRPr="009B583C">
        <w:rPr>
          <w:szCs w:val="24"/>
        </w:rPr>
        <w:t xml:space="preserve"> was approximately 12 hours (on average between 10 and 13 hours for 50, 200 and 600 </w:t>
      </w:r>
      <w:proofErr w:type="spellStart"/>
      <w:r w:rsidRPr="009B583C">
        <w:rPr>
          <w:szCs w:val="24"/>
        </w:rPr>
        <w:t>μg</w:t>
      </w:r>
      <w:proofErr w:type="spellEnd"/>
      <w:r w:rsidRPr="009B583C">
        <w:rPr>
          <w:szCs w:val="24"/>
        </w:rPr>
        <w:t xml:space="preserve"> </w:t>
      </w:r>
      <w:r>
        <w:rPr>
          <w:szCs w:val="24"/>
        </w:rPr>
        <w:t>once daily (</w:t>
      </w:r>
      <w:proofErr w:type="spellStart"/>
      <w:r w:rsidR="005673D5">
        <w:rPr>
          <w:szCs w:val="24"/>
        </w:rPr>
        <w:t>q</w:t>
      </w:r>
      <w:r w:rsidRPr="009B583C">
        <w:rPr>
          <w:szCs w:val="24"/>
        </w:rPr>
        <w:t>d</w:t>
      </w:r>
      <w:proofErr w:type="spellEnd"/>
      <w:r>
        <w:rPr>
          <w:szCs w:val="24"/>
        </w:rPr>
        <w:t>)</w:t>
      </w:r>
      <w:r w:rsidRPr="009B583C">
        <w:rPr>
          <w:szCs w:val="24"/>
        </w:rPr>
        <w:t xml:space="preserve"> doses).</w:t>
      </w:r>
    </w:p>
    <w:p w14:paraId="21D4272E" w14:textId="77777777" w:rsidR="00A63A6A" w:rsidRDefault="00A63A6A" w:rsidP="00A63A6A">
      <w:pPr>
        <w:rPr>
          <w:szCs w:val="24"/>
        </w:rPr>
      </w:pPr>
      <w:r w:rsidRPr="009B583C">
        <w:rPr>
          <w:szCs w:val="24"/>
        </w:rPr>
        <w:t>Pasireotide has low passive permeability</w:t>
      </w:r>
      <w:r>
        <w:rPr>
          <w:szCs w:val="24"/>
        </w:rPr>
        <w:t xml:space="preserve"> and </w:t>
      </w:r>
      <w:r w:rsidRPr="009B583C">
        <w:rPr>
          <w:szCs w:val="24"/>
        </w:rPr>
        <w:t xml:space="preserve">was shown to be metabolically stable in human liver and kidney microsomes. In </w:t>
      </w:r>
      <w:r>
        <w:rPr>
          <w:szCs w:val="24"/>
        </w:rPr>
        <w:t>HV</w:t>
      </w:r>
      <w:r w:rsidRPr="009B583C">
        <w:rPr>
          <w:szCs w:val="24"/>
        </w:rPr>
        <w:t>, pasireotide in its unchanged form is the predominant form found in plasma, urine and faeces.</w:t>
      </w:r>
      <w:r>
        <w:rPr>
          <w:szCs w:val="24"/>
        </w:rPr>
        <w:t xml:space="preserve"> </w:t>
      </w:r>
      <w:r w:rsidRPr="009B583C">
        <w:rPr>
          <w:szCs w:val="24"/>
        </w:rPr>
        <w:t>Pasireotide is eliminated mainly via hepatic clearance (biliary excretion) with a small contribution of the renal route.</w:t>
      </w:r>
    </w:p>
    <w:p w14:paraId="62EFE534" w14:textId="77777777" w:rsidR="00A63A6A" w:rsidRPr="00A63A6A" w:rsidRDefault="00A63A6A" w:rsidP="00A63A6A">
      <w:r w:rsidRPr="00A63A6A">
        <w:t xml:space="preserve">In the original submission a justification was supplied for not conducting an absolute bioavailability study. It was argued that, on the basis of the </w:t>
      </w:r>
      <w:proofErr w:type="spellStart"/>
      <w:r w:rsidRPr="00A63A6A">
        <w:t>physico</w:t>
      </w:r>
      <w:proofErr w:type="spellEnd"/>
      <w:r w:rsidRPr="00A63A6A">
        <w:t xml:space="preserve">-chemical properties of the drug substance and an absolute bioavailability study in rats (which demonstrated </w:t>
      </w:r>
      <w:r w:rsidRPr="00A63A6A">
        <w:lastRenderedPageBreak/>
        <w:t>100% bioavailab</w:t>
      </w:r>
      <w:r w:rsidR="005673D5">
        <w:t xml:space="preserve">ility of the product following </w:t>
      </w:r>
      <w:proofErr w:type="spellStart"/>
      <w:r w:rsidR="005673D5">
        <w:t>sc</w:t>
      </w:r>
      <w:proofErr w:type="spellEnd"/>
      <w:r w:rsidRPr="00A63A6A">
        <w:t xml:space="preserve"> administration), that it was likely that the drug product would be close to 100% bioavailable after </w:t>
      </w:r>
      <w:proofErr w:type="spellStart"/>
      <w:r w:rsidR="005673D5">
        <w:t>sc</w:t>
      </w:r>
      <w:proofErr w:type="spellEnd"/>
      <w:r w:rsidRPr="00A63A6A">
        <w:t xml:space="preserve"> injection in humans.</w:t>
      </w:r>
    </w:p>
    <w:p w14:paraId="2838DF66" w14:textId="77777777" w:rsidR="008E7846" w:rsidRDefault="008E7846" w:rsidP="008E7846">
      <w:pPr>
        <w:pStyle w:val="Heading3"/>
      </w:pPr>
      <w:bookmarkStart w:id="32" w:name="_Toc314842492"/>
      <w:bookmarkStart w:id="33" w:name="_Toc383680709"/>
      <w:r>
        <w:t>Advisory committee considerations</w:t>
      </w:r>
      <w:bookmarkEnd w:id="32"/>
      <w:bookmarkEnd w:id="33"/>
    </w:p>
    <w:p w14:paraId="28DF07ED" w14:textId="77777777" w:rsidR="00A63A6A" w:rsidRPr="00A63A6A" w:rsidRDefault="00A63A6A" w:rsidP="00A63A6A">
      <w:r w:rsidRPr="00A63A6A">
        <w:t xml:space="preserve">The Pharmaceutical Sub-Committee </w:t>
      </w:r>
      <w:r>
        <w:t xml:space="preserve">(PSC) </w:t>
      </w:r>
      <w:r w:rsidRPr="00A63A6A">
        <w:t xml:space="preserve">of the ACPM considered this argument and was concerned by the poor agreement between the results from human mass balance study and the </w:t>
      </w:r>
      <w:r>
        <w:t>PK</w:t>
      </w:r>
      <w:r w:rsidRPr="00A63A6A">
        <w:t xml:space="preserve"> parameters of the drug substance derived from the population</w:t>
      </w:r>
      <w:r>
        <w:t xml:space="preserve"> PK (</w:t>
      </w:r>
      <w:proofErr w:type="spellStart"/>
      <w:r>
        <w:t>PopPK</w:t>
      </w:r>
      <w:proofErr w:type="spellEnd"/>
      <w:r>
        <w:t>)</w:t>
      </w:r>
      <w:r w:rsidRPr="00A63A6A">
        <w:t xml:space="preserve"> study. They recommended that the company should: quantify the percentage of the dose that was recovered as metabolites in the human recovery study; reconcile the expected recovery as predicted by their PK model with that actually observed in the mass balance study in humans and provide an absolute bioavailability study.</w:t>
      </w:r>
    </w:p>
    <w:p w14:paraId="0F3FC799" w14:textId="77777777" w:rsidR="00A63A6A" w:rsidRPr="00A63A6A" w:rsidRDefault="00A63A6A" w:rsidP="00A63A6A">
      <w:r w:rsidRPr="00A63A6A">
        <w:t>The company has responded to these issues but as the response is clinical in nature no evaluation of the response was condu</w:t>
      </w:r>
      <w:r>
        <w:t>c</w:t>
      </w:r>
      <w:r w:rsidRPr="00A63A6A">
        <w:t xml:space="preserve">ted by the Pharmaceutical Chemistry Section. </w:t>
      </w:r>
    </w:p>
    <w:p w14:paraId="1CD8EA69" w14:textId="77777777" w:rsidR="008E7846" w:rsidRPr="008751DC" w:rsidRDefault="008E7846" w:rsidP="008E7846">
      <w:pPr>
        <w:pStyle w:val="Heading3"/>
      </w:pPr>
      <w:bookmarkStart w:id="34" w:name="_Toc247691509"/>
      <w:bookmarkStart w:id="35" w:name="_Toc314842493"/>
      <w:bookmarkStart w:id="36" w:name="_Toc383680710"/>
      <w:r>
        <w:t>Quality s</w:t>
      </w:r>
      <w:r w:rsidRPr="008751DC">
        <w:t>ummary</w:t>
      </w:r>
      <w:r>
        <w:t xml:space="preserve"> and conclusions</w:t>
      </w:r>
      <w:bookmarkEnd w:id="34"/>
      <w:bookmarkEnd w:id="35"/>
      <w:bookmarkEnd w:id="36"/>
    </w:p>
    <w:p w14:paraId="48A58FF7" w14:textId="77777777" w:rsidR="00A63A6A" w:rsidRDefault="00A63A6A" w:rsidP="00A63A6A">
      <w:r>
        <w:t>Approval is recommended with respect to chemistry and quality control.</w:t>
      </w:r>
    </w:p>
    <w:p w14:paraId="1290DE0F" w14:textId="77777777" w:rsidR="00A63A6A" w:rsidRDefault="00A63A6A" w:rsidP="00A63A6A">
      <w:r>
        <w:t xml:space="preserve">The ACPM’s attention is drawn to the issues raised by the PSC regarding the </w:t>
      </w:r>
      <w:proofErr w:type="spellStart"/>
      <w:r w:rsidR="00224C4E">
        <w:t>P</w:t>
      </w:r>
      <w:r>
        <w:t>op</w:t>
      </w:r>
      <w:r w:rsidR="00224C4E">
        <w:t>PK</w:t>
      </w:r>
      <w:proofErr w:type="spellEnd"/>
      <w:r>
        <w:t xml:space="preserve"> analysis and the company’s response to these issues.</w:t>
      </w:r>
    </w:p>
    <w:p w14:paraId="5AA3AB6E" w14:textId="77777777" w:rsidR="008E7846" w:rsidRDefault="008E7846" w:rsidP="008E7846">
      <w:pPr>
        <w:pStyle w:val="Heading2"/>
      </w:pPr>
      <w:bookmarkStart w:id="37" w:name="_Toc196046439"/>
      <w:bookmarkStart w:id="38" w:name="_Toc247691510"/>
      <w:bookmarkStart w:id="39" w:name="_Toc314842494"/>
      <w:bookmarkStart w:id="40" w:name="_Toc383680711"/>
      <w:r>
        <w:t>III. Nonclinical</w:t>
      </w:r>
      <w:bookmarkEnd w:id="37"/>
      <w:r>
        <w:t xml:space="preserve"> findings</w:t>
      </w:r>
      <w:bookmarkEnd w:id="38"/>
      <w:bookmarkEnd w:id="39"/>
      <w:bookmarkEnd w:id="40"/>
    </w:p>
    <w:p w14:paraId="53F48DD3" w14:textId="77777777" w:rsidR="008E7846" w:rsidRDefault="008E7846" w:rsidP="008E7846">
      <w:pPr>
        <w:pStyle w:val="Heading3"/>
      </w:pPr>
      <w:bookmarkStart w:id="41" w:name="_Toc247691511"/>
      <w:bookmarkStart w:id="42" w:name="_Toc314842495"/>
      <w:bookmarkStart w:id="43" w:name="_Toc383680712"/>
      <w:r>
        <w:t>Introduction</w:t>
      </w:r>
      <w:bookmarkEnd w:id="41"/>
      <w:bookmarkEnd w:id="42"/>
      <w:bookmarkEnd w:id="43"/>
      <w:r>
        <w:tab/>
      </w:r>
    </w:p>
    <w:p w14:paraId="67F1C2F3" w14:textId="77777777" w:rsidR="004741C8" w:rsidRPr="004741C8" w:rsidRDefault="004741C8" w:rsidP="004741C8">
      <w:r w:rsidRPr="004741C8">
        <w:t xml:space="preserve">Novartis Pharmaceuticals Australia Pty Ltd has applied to register </w:t>
      </w:r>
      <w:proofErr w:type="spellStart"/>
      <w:r w:rsidRPr="004741C8">
        <w:t>pasireotide</w:t>
      </w:r>
      <w:proofErr w:type="spellEnd"/>
      <w:r w:rsidRPr="004741C8">
        <w:t xml:space="preserve"> </w:t>
      </w:r>
      <w:r>
        <w:t xml:space="preserve">(as </w:t>
      </w:r>
      <w:proofErr w:type="spellStart"/>
      <w:r w:rsidRPr="004741C8">
        <w:t>diaspartate</w:t>
      </w:r>
      <w:proofErr w:type="spellEnd"/>
      <w:r>
        <w:t xml:space="preserve">), </w:t>
      </w:r>
      <w:proofErr w:type="spellStart"/>
      <w:r w:rsidRPr="004741C8">
        <w:t>Signifor</w:t>
      </w:r>
      <w:proofErr w:type="spellEnd"/>
      <w:r w:rsidRPr="004741C8">
        <w:t xml:space="preserve">, a new chemical entity for the treatment of Cushing’s disease in adults. Treatment involves twice daily </w:t>
      </w:r>
      <w:proofErr w:type="spellStart"/>
      <w:r w:rsidR="001D7979">
        <w:t>sc</w:t>
      </w:r>
      <w:proofErr w:type="spellEnd"/>
      <w:r w:rsidRPr="004741C8">
        <w:t xml:space="preserve"> injection. The maximum recommended human dose is 900 </w:t>
      </w:r>
      <w:proofErr w:type="spellStart"/>
      <w:r w:rsidRPr="004741C8">
        <w:t>μg</w:t>
      </w:r>
      <w:proofErr w:type="spellEnd"/>
      <w:r w:rsidRPr="004741C8">
        <w:t xml:space="preserve">/day </w:t>
      </w:r>
      <w:r w:rsidR="0009268D">
        <w:t>BD</w:t>
      </w:r>
      <w:r w:rsidRPr="004741C8">
        <w:t>.</w:t>
      </w:r>
    </w:p>
    <w:p w14:paraId="40D0C250" w14:textId="77777777" w:rsidR="004741C8" w:rsidRPr="004741C8" w:rsidRDefault="004741C8" w:rsidP="004741C8">
      <w:r w:rsidRPr="004741C8">
        <w:t xml:space="preserve">The overall quality of the nonclinical dossier was high. All pivotal safety-related studies were conducted under </w:t>
      </w:r>
      <w:r>
        <w:t>Good Laboratory Practice (</w:t>
      </w:r>
      <w:r w:rsidRPr="004741C8">
        <w:t>GLP</w:t>
      </w:r>
      <w:r>
        <w:t>)</w:t>
      </w:r>
      <w:r w:rsidRPr="004741C8">
        <w:t xml:space="preserve"> conditions with the exception of one on </w:t>
      </w:r>
      <w:r w:rsidR="004939E4" w:rsidRPr="00A338C4">
        <w:t>in vitro</w:t>
      </w:r>
      <w:r w:rsidRPr="004741C8">
        <w:t xml:space="preserve"> cardiovascular safety (involving experiments with isolated rabbit Purkinje fibres). The relevant EU guideline (CHMP/ICH/423/02) specifies that such a study should be conducted according to GLP. However, the study was well documented nevertheless, and this is considered to be only a minor deficiency.</w:t>
      </w:r>
    </w:p>
    <w:p w14:paraId="23BB4F55" w14:textId="77777777" w:rsidR="008E7846" w:rsidRDefault="008E7846" w:rsidP="008E7846">
      <w:pPr>
        <w:pStyle w:val="Heading3"/>
      </w:pPr>
      <w:bookmarkStart w:id="44" w:name="_Toc247691512"/>
      <w:bookmarkStart w:id="45" w:name="_Toc314842496"/>
      <w:bookmarkStart w:id="46" w:name="_Toc383680713"/>
      <w:r w:rsidRPr="00020030">
        <w:t>Pharmacology</w:t>
      </w:r>
      <w:bookmarkEnd w:id="44"/>
      <w:bookmarkEnd w:id="45"/>
      <w:bookmarkEnd w:id="46"/>
    </w:p>
    <w:p w14:paraId="63DF224E" w14:textId="77777777" w:rsidR="004741C8" w:rsidRPr="004741C8" w:rsidRDefault="004741C8" w:rsidP="004741C8">
      <w:pPr>
        <w:pStyle w:val="Heading4"/>
      </w:pPr>
      <w:r w:rsidRPr="004741C8">
        <w:t>Primary pharmacology</w:t>
      </w:r>
    </w:p>
    <w:p w14:paraId="0233ED8C" w14:textId="77777777" w:rsidR="004741C8" w:rsidRPr="004741C8" w:rsidRDefault="004741C8" w:rsidP="004741C8">
      <w:proofErr w:type="spellStart"/>
      <w:r w:rsidRPr="004741C8">
        <w:t>Pasireotide</w:t>
      </w:r>
      <w:proofErr w:type="spellEnd"/>
      <w:r w:rsidRPr="004741C8">
        <w:t xml:space="preserve"> is a </w:t>
      </w:r>
      <w:proofErr w:type="spellStart"/>
      <w:r w:rsidRPr="004741C8">
        <w:t>cyclohexapeptide</w:t>
      </w:r>
      <w:proofErr w:type="spellEnd"/>
      <w:r w:rsidRPr="004741C8">
        <w:t xml:space="preserve"> somatostatin analogue. Pasireotide was shown to bind with high affinity to four of the five human somatostatin (</w:t>
      </w:r>
      <w:proofErr w:type="spellStart"/>
      <w:r w:rsidRPr="004741C8">
        <w:t>hsst</w:t>
      </w:r>
      <w:proofErr w:type="spellEnd"/>
      <w:r w:rsidRPr="004741C8">
        <w:t xml:space="preserve">) receptor subtypes: in experiments measuring inhibition of radiolabelled somatostatin binding to recombinant receptors, </w:t>
      </w:r>
      <w:r w:rsidRPr="00224C4E">
        <w:t>half maximal inhibitory concentration</w:t>
      </w:r>
      <w:r w:rsidRPr="004741C8">
        <w:t xml:space="preserve"> </w:t>
      </w:r>
      <w:r>
        <w:t>(</w:t>
      </w:r>
      <w:r w:rsidRPr="004741C8">
        <w:t>IC50</w:t>
      </w:r>
      <w:r>
        <w:t>)</w:t>
      </w:r>
      <w:r w:rsidRPr="004741C8">
        <w:t xml:space="preserve"> values for </w:t>
      </w:r>
      <w:proofErr w:type="spellStart"/>
      <w:r w:rsidRPr="004741C8">
        <w:t>pasireotide</w:t>
      </w:r>
      <w:proofErr w:type="spellEnd"/>
      <w:r w:rsidRPr="004741C8">
        <w:t xml:space="preserve"> were 9.3 </w:t>
      </w:r>
      <w:proofErr w:type="spellStart"/>
      <w:r w:rsidRPr="004741C8">
        <w:t>nM</w:t>
      </w:r>
      <w:proofErr w:type="spellEnd"/>
      <w:r w:rsidRPr="004741C8">
        <w:t xml:space="preserve"> at hsst1, 1.0</w:t>
      </w:r>
      <w:r>
        <w:t xml:space="preserve"> </w:t>
      </w:r>
      <w:proofErr w:type="spellStart"/>
      <w:r w:rsidRPr="004741C8">
        <w:t>nM</w:t>
      </w:r>
      <w:proofErr w:type="spellEnd"/>
      <w:r w:rsidRPr="004741C8">
        <w:t xml:space="preserve"> at hsst2, 1.5</w:t>
      </w:r>
      <w:r>
        <w:t xml:space="preserve"> </w:t>
      </w:r>
      <w:proofErr w:type="spellStart"/>
      <w:r w:rsidRPr="004741C8">
        <w:t>nM</w:t>
      </w:r>
      <w:proofErr w:type="spellEnd"/>
      <w:r w:rsidRPr="004741C8">
        <w:t xml:space="preserve"> at hsst3 and 0.16 </w:t>
      </w:r>
      <w:proofErr w:type="spellStart"/>
      <w:r w:rsidRPr="004741C8">
        <w:t>nM</w:t>
      </w:r>
      <w:proofErr w:type="spellEnd"/>
      <w:r w:rsidRPr="004741C8">
        <w:t xml:space="preserve"> at hsst5 (c</w:t>
      </w:r>
      <w:r w:rsidR="00EB2FA1">
        <w:t xml:space="preserve">ompared with </w:t>
      </w:r>
      <w:r w:rsidRPr="004741C8">
        <w:t xml:space="preserve">&gt;100 </w:t>
      </w:r>
      <w:proofErr w:type="spellStart"/>
      <w:r w:rsidRPr="004741C8">
        <w:t>nM</w:t>
      </w:r>
      <w:proofErr w:type="spellEnd"/>
      <w:r w:rsidRPr="004741C8">
        <w:t xml:space="preserve"> at hsst4). This stands in contrast to the existing somatostatin analogues, octreotide (</w:t>
      </w:r>
      <w:proofErr w:type="spellStart"/>
      <w:r w:rsidRPr="004741C8">
        <w:t>Sandostatin</w:t>
      </w:r>
      <w:proofErr w:type="spellEnd"/>
      <w:r w:rsidRPr="004741C8">
        <w:t xml:space="preserve">) and </w:t>
      </w:r>
      <w:proofErr w:type="spellStart"/>
      <w:r w:rsidRPr="004741C8">
        <w:t>lanreotide</w:t>
      </w:r>
      <w:proofErr w:type="spellEnd"/>
      <w:r w:rsidRPr="004741C8">
        <w:t xml:space="preserve"> (</w:t>
      </w:r>
      <w:proofErr w:type="spellStart"/>
      <w:r w:rsidRPr="004741C8">
        <w:t>Somatuline</w:t>
      </w:r>
      <w:proofErr w:type="spellEnd"/>
      <w:r w:rsidRPr="004741C8">
        <w:t xml:space="preserve">), which primarily target the hsst2 subtype (with respective IC50 values of 0.38 and 0.54 </w:t>
      </w:r>
      <w:proofErr w:type="spellStart"/>
      <w:r w:rsidRPr="004741C8">
        <w:t>nM</w:t>
      </w:r>
      <w:proofErr w:type="spellEnd"/>
      <w:r w:rsidRPr="004741C8">
        <w:t>); these agents have 39</w:t>
      </w:r>
      <w:r w:rsidR="006E3367">
        <w:t xml:space="preserve"> </w:t>
      </w:r>
      <w:r w:rsidRPr="004741C8">
        <w:t xml:space="preserve"> and 106</w:t>
      </w:r>
      <w:r w:rsidR="006E3367">
        <w:t xml:space="preserve"> </w:t>
      </w:r>
      <w:r w:rsidRPr="004741C8">
        <w:t xml:space="preserve">times, respectively, lower affinity for hsst5 than pasireotide. Somatostatin receptor agonist activity was demonstrated for pasireotide in cell-based functional experiments, with </w:t>
      </w:r>
      <w:r w:rsidRPr="004741C8">
        <w:lastRenderedPageBreak/>
        <w:t xml:space="preserve">forskolin-stimulated cAMP accumulation inhibited by </w:t>
      </w:r>
      <w:proofErr w:type="spellStart"/>
      <w:r w:rsidRPr="004741C8">
        <w:t>pasireotide</w:t>
      </w:r>
      <w:proofErr w:type="spellEnd"/>
      <w:r w:rsidRPr="004741C8">
        <w:t xml:space="preserve"> at nanomolar or </w:t>
      </w:r>
      <w:proofErr w:type="spellStart"/>
      <w:r w:rsidRPr="004741C8">
        <w:t>subnanomolar</w:t>
      </w:r>
      <w:proofErr w:type="spellEnd"/>
      <w:r w:rsidRPr="004741C8">
        <w:t xml:space="preserve"> concentrations in cells expressing recombinant hsst1, hsst2, hsst3 and hsst5; no agonist activity was observed with pasireotide at hsst4. </w:t>
      </w:r>
      <w:r w:rsidRPr="00A338C4">
        <w:t>In</w:t>
      </w:r>
      <w:r w:rsidR="006E3367" w:rsidRPr="00A338C4">
        <w:t xml:space="preserve"> </w:t>
      </w:r>
      <w:r w:rsidRPr="00A338C4">
        <w:t>vivo</w:t>
      </w:r>
      <w:r w:rsidRPr="004741C8">
        <w:t xml:space="preserve">, pasireotide (3 or 10 </w:t>
      </w:r>
      <w:proofErr w:type="spellStart"/>
      <w:r w:rsidRPr="004741C8">
        <w:t>μg</w:t>
      </w:r>
      <w:proofErr w:type="spellEnd"/>
      <w:r w:rsidRPr="004741C8">
        <w:t xml:space="preserve">/kg </w:t>
      </w:r>
      <w:r w:rsidR="004939E4" w:rsidRPr="00A338C4">
        <w:t>in vitro</w:t>
      </w:r>
      <w:r w:rsidRPr="004741C8">
        <w:t xml:space="preserve">) was shown to inhibit corticotrophin releasing hormone-induced ACTH and corticosterone secretion in rats more strongly than octreotide. </w:t>
      </w:r>
    </w:p>
    <w:p w14:paraId="1D2CB3DB" w14:textId="77777777" w:rsidR="004741C8" w:rsidRPr="004741C8" w:rsidRDefault="004741C8" w:rsidP="004741C8">
      <w:r w:rsidRPr="004741C8">
        <w:t xml:space="preserve">Of relevance to the proposed indication, </w:t>
      </w:r>
      <w:r w:rsidR="004939E4" w:rsidRPr="00A338C4">
        <w:t>in vitro</w:t>
      </w:r>
      <w:r w:rsidRPr="004741C8">
        <w:t xml:space="preserve"> studies have shown that </w:t>
      </w:r>
      <w:proofErr w:type="spellStart"/>
      <w:r w:rsidRPr="004741C8">
        <w:t>corticotroph</w:t>
      </w:r>
      <w:proofErr w:type="spellEnd"/>
      <w:r w:rsidRPr="004741C8">
        <w:t xml:space="preserve"> tumour cells from Cushing’s disease patients express high levels of hsst5 (</w:t>
      </w:r>
      <w:r>
        <w:t xml:space="preserve">that is, </w:t>
      </w:r>
      <w:r w:rsidRPr="004741C8">
        <w:t xml:space="preserve">the subtype most potently targeted by pasireotide), whereas the other four somatostatin receptor subtypes are either not expressed or are expressed at a significantly lower level (Batista </w:t>
      </w:r>
      <w:r w:rsidRPr="00A338C4">
        <w:t>et al</w:t>
      </w:r>
      <w:r w:rsidRPr="004741C8">
        <w:t>., 2006</w:t>
      </w:r>
      <w:r w:rsidR="008D06CD">
        <w:rPr>
          <w:rStyle w:val="FootnoteReference"/>
        </w:rPr>
        <w:footnoteReference w:id="1"/>
      </w:r>
      <w:r w:rsidRPr="004741C8">
        <w:t xml:space="preserve">). While hsst2 receptors on </w:t>
      </w:r>
      <w:proofErr w:type="spellStart"/>
      <w:r w:rsidRPr="004741C8">
        <w:t>corticotroph</w:t>
      </w:r>
      <w:proofErr w:type="spellEnd"/>
      <w:r w:rsidRPr="004741C8">
        <w:t xml:space="preserve"> cells are down-regulated in the presence of high levels of glucocorticoids, hsst5 receptors are not affected (Hofland </w:t>
      </w:r>
      <w:r w:rsidRPr="00A338C4">
        <w:t>et</w:t>
      </w:r>
      <w:r w:rsidR="00A338C4">
        <w:t> </w:t>
      </w:r>
      <w:r w:rsidRPr="00A338C4">
        <w:t>al.</w:t>
      </w:r>
      <w:r>
        <w:t>, 2005</w:t>
      </w:r>
      <w:r w:rsidR="008D06CD">
        <w:rPr>
          <w:rStyle w:val="FootnoteReference"/>
        </w:rPr>
        <w:footnoteReference w:id="2"/>
      </w:r>
      <w:r>
        <w:t xml:space="preserve">; van </w:t>
      </w:r>
      <w:r w:rsidRPr="004741C8">
        <w:t>der</w:t>
      </w:r>
      <w:r>
        <w:t xml:space="preserve"> </w:t>
      </w:r>
      <w:r w:rsidRPr="004741C8">
        <w:t>Hoek, 2004</w:t>
      </w:r>
      <w:r w:rsidR="008D06CD">
        <w:rPr>
          <w:rStyle w:val="FootnoteReference"/>
        </w:rPr>
        <w:footnoteReference w:id="3"/>
      </w:r>
      <w:r w:rsidRPr="004741C8">
        <w:t>).</w:t>
      </w:r>
    </w:p>
    <w:p w14:paraId="56FCA18A" w14:textId="77777777" w:rsidR="004741C8" w:rsidRPr="004741C8" w:rsidRDefault="004741C8" w:rsidP="008D06CD">
      <w:pPr>
        <w:pStyle w:val="Heading4"/>
      </w:pPr>
      <w:r w:rsidRPr="004741C8">
        <w:t>Secondary pharmacodynamics and safety pharmacology</w:t>
      </w:r>
    </w:p>
    <w:p w14:paraId="34CE18D4" w14:textId="77777777" w:rsidR="004741C8" w:rsidRPr="004741C8" w:rsidRDefault="004741C8" w:rsidP="004741C8">
      <w:r w:rsidRPr="004741C8">
        <w:t>Consistent with somatostatin activity, inhibition of growth hormone</w:t>
      </w:r>
      <w:r w:rsidR="008E387B">
        <w:t xml:space="preserve"> (GH)</w:t>
      </w:r>
      <w:r w:rsidRPr="004741C8">
        <w:t xml:space="preserve"> release by pasireotide was shown </w:t>
      </w:r>
      <w:r w:rsidR="004939E4" w:rsidRPr="00A338C4">
        <w:t>in vitro</w:t>
      </w:r>
      <w:r w:rsidRPr="004741C8">
        <w:t xml:space="preserve"> in rat pituitary cells and </w:t>
      </w:r>
      <w:r w:rsidRPr="00A338C4">
        <w:t>in</w:t>
      </w:r>
      <w:r w:rsidR="006E3367" w:rsidRPr="00A338C4">
        <w:t xml:space="preserve"> v</w:t>
      </w:r>
      <w:r w:rsidRPr="00A338C4">
        <w:t>ivo</w:t>
      </w:r>
      <w:r w:rsidRPr="004741C8">
        <w:t xml:space="preserve"> in rats and monkeys after </w:t>
      </w:r>
      <w:proofErr w:type="spellStart"/>
      <w:r w:rsidR="001D7979">
        <w:t>sc</w:t>
      </w:r>
      <w:proofErr w:type="spellEnd"/>
      <w:r w:rsidRPr="004741C8">
        <w:t xml:space="preserve"> administration. Greater potency was evident for </w:t>
      </w:r>
      <w:proofErr w:type="spellStart"/>
      <w:r w:rsidRPr="004741C8">
        <w:t>pasireotide</w:t>
      </w:r>
      <w:proofErr w:type="spellEnd"/>
      <w:r w:rsidRPr="004741C8">
        <w:t xml:space="preserve"> </w:t>
      </w:r>
      <w:r w:rsidR="00EB2FA1">
        <w:t>compared with</w:t>
      </w:r>
      <w:r w:rsidRPr="004741C8">
        <w:t xml:space="preserve"> octreotide </w:t>
      </w:r>
      <w:r w:rsidR="004939E4" w:rsidRPr="00A338C4">
        <w:t>in vitro</w:t>
      </w:r>
      <w:r w:rsidRPr="004741C8">
        <w:t xml:space="preserve"> (</w:t>
      </w:r>
      <w:r w:rsidR="00224C4E">
        <w:t>greater than three</w:t>
      </w:r>
      <w:r w:rsidR="008D06CD">
        <w:t>-</w:t>
      </w:r>
      <w:r w:rsidRPr="004741C8">
        <w:t xml:space="preserve">fold). Pasireotide inhibited basal </w:t>
      </w:r>
      <w:r w:rsidR="008E387B">
        <w:t>GH</w:t>
      </w:r>
      <w:r w:rsidRPr="004741C8">
        <w:t xml:space="preserve"> in rats with roughly similar activity as octreotide, but with a much longer duration of action. Inhibition of </w:t>
      </w:r>
      <w:r w:rsidR="008E387B">
        <w:t>GH</w:t>
      </w:r>
      <w:r w:rsidRPr="004741C8">
        <w:t xml:space="preserve"> in cynomolgus monkeys was stronger and longer lasting with </w:t>
      </w:r>
      <w:proofErr w:type="spellStart"/>
      <w:r w:rsidRPr="004741C8">
        <w:t>pasireotide</w:t>
      </w:r>
      <w:proofErr w:type="spellEnd"/>
      <w:r w:rsidR="003A596F">
        <w:t xml:space="preserve"> compared to</w:t>
      </w:r>
      <w:r w:rsidRPr="004741C8">
        <w:t xml:space="preserve"> octreotide, while activity in rhesus monkeys was comparable for the two drugs. Pasireotide caused a greater and more sustained reduction in plasma IGF-1 levels c</w:t>
      </w:r>
      <w:r w:rsidR="003A596F">
        <w:t>ompared to</w:t>
      </w:r>
      <w:r w:rsidRPr="004741C8">
        <w:t xml:space="preserve"> octreotide in both rats and (cynomolgus) monkeys.</w:t>
      </w:r>
    </w:p>
    <w:p w14:paraId="619B53DB" w14:textId="77777777" w:rsidR="004741C8" w:rsidRPr="004741C8" w:rsidRDefault="004741C8" w:rsidP="004741C8">
      <w:r w:rsidRPr="004741C8">
        <w:t xml:space="preserve">Compared with octreotide, </w:t>
      </w:r>
      <w:proofErr w:type="spellStart"/>
      <w:r w:rsidRPr="004741C8">
        <w:t>pasireotide</w:t>
      </w:r>
      <w:proofErr w:type="spellEnd"/>
      <w:r w:rsidRPr="004741C8">
        <w:t xml:space="preserve"> was a much more potent inhibitor of insulin secretion (&gt;</w:t>
      </w:r>
      <w:r w:rsidR="006E3367">
        <w:t xml:space="preserve"> </w:t>
      </w:r>
      <w:r w:rsidRPr="004741C8">
        <w:t>100</w:t>
      </w:r>
      <w:r w:rsidR="006E3367">
        <w:t xml:space="preserve"> </w:t>
      </w:r>
      <w:r w:rsidRPr="004741C8">
        <w:t>times), and a much weaker inhibitor of glucagon (44</w:t>
      </w:r>
      <w:r w:rsidR="006E3367">
        <w:t xml:space="preserve"> </w:t>
      </w:r>
      <w:r w:rsidRPr="004741C8">
        <w:t>times) and gastrin (37</w:t>
      </w:r>
      <w:r w:rsidR="006E3367">
        <w:t xml:space="preserve"> </w:t>
      </w:r>
      <w:r w:rsidRPr="004741C8">
        <w:t>times) secretion, in rats. Consistent with this stronger inhibition of insulin c</w:t>
      </w:r>
      <w:r w:rsidR="00EB2FA1">
        <w:t>ompared with</w:t>
      </w:r>
      <w:r w:rsidRPr="004741C8">
        <w:t xml:space="preserve"> glucagon secretion, pasireotide caused a marked transient increase in plasma glucose in the species (while octreotide caused no increase); this effect lessened with repeated dosing. Decreased insulin, glucagon and glucose were seen in rhesus monkeys given pasireotide (and more prominently with octreotide), but no notable effects on insulin, glucagon or glucose were seen with </w:t>
      </w:r>
      <w:proofErr w:type="spellStart"/>
      <w:r w:rsidRPr="004741C8">
        <w:t>pasireotide</w:t>
      </w:r>
      <w:proofErr w:type="spellEnd"/>
      <w:r w:rsidRPr="004741C8">
        <w:t xml:space="preserve"> (or octreotide) in cynomolgus monkeys.</w:t>
      </w:r>
    </w:p>
    <w:p w14:paraId="1EECE668" w14:textId="77777777" w:rsidR="004741C8" w:rsidRPr="004741C8" w:rsidRDefault="004741C8" w:rsidP="004741C8">
      <w:r w:rsidRPr="004741C8">
        <w:t xml:space="preserve">In screening assays against a panel of 69 G-protein coupled receptors, transporters and ion channels, the most potent inhibition of ligand binding seen with pasireotide was at the </w:t>
      </w:r>
      <w:r w:rsidR="00EB2FA1">
        <w:t>κ</w:t>
      </w:r>
      <w:r w:rsidRPr="004741C8">
        <w:noBreakHyphen/>
        <w:t>opiate (Ki, 41</w:t>
      </w:r>
      <w:r w:rsidR="00EB2FA1">
        <w:t xml:space="preserve"> </w:t>
      </w:r>
      <w:proofErr w:type="spellStart"/>
      <w:r w:rsidRPr="004741C8">
        <w:t>nM</w:t>
      </w:r>
      <w:proofErr w:type="spellEnd"/>
      <w:r w:rsidRPr="004741C8">
        <w:t xml:space="preserve">), ghrelin (0.15 </w:t>
      </w:r>
      <w:proofErr w:type="spellStart"/>
      <w:r w:rsidRPr="004741C8">
        <w:t>μM</w:t>
      </w:r>
      <w:proofErr w:type="spellEnd"/>
      <w:r w:rsidRPr="004741C8">
        <w:t xml:space="preserve">), 5-HT1A (0.31 </w:t>
      </w:r>
      <w:proofErr w:type="spellStart"/>
      <w:r w:rsidRPr="004741C8">
        <w:t>μM</w:t>
      </w:r>
      <w:proofErr w:type="spellEnd"/>
      <w:r w:rsidRPr="004741C8">
        <w:t xml:space="preserve">) and μ-opiate (0.42 </w:t>
      </w:r>
      <w:proofErr w:type="spellStart"/>
      <w:r w:rsidRPr="004741C8">
        <w:t>μM</w:t>
      </w:r>
      <w:proofErr w:type="spellEnd"/>
      <w:r w:rsidRPr="004741C8">
        <w:t xml:space="preserve">) receptors (human); twelve other targets had Ki values of 1–10 </w:t>
      </w:r>
      <w:proofErr w:type="spellStart"/>
      <w:r w:rsidRPr="004741C8">
        <w:t>μM</w:t>
      </w:r>
      <w:proofErr w:type="spellEnd"/>
      <w:r w:rsidRPr="004741C8">
        <w:t>. The lowest Ki value is more than 256</w:t>
      </w:r>
      <w:r w:rsidR="006E3367">
        <w:t xml:space="preserve"> </w:t>
      </w:r>
      <w:r w:rsidRPr="004741C8">
        <w:t>times higher than the IC50 observed at hsst5 (and 4.4–41</w:t>
      </w:r>
      <w:r w:rsidR="006E3367">
        <w:t xml:space="preserve"> </w:t>
      </w:r>
      <w:r w:rsidRPr="004741C8">
        <w:t>times higher c</w:t>
      </w:r>
      <w:r w:rsidR="00EB2FA1">
        <w:t>ompared with</w:t>
      </w:r>
      <w:r w:rsidRPr="004741C8">
        <w:t xml:space="preserve"> the IC50 value</w:t>
      </w:r>
      <w:r w:rsidR="006E3367">
        <w:t xml:space="preserve">s at hsst1–3), and more than 12 </w:t>
      </w:r>
      <w:r w:rsidRPr="004741C8">
        <w:t>times higher than the peak free plasma concentration of pasireotide expected in patients at the maximum recommended human dose (</w:t>
      </w:r>
      <w:r w:rsidR="00224C4E">
        <w:t>approximately</w:t>
      </w:r>
      <w:r w:rsidRPr="004741C8">
        <w:t xml:space="preserve">3.3 </w:t>
      </w:r>
      <w:proofErr w:type="spellStart"/>
      <w:r w:rsidRPr="004741C8">
        <w:t>nM</w:t>
      </w:r>
      <w:proofErr w:type="spellEnd"/>
      <w:r w:rsidRPr="008D06CD">
        <w:rPr>
          <w:vertAlign w:val="superscript"/>
        </w:rPr>
        <w:footnoteReference w:id="4"/>
      </w:r>
      <w:r w:rsidRPr="004741C8">
        <w:t xml:space="preserve">). Clinical relevance is further reduced by the demonstration of very limited entry of the drug into the </w:t>
      </w:r>
      <w:r w:rsidR="00866E16">
        <w:t>central nervous system (</w:t>
      </w:r>
      <w:r w:rsidRPr="004741C8">
        <w:t>CNS</w:t>
      </w:r>
      <w:r w:rsidR="00866E16">
        <w:t>)</w:t>
      </w:r>
      <w:r w:rsidRPr="004741C8">
        <w:t xml:space="preserve"> in rats.</w:t>
      </w:r>
    </w:p>
    <w:p w14:paraId="014FE233" w14:textId="77777777" w:rsidR="002A0754" w:rsidRDefault="004741C8" w:rsidP="00EB2FA1">
      <w:pPr>
        <w:pStyle w:val="Standard"/>
      </w:pPr>
      <w:r w:rsidRPr="004741C8">
        <w:lastRenderedPageBreak/>
        <w:t xml:space="preserve">Specialised safety pharmacology studies covered the CNS, cardiovascular and respiratory systems. CNS function was unaffected in mice at </w:t>
      </w:r>
      <w:r w:rsidR="00EB2FA1">
        <w:t xml:space="preserve">≤ </w:t>
      </w:r>
      <w:r w:rsidRPr="004741C8">
        <w:t xml:space="preserve">4 mg/kg </w:t>
      </w:r>
      <w:proofErr w:type="spellStart"/>
      <w:r w:rsidR="001D7979">
        <w:t>sc</w:t>
      </w:r>
      <w:proofErr w:type="spellEnd"/>
      <w:r w:rsidRPr="004741C8">
        <w:t xml:space="preserve"> (estimated relative exposure based on </w:t>
      </w:r>
      <w:proofErr w:type="spellStart"/>
      <w:r w:rsidRPr="004741C8">
        <w:t>C</w:t>
      </w:r>
      <w:r w:rsidRPr="00EB2FA1">
        <w:rPr>
          <w:vertAlign w:val="subscript"/>
        </w:rPr>
        <w:t>max</w:t>
      </w:r>
      <w:proofErr w:type="spellEnd"/>
      <w:r w:rsidRPr="004741C8">
        <w:t>, &gt;</w:t>
      </w:r>
      <w:r w:rsidR="00EB2FA1">
        <w:t xml:space="preserve"> </w:t>
      </w:r>
      <w:r w:rsidRPr="004741C8">
        <w:t>100); ataxia, slightly decreased locomotor activity, decreased grip strength, hyposensitivity to sound, ptosis, loss of righting reflex (from 15 min</w:t>
      </w:r>
      <w:r w:rsidR="00EB2FA1">
        <w:t>utes</w:t>
      </w:r>
      <w:r w:rsidRPr="004741C8">
        <w:t xml:space="preserve"> post-dose and dissipating by </w:t>
      </w:r>
      <w:r w:rsidR="00866E16">
        <w:t>six</w:t>
      </w:r>
      <w:r w:rsidR="00EB2FA1">
        <w:t xml:space="preserve"> </w:t>
      </w:r>
      <w:r w:rsidRPr="004741C8">
        <w:t>h</w:t>
      </w:r>
      <w:r w:rsidR="00EB2FA1">
        <w:t>ours</w:t>
      </w:r>
      <w:r w:rsidRPr="004741C8">
        <w:t xml:space="preserve"> post-dose) and decreased body temperature (</w:t>
      </w:r>
      <w:r w:rsidR="00866E16">
        <w:t>one</w:t>
      </w:r>
      <w:r w:rsidR="00EB2FA1">
        <w:t xml:space="preserve"> </w:t>
      </w:r>
      <w:r w:rsidRPr="004741C8">
        <w:t>h</w:t>
      </w:r>
      <w:r w:rsidR="00EB2FA1">
        <w:t>our</w:t>
      </w:r>
      <w:r w:rsidRPr="004741C8">
        <w:t xml:space="preserve"> post-dose) were observed at 15 mg/kg </w:t>
      </w:r>
      <w:r w:rsidR="001D7979">
        <w:t>sc</w:t>
      </w:r>
      <w:r w:rsidRPr="004741C8">
        <w:t xml:space="preserve">. Pasireotide was shown to only weakly inhibit the </w:t>
      </w:r>
      <w:proofErr w:type="spellStart"/>
      <w:r w:rsidRPr="004741C8">
        <w:t>hERG</w:t>
      </w:r>
      <w:proofErr w:type="spellEnd"/>
      <w:r w:rsidRPr="004741C8">
        <w:t xml:space="preserve"> K+ channel (IC50 &gt; 30 </w:t>
      </w:r>
      <w:proofErr w:type="spellStart"/>
      <w:r w:rsidRPr="004741C8">
        <w:t>μM</w:t>
      </w:r>
      <w:proofErr w:type="spellEnd"/>
      <w:r w:rsidRPr="004741C8">
        <w:t>; &gt;</w:t>
      </w:r>
      <w:r w:rsidR="00EB2FA1">
        <w:t xml:space="preserve"> </w:t>
      </w:r>
      <w:r w:rsidRPr="004741C8">
        <w:t>1000</w:t>
      </w:r>
      <w:r w:rsidR="006E3367">
        <w:t xml:space="preserve"> </w:t>
      </w:r>
      <w:r w:rsidRPr="004741C8">
        <w:t xml:space="preserve">times higher than the clinical </w:t>
      </w:r>
      <w:proofErr w:type="spellStart"/>
      <w:r w:rsidRPr="004741C8">
        <w:t>C</w:t>
      </w:r>
      <w:r w:rsidRPr="00EB2FA1">
        <w:rPr>
          <w:vertAlign w:val="subscript"/>
        </w:rPr>
        <w:t>max</w:t>
      </w:r>
      <w:proofErr w:type="spellEnd"/>
      <w:r w:rsidRPr="004741C8">
        <w:t xml:space="preserve"> at the maximum recommended human dose). The maximum rate of depolarisation (V</w:t>
      </w:r>
      <w:r w:rsidRPr="00EB2FA1">
        <w:rPr>
          <w:vertAlign w:val="subscript"/>
        </w:rPr>
        <w:t>max</w:t>
      </w:r>
      <w:r w:rsidRPr="004741C8">
        <w:t xml:space="preserve">) was reduced with </w:t>
      </w:r>
      <w:proofErr w:type="spellStart"/>
      <w:r w:rsidRPr="004741C8">
        <w:t>pasireotide</w:t>
      </w:r>
      <w:proofErr w:type="spellEnd"/>
      <w:r w:rsidRPr="004741C8">
        <w:t xml:space="preserve"> at 73 </w:t>
      </w:r>
      <w:proofErr w:type="spellStart"/>
      <w:r w:rsidRPr="004741C8">
        <w:t>μM</w:t>
      </w:r>
      <w:proofErr w:type="spellEnd"/>
      <w:r w:rsidRPr="004741C8">
        <w:t xml:space="preserve"> in experiments with isolated rabbit Purkinje fibres; no effect on action potential parameters was observed at a nominal concentration of 30 </w:t>
      </w:r>
      <w:proofErr w:type="spellStart"/>
      <w:r w:rsidRPr="004741C8">
        <w:t>μM</w:t>
      </w:r>
      <w:proofErr w:type="spellEnd"/>
      <w:r w:rsidRPr="004741C8">
        <w:t xml:space="preserve"> (actual concentration, </w:t>
      </w:r>
      <w:r w:rsidR="00224C4E">
        <w:t xml:space="preserve">approximately </w:t>
      </w:r>
      <w:r w:rsidRPr="004741C8">
        <w:t>10–22 </w:t>
      </w:r>
      <w:proofErr w:type="spellStart"/>
      <w:r w:rsidRPr="004741C8">
        <w:t>μM</w:t>
      </w:r>
      <w:proofErr w:type="spellEnd"/>
      <w:r w:rsidRPr="004741C8">
        <w:t>, reflecting absorption of the compound to the perfusion system). Cardiovascular parameters (blood pressure</w:t>
      </w:r>
      <w:r w:rsidR="00EB2FA1">
        <w:t xml:space="preserve"> (BP)</w:t>
      </w:r>
      <w:r w:rsidRPr="004741C8">
        <w:t>, heart rate and ECG) were unaffected in monkeys at ≤</w:t>
      </w:r>
      <w:r w:rsidR="00866E16">
        <w:t xml:space="preserve"> </w:t>
      </w:r>
      <w:r w:rsidRPr="004741C8">
        <w:t xml:space="preserve">1.6 mg/kg </w:t>
      </w:r>
      <w:proofErr w:type="spellStart"/>
      <w:r w:rsidR="001D7979">
        <w:t>sc</w:t>
      </w:r>
      <w:proofErr w:type="spellEnd"/>
      <w:r w:rsidRPr="004741C8">
        <w:t xml:space="preserve"> (estimated relative exposure based on </w:t>
      </w:r>
      <w:proofErr w:type="spellStart"/>
      <w:r w:rsidRPr="004741C8">
        <w:t>C</w:t>
      </w:r>
      <w:r w:rsidRPr="00EB2FA1">
        <w:rPr>
          <w:vertAlign w:val="subscript"/>
        </w:rPr>
        <w:t>max</w:t>
      </w:r>
      <w:proofErr w:type="spellEnd"/>
      <w:r w:rsidRPr="004741C8">
        <w:t>, 56), and no treatment-related effects on respiratory parameters were observed in rats at ≤</w:t>
      </w:r>
      <w:r w:rsidR="00EB2FA1">
        <w:t xml:space="preserve"> </w:t>
      </w:r>
      <w:r w:rsidRPr="004741C8">
        <w:t xml:space="preserve">4 mg/kg </w:t>
      </w:r>
      <w:proofErr w:type="spellStart"/>
      <w:r w:rsidR="001D7979">
        <w:t>sc</w:t>
      </w:r>
      <w:proofErr w:type="spellEnd"/>
      <w:r w:rsidRPr="004741C8">
        <w:t xml:space="preserve"> (estimated relative exposure based on </w:t>
      </w:r>
      <w:proofErr w:type="spellStart"/>
      <w:r w:rsidRPr="004741C8">
        <w:t>C</w:t>
      </w:r>
      <w:r w:rsidRPr="00EB2FA1">
        <w:rPr>
          <w:vertAlign w:val="subscript"/>
        </w:rPr>
        <w:t>max</w:t>
      </w:r>
      <w:proofErr w:type="spellEnd"/>
      <w:r w:rsidRPr="004741C8">
        <w:t>, &gt;</w:t>
      </w:r>
      <w:r w:rsidR="00EB2FA1">
        <w:t xml:space="preserve"> </w:t>
      </w:r>
      <w:r w:rsidR="002A0754">
        <w:t>16).</w:t>
      </w:r>
    </w:p>
    <w:p w14:paraId="70A57DC4" w14:textId="77777777" w:rsidR="00EB2FA1" w:rsidRPr="00EB2FA1" w:rsidRDefault="00EB2FA1" w:rsidP="00EB2FA1">
      <w:pPr>
        <w:pStyle w:val="Heading3"/>
      </w:pPr>
      <w:bookmarkStart w:id="47" w:name="_Toc294861725"/>
      <w:bookmarkStart w:id="48" w:name="_Toc383680714"/>
      <w:r w:rsidRPr="00EB2FA1">
        <w:t>Pharmacokineti</w:t>
      </w:r>
      <w:r>
        <w:t>cs</w:t>
      </w:r>
      <w:bookmarkEnd w:id="47"/>
      <w:bookmarkEnd w:id="48"/>
    </w:p>
    <w:p w14:paraId="17D6ADBC" w14:textId="77777777" w:rsidR="00EB2FA1" w:rsidRPr="00EB2FA1" w:rsidRDefault="00EB2FA1" w:rsidP="00EB2FA1">
      <w:r w:rsidRPr="00EB2FA1">
        <w:t xml:space="preserve">Absorption of </w:t>
      </w:r>
      <w:proofErr w:type="spellStart"/>
      <w:r w:rsidRPr="00EB2FA1">
        <w:t>pasireotide</w:t>
      </w:r>
      <w:proofErr w:type="spellEnd"/>
      <w:r w:rsidRPr="00EB2FA1">
        <w:t xml:space="preserve"> after </w:t>
      </w:r>
      <w:proofErr w:type="spellStart"/>
      <w:r w:rsidR="001D7979">
        <w:t>sc</w:t>
      </w:r>
      <w:proofErr w:type="spellEnd"/>
      <w:r w:rsidRPr="00EB2FA1">
        <w:t xml:space="preserve"> injection was relatively rapid in all species (mouse, rat, rabbit, monkey and human), with peak plasma concentrations typically reached within 0.25–</w:t>
      </w:r>
      <w:r w:rsidR="00866E16">
        <w:t>2</w:t>
      </w:r>
      <w:r w:rsidR="00A564AA">
        <w:t xml:space="preserve"> </w:t>
      </w:r>
      <w:r w:rsidRPr="00EB2FA1">
        <w:t>h</w:t>
      </w:r>
      <w:r w:rsidR="00A564AA">
        <w:t>ours</w:t>
      </w:r>
      <w:r w:rsidRPr="00EB2FA1">
        <w:t xml:space="preserve">. Pasireotide was shown to be well absorbed in rats and monkeys (84–100%) after </w:t>
      </w:r>
      <w:proofErr w:type="spellStart"/>
      <w:r w:rsidR="001D7979">
        <w:t>sc</w:t>
      </w:r>
      <w:proofErr w:type="spellEnd"/>
      <w:r w:rsidRPr="00EB2FA1">
        <w:t xml:space="preserve"> administration; bioavailability was estimated to be complete in animals and reported to be complete in humans too. Plasma terminal </w:t>
      </w:r>
      <w:r w:rsidR="00A564AA">
        <w:t>t½</w:t>
      </w:r>
      <w:r w:rsidRPr="00EB2FA1">
        <w:t xml:space="preserve"> was much shorter in rats (1.3</w:t>
      </w:r>
      <w:r w:rsidR="00A564AA">
        <w:t xml:space="preserve"> </w:t>
      </w:r>
      <w:r w:rsidRPr="00EB2FA1">
        <w:t>h</w:t>
      </w:r>
      <w:r w:rsidR="00A564AA">
        <w:t>ours</w:t>
      </w:r>
      <w:r w:rsidRPr="00EB2FA1">
        <w:t>) than in monkeys (56</w:t>
      </w:r>
      <w:r w:rsidR="00A564AA">
        <w:t xml:space="preserve"> </w:t>
      </w:r>
      <w:r w:rsidRPr="00EB2FA1">
        <w:t>h</w:t>
      </w:r>
      <w:r w:rsidR="00A564AA">
        <w:t>ours</w:t>
      </w:r>
      <w:r w:rsidRPr="00EB2FA1">
        <w:t>) and humans (</w:t>
      </w:r>
      <w:r w:rsidR="00BA58BF">
        <w:t xml:space="preserve">12 </w:t>
      </w:r>
      <w:r w:rsidR="00BA58BF" w:rsidRPr="00684662">
        <w:t>hours</w:t>
      </w:r>
      <w:r w:rsidRPr="00EB2FA1">
        <w:t xml:space="preserve">). Plasma AUC values were generally dose-proportional in all species. Exposure was higher in male mice and rats </w:t>
      </w:r>
      <w:r w:rsidR="00A564AA">
        <w:t xml:space="preserve">compared with </w:t>
      </w:r>
      <w:r w:rsidRPr="00EB2FA1">
        <w:t>females; no consistent sex difference was evident in monkeys.</w:t>
      </w:r>
    </w:p>
    <w:p w14:paraId="21D3C91C" w14:textId="77777777" w:rsidR="00EB2FA1" w:rsidRPr="00EB2FA1" w:rsidRDefault="00EB2FA1" w:rsidP="00EB2FA1">
      <w:r w:rsidRPr="00EB2FA1">
        <w:t>Plasma protein binding by pasireotide was moderate to high and similar in humans (88%), rats and dogs (93–94%) and independent of concentration. Distribution into red blood cells was low (assessed in rats, dogs and humans). Tissue distribution of radioactivity after IV injection of 14C</w:t>
      </w:r>
      <w:r w:rsidRPr="00EB2FA1">
        <w:noBreakHyphen/>
        <w:t>pasireotide was rapid and wide in rats, with highest levels of radioactivity found in the kidney, lymph nodes, blood vessel wall, liver and ear; penetration of the blood-brain barrier was minimal (the peak concentration of radioactivity in brain being 52</w:t>
      </w:r>
      <w:r w:rsidR="006E3367">
        <w:t xml:space="preserve"> </w:t>
      </w:r>
      <w:r w:rsidRPr="00EB2FA1">
        <w:t xml:space="preserve">times lower </w:t>
      </w:r>
      <w:r w:rsidR="00A564AA">
        <w:t xml:space="preserve">compared with </w:t>
      </w:r>
      <w:r w:rsidRPr="00EB2FA1">
        <w:t xml:space="preserve">blood). The systemic distribution profile was similar with </w:t>
      </w:r>
      <w:proofErr w:type="spellStart"/>
      <w:r w:rsidR="001D7979">
        <w:t>sc</w:t>
      </w:r>
      <w:proofErr w:type="spellEnd"/>
      <w:r w:rsidRPr="00EB2FA1">
        <w:t xml:space="preserve"> administration. Steady-state volume of distribution was lower in the rat (0.29 L/kg) than in the monkey (1.1 L/kg) and humans (</w:t>
      </w:r>
      <w:r w:rsidR="00BA58BF">
        <w:t xml:space="preserve">1.39 </w:t>
      </w:r>
      <w:r w:rsidRPr="00EB2FA1">
        <w:t>L/</w:t>
      </w:r>
      <w:r w:rsidR="00BA58BF" w:rsidRPr="00725B9F">
        <w:t>kg</w:t>
      </w:r>
      <w:r w:rsidRPr="00EB2FA1">
        <w:t>).</w:t>
      </w:r>
    </w:p>
    <w:p w14:paraId="54D6F968" w14:textId="77777777" w:rsidR="00EB2FA1" w:rsidRPr="00EB2FA1" w:rsidRDefault="00EB2FA1" w:rsidP="00EB2FA1">
      <w:r w:rsidRPr="00EB2FA1">
        <w:t xml:space="preserve">Pasireotide was minimally metabolised in rats, monkeys and humans after </w:t>
      </w:r>
      <w:proofErr w:type="spellStart"/>
      <w:r w:rsidR="001D7979">
        <w:t>sc</w:t>
      </w:r>
      <w:proofErr w:type="spellEnd"/>
      <w:r w:rsidRPr="00EB2FA1">
        <w:t xml:space="preserve"> administration. Due to their low abundance, metabolites formed </w:t>
      </w:r>
      <w:r w:rsidRPr="00A338C4">
        <w:t>in</w:t>
      </w:r>
      <w:r w:rsidR="006E3367" w:rsidRPr="00A338C4">
        <w:t xml:space="preserve"> </w:t>
      </w:r>
      <w:r w:rsidRPr="00A338C4">
        <w:t>vivo</w:t>
      </w:r>
      <w:r w:rsidRPr="00EB2FA1">
        <w:t xml:space="preserve"> were generally not structurally characterised. The drug was also shown to be highly metabolically stable</w:t>
      </w:r>
      <w:r w:rsidR="00E27E5F">
        <w:t xml:space="preserve"> </w:t>
      </w:r>
      <w:r w:rsidR="004939E4" w:rsidRPr="00A338C4">
        <w:t>in vitro</w:t>
      </w:r>
      <w:r w:rsidR="00A564AA" w:rsidRPr="00E27E5F">
        <w:rPr>
          <w:i/>
        </w:rPr>
        <w:t xml:space="preserve"> </w:t>
      </w:r>
      <w:r w:rsidRPr="00EB2FA1">
        <w:t>in experiments with rat, monkey and human liver microsomes, rat hepatocytes and human kidney microsomes. Two metabolites</w:t>
      </w:r>
      <w:r w:rsidR="003A71B8">
        <w:t>,</w:t>
      </w:r>
      <w:r w:rsidR="00A564AA">
        <w:t xml:space="preserve"> </w:t>
      </w:r>
      <w:r w:rsidRPr="00EB2FA1">
        <w:t>P24 (formed by mono-oxidation of the tryptophan moiety) and P30 (representing deamination of the lysine moiety)</w:t>
      </w:r>
      <w:r w:rsidR="003A71B8">
        <w:t>,</w:t>
      </w:r>
      <w:r w:rsidR="00A564AA">
        <w:t xml:space="preserve"> </w:t>
      </w:r>
      <w:r w:rsidRPr="00EB2FA1">
        <w:t xml:space="preserve">were observed at low levels following incubation of pasireotide with human liver microsomes; P30 was also </w:t>
      </w:r>
      <w:proofErr w:type="spellStart"/>
      <w:r w:rsidRPr="00EB2FA1">
        <w:t>indentified</w:t>
      </w:r>
      <w:proofErr w:type="spellEnd"/>
      <w:r w:rsidRPr="00EB2FA1">
        <w:t xml:space="preserve"> as a circulating metabolite in monkeys </w:t>
      </w:r>
      <w:r w:rsidRPr="00A338C4">
        <w:t>in</w:t>
      </w:r>
      <w:r w:rsidR="006E3367" w:rsidRPr="00A338C4">
        <w:t xml:space="preserve"> </w:t>
      </w:r>
      <w:r w:rsidRPr="00A338C4">
        <w:t>vivo</w:t>
      </w:r>
      <w:r w:rsidRPr="00EB2FA1">
        <w:t>. Another minor metabolite (P2; not structurally characterised) was found to be formed following incubation with monkey liver microsomes. CYP3A4 and CYP3A5 were identified as the CYP isozymes primarily involved in the metabolism of pasireotide, generating metabolites P24 and P30, respectively. Excretion of 14C</w:t>
      </w:r>
      <w:r w:rsidRPr="00EB2FA1">
        <w:noBreakHyphen/>
        <w:t>pasireotide-derived radioactivity was predominantly via the faeces in all species (rats, monkeys and humans); renal elimination was 6–9% of the dose.</w:t>
      </w:r>
    </w:p>
    <w:p w14:paraId="562AFA80" w14:textId="77777777" w:rsidR="00EB2FA1" w:rsidRDefault="00EB2FA1" w:rsidP="00EB2FA1">
      <w:r w:rsidRPr="00EB2FA1">
        <w:t>The</w:t>
      </w:r>
      <w:r w:rsidR="00A564AA">
        <w:t xml:space="preserve"> PK</w:t>
      </w:r>
      <w:r w:rsidRPr="00EB2FA1">
        <w:t xml:space="preserve"> profiles of pasireotide in the laboratory animal species used in the pivotal repeat</w:t>
      </w:r>
      <w:r w:rsidR="006E3367">
        <w:t xml:space="preserve"> </w:t>
      </w:r>
      <w:r w:rsidRPr="00EB2FA1">
        <w:t>dose toxicity studies (rats and monkeys) are sufficiently similar to that in humans to allow them to serve as appropriate models for pasireotide toxicity in humans.</w:t>
      </w:r>
    </w:p>
    <w:p w14:paraId="49D8D3AC" w14:textId="77777777" w:rsidR="00A564AA" w:rsidRPr="00EB2FA1" w:rsidRDefault="00A564AA" w:rsidP="00A564AA">
      <w:pPr>
        <w:pStyle w:val="Heading4"/>
      </w:pPr>
      <w:r>
        <w:lastRenderedPageBreak/>
        <w:t>Pharmacokinetic drug interactions</w:t>
      </w:r>
    </w:p>
    <w:p w14:paraId="1E3D38CA" w14:textId="77777777" w:rsidR="00EB2FA1" w:rsidRPr="00EB2FA1" w:rsidRDefault="00EB2FA1" w:rsidP="00EB2FA1">
      <w:r w:rsidRPr="00EB2FA1">
        <w:t xml:space="preserve">Pasireotide showed inhibitory activity against CYPs 1A2, 2B6, 2C8, 2C9, 2C19, 2D6, 2E1 and 3A4/5. CYPs 2C9 and 2D6 were the isozymes most sensitive to inhibition, with IC50 values </w:t>
      </w:r>
      <w:r w:rsidR="00224C4E">
        <w:t xml:space="preserve">approximately </w:t>
      </w:r>
      <w:r w:rsidRPr="00EB2FA1">
        <w:t xml:space="preserve">5 </w:t>
      </w:r>
      <w:proofErr w:type="spellStart"/>
      <w:r w:rsidRPr="00EB2FA1">
        <w:t>μM</w:t>
      </w:r>
      <w:proofErr w:type="spellEnd"/>
      <w:r w:rsidRPr="00EB2FA1">
        <w:t xml:space="preserve"> for both; IC50 values for the other CYPs ranged from 10 to &gt;</w:t>
      </w:r>
      <w:r w:rsidR="00A564AA">
        <w:t xml:space="preserve"> </w:t>
      </w:r>
      <w:r w:rsidRPr="00EB2FA1">
        <w:t xml:space="preserve">100 </w:t>
      </w:r>
      <w:proofErr w:type="spellStart"/>
      <w:r w:rsidRPr="00EB2FA1">
        <w:t>μM</w:t>
      </w:r>
      <w:proofErr w:type="spellEnd"/>
      <w:r w:rsidRPr="00EB2FA1">
        <w:t xml:space="preserve">. Pasireotide was also shown to be able to inhibit UGT1A1 (IC50 value, 59–100 </w:t>
      </w:r>
      <w:proofErr w:type="spellStart"/>
      <w:r w:rsidRPr="00EB2FA1">
        <w:t>μM</w:t>
      </w:r>
      <w:proofErr w:type="spellEnd"/>
      <w:r w:rsidRPr="00EB2FA1">
        <w:t>). These IC50 values are &gt;</w:t>
      </w:r>
      <w:r w:rsidR="00A564AA">
        <w:t xml:space="preserve"> </w:t>
      </w:r>
      <w:r w:rsidRPr="00EB2FA1">
        <w:t>180</w:t>
      </w:r>
      <w:r w:rsidR="006E3367">
        <w:t xml:space="preserve"> </w:t>
      </w:r>
      <w:r w:rsidRPr="00EB2FA1">
        <w:t xml:space="preserve">times higher the clinical </w:t>
      </w:r>
      <w:proofErr w:type="spellStart"/>
      <w:r w:rsidRPr="00EB2FA1">
        <w:t>C</w:t>
      </w:r>
      <w:r w:rsidRPr="00A564AA">
        <w:rPr>
          <w:vertAlign w:val="subscript"/>
        </w:rPr>
        <w:t>max</w:t>
      </w:r>
      <w:proofErr w:type="spellEnd"/>
      <w:r w:rsidRPr="00EB2FA1">
        <w:t xml:space="preserve">, and no significant CYP or UGT1A1 inhibition is predicted in patients. </w:t>
      </w:r>
    </w:p>
    <w:p w14:paraId="2DB865EA" w14:textId="77777777" w:rsidR="00EB2FA1" w:rsidRPr="00EB2FA1" w:rsidRDefault="00EB2FA1" w:rsidP="00EB2FA1">
      <w:r w:rsidRPr="00EB2FA1">
        <w:t>Experiments in Caco-2 cells indicated that pasireotide was a substrate of P-glycoprotein (but also to be a low permeable compound). Pasireotide was shown not to be a substrate of BCRP (breast cancer resistance protein), OCT1, OATP1B1, OATP1B3 or OATP2B1, and the drug (≤</w:t>
      </w:r>
      <w:r w:rsidR="00A564AA">
        <w:t xml:space="preserve"> </w:t>
      </w:r>
      <w:r w:rsidRPr="00EB2FA1">
        <w:t xml:space="preserve">1 </w:t>
      </w:r>
      <w:proofErr w:type="spellStart"/>
      <w:r w:rsidRPr="00EB2FA1">
        <w:t>μM</w:t>
      </w:r>
      <w:proofErr w:type="spellEnd"/>
      <w:r w:rsidRPr="00EB2FA1">
        <w:t>) did not inhibit OATP1B1 or OATP1B3.</w:t>
      </w:r>
    </w:p>
    <w:p w14:paraId="162A9542" w14:textId="77777777" w:rsidR="00EB2FA1" w:rsidRPr="00EB2FA1" w:rsidRDefault="00EB2FA1" w:rsidP="00EB2FA1">
      <w:r w:rsidRPr="00EB2FA1">
        <w:t xml:space="preserve">Pasireotide inhibited P-glycoprotein with an IC50 of 0.85 </w:t>
      </w:r>
      <w:proofErr w:type="spellStart"/>
      <w:r w:rsidRPr="00EB2FA1">
        <w:t>μM</w:t>
      </w:r>
      <w:proofErr w:type="spellEnd"/>
      <w:r w:rsidRPr="00EB2FA1">
        <w:t xml:space="preserve">, and BCRP, MRP2 (multidrug resistance-associated protein 2) and BSEP (bile salt export pump) each with an IC50 of </w:t>
      </w:r>
      <w:r w:rsidR="00224C4E">
        <w:t xml:space="preserve">approximately </w:t>
      </w:r>
      <w:r w:rsidRPr="00EB2FA1">
        <w:t xml:space="preserve">10 </w:t>
      </w:r>
      <w:proofErr w:type="spellStart"/>
      <w:r w:rsidRPr="00EB2FA1">
        <w:t>μM</w:t>
      </w:r>
      <w:proofErr w:type="spellEnd"/>
      <w:r w:rsidRPr="00EB2FA1">
        <w:t xml:space="preserve"> in experiments with inside-out vesicles. The IC50 values being more than 30 and 360</w:t>
      </w:r>
      <w:r w:rsidR="006E3367">
        <w:t xml:space="preserve"> </w:t>
      </w:r>
      <w:r w:rsidRPr="00EB2FA1">
        <w:t xml:space="preserve">times the clinical </w:t>
      </w:r>
      <w:proofErr w:type="spellStart"/>
      <w:r w:rsidRPr="00EB2FA1">
        <w:t>C</w:t>
      </w:r>
      <w:r w:rsidRPr="00A564AA">
        <w:rPr>
          <w:vertAlign w:val="subscript"/>
        </w:rPr>
        <w:t>max</w:t>
      </w:r>
      <w:proofErr w:type="spellEnd"/>
      <w:r w:rsidRPr="00EB2FA1">
        <w:t>, no significant inhibition is expected in patients.</w:t>
      </w:r>
    </w:p>
    <w:p w14:paraId="7AACB0E2" w14:textId="77777777" w:rsidR="00EB2FA1" w:rsidRPr="00EB2FA1" w:rsidRDefault="00EB2FA1" w:rsidP="00EB2FA1">
      <w:r w:rsidRPr="00EB2FA1">
        <w:t>The drug (≤</w:t>
      </w:r>
      <w:r w:rsidR="00A564AA">
        <w:t xml:space="preserve"> </w:t>
      </w:r>
      <w:r w:rsidRPr="00EB2FA1">
        <w:t xml:space="preserve">1 </w:t>
      </w:r>
      <w:proofErr w:type="spellStart"/>
      <w:r w:rsidRPr="00EB2FA1">
        <w:t>μM</w:t>
      </w:r>
      <w:proofErr w:type="spellEnd"/>
      <w:r w:rsidRPr="00EB2FA1">
        <w:t>) did not induce CYPs 1A1, 1A2, 1B1, 2B6, 2C8, 2C19, 3A, 2J2, or P-glycoprotein or MRP2 in cultured human hepatocytes. Increases in CYP2C9 mRNA (2.8–</w:t>
      </w:r>
      <w:r w:rsidR="006E3367">
        <w:t>5</w:t>
      </w:r>
      <w:r w:rsidRPr="00EB2FA1">
        <w:t>.0</w:t>
      </w:r>
      <w:r w:rsidR="006E3367">
        <w:t> </w:t>
      </w:r>
      <w:r w:rsidRPr="00EB2FA1">
        <w:t xml:space="preserve">fold at 5–100 </w:t>
      </w:r>
      <w:proofErr w:type="spellStart"/>
      <w:r w:rsidRPr="00EB2FA1">
        <w:t>nM</w:t>
      </w:r>
      <w:proofErr w:type="spellEnd"/>
      <w:r w:rsidRPr="00EB2FA1">
        <w:t>) and UGT1A1 activity (</w:t>
      </w:r>
      <w:proofErr w:type="gramStart"/>
      <w:r w:rsidRPr="00EB2FA1">
        <w:t>2.15</w:t>
      </w:r>
      <w:r w:rsidR="006E3367">
        <w:t xml:space="preserve"> </w:t>
      </w:r>
      <w:r w:rsidRPr="00EB2FA1">
        <w:t>fold</w:t>
      </w:r>
      <w:proofErr w:type="gramEnd"/>
      <w:r w:rsidRPr="00EB2FA1">
        <w:t xml:space="preserve"> at 100 </w:t>
      </w:r>
      <w:proofErr w:type="spellStart"/>
      <w:r w:rsidRPr="00EB2FA1">
        <w:t>nM</w:t>
      </w:r>
      <w:proofErr w:type="spellEnd"/>
      <w:r w:rsidRPr="00EB2FA1">
        <w:t xml:space="preserve">) were observed in </w:t>
      </w:r>
      <w:r w:rsidR="008E387B">
        <w:t>one third of</w:t>
      </w:r>
      <w:r w:rsidR="00A564AA">
        <w:t xml:space="preserve"> </w:t>
      </w:r>
      <w:r w:rsidRPr="00EB2FA1">
        <w:t xml:space="preserve">hepatocyte cultures (without corresponding increases in CYP2C9 activity or UGT1A1 mRNA in any of the three cultures). Considering the data overall, </w:t>
      </w:r>
      <w:r w:rsidR="00A564AA">
        <w:t>PK</w:t>
      </w:r>
      <w:r w:rsidRPr="00EB2FA1">
        <w:t xml:space="preserve"> drug interactions due to enzyme induction by pasireotide are not predicted.</w:t>
      </w:r>
    </w:p>
    <w:p w14:paraId="4E0AB8E0" w14:textId="77777777" w:rsidR="00EB2FA1" w:rsidRPr="00EB2FA1" w:rsidRDefault="00EB2FA1" w:rsidP="00EB2FA1">
      <w:r w:rsidRPr="00EB2FA1">
        <w:t xml:space="preserve">Peak and overall exposure to orally administered cyclosporin A was decreased in dogs co-treated with </w:t>
      </w:r>
      <w:proofErr w:type="spellStart"/>
      <w:r w:rsidRPr="00EB2FA1">
        <w:t>pasireotide</w:t>
      </w:r>
      <w:proofErr w:type="spellEnd"/>
      <w:r w:rsidRPr="00EB2FA1">
        <w:t xml:space="preserve"> </w:t>
      </w:r>
      <w:proofErr w:type="spellStart"/>
      <w:r w:rsidR="001D7979">
        <w:t>sc</w:t>
      </w:r>
      <w:proofErr w:type="spellEnd"/>
      <w:r w:rsidRPr="00EB2FA1">
        <w:t xml:space="preserve"> (by 46–47%); octreotide had a similar effect.</w:t>
      </w:r>
    </w:p>
    <w:p w14:paraId="0C633D13" w14:textId="77777777" w:rsidR="001B5C90" w:rsidRPr="001B5C90" w:rsidRDefault="008E7846" w:rsidP="001B5C90">
      <w:pPr>
        <w:pStyle w:val="Heading3"/>
      </w:pPr>
      <w:bookmarkStart w:id="49" w:name="_Toc247691514"/>
      <w:bookmarkStart w:id="50" w:name="_Toc314842498"/>
      <w:bookmarkStart w:id="51" w:name="_Toc383680715"/>
      <w:r>
        <w:t>Toxicology</w:t>
      </w:r>
      <w:bookmarkEnd w:id="49"/>
      <w:bookmarkEnd w:id="50"/>
      <w:bookmarkEnd w:id="51"/>
    </w:p>
    <w:p w14:paraId="562AB142" w14:textId="77777777" w:rsidR="00A564AA" w:rsidRPr="00A564AA" w:rsidRDefault="00A564AA" w:rsidP="00A564AA">
      <w:pPr>
        <w:pStyle w:val="Heading4"/>
      </w:pPr>
      <w:bookmarkStart w:id="52" w:name="_Toc294861727"/>
      <w:r w:rsidRPr="00A564AA">
        <w:t>Acute toxicity</w:t>
      </w:r>
      <w:bookmarkEnd w:id="52"/>
    </w:p>
    <w:p w14:paraId="3EDF0306" w14:textId="77777777" w:rsidR="00A564AA" w:rsidRPr="00A564AA" w:rsidRDefault="00A564AA" w:rsidP="00A564AA">
      <w:r w:rsidRPr="00A564AA">
        <w:t>Single-dose toxicity studies were conducted in mice and rats using the clinical (</w:t>
      </w:r>
      <w:proofErr w:type="spellStart"/>
      <w:r w:rsidR="001D7979">
        <w:t>sc</w:t>
      </w:r>
      <w:proofErr w:type="spellEnd"/>
      <w:r w:rsidRPr="00A564AA">
        <w:t xml:space="preserve">) route. Animals of both sexes were used, and the observation period was 14 days, in accordance with the EU guideline on single-dose toxicity (3BS1a). No deaths occurred in either species up to the maximum dose tested, 30 mg/kg. Adjusted for body surface area, this dose is </w:t>
      </w:r>
      <w:r w:rsidR="00224C4E">
        <w:t xml:space="preserve">approximately </w:t>
      </w:r>
      <w:r w:rsidRPr="00A564AA">
        <w:t xml:space="preserve">75–150 times higher than the maximum recommended human dose per day (900 </w:t>
      </w:r>
      <w:proofErr w:type="spellStart"/>
      <w:r w:rsidRPr="00A564AA">
        <w:t>μg</w:t>
      </w:r>
      <w:proofErr w:type="spellEnd"/>
      <w:r w:rsidRPr="00A564AA">
        <w:t xml:space="preserve"> </w:t>
      </w:r>
      <w:r w:rsidR="0009268D">
        <w:t>BD</w:t>
      </w:r>
      <w:r w:rsidRPr="00A564AA">
        <w:t>; assuming 50 kg patient body weight</w:t>
      </w:r>
      <w:r w:rsidR="005256DD">
        <w:t xml:space="preserve"> (BW)</w:t>
      </w:r>
      <w:r w:rsidRPr="00A564AA">
        <w:t xml:space="preserve">). Notable effects were limited to injection site sores (both species) and </w:t>
      </w:r>
      <w:r w:rsidR="005256DD">
        <w:t>BW</w:t>
      </w:r>
      <w:r w:rsidRPr="00A564AA">
        <w:t xml:space="preserve"> loss (rats). Systemic tissues displayed no gross abnormalities.</w:t>
      </w:r>
    </w:p>
    <w:p w14:paraId="0C83D30D" w14:textId="77777777" w:rsidR="00A564AA" w:rsidRPr="00A564AA" w:rsidRDefault="00A564AA" w:rsidP="00A564AA">
      <w:pPr>
        <w:pStyle w:val="Heading4"/>
      </w:pPr>
      <w:bookmarkStart w:id="53" w:name="_Toc294861728"/>
      <w:r w:rsidRPr="00A564AA">
        <w:t>Repeat-dose toxicity</w:t>
      </w:r>
      <w:bookmarkEnd w:id="53"/>
    </w:p>
    <w:p w14:paraId="38445358" w14:textId="77777777" w:rsidR="00A564AA" w:rsidRPr="00CD2060" w:rsidRDefault="00A564AA" w:rsidP="00A564AA">
      <w:r w:rsidRPr="00A564AA">
        <w:t xml:space="preserve">Studies of up to </w:t>
      </w:r>
      <w:r w:rsidR="005256DD">
        <w:t>four</w:t>
      </w:r>
      <w:r w:rsidRPr="00A564AA">
        <w:t xml:space="preserve"> weeks duration were conducted in mice, </w:t>
      </w:r>
      <w:r w:rsidR="005256DD">
        <w:t>six</w:t>
      </w:r>
      <w:r w:rsidRPr="00A564AA">
        <w:t xml:space="preserve"> months in rats, </w:t>
      </w:r>
      <w:r w:rsidR="005256DD">
        <w:t>three</w:t>
      </w:r>
      <w:r w:rsidRPr="00A564AA">
        <w:t xml:space="preserve"> days in dogs and </w:t>
      </w:r>
      <w:r w:rsidR="005256DD">
        <w:t xml:space="preserve">nine </w:t>
      </w:r>
      <w:r w:rsidRPr="00A564AA">
        <w:t>months in monkeys using the clinical (</w:t>
      </w:r>
      <w:proofErr w:type="spellStart"/>
      <w:r w:rsidR="001D7979">
        <w:t>sc</w:t>
      </w:r>
      <w:proofErr w:type="spellEnd"/>
      <w:r w:rsidRPr="00A564AA">
        <w:t xml:space="preserve">) route. The duration of the pivotal studies, the species used (rats and monkeys), group sizes and the use of both sexes were consistent with </w:t>
      </w:r>
      <w:r w:rsidR="008E387B" w:rsidRPr="008E387B">
        <w:t>The International Conference on Harmonisation</w:t>
      </w:r>
      <w:r w:rsidR="008E387B">
        <w:t xml:space="preserve"> (</w:t>
      </w:r>
      <w:r w:rsidRPr="008E387B">
        <w:t>ICH</w:t>
      </w:r>
      <w:r w:rsidR="008E387B">
        <w:t>)</w:t>
      </w:r>
      <w:r w:rsidRPr="00A564AA">
        <w:t xml:space="preserve"> guidelines. Dosing in the pivotal studies was once per day, which is less frequent than that proposed clinically (twice per day), but this is not considered to impact the validity of the studies and does allow for higher peak drug concentrations to be examined; twice daily </w:t>
      </w:r>
      <w:proofErr w:type="spellStart"/>
      <w:r w:rsidR="001D7979">
        <w:t>sc</w:t>
      </w:r>
      <w:proofErr w:type="spellEnd"/>
      <w:r w:rsidRPr="00A564AA">
        <w:t xml:space="preserve"> dosing was used in studies of up to </w:t>
      </w:r>
      <w:r w:rsidR="005256DD">
        <w:t xml:space="preserve">four </w:t>
      </w:r>
      <w:r w:rsidRPr="00A564AA">
        <w:t xml:space="preserve">weeks duration in rats and dogs. Studies by the </w:t>
      </w:r>
      <w:r w:rsidR="005256DD">
        <w:t>Oral (</w:t>
      </w:r>
      <w:r w:rsidRPr="00A564AA">
        <w:t>PO</w:t>
      </w:r>
      <w:r w:rsidR="005256DD">
        <w:t>)</w:t>
      </w:r>
      <w:r w:rsidRPr="00A564AA">
        <w:t xml:space="preserve"> and </w:t>
      </w:r>
      <w:r w:rsidR="005256DD">
        <w:t>intravenous (</w:t>
      </w:r>
      <w:r w:rsidRPr="00A564AA">
        <w:t>IV</w:t>
      </w:r>
      <w:r w:rsidR="005256DD">
        <w:t>)</w:t>
      </w:r>
      <w:r w:rsidRPr="00A564AA">
        <w:t xml:space="preserve"> routes in rats and dogs (up to </w:t>
      </w:r>
      <w:r w:rsidR="005256DD">
        <w:t xml:space="preserve">two </w:t>
      </w:r>
      <w:r w:rsidRPr="00A564AA">
        <w:t xml:space="preserve">or </w:t>
      </w:r>
      <w:r w:rsidR="005256DD">
        <w:t xml:space="preserve">four </w:t>
      </w:r>
      <w:r w:rsidRPr="00A564AA">
        <w:t xml:space="preserve">weeks duration) and involving </w:t>
      </w:r>
      <w:r w:rsidR="005256DD">
        <w:t>intramuscular (</w:t>
      </w:r>
      <w:r w:rsidRPr="00A564AA">
        <w:t>IM</w:t>
      </w:r>
      <w:r w:rsidR="005256DD">
        <w:t>)</w:t>
      </w:r>
      <w:r w:rsidRPr="00A564AA">
        <w:t xml:space="preserve"> administration of a long-acting release formulation (once monthly administration for up to </w:t>
      </w:r>
      <w:r w:rsidR="005256DD">
        <w:t>six</w:t>
      </w:r>
      <w:r w:rsidRPr="00A564AA">
        <w:t xml:space="preserve"> months) in rats were also submitted, but are of </w:t>
      </w:r>
      <w:r w:rsidRPr="00A564AA">
        <w:lastRenderedPageBreak/>
        <w:t xml:space="preserve">limited usefulness/relevance to the current application. The assessment focuses on the </w:t>
      </w:r>
      <w:proofErr w:type="spellStart"/>
      <w:r w:rsidR="001D7979">
        <w:t>sc</w:t>
      </w:r>
      <w:proofErr w:type="spellEnd"/>
      <w:r w:rsidRPr="00A564AA">
        <w:t xml:space="preserve"> studies.</w:t>
      </w:r>
    </w:p>
    <w:p w14:paraId="303E2499" w14:textId="77777777" w:rsidR="00A564AA" w:rsidRPr="00CD2060" w:rsidRDefault="00A564AA" w:rsidP="005256DD">
      <w:pPr>
        <w:pStyle w:val="Heading4"/>
      </w:pPr>
      <w:r w:rsidRPr="00CD2060">
        <w:t>Relative exposure</w:t>
      </w:r>
    </w:p>
    <w:p w14:paraId="5B0EBBF3" w14:textId="77777777" w:rsidR="00A564AA" w:rsidRPr="005256DD" w:rsidRDefault="00A564AA" w:rsidP="005256DD">
      <w:r w:rsidRPr="005256DD">
        <w:t xml:space="preserve">Exposure ratios have been calculated in </w:t>
      </w:r>
      <w:r w:rsidR="005256DD">
        <w:t>T</w:t>
      </w:r>
      <w:r w:rsidRPr="005256DD">
        <w:t xml:space="preserve">able </w:t>
      </w:r>
      <w:r w:rsidR="008E387B">
        <w:t>3</w:t>
      </w:r>
      <w:r w:rsidR="005256DD">
        <w:t xml:space="preserve"> </w:t>
      </w:r>
      <w:r w:rsidRPr="005256DD">
        <w:t xml:space="preserve">below based on </w:t>
      </w:r>
      <w:proofErr w:type="spellStart"/>
      <w:proofErr w:type="gramStart"/>
      <w:r w:rsidRPr="005256DD">
        <w:t>animal:human</w:t>
      </w:r>
      <w:proofErr w:type="spellEnd"/>
      <w:proofErr w:type="gramEnd"/>
      <w:r w:rsidRPr="005256DD">
        <w:t xml:space="preserve"> plasma AUC</w:t>
      </w:r>
      <w:r w:rsidRPr="005256DD">
        <w:rPr>
          <w:vertAlign w:val="subscript"/>
        </w:rPr>
        <w:t>0–24</w:t>
      </w:r>
      <w:r w:rsidR="005256DD" w:rsidRPr="005256DD">
        <w:rPr>
          <w:vertAlign w:val="subscript"/>
        </w:rPr>
        <w:t xml:space="preserve"> </w:t>
      </w:r>
      <w:r w:rsidRPr="005256DD">
        <w:rPr>
          <w:vertAlign w:val="subscript"/>
        </w:rPr>
        <w:t xml:space="preserve">h </w:t>
      </w:r>
      <w:r w:rsidRPr="005256DD">
        <w:t>values for pasireotide. Low multiples of the clinical exposure were obtained in the pivotal rat study, while multiples were very high in the pivotal monkey study, and moderate multiples were achieved in the two rodent carcinogenicity studies.</w:t>
      </w:r>
    </w:p>
    <w:p w14:paraId="5F4D4639" w14:textId="77777777" w:rsidR="00A564AA" w:rsidRPr="005256DD" w:rsidRDefault="005256DD" w:rsidP="005256DD">
      <w:pPr>
        <w:pStyle w:val="TableTitle"/>
      </w:pPr>
      <w:r>
        <w:t xml:space="preserve">Table </w:t>
      </w:r>
      <w:r w:rsidR="00A60283">
        <w:t>3</w:t>
      </w:r>
      <w:r>
        <w:t xml:space="preserve">: </w:t>
      </w:r>
      <w:r w:rsidR="00A564AA" w:rsidRPr="005256DD">
        <w:t>Relative exposure in selected repeat-dose toxicity and carcinogenicity studies</w:t>
      </w:r>
    </w:p>
    <w:tbl>
      <w:tblPr>
        <w:tblStyle w:val="TableTGAblue"/>
        <w:tblW w:w="8673" w:type="dxa"/>
        <w:tblLayout w:type="fixed"/>
        <w:tblLook w:val="01E0" w:firstRow="1" w:lastRow="1" w:firstColumn="1" w:lastColumn="1" w:noHBand="0" w:noVBand="0"/>
      </w:tblPr>
      <w:tblGrid>
        <w:gridCol w:w="959"/>
        <w:gridCol w:w="1134"/>
        <w:gridCol w:w="1843"/>
        <w:gridCol w:w="1129"/>
        <w:gridCol w:w="973"/>
        <w:gridCol w:w="974"/>
        <w:gridCol w:w="830"/>
        <w:gridCol w:w="831"/>
      </w:tblGrid>
      <w:tr w:rsidR="00A564AA" w:rsidRPr="005256DD" w14:paraId="4426CD90" w14:textId="77777777" w:rsidTr="00735C40">
        <w:trPr>
          <w:cnfStyle w:val="100000000000" w:firstRow="1" w:lastRow="0" w:firstColumn="0" w:lastColumn="0" w:oddVBand="0" w:evenVBand="0" w:oddHBand="0" w:evenHBand="0" w:firstRowFirstColumn="0" w:firstRowLastColumn="0" w:lastRowFirstColumn="0" w:lastRowLastColumn="0"/>
          <w:trHeight w:val="195"/>
        </w:trPr>
        <w:tc>
          <w:tcPr>
            <w:tcW w:w="2093" w:type="dxa"/>
            <w:gridSpan w:val="2"/>
            <w:vMerge w:val="restart"/>
          </w:tcPr>
          <w:p w14:paraId="328BD69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Species</w:t>
            </w:r>
          </w:p>
        </w:tc>
        <w:tc>
          <w:tcPr>
            <w:tcW w:w="1843" w:type="dxa"/>
            <w:vMerge w:val="restart"/>
          </w:tcPr>
          <w:p w14:paraId="39B44F8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Study duration</w:t>
            </w:r>
          </w:p>
        </w:tc>
        <w:tc>
          <w:tcPr>
            <w:tcW w:w="1129" w:type="dxa"/>
            <w:vMerge w:val="restart"/>
          </w:tcPr>
          <w:p w14:paraId="555C8EE4" w14:textId="77777777" w:rsidR="00A564AA" w:rsidRPr="005256DD" w:rsidRDefault="00A564AA" w:rsidP="001D7979">
            <w:pPr>
              <w:ind w:left="0"/>
              <w:rPr>
                <w:rFonts w:asciiTheme="minorHAnsi" w:hAnsiTheme="minorHAnsi"/>
                <w:sz w:val="18"/>
                <w:szCs w:val="18"/>
              </w:rPr>
            </w:pPr>
            <w:r w:rsidRPr="005256DD">
              <w:rPr>
                <w:rFonts w:asciiTheme="minorHAnsi" w:hAnsiTheme="minorHAnsi"/>
                <w:sz w:val="18"/>
                <w:szCs w:val="18"/>
              </w:rPr>
              <w:t>Dose</w:t>
            </w:r>
            <w:r w:rsidRPr="005256DD">
              <w:rPr>
                <w:rFonts w:asciiTheme="minorHAnsi" w:hAnsiTheme="minorHAnsi"/>
                <w:sz w:val="18"/>
                <w:szCs w:val="18"/>
              </w:rPr>
              <w:br/>
              <w:t>(mg/kg/day);</w:t>
            </w:r>
            <w:r w:rsidRPr="005256DD">
              <w:rPr>
                <w:rFonts w:asciiTheme="minorHAnsi" w:hAnsiTheme="minorHAnsi"/>
                <w:sz w:val="18"/>
                <w:szCs w:val="18"/>
              </w:rPr>
              <w:br/>
            </w:r>
            <w:proofErr w:type="spellStart"/>
            <w:r w:rsidR="001D7979">
              <w:rPr>
                <w:rFonts w:asciiTheme="minorHAnsi" w:hAnsiTheme="minorHAnsi"/>
                <w:sz w:val="18"/>
                <w:szCs w:val="18"/>
              </w:rPr>
              <w:t>sc</w:t>
            </w:r>
            <w:proofErr w:type="spellEnd"/>
          </w:p>
        </w:tc>
        <w:tc>
          <w:tcPr>
            <w:tcW w:w="1947" w:type="dxa"/>
            <w:gridSpan w:val="2"/>
          </w:tcPr>
          <w:p w14:paraId="5AE2A34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AUC0–24 h</w:t>
            </w:r>
            <w:r w:rsidRPr="005256DD">
              <w:rPr>
                <w:rFonts w:asciiTheme="minorHAnsi" w:hAnsiTheme="minorHAnsi"/>
                <w:sz w:val="18"/>
                <w:szCs w:val="18"/>
              </w:rPr>
              <w:br/>
              <w:t>(</w:t>
            </w:r>
            <w:proofErr w:type="spellStart"/>
            <w:r w:rsidRPr="005256DD">
              <w:rPr>
                <w:rFonts w:asciiTheme="minorHAnsi" w:hAnsiTheme="minorHAnsi"/>
                <w:sz w:val="18"/>
                <w:szCs w:val="18"/>
              </w:rPr>
              <w:t>ng∙h</w:t>
            </w:r>
            <w:proofErr w:type="spellEnd"/>
            <w:r w:rsidRPr="005256DD">
              <w:rPr>
                <w:rFonts w:asciiTheme="minorHAnsi" w:hAnsiTheme="minorHAnsi"/>
                <w:sz w:val="18"/>
                <w:szCs w:val="18"/>
              </w:rPr>
              <w:t>/mL)</w:t>
            </w:r>
          </w:p>
        </w:tc>
        <w:tc>
          <w:tcPr>
            <w:tcW w:w="1661" w:type="dxa"/>
            <w:gridSpan w:val="2"/>
          </w:tcPr>
          <w:p w14:paraId="439EF4E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Exposure ratio#</w:t>
            </w:r>
          </w:p>
        </w:tc>
      </w:tr>
      <w:tr w:rsidR="00A564AA" w:rsidRPr="005256DD" w14:paraId="6AFE07AD" w14:textId="77777777" w:rsidTr="00735C40">
        <w:trPr>
          <w:trHeight w:val="194"/>
        </w:trPr>
        <w:tc>
          <w:tcPr>
            <w:tcW w:w="2093" w:type="dxa"/>
            <w:gridSpan w:val="2"/>
            <w:vMerge/>
          </w:tcPr>
          <w:p w14:paraId="1FA8E043" w14:textId="77777777" w:rsidR="00A564AA" w:rsidRPr="005256DD" w:rsidRDefault="00A564AA" w:rsidP="005256DD">
            <w:pPr>
              <w:ind w:left="0"/>
              <w:rPr>
                <w:rFonts w:asciiTheme="minorHAnsi" w:hAnsiTheme="minorHAnsi"/>
                <w:sz w:val="18"/>
                <w:szCs w:val="18"/>
              </w:rPr>
            </w:pPr>
          </w:p>
        </w:tc>
        <w:tc>
          <w:tcPr>
            <w:tcW w:w="1843" w:type="dxa"/>
            <w:vMerge/>
          </w:tcPr>
          <w:p w14:paraId="2CB020BD" w14:textId="77777777" w:rsidR="00A564AA" w:rsidRPr="005256DD" w:rsidRDefault="00A564AA" w:rsidP="005256DD">
            <w:pPr>
              <w:ind w:left="0"/>
              <w:rPr>
                <w:rFonts w:asciiTheme="minorHAnsi" w:hAnsiTheme="minorHAnsi"/>
                <w:sz w:val="18"/>
                <w:szCs w:val="18"/>
              </w:rPr>
            </w:pPr>
          </w:p>
        </w:tc>
        <w:tc>
          <w:tcPr>
            <w:tcW w:w="1129" w:type="dxa"/>
            <w:vMerge/>
          </w:tcPr>
          <w:p w14:paraId="7BE4C78D" w14:textId="77777777" w:rsidR="00A564AA" w:rsidRPr="005256DD" w:rsidRDefault="00A564AA" w:rsidP="005256DD">
            <w:pPr>
              <w:ind w:left="0"/>
              <w:rPr>
                <w:rFonts w:asciiTheme="minorHAnsi" w:hAnsiTheme="minorHAnsi"/>
                <w:sz w:val="18"/>
                <w:szCs w:val="18"/>
              </w:rPr>
            </w:pPr>
          </w:p>
        </w:tc>
        <w:tc>
          <w:tcPr>
            <w:tcW w:w="973" w:type="dxa"/>
          </w:tcPr>
          <w:p w14:paraId="12C864B6" w14:textId="77777777" w:rsidR="00A564AA" w:rsidRPr="005256DD" w:rsidRDefault="00A564AA" w:rsidP="005256DD">
            <w:pPr>
              <w:ind w:left="0"/>
              <w:rPr>
                <w:rFonts w:asciiTheme="minorHAnsi" w:hAnsiTheme="minorHAnsi"/>
                <w:sz w:val="18"/>
                <w:szCs w:val="18"/>
              </w:rPr>
            </w:pPr>
            <w:r w:rsidRPr="005256DD">
              <w:rPr>
                <w:rFonts w:ascii="Times New Roman" w:hAnsi="Times New Roman"/>
                <w:sz w:val="18"/>
                <w:szCs w:val="18"/>
              </w:rPr>
              <w:t>♂</w:t>
            </w:r>
          </w:p>
        </w:tc>
        <w:tc>
          <w:tcPr>
            <w:tcW w:w="974" w:type="dxa"/>
          </w:tcPr>
          <w:p w14:paraId="2CCC5097" w14:textId="77777777" w:rsidR="00A564AA" w:rsidRPr="005256DD" w:rsidRDefault="00A564AA" w:rsidP="005256DD">
            <w:pPr>
              <w:ind w:left="0"/>
              <w:rPr>
                <w:rFonts w:asciiTheme="minorHAnsi" w:hAnsiTheme="minorHAnsi"/>
                <w:sz w:val="18"/>
                <w:szCs w:val="18"/>
              </w:rPr>
            </w:pPr>
            <w:r w:rsidRPr="005256DD">
              <w:rPr>
                <w:rFonts w:ascii="Times New Roman" w:hAnsi="Times New Roman"/>
                <w:sz w:val="18"/>
                <w:szCs w:val="18"/>
              </w:rPr>
              <w:t>♀</w:t>
            </w:r>
          </w:p>
        </w:tc>
        <w:tc>
          <w:tcPr>
            <w:tcW w:w="830" w:type="dxa"/>
          </w:tcPr>
          <w:p w14:paraId="353C8CB8" w14:textId="77777777" w:rsidR="00A564AA" w:rsidRPr="005256DD" w:rsidRDefault="00A564AA" w:rsidP="005256DD">
            <w:pPr>
              <w:ind w:left="0"/>
              <w:rPr>
                <w:rFonts w:asciiTheme="minorHAnsi" w:hAnsiTheme="minorHAnsi"/>
                <w:sz w:val="18"/>
                <w:szCs w:val="18"/>
              </w:rPr>
            </w:pPr>
            <w:r w:rsidRPr="005256DD">
              <w:rPr>
                <w:rFonts w:ascii="Times New Roman" w:hAnsi="Times New Roman"/>
                <w:sz w:val="18"/>
                <w:szCs w:val="18"/>
              </w:rPr>
              <w:t>♂</w:t>
            </w:r>
          </w:p>
        </w:tc>
        <w:tc>
          <w:tcPr>
            <w:tcW w:w="831" w:type="dxa"/>
          </w:tcPr>
          <w:p w14:paraId="6EEF3CD7" w14:textId="77777777" w:rsidR="00A564AA" w:rsidRPr="005256DD" w:rsidRDefault="00A564AA" w:rsidP="005256DD">
            <w:pPr>
              <w:ind w:left="0"/>
              <w:rPr>
                <w:rFonts w:asciiTheme="minorHAnsi" w:hAnsiTheme="minorHAnsi"/>
                <w:sz w:val="18"/>
                <w:szCs w:val="18"/>
              </w:rPr>
            </w:pPr>
            <w:r w:rsidRPr="005256DD">
              <w:rPr>
                <w:rFonts w:ascii="Times New Roman" w:hAnsi="Times New Roman"/>
                <w:sz w:val="18"/>
                <w:szCs w:val="18"/>
              </w:rPr>
              <w:t>♀</w:t>
            </w:r>
          </w:p>
        </w:tc>
      </w:tr>
      <w:tr w:rsidR="00735C40" w:rsidRPr="005256DD" w14:paraId="61359750" w14:textId="77777777" w:rsidTr="00735C40">
        <w:trPr>
          <w:trHeight w:val="197"/>
        </w:trPr>
        <w:tc>
          <w:tcPr>
            <w:tcW w:w="959" w:type="dxa"/>
            <w:vMerge w:val="restart"/>
          </w:tcPr>
          <w:p w14:paraId="2E79768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Mouse</w:t>
            </w:r>
          </w:p>
        </w:tc>
        <w:tc>
          <w:tcPr>
            <w:tcW w:w="1134" w:type="dxa"/>
            <w:vMerge w:val="restart"/>
          </w:tcPr>
          <w:p w14:paraId="04C5DF0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(CB6F1)</w:t>
            </w:r>
          </w:p>
        </w:tc>
        <w:tc>
          <w:tcPr>
            <w:tcW w:w="1843" w:type="dxa"/>
            <w:vMerge w:val="restart"/>
          </w:tcPr>
          <w:p w14:paraId="360B0224"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 weeks</w:t>
            </w:r>
          </w:p>
          <w:p w14:paraId="5F5DE1B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[0570087]</w:t>
            </w:r>
          </w:p>
        </w:tc>
        <w:tc>
          <w:tcPr>
            <w:tcW w:w="1129" w:type="dxa"/>
          </w:tcPr>
          <w:p w14:paraId="2FA8092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10</w:t>
            </w:r>
          </w:p>
        </w:tc>
        <w:tc>
          <w:tcPr>
            <w:tcW w:w="973" w:type="dxa"/>
          </w:tcPr>
          <w:p w14:paraId="5C73424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29791</w:t>
            </w:r>
          </w:p>
        </w:tc>
        <w:tc>
          <w:tcPr>
            <w:tcW w:w="974" w:type="dxa"/>
          </w:tcPr>
          <w:p w14:paraId="4CC2915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22432</w:t>
            </w:r>
          </w:p>
        </w:tc>
        <w:tc>
          <w:tcPr>
            <w:tcW w:w="830" w:type="dxa"/>
          </w:tcPr>
          <w:p w14:paraId="5F4E472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102</w:t>
            </w:r>
          </w:p>
        </w:tc>
        <w:tc>
          <w:tcPr>
            <w:tcW w:w="831" w:type="dxa"/>
          </w:tcPr>
          <w:p w14:paraId="590CF59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77</w:t>
            </w:r>
          </w:p>
        </w:tc>
      </w:tr>
      <w:tr w:rsidR="00735C40" w:rsidRPr="005256DD" w14:paraId="4CEE81F2" w14:textId="77777777" w:rsidTr="00735C40">
        <w:trPr>
          <w:trHeight w:val="197"/>
        </w:trPr>
        <w:tc>
          <w:tcPr>
            <w:tcW w:w="959" w:type="dxa"/>
            <w:vMerge/>
          </w:tcPr>
          <w:p w14:paraId="5FFAB785" w14:textId="77777777" w:rsidR="00A564AA" w:rsidRPr="005256DD" w:rsidRDefault="00A564AA" w:rsidP="005256DD">
            <w:pPr>
              <w:ind w:left="0"/>
              <w:rPr>
                <w:rFonts w:asciiTheme="minorHAnsi" w:hAnsiTheme="minorHAnsi"/>
                <w:sz w:val="18"/>
                <w:szCs w:val="18"/>
              </w:rPr>
            </w:pPr>
          </w:p>
        </w:tc>
        <w:tc>
          <w:tcPr>
            <w:tcW w:w="1134" w:type="dxa"/>
            <w:vMerge/>
          </w:tcPr>
          <w:p w14:paraId="305F52E4" w14:textId="77777777" w:rsidR="00A564AA" w:rsidRPr="005256DD" w:rsidRDefault="00A564AA" w:rsidP="005256DD">
            <w:pPr>
              <w:ind w:left="0"/>
              <w:rPr>
                <w:rFonts w:asciiTheme="minorHAnsi" w:hAnsiTheme="minorHAnsi"/>
                <w:sz w:val="18"/>
                <w:szCs w:val="18"/>
              </w:rPr>
            </w:pPr>
          </w:p>
        </w:tc>
        <w:tc>
          <w:tcPr>
            <w:tcW w:w="1843" w:type="dxa"/>
            <w:vMerge/>
          </w:tcPr>
          <w:p w14:paraId="53FBCC0B" w14:textId="77777777" w:rsidR="00A564AA" w:rsidRPr="005256DD" w:rsidRDefault="00A564AA" w:rsidP="005256DD">
            <w:pPr>
              <w:ind w:left="0"/>
              <w:rPr>
                <w:rFonts w:asciiTheme="minorHAnsi" w:hAnsiTheme="minorHAnsi"/>
                <w:sz w:val="18"/>
                <w:szCs w:val="18"/>
              </w:rPr>
            </w:pPr>
          </w:p>
        </w:tc>
        <w:tc>
          <w:tcPr>
            <w:tcW w:w="1129" w:type="dxa"/>
          </w:tcPr>
          <w:p w14:paraId="7DCFAC5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20</w:t>
            </w:r>
          </w:p>
        </w:tc>
        <w:tc>
          <w:tcPr>
            <w:tcW w:w="973" w:type="dxa"/>
          </w:tcPr>
          <w:p w14:paraId="231295F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57715</w:t>
            </w:r>
          </w:p>
        </w:tc>
        <w:tc>
          <w:tcPr>
            <w:tcW w:w="974" w:type="dxa"/>
          </w:tcPr>
          <w:p w14:paraId="1B0FE5F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36391</w:t>
            </w:r>
          </w:p>
        </w:tc>
        <w:tc>
          <w:tcPr>
            <w:tcW w:w="830" w:type="dxa"/>
          </w:tcPr>
          <w:p w14:paraId="4BF7232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198</w:t>
            </w:r>
          </w:p>
        </w:tc>
        <w:tc>
          <w:tcPr>
            <w:tcW w:w="831" w:type="dxa"/>
          </w:tcPr>
          <w:p w14:paraId="630B8B5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125</w:t>
            </w:r>
          </w:p>
        </w:tc>
      </w:tr>
      <w:tr w:rsidR="00735C40" w:rsidRPr="005256DD" w14:paraId="6F2922EA" w14:textId="77777777" w:rsidTr="00735C40">
        <w:trPr>
          <w:trHeight w:val="197"/>
        </w:trPr>
        <w:tc>
          <w:tcPr>
            <w:tcW w:w="959" w:type="dxa"/>
            <w:vMerge/>
          </w:tcPr>
          <w:p w14:paraId="74FBF0DC" w14:textId="77777777" w:rsidR="00A564AA" w:rsidRPr="005256DD" w:rsidRDefault="00A564AA" w:rsidP="005256DD">
            <w:pPr>
              <w:ind w:left="0"/>
              <w:rPr>
                <w:rFonts w:asciiTheme="minorHAnsi" w:hAnsiTheme="minorHAnsi"/>
                <w:sz w:val="18"/>
                <w:szCs w:val="18"/>
              </w:rPr>
            </w:pPr>
          </w:p>
        </w:tc>
        <w:tc>
          <w:tcPr>
            <w:tcW w:w="1134" w:type="dxa"/>
            <w:vMerge/>
          </w:tcPr>
          <w:p w14:paraId="005420DC" w14:textId="77777777" w:rsidR="00A564AA" w:rsidRPr="005256DD" w:rsidRDefault="00A564AA" w:rsidP="005256DD">
            <w:pPr>
              <w:ind w:left="0"/>
              <w:rPr>
                <w:rFonts w:asciiTheme="minorHAnsi" w:hAnsiTheme="minorHAnsi"/>
                <w:sz w:val="18"/>
                <w:szCs w:val="18"/>
              </w:rPr>
            </w:pPr>
          </w:p>
        </w:tc>
        <w:tc>
          <w:tcPr>
            <w:tcW w:w="1843" w:type="dxa"/>
            <w:vMerge/>
          </w:tcPr>
          <w:p w14:paraId="367D51FE" w14:textId="77777777" w:rsidR="00A564AA" w:rsidRPr="005256DD" w:rsidRDefault="00A564AA" w:rsidP="005256DD">
            <w:pPr>
              <w:ind w:left="0"/>
              <w:rPr>
                <w:rFonts w:asciiTheme="minorHAnsi" w:hAnsiTheme="minorHAnsi"/>
                <w:sz w:val="18"/>
                <w:szCs w:val="18"/>
              </w:rPr>
            </w:pPr>
          </w:p>
        </w:tc>
        <w:tc>
          <w:tcPr>
            <w:tcW w:w="1129" w:type="dxa"/>
          </w:tcPr>
          <w:p w14:paraId="00BF4E5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30</w:t>
            </w:r>
          </w:p>
        </w:tc>
        <w:tc>
          <w:tcPr>
            <w:tcW w:w="973" w:type="dxa"/>
          </w:tcPr>
          <w:p w14:paraId="462D82B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66309</w:t>
            </w:r>
          </w:p>
        </w:tc>
        <w:tc>
          <w:tcPr>
            <w:tcW w:w="974" w:type="dxa"/>
          </w:tcPr>
          <w:p w14:paraId="5AFCDD9B"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42333</w:t>
            </w:r>
          </w:p>
        </w:tc>
        <w:tc>
          <w:tcPr>
            <w:tcW w:w="830" w:type="dxa"/>
          </w:tcPr>
          <w:p w14:paraId="31CE65E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228</w:t>
            </w:r>
          </w:p>
        </w:tc>
        <w:tc>
          <w:tcPr>
            <w:tcW w:w="831" w:type="dxa"/>
          </w:tcPr>
          <w:p w14:paraId="56289D5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145</w:t>
            </w:r>
          </w:p>
        </w:tc>
      </w:tr>
      <w:tr w:rsidR="00735C40" w:rsidRPr="005256DD" w14:paraId="19BB24DC" w14:textId="77777777" w:rsidTr="00735C40">
        <w:trPr>
          <w:trHeight w:val="197"/>
        </w:trPr>
        <w:tc>
          <w:tcPr>
            <w:tcW w:w="959" w:type="dxa"/>
            <w:vMerge/>
          </w:tcPr>
          <w:p w14:paraId="182D6512" w14:textId="77777777" w:rsidR="00A564AA" w:rsidRPr="005256DD" w:rsidRDefault="00A564AA" w:rsidP="005256DD">
            <w:pPr>
              <w:ind w:left="0"/>
              <w:rPr>
                <w:rFonts w:asciiTheme="minorHAnsi" w:hAnsiTheme="minorHAnsi"/>
                <w:sz w:val="18"/>
                <w:szCs w:val="18"/>
              </w:rPr>
            </w:pPr>
          </w:p>
        </w:tc>
        <w:tc>
          <w:tcPr>
            <w:tcW w:w="1134" w:type="dxa"/>
            <w:vMerge w:val="restart"/>
          </w:tcPr>
          <w:p w14:paraId="208B12F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(CB6F1/</w:t>
            </w:r>
            <w:r w:rsidRPr="005256DD">
              <w:rPr>
                <w:rFonts w:asciiTheme="minorHAnsi" w:hAnsiTheme="minorHAnsi"/>
                <w:sz w:val="18"/>
                <w:szCs w:val="18"/>
              </w:rPr>
              <w:br/>
              <w:t>TgrasH2)</w:t>
            </w:r>
          </w:p>
        </w:tc>
        <w:tc>
          <w:tcPr>
            <w:tcW w:w="1843" w:type="dxa"/>
            <w:vMerge w:val="restart"/>
          </w:tcPr>
          <w:p w14:paraId="12638D1D"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 weeks</w:t>
            </w:r>
          </w:p>
          <w:p w14:paraId="10293CE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[0470037]</w:t>
            </w:r>
          </w:p>
        </w:tc>
        <w:tc>
          <w:tcPr>
            <w:tcW w:w="1129" w:type="dxa"/>
          </w:tcPr>
          <w:p w14:paraId="1912E3BB"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w:t>
            </w:r>
          </w:p>
        </w:tc>
        <w:tc>
          <w:tcPr>
            <w:tcW w:w="973" w:type="dxa"/>
          </w:tcPr>
          <w:p w14:paraId="04B7470B"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4561</w:t>
            </w:r>
          </w:p>
        </w:tc>
        <w:tc>
          <w:tcPr>
            <w:tcW w:w="974" w:type="dxa"/>
          </w:tcPr>
          <w:p w14:paraId="062D16C4"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948</w:t>
            </w:r>
          </w:p>
        </w:tc>
        <w:tc>
          <w:tcPr>
            <w:tcW w:w="830" w:type="dxa"/>
          </w:tcPr>
          <w:p w14:paraId="0ACEFF4D"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16</w:t>
            </w:r>
          </w:p>
        </w:tc>
        <w:tc>
          <w:tcPr>
            <w:tcW w:w="831" w:type="dxa"/>
          </w:tcPr>
          <w:p w14:paraId="4224D2E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3.3</w:t>
            </w:r>
          </w:p>
        </w:tc>
      </w:tr>
      <w:tr w:rsidR="00735C40" w:rsidRPr="005256DD" w14:paraId="51971AB4" w14:textId="77777777" w:rsidTr="00735C40">
        <w:trPr>
          <w:trHeight w:val="197"/>
        </w:trPr>
        <w:tc>
          <w:tcPr>
            <w:tcW w:w="959" w:type="dxa"/>
            <w:vMerge/>
          </w:tcPr>
          <w:p w14:paraId="3B81CFF5" w14:textId="77777777" w:rsidR="00A564AA" w:rsidRPr="005256DD" w:rsidRDefault="00A564AA" w:rsidP="005256DD">
            <w:pPr>
              <w:ind w:left="0"/>
              <w:rPr>
                <w:rFonts w:asciiTheme="minorHAnsi" w:hAnsiTheme="minorHAnsi"/>
                <w:sz w:val="18"/>
                <w:szCs w:val="18"/>
              </w:rPr>
            </w:pPr>
          </w:p>
        </w:tc>
        <w:tc>
          <w:tcPr>
            <w:tcW w:w="1134" w:type="dxa"/>
            <w:vMerge/>
          </w:tcPr>
          <w:p w14:paraId="7E13C124" w14:textId="77777777" w:rsidR="00A564AA" w:rsidRPr="005256DD" w:rsidRDefault="00A564AA" w:rsidP="005256DD">
            <w:pPr>
              <w:ind w:left="0"/>
              <w:rPr>
                <w:rFonts w:asciiTheme="minorHAnsi" w:hAnsiTheme="minorHAnsi"/>
                <w:sz w:val="18"/>
                <w:szCs w:val="18"/>
              </w:rPr>
            </w:pPr>
          </w:p>
        </w:tc>
        <w:tc>
          <w:tcPr>
            <w:tcW w:w="1843" w:type="dxa"/>
            <w:vMerge/>
          </w:tcPr>
          <w:p w14:paraId="56E58BCC" w14:textId="77777777" w:rsidR="00A564AA" w:rsidRPr="005256DD" w:rsidRDefault="00A564AA" w:rsidP="005256DD">
            <w:pPr>
              <w:ind w:left="0"/>
              <w:rPr>
                <w:rFonts w:asciiTheme="minorHAnsi" w:hAnsiTheme="minorHAnsi"/>
                <w:sz w:val="18"/>
                <w:szCs w:val="18"/>
              </w:rPr>
            </w:pPr>
          </w:p>
        </w:tc>
        <w:tc>
          <w:tcPr>
            <w:tcW w:w="1129" w:type="dxa"/>
          </w:tcPr>
          <w:p w14:paraId="3F30E58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2.5</w:t>
            </w:r>
          </w:p>
        </w:tc>
        <w:tc>
          <w:tcPr>
            <w:tcW w:w="973" w:type="dxa"/>
          </w:tcPr>
          <w:p w14:paraId="51E3474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3773</w:t>
            </w:r>
          </w:p>
        </w:tc>
        <w:tc>
          <w:tcPr>
            <w:tcW w:w="974" w:type="dxa"/>
          </w:tcPr>
          <w:p w14:paraId="1731A48B"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3027</w:t>
            </w:r>
          </w:p>
        </w:tc>
        <w:tc>
          <w:tcPr>
            <w:tcW w:w="830" w:type="dxa"/>
          </w:tcPr>
          <w:p w14:paraId="66821BB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13</w:t>
            </w:r>
          </w:p>
        </w:tc>
        <w:tc>
          <w:tcPr>
            <w:tcW w:w="831" w:type="dxa"/>
          </w:tcPr>
          <w:p w14:paraId="286F518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10</w:t>
            </w:r>
          </w:p>
        </w:tc>
      </w:tr>
      <w:tr w:rsidR="00735C40" w:rsidRPr="005256DD" w14:paraId="69261563" w14:textId="77777777" w:rsidTr="00735C40">
        <w:trPr>
          <w:trHeight w:val="197"/>
        </w:trPr>
        <w:tc>
          <w:tcPr>
            <w:tcW w:w="959" w:type="dxa"/>
            <w:vMerge/>
          </w:tcPr>
          <w:p w14:paraId="2CE85EDB" w14:textId="77777777" w:rsidR="00A564AA" w:rsidRPr="005256DD" w:rsidRDefault="00A564AA" w:rsidP="005256DD">
            <w:pPr>
              <w:ind w:left="0"/>
              <w:rPr>
                <w:rFonts w:asciiTheme="minorHAnsi" w:hAnsiTheme="minorHAnsi"/>
                <w:sz w:val="18"/>
                <w:szCs w:val="18"/>
              </w:rPr>
            </w:pPr>
          </w:p>
        </w:tc>
        <w:tc>
          <w:tcPr>
            <w:tcW w:w="1134" w:type="dxa"/>
            <w:vMerge/>
          </w:tcPr>
          <w:p w14:paraId="698BCDE0" w14:textId="77777777" w:rsidR="00A564AA" w:rsidRPr="005256DD" w:rsidRDefault="00A564AA" w:rsidP="005256DD">
            <w:pPr>
              <w:ind w:left="0"/>
              <w:rPr>
                <w:rFonts w:asciiTheme="minorHAnsi" w:hAnsiTheme="minorHAnsi"/>
                <w:sz w:val="18"/>
                <w:szCs w:val="18"/>
              </w:rPr>
            </w:pPr>
          </w:p>
        </w:tc>
        <w:tc>
          <w:tcPr>
            <w:tcW w:w="1843" w:type="dxa"/>
            <w:vMerge/>
          </w:tcPr>
          <w:p w14:paraId="3365EDCE" w14:textId="77777777" w:rsidR="00A564AA" w:rsidRPr="005256DD" w:rsidRDefault="00A564AA" w:rsidP="005256DD">
            <w:pPr>
              <w:ind w:left="0"/>
              <w:rPr>
                <w:rFonts w:asciiTheme="minorHAnsi" w:hAnsiTheme="minorHAnsi"/>
                <w:sz w:val="18"/>
                <w:szCs w:val="18"/>
              </w:rPr>
            </w:pPr>
          </w:p>
        </w:tc>
        <w:tc>
          <w:tcPr>
            <w:tcW w:w="1129" w:type="dxa"/>
          </w:tcPr>
          <w:p w14:paraId="6860D31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5</w:t>
            </w:r>
          </w:p>
        </w:tc>
        <w:tc>
          <w:tcPr>
            <w:tcW w:w="973" w:type="dxa"/>
          </w:tcPr>
          <w:p w14:paraId="658F490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19345</w:t>
            </w:r>
          </w:p>
        </w:tc>
        <w:tc>
          <w:tcPr>
            <w:tcW w:w="974" w:type="dxa"/>
          </w:tcPr>
          <w:p w14:paraId="44F2C2A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10485</w:t>
            </w:r>
          </w:p>
        </w:tc>
        <w:tc>
          <w:tcPr>
            <w:tcW w:w="830" w:type="dxa"/>
          </w:tcPr>
          <w:p w14:paraId="30216FD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66</w:t>
            </w:r>
          </w:p>
        </w:tc>
        <w:tc>
          <w:tcPr>
            <w:tcW w:w="831" w:type="dxa"/>
          </w:tcPr>
          <w:p w14:paraId="0DCC13F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36</w:t>
            </w:r>
          </w:p>
        </w:tc>
      </w:tr>
      <w:tr w:rsidR="00735C40" w:rsidRPr="005256DD" w14:paraId="777DFF58" w14:textId="77777777" w:rsidTr="00735C40">
        <w:trPr>
          <w:trHeight w:val="197"/>
        </w:trPr>
        <w:tc>
          <w:tcPr>
            <w:tcW w:w="959" w:type="dxa"/>
            <w:vMerge/>
          </w:tcPr>
          <w:p w14:paraId="750F5512" w14:textId="77777777" w:rsidR="00A564AA" w:rsidRPr="005256DD" w:rsidRDefault="00A564AA" w:rsidP="005256DD">
            <w:pPr>
              <w:ind w:left="0"/>
              <w:rPr>
                <w:rFonts w:asciiTheme="minorHAnsi" w:hAnsiTheme="minorHAnsi"/>
                <w:sz w:val="18"/>
                <w:szCs w:val="18"/>
              </w:rPr>
            </w:pPr>
          </w:p>
        </w:tc>
        <w:tc>
          <w:tcPr>
            <w:tcW w:w="1134" w:type="dxa"/>
            <w:vMerge/>
          </w:tcPr>
          <w:p w14:paraId="683F9922" w14:textId="77777777" w:rsidR="00A564AA" w:rsidRPr="005256DD" w:rsidRDefault="00A564AA" w:rsidP="005256DD">
            <w:pPr>
              <w:ind w:left="0"/>
              <w:rPr>
                <w:rFonts w:asciiTheme="minorHAnsi" w:hAnsiTheme="minorHAnsi"/>
                <w:sz w:val="18"/>
                <w:szCs w:val="18"/>
              </w:rPr>
            </w:pPr>
          </w:p>
        </w:tc>
        <w:tc>
          <w:tcPr>
            <w:tcW w:w="1843" w:type="dxa"/>
            <w:vMerge/>
          </w:tcPr>
          <w:p w14:paraId="6AE2A875" w14:textId="77777777" w:rsidR="00A564AA" w:rsidRPr="005256DD" w:rsidRDefault="00A564AA" w:rsidP="005256DD">
            <w:pPr>
              <w:ind w:left="0"/>
              <w:rPr>
                <w:rFonts w:asciiTheme="minorHAnsi" w:hAnsiTheme="minorHAnsi"/>
                <w:sz w:val="18"/>
                <w:szCs w:val="18"/>
              </w:rPr>
            </w:pPr>
          </w:p>
        </w:tc>
        <w:tc>
          <w:tcPr>
            <w:tcW w:w="1129" w:type="dxa"/>
          </w:tcPr>
          <w:p w14:paraId="14657B0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10</w:t>
            </w:r>
          </w:p>
        </w:tc>
        <w:tc>
          <w:tcPr>
            <w:tcW w:w="973" w:type="dxa"/>
          </w:tcPr>
          <w:p w14:paraId="142E86F4"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55693</w:t>
            </w:r>
          </w:p>
        </w:tc>
        <w:tc>
          <w:tcPr>
            <w:tcW w:w="974" w:type="dxa"/>
          </w:tcPr>
          <w:p w14:paraId="57FC015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42181</w:t>
            </w:r>
          </w:p>
        </w:tc>
        <w:tc>
          <w:tcPr>
            <w:tcW w:w="830" w:type="dxa"/>
          </w:tcPr>
          <w:p w14:paraId="79CBC05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191</w:t>
            </w:r>
          </w:p>
        </w:tc>
        <w:tc>
          <w:tcPr>
            <w:tcW w:w="831" w:type="dxa"/>
          </w:tcPr>
          <w:p w14:paraId="189DC43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145</w:t>
            </w:r>
          </w:p>
        </w:tc>
      </w:tr>
      <w:tr w:rsidR="00735C40" w:rsidRPr="005256DD" w14:paraId="7F7460CA" w14:textId="77777777" w:rsidTr="00735C40">
        <w:trPr>
          <w:trHeight w:val="197"/>
        </w:trPr>
        <w:tc>
          <w:tcPr>
            <w:tcW w:w="959" w:type="dxa"/>
            <w:vMerge/>
          </w:tcPr>
          <w:p w14:paraId="37B9D319" w14:textId="77777777" w:rsidR="00A564AA" w:rsidRPr="005256DD" w:rsidRDefault="00A564AA" w:rsidP="005256DD">
            <w:pPr>
              <w:ind w:left="0"/>
              <w:rPr>
                <w:rFonts w:asciiTheme="minorHAnsi" w:hAnsiTheme="minorHAnsi"/>
                <w:sz w:val="18"/>
                <w:szCs w:val="18"/>
              </w:rPr>
            </w:pPr>
          </w:p>
        </w:tc>
        <w:tc>
          <w:tcPr>
            <w:tcW w:w="1134" w:type="dxa"/>
            <w:vMerge/>
          </w:tcPr>
          <w:p w14:paraId="6EE430EF" w14:textId="77777777" w:rsidR="00A564AA" w:rsidRPr="005256DD" w:rsidRDefault="00A564AA" w:rsidP="005256DD">
            <w:pPr>
              <w:ind w:left="0"/>
              <w:rPr>
                <w:rFonts w:asciiTheme="minorHAnsi" w:hAnsiTheme="minorHAnsi"/>
                <w:sz w:val="18"/>
                <w:szCs w:val="18"/>
              </w:rPr>
            </w:pPr>
          </w:p>
        </w:tc>
        <w:tc>
          <w:tcPr>
            <w:tcW w:w="1843" w:type="dxa"/>
            <w:vMerge w:val="restart"/>
          </w:tcPr>
          <w:p w14:paraId="43362C4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6 months</w:t>
            </w:r>
          </w:p>
          <w:p w14:paraId="104D3F3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[carcinogenicity;</w:t>
            </w:r>
            <w:r w:rsidRPr="005256DD">
              <w:rPr>
                <w:rFonts w:asciiTheme="minorHAnsi" w:hAnsiTheme="minorHAnsi"/>
                <w:sz w:val="18"/>
                <w:szCs w:val="18"/>
              </w:rPr>
              <w:br/>
              <w:t>0470111]</w:t>
            </w:r>
          </w:p>
        </w:tc>
        <w:tc>
          <w:tcPr>
            <w:tcW w:w="1129" w:type="dxa"/>
          </w:tcPr>
          <w:p w14:paraId="7E7DF26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0.5</w:t>
            </w:r>
          </w:p>
        </w:tc>
        <w:tc>
          <w:tcPr>
            <w:tcW w:w="973" w:type="dxa"/>
          </w:tcPr>
          <w:p w14:paraId="40C9045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755a</w:t>
            </w:r>
          </w:p>
        </w:tc>
        <w:tc>
          <w:tcPr>
            <w:tcW w:w="974" w:type="dxa"/>
          </w:tcPr>
          <w:p w14:paraId="7AB8CDA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605a</w:t>
            </w:r>
          </w:p>
        </w:tc>
        <w:tc>
          <w:tcPr>
            <w:tcW w:w="830" w:type="dxa"/>
          </w:tcPr>
          <w:p w14:paraId="1EB7760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2.6</w:t>
            </w:r>
          </w:p>
        </w:tc>
        <w:tc>
          <w:tcPr>
            <w:tcW w:w="831" w:type="dxa"/>
          </w:tcPr>
          <w:p w14:paraId="7F3716D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2.1</w:t>
            </w:r>
          </w:p>
        </w:tc>
      </w:tr>
      <w:tr w:rsidR="00735C40" w:rsidRPr="005256DD" w14:paraId="6F90718D" w14:textId="77777777" w:rsidTr="00735C40">
        <w:trPr>
          <w:trHeight w:val="197"/>
        </w:trPr>
        <w:tc>
          <w:tcPr>
            <w:tcW w:w="959" w:type="dxa"/>
            <w:vMerge/>
          </w:tcPr>
          <w:p w14:paraId="2EB21D32" w14:textId="77777777" w:rsidR="00A564AA" w:rsidRPr="005256DD" w:rsidRDefault="00A564AA" w:rsidP="005256DD">
            <w:pPr>
              <w:ind w:left="0"/>
              <w:rPr>
                <w:rFonts w:asciiTheme="minorHAnsi" w:hAnsiTheme="minorHAnsi"/>
                <w:sz w:val="18"/>
                <w:szCs w:val="18"/>
              </w:rPr>
            </w:pPr>
          </w:p>
        </w:tc>
        <w:tc>
          <w:tcPr>
            <w:tcW w:w="1134" w:type="dxa"/>
            <w:vMerge/>
          </w:tcPr>
          <w:p w14:paraId="0216CBBA" w14:textId="77777777" w:rsidR="00A564AA" w:rsidRPr="005256DD" w:rsidRDefault="00A564AA" w:rsidP="005256DD">
            <w:pPr>
              <w:ind w:left="0"/>
              <w:rPr>
                <w:rFonts w:asciiTheme="minorHAnsi" w:hAnsiTheme="minorHAnsi"/>
                <w:sz w:val="18"/>
                <w:szCs w:val="18"/>
              </w:rPr>
            </w:pPr>
          </w:p>
        </w:tc>
        <w:tc>
          <w:tcPr>
            <w:tcW w:w="1843" w:type="dxa"/>
            <w:vMerge/>
          </w:tcPr>
          <w:p w14:paraId="3F9259C4" w14:textId="77777777" w:rsidR="00A564AA" w:rsidRPr="005256DD" w:rsidRDefault="00A564AA" w:rsidP="005256DD">
            <w:pPr>
              <w:ind w:left="0"/>
              <w:rPr>
                <w:rFonts w:asciiTheme="minorHAnsi" w:hAnsiTheme="minorHAnsi"/>
                <w:sz w:val="18"/>
                <w:szCs w:val="18"/>
              </w:rPr>
            </w:pPr>
          </w:p>
        </w:tc>
        <w:tc>
          <w:tcPr>
            <w:tcW w:w="1129" w:type="dxa"/>
          </w:tcPr>
          <w:p w14:paraId="6C8A7AB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w:t>
            </w:r>
          </w:p>
        </w:tc>
        <w:tc>
          <w:tcPr>
            <w:tcW w:w="973" w:type="dxa"/>
          </w:tcPr>
          <w:p w14:paraId="1792860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1509a</w:t>
            </w:r>
          </w:p>
        </w:tc>
        <w:tc>
          <w:tcPr>
            <w:tcW w:w="974" w:type="dxa"/>
          </w:tcPr>
          <w:p w14:paraId="6B2CF31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1211a</w:t>
            </w:r>
          </w:p>
        </w:tc>
        <w:tc>
          <w:tcPr>
            <w:tcW w:w="830" w:type="dxa"/>
          </w:tcPr>
          <w:p w14:paraId="3676A1C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5</w:t>
            </w:r>
          </w:p>
        </w:tc>
        <w:tc>
          <w:tcPr>
            <w:tcW w:w="831" w:type="dxa"/>
          </w:tcPr>
          <w:p w14:paraId="002A3DC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w:t>
            </w:r>
          </w:p>
        </w:tc>
      </w:tr>
      <w:tr w:rsidR="00735C40" w:rsidRPr="005256DD" w14:paraId="2919709E" w14:textId="77777777" w:rsidTr="00735C40">
        <w:trPr>
          <w:trHeight w:val="197"/>
        </w:trPr>
        <w:tc>
          <w:tcPr>
            <w:tcW w:w="959" w:type="dxa"/>
            <w:vMerge/>
          </w:tcPr>
          <w:p w14:paraId="136116E7" w14:textId="77777777" w:rsidR="00A564AA" w:rsidRPr="005256DD" w:rsidRDefault="00A564AA" w:rsidP="005256DD">
            <w:pPr>
              <w:ind w:left="0"/>
              <w:rPr>
                <w:rFonts w:asciiTheme="minorHAnsi" w:hAnsiTheme="minorHAnsi"/>
                <w:sz w:val="18"/>
                <w:szCs w:val="18"/>
              </w:rPr>
            </w:pPr>
          </w:p>
        </w:tc>
        <w:tc>
          <w:tcPr>
            <w:tcW w:w="1134" w:type="dxa"/>
            <w:vMerge/>
          </w:tcPr>
          <w:p w14:paraId="0EB85458" w14:textId="77777777" w:rsidR="00A564AA" w:rsidRPr="005256DD" w:rsidRDefault="00A564AA" w:rsidP="005256DD">
            <w:pPr>
              <w:ind w:left="0"/>
              <w:rPr>
                <w:rFonts w:asciiTheme="minorHAnsi" w:hAnsiTheme="minorHAnsi"/>
                <w:sz w:val="18"/>
                <w:szCs w:val="18"/>
              </w:rPr>
            </w:pPr>
          </w:p>
        </w:tc>
        <w:tc>
          <w:tcPr>
            <w:tcW w:w="1843" w:type="dxa"/>
            <w:vMerge/>
          </w:tcPr>
          <w:p w14:paraId="50885ED4" w14:textId="77777777" w:rsidR="00A564AA" w:rsidRPr="005256DD" w:rsidRDefault="00A564AA" w:rsidP="005256DD">
            <w:pPr>
              <w:ind w:left="0"/>
              <w:rPr>
                <w:rFonts w:asciiTheme="minorHAnsi" w:hAnsiTheme="minorHAnsi"/>
                <w:sz w:val="18"/>
                <w:szCs w:val="18"/>
              </w:rPr>
            </w:pPr>
          </w:p>
        </w:tc>
        <w:tc>
          <w:tcPr>
            <w:tcW w:w="1129" w:type="dxa"/>
          </w:tcPr>
          <w:p w14:paraId="1AAAC0F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2.5</w:t>
            </w:r>
          </w:p>
        </w:tc>
        <w:tc>
          <w:tcPr>
            <w:tcW w:w="973" w:type="dxa"/>
          </w:tcPr>
          <w:p w14:paraId="23B95DF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3773a</w:t>
            </w:r>
          </w:p>
        </w:tc>
        <w:tc>
          <w:tcPr>
            <w:tcW w:w="974" w:type="dxa"/>
          </w:tcPr>
          <w:p w14:paraId="1956498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3027a</w:t>
            </w:r>
          </w:p>
        </w:tc>
        <w:tc>
          <w:tcPr>
            <w:tcW w:w="830" w:type="dxa"/>
          </w:tcPr>
          <w:p w14:paraId="1E4EE15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13</w:t>
            </w:r>
          </w:p>
        </w:tc>
        <w:tc>
          <w:tcPr>
            <w:tcW w:w="831" w:type="dxa"/>
          </w:tcPr>
          <w:p w14:paraId="5327634D"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10</w:t>
            </w:r>
          </w:p>
        </w:tc>
      </w:tr>
      <w:tr w:rsidR="00A564AA" w:rsidRPr="005256DD" w14:paraId="2B9ADD7E" w14:textId="77777777" w:rsidTr="00735C40">
        <w:trPr>
          <w:trHeight w:val="197"/>
        </w:trPr>
        <w:tc>
          <w:tcPr>
            <w:tcW w:w="2093" w:type="dxa"/>
            <w:gridSpan w:val="2"/>
            <w:vMerge w:val="restart"/>
          </w:tcPr>
          <w:p w14:paraId="5002299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Rat</w:t>
            </w:r>
            <w:r w:rsidRPr="005256DD">
              <w:rPr>
                <w:rFonts w:asciiTheme="minorHAnsi" w:hAnsiTheme="minorHAnsi"/>
                <w:sz w:val="18"/>
                <w:szCs w:val="18"/>
              </w:rPr>
              <w:br/>
              <w:t>(Wistar Han)</w:t>
            </w:r>
          </w:p>
        </w:tc>
        <w:tc>
          <w:tcPr>
            <w:tcW w:w="1843" w:type="dxa"/>
            <w:vMerge w:val="restart"/>
          </w:tcPr>
          <w:p w14:paraId="7E02C85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 weeks</w:t>
            </w:r>
          </w:p>
          <w:p w14:paraId="4BCDACAB"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[0170115]</w:t>
            </w:r>
          </w:p>
        </w:tc>
        <w:tc>
          <w:tcPr>
            <w:tcW w:w="1129" w:type="dxa"/>
          </w:tcPr>
          <w:p w14:paraId="2C65F2F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0.008b</w:t>
            </w:r>
          </w:p>
        </w:tc>
        <w:tc>
          <w:tcPr>
            <w:tcW w:w="973" w:type="dxa"/>
          </w:tcPr>
          <w:p w14:paraId="5E26B53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32.2c</w:t>
            </w:r>
          </w:p>
        </w:tc>
        <w:tc>
          <w:tcPr>
            <w:tcW w:w="974" w:type="dxa"/>
          </w:tcPr>
          <w:p w14:paraId="0E02BD6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16.8c</w:t>
            </w:r>
          </w:p>
        </w:tc>
        <w:tc>
          <w:tcPr>
            <w:tcW w:w="830" w:type="dxa"/>
          </w:tcPr>
          <w:p w14:paraId="1A28B14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0.1</w:t>
            </w:r>
          </w:p>
        </w:tc>
        <w:tc>
          <w:tcPr>
            <w:tcW w:w="831" w:type="dxa"/>
          </w:tcPr>
          <w:p w14:paraId="26266FC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0.06</w:t>
            </w:r>
          </w:p>
        </w:tc>
      </w:tr>
      <w:tr w:rsidR="00A564AA" w:rsidRPr="005256DD" w14:paraId="37ACDD95" w14:textId="77777777" w:rsidTr="00735C40">
        <w:trPr>
          <w:trHeight w:val="197"/>
        </w:trPr>
        <w:tc>
          <w:tcPr>
            <w:tcW w:w="2093" w:type="dxa"/>
            <w:gridSpan w:val="2"/>
            <w:vMerge/>
          </w:tcPr>
          <w:p w14:paraId="6F2FE717" w14:textId="77777777" w:rsidR="00A564AA" w:rsidRPr="005256DD" w:rsidRDefault="00A564AA" w:rsidP="005256DD">
            <w:pPr>
              <w:ind w:left="0"/>
              <w:rPr>
                <w:rFonts w:asciiTheme="minorHAnsi" w:hAnsiTheme="minorHAnsi"/>
                <w:sz w:val="18"/>
                <w:szCs w:val="18"/>
              </w:rPr>
            </w:pPr>
          </w:p>
        </w:tc>
        <w:tc>
          <w:tcPr>
            <w:tcW w:w="1843" w:type="dxa"/>
            <w:vMerge/>
          </w:tcPr>
          <w:p w14:paraId="1BC13FAA" w14:textId="77777777" w:rsidR="00A564AA" w:rsidRPr="005256DD" w:rsidRDefault="00A564AA" w:rsidP="005256DD">
            <w:pPr>
              <w:ind w:left="0"/>
              <w:rPr>
                <w:rFonts w:asciiTheme="minorHAnsi" w:hAnsiTheme="minorHAnsi"/>
                <w:sz w:val="18"/>
                <w:szCs w:val="18"/>
              </w:rPr>
            </w:pPr>
          </w:p>
        </w:tc>
        <w:tc>
          <w:tcPr>
            <w:tcW w:w="1129" w:type="dxa"/>
          </w:tcPr>
          <w:p w14:paraId="5FB41C3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0.08b</w:t>
            </w:r>
          </w:p>
        </w:tc>
        <w:tc>
          <w:tcPr>
            <w:tcW w:w="973" w:type="dxa"/>
          </w:tcPr>
          <w:p w14:paraId="1BAB8AC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306c</w:t>
            </w:r>
          </w:p>
        </w:tc>
        <w:tc>
          <w:tcPr>
            <w:tcW w:w="974" w:type="dxa"/>
          </w:tcPr>
          <w:p w14:paraId="1EF7C67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143c</w:t>
            </w:r>
          </w:p>
        </w:tc>
        <w:tc>
          <w:tcPr>
            <w:tcW w:w="830" w:type="dxa"/>
          </w:tcPr>
          <w:p w14:paraId="22868D3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1.1</w:t>
            </w:r>
          </w:p>
        </w:tc>
        <w:tc>
          <w:tcPr>
            <w:tcW w:w="831" w:type="dxa"/>
          </w:tcPr>
          <w:p w14:paraId="1EE44EB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0.5</w:t>
            </w:r>
          </w:p>
        </w:tc>
      </w:tr>
      <w:tr w:rsidR="00A564AA" w:rsidRPr="005256DD" w14:paraId="2E5887CC" w14:textId="77777777" w:rsidTr="00735C40">
        <w:trPr>
          <w:trHeight w:val="197"/>
        </w:trPr>
        <w:tc>
          <w:tcPr>
            <w:tcW w:w="2093" w:type="dxa"/>
            <w:gridSpan w:val="2"/>
            <w:vMerge/>
          </w:tcPr>
          <w:p w14:paraId="7DBD76D1" w14:textId="77777777" w:rsidR="00A564AA" w:rsidRPr="005256DD" w:rsidRDefault="00A564AA" w:rsidP="005256DD">
            <w:pPr>
              <w:ind w:left="0"/>
              <w:rPr>
                <w:rFonts w:asciiTheme="minorHAnsi" w:hAnsiTheme="minorHAnsi"/>
                <w:sz w:val="18"/>
                <w:szCs w:val="18"/>
              </w:rPr>
            </w:pPr>
          </w:p>
        </w:tc>
        <w:tc>
          <w:tcPr>
            <w:tcW w:w="1843" w:type="dxa"/>
            <w:vMerge/>
          </w:tcPr>
          <w:p w14:paraId="68841A06" w14:textId="77777777" w:rsidR="00A564AA" w:rsidRPr="005256DD" w:rsidRDefault="00A564AA" w:rsidP="005256DD">
            <w:pPr>
              <w:ind w:left="0"/>
              <w:rPr>
                <w:rFonts w:asciiTheme="minorHAnsi" w:hAnsiTheme="minorHAnsi"/>
                <w:sz w:val="18"/>
                <w:szCs w:val="18"/>
              </w:rPr>
            </w:pPr>
          </w:p>
        </w:tc>
        <w:tc>
          <w:tcPr>
            <w:tcW w:w="1129" w:type="dxa"/>
          </w:tcPr>
          <w:p w14:paraId="2EE739D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0.8b</w:t>
            </w:r>
          </w:p>
        </w:tc>
        <w:tc>
          <w:tcPr>
            <w:tcW w:w="973" w:type="dxa"/>
          </w:tcPr>
          <w:p w14:paraId="77A1AE0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3842c</w:t>
            </w:r>
          </w:p>
        </w:tc>
        <w:tc>
          <w:tcPr>
            <w:tcW w:w="974" w:type="dxa"/>
          </w:tcPr>
          <w:p w14:paraId="109E886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1116c</w:t>
            </w:r>
          </w:p>
        </w:tc>
        <w:tc>
          <w:tcPr>
            <w:tcW w:w="830" w:type="dxa"/>
          </w:tcPr>
          <w:p w14:paraId="2CE4B2DD"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13</w:t>
            </w:r>
          </w:p>
        </w:tc>
        <w:tc>
          <w:tcPr>
            <w:tcW w:w="831" w:type="dxa"/>
          </w:tcPr>
          <w:p w14:paraId="5CAE860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3.8</w:t>
            </w:r>
          </w:p>
        </w:tc>
      </w:tr>
      <w:tr w:rsidR="00A564AA" w:rsidRPr="005256DD" w14:paraId="480DF806" w14:textId="77777777" w:rsidTr="00735C40">
        <w:trPr>
          <w:trHeight w:val="197"/>
        </w:trPr>
        <w:tc>
          <w:tcPr>
            <w:tcW w:w="2093" w:type="dxa"/>
            <w:gridSpan w:val="2"/>
            <w:vMerge/>
          </w:tcPr>
          <w:p w14:paraId="155E5B01" w14:textId="77777777" w:rsidR="00A564AA" w:rsidRPr="005256DD" w:rsidRDefault="00A564AA" w:rsidP="005256DD">
            <w:pPr>
              <w:ind w:left="0"/>
              <w:rPr>
                <w:rFonts w:asciiTheme="minorHAnsi" w:hAnsiTheme="minorHAnsi"/>
                <w:sz w:val="18"/>
                <w:szCs w:val="18"/>
              </w:rPr>
            </w:pPr>
          </w:p>
        </w:tc>
        <w:tc>
          <w:tcPr>
            <w:tcW w:w="1843" w:type="dxa"/>
            <w:vMerge/>
          </w:tcPr>
          <w:p w14:paraId="5FD5EA30" w14:textId="77777777" w:rsidR="00A564AA" w:rsidRPr="005256DD" w:rsidRDefault="00A564AA" w:rsidP="005256DD">
            <w:pPr>
              <w:ind w:left="0"/>
              <w:rPr>
                <w:rFonts w:asciiTheme="minorHAnsi" w:hAnsiTheme="minorHAnsi"/>
                <w:sz w:val="18"/>
                <w:szCs w:val="18"/>
              </w:rPr>
            </w:pPr>
          </w:p>
        </w:tc>
        <w:tc>
          <w:tcPr>
            <w:tcW w:w="1129" w:type="dxa"/>
          </w:tcPr>
          <w:p w14:paraId="2C860F7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0.8</w:t>
            </w:r>
          </w:p>
        </w:tc>
        <w:tc>
          <w:tcPr>
            <w:tcW w:w="973" w:type="dxa"/>
          </w:tcPr>
          <w:p w14:paraId="2E0B8AB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2329</w:t>
            </w:r>
          </w:p>
        </w:tc>
        <w:tc>
          <w:tcPr>
            <w:tcW w:w="974" w:type="dxa"/>
          </w:tcPr>
          <w:p w14:paraId="0BD56374"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876</w:t>
            </w:r>
          </w:p>
        </w:tc>
        <w:tc>
          <w:tcPr>
            <w:tcW w:w="830" w:type="dxa"/>
          </w:tcPr>
          <w:p w14:paraId="14550BD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8</w:t>
            </w:r>
          </w:p>
        </w:tc>
        <w:tc>
          <w:tcPr>
            <w:tcW w:w="831" w:type="dxa"/>
          </w:tcPr>
          <w:p w14:paraId="1DB51C5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3.0</w:t>
            </w:r>
          </w:p>
        </w:tc>
      </w:tr>
      <w:tr w:rsidR="00A564AA" w:rsidRPr="005256DD" w14:paraId="7CA40143" w14:textId="77777777" w:rsidTr="00735C40">
        <w:trPr>
          <w:trHeight w:val="197"/>
        </w:trPr>
        <w:tc>
          <w:tcPr>
            <w:tcW w:w="2093" w:type="dxa"/>
            <w:gridSpan w:val="2"/>
            <w:vMerge/>
          </w:tcPr>
          <w:p w14:paraId="5AF0C8A8" w14:textId="77777777" w:rsidR="00A564AA" w:rsidRPr="005256DD" w:rsidRDefault="00A564AA" w:rsidP="005256DD">
            <w:pPr>
              <w:ind w:left="0"/>
              <w:rPr>
                <w:rFonts w:asciiTheme="minorHAnsi" w:hAnsiTheme="minorHAnsi"/>
                <w:sz w:val="18"/>
                <w:szCs w:val="18"/>
              </w:rPr>
            </w:pPr>
          </w:p>
        </w:tc>
        <w:tc>
          <w:tcPr>
            <w:tcW w:w="1843" w:type="dxa"/>
            <w:vMerge w:val="restart"/>
          </w:tcPr>
          <w:p w14:paraId="624EC40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6 months</w:t>
            </w:r>
          </w:p>
          <w:p w14:paraId="02C20E3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[pivotal;</w:t>
            </w:r>
            <w:r w:rsidRPr="005256DD">
              <w:rPr>
                <w:rFonts w:asciiTheme="minorHAnsi" w:hAnsiTheme="minorHAnsi"/>
                <w:sz w:val="18"/>
                <w:szCs w:val="18"/>
              </w:rPr>
              <w:br/>
              <w:t>0210056]</w:t>
            </w:r>
          </w:p>
        </w:tc>
        <w:tc>
          <w:tcPr>
            <w:tcW w:w="1129" w:type="dxa"/>
          </w:tcPr>
          <w:p w14:paraId="69A8222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0.008</w:t>
            </w:r>
          </w:p>
        </w:tc>
        <w:tc>
          <w:tcPr>
            <w:tcW w:w="973" w:type="dxa"/>
          </w:tcPr>
          <w:p w14:paraId="7232372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19.4</w:t>
            </w:r>
          </w:p>
        </w:tc>
        <w:tc>
          <w:tcPr>
            <w:tcW w:w="974" w:type="dxa"/>
          </w:tcPr>
          <w:p w14:paraId="0B7A20D2"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w:t>
            </w:r>
          </w:p>
        </w:tc>
        <w:tc>
          <w:tcPr>
            <w:tcW w:w="830" w:type="dxa"/>
          </w:tcPr>
          <w:p w14:paraId="6749C95D"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0.07</w:t>
            </w:r>
          </w:p>
        </w:tc>
        <w:tc>
          <w:tcPr>
            <w:tcW w:w="831" w:type="dxa"/>
          </w:tcPr>
          <w:p w14:paraId="14BEF404"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w:t>
            </w:r>
          </w:p>
        </w:tc>
      </w:tr>
      <w:tr w:rsidR="00A564AA" w:rsidRPr="005256DD" w14:paraId="784AA9E6" w14:textId="77777777" w:rsidTr="00735C40">
        <w:trPr>
          <w:trHeight w:val="197"/>
        </w:trPr>
        <w:tc>
          <w:tcPr>
            <w:tcW w:w="2093" w:type="dxa"/>
            <w:gridSpan w:val="2"/>
            <w:vMerge/>
          </w:tcPr>
          <w:p w14:paraId="3AD14FF1" w14:textId="77777777" w:rsidR="00A564AA" w:rsidRPr="005256DD" w:rsidRDefault="00A564AA" w:rsidP="005256DD">
            <w:pPr>
              <w:ind w:left="0"/>
              <w:rPr>
                <w:rFonts w:asciiTheme="minorHAnsi" w:hAnsiTheme="minorHAnsi"/>
                <w:sz w:val="18"/>
                <w:szCs w:val="18"/>
              </w:rPr>
            </w:pPr>
          </w:p>
        </w:tc>
        <w:tc>
          <w:tcPr>
            <w:tcW w:w="1843" w:type="dxa"/>
            <w:vMerge/>
          </w:tcPr>
          <w:p w14:paraId="0AF499E9" w14:textId="77777777" w:rsidR="00A564AA" w:rsidRPr="005256DD" w:rsidRDefault="00A564AA" w:rsidP="005256DD">
            <w:pPr>
              <w:ind w:left="0"/>
              <w:rPr>
                <w:rFonts w:asciiTheme="minorHAnsi" w:hAnsiTheme="minorHAnsi"/>
                <w:sz w:val="18"/>
                <w:szCs w:val="18"/>
              </w:rPr>
            </w:pPr>
          </w:p>
        </w:tc>
        <w:tc>
          <w:tcPr>
            <w:tcW w:w="1129" w:type="dxa"/>
          </w:tcPr>
          <w:p w14:paraId="64C12C7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0.024</w:t>
            </w:r>
          </w:p>
        </w:tc>
        <w:tc>
          <w:tcPr>
            <w:tcW w:w="973" w:type="dxa"/>
          </w:tcPr>
          <w:p w14:paraId="61D3297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95.9</w:t>
            </w:r>
          </w:p>
        </w:tc>
        <w:tc>
          <w:tcPr>
            <w:tcW w:w="974" w:type="dxa"/>
          </w:tcPr>
          <w:p w14:paraId="7CE9C2F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44.3</w:t>
            </w:r>
          </w:p>
        </w:tc>
        <w:tc>
          <w:tcPr>
            <w:tcW w:w="830" w:type="dxa"/>
          </w:tcPr>
          <w:p w14:paraId="2EE8912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0.3</w:t>
            </w:r>
          </w:p>
        </w:tc>
        <w:tc>
          <w:tcPr>
            <w:tcW w:w="831" w:type="dxa"/>
          </w:tcPr>
          <w:p w14:paraId="2B15A43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0.15</w:t>
            </w:r>
          </w:p>
        </w:tc>
      </w:tr>
      <w:tr w:rsidR="00A564AA" w:rsidRPr="005256DD" w14:paraId="18FA8FF6" w14:textId="77777777" w:rsidTr="00735C40">
        <w:trPr>
          <w:trHeight w:val="197"/>
        </w:trPr>
        <w:tc>
          <w:tcPr>
            <w:tcW w:w="2093" w:type="dxa"/>
            <w:gridSpan w:val="2"/>
            <w:vMerge/>
          </w:tcPr>
          <w:p w14:paraId="6364D26A" w14:textId="77777777" w:rsidR="00A564AA" w:rsidRPr="005256DD" w:rsidRDefault="00A564AA" w:rsidP="005256DD">
            <w:pPr>
              <w:ind w:left="0"/>
              <w:rPr>
                <w:rFonts w:asciiTheme="minorHAnsi" w:hAnsiTheme="minorHAnsi"/>
                <w:sz w:val="18"/>
                <w:szCs w:val="18"/>
              </w:rPr>
            </w:pPr>
          </w:p>
        </w:tc>
        <w:tc>
          <w:tcPr>
            <w:tcW w:w="1843" w:type="dxa"/>
            <w:vMerge/>
          </w:tcPr>
          <w:p w14:paraId="2DE92212" w14:textId="77777777" w:rsidR="00A564AA" w:rsidRPr="005256DD" w:rsidRDefault="00A564AA" w:rsidP="005256DD">
            <w:pPr>
              <w:ind w:left="0"/>
              <w:rPr>
                <w:rFonts w:asciiTheme="minorHAnsi" w:hAnsiTheme="minorHAnsi"/>
                <w:sz w:val="18"/>
                <w:szCs w:val="18"/>
              </w:rPr>
            </w:pPr>
          </w:p>
        </w:tc>
        <w:tc>
          <w:tcPr>
            <w:tcW w:w="1129" w:type="dxa"/>
          </w:tcPr>
          <w:p w14:paraId="63CCE62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0.08</w:t>
            </w:r>
          </w:p>
        </w:tc>
        <w:tc>
          <w:tcPr>
            <w:tcW w:w="973" w:type="dxa"/>
          </w:tcPr>
          <w:p w14:paraId="46A6494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w:t>
            </w:r>
          </w:p>
        </w:tc>
        <w:tc>
          <w:tcPr>
            <w:tcW w:w="974" w:type="dxa"/>
          </w:tcPr>
          <w:p w14:paraId="7456CE5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143</w:t>
            </w:r>
          </w:p>
        </w:tc>
        <w:tc>
          <w:tcPr>
            <w:tcW w:w="830" w:type="dxa"/>
          </w:tcPr>
          <w:p w14:paraId="413792E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w:t>
            </w:r>
          </w:p>
        </w:tc>
        <w:tc>
          <w:tcPr>
            <w:tcW w:w="831" w:type="dxa"/>
          </w:tcPr>
          <w:p w14:paraId="0C0AE4DC"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0.5</w:t>
            </w:r>
          </w:p>
        </w:tc>
      </w:tr>
      <w:tr w:rsidR="00A564AA" w:rsidRPr="005256DD" w14:paraId="2BC114A3" w14:textId="77777777" w:rsidTr="00735C40">
        <w:trPr>
          <w:trHeight w:val="197"/>
        </w:trPr>
        <w:tc>
          <w:tcPr>
            <w:tcW w:w="2093" w:type="dxa"/>
            <w:gridSpan w:val="2"/>
            <w:vMerge/>
          </w:tcPr>
          <w:p w14:paraId="5F718125" w14:textId="77777777" w:rsidR="00A564AA" w:rsidRPr="005256DD" w:rsidRDefault="00A564AA" w:rsidP="005256DD">
            <w:pPr>
              <w:ind w:left="0"/>
              <w:rPr>
                <w:rFonts w:asciiTheme="minorHAnsi" w:hAnsiTheme="minorHAnsi"/>
                <w:sz w:val="18"/>
                <w:szCs w:val="18"/>
              </w:rPr>
            </w:pPr>
          </w:p>
        </w:tc>
        <w:tc>
          <w:tcPr>
            <w:tcW w:w="1843" w:type="dxa"/>
            <w:vMerge/>
          </w:tcPr>
          <w:p w14:paraId="20744BCC" w14:textId="77777777" w:rsidR="00A564AA" w:rsidRPr="005256DD" w:rsidRDefault="00A564AA" w:rsidP="005256DD">
            <w:pPr>
              <w:ind w:left="0"/>
              <w:rPr>
                <w:rFonts w:asciiTheme="minorHAnsi" w:hAnsiTheme="minorHAnsi"/>
                <w:sz w:val="18"/>
                <w:szCs w:val="18"/>
              </w:rPr>
            </w:pPr>
          </w:p>
        </w:tc>
        <w:tc>
          <w:tcPr>
            <w:tcW w:w="1129" w:type="dxa"/>
          </w:tcPr>
          <w:p w14:paraId="288CA56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0.24</w:t>
            </w:r>
          </w:p>
        </w:tc>
        <w:tc>
          <w:tcPr>
            <w:tcW w:w="973" w:type="dxa"/>
          </w:tcPr>
          <w:p w14:paraId="36B2478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748</w:t>
            </w:r>
          </w:p>
        </w:tc>
        <w:tc>
          <w:tcPr>
            <w:tcW w:w="974" w:type="dxa"/>
          </w:tcPr>
          <w:p w14:paraId="706E90C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560</w:t>
            </w:r>
          </w:p>
        </w:tc>
        <w:tc>
          <w:tcPr>
            <w:tcW w:w="830" w:type="dxa"/>
          </w:tcPr>
          <w:p w14:paraId="5CB43B5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2.6</w:t>
            </w:r>
          </w:p>
        </w:tc>
        <w:tc>
          <w:tcPr>
            <w:tcW w:w="831" w:type="dxa"/>
          </w:tcPr>
          <w:p w14:paraId="095562E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1.9</w:t>
            </w:r>
          </w:p>
        </w:tc>
      </w:tr>
      <w:tr w:rsidR="00A564AA" w:rsidRPr="005256DD" w14:paraId="7F9D9F68" w14:textId="77777777" w:rsidTr="00735C40">
        <w:trPr>
          <w:trHeight w:val="197"/>
        </w:trPr>
        <w:tc>
          <w:tcPr>
            <w:tcW w:w="2093" w:type="dxa"/>
            <w:gridSpan w:val="2"/>
            <w:vMerge/>
          </w:tcPr>
          <w:p w14:paraId="29417254" w14:textId="77777777" w:rsidR="00A564AA" w:rsidRPr="005256DD" w:rsidRDefault="00A564AA" w:rsidP="005256DD">
            <w:pPr>
              <w:ind w:left="0"/>
              <w:rPr>
                <w:rFonts w:asciiTheme="minorHAnsi" w:hAnsiTheme="minorHAnsi"/>
                <w:sz w:val="18"/>
                <w:szCs w:val="18"/>
              </w:rPr>
            </w:pPr>
          </w:p>
        </w:tc>
        <w:tc>
          <w:tcPr>
            <w:tcW w:w="1843" w:type="dxa"/>
            <w:vMerge w:val="restart"/>
          </w:tcPr>
          <w:p w14:paraId="4ECBD46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 years</w:t>
            </w:r>
            <w:r w:rsidRPr="005256DD">
              <w:rPr>
                <w:rFonts w:asciiTheme="minorHAnsi" w:hAnsiTheme="minorHAnsi"/>
                <w:sz w:val="18"/>
                <w:szCs w:val="18"/>
              </w:rPr>
              <w:br/>
              <w:t>[carcinogenicity;</w:t>
            </w:r>
            <w:r w:rsidRPr="005256DD">
              <w:rPr>
                <w:rFonts w:asciiTheme="minorHAnsi" w:hAnsiTheme="minorHAnsi"/>
                <w:sz w:val="18"/>
                <w:szCs w:val="18"/>
              </w:rPr>
              <w:br/>
              <w:t>0670694]</w:t>
            </w:r>
          </w:p>
        </w:tc>
        <w:tc>
          <w:tcPr>
            <w:tcW w:w="1129" w:type="dxa"/>
          </w:tcPr>
          <w:p w14:paraId="7CA190F2"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0.01</w:t>
            </w:r>
          </w:p>
        </w:tc>
        <w:tc>
          <w:tcPr>
            <w:tcW w:w="973" w:type="dxa"/>
          </w:tcPr>
          <w:p w14:paraId="5D427FF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56.2</w:t>
            </w:r>
          </w:p>
        </w:tc>
        <w:tc>
          <w:tcPr>
            <w:tcW w:w="974" w:type="dxa"/>
          </w:tcPr>
          <w:p w14:paraId="5B33D782"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28.8</w:t>
            </w:r>
          </w:p>
        </w:tc>
        <w:tc>
          <w:tcPr>
            <w:tcW w:w="830" w:type="dxa"/>
          </w:tcPr>
          <w:p w14:paraId="6EDF7994"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0.2</w:t>
            </w:r>
          </w:p>
        </w:tc>
        <w:tc>
          <w:tcPr>
            <w:tcW w:w="831" w:type="dxa"/>
          </w:tcPr>
          <w:p w14:paraId="0E481D6D"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0.1</w:t>
            </w:r>
          </w:p>
        </w:tc>
      </w:tr>
      <w:tr w:rsidR="00A564AA" w:rsidRPr="005256DD" w14:paraId="68076ED2" w14:textId="77777777" w:rsidTr="00735C40">
        <w:trPr>
          <w:trHeight w:val="197"/>
        </w:trPr>
        <w:tc>
          <w:tcPr>
            <w:tcW w:w="2093" w:type="dxa"/>
            <w:gridSpan w:val="2"/>
            <w:vMerge/>
          </w:tcPr>
          <w:p w14:paraId="5CF95D8E" w14:textId="77777777" w:rsidR="00A564AA" w:rsidRPr="005256DD" w:rsidRDefault="00A564AA" w:rsidP="005256DD">
            <w:pPr>
              <w:ind w:left="0"/>
              <w:rPr>
                <w:rFonts w:asciiTheme="minorHAnsi" w:hAnsiTheme="minorHAnsi"/>
                <w:sz w:val="18"/>
                <w:szCs w:val="18"/>
              </w:rPr>
            </w:pPr>
          </w:p>
        </w:tc>
        <w:tc>
          <w:tcPr>
            <w:tcW w:w="1843" w:type="dxa"/>
            <w:vMerge/>
          </w:tcPr>
          <w:p w14:paraId="6586E554" w14:textId="77777777" w:rsidR="00A564AA" w:rsidRPr="005256DD" w:rsidRDefault="00A564AA" w:rsidP="005256DD">
            <w:pPr>
              <w:ind w:left="0"/>
              <w:rPr>
                <w:rFonts w:asciiTheme="minorHAnsi" w:hAnsiTheme="minorHAnsi"/>
                <w:sz w:val="18"/>
                <w:szCs w:val="18"/>
              </w:rPr>
            </w:pPr>
          </w:p>
        </w:tc>
        <w:tc>
          <w:tcPr>
            <w:tcW w:w="1129" w:type="dxa"/>
          </w:tcPr>
          <w:p w14:paraId="0318B211"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0.05</w:t>
            </w:r>
          </w:p>
        </w:tc>
        <w:tc>
          <w:tcPr>
            <w:tcW w:w="973" w:type="dxa"/>
          </w:tcPr>
          <w:p w14:paraId="6573F4E4"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347</w:t>
            </w:r>
          </w:p>
        </w:tc>
        <w:tc>
          <w:tcPr>
            <w:tcW w:w="974" w:type="dxa"/>
          </w:tcPr>
          <w:p w14:paraId="2C86A9F2"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363</w:t>
            </w:r>
          </w:p>
        </w:tc>
        <w:tc>
          <w:tcPr>
            <w:tcW w:w="830" w:type="dxa"/>
          </w:tcPr>
          <w:p w14:paraId="45326E9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1.2</w:t>
            </w:r>
          </w:p>
        </w:tc>
        <w:tc>
          <w:tcPr>
            <w:tcW w:w="831" w:type="dxa"/>
          </w:tcPr>
          <w:p w14:paraId="3AC9BA9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1.2</w:t>
            </w:r>
          </w:p>
        </w:tc>
      </w:tr>
      <w:tr w:rsidR="00A564AA" w:rsidRPr="005256DD" w14:paraId="11BD1F32" w14:textId="77777777" w:rsidTr="00735C40">
        <w:trPr>
          <w:trHeight w:val="197"/>
        </w:trPr>
        <w:tc>
          <w:tcPr>
            <w:tcW w:w="2093" w:type="dxa"/>
            <w:gridSpan w:val="2"/>
            <w:vMerge/>
          </w:tcPr>
          <w:p w14:paraId="00334AD4" w14:textId="77777777" w:rsidR="00A564AA" w:rsidRPr="005256DD" w:rsidRDefault="00A564AA" w:rsidP="005256DD">
            <w:pPr>
              <w:ind w:left="0"/>
              <w:rPr>
                <w:rFonts w:asciiTheme="minorHAnsi" w:hAnsiTheme="minorHAnsi"/>
                <w:sz w:val="18"/>
                <w:szCs w:val="18"/>
              </w:rPr>
            </w:pPr>
          </w:p>
        </w:tc>
        <w:tc>
          <w:tcPr>
            <w:tcW w:w="1843" w:type="dxa"/>
            <w:vMerge/>
          </w:tcPr>
          <w:p w14:paraId="4ACA6701" w14:textId="77777777" w:rsidR="00A564AA" w:rsidRPr="005256DD" w:rsidRDefault="00A564AA" w:rsidP="005256DD">
            <w:pPr>
              <w:ind w:left="0"/>
              <w:rPr>
                <w:rFonts w:asciiTheme="minorHAnsi" w:hAnsiTheme="minorHAnsi"/>
                <w:sz w:val="18"/>
                <w:szCs w:val="18"/>
              </w:rPr>
            </w:pPr>
          </w:p>
        </w:tc>
        <w:tc>
          <w:tcPr>
            <w:tcW w:w="1129" w:type="dxa"/>
          </w:tcPr>
          <w:p w14:paraId="51DE6FD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0.3</w:t>
            </w:r>
          </w:p>
        </w:tc>
        <w:tc>
          <w:tcPr>
            <w:tcW w:w="973" w:type="dxa"/>
          </w:tcPr>
          <w:p w14:paraId="5D75C1EE"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3980</w:t>
            </w:r>
          </w:p>
        </w:tc>
        <w:tc>
          <w:tcPr>
            <w:tcW w:w="974" w:type="dxa"/>
          </w:tcPr>
          <w:p w14:paraId="099DA919"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1900</w:t>
            </w:r>
          </w:p>
        </w:tc>
        <w:tc>
          <w:tcPr>
            <w:tcW w:w="830" w:type="dxa"/>
          </w:tcPr>
          <w:p w14:paraId="006CCB33"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14</w:t>
            </w:r>
          </w:p>
        </w:tc>
        <w:tc>
          <w:tcPr>
            <w:tcW w:w="831" w:type="dxa"/>
          </w:tcPr>
          <w:p w14:paraId="68BC0FF5"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7</w:t>
            </w:r>
          </w:p>
        </w:tc>
      </w:tr>
      <w:tr w:rsidR="00A564AA" w:rsidRPr="005256DD" w14:paraId="3B618AB1" w14:textId="77777777" w:rsidTr="00735C40">
        <w:trPr>
          <w:trHeight w:val="197"/>
        </w:trPr>
        <w:tc>
          <w:tcPr>
            <w:tcW w:w="2093" w:type="dxa"/>
            <w:gridSpan w:val="2"/>
            <w:vMerge w:val="restart"/>
          </w:tcPr>
          <w:p w14:paraId="1F62836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Monkey</w:t>
            </w:r>
            <w:r w:rsidRPr="005256DD">
              <w:rPr>
                <w:rFonts w:asciiTheme="minorHAnsi" w:hAnsiTheme="minorHAnsi"/>
                <w:sz w:val="18"/>
                <w:szCs w:val="18"/>
              </w:rPr>
              <w:br/>
              <w:t>(Cynomolgus)</w:t>
            </w:r>
          </w:p>
        </w:tc>
        <w:tc>
          <w:tcPr>
            <w:tcW w:w="1843" w:type="dxa"/>
            <w:vMerge w:val="restart"/>
          </w:tcPr>
          <w:p w14:paraId="2157CFC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9 months</w:t>
            </w:r>
          </w:p>
          <w:p w14:paraId="40CAB21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[pivotal;</w:t>
            </w:r>
            <w:r w:rsidRPr="005256DD">
              <w:rPr>
                <w:rFonts w:asciiTheme="minorHAnsi" w:hAnsiTheme="minorHAnsi"/>
                <w:sz w:val="18"/>
                <w:szCs w:val="18"/>
              </w:rPr>
              <w:br/>
              <w:t>0270130]</w:t>
            </w:r>
          </w:p>
        </w:tc>
        <w:tc>
          <w:tcPr>
            <w:tcW w:w="1129" w:type="dxa"/>
          </w:tcPr>
          <w:p w14:paraId="3B1F5AC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0.4</w:t>
            </w:r>
          </w:p>
        </w:tc>
        <w:tc>
          <w:tcPr>
            <w:tcW w:w="1947" w:type="dxa"/>
            <w:gridSpan w:val="2"/>
          </w:tcPr>
          <w:p w14:paraId="3CE94048"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3707</w:t>
            </w:r>
          </w:p>
        </w:tc>
        <w:tc>
          <w:tcPr>
            <w:tcW w:w="1661" w:type="dxa"/>
            <w:gridSpan w:val="2"/>
          </w:tcPr>
          <w:p w14:paraId="5B53DD66"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13</w:t>
            </w:r>
          </w:p>
        </w:tc>
      </w:tr>
      <w:tr w:rsidR="00A564AA" w:rsidRPr="005256DD" w14:paraId="444A2117" w14:textId="77777777" w:rsidTr="00735C40">
        <w:trPr>
          <w:trHeight w:val="197"/>
        </w:trPr>
        <w:tc>
          <w:tcPr>
            <w:tcW w:w="2093" w:type="dxa"/>
            <w:gridSpan w:val="2"/>
            <w:vMerge/>
          </w:tcPr>
          <w:p w14:paraId="28126CB6" w14:textId="77777777" w:rsidR="00A564AA" w:rsidRPr="005256DD" w:rsidRDefault="00A564AA" w:rsidP="005256DD">
            <w:pPr>
              <w:ind w:left="0"/>
              <w:rPr>
                <w:rFonts w:asciiTheme="minorHAnsi" w:hAnsiTheme="minorHAnsi"/>
                <w:sz w:val="18"/>
                <w:szCs w:val="18"/>
              </w:rPr>
            </w:pPr>
          </w:p>
        </w:tc>
        <w:tc>
          <w:tcPr>
            <w:tcW w:w="1843" w:type="dxa"/>
            <w:vMerge/>
          </w:tcPr>
          <w:p w14:paraId="65E155BC" w14:textId="77777777" w:rsidR="00A564AA" w:rsidRPr="005256DD" w:rsidRDefault="00A564AA" w:rsidP="005256DD">
            <w:pPr>
              <w:ind w:left="0"/>
              <w:rPr>
                <w:rFonts w:asciiTheme="minorHAnsi" w:hAnsiTheme="minorHAnsi"/>
                <w:sz w:val="18"/>
                <w:szCs w:val="18"/>
              </w:rPr>
            </w:pPr>
          </w:p>
        </w:tc>
        <w:tc>
          <w:tcPr>
            <w:tcW w:w="1129" w:type="dxa"/>
          </w:tcPr>
          <w:p w14:paraId="10A3026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1.6</w:t>
            </w:r>
          </w:p>
        </w:tc>
        <w:tc>
          <w:tcPr>
            <w:tcW w:w="1947" w:type="dxa"/>
            <w:gridSpan w:val="2"/>
          </w:tcPr>
          <w:p w14:paraId="58A04C5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13645</w:t>
            </w:r>
          </w:p>
        </w:tc>
        <w:tc>
          <w:tcPr>
            <w:tcW w:w="1661" w:type="dxa"/>
            <w:gridSpan w:val="2"/>
          </w:tcPr>
          <w:p w14:paraId="189C6E8F"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47</w:t>
            </w:r>
          </w:p>
        </w:tc>
      </w:tr>
      <w:tr w:rsidR="00A564AA" w:rsidRPr="005256DD" w14:paraId="1DC65639" w14:textId="77777777" w:rsidTr="00735C40">
        <w:trPr>
          <w:trHeight w:val="197"/>
        </w:trPr>
        <w:tc>
          <w:tcPr>
            <w:tcW w:w="2093" w:type="dxa"/>
            <w:gridSpan w:val="2"/>
            <w:vMerge/>
          </w:tcPr>
          <w:p w14:paraId="6AE45196" w14:textId="77777777" w:rsidR="00A564AA" w:rsidRPr="005256DD" w:rsidRDefault="00A564AA" w:rsidP="005256DD">
            <w:pPr>
              <w:ind w:left="0"/>
              <w:rPr>
                <w:rFonts w:asciiTheme="minorHAnsi" w:hAnsiTheme="minorHAnsi"/>
                <w:sz w:val="18"/>
                <w:szCs w:val="18"/>
              </w:rPr>
            </w:pPr>
          </w:p>
        </w:tc>
        <w:tc>
          <w:tcPr>
            <w:tcW w:w="1843" w:type="dxa"/>
            <w:vMerge/>
          </w:tcPr>
          <w:p w14:paraId="541AC65A" w14:textId="77777777" w:rsidR="00A564AA" w:rsidRPr="005256DD" w:rsidRDefault="00A564AA" w:rsidP="005256DD">
            <w:pPr>
              <w:ind w:left="0"/>
              <w:rPr>
                <w:rFonts w:asciiTheme="minorHAnsi" w:hAnsiTheme="minorHAnsi"/>
                <w:sz w:val="18"/>
                <w:szCs w:val="18"/>
              </w:rPr>
            </w:pPr>
          </w:p>
        </w:tc>
        <w:tc>
          <w:tcPr>
            <w:tcW w:w="1129" w:type="dxa"/>
          </w:tcPr>
          <w:p w14:paraId="2238430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3.2</w:t>
            </w:r>
          </w:p>
        </w:tc>
        <w:tc>
          <w:tcPr>
            <w:tcW w:w="1947" w:type="dxa"/>
            <w:gridSpan w:val="2"/>
          </w:tcPr>
          <w:p w14:paraId="63709007"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28888</w:t>
            </w:r>
          </w:p>
        </w:tc>
        <w:tc>
          <w:tcPr>
            <w:tcW w:w="1661" w:type="dxa"/>
            <w:gridSpan w:val="2"/>
          </w:tcPr>
          <w:p w14:paraId="70523BA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99</w:t>
            </w:r>
          </w:p>
        </w:tc>
      </w:tr>
      <w:tr w:rsidR="00A564AA" w:rsidRPr="005256DD" w14:paraId="5F1A7E0E" w14:textId="77777777" w:rsidTr="00735C40">
        <w:trPr>
          <w:trHeight w:val="684"/>
        </w:trPr>
        <w:tc>
          <w:tcPr>
            <w:tcW w:w="2093" w:type="dxa"/>
            <w:gridSpan w:val="2"/>
          </w:tcPr>
          <w:p w14:paraId="5CE68E2A"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Human</w:t>
            </w:r>
            <w:r w:rsidRPr="005256DD">
              <w:rPr>
                <w:rFonts w:asciiTheme="minorHAnsi" w:hAnsiTheme="minorHAnsi"/>
                <w:sz w:val="18"/>
                <w:szCs w:val="18"/>
              </w:rPr>
              <w:br/>
              <w:t>(healthy volunteers)</w:t>
            </w:r>
          </w:p>
        </w:tc>
        <w:tc>
          <w:tcPr>
            <w:tcW w:w="1843" w:type="dxa"/>
          </w:tcPr>
          <w:p w14:paraId="13E8C9B6" w14:textId="77777777" w:rsidR="007A3846" w:rsidRDefault="00A564AA" w:rsidP="007A3846">
            <w:pPr>
              <w:ind w:left="0"/>
              <w:rPr>
                <w:rFonts w:asciiTheme="minorHAnsi" w:hAnsiTheme="minorHAnsi"/>
                <w:sz w:val="18"/>
                <w:szCs w:val="18"/>
              </w:rPr>
            </w:pPr>
            <w:r w:rsidRPr="005256DD">
              <w:rPr>
                <w:rFonts w:asciiTheme="minorHAnsi" w:hAnsiTheme="minorHAnsi"/>
                <w:sz w:val="18"/>
                <w:szCs w:val="18"/>
              </w:rPr>
              <w:t>steady state</w:t>
            </w:r>
          </w:p>
          <w:p w14:paraId="648F0689" w14:textId="77777777" w:rsidR="00A564AA" w:rsidRPr="005256DD" w:rsidRDefault="00A564AA" w:rsidP="007A3846">
            <w:pPr>
              <w:ind w:left="0"/>
              <w:rPr>
                <w:rFonts w:asciiTheme="minorHAnsi" w:hAnsiTheme="minorHAnsi"/>
                <w:sz w:val="18"/>
                <w:szCs w:val="18"/>
              </w:rPr>
            </w:pPr>
            <w:r w:rsidRPr="005256DD">
              <w:rPr>
                <w:rFonts w:asciiTheme="minorHAnsi" w:hAnsiTheme="minorHAnsi"/>
                <w:sz w:val="18"/>
                <w:szCs w:val="18"/>
              </w:rPr>
              <w:t>[CSOM230B2113]</w:t>
            </w:r>
          </w:p>
        </w:tc>
        <w:tc>
          <w:tcPr>
            <w:tcW w:w="1129" w:type="dxa"/>
          </w:tcPr>
          <w:p w14:paraId="5DFA912E" w14:textId="77777777" w:rsidR="00A564AA" w:rsidRPr="005256DD" w:rsidRDefault="00A564AA" w:rsidP="00224C4E">
            <w:pPr>
              <w:ind w:left="0"/>
              <w:rPr>
                <w:rFonts w:asciiTheme="minorHAnsi" w:hAnsiTheme="minorHAnsi"/>
                <w:sz w:val="18"/>
                <w:szCs w:val="18"/>
              </w:rPr>
            </w:pPr>
            <w:r w:rsidRPr="005256DD">
              <w:rPr>
                <w:rFonts w:asciiTheme="minorHAnsi" w:hAnsiTheme="minorHAnsi"/>
                <w:sz w:val="18"/>
                <w:szCs w:val="18"/>
              </w:rPr>
              <w:t xml:space="preserve">[900 </w:t>
            </w:r>
            <w:proofErr w:type="spellStart"/>
            <w:r w:rsidRPr="005256DD">
              <w:rPr>
                <w:rFonts w:asciiTheme="minorHAnsi" w:hAnsiTheme="minorHAnsi"/>
                <w:sz w:val="18"/>
                <w:szCs w:val="18"/>
              </w:rPr>
              <w:t>μg</w:t>
            </w:r>
            <w:proofErr w:type="spellEnd"/>
            <w:r w:rsidRPr="005256DD">
              <w:rPr>
                <w:rFonts w:asciiTheme="minorHAnsi" w:hAnsiTheme="minorHAnsi"/>
                <w:sz w:val="18"/>
                <w:szCs w:val="18"/>
              </w:rPr>
              <w:t xml:space="preserve"> </w:t>
            </w:r>
            <w:r w:rsidR="0009268D">
              <w:rPr>
                <w:rFonts w:asciiTheme="minorHAnsi" w:hAnsiTheme="minorHAnsi"/>
                <w:sz w:val="18"/>
                <w:szCs w:val="18"/>
              </w:rPr>
              <w:t>BD</w:t>
            </w:r>
            <w:r w:rsidRPr="005256DD">
              <w:rPr>
                <w:rFonts w:asciiTheme="minorHAnsi" w:hAnsiTheme="minorHAnsi"/>
                <w:sz w:val="18"/>
                <w:szCs w:val="18"/>
              </w:rPr>
              <w:t>]</w:t>
            </w:r>
          </w:p>
        </w:tc>
        <w:tc>
          <w:tcPr>
            <w:tcW w:w="1947" w:type="dxa"/>
            <w:gridSpan w:val="2"/>
          </w:tcPr>
          <w:p w14:paraId="70A082A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291.2d</w:t>
            </w:r>
          </w:p>
        </w:tc>
        <w:tc>
          <w:tcPr>
            <w:tcW w:w="1661" w:type="dxa"/>
            <w:gridSpan w:val="2"/>
          </w:tcPr>
          <w:p w14:paraId="58C02A10" w14:textId="77777777" w:rsidR="00A564AA" w:rsidRPr="005256DD" w:rsidRDefault="00A564AA" w:rsidP="005256DD">
            <w:pPr>
              <w:ind w:left="0"/>
              <w:rPr>
                <w:rFonts w:asciiTheme="minorHAnsi" w:hAnsiTheme="minorHAnsi"/>
                <w:sz w:val="18"/>
                <w:szCs w:val="18"/>
              </w:rPr>
            </w:pPr>
            <w:r w:rsidRPr="005256DD">
              <w:rPr>
                <w:rFonts w:asciiTheme="minorHAnsi" w:hAnsiTheme="minorHAnsi"/>
                <w:sz w:val="18"/>
                <w:szCs w:val="18"/>
              </w:rPr>
              <w:t>–</w:t>
            </w:r>
          </w:p>
        </w:tc>
      </w:tr>
    </w:tbl>
    <w:p w14:paraId="1662BB8D" w14:textId="77777777" w:rsidR="00A564AA" w:rsidRDefault="00A564AA" w:rsidP="00A564AA">
      <w:pPr>
        <w:pStyle w:val="TableCaption"/>
        <w:spacing w:after="240"/>
      </w:pPr>
      <w:r w:rsidRPr="00D7327D">
        <w:rPr>
          <w:position w:val="-2"/>
          <w:vertAlign w:val="superscript"/>
        </w:rPr>
        <w:t>#</w:t>
      </w:r>
      <w:r>
        <w:t xml:space="preserve"> = </w:t>
      </w:r>
      <w:proofErr w:type="spellStart"/>
      <w:proofErr w:type="gramStart"/>
      <w:r>
        <w:t>animal:human</w:t>
      </w:r>
      <w:proofErr w:type="spellEnd"/>
      <w:proofErr w:type="gramEnd"/>
      <w:r>
        <w:t xml:space="preserve"> plasma AUC</w:t>
      </w:r>
      <w:r w:rsidRPr="00D7327D">
        <w:rPr>
          <w:vertAlign w:val="subscript"/>
        </w:rPr>
        <w:t>0–24</w:t>
      </w:r>
      <w:r w:rsidRPr="00D7327D">
        <w:rPr>
          <w:w w:val="50"/>
          <w:vertAlign w:val="subscript"/>
        </w:rPr>
        <w:t> </w:t>
      </w:r>
      <w:r w:rsidRPr="00D7327D">
        <w:rPr>
          <w:vertAlign w:val="subscript"/>
        </w:rPr>
        <w:t>h</w:t>
      </w:r>
      <w:r>
        <w:t xml:space="preserve">; </w:t>
      </w:r>
      <w:r w:rsidRPr="007928C3">
        <w:rPr>
          <w:vertAlign w:val="superscript"/>
        </w:rPr>
        <w:t xml:space="preserve">a </w:t>
      </w:r>
      <w:r>
        <w:t xml:space="preserve">= estimated based on data from Study 0470037 due to limited toxicokinetic sampling in the main study; </w:t>
      </w:r>
      <w:r w:rsidRPr="00D97509">
        <w:rPr>
          <w:vertAlign w:val="superscript"/>
        </w:rPr>
        <w:t>b</w:t>
      </w:r>
      <w:r>
        <w:t xml:space="preserve"> = </w:t>
      </w:r>
      <w:r w:rsidR="0009268D">
        <w:t>BD</w:t>
      </w:r>
      <w:r>
        <w:t xml:space="preserve"> administration (~6</w:t>
      </w:r>
      <w:r w:rsidRPr="00DE5E08">
        <w:rPr>
          <w:w w:val="50"/>
        </w:rPr>
        <w:t> </w:t>
      </w:r>
      <w:r>
        <w:t xml:space="preserve">h) apart; </w:t>
      </w:r>
      <w:r w:rsidRPr="00D97509">
        <w:rPr>
          <w:vertAlign w:val="superscript"/>
        </w:rPr>
        <w:t>c</w:t>
      </w:r>
      <w:r>
        <w:t xml:space="preserve"> = reported AUC</w:t>
      </w:r>
      <w:r w:rsidRPr="00F104BB">
        <w:rPr>
          <w:vertAlign w:val="subscript"/>
        </w:rPr>
        <w:t>0–6</w:t>
      </w:r>
      <w:r w:rsidRPr="00F104BB">
        <w:rPr>
          <w:w w:val="50"/>
          <w:vertAlign w:val="subscript"/>
        </w:rPr>
        <w:t> </w:t>
      </w:r>
      <w:r w:rsidRPr="00F104BB">
        <w:rPr>
          <w:vertAlign w:val="subscript"/>
        </w:rPr>
        <w:t>h</w:t>
      </w:r>
      <w:r>
        <w:t xml:space="preserve"> value has been multiplied by 2 to reflect twice daily dosing; </w:t>
      </w:r>
      <w:r>
        <w:rPr>
          <w:vertAlign w:val="superscript"/>
        </w:rPr>
        <w:t>d</w:t>
      </w:r>
      <w:r>
        <w:t xml:space="preserve"> = reported AUC</w:t>
      </w:r>
      <w:r w:rsidRPr="007D064C">
        <w:rPr>
          <w:vertAlign w:val="subscript"/>
        </w:rPr>
        <w:t>0–12</w:t>
      </w:r>
      <w:r w:rsidRPr="007D064C">
        <w:rPr>
          <w:w w:val="50"/>
          <w:vertAlign w:val="subscript"/>
        </w:rPr>
        <w:t> </w:t>
      </w:r>
      <w:r w:rsidRPr="007D064C">
        <w:rPr>
          <w:vertAlign w:val="subscript"/>
        </w:rPr>
        <w:t>h</w:t>
      </w:r>
      <w:r>
        <w:t xml:space="preserve"> value has been multiplied by 2 to reflect twice daily dosing</w:t>
      </w:r>
    </w:p>
    <w:p w14:paraId="64C1C93E" w14:textId="77777777" w:rsidR="00A564AA" w:rsidRPr="0068453C" w:rsidRDefault="00A564AA" w:rsidP="007A3846">
      <w:pPr>
        <w:pStyle w:val="Heading4"/>
      </w:pPr>
      <w:r>
        <w:t>Major targets</w:t>
      </w:r>
    </w:p>
    <w:p w14:paraId="79523220" w14:textId="77777777" w:rsidR="00A564AA" w:rsidRPr="007A3846" w:rsidRDefault="00A564AA" w:rsidP="007A3846">
      <w:r w:rsidRPr="007A3846">
        <w:t xml:space="preserve">The major targets for pasireotide were the pituitary, bone, bone marrow, spleen, thymus, thyroid, female reproductive tract and </w:t>
      </w:r>
      <w:proofErr w:type="spellStart"/>
      <w:r w:rsidR="001D7979">
        <w:t>sc</w:t>
      </w:r>
      <w:proofErr w:type="spellEnd"/>
      <w:r w:rsidRPr="007A3846">
        <w:t xml:space="preserve"> injection site, with effects on the</w:t>
      </w:r>
      <w:r w:rsidR="008E387B">
        <w:t xml:space="preserve"> gastrointestinal (</w:t>
      </w:r>
      <w:r w:rsidRPr="007A3846">
        <w:t>GI</w:t>
      </w:r>
      <w:r w:rsidR="008E387B">
        <w:t>)</w:t>
      </w:r>
      <w:r w:rsidRPr="007A3846">
        <w:t xml:space="preserve"> tract also seen.</w:t>
      </w:r>
    </w:p>
    <w:p w14:paraId="6159F753" w14:textId="77777777" w:rsidR="00A564AA" w:rsidRPr="007A3846" w:rsidRDefault="00A564AA" w:rsidP="007A3846">
      <w:r w:rsidRPr="007A3846">
        <w:t xml:space="preserve">Pasireotide was better tolerated in monkeys </w:t>
      </w:r>
      <w:r w:rsidR="007A3846">
        <w:t xml:space="preserve">than </w:t>
      </w:r>
      <w:r w:rsidRPr="007A3846">
        <w:t>rats. The dog was found to be particularly sensitive to pasireotide, with severe vomiting and diarrhoea seen at all dose levels in a pilot study in the species (≥</w:t>
      </w:r>
      <w:r w:rsidR="007A3846">
        <w:t xml:space="preserve"> </w:t>
      </w:r>
      <w:r w:rsidRPr="007A3846">
        <w:t xml:space="preserve">0.07 mg/kg/day </w:t>
      </w:r>
      <w:proofErr w:type="spellStart"/>
      <w:r w:rsidR="001D7979">
        <w:t>sc</w:t>
      </w:r>
      <w:proofErr w:type="spellEnd"/>
      <w:r w:rsidRPr="007A3846">
        <w:t>), prompting discontinuation of dosing within</w:t>
      </w:r>
      <w:r w:rsidR="001D7979">
        <w:t xml:space="preserve"> one to three </w:t>
      </w:r>
      <w:r w:rsidRPr="007A3846">
        <w:t>days and the selection of the monkey as the non-rodent species. In contrast, there were no GI findings in rodents (notably even at</w:t>
      </w:r>
      <w:r w:rsidR="007A3846">
        <w:t xml:space="preserve"> </w:t>
      </w:r>
      <w:r w:rsidRPr="007A3846">
        <w:t xml:space="preserve">hundreds of times the clinical exposure level in mice). Monkeys showed no clinical signs of GI toxicity, although </w:t>
      </w:r>
      <w:r w:rsidR="007A3846" w:rsidRPr="007A3846">
        <w:t>distension</w:t>
      </w:r>
      <w:r w:rsidRPr="007A3846">
        <w:t xml:space="preserve"> of the large intestine with firm faecal material and the presence of proteinaceous material in the crypts of the mucosa of the caecum and colon were seen at ≥</w:t>
      </w:r>
      <w:r w:rsidR="001D7979">
        <w:t> </w:t>
      </w:r>
      <w:r w:rsidRPr="007A3846">
        <w:t>1</w:t>
      </w:r>
      <w:r w:rsidR="007A3846">
        <w:t>.</w:t>
      </w:r>
      <w:r w:rsidRPr="007A3846">
        <w:t>6</w:t>
      </w:r>
      <w:r w:rsidR="007A3846">
        <w:t xml:space="preserve"> </w:t>
      </w:r>
      <w:r w:rsidRPr="007A3846">
        <w:t xml:space="preserve">mg/kg/day </w:t>
      </w:r>
      <w:proofErr w:type="spellStart"/>
      <w:r w:rsidR="001D7979">
        <w:t>sc</w:t>
      </w:r>
      <w:proofErr w:type="spellEnd"/>
      <w:r w:rsidRPr="007A3846">
        <w:t xml:space="preserve"> in the </w:t>
      </w:r>
      <w:r w:rsidR="007A3846">
        <w:t>four</w:t>
      </w:r>
      <w:r w:rsidR="006E3367">
        <w:t xml:space="preserve"> </w:t>
      </w:r>
      <w:r w:rsidRPr="007A3846">
        <w:t xml:space="preserve">week and </w:t>
      </w:r>
      <w:r w:rsidR="007A3846">
        <w:t>nine</w:t>
      </w:r>
      <w:r w:rsidR="006E3367">
        <w:t xml:space="preserve"> </w:t>
      </w:r>
      <w:r w:rsidRPr="007A3846">
        <w:t>month studies (relative exposure, ≥</w:t>
      </w:r>
      <w:r w:rsidR="007A3846">
        <w:t xml:space="preserve"> </w:t>
      </w:r>
      <w:r w:rsidRPr="007A3846">
        <w:t xml:space="preserve">47); </w:t>
      </w:r>
      <w:r w:rsidR="007A3846" w:rsidRPr="007A3846">
        <w:t>distension</w:t>
      </w:r>
      <w:r w:rsidRPr="007A3846">
        <w:t xml:space="preserve"> of the large intestine with firm faecal material was also seen in </w:t>
      </w:r>
      <w:r w:rsidR="007A3846">
        <w:t xml:space="preserve">one of eight </w:t>
      </w:r>
      <w:r w:rsidRPr="007A3846">
        <w:t>monkeys treated at 0.4</w:t>
      </w:r>
      <w:r w:rsidR="007A3846">
        <w:t xml:space="preserve"> </w:t>
      </w:r>
      <w:r w:rsidRPr="007A3846">
        <w:t xml:space="preserve">mg/kg/day </w:t>
      </w:r>
      <w:proofErr w:type="spellStart"/>
      <w:r w:rsidR="001D7979">
        <w:t>sc</w:t>
      </w:r>
      <w:proofErr w:type="spellEnd"/>
      <w:r w:rsidRPr="007A3846">
        <w:t xml:space="preserve"> for </w:t>
      </w:r>
      <w:r w:rsidR="007A3846">
        <w:t xml:space="preserve">nine </w:t>
      </w:r>
      <w:r w:rsidRPr="007A3846">
        <w:t>months (relative exposure, 13). These findings are consistent with the recognised effect of somatostatin to inhibit GI tract secretions and motility.</w:t>
      </w:r>
    </w:p>
    <w:p w14:paraId="5372152D" w14:textId="77777777" w:rsidR="00A564AA" w:rsidRPr="007A3846" w:rsidRDefault="00A564AA" w:rsidP="007A3846">
      <w:r w:rsidRPr="007A3846">
        <w:t xml:space="preserve">Substantial inhibition of </w:t>
      </w:r>
      <w:r w:rsidR="007A3846">
        <w:t>BW</w:t>
      </w:r>
      <w:r w:rsidRPr="007A3846">
        <w:t xml:space="preserve"> gain or </w:t>
      </w:r>
      <w:r w:rsidR="007A3846">
        <w:t>BW</w:t>
      </w:r>
      <w:r w:rsidRPr="007A3846">
        <w:t xml:space="preserve"> loss were routinely seen in studies in rodents, including at all dose levels in male rats (≥</w:t>
      </w:r>
      <w:r w:rsidR="007A3846">
        <w:t xml:space="preserve"> </w:t>
      </w:r>
      <w:r w:rsidRPr="007A3846">
        <w:t xml:space="preserve">0.008 mg/kg/day </w:t>
      </w:r>
      <w:proofErr w:type="spellStart"/>
      <w:r w:rsidR="001D7979">
        <w:t>sc</w:t>
      </w:r>
      <w:proofErr w:type="spellEnd"/>
      <w:r w:rsidRPr="007A3846">
        <w:t>; relative exposure, ≥</w:t>
      </w:r>
      <w:r w:rsidR="007A3846">
        <w:t xml:space="preserve"> </w:t>
      </w:r>
      <w:r w:rsidRPr="007A3846">
        <w:t>0.07) and in female rats at 0.24</w:t>
      </w:r>
      <w:r w:rsidR="007A3846">
        <w:t xml:space="preserve"> </w:t>
      </w:r>
      <w:r w:rsidRPr="007A3846">
        <w:t xml:space="preserve">mg/kg/day </w:t>
      </w:r>
      <w:proofErr w:type="spellStart"/>
      <w:r w:rsidR="001D7979">
        <w:t>sc</w:t>
      </w:r>
      <w:proofErr w:type="spellEnd"/>
      <w:r w:rsidRPr="007A3846">
        <w:t xml:space="preserve"> (relative exposure, 1.9) in the pivotal </w:t>
      </w:r>
      <w:r w:rsidR="007A3846">
        <w:t>six</w:t>
      </w:r>
      <w:r w:rsidR="006E3367">
        <w:t xml:space="preserve"> </w:t>
      </w:r>
      <w:r w:rsidRPr="007A3846">
        <w:t>month study. B</w:t>
      </w:r>
      <w:r w:rsidR="007A3846">
        <w:t>W</w:t>
      </w:r>
      <w:r w:rsidRPr="007A3846">
        <w:t xml:space="preserve"> gain was unaffected in monkeys in the pivotal </w:t>
      </w:r>
      <w:r w:rsidR="007A3846">
        <w:t>nine</w:t>
      </w:r>
      <w:r w:rsidR="006E3367">
        <w:t xml:space="preserve"> </w:t>
      </w:r>
      <w:r w:rsidRPr="007A3846">
        <w:t>month study (≤</w:t>
      </w:r>
      <w:r w:rsidR="008E387B">
        <w:t> </w:t>
      </w:r>
      <w:r w:rsidRPr="007A3846">
        <w:t>3.2</w:t>
      </w:r>
      <w:r w:rsidR="008E387B">
        <w:t> </w:t>
      </w:r>
      <w:r w:rsidRPr="007A3846">
        <w:t xml:space="preserve">mg/kg/day </w:t>
      </w:r>
      <w:proofErr w:type="spellStart"/>
      <w:r w:rsidR="001D7979">
        <w:t>sc</w:t>
      </w:r>
      <w:proofErr w:type="spellEnd"/>
      <w:r w:rsidRPr="007A3846">
        <w:t>; relative exposure, ≤</w:t>
      </w:r>
      <w:r w:rsidR="007A3846">
        <w:t xml:space="preserve"> </w:t>
      </w:r>
      <w:r w:rsidRPr="007A3846">
        <w:t>99). Pharmacologically mediated reductions in serum GH and/or IGF</w:t>
      </w:r>
      <w:r w:rsidRPr="007A3846">
        <w:noBreakHyphen/>
        <w:t>1 (which is directly responsive to GH) were shown in the two pivotal species. Consistent with inhibition of GH secretion from somatotrophs, decreased cytoplasmic volume of the acidophilic cells of the pars distalis was seen in mice (at ≥</w:t>
      </w:r>
      <w:r w:rsidR="007A3846">
        <w:t xml:space="preserve"> </w:t>
      </w:r>
      <w:r w:rsidRPr="007A3846">
        <w:t>2.5</w:t>
      </w:r>
      <w:r w:rsidR="007A3846">
        <w:t xml:space="preserve"> </w:t>
      </w:r>
      <w:r w:rsidRPr="007A3846">
        <w:t xml:space="preserve">mg/kg/day </w:t>
      </w:r>
      <w:proofErr w:type="spellStart"/>
      <w:r w:rsidR="001D7979">
        <w:t>sc</w:t>
      </w:r>
      <w:proofErr w:type="spellEnd"/>
      <w:r w:rsidRPr="007A3846">
        <w:t xml:space="preserve"> relative exposure, ≥</w:t>
      </w:r>
      <w:r w:rsidR="007A3846">
        <w:t xml:space="preserve"> </w:t>
      </w:r>
      <w:r w:rsidRPr="007A3846">
        <w:t>10) and rats (at</w:t>
      </w:r>
      <w:r w:rsidR="008E387B">
        <w:t> </w:t>
      </w:r>
      <w:r w:rsidRPr="007A3846">
        <w:t>≥</w:t>
      </w:r>
      <w:r w:rsidR="008E387B">
        <w:t> </w:t>
      </w:r>
      <w:r w:rsidRPr="007A3846">
        <w:t>0.024</w:t>
      </w:r>
      <w:r w:rsidR="008E387B">
        <w:t> </w:t>
      </w:r>
      <w:r w:rsidRPr="007A3846">
        <w:t xml:space="preserve">mg/kg/day </w:t>
      </w:r>
      <w:proofErr w:type="spellStart"/>
      <w:r w:rsidR="001D7979">
        <w:t>sc</w:t>
      </w:r>
      <w:proofErr w:type="spellEnd"/>
      <w:r w:rsidRPr="007A3846">
        <w:t xml:space="preserve"> in males in the pivotal study; relative exposure, ≥</w:t>
      </w:r>
      <w:r w:rsidR="007A3846">
        <w:t xml:space="preserve"> </w:t>
      </w:r>
      <w:r w:rsidRPr="007A3846">
        <w:t xml:space="preserve">0.3). The greater sensitivity to growth suppression and pituitary changes evident with pasireotide in male </w:t>
      </w:r>
      <w:r w:rsidR="007A3846">
        <w:t xml:space="preserve">compared with </w:t>
      </w:r>
      <w:r w:rsidRPr="007A3846">
        <w:t xml:space="preserve">female rats can be attributed to notable differences in GH and somatostatin regulation recognised between </w:t>
      </w:r>
      <w:r w:rsidRPr="007A3846">
        <w:lastRenderedPageBreak/>
        <w:t>the sexes in the species (Wehrenberg and Giustina, 1992</w:t>
      </w:r>
      <w:r w:rsidR="007A3846">
        <w:rPr>
          <w:rStyle w:val="FootnoteReference"/>
        </w:rPr>
        <w:footnoteReference w:id="5"/>
      </w:r>
      <w:r w:rsidRPr="007A3846">
        <w:t xml:space="preserve">). Increased </w:t>
      </w:r>
      <w:proofErr w:type="spellStart"/>
      <w:r w:rsidRPr="007A3846">
        <w:t>acidophilia</w:t>
      </w:r>
      <w:proofErr w:type="spellEnd"/>
      <w:r w:rsidRPr="007A3846">
        <w:t xml:space="preserve"> of the pars distalis of the pituitary was observed in both sexes at all doses in the pivotal monkey study (≥</w:t>
      </w:r>
      <w:r w:rsidR="007A3846">
        <w:t xml:space="preserve"> </w:t>
      </w:r>
      <w:r w:rsidRPr="007A3846">
        <w:t xml:space="preserve">0.4 mg/kg/day </w:t>
      </w:r>
      <w:proofErr w:type="spellStart"/>
      <w:r w:rsidR="001D7979">
        <w:t>sc</w:t>
      </w:r>
      <w:proofErr w:type="spellEnd"/>
      <w:r w:rsidRPr="007A3846">
        <w:t>; relative exposure, ≥</w:t>
      </w:r>
      <w:r w:rsidR="007A3846">
        <w:t xml:space="preserve"> </w:t>
      </w:r>
      <w:r w:rsidRPr="007A3846">
        <w:t>13). Reversibility of the pituitary changes was demonstrated in rats and monkeys.</w:t>
      </w:r>
    </w:p>
    <w:p w14:paraId="5AA33A02" w14:textId="77777777" w:rsidR="00A564AA" w:rsidRDefault="00A564AA" w:rsidP="00A564AA">
      <w:pPr>
        <w:pStyle w:val="Standard"/>
        <w:rPr>
          <w:kern w:val="2"/>
          <w:szCs w:val="20"/>
        </w:rPr>
      </w:pPr>
      <w:r>
        <w:rPr>
          <w:kern w:val="2"/>
          <w:szCs w:val="20"/>
        </w:rPr>
        <w:t>In mice, pasireotide minimally decreased primary spongiosa in the metaphysis below the growth plate of the tibia and femur with treatment at ≥</w:t>
      </w:r>
      <w:r w:rsidR="007A3846">
        <w:rPr>
          <w:kern w:val="2"/>
          <w:szCs w:val="20"/>
        </w:rPr>
        <w:t xml:space="preserve"> </w:t>
      </w:r>
      <w:r>
        <w:rPr>
          <w:kern w:val="2"/>
          <w:szCs w:val="20"/>
        </w:rPr>
        <w:t xml:space="preserve">10 mg/kg/day </w:t>
      </w:r>
      <w:proofErr w:type="spellStart"/>
      <w:r w:rsidR="001D7979">
        <w:rPr>
          <w:kern w:val="2"/>
          <w:szCs w:val="20"/>
        </w:rPr>
        <w:t>sc</w:t>
      </w:r>
      <w:proofErr w:type="spellEnd"/>
      <w:r>
        <w:rPr>
          <w:kern w:val="2"/>
          <w:szCs w:val="20"/>
        </w:rPr>
        <w:t xml:space="preserve"> for </w:t>
      </w:r>
      <w:r w:rsidR="007A3846">
        <w:rPr>
          <w:kern w:val="2"/>
          <w:szCs w:val="20"/>
        </w:rPr>
        <w:t>four</w:t>
      </w:r>
      <w:r>
        <w:rPr>
          <w:kern w:val="2"/>
          <w:szCs w:val="20"/>
        </w:rPr>
        <w:t xml:space="preserve"> weeks (relative exposure, ≥</w:t>
      </w:r>
      <w:r w:rsidR="007A3846">
        <w:rPr>
          <w:kern w:val="2"/>
          <w:szCs w:val="20"/>
        </w:rPr>
        <w:t xml:space="preserve"> </w:t>
      </w:r>
      <w:r>
        <w:rPr>
          <w:kern w:val="2"/>
          <w:szCs w:val="20"/>
        </w:rPr>
        <w:t>77); a</w:t>
      </w:r>
      <w:r w:rsidR="007A3846">
        <w:rPr>
          <w:kern w:val="2"/>
          <w:szCs w:val="20"/>
        </w:rPr>
        <w:t xml:space="preserve"> </w:t>
      </w:r>
      <w:r>
        <w:rPr>
          <w:kern w:val="2"/>
          <w:szCs w:val="20"/>
        </w:rPr>
        <w:t xml:space="preserve">NOEL </w:t>
      </w:r>
      <w:r w:rsidR="007A3846" w:rsidRPr="007A3846">
        <w:t>(no observed effect level)</w:t>
      </w:r>
      <w:r w:rsidR="007A3846">
        <w:rPr>
          <w:kern w:val="2"/>
          <w:szCs w:val="20"/>
        </w:rPr>
        <w:t xml:space="preserve"> </w:t>
      </w:r>
      <w:r>
        <w:rPr>
          <w:kern w:val="2"/>
          <w:szCs w:val="20"/>
        </w:rPr>
        <w:t xml:space="preserve">of 2.5 mg/kg/day </w:t>
      </w:r>
      <w:proofErr w:type="spellStart"/>
      <w:r w:rsidR="001D7979">
        <w:rPr>
          <w:kern w:val="2"/>
          <w:szCs w:val="20"/>
        </w:rPr>
        <w:t>sc</w:t>
      </w:r>
      <w:proofErr w:type="spellEnd"/>
      <w:r>
        <w:rPr>
          <w:kern w:val="2"/>
          <w:szCs w:val="20"/>
        </w:rPr>
        <w:t xml:space="preserve"> (relative exposure, 13) for skeletal effects is established in the mouse carcinogenicity study. In</w:t>
      </w:r>
      <w:r w:rsidR="007A3846">
        <w:rPr>
          <w:kern w:val="2"/>
          <w:szCs w:val="20"/>
        </w:rPr>
        <w:t xml:space="preserve"> </w:t>
      </w:r>
      <w:r>
        <w:rPr>
          <w:kern w:val="2"/>
          <w:szCs w:val="20"/>
        </w:rPr>
        <w:t xml:space="preserve">rats, decreased primary spongiosa of the femur/tibia/sternum was observed in a </w:t>
      </w:r>
      <w:r w:rsidR="007A3846">
        <w:rPr>
          <w:kern w:val="2"/>
          <w:szCs w:val="20"/>
        </w:rPr>
        <w:t>six</w:t>
      </w:r>
      <w:r w:rsidR="006E3367">
        <w:rPr>
          <w:kern w:val="2"/>
          <w:szCs w:val="20"/>
        </w:rPr>
        <w:t xml:space="preserve"> </w:t>
      </w:r>
      <w:r>
        <w:rPr>
          <w:kern w:val="2"/>
          <w:szCs w:val="20"/>
        </w:rPr>
        <w:t xml:space="preserve">month study conducted with a long-acting release formulation of pasireotide (administered IM), and metaphyseal trabecular atrophy of the femur and sternum was observed with treatment at 0.8 mg/kg/day </w:t>
      </w:r>
      <w:proofErr w:type="spellStart"/>
      <w:r w:rsidR="001D7979">
        <w:rPr>
          <w:kern w:val="2"/>
          <w:szCs w:val="20"/>
        </w:rPr>
        <w:t>sc</w:t>
      </w:r>
      <w:proofErr w:type="spellEnd"/>
      <w:r>
        <w:rPr>
          <w:kern w:val="2"/>
          <w:szCs w:val="20"/>
        </w:rPr>
        <w:t xml:space="preserve"> for </w:t>
      </w:r>
      <w:r w:rsidR="007A3846">
        <w:rPr>
          <w:kern w:val="2"/>
          <w:szCs w:val="20"/>
        </w:rPr>
        <w:t xml:space="preserve">four </w:t>
      </w:r>
      <w:r>
        <w:rPr>
          <w:kern w:val="2"/>
          <w:szCs w:val="20"/>
        </w:rPr>
        <w:t xml:space="preserve">weeks. However, bone formation was seen to be unaffected in the pivotal </w:t>
      </w:r>
      <w:r w:rsidR="007A3846">
        <w:rPr>
          <w:kern w:val="2"/>
          <w:szCs w:val="20"/>
        </w:rPr>
        <w:t>six</w:t>
      </w:r>
      <w:r w:rsidR="006E3367">
        <w:rPr>
          <w:kern w:val="2"/>
          <w:szCs w:val="20"/>
        </w:rPr>
        <w:t xml:space="preserve"> </w:t>
      </w:r>
      <w:r>
        <w:rPr>
          <w:kern w:val="2"/>
          <w:szCs w:val="20"/>
        </w:rPr>
        <w:t xml:space="preserve">month </w:t>
      </w:r>
      <w:proofErr w:type="spellStart"/>
      <w:r w:rsidR="001D7979">
        <w:rPr>
          <w:kern w:val="2"/>
          <w:szCs w:val="20"/>
        </w:rPr>
        <w:t>sc</w:t>
      </w:r>
      <w:proofErr w:type="spellEnd"/>
      <w:r>
        <w:rPr>
          <w:kern w:val="2"/>
          <w:szCs w:val="20"/>
        </w:rPr>
        <w:t xml:space="preserve"> rat study and in the rat carcinogenicity study (relative exposure, ≤</w:t>
      </w:r>
      <w:r w:rsidR="007A3846">
        <w:rPr>
          <w:kern w:val="2"/>
          <w:szCs w:val="20"/>
        </w:rPr>
        <w:t xml:space="preserve"> </w:t>
      </w:r>
      <w:r>
        <w:rPr>
          <w:kern w:val="2"/>
          <w:szCs w:val="20"/>
        </w:rPr>
        <w:t>14). No</w:t>
      </w:r>
      <w:r w:rsidR="007A3846">
        <w:rPr>
          <w:kern w:val="2"/>
          <w:szCs w:val="20"/>
        </w:rPr>
        <w:t xml:space="preserve"> </w:t>
      </w:r>
      <w:r>
        <w:rPr>
          <w:kern w:val="2"/>
          <w:szCs w:val="20"/>
        </w:rPr>
        <w:t>skeletal changes were observed in monkeys (relative exposure, ≤</w:t>
      </w:r>
      <w:r w:rsidR="007A3846">
        <w:rPr>
          <w:kern w:val="2"/>
          <w:szCs w:val="20"/>
        </w:rPr>
        <w:t xml:space="preserve"> </w:t>
      </w:r>
      <w:r>
        <w:rPr>
          <w:kern w:val="2"/>
          <w:szCs w:val="20"/>
        </w:rPr>
        <w:t xml:space="preserve">99 in the pivotal </w:t>
      </w:r>
      <w:r w:rsidR="007A3846">
        <w:rPr>
          <w:kern w:val="2"/>
          <w:szCs w:val="20"/>
        </w:rPr>
        <w:t>nine</w:t>
      </w:r>
      <w:r w:rsidR="006E3367">
        <w:rPr>
          <w:kern w:val="2"/>
          <w:szCs w:val="20"/>
        </w:rPr>
        <w:t xml:space="preserve"> </w:t>
      </w:r>
      <w:r>
        <w:rPr>
          <w:kern w:val="2"/>
          <w:szCs w:val="20"/>
        </w:rPr>
        <w:t>month study).</w:t>
      </w:r>
    </w:p>
    <w:p w14:paraId="42F556B0" w14:textId="77777777" w:rsidR="00A564AA" w:rsidRDefault="00A564AA" w:rsidP="00A564AA">
      <w:pPr>
        <w:pStyle w:val="Standard"/>
        <w:rPr>
          <w:kern w:val="2"/>
          <w:szCs w:val="20"/>
        </w:rPr>
      </w:pPr>
      <w:r>
        <w:rPr>
          <w:kern w:val="2"/>
          <w:szCs w:val="20"/>
        </w:rPr>
        <w:t>Pasireotide decreased bone marrow cellularity in male rats at ≥</w:t>
      </w:r>
      <w:r w:rsidR="007A3846">
        <w:rPr>
          <w:kern w:val="2"/>
          <w:szCs w:val="20"/>
        </w:rPr>
        <w:t xml:space="preserve"> </w:t>
      </w:r>
      <w:r w:rsidR="001D7979">
        <w:rPr>
          <w:kern w:val="2"/>
          <w:szCs w:val="20"/>
        </w:rPr>
        <w:t xml:space="preserve">0.04 mg/kg/day </w:t>
      </w:r>
      <w:proofErr w:type="spellStart"/>
      <w:r w:rsidR="001D7979">
        <w:rPr>
          <w:kern w:val="2"/>
          <w:szCs w:val="20"/>
        </w:rPr>
        <w:t>sc</w:t>
      </w:r>
      <w:proofErr w:type="spellEnd"/>
      <w:r>
        <w:rPr>
          <w:kern w:val="2"/>
          <w:szCs w:val="20"/>
        </w:rPr>
        <w:t xml:space="preserve"> in a </w:t>
      </w:r>
      <w:r w:rsidR="007A3846">
        <w:rPr>
          <w:kern w:val="2"/>
          <w:szCs w:val="20"/>
        </w:rPr>
        <w:t>two</w:t>
      </w:r>
      <w:r w:rsidR="006E3367">
        <w:rPr>
          <w:kern w:val="2"/>
          <w:szCs w:val="20"/>
        </w:rPr>
        <w:t xml:space="preserve"> </w:t>
      </w:r>
      <w:r>
        <w:rPr>
          <w:kern w:val="2"/>
          <w:szCs w:val="20"/>
        </w:rPr>
        <w:t>week study (estimated relative exposure, 0.5) and in monkeys (both sexes) at ≥</w:t>
      </w:r>
      <w:r w:rsidR="001D7979">
        <w:rPr>
          <w:kern w:val="2"/>
          <w:szCs w:val="20"/>
        </w:rPr>
        <w:t> 1</w:t>
      </w:r>
      <w:r>
        <w:rPr>
          <w:kern w:val="2"/>
          <w:szCs w:val="20"/>
        </w:rPr>
        <w:t>.6</w:t>
      </w:r>
      <w:r w:rsidR="001D7979">
        <w:rPr>
          <w:kern w:val="2"/>
          <w:szCs w:val="20"/>
        </w:rPr>
        <w:t> </w:t>
      </w:r>
      <w:r>
        <w:rPr>
          <w:kern w:val="2"/>
          <w:szCs w:val="20"/>
        </w:rPr>
        <w:t xml:space="preserve">mg/kg/day </w:t>
      </w:r>
      <w:proofErr w:type="spellStart"/>
      <w:r w:rsidR="001D7979">
        <w:rPr>
          <w:kern w:val="2"/>
          <w:szCs w:val="20"/>
        </w:rPr>
        <w:t>sc</w:t>
      </w:r>
      <w:proofErr w:type="spellEnd"/>
      <w:r>
        <w:rPr>
          <w:kern w:val="2"/>
          <w:szCs w:val="20"/>
        </w:rPr>
        <w:t xml:space="preserve"> in a </w:t>
      </w:r>
      <w:r w:rsidR="007A3846">
        <w:rPr>
          <w:kern w:val="2"/>
          <w:szCs w:val="20"/>
        </w:rPr>
        <w:t>four</w:t>
      </w:r>
      <w:r w:rsidR="006E3367">
        <w:rPr>
          <w:kern w:val="2"/>
          <w:szCs w:val="20"/>
        </w:rPr>
        <w:t xml:space="preserve"> </w:t>
      </w:r>
      <w:r>
        <w:rPr>
          <w:kern w:val="2"/>
          <w:szCs w:val="20"/>
        </w:rPr>
        <w:t>week study (relative exposure, ≥</w:t>
      </w:r>
      <w:r w:rsidR="007A3846">
        <w:rPr>
          <w:kern w:val="2"/>
          <w:szCs w:val="20"/>
        </w:rPr>
        <w:t xml:space="preserve"> </w:t>
      </w:r>
      <w:r>
        <w:rPr>
          <w:kern w:val="2"/>
          <w:szCs w:val="20"/>
        </w:rPr>
        <w:t xml:space="preserve">24). Red blood cell count, haemoglobin and haematocrit were reduced in mice treated with pasireotide at 30 mg/kg/day </w:t>
      </w:r>
      <w:proofErr w:type="spellStart"/>
      <w:r w:rsidR="001D7979">
        <w:rPr>
          <w:kern w:val="2"/>
          <w:szCs w:val="20"/>
        </w:rPr>
        <w:t>sc</w:t>
      </w:r>
      <w:proofErr w:type="spellEnd"/>
      <w:r>
        <w:rPr>
          <w:kern w:val="2"/>
          <w:szCs w:val="20"/>
        </w:rPr>
        <w:t xml:space="preserve"> for </w:t>
      </w:r>
      <w:r w:rsidR="007A3846">
        <w:rPr>
          <w:kern w:val="2"/>
          <w:szCs w:val="20"/>
        </w:rPr>
        <w:t>four</w:t>
      </w:r>
      <w:r>
        <w:rPr>
          <w:kern w:val="2"/>
          <w:szCs w:val="20"/>
        </w:rPr>
        <w:t xml:space="preserve"> weeks (relative exposure, ≥</w:t>
      </w:r>
      <w:r w:rsidR="007A3846">
        <w:rPr>
          <w:kern w:val="2"/>
          <w:szCs w:val="20"/>
        </w:rPr>
        <w:t xml:space="preserve"> </w:t>
      </w:r>
      <w:r>
        <w:rPr>
          <w:kern w:val="2"/>
          <w:szCs w:val="20"/>
        </w:rPr>
        <w:t xml:space="preserve">145). Lymphoid depletion and reduced haematopoiesis were observed in the spleen of treated rats (including in males in the pivotal study at 0.24 mg/kg/day </w:t>
      </w:r>
      <w:proofErr w:type="spellStart"/>
      <w:r w:rsidR="001D7979">
        <w:rPr>
          <w:kern w:val="2"/>
          <w:szCs w:val="20"/>
        </w:rPr>
        <w:t>sc</w:t>
      </w:r>
      <w:proofErr w:type="spellEnd"/>
      <w:r>
        <w:rPr>
          <w:kern w:val="2"/>
          <w:szCs w:val="20"/>
        </w:rPr>
        <w:t>; relative exposure, 2.6).</w:t>
      </w:r>
      <w:r w:rsidRPr="00E56942">
        <w:rPr>
          <w:kern w:val="2"/>
          <w:szCs w:val="20"/>
        </w:rPr>
        <w:t xml:space="preserve"> </w:t>
      </w:r>
      <w:r>
        <w:rPr>
          <w:kern w:val="2"/>
          <w:szCs w:val="20"/>
        </w:rPr>
        <w:t>Thymic lymphoid atrophy/depletion was observed in short-term studies in rats (≥</w:t>
      </w:r>
      <w:r w:rsidR="007A3846">
        <w:rPr>
          <w:kern w:val="2"/>
          <w:szCs w:val="20"/>
        </w:rPr>
        <w:t xml:space="preserve"> </w:t>
      </w:r>
      <w:r>
        <w:rPr>
          <w:kern w:val="2"/>
          <w:szCs w:val="20"/>
        </w:rPr>
        <w:t>0.8</w:t>
      </w:r>
      <w:r w:rsidR="007A3846">
        <w:rPr>
          <w:kern w:val="2"/>
          <w:szCs w:val="20"/>
        </w:rPr>
        <w:t xml:space="preserve"> </w:t>
      </w:r>
      <w:r>
        <w:rPr>
          <w:kern w:val="2"/>
          <w:szCs w:val="20"/>
        </w:rPr>
        <w:t xml:space="preserve">mg/kg/day </w:t>
      </w:r>
      <w:proofErr w:type="spellStart"/>
      <w:r w:rsidR="001D7979">
        <w:rPr>
          <w:kern w:val="2"/>
          <w:szCs w:val="20"/>
        </w:rPr>
        <w:t>sc</w:t>
      </w:r>
      <w:proofErr w:type="spellEnd"/>
      <w:r>
        <w:rPr>
          <w:kern w:val="2"/>
          <w:szCs w:val="20"/>
        </w:rPr>
        <w:t xml:space="preserve"> for </w:t>
      </w:r>
      <w:r w:rsidR="007A3846">
        <w:rPr>
          <w:kern w:val="2"/>
          <w:szCs w:val="20"/>
        </w:rPr>
        <w:t>four</w:t>
      </w:r>
      <w:r>
        <w:rPr>
          <w:kern w:val="2"/>
          <w:szCs w:val="20"/>
        </w:rPr>
        <w:t xml:space="preserve"> weeks); decreased </w:t>
      </w:r>
      <w:r w:rsidR="007A3846">
        <w:rPr>
          <w:kern w:val="2"/>
          <w:szCs w:val="20"/>
        </w:rPr>
        <w:t>BW</w:t>
      </w:r>
      <w:r w:rsidR="006E3367">
        <w:rPr>
          <w:kern w:val="2"/>
          <w:szCs w:val="20"/>
        </w:rPr>
        <w:t xml:space="preserve"> </w:t>
      </w:r>
      <w:r>
        <w:rPr>
          <w:kern w:val="2"/>
          <w:szCs w:val="20"/>
        </w:rPr>
        <w:t>relative thymus weight, without accompanying histopathological findings, was observed in mice (≥</w:t>
      </w:r>
      <w:r w:rsidR="007A3846">
        <w:rPr>
          <w:kern w:val="2"/>
          <w:szCs w:val="20"/>
        </w:rPr>
        <w:t xml:space="preserve"> </w:t>
      </w:r>
      <w:r>
        <w:rPr>
          <w:kern w:val="2"/>
          <w:szCs w:val="20"/>
        </w:rPr>
        <w:t xml:space="preserve">10 mg/kg/day </w:t>
      </w:r>
      <w:proofErr w:type="spellStart"/>
      <w:r w:rsidR="001D7979">
        <w:rPr>
          <w:kern w:val="2"/>
          <w:szCs w:val="20"/>
        </w:rPr>
        <w:t>sc</w:t>
      </w:r>
      <w:proofErr w:type="spellEnd"/>
      <w:r>
        <w:rPr>
          <w:kern w:val="2"/>
          <w:szCs w:val="20"/>
        </w:rPr>
        <w:t xml:space="preserve">) and in other non-pivotal studies in rats. Treatment with pasireotide reduced </w:t>
      </w:r>
      <w:r w:rsidR="007A3846">
        <w:rPr>
          <w:kern w:val="2"/>
          <w:szCs w:val="20"/>
        </w:rPr>
        <w:t>BW</w:t>
      </w:r>
      <w:r w:rsidR="006E3367">
        <w:rPr>
          <w:kern w:val="2"/>
          <w:szCs w:val="20"/>
        </w:rPr>
        <w:t xml:space="preserve"> </w:t>
      </w:r>
      <w:r>
        <w:rPr>
          <w:kern w:val="2"/>
          <w:szCs w:val="20"/>
        </w:rPr>
        <w:t xml:space="preserve">relative thyroid weight and caused microscopic thyroid changes (attenuation of the follicular epithelium; small follicles with foamy cytoplasm) in monkeys. In the pivotal </w:t>
      </w:r>
      <w:r w:rsidR="007A3846">
        <w:rPr>
          <w:kern w:val="2"/>
          <w:szCs w:val="20"/>
        </w:rPr>
        <w:t>nine</w:t>
      </w:r>
      <w:r w:rsidR="006E3367">
        <w:rPr>
          <w:kern w:val="2"/>
          <w:szCs w:val="20"/>
        </w:rPr>
        <w:t xml:space="preserve"> </w:t>
      </w:r>
      <w:r>
        <w:rPr>
          <w:kern w:val="2"/>
          <w:szCs w:val="20"/>
        </w:rPr>
        <w:t>month monkey study, histopathological changes in the thyroid (small follicles) were observed at ≥</w:t>
      </w:r>
      <w:r w:rsidR="007A3846">
        <w:rPr>
          <w:kern w:val="2"/>
          <w:szCs w:val="20"/>
        </w:rPr>
        <w:t xml:space="preserve"> </w:t>
      </w:r>
      <w:r>
        <w:rPr>
          <w:kern w:val="2"/>
          <w:szCs w:val="20"/>
        </w:rPr>
        <w:t xml:space="preserve">1.6 mg/kg/day </w:t>
      </w:r>
      <w:proofErr w:type="spellStart"/>
      <w:r w:rsidR="001D7979">
        <w:rPr>
          <w:kern w:val="2"/>
          <w:szCs w:val="20"/>
        </w:rPr>
        <w:t>sc</w:t>
      </w:r>
      <w:proofErr w:type="spellEnd"/>
      <w:r>
        <w:rPr>
          <w:kern w:val="2"/>
          <w:szCs w:val="20"/>
        </w:rPr>
        <w:t xml:space="preserve"> in males (relative exposure, 47) and at all dose levels in females (≥</w:t>
      </w:r>
      <w:r w:rsidR="007A3846">
        <w:rPr>
          <w:kern w:val="2"/>
          <w:szCs w:val="20"/>
        </w:rPr>
        <w:t xml:space="preserve"> </w:t>
      </w:r>
      <w:r>
        <w:rPr>
          <w:kern w:val="2"/>
          <w:szCs w:val="20"/>
        </w:rPr>
        <w:t>0.4</w:t>
      </w:r>
      <w:r w:rsidR="007A3846">
        <w:rPr>
          <w:kern w:val="2"/>
          <w:szCs w:val="20"/>
        </w:rPr>
        <w:t xml:space="preserve"> </w:t>
      </w:r>
      <w:r>
        <w:rPr>
          <w:kern w:val="2"/>
          <w:szCs w:val="20"/>
        </w:rPr>
        <w:t xml:space="preserve">mg/kg/day </w:t>
      </w:r>
      <w:proofErr w:type="spellStart"/>
      <w:r w:rsidR="001D7979">
        <w:rPr>
          <w:kern w:val="2"/>
          <w:szCs w:val="20"/>
        </w:rPr>
        <w:t>sc</w:t>
      </w:r>
      <w:proofErr w:type="spellEnd"/>
      <w:r>
        <w:rPr>
          <w:kern w:val="2"/>
          <w:szCs w:val="20"/>
        </w:rPr>
        <w:t>; relative exposure, 13). The inhibitory effects on haematopoietic and lymphoid organs and the thyroid observed with pasireotide are considered to be related to the drug’s primary pharmacological action (either directly or indirectly). Somatostatin inhibits TSH (thyroid stimulating hormone) release; binding to somatostatin receptors on lymphocytes, monocytes and haematopoietic precursors leads to inhibition of cell proliferation; and stimulation of erythropoiesis will be reduced with decreased IGF-1.</w:t>
      </w:r>
    </w:p>
    <w:p w14:paraId="590B705B" w14:textId="77777777" w:rsidR="00A564AA" w:rsidRDefault="00A564AA" w:rsidP="00A564AA">
      <w:pPr>
        <w:pStyle w:val="Standard"/>
        <w:rPr>
          <w:kern w:val="2"/>
          <w:szCs w:val="20"/>
        </w:rPr>
      </w:pPr>
      <w:r>
        <w:rPr>
          <w:kern w:val="2"/>
          <w:szCs w:val="20"/>
        </w:rPr>
        <w:t>Prolongation of the oestrus cycle was evident in rats treated at ≥</w:t>
      </w:r>
      <w:r w:rsidR="007A3846">
        <w:rPr>
          <w:kern w:val="2"/>
          <w:szCs w:val="20"/>
        </w:rPr>
        <w:t xml:space="preserve"> </w:t>
      </w:r>
      <w:r>
        <w:rPr>
          <w:kern w:val="2"/>
          <w:szCs w:val="20"/>
        </w:rPr>
        <w:t xml:space="preserve">0.08 mg/kg/day </w:t>
      </w:r>
      <w:proofErr w:type="spellStart"/>
      <w:r w:rsidR="001D7979">
        <w:rPr>
          <w:kern w:val="2"/>
          <w:szCs w:val="20"/>
        </w:rPr>
        <w:t>sc</w:t>
      </w:r>
      <w:proofErr w:type="spellEnd"/>
      <w:r>
        <w:rPr>
          <w:kern w:val="2"/>
          <w:szCs w:val="20"/>
        </w:rPr>
        <w:t xml:space="preserve"> in the pivotal </w:t>
      </w:r>
      <w:r w:rsidR="007A3846">
        <w:rPr>
          <w:kern w:val="2"/>
          <w:szCs w:val="20"/>
        </w:rPr>
        <w:t>six</w:t>
      </w:r>
      <w:r w:rsidR="006E3367">
        <w:rPr>
          <w:kern w:val="2"/>
          <w:szCs w:val="20"/>
        </w:rPr>
        <w:t xml:space="preserve"> </w:t>
      </w:r>
      <w:r>
        <w:rPr>
          <w:kern w:val="2"/>
          <w:szCs w:val="20"/>
        </w:rPr>
        <w:t xml:space="preserve">month study (relative exposure, ≥0.5), together with a decrease in the number of corpora lutea and findings of vaginal mucosal hyperplasia or hypertrophy with </w:t>
      </w:r>
      <w:proofErr w:type="spellStart"/>
      <w:r>
        <w:rPr>
          <w:kern w:val="2"/>
          <w:szCs w:val="20"/>
        </w:rPr>
        <w:t>mucification</w:t>
      </w:r>
      <w:proofErr w:type="spellEnd"/>
      <w:r>
        <w:rPr>
          <w:kern w:val="2"/>
          <w:szCs w:val="20"/>
        </w:rPr>
        <w:t xml:space="preserve">, and, at 0.24 mg/kg/day </w:t>
      </w:r>
      <w:proofErr w:type="spellStart"/>
      <w:r w:rsidR="001D7979">
        <w:rPr>
          <w:kern w:val="2"/>
          <w:szCs w:val="20"/>
        </w:rPr>
        <w:t>sc</w:t>
      </w:r>
      <w:proofErr w:type="spellEnd"/>
      <w:r>
        <w:rPr>
          <w:kern w:val="2"/>
          <w:szCs w:val="20"/>
        </w:rPr>
        <w:t xml:space="preserve">, an increased incidence of (oestrus cycle-related) dilatation of the uterus. Prolongation of the oestrus cycle was also observed in rats treated at 4 mg/kg/day </w:t>
      </w:r>
      <w:proofErr w:type="spellStart"/>
      <w:r w:rsidR="001D7979">
        <w:rPr>
          <w:kern w:val="2"/>
          <w:szCs w:val="20"/>
        </w:rPr>
        <w:t>sc</w:t>
      </w:r>
      <w:proofErr w:type="spellEnd"/>
      <w:r>
        <w:rPr>
          <w:kern w:val="2"/>
          <w:szCs w:val="20"/>
        </w:rPr>
        <w:t xml:space="preserve"> for </w:t>
      </w:r>
      <w:r w:rsidR="007A3846">
        <w:rPr>
          <w:kern w:val="2"/>
          <w:szCs w:val="20"/>
        </w:rPr>
        <w:t>two</w:t>
      </w:r>
      <w:r>
        <w:rPr>
          <w:kern w:val="2"/>
          <w:szCs w:val="20"/>
        </w:rPr>
        <w:t xml:space="preserve"> weeks, and ovarian interstitial cell hyperplasia was seen at 0.8</w:t>
      </w:r>
      <w:r w:rsidR="001D7979">
        <w:rPr>
          <w:kern w:val="2"/>
          <w:szCs w:val="20"/>
        </w:rPr>
        <w:t> </w:t>
      </w:r>
      <w:r>
        <w:rPr>
          <w:kern w:val="2"/>
          <w:szCs w:val="20"/>
        </w:rPr>
        <w:t xml:space="preserve">mg/kg/day </w:t>
      </w:r>
      <w:proofErr w:type="spellStart"/>
      <w:r w:rsidR="001D7979">
        <w:rPr>
          <w:kern w:val="2"/>
          <w:szCs w:val="20"/>
        </w:rPr>
        <w:t>sc</w:t>
      </w:r>
      <w:proofErr w:type="spellEnd"/>
      <w:r>
        <w:rPr>
          <w:kern w:val="2"/>
          <w:szCs w:val="20"/>
        </w:rPr>
        <w:t xml:space="preserve"> in rats treated for 4 weeks. The corpora lutea of mice treated at ≥</w:t>
      </w:r>
      <w:r w:rsidR="008E387B">
        <w:rPr>
          <w:kern w:val="2"/>
          <w:szCs w:val="20"/>
        </w:rPr>
        <w:t> </w:t>
      </w:r>
      <w:r>
        <w:rPr>
          <w:kern w:val="2"/>
          <w:szCs w:val="20"/>
        </w:rPr>
        <w:t>20</w:t>
      </w:r>
      <w:r w:rsidR="001D7979">
        <w:rPr>
          <w:kern w:val="2"/>
          <w:szCs w:val="20"/>
        </w:rPr>
        <w:t> </w:t>
      </w:r>
      <w:r>
        <w:rPr>
          <w:kern w:val="2"/>
          <w:szCs w:val="20"/>
        </w:rPr>
        <w:t xml:space="preserve">mg/kg/day </w:t>
      </w:r>
      <w:proofErr w:type="spellStart"/>
      <w:r w:rsidR="001D7979">
        <w:rPr>
          <w:kern w:val="2"/>
          <w:szCs w:val="20"/>
        </w:rPr>
        <w:t>sc</w:t>
      </w:r>
      <w:proofErr w:type="spellEnd"/>
      <w:r>
        <w:rPr>
          <w:kern w:val="2"/>
          <w:szCs w:val="20"/>
        </w:rPr>
        <w:t xml:space="preserve"> for 4 weeks (relative exposure, ≥</w:t>
      </w:r>
      <w:r w:rsidR="007A3846">
        <w:rPr>
          <w:kern w:val="2"/>
          <w:szCs w:val="20"/>
        </w:rPr>
        <w:t xml:space="preserve"> </w:t>
      </w:r>
      <w:r>
        <w:rPr>
          <w:kern w:val="2"/>
          <w:szCs w:val="20"/>
        </w:rPr>
        <w:t>125) were decreased in size and number, accompanied by uterine atrophy. No effects on oestrus cycling or on female reproductive tract tissues were observed in monkeys (relative exposure, ≤</w:t>
      </w:r>
      <w:r w:rsidR="007A3846">
        <w:rPr>
          <w:kern w:val="2"/>
          <w:szCs w:val="20"/>
        </w:rPr>
        <w:t xml:space="preserve"> </w:t>
      </w:r>
      <w:r>
        <w:rPr>
          <w:kern w:val="2"/>
          <w:szCs w:val="20"/>
        </w:rPr>
        <w:t xml:space="preserve">99 in the pivotal </w:t>
      </w:r>
      <w:r w:rsidR="007A3846">
        <w:rPr>
          <w:kern w:val="2"/>
          <w:szCs w:val="20"/>
        </w:rPr>
        <w:lastRenderedPageBreak/>
        <w:t>nine</w:t>
      </w:r>
      <w:r w:rsidR="006E3367">
        <w:rPr>
          <w:kern w:val="2"/>
          <w:szCs w:val="20"/>
        </w:rPr>
        <w:t xml:space="preserve"> </w:t>
      </w:r>
      <w:r>
        <w:rPr>
          <w:kern w:val="2"/>
          <w:szCs w:val="20"/>
        </w:rPr>
        <w:t>month study). The effects in rodents are considered to reflect the pharmacological reduction in serum IGF</w:t>
      </w:r>
      <w:r>
        <w:rPr>
          <w:kern w:val="2"/>
          <w:szCs w:val="20"/>
        </w:rPr>
        <w:noBreakHyphen/>
        <w:t>1 levels.</w:t>
      </w:r>
    </w:p>
    <w:p w14:paraId="26E24BC5" w14:textId="77777777" w:rsidR="00A564AA" w:rsidRDefault="00A564AA" w:rsidP="00A564AA">
      <w:pPr>
        <w:pStyle w:val="Standard"/>
        <w:rPr>
          <w:kern w:val="2"/>
          <w:szCs w:val="20"/>
        </w:rPr>
      </w:pPr>
      <w:r>
        <w:rPr>
          <w:kern w:val="2"/>
          <w:szCs w:val="20"/>
        </w:rPr>
        <w:t xml:space="preserve">Reddening of the ears, feet and tail and swelling of the muzzle, ears and feet were observed in </w:t>
      </w:r>
      <w:r w:rsidR="007A3846">
        <w:rPr>
          <w:kern w:val="2"/>
          <w:szCs w:val="20"/>
        </w:rPr>
        <w:t>two</w:t>
      </w:r>
      <w:r>
        <w:rPr>
          <w:kern w:val="2"/>
          <w:szCs w:val="20"/>
        </w:rPr>
        <w:t xml:space="preserve"> and </w:t>
      </w:r>
      <w:r w:rsidR="007A3846">
        <w:rPr>
          <w:kern w:val="2"/>
          <w:szCs w:val="20"/>
        </w:rPr>
        <w:t>four</w:t>
      </w:r>
      <w:r w:rsidR="006E3367">
        <w:rPr>
          <w:kern w:val="2"/>
          <w:szCs w:val="20"/>
        </w:rPr>
        <w:t xml:space="preserve"> </w:t>
      </w:r>
      <w:r w:rsidR="001D7979">
        <w:rPr>
          <w:kern w:val="2"/>
          <w:szCs w:val="20"/>
        </w:rPr>
        <w:t xml:space="preserve">week </w:t>
      </w:r>
      <w:proofErr w:type="spellStart"/>
      <w:r w:rsidR="001D7979">
        <w:rPr>
          <w:kern w:val="2"/>
          <w:szCs w:val="20"/>
        </w:rPr>
        <w:t>sc</w:t>
      </w:r>
      <w:proofErr w:type="spellEnd"/>
      <w:r w:rsidR="001D7979">
        <w:rPr>
          <w:kern w:val="2"/>
          <w:szCs w:val="20"/>
        </w:rPr>
        <w:t xml:space="preserve"> </w:t>
      </w:r>
      <w:r>
        <w:rPr>
          <w:kern w:val="2"/>
          <w:szCs w:val="20"/>
        </w:rPr>
        <w:t xml:space="preserve">studies in rats, but not in the pivotal rat study. There were no similar findings in </w:t>
      </w:r>
      <w:proofErr w:type="spellStart"/>
      <w:r w:rsidR="001D7979">
        <w:rPr>
          <w:kern w:val="2"/>
          <w:szCs w:val="20"/>
        </w:rPr>
        <w:t>sc</w:t>
      </w:r>
      <w:proofErr w:type="spellEnd"/>
      <w:r>
        <w:rPr>
          <w:kern w:val="2"/>
          <w:szCs w:val="20"/>
        </w:rPr>
        <w:t xml:space="preserve"> studies in monkeys (relative exposure, ≤</w:t>
      </w:r>
      <w:r w:rsidR="007A3846">
        <w:rPr>
          <w:kern w:val="2"/>
          <w:szCs w:val="20"/>
        </w:rPr>
        <w:t xml:space="preserve"> </w:t>
      </w:r>
      <w:r>
        <w:rPr>
          <w:kern w:val="2"/>
          <w:szCs w:val="20"/>
        </w:rPr>
        <w:t>99 based on AUC</w:t>
      </w:r>
      <w:r w:rsidR="007A3846">
        <w:rPr>
          <w:kern w:val="2"/>
          <w:szCs w:val="20"/>
        </w:rPr>
        <w:t xml:space="preserve"> </w:t>
      </w:r>
      <w:r>
        <w:rPr>
          <w:kern w:val="2"/>
          <w:szCs w:val="20"/>
        </w:rPr>
        <w:t>—</w:t>
      </w:r>
      <w:r w:rsidR="007A3846">
        <w:rPr>
          <w:kern w:val="2"/>
          <w:szCs w:val="20"/>
        </w:rPr>
        <w:t xml:space="preserve"> </w:t>
      </w:r>
      <w:r>
        <w:rPr>
          <w:kern w:val="2"/>
          <w:szCs w:val="20"/>
        </w:rPr>
        <w:t xml:space="preserve">and even higher based on </w:t>
      </w:r>
      <w:proofErr w:type="spellStart"/>
      <w:r w:rsidRPr="00B57DDD">
        <w:rPr>
          <w:kern w:val="2"/>
          <w:szCs w:val="20"/>
        </w:rPr>
        <w:t>C</w:t>
      </w:r>
      <w:r w:rsidRPr="00B57DDD">
        <w:rPr>
          <w:kern w:val="2"/>
          <w:szCs w:val="20"/>
          <w:vertAlign w:val="subscript"/>
        </w:rPr>
        <w:t>max</w:t>
      </w:r>
      <w:proofErr w:type="spellEnd"/>
      <w:r w:rsidR="007A3846">
        <w:rPr>
          <w:kern w:val="2"/>
          <w:szCs w:val="20"/>
          <w:vertAlign w:val="subscript"/>
        </w:rPr>
        <w:t xml:space="preserve"> </w:t>
      </w:r>
      <w:r>
        <w:rPr>
          <w:kern w:val="2"/>
          <w:szCs w:val="20"/>
        </w:rPr>
        <w:t>—</w:t>
      </w:r>
      <w:r w:rsidRPr="00B57DDD">
        <w:rPr>
          <w:kern w:val="2"/>
          <w:szCs w:val="20"/>
        </w:rPr>
        <w:t xml:space="preserve"> </w:t>
      </w:r>
      <w:r>
        <w:rPr>
          <w:kern w:val="2"/>
          <w:szCs w:val="20"/>
        </w:rPr>
        <w:t>in the pivotal study), although redness of the face and other body areas and swelling of eyelids were seen in monkeys treated</w:t>
      </w:r>
      <w:r w:rsidR="008E387B">
        <w:rPr>
          <w:kern w:val="2"/>
          <w:szCs w:val="20"/>
        </w:rPr>
        <w:t xml:space="preserve"> IV</w:t>
      </w:r>
      <w:r>
        <w:rPr>
          <w:kern w:val="2"/>
          <w:szCs w:val="20"/>
        </w:rPr>
        <w:t>. The oedema and hyperaemia is consistent with the known vasodilator activity of somatostatin (mediated by release of nitric oxide from endothelial cells).</w:t>
      </w:r>
    </w:p>
    <w:p w14:paraId="52818FF2" w14:textId="77777777" w:rsidR="00A564AA" w:rsidRDefault="00A564AA" w:rsidP="00A564AA">
      <w:pPr>
        <w:pStyle w:val="Standard"/>
        <w:rPr>
          <w:kern w:val="2"/>
          <w:szCs w:val="20"/>
        </w:rPr>
      </w:pPr>
      <w:r>
        <w:rPr>
          <w:kern w:val="2"/>
          <w:szCs w:val="20"/>
        </w:rPr>
        <w:t xml:space="preserve">Locally, </w:t>
      </w:r>
      <w:proofErr w:type="spellStart"/>
      <w:r w:rsidR="00E11425">
        <w:rPr>
          <w:kern w:val="2"/>
          <w:szCs w:val="20"/>
        </w:rPr>
        <w:t>sc</w:t>
      </w:r>
      <w:proofErr w:type="spellEnd"/>
      <w:r w:rsidR="00E11425">
        <w:rPr>
          <w:kern w:val="2"/>
          <w:szCs w:val="20"/>
        </w:rPr>
        <w:t xml:space="preserve"> </w:t>
      </w:r>
      <w:r>
        <w:rPr>
          <w:kern w:val="2"/>
          <w:szCs w:val="20"/>
        </w:rPr>
        <w:t xml:space="preserve">injection of </w:t>
      </w:r>
      <w:proofErr w:type="spellStart"/>
      <w:r>
        <w:rPr>
          <w:kern w:val="2"/>
          <w:szCs w:val="20"/>
        </w:rPr>
        <w:t>pasireotide</w:t>
      </w:r>
      <w:proofErr w:type="spellEnd"/>
      <w:r>
        <w:rPr>
          <w:kern w:val="2"/>
          <w:szCs w:val="20"/>
        </w:rPr>
        <w:t xml:space="preserve"> caused irritation and degeneration of the adjacent skeletal muscle, but was overall fairly well tolerated in the laboratory animal species. The highest strengths of pasireotide tested in rats and monkeys were 4.4 and 14</w:t>
      </w:r>
      <w:r w:rsidR="006E3367">
        <w:rPr>
          <w:kern w:val="2"/>
          <w:szCs w:val="20"/>
        </w:rPr>
        <w:t xml:space="preserve"> </w:t>
      </w:r>
      <w:r>
        <w:rPr>
          <w:kern w:val="2"/>
          <w:szCs w:val="20"/>
        </w:rPr>
        <w:t xml:space="preserve">times higher than the maximum proposed clinical strength (900 </w:t>
      </w:r>
      <w:proofErr w:type="spellStart"/>
      <w:r>
        <w:rPr>
          <w:kern w:val="2"/>
          <w:szCs w:val="20"/>
        </w:rPr>
        <w:t>μg</w:t>
      </w:r>
      <w:proofErr w:type="spellEnd"/>
      <w:r>
        <w:rPr>
          <w:kern w:val="2"/>
          <w:szCs w:val="20"/>
        </w:rPr>
        <w:t>/mL).</w:t>
      </w:r>
    </w:p>
    <w:p w14:paraId="4F7C066A" w14:textId="77777777" w:rsidR="00A564AA" w:rsidRPr="001258AE" w:rsidRDefault="00A564AA" w:rsidP="001C58EF">
      <w:pPr>
        <w:pStyle w:val="Heading4"/>
      </w:pPr>
      <w:bookmarkStart w:id="54" w:name="_Toc294861729"/>
      <w:r w:rsidRPr="001258AE">
        <w:t>Genotoxicity</w:t>
      </w:r>
      <w:bookmarkEnd w:id="54"/>
    </w:p>
    <w:p w14:paraId="640EDFA1" w14:textId="77777777" w:rsidR="00A564AA" w:rsidRPr="001C58EF" w:rsidRDefault="00A564AA" w:rsidP="001C58EF">
      <w:r w:rsidRPr="001C58EF">
        <w:t xml:space="preserve">The potential genotoxicity of </w:t>
      </w:r>
      <w:proofErr w:type="spellStart"/>
      <w:r w:rsidRPr="001C58EF">
        <w:t>pasireotide</w:t>
      </w:r>
      <w:proofErr w:type="spellEnd"/>
      <w:r w:rsidRPr="001C58EF">
        <w:t xml:space="preserve"> was investigated in the standard battery of tests</w:t>
      </w:r>
      <w:r w:rsidR="008E387B">
        <w:t>;</w:t>
      </w:r>
      <w:r w:rsidR="001C58EF">
        <w:t xml:space="preserve"> </w:t>
      </w:r>
      <w:r w:rsidRPr="001C58EF">
        <w:t xml:space="preserve">a bacterial reverse mutation assay, an </w:t>
      </w:r>
      <w:r w:rsidR="004939E4" w:rsidRPr="00A338C4">
        <w:t>in vitro</w:t>
      </w:r>
      <w:r w:rsidR="001C58EF">
        <w:t xml:space="preserve"> </w:t>
      </w:r>
      <w:r w:rsidRPr="001C58EF">
        <w:t xml:space="preserve">chromosomal aberration assay in human lymphocytes, and a rat bone marrow micronucleus assay. The conduct of the studies was in accordance with ICH guidelines. Concentrations/doses were appropriate (limited by cytotoxicity, mitotic suppression and/or solubility </w:t>
      </w:r>
      <w:r w:rsidR="004939E4" w:rsidRPr="00A338C4">
        <w:t>in vitro</w:t>
      </w:r>
      <w:r w:rsidRPr="001C58EF">
        <w:t xml:space="preserve"> and producing bone marrow suppression at the high-dose level used </w:t>
      </w:r>
      <w:r w:rsidRPr="00A338C4">
        <w:t>in</w:t>
      </w:r>
      <w:r w:rsidR="006E3367" w:rsidRPr="00A338C4">
        <w:t xml:space="preserve"> </w:t>
      </w:r>
      <w:r w:rsidRPr="00A338C4">
        <w:t>vivo</w:t>
      </w:r>
      <w:r w:rsidRPr="001C58EF">
        <w:t xml:space="preserve">), a suitable set of </w:t>
      </w:r>
      <w:r w:rsidRPr="001C58EF">
        <w:rPr>
          <w:i/>
        </w:rPr>
        <w:t>S. typhimurium</w:t>
      </w:r>
      <w:r w:rsidRPr="001C58EF">
        <w:t xml:space="preserve"> strains was used in the bacterial mutagenicity assay, and the assays were appropriately validated. All assays returned negative results.</w:t>
      </w:r>
    </w:p>
    <w:p w14:paraId="29A61C80" w14:textId="77777777" w:rsidR="00A564AA" w:rsidRPr="001C58EF" w:rsidRDefault="00A564AA" w:rsidP="001C58EF">
      <w:pPr>
        <w:pStyle w:val="Heading4"/>
      </w:pPr>
      <w:bookmarkStart w:id="55" w:name="_Toc294861730"/>
      <w:r w:rsidRPr="001C58EF">
        <w:t>Carcinogenicity</w:t>
      </w:r>
      <w:bookmarkEnd w:id="55"/>
    </w:p>
    <w:p w14:paraId="64A01B63" w14:textId="77777777" w:rsidR="00A564AA" w:rsidRPr="001C58EF" w:rsidRDefault="00A564AA" w:rsidP="001C58EF">
      <w:r w:rsidRPr="001C58EF">
        <w:t xml:space="preserve">The carcinogenic potential of </w:t>
      </w:r>
      <w:proofErr w:type="spellStart"/>
      <w:r w:rsidRPr="001C58EF">
        <w:t>pasireotide</w:t>
      </w:r>
      <w:proofErr w:type="spellEnd"/>
      <w:r w:rsidRPr="001C58EF">
        <w:t xml:space="preserve"> by the </w:t>
      </w:r>
      <w:proofErr w:type="spellStart"/>
      <w:r w:rsidR="00E11425">
        <w:t>sc</w:t>
      </w:r>
      <w:proofErr w:type="spellEnd"/>
      <w:r w:rsidR="001C58EF">
        <w:t xml:space="preserve"> route was investigated in a </w:t>
      </w:r>
      <w:proofErr w:type="gramStart"/>
      <w:r w:rsidR="001C58EF">
        <w:t>six</w:t>
      </w:r>
      <w:r w:rsidR="006E3367">
        <w:t xml:space="preserve"> </w:t>
      </w:r>
      <w:r w:rsidRPr="001C58EF">
        <w:t>month</w:t>
      </w:r>
      <w:proofErr w:type="gramEnd"/>
      <w:r w:rsidRPr="001C58EF">
        <w:t xml:space="preserve"> study in transgenic mice (</w:t>
      </w:r>
      <w:proofErr w:type="spellStart"/>
      <w:r w:rsidRPr="001C58EF">
        <w:t>Tg</w:t>
      </w:r>
      <w:proofErr w:type="spellEnd"/>
      <w:r w:rsidRPr="001C58EF">
        <w:t xml:space="preserve"> rasH2) and a </w:t>
      </w:r>
      <w:r w:rsidR="001C58EF">
        <w:t>two</w:t>
      </w:r>
      <w:r w:rsidR="006E3367">
        <w:t xml:space="preserve"> </w:t>
      </w:r>
      <w:r w:rsidRPr="001C58EF">
        <w:t xml:space="preserve">year study in rats. Group sizes were appropriate and suitable dose levels were selected, with substantial inhibition of </w:t>
      </w:r>
      <w:r w:rsidR="001C58EF">
        <w:t>BW</w:t>
      </w:r>
      <w:r w:rsidRPr="001C58EF">
        <w:t xml:space="preserve"> gain observed in male and female mice and male rats at all doses, as well as at the high-dose level in female rats. The inhibition of </w:t>
      </w:r>
      <w:r w:rsidR="001C58EF">
        <w:t>BW</w:t>
      </w:r>
      <w:r w:rsidRPr="001C58EF">
        <w:t xml:space="preserve"> gain exceeded 10% (a level commonly used to define the maximum tolerated dose), but survival was not affected. Dosing was once per day (</w:t>
      </w:r>
      <w:r w:rsidR="001C58EF">
        <w:t xml:space="preserve">compared with </w:t>
      </w:r>
      <w:r w:rsidRPr="001C58EF">
        <w:t>twice daily in patients), but this is not considered to impact the validity of the studies.</w:t>
      </w:r>
    </w:p>
    <w:p w14:paraId="6D478A57" w14:textId="77777777" w:rsidR="00A564AA" w:rsidRPr="001C58EF" w:rsidRDefault="00A564AA" w:rsidP="001C58EF">
      <w:r w:rsidRPr="001C58EF">
        <w:t>No treatment-related increase in tumour incidence was observed in transgenic mice (≤</w:t>
      </w:r>
      <w:r w:rsidR="00E27E5F">
        <w:t> </w:t>
      </w:r>
      <w:r w:rsidRPr="001C58EF">
        <w:t>2.5</w:t>
      </w:r>
      <w:r w:rsidR="00E27E5F">
        <w:t> </w:t>
      </w:r>
      <w:r w:rsidRPr="001C58EF">
        <w:t>mg/kg/day; estimated relative exposure based on plasma AUC, 13 in males and 10 in females). In rats, treatment at the high-dose level of 0.3</w:t>
      </w:r>
      <w:r w:rsidR="001C58EF">
        <w:t xml:space="preserve"> </w:t>
      </w:r>
      <w:r w:rsidRPr="001C58EF">
        <w:t xml:space="preserve">mg/kg/day was associated with the development of injection site fibromas (observed in </w:t>
      </w:r>
      <w:r w:rsidR="001C58EF">
        <w:t xml:space="preserve">three of </w:t>
      </w:r>
      <w:r w:rsidRPr="001C58EF">
        <w:t xml:space="preserve">50 animals). Female rats showed no injection site fibromas, and no treatment-related increase in systemic tumours was observed in either sex (relative exposure based on AUC, 14 in males and </w:t>
      </w:r>
      <w:r w:rsidR="001C58EF">
        <w:t>seven</w:t>
      </w:r>
      <w:r w:rsidRPr="001C58EF">
        <w:t xml:space="preserve"> in females). The development of injection site tumours is consistent with a response to continuous irritation/inflammation at the repeatedly injected site, and the dose at which they occurred is more than 16</w:t>
      </w:r>
      <w:r w:rsidR="001C58EF">
        <w:t xml:space="preserve"> </w:t>
      </w:r>
      <w:r w:rsidRPr="001C58EF">
        <w:t xml:space="preserve">times the clinical dose (on a mg/kg basis). Similar findings have been observed in rodents with </w:t>
      </w:r>
      <w:proofErr w:type="spellStart"/>
      <w:r w:rsidRPr="001C58EF">
        <w:t>lanreotide</w:t>
      </w:r>
      <w:proofErr w:type="spellEnd"/>
      <w:r w:rsidRPr="001C58EF">
        <w:t xml:space="preserve"> and octreotide, and they are not considered to indicate a carcinogenic potential in humans. In addition, the draft Product Information </w:t>
      </w:r>
      <w:r w:rsidR="001C58EF">
        <w:t xml:space="preserve">(PI) </w:t>
      </w:r>
      <w:r w:rsidRPr="001C58EF">
        <w:t>document contains a recommendation to avoid administration at previous injection sites that show signs of inflammation or irritation.</w:t>
      </w:r>
    </w:p>
    <w:p w14:paraId="6C932297" w14:textId="77777777" w:rsidR="00A564AA" w:rsidRPr="001258AE" w:rsidRDefault="00A564AA" w:rsidP="001C58EF">
      <w:pPr>
        <w:pStyle w:val="Heading4"/>
      </w:pPr>
      <w:r>
        <w:lastRenderedPageBreak/>
        <w:t>Reproductive toxicity</w:t>
      </w:r>
    </w:p>
    <w:p w14:paraId="63A2E5C7" w14:textId="77777777" w:rsidR="00A564AA" w:rsidRPr="001C58EF" w:rsidRDefault="00A564AA" w:rsidP="001C58EF">
      <w:r w:rsidRPr="001C58EF">
        <w:t>Reproductive toxicity studies submitted by the sponsor covered all stages (fertility, early embryonic development, embryofetal development, and pre</w:t>
      </w:r>
      <w:r w:rsidR="006E3367">
        <w:t xml:space="preserve"> </w:t>
      </w:r>
      <w:r w:rsidRPr="001C58EF">
        <w:t xml:space="preserve">and post-natal development). Numbers of animals and the timing/duration of treatment were appropriate. Administration was by the </w:t>
      </w:r>
      <w:proofErr w:type="spellStart"/>
      <w:r w:rsidR="00E11425">
        <w:t>sc</w:t>
      </w:r>
      <w:proofErr w:type="spellEnd"/>
      <w:r w:rsidRPr="001C58EF">
        <w:t xml:space="preserve"> route. An </w:t>
      </w:r>
      <w:r w:rsidR="004939E4" w:rsidRPr="00A338C4">
        <w:t>in vitro</w:t>
      </w:r>
      <w:r w:rsidRPr="001C58EF">
        <w:t xml:space="preserve"> study using rat whole embryo cultures was also submitted.</w:t>
      </w:r>
    </w:p>
    <w:p w14:paraId="7B55E4EC" w14:textId="77777777" w:rsidR="00A564AA" w:rsidRPr="007347EA" w:rsidRDefault="00A564AA" w:rsidP="00A564AA">
      <w:pPr>
        <w:pStyle w:val="WhiteSpace"/>
        <w:rPr>
          <w:kern w:val="2"/>
          <w:sz w:val="4"/>
          <w:szCs w:val="4"/>
        </w:rPr>
      </w:pPr>
    </w:p>
    <w:p w14:paraId="293C2593" w14:textId="77777777" w:rsidR="00A564AA" w:rsidRPr="00DE7CDB" w:rsidRDefault="005E41F4" w:rsidP="005E41F4">
      <w:pPr>
        <w:pStyle w:val="TableTitle"/>
        <w:keepLines/>
      </w:pPr>
      <w:bookmarkStart w:id="56" w:name="RErepro"/>
      <w:bookmarkEnd w:id="56"/>
      <w:r>
        <w:t xml:space="preserve">Table </w:t>
      </w:r>
      <w:r w:rsidR="00A60283">
        <w:t>4</w:t>
      </w:r>
      <w:r>
        <w:t>: Relative exposure</w:t>
      </w:r>
    </w:p>
    <w:tbl>
      <w:tblPr>
        <w:tblStyle w:val="TableTGAblue"/>
        <w:tblW w:w="8625" w:type="dxa"/>
        <w:tblLayout w:type="fixed"/>
        <w:tblLook w:val="01E0" w:firstRow="1" w:lastRow="1" w:firstColumn="1" w:lastColumn="1" w:noHBand="0" w:noVBand="0"/>
      </w:tblPr>
      <w:tblGrid>
        <w:gridCol w:w="1255"/>
        <w:gridCol w:w="1656"/>
        <w:gridCol w:w="883"/>
        <w:gridCol w:w="992"/>
        <w:gridCol w:w="1418"/>
        <w:gridCol w:w="1275"/>
        <w:gridCol w:w="1146"/>
      </w:tblGrid>
      <w:tr w:rsidR="001C58EF" w:rsidRPr="00921F44" w14:paraId="09639517" w14:textId="77777777" w:rsidTr="001C58EF">
        <w:trPr>
          <w:cnfStyle w:val="100000000000" w:firstRow="1" w:lastRow="0" w:firstColumn="0" w:lastColumn="0" w:oddVBand="0" w:evenVBand="0" w:oddHBand="0" w:evenHBand="0" w:firstRowFirstColumn="0" w:firstRowLastColumn="0" w:lastRowFirstColumn="0" w:lastRowLastColumn="0"/>
          <w:trHeight w:val="264"/>
        </w:trPr>
        <w:tc>
          <w:tcPr>
            <w:tcW w:w="1255" w:type="dxa"/>
            <w:vMerge w:val="restart"/>
          </w:tcPr>
          <w:p w14:paraId="037A4B5A" w14:textId="77777777" w:rsidR="00A564AA" w:rsidRPr="001C58EF" w:rsidRDefault="00A564AA" w:rsidP="005E41F4">
            <w:pPr>
              <w:keepLines/>
              <w:spacing w:line="200" w:lineRule="exact"/>
              <w:ind w:left="0" w:right="0"/>
              <w:jc w:val="center"/>
              <w:rPr>
                <w:kern w:val="2"/>
                <w:sz w:val="19"/>
                <w:szCs w:val="19"/>
              </w:rPr>
            </w:pPr>
            <w:r w:rsidRPr="001C58EF">
              <w:rPr>
                <w:kern w:val="2"/>
                <w:sz w:val="19"/>
                <w:szCs w:val="19"/>
              </w:rPr>
              <w:t>Species</w:t>
            </w:r>
          </w:p>
        </w:tc>
        <w:tc>
          <w:tcPr>
            <w:tcW w:w="1656" w:type="dxa"/>
            <w:vMerge w:val="restart"/>
          </w:tcPr>
          <w:p w14:paraId="05A97219" w14:textId="77777777" w:rsidR="00A564AA" w:rsidRPr="001C58EF" w:rsidRDefault="00A564AA" w:rsidP="005E41F4">
            <w:pPr>
              <w:keepLines/>
              <w:spacing w:line="200" w:lineRule="exact"/>
              <w:ind w:left="0" w:right="0"/>
              <w:jc w:val="center"/>
              <w:rPr>
                <w:kern w:val="2"/>
                <w:sz w:val="19"/>
                <w:szCs w:val="19"/>
              </w:rPr>
            </w:pPr>
            <w:r w:rsidRPr="001C58EF">
              <w:rPr>
                <w:kern w:val="2"/>
                <w:sz w:val="19"/>
                <w:szCs w:val="19"/>
              </w:rPr>
              <w:t>Study</w:t>
            </w:r>
          </w:p>
        </w:tc>
        <w:tc>
          <w:tcPr>
            <w:tcW w:w="1875" w:type="dxa"/>
            <w:gridSpan w:val="2"/>
          </w:tcPr>
          <w:p w14:paraId="508AD79D" w14:textId="77777777" w:rsidR="00A564AA" w:rsidRPr="001C58EF" w:rsidRDefault="00A564AA" w:rsidP="00E11425">
            <w:pPr>
              <w:keepLines/>
              <w:spacing w:line="200" w:lineRule="exact"/>
              <w:ind w:left="0" w:right="0"/>
              <w:jc w:val="center"/>
              <w:rPr>
                <w:kern w:val="2"/>
                <w:sz w:val="19"/>
                <w:szCs w:val="19"/>
              </w:rPr>
            </w:pPr>
            <w:r w:rsidRPr="001C58EF">
              <w:rPr>
                <w:kern w:val="2"/>
                <w:sz w:val="19"/>
                <w:szCs w:val="19"/>
              </w:rPr>
              <w:t xml:space="preserve">Dose; </w:t>
            </w:r>
            <w:proofErr w:type="spellStart"/>
            <w:r w:rsidR="00E11425">
              <w:rPr>
                <w:kern w:val="2"/>
                <w:sz w:val="19"/>
                <w:szCs w:val="19"/>
              </w:rPr>
              <w:t>sc</w:t>
            </w:r>
            <w:proofErr w:type="spellEnd"/>
          </w:p>
        </w:tc>
        <w:tc>
          <w:tcPr>
            <w:tcW w:w="1418" w:type="dxa"/>
            <w:vMerge w:val="restart"/>
          </w:tcPr>
          <w:p w14:paraId="797E7427" w14:textId="77777777" w:rsidR="00A564AA" w:rsidRPr="001C58EF" w:rsidRDefault="00A564AA" w:rsidP="005E41F4">
            <w:pPr>
              <w:keepLines/>
              <w:spacing w:line="200" w:lineRule="exact"/>
              <w:ind w:left="0" w:right="0"/>
              <w:jc w:val="center"/>
              <w:rPr>
                <w:kern w:val="2"/>
                <w:sz w:val="19"/>
                <w:szCs w:val="19"/>
              </w:rPr>
            </w:pPr>
            <w:r w:rsidRPr="001C58EF">
              <w:rPr>
                <w:kern w:val="2"/>
                <w:sz w:val="19"/>
                <w:szCs w:val="19"/>
              </w:rPr>
              <w:t>AUC</w:t>
            </w:r>
            <w:r w:rsidRPr="001C58EF">
              <w:rPr>
                <w:kern w:val="2"/>
                <w:sz w:val="19"/>
                <w:szCs w:val="19"/>
                <w:vertAlign w:val="subscript"/>
              </w:rPr>
              <w:t>0–24</w:t>
            </w:r>
            <w:r w:rsidRPr="001C58EF">
              <w:rPr>
                <w:w w:val="50"/>
                <w:kern w:val="2"/>
                <w:sz w:val="19"/>
                <w:szCs w:val="19"/>
                <w:vertAlign w:val="subscript"/>
              </w:rPr>
              <w:t> </w:t>
            </w:r>
            <w:r w:rsidRPr="001C58EF">
              <w:rPr>
                <w:kern w:val="2"/>
                <w:sz w:val="19"/>
                <w:szCs w:val="19"/>
                <w:vertAlign w:val="subscript"/>
              </w:rPr>
              <w:t>h</w:t>
            </w:r>
            <w:r w:rsidRPr="001C58EF">
              <w:rPr>
                <w:kern w:val="2"/>
                <w:sz w:val="19"/>
                <w:szCs w:val="19"/>
              </w:rPr>
              <w:br/>
              <w:t>(</w:t>
            </w:r>
            <w:proofErr w:type="spellStart"/>
            <w:r w:rsidRPr="001C58EF">
              <w:rPr>
                <w:kern w:val="2"/>
                <w:sz w:val="19"/>
                <w:szCs w:val="19"/>
              </w:rPr>
              <w:t>ng∙h</w:t>
            </w:r>
            <w:proofErr w:type="spellEnd"/>
            <w:r w:rsidRPr="001C58EF">
              <w:rPr>
                <w:kern w:val="2"/>
                <w:sz w:val="19"/>
                <w:szCs w:val="19"/>
              </w:rPr>
              <w:t>/mL)</w:t>
            </w:r>
          </w:p>
        </w:tc>
        <w:tc>
          <w:tcPr>
            <w:tcW w:w="2421" w:type="dxa"/>
            <w:gridSpan w:val="2"/>
          </w:tcPr>
          <w:p w14:paraId="033AFF5F" w14:textId="77777777" w:rsidR="00A564AA" w:rsidRPr="001C58EF" w:rsidRDefault="00A564AA" w:rsidP="005E41F4">
            <w:pPr>
              <w:keepLines/>
              <w:spacing w:line="200" w:lineRule="exact"/>
              <w:ind w:left="0" w:right="0"/>
              <w:jc w:val="center"/>
              <w:rPr>
                <w:kern w:val="2"/>
                <w:sz w:val="19"/>
                <w:szCs w:val="19"/>
              </w:rPr>
            </w:pPr>
            <w:r w:rsidRPr="001C58EF">
              <w:rPr>
                <w:kern w:val="2"/>
                <w:sz w:val="19"/>
                <w:szCs w:val="19"/>
              </w:rPr>
              <w:t>Exposure ratio</w:t>
            </w:r>
            <w:r w:rsidRPr="001C58EF">
              <w:rPr>
                <w:vertAlign w:val="superscript"/>
              </w:rPr>
              <w:t>#</w:t>
            </w:r>
          </w:p>
        </w:tc>
      </w:tr>
      <w:tr w:rsidR="001C58EF" w:rsidRPr="00921F44" w14:paraId="10274E30" w14:textId="77777777" w:rsidTr="001C58EF">
        <w:trPr>
          <w:trHeight w:val="263"/>
        </w:trPr>
        <w:tc>
          <w:tcPr>
            <w:tcW w:w="1255" w:type="dxa"/>
            <w:vMerge/>
          </w:tcPr>
          <w:p w14:paraId="4C5B41F6" w14:textId="77777777" w:rsidR="00A564AA" w:rsidRDefault="00A564AA" w:rsidP="005E41F4">
            <w:pPr>
              <w:keepNext/>
              <w:keepLines/>
              <w:spacing w:line="200" w:lineRule="exact"/>
              <w:ind w:left="0" w:right="0"/>
              <w:jc w:val="center"/>
              <w:rPr>
                <w:b/>
                <w:kern w:val="2"/>
                <w:sz w:val="19"/>
                <w:szCs w:val="19"/>
              </w:rPr>
            </w:pPr>
          </w:p>
        </w:tc>
        <w:tc>
          <w:tcPr>
            <w:tcW w:w="1656" w:type="dxa"/>
            <w:vMerge/>
          </w:tcPr>
          <w:p w14:paraId="63FE6A73" w14:textId="77777777" w:rsidR="00A564AA" w:rsidRDefault="00A564AA" w:rsidP="005E41F4">
            <w:pPr>
              <w:keepNext/>
              <w:keepLines/>
              <w:spacing w:line="200" w:lineRule="exact"/>
              <w:ind w:left="0" w:right="0"/>
              <w:jc w:val="center"/>
              <w:rPr>
                <w:b/>
                <w:kern w:val="2"/>
                <w:sz w:val="19"/>
                <w:szCs w:val="19"/>
              </w:rPr>
            </w:pPr>
          </w:p>
        </w:tc>
        <w:tc>
          <w:tcPr>
            <w:tcW w:w="883" w:type="dxa"/>
          </w:tcPr>
          <w:p w14:paraId="3246A481" w14:textId="77777777" w:rsidR="00A564AA" w:rsidRDefault="00A564AA" w:rsidP="005E41F4">
            <w:pPr>
              <w:keepNext/>
              <w:keepLines/>
              <w:spacing w:line="200" w:lineRule="exact"/>
              <w:ind w:left="0" w:right="0"/>
              <w:jc w:val="center"/>
              <w:rPr>
                <w:b/>
                <w:kern w:val="2"/>
                <w:sz w:val="19"/>
                <w:szCs w:val="19"/>
              </w:rPr>
            </w:pPr>
            <w:r>
              <w:rPr>
                <w:b/>
                <w:kern w:val="2"/>
                <w:sz w:val="19"/>
                <w:szCs w:val="19"/>
              </w:rPr>
              <w:t>mg/kg/day</w:t>
            </w:r>
          </w:p>
        </w:tc>
        <w:tc>
          <w:tcPr>
            <w:tcW w:w="992" w:type="dxa"/>
          </w:tcPr>
          <w:p w14:paraId="5B21C3D3" w14:textId="77777777" w:rsidR="00A564AA" w:rsidRDefault="00A564AA" w:rsidP="005E41F4">
            <w:pPr>
              <w:keepNext/>
              <w:keepLines/>
              <w:spacing w:line="200" w:lineRule="exact"/>
              <w:ind w:left="0" w:right="0"/>
              <w:jc w:val="center"/>
              <w:rPr>
                <w:b/>
                <w:kern w:val="2"/>
                <w:sz w:val="19"/>
                <w:szCs w:val="19"/>
              </w:rPr>
            </w:pPr>
            <w:r>
              <w:rPr>
                <w:b/>
                <w:kern w:val="2"/>
                <w:sz w:val="19"/>
                <w:szCs w:val="19"/>
              </w:rPr>
              <w:t>mg/m</w:t>
            </w:r>
            <w:r w:rsidRPr="00D02044">
              <w:rPr>
                <w:b/>
                <w:kern w:val="2"/>
                <w:sz w:val="19"/>
                <w:szCs w:val="19"/>
                <w:vertAlign w:val="superscript"/>
              </w:rPr>
              <w:t>2</w:t>
            </w:r>
            <w:r>
              <w:rPr>
                <w:b/>
                <w:kern w:val="2"/>
                <w:sz w:val="19"/>
                <w:szCs w:val="19"/>
              </w:rPr>
              <w:t>/day</w:t>
            </w:r>
          </w:p>
        </w:tc>
        <w:tc>
          <w:tcPr>
            <w:tcW w:w="1418" w:type="dxa"/>
            <w:vMerge/>
          </w:tcPr>
          <w:p w14:paraId="39626320" w14:textId="77777777" w:rsidR="00A564AA" w:rsidRPr="00921F44" w:rsidRDefault="00A564AA" w:rsidP="005E41F4">
            <w:pPr>
              <w:keepNext/>
              <w:keepLines/>
              <w:spacing w:line="200" w:lineRule="exact"/>
              <w:ind w:left="0" w:right="0"/>
              <w:jc w:val="center"/>
              <w:rPr>
                <w:b/>
                <w:kern w:val="2"/>
                <w:sz w:val="19"/>
                <w:szCs w:val="19"/>
              </w:rPr>
            </w:pPr>
          </w:p>
        </w:tc>
        <w:tc>
          <w:tcPr>
            <w:tcW w:w="1275" w:type="dxa"/>
          </w:tcPr>
          <w:p w14:paraId="0E818491" w14:textId="77777777" w:rsidR="00A564AA" w:rsidRDefault="00A564AA" w:rsidP="005E41F4">
            <w:pPr>
              <w:keepNext/>
              <w:keepLines/>
              <w:spacing w:line="200" w:lineRule="exact"/>
              <w:ind w:left="0" w:right="0"/>
              <w:jc w:val="center"/>
              <w:rPr>
                <w:b/>
                <w:kern w:val="2"/>
                <w:sz w:val="19"/>
                <w:szCs w:val="19"/>
              </w:rPr>
            </w:pPr>
            <w:r>
              <w:rPr>
                <w:b/>
                <w:kern w:val="2"/>
                <w:sz w:val="19"/>
                <w:szCs w:val="19"/>
              </w:rPr>
              <w:t>based on</w:t>
            </w:r>
            <w:r w:rsidR="005E41F4">
              <w:rPr>
                <w:b/>
                <w:kern w:val="2"/>
                <w:sz w:val="19"/>
                <w:szCs w:val="19"/>
              </w:rPr>
              <w:t xml:space="preserve"> </w:t>
            </w:r>
            <w:r>
              <w:rPr>
                <w:b/>
                <w:kern w:val="2"/>
                <w:sz w:val="19"/>
                <w:szCs w:val="19"/>
              </w:rPr>
              <w:t>AUC</w:t>
            </w:r>
          </w:p>
        </w:tc>
        <w:tc>
          <w:tcPr>
            <w:tcW w:w="1146" w:type="dxa"/>
          </w:tcPr>
          <w:p w14:paraId="19C75C29" w14:textId="77777777" w:rsidR="00A564AA" w:rsidRDefault="00A564AA" w:rsidP="005E41F4">
            <w:pPr>
              <w:keepNext/>
              <w:keepLines/>
              <w:spacing w:line="200" w:lineRule="exact"/>
              <w:ind w:left="0" w:right="0"/>
              <w:jc w:val="center"/>
              <w:rPr>
                <w:b/>
                <w:kern w:val="2"/>
                <w:sz w:val="19"/>
                <w:szCs w:val="19"/>
              </w:rPr>
            </w:pPr>
            <w:r>
              <w:rPr>
                <w:b/>
                <w:kern w:val="2"/>
                <w:sz w:val="19"/>
                <w:szCs w:val="19"/>
              </w:rPr>
              <w:t>based on mg/m</w:t>
            </w:r>
            <w:r w:rsidRPr="00D02044">
              <w:rPr>
                <w:b/>
                <w:kern w:val="2"/>
                <w:sz w:val="19"/>
                <w:szCs w:val="19"/>
                <w:vertAlign w:val="superscript"/>
              </w:rPr>
              <w:t>2</w:t>
            </w:r>
          </w:p>
        </w:tc>
      </w:tr>
      <w:tr w:rsidR="001C58EF" w:rsidRPr="009F18C1" w14:paraId="75FD83AF" w14:textId="77777777" w:rsidTr="001C58EF">
        <w:trPr>
          <w:trHeight w:val="189"/>
        </w:trPr>
        <w:tc>
          <w:tcPr>
            <w:tcW w:w="1255" w:type="dxa"/>
            <w:vMerge w:val="restart"/>
          </w:tcPr>
          <w:p w14:paraId="4EEF513E" w14:textId="77777777" w:rsidR="00A564AA" w:rsidRPr="009F18C1" w:rsidRDefault="00A564AA" w:rsidP="005E41F4">
            <w:pPr>
              <w:pStyle w:val="Tabletext"/>
              <w:keepNext/>
              <w:keepLines/>
              <w:ind w:left="0" w:right="0"/>
              <w:rPr>
                <w:kern w:val="2"/>
              </w:rPr>
            </w:pPr>
            <w:r w:rsidRPr="009F18C1">
              <w:rPr>
                <w:b/>
                <w:kern w:val="2"/>
              </w:rPr>
              <w:t>Rat</w:t>
            </w:r>
            <w:r w:rsidRPr="009F18C1">
              <w:rPr>
                <w:kern w:val="2"/>
              </w:rPr>
              <w:br/>
              <w:t>(Wistar Han)</w:t>
            </w:r>
          </w:p>
        </w:tc>
        <w:tc>
          <w:tcPr>
            <w:tcW w:w="1656" w:type="dxa"/>
            <w:vMerge w:val="restart"/>
          </w:tcPr>
          <w:p w14:paraId="4E0C8E24" w14:textId="77777777" w:rsidR="00A564AA" w:rsidRPr="009F18C1" w:rsidRDefault="00A564AA" w:rsidP="005E41F4">
            <w:pPr>
              <w:pStyle w:val="Tabletext"/>
              <w:keepNext/>
              <w:keepLines/>
              <w:ind w:left="0" w:right="0"/>
              <w:rPr>
                <w:kern w:val="2"/>
              </w:rPr>
            </w:pPr>
            <w:r w:rsidRPr="009F18C1">
              <w:rPr>
                <w:kern w:val="2"/>
              </w:rPr>
              <w:t>Fertility</w:t>
            </w:r>
          </w:p>
        </w:tc>
        <w:tc>
          <w:tcPr>
            <w:tcW w:w="883" w:type="dxa"/>
          </w:tcPr>
          <w:p w14:paraId="52B5D404" w14:textId="77777777" w:rsidR="00A564AA" w:rsidRPr="009F18C1" w:rsidRDefault="00A564AA" w:rsidP="005E41F4">
            <w:pPr>
              <w:pStyle w:val="Tabletext"/>
              <w:keepNext/>
              <w:keepLines/>
              <w:spacing w:line="190" w:lineRule="exact"/>
              <w:ind w:left="0" w:right="0"/>
              <w:rPr>
                <w:kern w:val="2"/>
              </w:rPr>
            </w:pPr>
            <w:r w:rsidRPr="009F18C1">
              <w:rPr>
                <w:kern w:val="2"/>
              </w:rPr>
              <w:t>0.1</w:t>
            </w:r>
          </w:p>
        </w:tc>
        <w:tc>
          <w:tcPr>
            <w:tcW w:w="992" w:type="dxa"/>
          </w:tcPr>
          <w:p w14:paraId="24938E99" w14:textId="77777777" w:rsidR="00A564AA" w:rsidRPr="009F18C1" w:rsidRDefault="00A564AA" w:rsidP="005E41F4">
            <w:pPr>
              <w:pStyle w:val="Tabletext"/>
              <w:keepNext/>
              <w:keepLines/>
              <w:spacing w:line="190" w:lineRule="exact"/>
              <w:ind w:left="0" w:right="0"/>
              <w:rPr>
                <w:kern w:val="2"/>
              </w:rPr>
            </w:pPr>
            <w:r>
              <w:rPr>
                <w:kern w:val="2"/>
              </w:rPr>
              <w:t>0.6</w:t>
            </w:r>
          </w:p>
        </w:tc>
        <w:tc>
          <w:tcPr>
            <w:tcW w:w="1418" w:type="dxa"/>
          </w:tcPr>
          <w:p w14:paraId="4BD241B2" w14:textId="77777777" w:rsidR="00A564AA" w:rsidRPr="009F18C1" w:rsidRDefault="00A564AA" w:rsidP="005E41F4">
            <w:pPr>
              <w:pStyle w:val="Tabletext"/>
              <w:keepNext/>
              <w:keepLines/>
              <w:spacing w:line="190" w:lineRule="exact"/>
              <w:ind w:left="0" w:right="0"/>
              <w:rPr>
                <w:kern w:val="2"/>
              </w:rPr>
            </w:pPr>
            <w:r>
              <w:rPr>
                <w:kern w:val="2"/>
              </w:rPr>
              <w:t>–</w:t>
            </w:r>
          </w:p>
        </w:tc>
        <w:tc>
          <w:tcPr>
            <w:tcW w:w="1275" w:type="dxa"/>
          </w:tcPr>
          <w:p w14:paraId="5C2F39C1" w14:textId="77777777" w:rsidR="00A564AA" w:rsidRPr="009F18C1" w:rsidRDefault="00A564AA" w:rsidP="005E41F4">
            <w:pPr>
              <w:pStyle w:val="Tabletext"/>
              <w:keepNext/>
              <w:keepLines/>
              <w:spacing w:line="190" w:lineRule="exact"/>
              <w:ind w:left="0" w:right="0"/>
              <w:rPr>
                <w:kern w:val="2"/>
              </w:rPr>
            </w:pPr>
            <w:r>
              <w:rPr>
                <w:kern w:val="2"/>
              </w:rPr>
              <w:t>–</w:t>
            </w:r>
          </w:p>
        </w:tc>
        <w:tc>
          <w:tcPr>
            <w:tcW w:w="1146" w:type="dxa"/>
          </w:tcPr>
          <w:p w14:paraId="1AC79721" w14:textId="77777777" w:rsidR="00A564AA" w:rsidRPr="009F18C1" w:rsidRDefault="00A564AA" w:rsidP="005E41F4">
            <w:pPr>
              <w:pStyle w:val="Tabletext"/>
              <w:keepNext/>
              <w:keepLines/>
              <w:spacing w:line="190" w:lineRule="exact"/>
              <w:ind w:left="0" w:right="0"/>
              <w:rPr>
                <w:kern w:val="2"/>
              </w:rPr>
            </w:pPr>
            <w:r>
              <w:rPr>
                <w:kern w:val="2"/>
              </w:rPr>
              <w:t>0.5</w:t>
            </w:r>
          </w:p>
        </w:tc>
      </w:tr>
      <w:tr w:rsidR="001C58EF" w:rsidRPr="009F18C1" w14:paraId="087B0475" w14:textId="77777777" w:rsidTr="001C58EF">
        <w:trPr>
          <w:trHeight w:val="189"/>
        </w:trPr>
        <w:tc>
          <w:tcPr>
            <w:tcW w:w="1255" w:type="dxa"/>
            <w:vMerge/>
          </w:tcPr>
          <w:p w14:paraId="19B1C158" w14:textId="77777777" w:rsidR="00A564AA" w:rsidRPr="009F18C1" w:rsidRDefault="00A564AA" w:rsidP="005E41F4">
            <w:pPr>
              <w:pStyle w:val="Tabletext"/>
              <w:keepNext/>
              <w:keepLines/>
              <w:ind w:left="0" w:right="0"/>
              <w:rPr>
                <w:kern w:val="2"/>
              </w:rPr>
            </w:pPr>
          </w:p>
        </w:tc>
        <w:tc>
          <w:tcPr>
            <w:tcW w:w="1656" w:type="dxa"/>
            <w:vMerge/>
          </w:tcPr>
          <w:p w14:paraId="53530EAE" w14:textId="77777777" w:rsidR="00A564AA" w:rsidRPr="009F18C1" w:rsidRDefault="00A564AA" w:rsidP="005E41F4">
            <w:pPr>
              <w:pStyle w:val="Tabletext"/>
              <w:keepNext/>
              <w:keepLines/>
              <w:ind w:left="0" w:right="0"/>
              <w:rPr>
                <w:kern w:val="2"/>
              </w:rPr>
            </w:pPr>
          </w:p>
        </w:tc>
        <w:tc>
          <w:tcPr>
            <w:tcW w:w="883" w:type="dxa"/>
          </w:tcPr>
          <w:p w14:paraId="34670E84" w14:textId="77777777" w:rsidR="00A564AA" w:rsidRPr="009F18C1" w:rsidRDefault="00A564AA" w:rsidP="005E41F4">
            <w:pPr>
              <w:pStyle w:val="Tabletext"/>
              <w:keepNext/>
              <w:keepLines/>
              <w:spacing w:line="190" w:lineRule="exact"/>
              <w:ind w:left="0" w:right="0"/>
              <w:rPr>
                <w:kern w:val="2"/>
              </w:rPr>
            </w:pPr>
            <w:r w:rsidRPr="009F18C1">
              <w:rPr>
                <w:kern w:val="2"/>
              </w:rPr>
              <w:t>1</w:t>
            </w:r>
          </w:p>
        </w:tc>
        <w:tc>
          <w:tcPr>
            <w:tcW w:w="992" w:type="dxa"/>
          </w:tcPr>
          <w:p w14:paraId="70A4A79B" w14:textId="77777777" w:rsidR="00A564AA" w:rsidRPr="009F18C1" w:rsidRDefault="00A564AA" w:rsidP="005E41F4">
            <w:pPr>
              <w:pStyle w:val="Tabletext"/>
              <w:keepNext/>
              <w:keepLines/>
              <w:spacing w:line="190" w:lineRule="exact"/>
              <w:ind w:left="0" w:right="0"/>
              <w:rPr>
                <w:kern w:val="2"/>
              </w:rPr>
            </w:pPr>
            <w:r>
              <w:rPr>
                <w:kern w:val="2"/>
              </w:rPr>
              <w:t>6</w:t>
            </w:r>
          </w:p>
        </w:tc>
        <w:tc>
          <w:tcPr>
            <w:tcW w:w="1418" w:type="dxa"/>
          </w:tcPr>
          <w:p w14:paraId="77BED459" w14:textId="77777777" w:rsidR="00A564AA" w:rsidRPr="009F18C1" w:rsidRDefault="00A564AA" w:rsidP="005E41F4">
            <w:pPr>
              <w:pStyle w:val="Tabletext"/>
              <w:keepNext/>
              <w:keepLines/>
              <w:spacing w:line="190" w:lineRule="exact"/>
              <w:ind w:left="0" w:right="0"/>
              <w:rPr>
                <w:kern w:val="2"/>
              </w:rPr>
            </w:pPr>
            <w:r>
              <w:rPr>
                <w:kern w:val="2"/>
              </w:rPr>
              <w:t>–</w:t>
            </w:r>
          </w:p>
        </w:tc>
        <w:tc>
          <w:tcPr>
            <w:tcW w:w="1275" w:type="dxa"/>
          </w:tcPr>
          <w:p w14:paraId="6EE56206" w14:textId="77777777" w:rsidR="00A564AA" w:rsidRPr="009F18C1" w:rsidRDefault="00A564AA" w:rsidP="005E41F4">
            <w:pPr>
              <w:pStyle w:val="Tabletext"/>
              <w:keepNext/>
              <w:keepLines/>
              <w:spacing w:line="190" w:lineRule="exact"/>
              <w:ind w:left="0" w:right="0"/>
              <w:rPr>
                <w:kern w:val="2"/>
              </w:rPr>
            </w:pPr>
            <w:r>
              <w:rPr>
                <w:kern w:val="2"/>
              </w:rPr>
              <w:t>–</w:t>
            </w:r>
          </w:p>
        </w:tc>
        <w:tc>
          <w:tcPr>
            <w:tcW w:w="1146" w:type="dxa"/>
          </w:tcPr>
          <w:p w14:paraId="70EE7E95" w14:textId="77777777" w:rsidR="00A564AA" w:rsidRPr="009F18C1" w:rsidRDefault="00A564AA" w:rsidP="005E41F4">
            <w:pPr>
              <w:pStyle w:val="Tabletext"/>
              <w:keepNext/>
              <w:keepLines/>
              <w:spacing w:line="190" w:lineRule="exact"/>
              <w:ind w:left="0" w:right="0"/>
              <w:rPr>
                <w:kern w:val="2"/>
              </w:rPr>
            </w:pPr>
            <w:r>
              <w:rPr>
                <w:kern w:val="2"/>
              </w:rPr>
              <w:t>5</w:t>
            </w:r>
          </w:p>
        </w:tc>
      </w:tr>
      <w:tr w:rsidR="001C58EF" w:rsidRPr="009F18C1" w14:paraId="14678B8C" w14:textId="77777777" w:rsidTr="001C58EF">
        <w:trPr>
          <w:trHeight w:val="189"/>
        </w:trPr>
        <w:tc>
          <w:tcPr>
            <w:tcW w:w="1255" w:type="dxa"/>
            <w:vMerge/>
          </w:tcPr>
          <w:p w14:paraId="7266A663" w14:textId="77777777" w:rsidR="00A564AA" w:rsidRPr="009F18C1" w:rsidRDefault="00A564AA" w:rsidP="005E41F4">
            <w:pPr>
              <w:pStyle w:val="Tabletext"/>
              <w:keepNext/>
              <w:keepLines/>
              <w:ind w:left="0" w:right="0"/>
              <w:rPr>
                <w:kern w:val="2"/>
              </w:rPr>
            </w:pPr>
          </w:p>
        </w:tc>
        <w:tc>
          <w:tcPr>
            <w:tcW w:w="1656" w:type="dxa"/>
            <w:vMerge/>
          </w:tcPr>
          <w:p w14:paraId="670A1268" w14:textId="77777777" w:rsidR="00A564AA" w:rsidRPr="009F18C1" w:rsidRDefault="00A564AA" w:rsidP="005E41F4">
            <w:pPr>
              <w:pStyle w:val="Tabletext"/>
              <w:keepNext/>
              <w:keepLines/>
              <w:ind w:left="0" w:right="0"/>
              <w:rPr>
                <w:kern w:val="2"/>
              </w:rPr>
            </w:pPr>
          </w:p>
        </w:tc>
        <w:tc>
          <w:tcPr>
            <w:tcW w:w="883" w:type="dxa"/>
          </w:tcPr>
          <w:p w14:paraId="08711619" w14:textId="77777777" w:rsidR="00A564AA" w:rsidRPr="009F18C1" w:rsidRDefault="00A564AA" w:rsidP="005E41F4">
            <w:pPr>
              <w:pStyle w:val="Tabletext"/>
              <w:keepNext/>
              <w:keepLines/>
              <w:spacing w:line="190" w:lineRule="exact"/>
              <w:ind w:left="0" w:right="0"/>
              <w:rPr>
                <w:kern w:val="2"/>
              </w:rPr>
            </w:pPr>
            <w:r w:rsidRPr="009F18C1">
              <w:rPr>
                <w:kern w:val="2"/>
              </w:rPr>
              <w:t>10</w:t>
            </w:r>
          </w:p>
        </w:tc>
        <w:tc>
          <w:tcPr>
            <w:tcW w:w="992" w:type="dxa"/>
          </w:tcPr>
          <w:p w14:paraId="75696949" w14:textId="77777777" w:rsidR="00A564AA" w:rsidRPr="009F18C1" w:rsidRDefault="00A564AA" w:rsidP="005E41F4">
            <w:pPr>
              <w:pStyle w:val="Tabletext"/>
              <w:keepNext/>
              <w:keepLines/>
              <w:spacing w:line="190" w:lineRule="exact"/>
              <w:ind w:left="0" w:right="0"/>
              <w:rPr>
                <w:kern w:val="2"/>
              </w:rPr>
            </w:pPr>
            <w:r>
              <w:rPr>
                <w:kern w:val="2"/>
              </w:rPr>
              <w:t>60</w:t>
            </w:r>
          </w:p>
        </w:tc>
        <w:tc>
          <w:tcPr>
            <w:tcW w:w="1418" w:type="dxa"/>
          </w:tcPr>
          <w:p w14:paraId="67F91C2A" w14:textId="77777777" w:rsidR="00A564AA" w:rsidRPr="009F18C1" w:rsidRDefault="00A564AA" w:rsidP="005E41F4">
            <w:pPr>
              <w:pStyle w:val="Tabletext"/>
              <w:keepNext/>
              <w:keepLines/>
              <w:spacing w:line="190" w:lineRule="exact"/>
              <w:ind w:left="0" w:right="0"/>
              <w:rPr>
                <w:kern w:val="2"/>
              </w:rPr>
            </w:pPr>
            <w:r>
              <w:rPr>
                <w:kern w:val="2"/>
              </w:rPr>
              <w:t>–</w:t>
            </w:r>
          </w:p>
        </w:tc>
        <w:tc>
          <w:tcPr>
            <w:tcW w:w="1275" w:type="dxa"/>
          </w:tcPr>
          <w:p w14:paraId="5ABA60D5" w14:textId="77777777" w:rsidR="00A564AA" w:rsidRPr="009F18C1" w:rsidRDefault="00A564AA" w:rsidP="005E41F4">
            <w:pPr>
              <w:pStyle w:val="Tabletext"/>
              <w:keepNext/>
              <w:keepLines/>
              <w:spacing w:line="190" w:lineRule="exact"/>
              <w:ind w:left="0" w:right="0"/>
              <w:rPr>
                <w:kern w:val="2"/>
              </w:rPr>
            </w:pPr>
            <w:r>
              <w:rPr>
                <w:kern w:val="2"/>
              </w:rPr>
              <w:t>–</w:t>
            </w:r>
          </w:p>
        </w:tc>
        <w:tc>
          <w:tcPr>
            <w:tcW w:w="1146" w:type="dxa"/>
          </w:tcPr>
          <w:p w14:paraId="3B21A299" w14:textId="77777777" w:rsidR="00A564AA" w:rsidRPr="009F18C1" w:rsidRDefault="00A564AA" w:rsidP="005E41F4">
            <w:pPr>
              <w:pStyle w:val="Tabletext"/>
              <w:keepNext/>
              <w:keepLines/>
              <w:spacing w:line="190" w:lineRule="exact"/>
              <w:ind w:left="0" w:right="0"/>
              <w:rPr>
                <w:kern w:val="2"/>
              </w:rPr>
            </w:pPr>
            <w:r>
              <w:rPr>
                <w:kern w:val="2"/>
              </w:rPr>
              <w:t>51</w:t>
            </w:r>
          </w:p>
        </w:tc>
      </w:tr>
      <w:tr w:rsidR="001C58EF" w:rsidRPr="009F18C1" w14:paraId="788D2029" w14:textId="77777777" w:rsidTr="001C58EF">
        <w:trPr>
          <w:trHeight w:val="189"/>
        </w:trPr>
        <w:tc>
          <w:tcPr>
            <w:tcW w:w="1255" w:type="dxa"/>
            <w:vMerge/>
          </w:tcPr>
          <w:p w14:paraId="636123AB" w14:textId="77777777" w:rsidR="00A564AA" w:rsidRPr="009F18C1" w:rsidRDefault="00A564AA" w:rsidP="005E41F4">
            <w:pPr>
              <w:pStyle w:val="Tabletext"/>
              <w:keepNext/>
              <w:keepLines/>
              <w:ind w:left="0" w:right="0"/>
              <w:rPr>
                <w:kern w:val="2"/>
              </w:rPr>
            </w:pPr>
          </w:p>
        </w:tc>
        <w:tc>
          <w:tcPr>
            <w:tcW w:w="1656" w:type="dxa"/>
            <w:vMerge w:val="restart"/>
          </w:tcPr>
          <w:p w14:paraId="20A23E99" w14:textId="77777777" w:rsidR="00A564AA" w:rsidRPr="009F18C1" w:rsidRDefault="00A564AA" w:rsidP="005E41F4">
            <w:pPr>
              <w:pStyle w:val="Tabletext"/>
              <w:keepNext/>
              <w:keepLines/>
              <w:ind w:left="0" w:right="0"/>
              <w:rPr>
                <w:kern w:val="2"/>
              </w:rPr>
            </w:pPr>
            <w:r>
              <w:rPr>
                <w:kern w:val="2"/>
              </w:rPr>
              <w:t>Embryofetal</w:t>
            </w:r>
            <w:r>
              <w:rPr>
                <w:kern w:val="2"/>
              </w:rPr>
              <w:br/>
            </w:r>
            <w:r w:rsidRPr="009F18C1">
              <w:rPr>
                <w:kern w:val="2"/>
              </w:rPr>
              <w:t>development</w:t>
            </w:r>
          </w:p>
        </w:tc>
        <w:tc>
          <w:tcPr>
            <w:tcW w:w="883" w:type="dxa"/>
          </w:tcPr>
          <w:p w14:paraId="0B484781" w14:textId="77777777" w:rsidR="00A564AA" w:rsidRPr="009F18C1" w:rsidRDefault="00A564AA" w:rsidP="005E41F4">
            <w:pPr>
              <w:pStyle w:val="Tabletext"/>
              <w:keepNext/>
              <w:keepLines/>
              <w:spacing w:line="190" w:lineRule="exact"/>
              <w:ind w:left="0" w:right="0"/>
              <w:rPr>
                <w:kern w:val="2"/>
              </w:rPr>
            </w:pPr>
            <w:r w:rsidRPr="009F18C1">
              <w:rPr>
                <w:kern w:val="2"/>
              </w:rPr>
              <w:t>1</w:t>
            </w:r>
          </w:p>
        </w:tc>
        <w:tc>
          <w:tcPr>
            <w:tcW w:w="992" w:type="dxa"/>
          </w:tcPr>
          <w:p w14:paraId="6EEBE41F" w14:textId="77777777" w:rsidR="00A564AA" w:rsidRPr="009F18C1" w:rsidRDefault="00A564AA" w:rsidP="005E41F4">
            <w:pPr>
              <w:pStyle w:val="Tabletext"/>
              <w:keepNext/>
              <w:keepLines/>
              <w:spacing w:line="190" w:lineRule="exact"/>
              <w:ind w:left="0" w:right="0"/>
              <w:rPr>
                <w:kern w:val="2"/>
              </w:rPr>
            </w:pPr>
            <w:r>
              <w:rPr>
                <w:kern w:val="2"/>
              </w:rPr>
              <w:t>–</w:t>
            </w:r>
          </w:p>
        </w:tc>
        <w:tc>
          <w:tcPr>
            <w:tcW w:w="1418" w:type="dxa"/>
          </w:tcPr>
          <w:p w14:paraId="6A9B654E" w14:textId="77777777" w:rsidR="00A564AA" w:rsidRPr="009F18C1" w:rsidRDefault="00A564AA" w:rsidP="005E41F4">
            <w:pPr>
              <w:pStyle w:val="Tabletext"/>
              <w:keepNext/>
              <w:keepLines/>
              <w:spacing w:line="190" w:lineRule="exact"/>
              <w:ind w:left="0" w:right="0"/>
              <w:rPr>
                <w:kern w:val="2"/>
              </w:rPr>
            </w:pPr>
            <w:r>
              <w:rPr>
                <w:kern w:val="2"/>
              </w:rPr>
              <w:t>4930</w:t>
            </w:r>
          </w:p>
        </w:tc>
        <w:tc>
          <w:tcPr>
            <w:tcW w:w="1275" w:type="dxa"/>
          </w:tcPr>
          <w:p w14:paraId="668A5ED7" w14:textId="77777777" w:rsidR="00A564AA" w:rsidRPr="009F18C1" w:rsidRDefault="00A564AA" w:rsidP="005E41F4">
            <w:pPr>
              <w:pStyle w:val="Tabletext"/>
              <w:keepNext/>
              <w:keepLines/>
              <w:spacing w:line="190" w:lineRule="exact"/>
              <w:ind w:left="0" w:right="0"/>
              <w:rPr>
                <w:kern w:val="2"/>
              </w:rPr>
            </w:pPr>
            <w:r>
              <w:rPr>
                <w:kern w:val="2"/>
              </w:rPr>
              <w:t>17</w:t>
            </w:r>
          </w:p>
        </w:tc>
        <w:tc>
          <w:tcPr>
            <w:tcW w:w="1146" w:type="dxa"/>
          </w:tcPr>
          <w:p w14:paraId="65654175" w14:textId="77777777" w:rsidR="00A564AA" w:rsidRPr="009F18C1" w:rsidRDefault="00A564AA" w:rsidP="005E41F4">
            <w:pPr>
              <w:pStyle w:val="Tabletext"/>
              <w:keepNext/>
              <w:keepLines/>
              <w:spacing w:line="190" w:lineRule="exact"/>
              <w:ind w:left="0" w:right="0"/>
              <w:rPr>
                <w:kern w:val="2"/>
              </w:rPr>
            </w:pPr>
            <w:r>
              <w:rPr>
                <w:kern w:val="2"/>
              </w:rPr>
              <w:t>–</w:t>
            </w:r>
          </w:p>
        </w:tc>
      </w:tr>
      <w:tr w:rsidR="001C58EF" w:rsidRPr="009F18C1" w14:paraId="3C8148BD" w14:textId="77777777" w:rsidTr="001C58EF">
        <w:trPr>
          <w:trHeight w:val="189"/>
        </w:trPr>
        <w:tc>
          <w:tcPr>
            <w:tcW w:w="1255" w:type="dxa"/>
            <w:vMerge/>
          </w:tcPr>
          <w:p w14:paraId="5917ABFF" w14:textId="77777777" w:rsidR="00A564AA" w:rsidRPr="009F18C1" w:rsidRDefault="00A564AA" w:rsidP="005E41F4">
            <w:pPr>
              <w:pStyle w:val="Tabletext"/>
              <w:keepNext/>
              <w:keepLines/>
              <w:ind w:left="0" w:right="0"/>
              <w:rPr>
                <w:kern w:val="2"/>
              </w:rPr>
            </w:pPr>
          </w:p>
        </w:tc>
        <w:tc>
          <w:tcPr>
            <w:tcW w:w="1656" w:type="dxa"/>
            <w:vMerge/>
          </w:tcPr>
          <w:p w14:paraId="7C2E2D13" w14:textId="77777777" w:rsidR="00A564AA" w:rsidRPr="009F18C1" w:rsidRDefault="00A564AA" w:rsidP="005E41F4">
            <w:pPr>
              <w:pStyle w:val="Tabletext"/>
              <w:keepNext/>
              <w:keepLines/>
              <w:ind w:left="0" w:right="0"/>
              <w:rPr>
                <w:kern w:val="2"/>
              </w:rPr>
            </w:pPr>
          </w:p>
        </w:tc>
        <w:tc>
          <w:tcPr>
            <w:tcW w:w="883" w:type="dxa"/>
          </w:tcPr>
          <w:p w14:paraId="12843122" w14:textId="77777777" w:rsidR="00A564AA" w:rsidRPr="009F18C1" w:rsidRDefault="00A564AA" w:rsidP="005E41F4">
            <w:pPr>
              <w:pStyle w:val="Tabletext"/>
              <w:keepNext/>
              <w:keepLines/>
              <w:spacing w:line="190" w:lineRule="exact"/>
              <w:ind w:left="0" w:right="0"/>
              <w:rPr>
                <w:kern w:val="2"/>
              </w:rPr>
            </w:pPr>
            <w:r w:rsidRPr="009F18C1">
              <w:rPr>
                <w:kern w:val="2"/>
              </w:rPr>
              <w:t>5</w:t>
            </w:r>
          </w:p>
        </w:tc>
        <w:tc>
          <w:tcPr>
            <w:tcW w:w="992" w:type="dxa"/>
          </w:tcPr>
          <w:p w14:paraId="745DA94F" w14:textId="77777777" w:rsidR="00A564AA" w:rsidRPr="009F18C1" w:rsidRDefault="00A564AA" w:rsidP="005E41F4">
            <w:pPr>
              <w:pStyle w:val="Tabletext"/>
              <w:keepNext/>
              <w:keepLines/>
              <w:spacing w:line="190" w:lineRule="exact"/>
              <w:ind w:left="0" w:right="0"/>
              <w:rPr>
                <w:kern w:val="2"/>
              </w:rPr>
            </w:pPr>
            <w:r>
              <w:rPr>
                <w:kern w:val="2"/>
              </w:rPr>
              <w:t>–</w:t>
            </w:r>
          </w:p>
        </w:tc>
        <w:tc>
          <w:tcPr>
            <w:tcW w:w="1418" w:type="dxa"/>
          </w:tcPr>
          <w:p w14:paraId="4835323C" w14:textId="77777777" w:rsidR="00A564AA" w:rsidRPr="009F18C1" w:rsidRDefault="00A564AA" w:rsidP="005E41F4">
            <w:pPr>
              <w:pStyle w:val="Tabletext"/>
              <w:keepNext/>
              <w:keepLines/>
              <w:spacing w:line="190" w:lineRule="exact"/>
              <w:ind w:left="0" w:right="0"/>
              <w:rPr>
                <w:kern w:val="2"/>
              </w:rPr>
            </w:pPr>
            <w:r>
              <w:rPr>
                <w:kern w:val="2"/>
              </w:rPr>
              <w:t>25594</w:t>
            </w:r>
          </w:p>
        </w:tc>
        <w:tc>
          <w:tcPr>
            <w:tcW w:w="1275" w:type="dxa"/>
          </w:tcPr>
          <w:p w14:paraId="3BD50F6C" w14:textId="77777777" w:rsidR="00A564AA" w:rsidRPr="009F18C1" w:rsidRDefault="00A564AA" w:rsidP="005E41F4">
            <w:pPr>
              <w:pStyle w:val="Tabletext"/>
              <w:keepNext/>
              <w:keepLines/>
              <w:spacing w:line="190" w:lineRule="exact"/>
              <w:ind w:left="0" w:right="0"/>
              <w:rPr>
                <w:kern w:val="2"/>
              </w:rPr>
            </w:pPr>
            <w:r>
              <w:rPr>
                <w:kern w:val="2"/>
              </w:rPr>
              <w:t>88</w:t>
            </w:r>
          </w:p>
        </w:tc>
        <w:tc>
          <w:tcPr>
            <w:tcW w:w="1146" w:type="dxa"/>
          </w:tcPr>
          <w:p w14:paraId="77BD8416" w14:textId="77777777" w:rsidR="00A564AA" w:rsidRPr="009F18C1" w:rsidRDefault="00A564AA" w:rsidP="005E41F4">
            <w:pPr>
              <w:pStyle w:val="Tabletext"/>
              <w:keepNext/>
              <w:keepLines/>
              <w:spacing w:line="190" w:lineRule="exact"/>
              <w:ind w:left="0" w:right="0"/>
              <w:rPr>
                <w:kern w:val="2"/>
              </w:rPr>
            </w:pPr>
            <w:r>
              <w:rPr>
                <w:kern w:val="2"/>
              </w:rPr>
              <w:t>–</w:t>
            </w:r>
          </w:p>
        </w:tc>
      </w:tr>
      <w:tr w:rsidR="001C58EF" w:rsidRPr="009F18C1" w14:paraId="0D4E55C0" w14:textId="77777777" w:rsidTr="001C58EF">
        <w:trPr>
          <w:trHeight w:val="189"/>
        </w:trPr>
        <w:tc>
          <w:tcPr>
            <w:tcW w:w="1255" w:type="dxa"/>
            <w:vMerge/>
          </w:tcPr>
          <w:p w14:paraId="46D0412B" w14:textId="77777777" w:rsidR="00A564AA" w:rsidRPr="009F18C1" w:rsidRDefault="00A564AA" w:rsidP="005E41F4">
            <w:pPr>
              <w:pStyle w:val="Tabletext"/>
              <w:keepNext/>
              <w:keepLines/>
              <w:ind w:left="0" w:right="0"/>
              <w:rPr>
                <w:kern w:val="2"/>
              </w:rPr>
            </w:pPr>
          </w:p>
        </w:tc>
        <w:tc>
          <w:tcPr>
            <w:tcW w:w="1656" w:type="dxa"/>
            <w:vMerge/>
          </w:tcPr>
          <w:p w14:paraId="3E60E58A" w14:textId="77777777" w:rsidR="00A564AA" w:rsidRPr="009F18C1" w:rsidRDefault="00A564AA" w:rsidP="005E41F4">
            <w:pPr>
              <w:pStyle w:val="Tabletext"/>
              <w:keepNext/>
              <w:keepLines/>
              <w:ind w:left="0" w:right="0"/>
              <w:rPr>
                <w:kern w:val="2"/>
              </w:rPr>
            </w:pPr>
          </w:p>
        </w:tc>
        <w:tc>
          <w:tcPr>
            <w:tcW w:w="883" w:type="dxa"/>
          </w:tcPr>
          <w:p w14:paraId="2652AD96" w14:textId="77777777" w:rsidR="00A564AA" w:rsidRPr="009F18C1" w:rsidRDefault="00A564AA" w:rsidP="005E41F4">
            <w:pPr>
              <w:pStyle w:val="Tabletext"/>
              <w:keepNext/>
              <w:keepLines/>
              <w:spacing w:line="190" w:lineRule="exact"/>
              <w:ind w:left="0" w:right="0"/>
              <w:rPr>
                <w:kern w:val="2"/>
              </w:rPr>
            </w:pPr>
            <w:r w:rsidRPr="009F18C1">
              <w:rPr>
                <w:kern w:val="2"/>
              </w:rPr>
              <w:t>10</w:t>
            </w:r>
          </w:p>
        </w:tc>
        <w:tc>
          <w:tcPr>
            <w:tcW w:w="992" w:type="dxa"/>
          </w:tcPr>
          <w:p w14:paraId="4CDA0DC9" w14:textId="77777777" w:rsidR="00A564AA" w:rsidRPr="009F18C1" w:rsidRDefault="00A564AA" w:rsidP="005E41F4">
            <w:pPr>
              <w:pStyle w:val="Tabletext"/>
              <w:keepNext/>
              <w:keepLines/>
              <w:spacing w:line="190" w:lineRule="exact"/>
              <w:ind w:left="0" w:right="0"/>
              <w:rPr>
                <w:kern w:val="2"/>
              </w:rPr>
            </w:pPr>
            <w:r>
              <w:rPr>
                <w:kern w:val="2"/>
              </w:rPr>
              <w:t>–</w:t>
            </w:r>
          </w:p>
        </w:tc>
        <w:tc>
          <w:tcPr>
            <w:tcW w:w="1418" w:type="dxa"/>
          </w:tcPr>
          <w:p w14:paraId="644FBDFF" w14:textId="77777777" w:rsidR="00A564AA" w:rsidRPr="009F18C1" w:rsidRDefault="00A564AA" w:rsidP="005E41F4">
            <w:pPr>
              <w:pStyle w:val="Tabletext"/>
              <w:keepNext/>
              <w:keepLines/>
              <w:spacing w:line="190" w:lineRule="exact"/>
              <w:ind w:left="0" w:right="0"/>
              <w:rPr>
                <w:kern w:val="2"/>
              </w:rPr>
            </w:pPr>
            <w:r>
              <w:rPr>
                <w:kern w:val="2"/>
              </w:rPr>
              <w:t>42179</w:t>
            </w:r>
          </w:p>
        </w:tc>
        <w:tc>
          <w:tcPr>
            <w:tcW w:w="1275" w:type="dxa"/>
          </w:tcPr>
          <w:p w14:paraId="6238C1A4" w14:textId="77777777" w:rsidR="00A564AA" w:rsidRPr="009F18C1" w:rsidRDefault="00A564AA" w:rsidP="005E41F4">
            <w:pPr>
              <w:pStyle w:val="Tabletext"/>
              <w:keepNext/>
              <w:keepLines/>
              <w:spacing w:line="190" w:lineRule="exact"/>
              <w:ind w:left="0" w:right="0"/>
              <w:rPr>
                <w:kern w:val="2"/>
              </w:rPr>
            </w:pPr>
            <w:r>
              <w:rPr>
                <w:kern w:val="2"/>
              </w:rPr>
              <w:t>145</w:t>
            </w:r>
          </w:p>
        </w:tc>
        <w:tc>
          <w:tcPr>
            <w:tcW w:w="1146" w:type="dxa"/>
          </w:tcPr>
          <w:p w14:paraId="3669A0E6" w14:textId="77777777" w:rsidR="00A564AA" w:rsidRPr="009F18C1" w:rsidRDefault="00A564AA" w:rsidP="005E41F4">
            <w:pPr>
              <w:pStyle w:val="Tabletext"/>
              <w:keepNext/>
              <w:keepLines/>
              <w:spacing w:line="190" w:lineRule="exact"/>
              <w:ind w:left="0" w:right="0"/>
              <w:rPr>
                <w:kern w:val="2"/>
              </w:rPr>
            </w:pPr>
            <w:r>
              <w:rPr>
                <w:kern w:val="2"/>
              </w:rPr>
              <w:t>–</w:t>
            </w:r>
          </w:p>
        </w:tc>
      </w:tr>
      <w:tr w:rsidR="001C58EF" w:rsidRPr="009F18C1" w14:paraId="0543118D" w14:textId="77777777" w:rsidTr="001C58EF">
        <w:trPr>
          <w:trHeight w:val="189"/>
        </w:trPr>
        <w:tc>
          <w:tcPr>
            <w:tcW w:w="1255" w:type="dxa"/>
            <w:vMerge/>
          </w:tcPr>
          <w:p w14:paraId="113C5116" w14:textId="77777777" w:rsidR="00A564AA" w:rsidRPr="009F18C1" w:rsidRDefault="00A564AA" w:rsidP="005E41F4">
            <w:pPr>
              <w:pStyle w:val="Tabletext"/>
              <w:keepNext/>
              <w:keepLines/>
              <w:ind w:left="0" w:right="0"/>
              <w:rPr>
                <w:kern w:val="2"/>
              </w:rPr>
            </w:pPr>
          </w:p>
        </w:tc>
        <w:tc>
          <w:tcPr>
            <w:tcW w:w="1656" w:type="dxa"/>
            <w:vMerge w:val="restart"/>
          </w:tcPr>
          <w:p w14:paraId="51FF8485" w14:textId="77777777" w:rsidR="00A564AA" w:rsidRPr="009F18C1" w:rsidRDefault="00A564AA" w:rsidP="006E3367">
            <w:pPr>
              <w:pStyle w:val="Tabletext"/>
              <w:keepNext/>
              <w:keepLines/>
              <w:ind w:left="0" w:right="0"/>
              <w:rPr>
                <w:kern w:val="2"/>
              </w:rPr>
            </w:pPr>
            <w:r w:rsidRPr="009F18C1">
              <w:rPr>
                <w:kern w:val="2"/>
              </w:rPr>
              <w:t>Pre/postnatal development</w:t>
            </w:r>
          </w:p>
        </w:tc>
        <w:tc>
          <w:tcPr>
            <w:tcW w:w="883" w:type="dxa"/>
          </w:tcPr>
          <w:p w14:paraId="528BBFC0" w14:textId="77777777" w:rsidR="00A564AA" w:rsidRPr="009F18C1" w:rsidRDefault="00A564AA" w:rsidP="005E41F4">
            <w:pPr>
              <w:pStyle w:val="Tabletext"/>
              <w:keepNext/>
              <w:keepLines/>
              <w:spacing w:line="190" w:lineRule="exact"/>
              <w:ind w:left="0" w:right="0"/>
              <w:rPr>
                <w:kern w:val="2"/>
              </w:rPr>
            </w:pPr>
            <w:r w:rsidRPr="009F18C1">
              <w:rPr>
                <w:kern w:val="2"/>
              </w:rPr>
              <w:t>2</w:t>
            </w:r>
          </w:p>
        </w:tc>
        <w:tc>
          <w:tcPr>
            <w:tcW w:w="992" w:type="dxa"/>
          </w:tcPr>
          <w:p w14:paraId="564815FF" w14:textId="77777777" w:rsidR="00A564AA" w:rsidRPr="009F18C1" w:rsidRDefault="00A564AA" w:rsidP="005E41F4">
            <w:pPr>
              <w:pStyle w:val="Tabletext"/>
              <w:keepNext/>
              <w:keepLines/>
              <w:spacing w:line="190" w:lineRule="exact"/>
              <w:ind w:left="0" w:right="0"/>
              <w:rPr>
                <w:kern w:val="2"/>
              </w:rPr>
            </w:pPr>
            <w:r>
              <w:rPr>
                <w:kern w:val="2"/>
              </w:rPr>
              <w:t>12</w:t>
            </w:r>
          </w:p>
        </w:tc>
        <w:tc>
          <w:tcPr>
            <w:tcW w:w="1418" w:type="dxa"/>
          </w:tcPr>
          <w:p w14:paraId="2680AB09" w14:textId="77777777" w:rsidR="00A564AA" w:rsidRPr="009F18C1" w:rsidRDefault="00A564AA" w:rsidP="005E41F4">
            <w:pPr>
              <w:pStyle w:val="Tabletext"/>
              <w:keepNext/>
              <w:keepLines/>
              <w:spacing w:line="190" w:lineRule="exact"/>
              <w:ind w:left="0" w:right="0"/>
              <w:rPr>
                <w:kern w:val="2"/>
              </w:rPr>
            </w:pPr>
            <w:r>
              <w:rPr>
                <w:kern w:val="2"/>
              </w:rPr>
              <w:t>–</w:t>
            </w:r>
          </w:p>
        </w:tc>
        <w:tc>
          <w:tcPr>
            <w:tcW w:w="1275" w:type="dxa"/>
          </w:tcPr>
          <w:p w14:paraId="312E321E" w14:textId="77777777" w:rsidR="00A564AA" w:rsidRPr="009F18C1" w:rsidRDefault="00A564AA" w:rsidP="005E41F4">
            <w:pPr>
              <w:pStyle w:val="Tabletext"/>
              <w:keepNext/>
              <w:keepLines/>
              <w:spacing w:line="190" w:lineRule="exact"/>
              <w:ind w:left="0" w:right="0"/>
              <w:rPr>
                <w:kern w:val="2"/>
              </w:rPr>
            </w:pPr>
            <w:r>
              <w:rPr>
                <w:kern w:val="2"/>
              </w:rPr>
              <w:t>–</w:t>
            </w:r>
          </w:p>
        </w:tc>
        <w:tc>
          <w:tcPr>
            <w:tcW w:w="1146" w:type="dxa"/>
          </w:tcPr>
          <w:p w14:paraId="54456511" w14:textId="77777777" w:rsidR="00A564AA" w:rsidRPr="009F18C1" w:rsidRDefault="00A564AA" w:rsidP="005E41F4">
            <w:pPr>
              <w:pStyle w:val="Tabletext"/>
              <w:keepNext/>
              <w:keepLines/>
              <w:spacing w:line="190" w:lineRule="exact"/>
              <w:ind w:left="0" w:right="0"/>
              <w:rPr>
                <w:kern w:val="2"/>
              </w:rPr>
            </w:pPr>
            <w:r>
              <w:rPr>
                <w:kern w:val="2"/>
              </w:rPr>
              <w:t>10</w:t>
            </w:r>
          </w:p>
        </w:tc>
      </w:tr>
      <w:tr w:rsidR="001C58EF" w:rsidRPr="009F18C1" w14:paraId="628E16B2" w14:textId="77777777" w:rsidTr="001C58EF">
        <w:trPr>
          <w:trHeight w:val="189"/>
        </w:trPr>
        <w:tc>
          <w:tcPr>
            <w:tcW w:w="1255" w:type="dxa"/>
            <w:vMerge/>
          </w:tcPr>
          <w:p w14:paraId="7904EF90" w14:textId="77777777" w:rsidR="00A564AA" w:rsidRPr="009F18C1" w:rsidRDefault="00A564AA" w:rsidP="005E41F4">
            <w:pPr>
              <w:pStyle w:val="Tabletext"/>
              <w:keepNext/>
              <w:keepLines/>
              <w:ind w:left="0" w:right="0"/>
              <w:rPr>
                <w:kern w:val="2"/>
              </w:rPr>
            </w:pPr>
          </w:p>
        </w:tc>
        <w:tc>
          <w:tcPr>
            <w:tcW w:w="1656" w:type="dxa"/>
            <w:vMerge/>
          </w:tcPr>
          <w:p w14:paraId="4D6760FF" w14:textId="77777777" w:rsidR="00A564AA" w:rsidRPr="009F18C1" w:rsidRDefault="00A564AA" w:rsidP="005E41F4">
            <w:pPr>
              <w:pStyle w:val="Tabletext"/>
              <w:keepNext/>
              <w:keepLines/>
              <w:ind w:left="0" w:right="0"/>
              <w:rPr>
                <w:kern w:val="2"/>
              </w:rPr>
            </w:pPr>
          </w:p>
        </w:tc>
        <w:tc>
          <w:tcPr>
            <w:tcW w:w="883" w:type="dxa"/>
          </w:tcPr>
          <w:p w14:paraId="1200EFE1" w14:textId="77777777" w:rsidR="00A564AA" w:rsidRPr="009F18C1" w:rsidRDefault="00A564AA" w:rsidP="005E41F4">
            <w:pPr>
              <w:pStyle w:val="Tabletext"/>
              <w:keepNext/>
              <w:keepLines/>
              <w:spacing w:line="190" w:lineRule="exact"/>
              <w:ind w:left="0" w:right="0"/>
              <w:rPr>
                <w:kern w:val="2"/>
              </w:rPr>
            </w:pPr>
            <w:r w:rsidRPr="009F18C1">
              <w:rPr>
                <w:kern w:val="2"/>
              </w:rPr>
              <w:t>5</w:t>
            </w:r>
          </w:p>
        </w:tc>
        <w:tc>
          <w:tcPr>
            <w:tcW w:w="992" w:type="dxa"/>
          </w:tcPr>
          <w:p w14:paraId="48FF4B07" w14:textId="77777777" w:rsidR="00A564AA" w:rsidRPr="009F18C1" w:rsidRDefault="00A564AA" w:rsidP="005E41F4">
            <w:pPr>
              <w:pStyle w:val="Tabletext"/>
              <w:keepNext/>
              <w:keepLines/>
              <w:spacing w:line="190" w:lineRule="exact"/>
              <w:ind w:left="0" w:right="0"/>
              <w:rPr>
                <w:kern w:val="2"/>
              </w:rPr>
            </w:pPr>
            <w:r>
              <w:rPr>
                <w:kern w:val="2"/>
              </w:rPr>
              <w:t>30</w:t>
            </w:r>
          </w:p>
        </w:tc>
        <w:tc>
          <w:tcPr>
            <w:tcW w:w="1418" w:type="dxa"/>
          </w:tcPr>
          <w:p w14:paraId="04EE1F8B" w14:textId="77777777" w:rsidR="00A564AA" w:rsidRPr="009F18C1" w:rsidRDefault="00A564AA" w:rsidP="005E41F4">
            <w:pPr>
              <w:pStyle w:val="Tabletext"/>
              <w:keepNext/>
              <w:keepLines/>
              <w:spacing w:line="190" w:lineRule="exact"/>
              <w:ind w:left="0" w:right="0"/>
              <w:rPr>
                <w:kern w:val="2"/>
              </w:rPr>
            </w:pPr>
            <w:r>
              <w:rPr>
                <w:kern w:val="2"/>
              </w:rPr>
              <w:t>–</w:t>
            </w:r>
          </w:p>
        </w:tc>
        <w:tc>
          <w:tcPr>
            <w:tcW w:w="1275" w:type="dxa"/>
          </w:tcPr>
          <w:p w14:paraId="3E3CBC5C" w14:textId="77777777" w:rsidR="00A564AA" w:rsidRPr="009F18C1" w:rsidRDefault="00A564AA" w:rsidP="005E41F4">
            <w:pPr>
              <w:pStyle w:val="Tabletext"/>
              <w:keepNext/>
              <w:keepLines/>
              <w:spacing w:line="190" w:lineRule="exact"/>
              <w:ind w:left="0" w:right="0"/>
              <w:rPr>
                <w:kern w:val="2"/>
              </w:rPr>
            </w:pPr>
            <w:r>
              <w:rPr>
                <w:kern w:val="2"/>
              </w:rPr>
              <w:t>–</w:t>
            </w:r>
          </w:p>
        </w:tc>
        <w:tc>
          <w:tcPr>
            <w:tcW w:w="1146" w:type="dxa"/>
          </w:tcPr>
          <w:p w14:paraId="3B12FD59" w14:textId="77777777" w:rsidR="00A564AA" w:rsidRPr="009F18C1" w:rsidRDefault="00A564AA" w:rsidP="005E41F4">
            <w:pPr>
              <w:pStyle w:val="Tabletext"/>
              <w:keepNext/>
              <w:keepLines/>
              <w:spacing w:line="190" w:lineRule="exact"/>
              <w:ind w:left="0" w:right="0"/>
              <w:rPr>
                <w:kern w:val="2"/>
              </w:rPr>
            </w:pPr>
            <w:r>
              <w:rPr>
                <w:kern w:val="2"/>
              </w:rPr>
              <w:t>25</w:t>
            </w:r>
          </w:p>
        </w:tc>
      </w:tr>
      <w:tr w:rsidR="001C58EF" w:rsidRPr="009F18C1" w14:paraId="162658B8" w14:textId="77777777" w:rsidTr="001C58EF">
        <w:trPr>
          <w:trHeight w:val="189"/>
        </w:trPr>
        <w:tc>
          <w:tcPr>
            <w:tcW w:w="1255" w:type="dxa"/>
            <w:vMerge/>
          </w:tcPr>
          <w:p w14:paraId="0009A2EE" w14:textId="77777777" w:rsidR="00A564AA" w:rsidRPr="009F18C1" w:rsidRDefault="00A564AA" w:rsidP="005E41F4">
            <w:pPr>
              <w:pStyle w:val="Tabletext"/>
              <w:keepNext/>
              <w:keepLines/>
              <w:ind w:left="0" w:right="0"/>
              <w:rPr>
                <w:kern w:val="2"/>
              </w:rPr>
            </w:pPr>
          </w:p>
        </w:tc>
        <w:tc>
          <w:tcPr>
            <w:tcW w:w="1656" w:type="dxa"/>
            <w:vMerge/>
          </w:tcPr>
          <w:p w14:paraId="0CBC2608" w14:textId="77777777" w:rsidR="00A564AA" w:rsidRPr="009F18C1" w:rsidRDefault="00A564AA" w:rsidP="005E41F4">
            <w:pPr>
              <w:pStyle w:val="Tabletext"/>
              <w:keepNext/>
              <w:keepLines/>
              <w:ind w:left="0" w:right="0"/>
              <w:rPr>
                <w:kern w:val="2"/>
              </w:rPr>
            </w:pPr>
          </w:p>
        </w:tc>
        <w:tc>
          <w:tcPr>
            <w:tcW w:w="883" w:type="dxa"/>
          </w:tcPr>
          <w:p w14:paraId="290BC2C5" w14:textId="77777777" w:rsidR="00A564AA" w:rsidRPr="009F18C1" w:rsidRDefault="00A564AA" w:rsidP="005E41F4">
            <w:pPr>
              <w:pStyle w:val="Tabletext"/>
              <w:keepNext/>
              <w:keepLines/>
              <w:spacing w:line="190" w:lineRule="exact"/>
              <w:ind w:left="0" w:right="0"/>
              <w:rPr>
                <w:kern w:val="2"/>
              </w:rPr>
            </w:pPr>
            <w:r w:rsidRPr="009F18C1">
              <w:rPr>
                <w:kern w:val="2"/>
              </w:rPr>
              <w:t>10</w:t>
            </w:r>
          </w:p>
        </w:tc>
        <w:tc>
          <w:tcPr>
            <w:tcW w:w="992" w:type="dxa"/>
          </w:tcPr>
          <w:p w14:paraId="433BDA19" w14:textId="77777777" w:rsidR="00A564AA" w:rsidRPr="009F18C1" w:rsidRDefault="00A564AA" w:rsidP="005E41F4">
            <w:pPr>
              <w:pStyle w:val="Tabletext"/>
              <w:keepNext/>
              <w:keepLines/>
              <w:spacing w:line="190" w:lineRule="exact"/>
              <w:ind w:left="0" w:right="0"/>
              <w:rPr>
                <w:kern w:val="2"/>
              </w:rPr>
            </w:pPr>
            <w:r>
              <w:rPr>
                <w:kern w:val="2"/>
              </w:rPr>
              <w:t>60</w:t>
            </w:r>
          </w:p>
        </w:tc>
        <w:tc>
          <w:tcPr>
            <w:tcW w:w="1418" w:type="dxa"/>
          </w:tcPr>
          <w:p w14:paraId="6A2AD33C" w14:textId="77777777" w:rsidR="00A564AA" w:rsidRPr="009F18C1" w:rsidRDefault="00A564AA" w:rsidP="005E41F4">
            <w:pPr>
              <w:pStyle w:val="Tabletext"/>
              <w:keepNext/>
              <w:keepLines/>
              <w:spacing w:line="190" w:lineRule="exact"/>
              <w:ind w:left="0" w:right="0"/>
              <w:rPr>
                <w:kern w:val="2"/>
              </w:rPr>
            </w:pPr>
            <w:r>
              <w:rPr>
                <w:kern w:val="2"/>
              </w:rPr>
              <w:t>–</w:t>
            </w:r>
          </w:p>
        </w:tc>
        <w:tc>
          <w:tcPr>
            <w:tcW w:w="1275" w:type="dxa"/>
          </w:tcPr>
          <w:p w14:paraId="07F6A30E" w14:textId="77777777" w:rsidR="00A564AA" w:rsidRPr="009F18C1" w:rsidRDefault="00A564AA" w:rsidP="005E41F4">
            <w:pPr>
              <w:pStyle w:val="Tabletext"/>
              <w:keepNext/>
              <w:keepLines/>
              <w:spacing w:line="190" w:lineRule="exact"/>
              <w:ind w:left="0" w:right="0"/>
              <w:rPr>
                <w:kern w:val="2"/>
              </w:rPr>
            </w:pPr>
            <w:r>
              <w:rPr>
                <w:kern w:val="2"/>
              </w:rPr>
              <w:t>–</w:t>
            </w:r>
          </w:p>
        </w:tc>
        <w:tc>
          <w:tcPr>
            <w:tcW w:w="1146" w:type="dxa"/>
          </w:tcPr>
          <w:p w14:paraId="1BDA0609" w14:textId="77777777" w:rsidR="00A564AA" w:rsidRPr="009F18C1" w:rsidRDefault="00A564AA" w:rsidP="005E41F4">
            <w:pPr>
              <w:pStyle w:val="Tabletext"/>
              <w:keepNext/>
              <w:keepLines/>
              <w:spacing w:line="190" w:lineRule="exact"/>
              <w:ind w:left="0" w:right="0"/>
              <w:rPr>
                <w:kern w:val="2"/>
              </w:rPr>
            </w:pPr>
            <w:r>
              <w:rPr>
                <w:kern w:val="2"/>
              </w:rPr>
              <w:t>51</w:t>
            </w:r>
          </w:p>
        </w:tc>
      </w:tr>
      <w:tr w:rsidR="001C58EF" w:rsidRPr="009F18C1" w14:paraId="3C37CD9F" w14:textId="77777777" w:rsidTr="001C58EF">
        <w:trPr>
          <w:trHeight w:val="189"/>
        </w:trPr>
        <w:tc>
          <w:tcPr>
            <w:tcW w:w="1255" w:type="dxa"/>
            <w:vMerge w:val="restart"/>
          </w:tcPr>
          <w:p w14:paraId="58264F54" w14:textId="77777777" w:rsidR="00A564AA" w:rsidRPr="009F18C1" w:rsidRDefault="00A564AA" w:rsidP="005E41F4">
            <w:pPr>
              <w:pStyle w:val="Tabletext"/>
              <w:keepNext/>
              <w:keepLines/>
              <w:ind w:left="0" w:right="0"/>
              <w:rPr>
                <w:kern w:val="2"/>
              </w:rPr>
            </w:pPr>
            <w:r w:rsidRPr="009F18C1">
              <w:rPr>
                <w:b/>
                <w:kern w:val="2"/>
              </w:rPr>
              <w:t>Rabbit</w:t>
            </w:r>
            <w:r w:rsidRPr="009F18C1">
              <w:rPr>
                <w:kern w:val="2"/>
              </w:rPr>
              <w:br/>
              <w:t>(NZW)</w:t>
            </w:r>
          </w:p>
        </w:tc>
        <w:tc>
          <w:tcPr>
            <w:tcW w:w="1656" w:type="dxa"/>
            <w:vMerge w:val="restart"/>
          </w:tcPr>
          <w:p w14:paraId="50BE241A" w14:textId="77777777" w:rsidR="00A564AA" w:rsidRPr="009F18C1" w:rsidRDefault="00A564AA" w:rsidP="005E41F4">
            <w:pPr>
              <w:pStyle w:val="Tabletext"/>
              <w:keepNext/>
              <w:keepLines/>
              <w:ind w:left="0" w:right="0"/>
              <w:rPr>
                <w:kern w:val="2"/>
              </w:rPr>
            </w:pPr>
            <w:r>
              <w:rPr>
                <w:kern w:val="2"/>
              </w:rPr>
              <w:t>Embryofetal</w:t>
            </w:r>
            <w:r>
              <w:rPr>
                <w:kern w:val="2"/>
              </w:rPr>
              <w:br/>
            </w:r>
            <w:r w:rsidRPr="009F18C1">
              <w:rPr>
                <w:kern w:val="2"/>
              </w:rPr>
              <w:t>development</w:t>
            </w:r>
          </w:p>
        </w:tc>
        <w:tc>
          <w:tcPr>
            <w:tcW w:w="883" w:type="dxa"/>
          </w:tcPr>
          <w:p w14:paraId="297BEA70" w14:textId="77777777" w:rsidR="00A564AA" w:rsidRPr="009F18C1" w:rsidRDefault="00A564AA" w:rsidP="005E41F4">
            <w:pPr>
              <w:pStyle w:val="Tabletext"/>
              <w:keepNext/>
              <w:keepLines/>
              <w:spacing w:line="190" w:lineRule="exact"/>
              <w:ind w:left="0" w:right="0"/>
              <w:rPr>
                <w:kern w:val="2"/>
              </w:rPr>
            </w:pPr>
            <w:r w:rsidRPr="009F18C1">
              <w:rPr>
                <w:kern w:val="2"/>
              </w:rPr>
              <w:t>0.05</w:t>
            </w:r>
          </w:p>
        </w:tc>
        <w:tc>
          <w:tcPr>
            <w:tcW w:w="992" w:type="dxa"/>
          </w:tcPr>
          <w:p w14:paraId="11DDA13C" w14:textId="77777777" w:rsidR="00A564AA" w:rsidRPr="009F18C1" w:rsidRDefault="00A564AA" w:rsidP="005E41F4">
            <w:pPr>
              <w:pStyle w:val="Tabletext"/>
              <w:keepNext/>
              <w:keepLines/>
              <w:spacing w:line="190" w:lineRule="exact"/>
              <w:ind w:left="0" w:right="0"/>
              <w:rPr>
                <w:kern w:val="2"/>
              </w:rPr>
            </w:pPr>
            <w:r>
              <w:rPr>
                <w:kern w:val="2"/>
              </w:rPr>
              <w:t>–</w:t>
            </w:r>
          </w:p>
        </w:tc>
        <w:tc>
          <w:tcPr>
            <w:tcW w:w="1418" w:type="dxa"/>
          </w:tcPr>
          <w:p w14:paraId="7E7F2667" w14:textId="77777777" w:rsidR="00A564AA" w:rsidRPr="009F18C1" w:rsidRDefault="00A564AA" w:rsidP="005E41F4">
            <w:pPr>
              <w:pStyle w:val="Tabletext"/>
              <w:keepNext/>
              <w:keepLines/>
              <w:spacing w:line="190" w:lineRule="exact"/>
              <w:ind w:left="0" w:right="0"/>
              <w:rPr>
                <w:kern w:val="2"/>
              </w:rPr>
            </w:pPr>
            <w:r>
              <w:rPr>
                <w:kern w:val="2"/>
              </w:rPr>
              <w:t>114</w:t>
            </w:r>
          </w:p>
        </w:tc>
        <w:tc>
          <w:tcPr>
            <w:tcW w:w="1275" w:type="dxa"/>
          </w:tcPr>
          <w:p w14:paraId="6EF132AE" w14:textId="77777777" w:rsidR="00A564AA" w:rsidRPr="009F18C1" w:rsidRDefault="00A564AA" w:rsidP="005E41F4">
            <w:pPr>
              <w:pStyle w:val="Tabletext"/>
              <w:keepNext/>
              <w:keepLines/>
              <w:spacing w:line="190" w:lineRule="exact"/>
              <w:ind w:left="0" w:right="0"/>
              <w:rPr>
                <w:kern w:val="2"/>
              </w:rPr>
            </w:pPr>
            <w:r>
              <w:rPr>
                <w:kern w:val="2"/>
              </w:rPr>
              <w:t>0.4</w:t>
            </w:r>
          </w:p>
        </w:tc>
        <w:tc>
          <w:tcPr>
            <w:tcW w:w="1146" w:type="dxa"/>
          </w:tcPr>
          <w:p w14:paraId="36322164" w14:textId="77777777" w:rsidR="00A564AA" w:rsidRPr="009F18C1" w:rsidRDefault="00A564AA" w:rsidP="005E41F4">
            <w:pPr>
              <w:pStyle w:val="Tabletext"/>
              <w:keepNext/>
              <w:keepLines/>
              <w:spacing w:line="190" w:lineRule="exact"/>
              <w:ind w:left="0" w:right="0"/>
              <w:rPr>
                <w:kern w:val="2"/>
              </w:rPr>
            </w:pPr>
            <w:r>
              <w:rPr>
                <w:kern w:val="2"/>
              </w:rPr>
              <w:t>–</w:t>
            </w:r>
          </w:p>
        </w:tc>
      </w:tr>
      <w:tr w:rsidR="001C58EF" w:rsidRPr="009F18C1" w14:paraId="7B6B6D6D" w14:textId="77777777" w:rsidTr="001C58EF">
        <w:trPr>
          <w:trHeight w:val="189"/>
        </w:trPr>
        <w:tc>
          <w:tcPr>
            <w:tcW w:w="1255" w:type="dxa"/>
            <w:vMerge/>
          </w:tcPr>
          <w:p w14:paraId="43D833DD" w14:textId="77777777" w:rsidR="00A564AA" w:rsidRPr="009F18C1" w:rsidRDefault="00A564AA" w:rsidP="005E41F4">
            <w:pPr>
              <w:pStyle w:val="Tabletext"/>
              <w:keepNext/>
              <w:keepLines/>
              <w:ind w:left="0" w:right="0"/>
              <w:rPr>
                <w:kern w:val="2"/>
              </w:rPr>
            </w:pPr>
          </w:p>
        </w:tc>
        <w:tc>
          <w:tcPr>
            <w:tcW w:w="1656" w:type="dxa"/>
            <w:vMerge/>
          </w:tcPr>
          <w:p w14:paraId="584A7CBA" w14:textId="77777777" w:rsidR="00A564AA" w:rsidRPr="009F18C1" w:rsidRDefault="00A564AA" w:rsidP="005E41F4">
            <w:pPr>
              <w:pStyle w:val="Tabletext"/>
              <w:keepNext/>
              <w:keepLines/>
              <w:ind w:left="0" w:right="0"/>
              <w:rPr>
                <w:kern w:val="2"/>
              </w:rPr>
            </w:pPr>
          </w:p>
        </w:tc>
        <w:tc>
          <w:tcPr>
            <w:tcW w:w="883" w:type="dxa"/>
          </w:tcPr>
          <w:p w14:paraId="3C9FC470" w14:textId="77777777" w:rsidR="00A564AA" w:rsidRPr="009F18C1" w:rsidRDefault="00A564AA" w:rsidP="005E41F4">
            <w:pPr>
              <w:pStyle w:val="Tabletext"/>
              <w:keepNext/>
              <w:keepLines/>
              <w:spacing w:line="190" w:lineRule="exact"/>
              <w:ind w:left="0" w:right="0"/>
              <w:rPr>
                <w:kern w:val="2"/>
              </w:rPr>
            </w:pPr>
            <w:r w:rsidRPr="009F18C1">
              <w:rPr>
                <w:kern w:val="2"/>
              </w:rPr>
              <w:t>1</w:t>
            </w:r>
          </w:p>
        </w:tc>
        <w:tc>
          <w:tcPr>
            <w:tcW w:w="992" w:type="dxa"/>
          </w:tcPr>
          <w:p w14:paraId="583FC07F" w14:textId="77777777" w:rsidR="00A564AA" w:rsidRPr="009F18C1" w:rsidRDefault="00A564AA" w:rsidP="005E41F4">
            <w:pPr>
              <w:pStyle w:val="Tabletext"/>
              <w:keepNext/>
              <w:keepLines/>
              <w:spacing w:line="190" w:lineRule="exact"/>
              <w:ind w:left="0" w:right="0"/>
              <w:rPr>
                <w:kern w:val="2"/>
              </w:rPr>
            </w:pPr>
            <w:r>
              <w:rPr>
                <w:kern w:val="2"/>
              </w:rPr>
              <w:t>–</w:t>
            </w:r>
          </w:p>
        </w:tc>
        <w:tc>
          <w:tcPr>
            <w:tcW w:w="1418" w:type="dxa"/>
          </w:tcPr>
          <w:p w14:paraId="20C8B0BD" w14:textId="77777777" w:rsidR="00A564AA" w:rsidRPr="009F18C1" w:rsidRDefault="00A564AA" w:rsidP="005E41F4">
            <w:pPr>
              <w:pStyle w:val="Tabletext"/>
              <w:keepNext/>
              <w:keepLines/>
              <w:spacing w:line="190" w:lineRule="exact"/>
              <w:ind w:left="0" w:right="0"/>
              <w:rPr>
                <w:kern w:val="2"/>
              </w:rPr>
            </w:pPr>
            <w:r>
              <w:rPr>
                <w:kern w:val="2"/>
              </w:rPr>
              <w:t>1906</w:t>
            </w:r>
          </w:p>
        </w:tc>
        <w:tc>
          <w:tcPr>
            <w:tcW w:w="1275" w:type="dxa"/>
          </w:tcPr>
          <w:p w14:paraId="4E310C04" w14:textId="77777777" w:rsidR="00A564AA" w:rsidRPr="009F18C1" w:rsidRDefault="00A564AA" w:rsidP="005E41F4">
            <w:pPr>
              <w:pStyle w:val="Tabletext"/>
              <w:keepNext/>
              <w:keepLines/>
              <w:spacing w:line="190" w:lineRule="exact"/>
              <w:ind w:left="0" w:right="0"/>
              <w:rPr>
                <w:kern w:val="2"/>
              </w:rPr>
            </w:pPr>
            <w:r>
              <w:rPr>
                <w:kern w:val="2"/>
              </w:rPr>
              <w:t>6.5</w:t>
            </w:r>
          </w:p>
        </w:tc>
        <w:tc>
          <w:tcPr>
            <w:tcW w:w="1146" w:type="dxa"/>
          </w:tcPr>
          <w:p w14:paraId="4AA6C8A0" w14:textId="77777777" w:rsidR="00A564AA" w:rsidRPr="009F18C1" w:rsidRDefault="00A564AA" w:rsidP="005E41F4">
            <w:pPr>
              <w:pStyle w:val="Tabletext"/>
              <w:keepNext/>
              <w:keepLines/>
              <w:spacing w:line="190" w:lineRule="exact"/>
              <w:ind w:left="0" w:right="0"/>
              <w:rPr>
                <w:kern w:val="2"/>
              </w:rPr>
            </w:pPr>
            <w:r>
              <w:rPr>
                <w:kern w:val="2"/>
              </w:rPr>
              <w:t>–</w:t>
            </w:r>
          </w:p>
        </w:tc>
      </w:tr>
      <w:tr w:rsidR="001C58EF" w:rsidRPr="009F18C1" w14:paraId="4C014E30" w14:textId="77777777" w:rsidTr="001C58EF">
        <w:trPr>
          <w:trHeight w:val="189"/>
        </w:trPr>
        <w:tc>
          <w:tcPr>
            <w:tcW w:w="1255" w:type="dxa"/>
            <w:vMerge/>
          </w:tcPr>
          <w:p w14:paraId="6351DD7D" w14:textId="77777777" w:rsidR="00A564AA" w:rsidRPr="009F18C1" w:rsidRDefault="00A564AA" w:rsidP="005E41F4">
            <w:pPr>
              <w:pStyle w:val="Tabletext"/>
              <w:keepNext/>
              <w:keepLines/>
              <w:ind w:left="0" w:right="0"/>
              <w:rPr>
                <w:kern w:val="2"/>
              </w:rPr>
            </w:pPr>
          </w:p>
        </w:tc>
        <w:tc>
          <w:tcPr>
            <w:tcW w:w="1656" w:type="dxa"/>
            <w:vMerge/>
          </w:tcPr>
          <w:p w14:paraId="56AAFE05" w14:textId="77777777" w:rsidR="00A564AA" w:rsidRPr="009F18C1" w:rsidRDefault="00A564AA" w:rsidP="005E41F4">
            <w:pPr>
              <w:pStyle w:val="Tabletext"/>
              <w:keepNext/>
              <w:keepLines/>
              <w:ind w:left="0" w:right="0"/>
              <w:rPr>
                <w:kern w:val="2"/>
              </w:rPr>
            </w:pPr>
          </w:p>
        </w:tc>
        <w:tc>
          <w:tcPr>
            <w:tcW w:w="883" w:type="dxa"/>
          </w:tcPr>
          <w:p w14:paraId="78DFD816" w14:textId="77777777" w:rsidR="00A564AA" w:rsidRPr="009F18C1" w:rsidRDefault="00A564AA" w:rsidP="005E41F4">
            <w:pPr>
              <w:pStyle w:val="Tabletext"/>
              <w:keepNext/>
              <w:keepLines/>
              <w:spacing w:line="190" w:lineRule="exact"/>
              <w:ind w:left="0" w:right="0"/>
              <w:rPr>
                <w:kern w:val="2"/>
              </w:rPr>
            </w:pPr>
            <w:r w:rsidRPr="009F18C1">
              <w:rPr>
                <w:kern w:val="2"/>
              </w:rPr>
              <w:t>5</w:t>
            </w:r>
          </w:p>
        </w:tc>
        <w:tc>
          <w:tcPr>
            <w:tcW w:w="992" w:type="dxa"/>
          </w:tcPr>
          <w:p w14:paraId="3E71AEC4" w14:textId="77777777" w:rsidR="00A564AA" w:rsidRPr="009F18C1" w:rsidRDefault="00A564AA" w:rsidP="005E41F4">
            <w:pPr>
              <w:pStyle w:val="Tabletext"/>
              <w:keepNext/>
              <w:keepLines/>
              <w:spacing w:line="190" w:lineRule="exact"/>
              <w:ind w:left="0" w:right="0"/>
              <w:rPr>
                <w:kern w:val="2"/>
              </w:rPr>
            </w:pPr>
            <w:r>
              <w:rPr>
                <w:kern w:val="2"/>
              </w:rPr>
              <w:t>–</w:t>
            </w:r>
          </w:p>
        </w:tc>
        <w:tc>
          <w:tcPr>
            <w:tcW w:w="1418" w:type="dxa"/>
          </w:tcPr>
          <w:p w14:paraId="2A4A68E6" w14:textId="77777777" w:rsidR="00A564AA" w:rsidRPr="009F18C1" w:rsidRDefault="00A564AA" w:rsidP="005E41F4">
            <w:pPr>
              <w:pStyle w:val="Tabletext"/>
              <w:keepNext/>
              <w:keepLines/>
              <w:spacing w:line="190" w:lineRule="exact"/>
              <w:ind w:left="0" w:right="0"/>
              <w:rPr>
                <w:kern w:val="2"/>
              </w:rPr>
            </w:pPr>
            <w:r>
              <w:rPr>
                <w:kern w:val="2"/>
              </w:rPr>
              <w:t>11766</w:t>
            </w:r>
          </w:p>
        </w:tc>
        <w:tc>
          <w:tcPr>
            <w:tcW w:w="1275" w:type="dxa"/>
          </w:tcPr>
          <w:p w14:paraId="03A71547" w14:textId="77777777" w:rsidR="00A564AA" w:rsidRPr="009F18C1" w:rsidRDefault="00A564AA" w:rsidP="005E41F4">
            <w:pPr>
              <w:pStyle w:val="Tabletext"/>
              <w:keepNext/>
              <w:keepLines/>
              <w:spacing w:line="190" w:lineRule="exact"/>
              <w:ind w:left="0" w:right="0"/>
              <w:rPr>
                <w:kern w:val="2"/>
              </w:rPr>
            </w:pPr>
            <w:r>
              <w:rPr>
                <w:kern w:val="2"/>
              </w:rPr>
              <w:t>40</w:t>
            </w:r>
          </w:p>
        </w:tc>
        <w:tc>
          <w:tcPr>
            <w:tcW w:w="1146" w:type="dxa"/>
          </w:tcPr>
          <w:p w14:paraId="3BE7F07A" w14:textId="77777777" w:rsidR="00A564AA" w:rsidRPr="009F18C1" w:rsidRDefault="00A564AA" w:rsidP="005E41F4">
            <w:pPr>
              <w:pStyle w:val="Tabletext"/>
              <w:keepNext/>
              <w:keepLines/>
              <w:spacing w:line="190" w:lineRule="exact"/>
              <w:ind w:left="0" w:right="0"/>
              <w:rPr>
                <w:kern w:val="2"/>
              </w:rPr>
            </w:pPr>
            <w:r>
              <w:rPr>
                <w:kern w:val="2"/>
              </w:rPr>
              <w:t>–</w:t>
            </w:r>
          </w:p>
        </w:tc>
      </w:tr>
      <w:tr w:rsidR="001C58EF" w:rsidRPr="009F18C1" w14:paraId="19A7C4D9" w14:textId="77777777" w:rsidTr="001C58EF">
        <w:trPr>
          <w:trHeight w:val="218"/>
        </w:trPr>
        <w:tc>
          <w:tcPr>
            <w:tcW w:w="1255" w:type="dxa"/>
          </w:tcPr>
          <w:p w14:paraId="6921676B" w14:textId="77777777" w:rsidR="00A564AA" w:rsidRPr="009F18C1" w:rsidRDefault="00A564AA" w:rsidP="005E41F4">
            <w:pPr>
              <w:pStyle w:val="Tabletext"/>
              <w:keepNext/>
              <w:keepLines/>
              <w:ind w:left="0" w:right="0"/>
              <w:rPr>
                <w:kern w:val="2"/>
              </w:rPr>
            </w:pPr>
            <w:r w:rsidRPr="009F18C1">
              <w:rPr>
                <w:b/>
                <w:kern w:val="2"/>
              </w:rPr>
              <w:t>Human</w:t>
            </w:r>
            <w:r w:rsidR="001C58EF">
              <w:rPr>
                <w:kern w:val="2"/>
              </w:rPr>
              <w:br/>
              <w:t>(HV</w:t>
            </w:r>
            <w:r w:rsidRPr="009F18C1">
              <w:rPr>
                <w:kern w:val="2"/>
              </w:rPr>
              <w:t>)</w:t>
            </w:r>
          </w:p>
        </w:tc>
        <w:tc>
          <w:tcPr>
            <w:tcW w:w="1656" w:type="dxa"/>
          </w:tcPr>
          <w:p w14:paraId="418967DC" w14:textId="77777777" w:rsidR="00A564AA" w:rsidRPr="009F18C1" w:rsidRDefault="00A564AA" w:rsidP="005E41F4">
            <w:pPr>
              <w:pStyle w:val="Tabletext"/>
              <w:keepNext/>
              <w:keepLines/>
              <w:ind w:left="0" w:right="0"/>
              <w:rPr>
                <w:kern w:val="2"/>
              </w:rPr>
            </w:pPr>
            <w:r w:rsidRPr="009F18C1">
              <w:rPr>
                <w:kern w:val="2"/>
              </w:rPr>
              <w:t>steady-state</w:t>
            </w:r>
          </w:p>
        </w:tc>
        <w:tc>
          <w:tcPr>
            <w:tcW w:w="883" w:type="dxa"/>
          </w:tcPr>
          <w:p w14:paraId="4F6243A7" w14:textId="77777777" w:rsidR="00A564AA" w:rsidRPr="009F18C1" w:rsidRDefault="00A564AA" w:rsidP="00224C4E">
            <w:pPr>
              <w:pStyle w:val="Tabletext"/>
              <w:keepNext/>
              <w:keepLines/>
              <w:ind w:left="0" w:right="0"/>
              <w:rPr>
                <w:kern w:val="2"/>
              </w:rPr>
            </w:pPr>
            <w:r w:rsidRPr="009F18C1">
              <w:rPr>
                <w:kern w:val="2"/>
              </w:rPr>
              <w:t xml:space="preserve">[900 </w:t>
            </w:r>
            <w:proofErr w:type="spellStart"/>
            <w:r w:rsidRPr="009F18C1">
              <w:rPr>
                <w:kern w:val="2"/>
              </w:rPr>
              <w:t>μg</w:t>
            </w:r>
            <w:proofErr w:type="spellEnd"/>
            <w:r w:rsidRPr="009F18C1">
              <w:rPr>
                <w:kern w:val="2"/>
              </w:rPr>
              <w:t xml:space="preserve"> </w:t>
            </w:r>
            <w:r w:rsidR="0009268D">
              <w:rPr>
                <w:kern w:val="2"/>
              </w:rPr>
              <w:t>BD</w:t>
            </w:r>
            <w:r w:rsidRPr="009F18C1">
              <w:rPr>
                <w:kern w:val="2"/>
              </w:rPr>
              <w:t>]</w:t>
            </w:r>
          </w:p>
        </w:tc>
        <w:tc>
          <w:tcPr>
            <w:tcW w:w="992" w:type="dxa"/>
          </w:tcPr>
          <w:p w14:paraId="07CA4A9E" w14:textId="77777777" w:rsidR="00A564AA" w:rsidRPr="009F18C1" w:rsidRDefault="00A564AA" w:rsidP="005E41F4">
            <w:pPr>
              <w:pStyle w:val="Tabletext"/>
              <w:keepNext/>
              <w:keepLines/>
              <w:ind w:left="0" w:right="0"/>
              <w:rPr>
                <w:kern w:val="2"/>
              </w:rPr>
            </w:pPr>
            <w:r>
              <w:rPr>
                <w:kern w:val="2"/>
              </w:rPr>
              <w:t>1.188</w:t>
            </w:r>
          </w:p>
        </w:tc>
        <w:tc>
          <w:tcPr>
            <w:tcW w:w="1418" w:type="dxa"/>
          </w:tcPr>
          <w:p w14:paraId="769D46EB" w14:textId="77777777" w:rsidR="00A564AA" w:rsidRPr="009F18C1" w:rsidRDefault="00A564AA" w:rsidP="005E41F4">
            <w:pPr>
              <w:pStyle w:val="Tabletext"/>
              <w:keepNext/>
              <w:keepLines/>
              <w:ind w:left="0" w:right="0"/>
              <w:rPr>
                <w:kern w:val="2"/>
              </w:rPr>
            </w:pPr>
            <w:r w:rsidRPr="009F18C1">
              <w:rPr>
                <w:kern w:val="2"/>
              </w:rPr>
              <w:t>291.2</w:t>
            </w:r>
          </w:p>
        </w:tc>
        <w:tc>
          <w:tcPr>
            <w:tcW w:w="2421" w:type="dxa"/>
            <w:gridSpan w:val="2"/>
          </w:tcPr>
          <w:p w14:paraId="0AB69611" w14:textId="77777777" w:rsidR="00A564AA" w:rsidRPr="009F18C1" w:rsidRDefault="00A564AA" w:rsidP="005E41F4">
            <w:pPr>
              <w:pStyle w:val="Tabletext"/>
              <w:keepNext/>
              <w:keepLines/>
              <w:ind w:left="0" w:right="0"/>
              <w:rPr>
                <w:kern w:val="2"/>
              </w:rPr>
            </w:pPr>
            <w:r w:rsidRPr="009F18C1">
              <w:rPr>
                <w:kern w:val="2"/>
              </w:rPr>
              <w:t>–</w:t>
            </w:r>
          </w:p>
        </w:tc>
      </w:tr>
    </w:tbl>
    <w:p w14:paraId="543774EC" w14:textId="77777777" w:rsidR="00A564AA" w:rsidRPr="00FB7D62" w:rsidRDefault="00A564AA" w:rsidP="005E41F4">
      <w:pPr>
        <w:pStyle w:val="TableCaption"/>
        <w:keepNext/>
        <w:keepLines/>
      </w:pPr>
      <w:r w:rsidRPr="00D7327D">
        <w:rPr>
          <w:position w:val="-2"/>
          <w:vertAlign w:val="superscript"/>
        </w:rPr>
        <w:t>#</w:t>
      </w:r>
      <w:r>
        <w:t xml:space="preserve"> = for studies that did not include toxicokinetic analyses, exposure ratios are calculated based on </w:t>
      </w:r>
      <w:proofErr w:type="spellStart"/>
      <w:r>
        <w:t>animal:human</w:t>
      </w:r>
      <w:proofErr w:type="spellEnd"/>
      <w:r>
        <w:t xml:space="preserve"> body surface area-adjusted doses, using mg/kg to mg/m</w:t>
      </w:r>
      <w:r w:rsidRPr="00D02044">
        <w:rPr>
          <w:vertAlign w:val="superscript"/>
        </w:rPr>
        <w:t>2</w:t>
      </w:r>
      <w:r>
        <w:t xml:space="preserve"> conversion factors of 6 for rats and 33 for humans (50 kg)</w:t>
      </w:r>
    </w:p>
    <w:p w14:paraId="6E8D757F" w14:textId="77777777" w:rsidR="00A564AA" w:rsidRPr="005E41F4" w:rsidRDefault="00A564AA" w:rsidP="005E41F4">
      <w:r w:rsidRPr="005E41F4">
        <w:t>High multiples of the anticipated clinical exposure were achieved at the highest dose levels tested. 14C</w:t>
      </w:r>
      <w:r w:rsidRPr="005E41F4">
        <w:noBreakHyphen/>
        <w:t>Pasireotide-derived radioactivity was shown to cross the placenta at low levels in rats (</w:t>
      </w:r>
      <w:proofErr w:type="spellStart"/>
      <w:r w:rsidRPr="005E41F4">
        <w:t>fetal</w:t>
      </w:r>
      <w:proofErr w:type="spellEnd"/>
      <w:r w:rsidRPr="005E41F4">
        <w:t xml:space="preserve"> AUC, </w:t>
      </w:r>
      <w:r w:rsidR="00224C4E">
        <w:t xml:space="preserve">approximately </w:t>
      </w:r>
      <w:r w:rsidRPr="005E41F4">
        <w:t>7% of the maternal plasma AUC); the drug was also shown to cross the placenta in rabbits. Excretion of pasireotide in milk was demonstrated in lactating rats (</w:t>
      </w:r>
      <w:proofErr w:type="spellStart"/>
      <w:proofErr w:type="gramStart"/>
      <w:r w:rsidRPr="005E41F4">
        <w:t>milk:plasma</w:t>
      </w:r>
      <w:proofErr w:type="spellEnd"/>
      <w:proofErr w:type="gramEnd"/>
      <w:r w:rsidRPr="005E41F4">
        <w:t xml:space="preserve"> AUC for 14C</w:t>
      </w:r>
      <w:r w:rsidRPr="005E41F4">
        <w:noBreakHyphen/>
        <w:t>pasireotide-derived radioactivity, 27%).</w:t>
      </w:r>
    </w:p>
    <w:p w14:paraId="43E17B54" w14:textId="77777777" w:rsidR="00A564AA" w:rsidRPr="005E41F4" w:rsidRDefault="00A564AA" w:rsidP="005E41F4">
      <w:r w:rsidRPr="005E41F4">
        <w:t>Fertility was seen to be unaffected in male rats at ≤</w:t>
      </w:r>
      <w:r w:rsidR="00317586">
        <w:t xml:space="preserve"> </w:t>
      </w:r>
      <w:r w:rsidRPr="005E41F4">
        <w:t xml:space="preserve">10 mg/kg/day </w:t>
      </w:r>
      <w:proofErr w:type="spellStart"/>
      <w:r w:rsidR="00E11425">
        <w:t>sc</w:t>
      </w:r>
      <w:proofErr w:type="spellEnd"/>
      <w:r w:rsidRPr="005E41F4">
        <w:t xml:space="preserve"> (estimated relative exposure, 51). In female rats, the fertility index was decreased at 10 mg/kg/day, and oestrus cycling was disrupted (prolonged/acyclic) and corpora lutea were decreased at doses ≥</w:t>
      </w:r>
      <w:r w:rsidR="00317586">
        <w:t xml:space="preserve"> </w:t>
      </w:r>
      <w:r w:rsidRPr="005E41F4">
        <w:t>1</w:t>
      </w:r>
      <w:r w:rsidR="00317586">
        <w:t xml:space="preserve"> </w:t>
      </w:r>
      <w:r w:rsidRPr="005E41F4">
        <w:t>mg/kg/day (estimated relative exposure, ≥</w:t>
      </w:r>
      <w:r w:rsidR="00317586">
        <w:t xml:space="preserve"> </w:t>
      </w:r>
      <w:r w:rsidRPr="005E41F4">
        <w:t xml:space="preserve">5); the number of implantations and viable </w:t>
      </w:r>
      <w:proofErr w:type="spellStart"/>
      <w:r w:rsidRPr="005E41F4">
        <w:t>fetuses</w:t>
      </w:r>
      <w:proofErr w:type="spellEnd"/>
      <w:r w:rsidRPr="005E41F4">
        <w:t xml:space="preserve"> were reduced at all dose levels tested (≥</w:t>
      </w:r>
      <w:r w:rsidR="00317586">
        <w:t xml:space="preserve"> </w:t>
      </w:r>
      <w:r w:rsidRPr="005E41F4">
        <w:t>0.1 mg/kg/day; estimated relative exposure, ≥</w:t>
      </w:r>
      <w:r w:rsidR="00317586">
        <w:t xml:space="preserve"> </w:t>
      </w:r>
      <w:r w:rsidRPr="005E41F4">
        <w:t>0.5).</w:t>
      </w:r>
    </w:p>
    <w:p w14:paraId="3C451876" w14:textId="77777777" w:rsidR="00A564AA" w:rsidRPr="001B4317" w:rsidRDefault="00A564AA" w:rsidP="001B4317">
      <w:r w:rsidRPr="001B4317">
        <w:lastRenderedPageBreak/>
        <w:t xml:space="preserve">In rats, treatment at 10 mg/kg/day (relative exposure, 145) increased post-implantation loss, decreased mean </w:t>
      </w:r>
      <w:proofErr w:type="spellStart"/>
      <w:r w:rsidRPr="001B4317">
        <w:t>fetal</w:t>
      </w:r>
      <w:proofErr w:type="spellEnd"/>
      <w:r w:rsidRPr="001B4317">
        <w:t xml:space="preserve"> weight, increased the incidence of </w:t>
      </w:r>
      <w:proofErr w:type="spellStart"/>
      <w:r w:rsidRPr="001B4317">
        <w:t>fetuses</w:t>
      </w:r>
      <w:proofErr w:type="spellEnd"/>
      <w:r w:rsidRPr="001B4317">
        <w:t xml:space="preserve"> with </w:t>
      </w:r>
      <w:proofErr w:type="spellStart"/>
      <w:r w:rsidRPr="001B4317">
        <w:t>malrotated</w:t>
      </w:r>
      <w:proofErr w:type="spellEnd"/>
      <w:r w:rsidRPr="001B4317">
        <w:t xml:space="preserve"> limbs and inhibited ossification of the </w:t>
      </w:r>
      <w:proofErr w:type="spellStart"/>
      <w:r w:rsidRPr="001B4317">
        <w:t>hindpaw</w:t>
      </w:r>
      <w:proofErr w:type="spellEnd"/>
      <w:r w:rsidRPr="001B4317">
        <w:t xml:space="preserve"> phalanx; this dose was </w:t>
      </w:r>
      <w:proofErr w:type="spellStart"/>
      <w:r w:rsidRPr="001B4317">
        <w:t>maternotoxic</w:t>
      </w:r>
      <w:proofErr w:type="spellEnd"/>
      <w:r w:rsidRPr="001B4317">
        <w:t>. The NOEL for embryofetal development in the rat was 5 mg/kg/day (relative exposure, 88). In rabbits, treatment at ≥</w:t>
      </w:r>
      <w:r w:rsidR="001B4317">
        <w:t xml:space="preserve"> </w:t>
      </w:r>
      <w:r w:rsidRPr="001B4317">
        <w:t>1</w:t>
      </w:r>
      <w:r w:rsidR="001B4317">
        <w:t xml:space="preserve"> </w:t>
      </w:r>
      <w:r w:rsidRPr="001B4317">
        <w:t>mg/kg/day (relative exposure, ≥</w:t>
      </w:r>
      <w:r w:rsidR="001B4317">
        <w:t xml:space="preserve"> </w:t>
      </w:r>
      <w:r w:rsidRPr="001B4317">
        <w:t xml:space="preserve">6.5; </w:t>
      </w:r>
      <w:proofErr w:type="spellStart"/>
      <w:r w:rsidRPr="001B4317">
        <w:t>maternotoxic</w:t>
      </w:r>
      <w:proofErr w:type="spellEnd"/>
      <w:r w:rsidRPr="001B4317">
        <w:t xml:space="preserve">) increased post-implantation loss, decreased </w:t>
      </w:r>
      <w:proofErr w:type="spellStart"/>
      <w:r w:rsidRPr="001B4317">
        <w:t>fetal</w:t>
      </w:r>
      <w:proofErr w:type="spellEnd"/>
      <w:r w:rsidRPr="001B4317">
        <w:t xml:space="preserve"> weight, and impaired ossification (forepaw phalanx); abortions and further impairment of ossification (talus) were observed at 5</w:t>
      </w:r>
      <w:r w:rsidR="00E27E5F">
        <w:t> </w:t>
      </w:r>
      <w:r w:rsidRPr="001B4317">
        <w:t>mg/kg/day (relative exposure, 40). The NOEL for embryofetal development in the rabbit is 0.05</w:t>
      </w:r>
      <w:r w:rsidR="001B4317">
        <w:t xml:space="preserve"> </w:t>
      </w:r>
      <w:r w:rsidRPr="001B4317">
        <w:t xml:space="preserve">mg/kg/day (relative exposure, 0.4). The effects on embryofetal development observed in rats and rabbits are considered most likely to be secondary to </w:t>
      </w:r>
      <w:proofErr w:type="spellStart"/>
      <w:r w:rsidRPr="001B4317">
        <w:t>maternotoxicity</w:t>
      </w:r>
      <w:proofErr w:type="spellEnd"/>
      <w:r w:rsidRPr="001B4317">
        <w:t xml:space="preserve"> (</w:t>
      </w:r>
      <w:r w:rsidR="001B4317">
        <w:t>that is, severe effects on BW</w:t>
      </w:r>
      <w:r w:rsidRPr="001B4317">
        <w:t xml:space="preserve">), rather than to reflect a direct toxic effect on the </w:t>
      </w:r>
      <w:proofErr w:type="spellStart"/>
      <w:r w:rsidRPr="001B4317">
        <w:t>fetus</w:t>
      </w:r>
      <w:proofErr w:type="spellEnd"/>
      <w:r w:rsidRPr="001B4317">
        <w:t>.</w:t>
      </w:r>
    </w:p>
    <w:p w14:paraId="41C843A1" w14:textId="77777777" w:rsidR="00A564AA" w:rsidRPr="001B4317" w:rsidRDefault="00A564AA" w:rsidP="001B4317">
      <w:r w:rsidRPr="001B4317">
        <w:t xml:space="preserve">In a pre/postnatal development study in rat, pasireotide decreased pup birth weight and pre-weaning </w:t>
      </w:r>
      <w:r w:rsidR="001B4317">
        <w:t>BW</w:t>
      </w:r>
      <w:r w:rsidRPr="001B4317">
        <w:t xml:space="preserve"> gain, and delayed pinna unfolding, at all dose levels (≥</w:t>
      </w:r>
      <w:r w:rsidR="001B4317">
        <w:t xml:space="preserve"> </w:t>
      </w:r>
      <w:r w:rsidRPr="001B4317">
        <w:t>2</w:t>
      </w:r>
      <w:r w:rsidR="001B4317">
        <w:t xml:space="preserve"> </w:t>
      </w:r>
      <w:r w:rsidRPr="001B4317">
        <w:t>mg/kg/day; estimated relative exposure, ≥</w:t>
      </w:r>
      <w:r w:rsidR="001B4317">
        <w:t xml:space="preserve"> </w:t>
      </w:r>
      <w:r w:rsidRPr="001B4317">
        <w:t>10), occurring in conjunction with maternal toxicity. No NOEL for adverse effects on pre/postnatal development was established.</w:t>
      </w:r>
    </w:p>
    <w:p w14:paraId="3AD74C62" w14:textId="77777777" w:rsidR="00A564AA" w:rsidRPr="007F3D6A" w:rsidRDefault="00A564AA" w:rsidP="001B4317">
      <w:pPr>
        <w:pStyle w:val="Heading5"/>
      </w:pPr>
      <w:r w:rsidRPr="007F3D6A">
        <w:t>Pregnancy classification</w:t>
      </w:r>
    </w:p>
    <w:p w14:paraId="709A1DB8" w14:textId="77777777" w:rsidR="00A564AA" w:rsidRPr="007F3D6A" w:rsidRDefault="00A564AA" w:rsidP="00A564AA">
      <w:pPr>
        <w:pStyle w:val="Standard"/>
        <w:rPr>
          <w:kern w:val="2"/>
          <w:szCs w:val="20"/>
        </w:rPr>
      </w:pPr>
      <w:r w:rsidRPr="007F3D6A">
        <w:rPr>
          <w:kern w:val="2"/>
          <w:szCs w:val="20"/>
        </w:rPr>
        <w:t>The sponsor has proposed Pregnancy Category B3. This category is considered appropriate given the adverse effects on embryofetal development in rats and rabbits seen with pasireotide here.</w:t>
      </w:r>
    </w:p>
    <w:p w14:paraId="63731F0B" w14:textId="77777777" w:rsidR="00A564AA" w:rsidRPr="000F39E2" w:rsidRDefault="00A564AA" w:rsidP="001B4317">
      <w:pPr>
        <w:pStyle w:val="Heading4"/>
      </w:pPr>
      <w:r w:rsidRPr="000F39E2">
        <w:t>Immunotoxicity</w:t>
      </w:r>
    </w:p>
    <w:p w14:paraId="527AC4EF" w14:textId="77777777" w:rsidR="00A564AA" w:rsidRPr="001B4317" w:rsidRDefault="00A564AA" w:rsidP="001B4317">
      <w:r w:rsidRPr="001B4317">
        <w:t xml:space="preserve">In a specialised </w:t>
      </w:r>
      <w:r w:rsidR="001B4317">
        <w:t>four</w:t>
      </w:r>
      <w:r w:rsidR="006E3367">
        <w:t xml:space="preserve"> </w:t>
      </w:r>
      <w:r w:rsidRPr="001B4317">
        <w:t>week immunotoxicity study in rats, pasireotide decreased splenic lymphocyte counts in males (≥</w:t>
      </w:r>
      <w:r w:rsidR="001B4317">
        <w:t xml:space="preserve"> </w:t>
      </w:r>
      <w:r w:rsidRPr="001B4317">
        <w:t>0.24 mg/kg/day; all sub-populations) and caused bone marrow hypocellularity in both sexes (≥</w:t>
      </w:r>
      <w:r w:rsidR="001B4317">
        <w:t xml:space="preserve"> </w:t>
      </w:r>
      <w:r w:rsidRPr="001B4317">
        <w:t>0.24</w:t>
      </w:r>
      <w:r w:rsidR="001B4317">
        <w:t xml:space="preserve"> </w:t>
      </w:r>
      <w:r w:rsidRPr="001B4317">
        <w:t>mg/kg/day in males; 0.8</w:t>
      </w:r>
      <w:r w:rsidR="001B4317">
        <w:t xml:space="preserve"> </w:t>
      </w:r>
      <w:r w:rsidRPr="001B4317">
        <w:t>mg/kg/day in females), but had no effect on anti-KLH IgM or IgG responses (≤</w:t>
      </w:r>
      <w:r w:rsidR="001B4317">
        <w:t xml:space="preserve"> </w:t>
      </w:r>
      <w:r w:rsidRPr="001B4317">
        <w:t>0.8 mg/kg/day; estimated relative exposure, ≤</w:t>
      </w:r>
      <w:r w:rsidR="001B4317">
        <w:t xml:space="preserve"> </w:t>
      </w:r>
      <w:r w:rsidRPr="001B4317">
        <w:t>3.0 in females and ≤</w:t>
      </w:r>
      <w:r w:rsidR="001B4317">
        <w:t xml:space="preserve"> </w:t>
      </w:r>
      <w:r w:rsidRPr="001B4317">
        <w:t>8 in males).</w:t>
      </w:r>
    </w:p>
    <w:p w14:paraId="4AE1D9CB" w14:textId="77777777" w:rsidR="00A564AA" w:rsidRPr="001B4317" w:rsidRDefault="00A564AA" w:rsidP="001B4317">
      <w:pPr>
        <w:pStyle w:val="Heading4"/>
      </w:pPr>
      <w:r w:rsidRPr="001B4317">
        <w:t>Local tolerance and phototoxicity</w:t>
      </w:r>
    </w:p>
    <w:p w14:paraId="556D19D6" w14:textId="77777777" w:rsidR="00A564AA" w:rsidRPr="001B4317" w:rsidRDefault="00A564AA" w:rsidP="001B4317">
      <w:r w:rsidRPr="001B4317">
        <w:t xml:space="preserve">Local tolerance tests (in rabbits) were adequately conducted and revealed no significant dermal irritation with pasireotide and mild ocular irritation. No phototoxic potential was found for pasireotide </w:t>
      </w:r>
      <w:r w:rsidR="004939E4" w:rsidRPr="00A338C4">
        <w:t>in vitro</w:t>
      </w:r>
      <w:r w:rsidR="001B4317">
        <w:t xml:space="preserve"> </w:t>
      </w:r>
      <w:r w:rsidRPr="001B4317">
        <w:t>in the 3T3 Neutral Red uptake assay.</w:t>
      </w:r>
    </w:p>
    <w:p w14:paraId="5584FF75" w14:textId="77777777" w:rsidR="00A564AA" w:rsidRDefault="00A564AA" w:rsidP="001B4317">
      <w:pPr>
        <w:pStyle w:val="Heading4"/>
      </w:pPr>
      <w:r>
        <w:t>Impurities</w:t>
      </w:r>
    </w:p>
    <w:p w14:paraId="6A4907BD" w14:textId="77777777" w:rsidR="00A564AA" w:rsidRPr="001B4317" w:rsidRDefault="00A564AA" w:rsidP="001B4317">
      <w:r w:rsidRPr="001B4317">
        <w:t>The proposed specifications for related substances as impurities/degradants in the drug substance/product do not exceed the applicable qualification threshold for organic impurities in peptides obtained by chemical synthesis (</w:t>
      </w:r>
      <w:r w:rsidR="001B4317" w:rsidRPr="001B4317">
        <w:t xml:space="preserve">that is, </w:t>
      </w:r>
      <w:r w:rsidRPr="001B4317">
        <w:t xml:space="preserve">1.0%; </w:t>
      </w:r>
      <w:r w:rsidRPr="001B4317">
        <w:rPr>
          <w:i/>
        </w:rPr>
        <w:t>Ph. Eur</w:t>
      </w:r>
      <w:r w:rsidRPr="001B4317">
        <w:t>. monograph 2034).</w:t>
      </w:r>
    </w:p>
    <w:p w14:paraId="0EBACE81" w14:textId="77777777" w:rsidR="00A564AA" w:rsidRPr="001B4317" w:rsidRDefault="00A564AA" w:rsidP="001B4317">
      <w:pPr>
        <w:pStyle w:val="Heading4"/>
      </w:pPr>
      <w:r w:rsidRPr="001B4317">
        <w:t>Paediatric use</w:t>
      </w:r>
    </w:p>
    <w:p w14:paraId="2F90F378" w14:textId="77777777" w:rsidR="00A564AA" w:rsidRPr="001B4317" w:rsidRDefault="00A564AA" w:rsidP="001B4317">
      <w:r w:rsidRPr="001B4317">
        <w:t>Pasireotide is not proposed for paediatric use and no specific studies in juvenile animals were submitted. Growth retardation (pharmacologically mediated) would be expected.</w:t>
      </w:r>
    </w:p>
    <w:p w14:paraId="66D91CCE" w14:textId="77777777" w:rsidR="008E7846" w:rsidRDefault="008E7846" w:rsidP="008E7846">
      <w:pPr>
        <w:pStyle w:val="Heading3"/>
      </w:pPr>
      <w:bookmarkStart w:id="57" w:name="_Toc247691515"/>
      <w:bookmarkStart w:id="58" w:name="_Toc314842499"/>
      <w:bookmarkStart w:id="59" w:name="_Toc383680716"/>
      <w:r>
        <w:t>Nonclinical summary and conclusions</w:t>
      </w:r>
      <w:bookmarkEnd w:id="57"/>
      <w:bookmarkEnd w:id="58"/>
      <w:bookmarkEnd w:id="59"/>
    </w:p>
    <w:p w14:paraId="3232FF5A" w14:textId="77777777" w:rsidR="001663E0" w:rsidRDefault="001663E0" w:rsidP="001663E0">
      <w:pPr>
        <w:pStyle w:val="Heading4"/>
      </w:pPr>
      <w:r>
        <w:t>Summary</w:t>
      </w:r>
    </w:p>
    <w:p w14:paraId="697AE47A" w14:textId="77777777" w:rsidR="001663E0" w:rsidRPr="001663E0" w:rsidRDefault="001663E0" w:rsidP="004922E6">
      <w:pPr>
        <w:pStyle w:val="ListBullet"/>
      </w:pPr>
      <w:r w:rsidRPr="001663E0">
        <w:t xml:space="preserve">Novartis Pharmaceuticals Australia has applied to register a new chemical entity, </w:t>
      </w:r>
      <w:proofErr w:type="spellStart"/>
      <w:r w:rsidRPr="001663E0">
        <w:t>pasireotide</w:t>
      </w:r>
      <w:proofErr w:type="spellEnd"/>
      <w:r w:rsidRPr="001663E0">
        <w:t xml:space="preserve"> </w:t>
      </w:r>
      <w:proofErr w:type="spellStart"/>
      <w:r w:rsidRPr="001663E0">
        <w:t>diaspartate</w:t>
      </w:r>
      <w:proofErr w:type="spellEnd"/>
      <w:r w:rsidR="004922E6">
        <w:t xml:space="preserve"> (</w:t>
      </w:r>
      <w:proofErr w:type="spellStart"/>
      <w:r w:rsidRPr="001663E0">
        <w:t>Signifor</w:t>
      </w:r>
      <w:proofErr w:type="spellEnd"/>
      <w:r w:rsidR="004922E6">
        <w:t>)</w:t>
      </w:r>
      <w:r w:rsidRPr="001663E0">
        <w:t xml:space="preserve"> for the treatment of Cushing’s disease in adults.</w:t>
      </w:r>
    </w:p>
    <w:p w14:paraId="2A9C12C9" w14:textId="77777777" w:rsidR="001663E0" w:rsidRPr="001663E0" w:rsidRDefault="001663E0" w:rsidP="004922E6">
      <w:pPr>
        <w:pStyle w:val="ListBullet"/>
      </w:pPr>
      <w:r w:rsidRPr="001663E0">
        <w:lastRenderedPageBreak/>
        <w:t>The nonclinical dossier was of high quality. All pivotal safety-related studies, except one relating to the</w:t>
      </w:r>
      <w:r w:rsidR="00E27E5F">
        <w:t xml:space="preserve"> </w:t>
      </w:r>
      <w:r w:rsidR="004939E4" w:rsidRPr="00A338C4">
        <w:t>in vitro</w:t>
      </w:r>
      <w:r w:rsidRPr="00E27E5F">
        <w:rPr>
          <w:i/>
        </w:rPr>
        <w:t xml:space="preserve"> </w:t>
      </w:r>
      <w:r w:rsidRPr="001663E0">
        <w:t>assessment of cardiovascular safety, were conducted according to GLP.</w:t>
      </w:r>
    </w:p>
    <w:p w14:paraId="4089632A" w14:textId="77777777" w:rsidR="001663E0" w:rsidRPr="001663E0" w:rsidRDefault="001663E0" w:rsidP="004922E6">
      <w:pPr>
        <w:pStyle w:val="ListBullet"/>
      </w:pPr>
      <w:r w:rsidRPr="001663E0">
        <w:t xml:space="preserve">Pasireotide was shown to bind to four of the five human somatostatin receptor subtypes with nanomolar or (in the case of hsst5) </w:t>
      </w:r>
      <w:proofErr w:type="spellStart"/>
      <w:r w:rsidRPr="001663E0">
        <w:t>subnanomolar</w:t>
      </w:r>
      <w:proofErr w:type="spellEnd"/>
      <w:r w:rsidRPr="001663E0">
        <w:t xml:space="preserve"> affinity. Somatostatin receptor agonist activity was demonstrated </w:t>
      </w:r>
      <w:r w:rsidR="004939E4" w:rsidRPr="00A338C4">
        <w:t>in vitro</w:t>
      </w:r>
      <w:r w:rsidR="008008B0">
        <w:t xml:space="preserve"> </w:t>
      </w:r>
      <w:r w:rsidRPr="001663E0">
        <w:t xml:space="preserve">in cell-based functional experiments, and inhibition of ACTH and corticosterone secretion was shown </w:t>
      </w:r>
      <w:r w:rsidRPr="00A338C4">
        <w:t>in</w:t>
      </w:r>
      <w:r w:rsidR="006E3367" w:rsidRPr="00A338C4">
        <w:t xml:space="preserve"> </w:t>
      </w:r>
      <w:r w:rsidRPr="00A338C4">
        <w:t>vivo</w:t>
      </w:r>
      <w:r w:rsidRPr="001663E0">
        <w:t xml:space="preserve"> in rats.</w:t>
      </w:r>
    </w:p>
    <w:p w14:paraId="71AE1A4C" w14:textId="77777777" w:rsidR="001663E0" w:rsidRPr="001663E0" w:rsidRDefault="001663E0" w:rsidP="004922E6">
      <w:pPr>
        <w:pStyle w:val="ListBullet"/>
      </w:pPr>
      <w:r w:rsidRPr="001663E0">
        <w:t>Receptor screening assays identified the κ</w:t>
      </w:r>
      <w:r w:rsidRPr="001663E0">
        <w:noBreakHyphen/>
        <w:t>opiate, ghrelin, 5</w:t>
      </w:r>
      <w:r w:rsidRPr="001663E0">
        <w:noBreakHyphen/>
        <w:t>HT1A, and μ</w:t>
      </w:r>
      <w:r w:rsidRPr="001663E0">
        <w:softHyphen/>
      </w:r>
      <w:r w:rsidRPr="001663E0">
        <w:noBreakHyphen/>
        <w:t>opiate receptors as the most potent secondary targets of pasireotide.</w:t>
      </w:r>
    </w:p>
    <w:p w14:paraId="3F33BFDC" w14:textId="77777777" w:rsidR="001663E0" w:rsidRPr="001663E0" w:rsidRDefault="001663E0" w:rsidP="004922E6">
      <w:pPr>
        <w:pStyle w:val="ListBullet"/>
      </w:pPr>
      <w:r w:rsidRPr="001663E0">
        <w:t xml:space="preserve">Safety pharmacology studies covered the CNS, cardiovascular and respiratory systems. Pasireotide was only a weak inhibitor of the </w:t>
      </w:r>
      <w:proofErr w:type="spellStart"/>
      <w:r w:rsidRPr="001663E0">
        <w:t>hERG</w:t>
      </w:r>
      <w:proofErr w:type="spellEnd"/>
      <w:r w:rsidRPr="001663E0">
        <w:t xml:space="preserve"> K+ channel, and affected CNS function at only very high exposure levels in mice. The drug did not affect cardiovascular or respiratory function in animals </w:t>
      </w:r>
      <w:r w:rsidRPr="001663E0">
        <w:rPr>
          <w:i/>
        </w:rPr>
        <w:t>in-vivo</w:t>
      </w:r>
      <w:r w:rsidRPr="001663E0">
        <w:t>.</w:t>
      </w:r>
    </w:p>
    <w:p w14:paraId="3F542447" w14:textId="77777777" w:rsidR="001663E0" w:rsidRPr="001663E0" w:rsidRDefault="001663E0" w:rsidP="004922E6">
      <w:pPr>
        <w:pStyle w:val="ListBullet"/>
      </w:pPr>
      <w:r w:rsidRPr="001663E0">
        <w:t xml:space="preserve">Bioavailability was estimated to be complete following </w:t>
      </w:r>
      <w:proofErr w:type="spellStart"/>
      <w:r w:rsidR="000B294C">
        <w:t>sc</w:t>
      </w:r>
      <w:proofErr w:type="spellEnd"/>
      <w:r w:rsidRPr="001663E0">
        <w:t xml:space="preserve"> injection in laboratory animal species. Tissue distribution of radioactivity following</w:t>
      </w:r>
      <w:r>
        <w:t xml:space="preserve"> </w:t>
      </w:r>
      <w:r w:rsidR="00E27E5F">
        <w:t>IV</w:t>
      </w:r>
      <w:r w:rsidRPr="001663E0">
        <w:t xml:space="preserve"> injection of 14C</w:t>
      </w:r>
      <w:r w:rsidRPr="001663E0">
        <w:noBreakHyphen/>
        <w:t xml:space="preserve">pasireotide was rapid and wide in the rat; penetration of the blood-brain barrier was low. Plasma protein binding was moderate to high in humans and animals. Pasireotide was minimally metabolised </w:t>
      </w:r>
      <w:r w:rsidRPr="00A338C4">
        <w:t>in</w:t>
      </w:r>
      <w:r w:rsidR="006E3367" w:rsidRPr="00A338C4">
        <w:t xml:space="preserve"> v</w:t>
      </w:r>
      <w:r w:rsidRPr="00A338C4">
        <w:t>ivo</w:t>
      </w:r>
      <w:r w:rsidRPr="001663E0">
        <w:t xml:space="preserve"> and </w:t>
      </w:r>
      <w:r w:rsidR="004939E4" w:rsidRPr="00A338C4">
        <w:t>in vitro</w:t>
      </w:r>
      <w:r w:rsidRPr="001663E0">
        <w:t>. Excretion was predominantly via the faecal route.</w:t>
      </w:r>
    </w:p>
    <w:p w14:paraId="1A008AF7" w14:textId="77777777" w:rsidR="001663E0" w:rsidRPr="001663E0" w:rsidRDefault="001663E0" w:rsidP="004922E6">
      <w:pPr>
        <w:pStyle w:val="ListBullet"/>
      </w:pPr>
      <w:r w:rsidRPr="001663E0">
        <w:t xml:space="preserve">In single-dose toxicity studies in rodents, </w:t>
      </w:r>
      <w:proofErr w:type="spellStart"/>
      <w:r w:rsidR="000B294C">
        <w:t>sc</w:t>
      </w:r>
      <w:proofErr w:type="spellEnd"/>
      <w:r w:rsidRPr="001663E0">
        <w:t xml:space="preserve"> injection of a high multiple of the maximum recommended human dose produced no deaths and no gross tissue changes.</w:t>
      </w:r>
    </w:p>
    <w:p w14:paraId="21DFF109" w14:textId="77777777" w:rsidR="001663E0" w:rsidRPr="001663E0" w:rsidRDefault="001663E0" w:rsidP="004922E6">
      <w:pPr>
        <w:pStyle w:val="ListBullet"/>
      </w:pPr>
      <w:r w:rsidRPr="001663E0">
        <w:t xml:space="preserve">Pivotal repeat-dose toxicity studies were conducted by the </w:t>
      </w:r>
      <w:proofErr w:type="spellStart"/>
      <w:r w:rsidR="000B294C">
        <w:t>sc</w:t>
      </w:r>
      <w:proofErr w:type="spellEnd"/>
      <w:r w:rsidRPr="001663E0">
        <w:t xml:space="preserve"> route in rats (</w:t>
      </w:r>
      <w:r>
        <w:t>six</w:t>
      </w:r>
      <w:r w:rsidRPr="001663E0">
        <w:t xml:space="preserve"> months) and monkeys (</w:t>
      </w:r>
      <w:r>
        <w:t>nine</w:t>
      </w:r>
      <w:r w:rsidRPr="001663E0">
        <w:t xml:space="preserve"> months). The major effects were on </w:t>
      </w:r>
      <w:r>
        <w:t>BW</w:t>
      </w:r>
      <w:r w:rsidRPr="001663E0">
        <w:t xml:space="preserve"> gain, the pituitary, bone, bone marrow, spleen, thymus, thyroid, female reproductive tract and </w:t>
      </w:r>
      <w:proofErr w:type="spellStart"/>
      <w:r w:rsidR="000B294C">
        <w:t>sc</w:t>
      </w:r>
      <w:proofErr w:type="spellEnd"/>
      <w:r w:rsidRPr="001663E0">
        <w:t xml:space="preserve"> injection site, with effects on the GI tract also seen.</w:t>
      </w:r>
    </w:p>
    <w:p w14:paraId="272EAECD" w14:textId="77777777" w:rsidR="001663E0" w:rsidRPr="001663E0" w:rsidRDefault="001663E0" w:rsidP="004922E6">
      <w:pPr>
        <w:pStyle w:val="ListBullet"/>
      </w:pPr>
      <w:proofErr w:type="spellStart"/>
      <w:r w:rsidRPr="001663E0">
        <w:t>Pasireotide</w:t>
      </w:r>
      <w:proofErr w:type="spellEnd"/>
      <w:r w:rsidRPr="001663E0">
        <w:t xml:space="preserve"> was not genotoxic in the standard battery of tests and not carcinogenic in a </w:t>
      </w:r>
      <w:r>
        <w:t>six</w:t>
      </w:r>
      <w:r w:rsidR="006E3367">
        <w:t xml:space="preserve"> </w:t>
      </w:r>
      <w:r w:rsidR="000B294C">
        <w:t xml:space="preserve">month </w:t>
      </w:r>
      <w:proofErr w:type="spellStart"/>
      <w:r w:rsidR="000B294C">
        <w:t>sc</w:t>
      </w:r>
      <w:proofErr w:type="spellEnd"/>
      <w:r w:rsidRPr="001663E0">
        <w:t xml:space="preserve"> study in transgenic mice. Injection site tumours (fibromas) were increased in male rats at the highest dose in a </w:t>
      </w:r>
      <w:r>
        <w:t>two</w:t>
      </w:r>
      <w:r w:rsidR="006E3367">
        <w:t xml:space="preserve"> </w:t>
      </w:r>
      <w:r w:rsidRPr="001663E0">
        <w:t xml:space="preserve">year </w:t>
      </w:r>
      <w:proofErr w:type="spellStart"/>
      <w:r w:rsidR="000B294C">
        <w:t>sc</w:t>
      </w:r>
      <w:proofErr w:type="spellEnd"/>
      <w:r w:rsidRPr="001663E0">
        <w:t xml:space="preserve"> carcinogenicity study; there was no similar finding in female rats and no treatment-related increase in systemic tumours.</w:t>
      </w:r>
    </w:p>
    <w:p w14:paraId="44F4C1B8" w14:textId="77777777" w:rsidR="001663E0" w:rsidRPr="001663E0" w:rsidRDefault="001663E0" w:rsidP="004922E6">
      <w:pPr>
        <w:pStyle w:val="ListBullet"/>
      </w:pPr>
      <w:r w:rsidRPr="001663E0">
        <w:t xml:space="preserve">Pasireotide impaired female fertility in rats. Adverse effects on embryofetal development were observed in rats and rabbits, albeit in conjunction with </w:t>
      </w:r>
      <w:proofErr w:type="spellStart"/>
      <w:r w:rsidRPr="001663E0">
        <w:t>maternotoxicity</w:t>
      </w:r>
      <w:proofErr w:type="spellEnd"/>
      <w:r w:rsidRPr="001663E0">
        <w:t xml:space="preserve">. Pup birth weight and postnatal </w:t>
      </w:r>
      <w:r>
        <w:t>BW</w:t>
      </w:r>
      <w:r w:rsidRPr="001663E0">
        <w:t xml:space="preserve"> gain were decreased and development delayed in a pre/postnatal development study in rats.</w:t>
      </w:r>
    </w:p>
    <w:p w14:paraId="7CB8821D" w14:textId="77777777" w:rsidR="001663E0" w:rsidRPr="001663E0" w:rsidRDefault="001663E0" w:rsidP="004922E6">
      <w:pPr>
        <w:pStyle w:val="ListBullet"/>
      </w:pPr>
      <w:r w:rsidRPr="001663E0">
        <w:t xml:space="preserve">No functional impact on immune function was observed in rats. The drug was found not to have phototoxic potential in an </w:t>
      </w:r>
      <w:r w:rsidR="004939E4" w:rsidRPr="00A338C4">
        <w:t>in vitro</w:t>
      </w:r>
      <w:r w:rsidRPr="001663E0">
        <w:t xml:space="preserve"> assay.</w:t>
      </w:r>
    </w:p>
    <w:p w14:paraId="4D647D4F" w14:textId="77777777" w:rsidR="001663E0" w:rsidRDefault="001663E0" w:rsidP="001663E0">
      <w:pPr>
        <w:pStyle w:val="Heading4"/>
      </w:pPr>
      <w:bookmarkStart w:id="60" w:name="_Toc294861479"/>
      <w:bookmarkStart w:id="61" w:name="_Toc295290862"/>
      <w:bookmarkStart w:id="62" w:name="_Toc360012142"/>
      <w:r w:rsidRPr="00C16928">
        <w:t>R</w:t>
      </w:r>
      <w:r>
        <w:t xml:space="preserve">ecommendations </w:t>
      </w:r>
      <w:bookmarkEnd w:id="60"/>
      <w:bookmarkEnd w:id="61"/>
      <w:bookmarkEnd w:id="62"/>
    </w:p>
    <w:p w14:paraId="23281365" w14:textId="77777777" w:rsidR="001663E0" w:rsidRPr="00FE5124" w:rsidRDefault="001663E0" w:rsidP="001663E0">
      <w:pPr>
        <w:rPr>
          <w:kern w:val="2"/>
        </w:rPr>
      </w:pPr>
      <w:r w:rsidRPr="00FE5124">
        <w:rPr>
          <w:kern w:val="2"/>
        </w:rPr>
        <w:t>The nonclinical dossier contained no major deficiencies.</w:t>
      </w:r>
    </w:p>
    <w:p w14:paraId="537CDF69" w14:textId="77777777" w:rsidR="001663E0" w:rsidRPr="001663E0" w:rsidRDefault="001663E0" w:rsidP="001663E0">
      <w:pPr>
        <w:pStyle w:val="ListBullet"/>
      </w:pPr>
      <w:r w:rsidRPr="001663E0">
        <w:t xml:space="preserve">Primary pharmacology studies, showing high affinity for a broad range of somatostatin receptor subtypes, and inhibition of ACTH secretion </w:t>
      </w:r>
      <w:r w:rsidRPr="00A338C4">
        <w:t>in</w:t>
      </w:r>
      <w:r w:rsidR="006E3367" w:rsidRPr="00A338C4">
        <w:t xml:space="preserve"> </w:t>
      </w:r>
      <w:r w:rsidRPr="00A338C4">
        <w:t>vivo</w:t>
      </w:r>
      <w:r w:rsidRPr="001663E0">
        <w:t>, support the drug’s use for the proposed indication.</w:t>
      </w:r>
    </w:p>
    <w:p w14:paraId="78939130" w14:textId="77777777" w:rsidR="001663E0" w:rsidRPr="001663E0" w:rsidRDefault="001663E0" w:rsidP="001663E0">
      <w:pPr>
        <w:pStyle w:val="ListBullet"/>
      </w:pPr>
      <w:r w:rsidRPr="001663E0">
        <w:t xml:space="preserve">No clinically significant off-target activities are predicted from secondary </w:t>
      </w:r>
      <w:r>
        <w:t>PK</w:t>
      </w:r>
      <w:r w:rsidRPr="001663E0">
        <w:t xml:space="preserve"> studies.</w:t>
      </w:r>
    </w:p>
    <w:p w14:paraId="5035DAAB" w14:textId="77777777" w:rsidR="001663E0" w:rsidRPr="001663E0" w:rsidRDefault="001663E0" w:rsidP="001663E0">
      <w:pPr>
        <w:pStyle w:val="ListBullet"/>
      </w:pPr>
      <w:r w:rsidRPr="001663E0">
        <w:t xml:space="preserve">Major findings in the repeat-dose toxicity studies are identified as representing exaggerated pharmacological effects. A significant difference in sensitivity across </w:t>
      </w:r>
      <w:r w:rsidRPr="001663E0">
        <w:lastRenderedPageBreak/>
        <w:t>species is evident. Most weight is placed on the studies in monkeys, where the drug was well tolerated at almost 100</w:t>
      </w:r>
      <w:r w:rsidR="006E3367">
        <w:t xml:space="preserve"> t</w:t>
      </w:r>
      <w:r w:rsidRPr="001663E0">
        <w:t>imes the clinical exposure level in the pivotal (</w:t>
      </w:r>
      <w:r>
        <w:t>nine</w:t>
      </w:r>
      <w:r w:rsidR="006E3367">
        <w:t xml:space="preserve"> </w:t>
      </w:r>
      <w:r w:rsidRPr="001663E0">
        <w:t>month) study. Good local tolerance at the subcutaneous injection site has also been demonstrated.</w:t>
      </w:r>
    </w:p>
    <w:p w14:paraId="3D12B241" w14:textId="77777777" w:rsidR="001663E0" w:rsidRPr="001663E0" w:rsidRDefault="001663E0" w:rsidP="001663E0">
      <w:pPr>
        <w:pStyle w:val="ListBullet"/>
      </w:pPr>
      <w:r w:rsidRPr="001663E0">
        <w:t xml:space="preserve">Pasireotide is not considered to pose a genotoxic or carcinogenic hazard in patients. The finding of increased injection site tumours (fibromas) in male rats mirrors similar findings for other somatostatin analogues (octreotide and </w:t>
      </w:r>
      <w:proofErr w:type="spellStart"/>
      <w:r w:rsidRPr="001663E0">
        <w:t>lanreotide</w:t>
      </w:r>
      <w:proofErr w:type="spellEnd"/>
      <w:r w:rsidRPr="001663E0">
        <w:t>), and is not considered to be of clinical relevance.</w:t>
      </w:r>
    </w:p>
    <w:p w14:paraId="114D432E" w14:textId="77777777" w:rsidR="001663E0" w:rsidRPr="001663E0" w:rsidRDefault="001663E0" w:rsidP="001663E0">
      <w:pPr>
        <w:pStyle w:val="ListBullet"/>
      </w:pPr>
      <w:r w:rsidRPr="001663E0">
        <w:t>Disruption of oestrus cycling and inhibition of ovulation in rats is seen to be pharmacologically mediated. Lesser sensitivity of humans is predicted based on comparisons of findings in the monkey and rat repeat-dose toxicity studies. Adverse effects on embryofetal development in rats and rabbits are considered most likely to have occurred secondary to maternal toxicity.</w:t>
      </w:r>
    </w:p>
    <w:p w14:paraId="5C16EDD6" w14:textId="77777777" w:rsidR="001663E0" w:rsidRPr="001663E0" w:rsidRDefault="001663E0" w:rsidP="001663E0">
      <w:pPr>
        <w:pStyle w:val="ListBullet"/>
      </w:pPr>
      <w:r w:rsidRPr="001663E0">
        <w:t>There are no nonclinical objections to the registration of Signifor for the proposed indication.</w:t>
      </w:r>
    </w:p>
    <w:p w14:paraId="76AF186F" w14:textId="77777777" w:rsidR="001663E0" w:rsidRDefault="001663E0" w:rsidP="001663E0">
      <w:pPr>
        <w:pStyle w:val="ListBullet"/>
      </w:pPr>
      <w:r w:rsidRPr="001663E0">
        <w:t>The Nonclinical Safety Specification of the draft Risk Management Plan</w:t>
      </w:r>
      <w:r w:rsidR="008008B0">
        <w:t xml:space="preserve"> (RMP) </w:t>
      </w:r>
      <w:r w:rsidRPr="001663E0">
        <w:t xml:space="preserve">should be revised </w:t>
      </w:r>
      <w:bookmarkStart w:id="63" w:name="_Toc196046462"/>
      <w:bookmarkStart w:id="64" w:name="_Toc247691516"/>
      <w:bookmarkStart w:id="65" w:name="_Toc314842500"/>
      <w:bookmarkStart w:id="66" w:name="_Toc163441353"/>
      <w:bookmarkStart w:id="67" w:name="_Toc163441348"/>
    </w:p>
    <w:p w14:paraId="36495788" w14:textId="77777777" w:rsidR="008E7846" w:rsidRPr="001663E0" w:rsidRDefault="008E7846" w:rsidP="001663E0">
      <w:pPr>
        <w:pStyle w:val="Heading2"/>
      </w:pPr>
      <w:bookmarkStart w:id="68" w:name="_Toc383680717"/>
      <w:r w:rsidRPr="001663E0">
        <w:t>IV. Clinical</w:t>
      </w:r>
      <w:bookmarkEnd w:id="63"/>
      <w:r w:rsidRPr="001663E0">
        <w:t xml:space="preserve"> </w:t>
      </w:r>
      <w:r w:rsidR="003A7F6C" w:rsidRPr="001663E0">
        <w:t>f</w:t>
      </w:r>
      <w:r w:rsidRPr="001663E0">
        <w:t>indings</w:t>
      </w:r>
      <w:bookmarkEnd w:id="64"/>
      <w:bookmarkEnd w:id="65"/>
      <w:bookmarkEnd w:id="68"/>
    </w:p>
    <w:p w14:paraId="36AFC3F7" w14:textId="77777777" w:rsidR="00C80137" w:rsidRPr="00202BB1" w:rsidRDefault="00C80137" w:rsidP="008E7846">
      <w:bookmarkStart w:id="69" w:name="_Toc196046463"/>
      <w:r w:rsidRPr="00202BB1">
        <w:t>A summary of the clinical findings is presented in this section. Further details of these clinical findings can be found in Attachment 2.</w:t>
      </w:r>
    </w:p>
    <w:p w14:paraId="0FFDA01E" w14:textId="77777777" w:rsidR="008E7846" w:rsidRDefault="008E7846" w:rsidP="008E7846">
      <w:pPr>
        <w:pStyle w:val="Heading3"/>
      </w:pPr>
      <w:bookmarkStart w:id="70" w:name="_Toc247691517"/>
      <w:bookmarkStart w:id="71" w:name="_Toc314842501"/>
      <w:bookmarkStart w:id="72" w:name="_Toc383680718"/>
      <w:r w:rsidRPr="00254787">
        <w:t>Introduction</w:t>
      </w:r>
      <w:bookmarkEnd w:id="69"/>
      <w:bookmarkEnd w:id="70"/>
      <w:bookmarkEnd w:id="71"/>
      <w:bookmarkEnd w:id="72"/>
    </w:p>
    <w:p w14:paraId="0FF45A05" w14:textId="77777777" w:rsidR="00AD75DD" w:rsidRPr="00FC3662" w:rsidRDefault="00AD75DD" w:rsidP="00AD75DD">
      <w:r w:rsidRPr="00FC3662">
        <w:t>The submission contained the following clinical information:</w:t>
      </w:r>
    </w:p>
    <w:p w14:paraId="2C2E315B" w14:textId="77777777" w:rsidR="00AD75DD" w:rsidRPr="00FC3662" w:rsidRDefault="00AD75DD" w:rsidP="00AD75DD">
      <w:pPr>
        <w:pStyle w:val="ListBullet"/>
        <w:numPr>
          <w:ilvl w:val="0"/>
          <w:numId w:val="3"/>
        </w:numPr>
      </w:pPr>
      <w:r w:rsidRPr="00FC3662">
        <w:t xml:space="preserve">12 clinical pharmacology studies, including 11 that provided </w:t>
      </w:r>
      <w:r>
        <w:t xml:space="preserve">PK </w:t>
      </w:r>
      <w:r w:rsidRPr="00FC3662">
        <w:t xml:space="preserve">data and </w:t>
      </w:r>
      <w:r>
        <w:t>nine</w:t>
      </w:r>
      <w:r w:rsidRPr="00FC3662">
        <w:t xml:space="preserve"> that provided </w:t>
      </w:r>
      <w:r>
        <w:t xml:space="preserve">pharmacodynamics (PD) </w:t>
      </w:r>
      <w:r w:rsidRPr="00FC3662">
        <w:t>data.</w:t>
      </w:r>
    </w:p>
    <w:p w14:paraId="03284B1A" w14:textId="77777777" w:rsidR="00AD75DD" w:rsidRPr="00FC3662" w:rsidRDefault="00AD75DD" w:rsidP="00AD75DD">
      <w:pPr>
        <w:pStyle w:val="ListBullet"/>
        <w:numPr>
          <w:ilvl w:val="0"/>
          <w:numId w:val="3"/>
        </w:numPr>
      </w:pPr>
      <w:proofErr w:type="spellStart"/>
      <w:r>
        <w:t>PopPK</w:t>
      </w:r>
      <w:proofErr w:type="spellEnd"/>
      <w:r w:rsidRPr="00FC3662">
        <w:t xml:space="preserve"> analyses for </w:t>
      </w:r>
      <w:r>
        <w:t xml:space="preserve">HV </w:t>
      </w:r>
      <w:r w:rsidRPr="00FC3662">
        <w:t>and the target population of Cushing's disease patients (modelling reports).</w:t>
      </w:r>
    </w:p>
    <w:p w14:paraId="3BD5CC28" w14:textId="77777777" w:rsidR="00AD75DD" w:rsidRPr="00FC3662" w:rsidRDefault="00AD75DD" w:rsidP="00AD75DD">
      <w:pPr>
        <w:pStyle w:val="ListBullet"/>
        <w:numPr>
          <w:ilvl w:val="0"/>
          <w:numId w:val="3"/>
        </w:numPr>
      </w:pPr>
      <w:r>
        <w:t>T</w:t>
      </w:r>
      <w:r w:rsidRPr="00FC3662">
        <w:t xml:space="preserve">he report of a single pivotal efficacy/safety </w:t>
      </w:r>
      <w:r>
        <w:t>S</w:t>
      </w:r>
      <w:r w:rsidRPr="00FC3662">
        <w:t xml:space="preserve">tudy CSOM230B2305 (referred to hereafter as </w:t>
      </w:r>
      <w:r>
        <w:t>S</w:t>
      </w:r>
      <w:r w:rsidRPr="00FC3662">
        <w:t>tudy B2305), together with ancillary documents detailing protocol amendments and statistical methodology.</w:t>
      </w:r>
    </w:p>
    <w:p w14:paraId="1405FEB7" w14:textId="77777777" w:rsidR="00AD75DD" w:rsidRPr="00FC3662" w:rsidRDefault="00AD75DD" w:rsidP="00AD75DD">
      <w:pPr>
        <w:pStyle w:val="ListBullet"/>
        <w:numPr>
          <w:ilvl w:val="0"/>
          <w:numId w:val="3"/>
        </w:numPr>
      </w:pPr>
      <w:r>
        <w:t>Four</w:t>
      </w:r>
      <w:r w:rsidRPr="00FC3662">
        <w:t xml:space="preserve"> other efficacy/safety studies.</w:t>
      </w:r>
    </w:p>
    <w:p w14:paraId="45097757" w14:textId="77777777" w:rsidR="00AD75DD" w:rsidRPr="00FC3662" w:rsidRDefault="00AD75DD" w:rsidP="00AD75DD">
      <w:pPr>
        <w:pStyle w:val="ListBullet"/>
        <w:numPr>
          <w:ilvl w:val="0"/>
          <w:numId w:val="3"/>
        </w:numPr>
      </w:pPr>
      <w:r>
        <w:t>Three</w:t>
      </w:r>
      <w:r w:rsidRPr="00FC3662">
        <w:t xml:space="preserve"> bioanalytical reports validating the immunoassay procedures for analysis of pasi</w:t>
      </w:r>
      <w:r>
        <w:t xml:space="preserve">reotide (sponsor code SOM230). </w:t>
      </w:r>
      <w:r w:rsidRPr="00FC3662">
        <w:t xml:space="preserve">A lower limit of quantification is described of </w:t>
      </w:r>
      <w:proofErr w:type="gramStart"/>
      <w:r w:rsidRPr="00FC3662">
        <w:t>30</w:t>
      </w:r>
      <w:r w:rsidR="00B41C0F">
        <w:t> </w:t>
      </w:r>
      <w:r w:rsidRPr="00FC3662">
        <w:t xml:space="preserve"> </w:t>
      </w:r>
      <w:proofErr w:type="spellStart"/>
      <w:r w:rsidRPr="00FC3662">
        <w:t>pg</w:t>
      </w:r>
      <w:proofErr w:type="spellEnd"/>
      <w:proofErr w:type="gramEnd"/>
      <w:r w:rsidRPr="00FC3662">
        <w:t xml:space="preserve">/mL, which equates to 150 </w:t>
      </w:r>
      <w:proofErr w:type="spellStart"/>
      <w:r w:rsidRPr="00FC3662">
        <w:t>pg</w:t>
      </w:r>
      <w:proofErr w:type="spellEnd"/>
      <w:r w:rsidRPr="00FC3662">
        <w:t>/mL in study samples. These documents have not been reviewed in detail.</w:t>
      </w:r>
    </w:p>
    <w:p w14:paraId="17341BAD" w14:textId="77777777" w:rsidR="00AD75DD" w:rsidRPr="00FC3662" w:rsidRDefault="00AD75DD" w:rsidP="00AD75DD">
      <w:pPr>
        <w:pStyle w:val="ListBullet"/>
        <w:numPr>
          <w:ilvl w:val="0"/>
          <w:numId w:val="3"/>
        </w:numPr>
      </w:pPr>
      <w:r>
        <w:t>P</w:t>
      </w:r>
      <w:r w:rsidRPr="00FC3662">
        <w:t>opulation safety reports on glucose metabolism, QT/QTc (cardiac safety), and a hepatic safety report</w:t>
      </w:r>
    </w:p>
    <w:p w14:paraId="451671DF" w14:textId="77777777" w:rsidR="00AD75DD" w:rsidRDefault="00AD75DD" w:rsidP="00AD75DD">
      <w:pPr>
        <w:pStyle w:val="Heading3"/>
      </w:pPr>
      <w:bookmarkStart w:id="73" w:name="_Toc381199062"/>
      <w:bookmarkStart w:id="74" w:name="_Toc383680719"/>
      <w:r>
        <w:t>Paediatric data</w:t>
      </w:r>
      <w:bookmarkEnd w:id="73"/>
      <w:bookmarkEnd w:id="74"/>
    </w:p>
    <w:p w14:paraId="091B506E" w14:textId="77777777" w:rsidR="00AD75DD" w:rsidRPr="00226F74" w:rsidRDefault="00AD75DD" w:rsidP="00EE37EA">
      <w:r w:rsidRPr="00226F74">
        <w:t xml:space="preserve">The submission did not include paediatric data. </w:t>
      </w:r>
      <w:r>
        <w:t>T</w:t>
      </w:r>
      <w:r w:rsidRPr="00226F74">
        <w:t xml:space="preserve">he sponsor advises that a relevant product specific waiver was granted by the </w:t>
      </w:r>
      <w:r>
        <w:t>European Medicines Authority (</w:t>
      </w:r>
      <w:r w:rsidRPr="00226F74">
        <w:t>EMEA</w:t>
      </w:r>
      <w:r>
        <w:t>)</w:t>
      </w:r>
      <w:r w:rsidRPr="00226F74">
        <w:t xml:space="preserve"> on 6</w:t>
      </w:r>
      <w:r w:rsidR="00B41C0F">
        <w:t> </w:t>
      </w:r>
      <w:r w:rsidRPr="00226F74">
        <w:t xml:space="preserve">March 2009, on the grounds that the product "does not represent a significant therapeutic benefit over existing treatments". </w:t>
      </w:r>
      <w:r w:rsidR="00E36764">
        <w:t>The details pertaining to the waiver were requested of the Sponsor and their response was that g</w:t>
      </w:r>
      <w:r w:rsidR="00E36764" w:rsidRPr="00E36764">
        <w:t xml:space="preserve">iven the excellent response rate of </w:t>
      </w:r>
      <w:r w:rsidR="00E36764" w:rsidRPr="00E36764">
        <w:lastRenderedPageBreak/>
        <w:t>paediatric patients to first-line therapies, the potential of pasireotide to inhibit GH secretion and the very low prevalence of CD in children, it is deemed not feasible to conduct an adequate study to determine the therapeutic benefit and risk of pasireotide in paediatric CD patients for whom medical therapy would be appropriate.</w:t>
      </w:r>
      <w:r w:rsidR="00E36764">
        <w:t xml:space="preserve"> </w:t>
      </w:r>
    </w:p>
    <w:p w14:paraId="77E94C52" w14:textId="77777777" w:rsidR="00AD75DD" w:rsidRDefault="00AD75DD" w:rsidP="00AD75DD">
      <w:pPr>
        <w:pStyle w:val="Heading3"/>
      </w:pPr>
      <w:bookmarkStart w:id="75" w:name="_Toc381199063"/>
      <w:bookmarkStart w:id="76" w:name="_Toc383680720"/>
      <w:r>
        <w:t>Good clinical practice</w:t>
      </w:r>
      <w:bookmarkEnd w:id="75"/>
      <w:bookmarkEnd w:id="76"/>
    </w:p>
    <w:p w14:paraId="4C21E71D" w14:textId="77777777" w:rsidR="00AD75DD" w:rsidRPr="00226F74" w:rsidRDefault="00AD75DD" w:rsidP="00AD75DD">
      <w:r w:rsidRPr="00226F74">
        <w:t>The included studies all appear to have complied with the accepted procedures for Good Clinical Practice.</w:t>
      </w:r>
    </w:p>
    <w:p w14:paraId="4BAC3128" w14:textId="77777777" w:rsidR="008E7846" w:rsidRPr="00254787" w:rsidRDefault="008E7846" w:rsidP="008E7846">
      <w:pPr>
        <w:pStyle w:val="Heading3"/>
      </w:pPr>
      <w:bookmarkStart w:id="77" w:name="_Toc196046464"/>
      <w:bookmarkStart w:id="78" w:name="_Toc247691518"/>
      <w:bookmarkStart w:id="79" w:name="_Toc314842502"/>
      <w:bookmarkStart w:id="80" w:name="_Toc383680721"/>
      <w:r w:rsidRPr="00254787">
        <w:t>Pharmacokinetics</w:t>
      </w:r>
      <w:bookmarkEnd w:id="66"/>
      <w:bookmarkEnd w:id="77"/>
      <w:bookmarkEnd w:id="78"/>
      <w:bookmarkEnd w:id="79"/>
      <w:bookmarkEnd w:id="80"/>
    </w:p>
    <w:p w14:paraId="27E69B68" w14:textId="77777777" w:rsidR="00202BB1" w:rsidRPr="0023712C" w:rsidRDefault="00202BB1" w:rsidP="00AD75DD">
      <w:pPr>
        <w:pStyle w:val="Heading4"/>
      </w:pPr>
      <w:bookmarkStart w:id="81" w:name="_Ref271017296"/>
      <w:bookmarkStart w:id="82" w:name="_Ref271018924"/>
      <w:bookmarkStart w:id="83" w:name="_Ref271018934"/>
      <w:bookmarkStart w:id="84" w:name="_Toc272414614"/>
      <w:bookmarkStart w:id="85" w:name="_Toc290846238"/>
      <w:bookmarkStart w:id="86" w:name="_Toc350352082"/>
      <w:bookmarkStart w:id="87" w:name="_Toc381199065"/>
      <w:r w:rsidRPr="0023712C">
        <w:t>Studies</w:t>
      </w:r>
      <w:bookmarkEnd w:id="81"/>
      <w:bookmarkEnd w:id="82"/>
      <w:bookmarkEnd w:id="83"/>
      <w:r w:rsidRPr="0023712C">
        <w:t xml:space="preserve"> providing pharmacokinetic data</w:t>
      </w:r>
      <w:bookmarkEnd w:id="84"/>
      <w:bookmarkEnd w:id="85"/>
      <w:bookmarkEnd w:id="86"/>
      <w:bookmarkEnd w:id="87"/>
    </w:p>
    <w:p w14:paraId="54E4B062" w14:textId="77777777" w:rsidR="00202BB1" w:rsidRPr="00154B67" w:rsidRDefault="00AF1E41" w:rsidP="00202BB1">
      <w:r>
        <w:t>Table 5</w:t>
      </w:r>
      <w:r w:rsidR="00202BB1">
        <w:t xml:space="preserve"> </w:t>
      </w:r>
      <w:r w:rsidR="00202BB1" w:rsidRPr="00154B67">
        <w:t xml:space="preserve">shows the studies relating to each </w:t>
      </w:r>
      <w:r w:rsidR="00202BB1">
        <w:t xml:space="preserve">PK topic. </w:t>
      </w:r>
    </w:p>
    <w:p w14:paraId="644F8401" w14:textId="77777777" w:rsidR="00202BB1" w:rsidRPr="00154B67" w:rsidRDefault="00202BB1" w:rsidP="00202BB1">
      <w:pPr>
        <w:pStyle w:val="TableTitle"/>
        <w:keepLines/>
      </w:pPr>
      <w:bookmarkStart w:id="88" w:name="_Ref272426277"/>
      <w:bookmarkStart w:id="89" w:name="_Toc349891767"/>
      <w:bookmarkStart w:id="90" w:name="_Toc350352083"/>
      <w:bookmarkStart w:id="91" w:name="_Toc350352305"/>
      <w:r w:rsidRPr="00154B67">
        <w:t>Table</w:t>
      </w:r>
      <w:bookmarkEnd w:id="88"/>
      <w:r w:rsidR="00A60283">
        <w:t xml:space="preserve"> 5</w:t>
      </w:r>
      <w:r w:rsidRPr="00154B67">
        <w:t>: Submitted pharmacokinetic studies.</w:t>
      </w:r>
      <w:bookmarkEnd w:id="89"/>
      <w:bookmarkEnd w:id="90"/>
      <w:bookmarkEnd w:id="91"/>
    </w:p>
    <w:tbl>
      <w:tblPr>
        <w:tblStyle w:val="TableTGAblue"/>
        <w:tblW w:w="7479" w:type="dxa"/>
        <w:tblLayout w:type="fixed"/>
        <w:tblLook w:val="00A0" w:firstRow="1" w:lastRow="0" w:firstColumn="1" w:lastColumn="0" w:noHBand="0" w:noVBand="0"/>
      </w:tblPr>
      <w:tblGrid>
        <w:gridCol w:w="1668"/>
        <w:gridCol w:w="3685"/>
        <w:gridCol w:w="2126"/>
      </w:tblGrid>
      <w:tr w:rsidR="00202BB1" w:rsidRPr="0023712C" w14:paraId="244989FB" w14:textId="77777777" w:rsidTr="00202BB1">
        <w:trPr>
          <w:cnfStyle w:val="100000000000" w:firstRow="1" w:lastRow="0" w:firstColumn="0" w:lastColumn="0" w:oddVBand="0" w:evenVBand="0" w:oddHBand="0" w:evenHBand="0" w:firstRowFirstColumn="0" w:firstRowLastColumn="0" w:lastRowFirstColumn="0" w:lastRowLastColumn="0"/>
        </w:trPr>
        <w:tc>
          <w:tcPr>
            <w:tcW w:w="1668" w:type="dxa"/>
          </w:tcPr>
          <w:p w14:paraId="5988037D" w14:textId="77777777" w:rsidR="00202BB1" w:rsidRPr="0023712C" w:rsidRDefault="00202BB1" w:rsidP="00202BB1">
            <w:pPr>
              <w:pStyle w:val="Tabletext"/>
              <w:keepLines/>
              <w:spacing w:before="0" w:after="0"/>
              <w:ind w:left="0" w:right="0"/>
              <w:rPr>
                <w:b w:val="0"/>
                <w:bCs/>
              </w:rPr>
            </w:pPr>
            <w:r w:rsidRPr="0023712C">
              <w:rPr>
                <w:b w:val="0"/>
                <w:bCs/>
              </w:rPr>
              <w:t>PK topic</w:t>
            </w:r>
          </w:p>
        </w:tc>
        <w:tc>
          <w:tcPr>
            <w:tcW w:w="3685" w:type="dxa"/>
          </w:tcPr>
          <w:p w14:paraId="51FAA62E" w14:textId="77777777" w:rsidR="00202BB1" w:rsidRPr="0023712C" w:rsidRDefault="00202BB1" w:rsidP="00202BB1">
            <w:pPr>
              <w:pStyle w:val="Tabletext"/>
              <w:keepLines/>
              <w:spacing w:before="0" w:after="0"/>
              <w:ind w:left="0" w:right="0"/>
              <w:rPr>
                <w:b w:val="0"/>
                <w:bCs/>
              </w:rPr>
            </w:pPr>
            <w:r w:rsidRPr="0023712C">
              <w:rPr>
                <w:b w:val="0"/>
                <w:bCs/>
              </w:rPr>
              <w:t>Subtopic</w:t>
            </w:r>
          </w:p>
        </w:tc>
        <w:tc>
          <w:tcPr>
            <w:tcW w:w="2126" w:type="dxa"/>
          </w:tcPr>
          <w:p w14:paraId="17C60F66" w14:textId="77777777" w:rsidR="00202BB1" w:rsidRPr="0023712C" w:rsidRDefault="00202BB1" w:rsidP="00202BB1">
            <w:pPr>
              <w:pStyle w:val="Tabletext"/>
              <w:keepLines/>
              <w:spacing w:before="0" w:after="0"/>
              <w:ind w:left="0" w:right="0"/>
              <w:rPr>
                <w:b w:val="0"/>
                <w:bCs/>
              </w:rPr>
            </w:pPr>
            <w:r w:rsidRPr="0023712C">
              <w:rPr>
                <w:b w:val="0"/>
                <w:bCs/>
              </w:rPr>
              <w:t>Study ID</w:t>
            </w:r>
          </w:p>
        </w:tc>
      </w:tr>
      <w:tr w:rsidR="00202BB1" w:rsidRPr="0023712C" w14:paraId="64F10E0F" w14:textId="77777777" w:rsidTr="00202BB1">
        <w:tc>
          <w:tcPr>
            <w:tcW w:w="1668" w:type="dxa"/>
            <w:vMerge w:val="restart"/>
          </w:tcPr>
          <w:p w14:paraId="343F386D" w14:textId="77777777" w:rsidR="00202BB1" w:rsidRPr="0023712C" w:rsidRDefault="00202BB1" w:rsidP="00202BB1">
            <w:pPr>
              <w:pStyle w:val="Tabletext"/>
              <w:keepNext/>
              <w:keepLines/>
              <w:spacing w:before="100" w:beforeAutospacing="1" w:after="100" w:afterAutospacing="1"/>
              <w:ind w:left="0" w:right="0"/>
              <w:rPr>
                <w:b/>
                <w:bCs/>
              </w:rPr>
            </w:pPr>
            <w:r w:rsidRPr="0023712C">
              <w:rPr>
                <w:b/>
                <w:bCs/>
              </w:rPr>
              <w:t>PK in healthy adults</w:t>
            </w:r>
          </w:p>
        </w:tc>
        <w:tc>
          <w:tcPr>
            <w:tcW w:w="3685" w:type="dxa"/>
          </w:tcPr>
          <w:p w14:paraId="78648A0E" w14:textId="77777777" w:rsidR="00202BB1" w:rsidRPr="0023712C" w:rsidRDefault="00202BB1" w:rsidP="00202BB1">
            <w:pPr>
              <w:pStyle w:val="Tabletext"/>
              <w:keepNext/>
              <w:keepLines/>
              <w:spacing w:before="100" w:beforeAutospacing="1" w:after="100" w:afterAutospacing="1"/>
              <w:ind w:left="0" w:right="0"/>
            </w:pPr>
            <w:r w:rsidRPr="0023712C">
              <w:t>General PK</w:t>
            </w:r>
            <w:r w:rsidRPr="0023712C">
              <w:tab/>
              <w:t>Single dose</w:t>
            </w:r>
          </w:p>
        </w:tc>
        <w:tc>
          <w:tcPr>
            <w:tcW w:w="2126" w:type="dxa"/>
          </w:tcPr>
          <w:p w14:paraId="441140D5" w14:textId="77777777" w:rsidR="00202BB1" w:rsidRPr="0023712C" w:rsidRDefault="00202BB1" w:rsidP="00202BB1">
            <w:pPr>
              <w:pStyle w:val="Tabletext"/>
              <w:keepNext/>
              <w:keepLines/>
              <w:spacing w:before="100" w:beforeAutospacing="1" w:after="100" w:afterAutospacing="1"/>
              <w:ind w:left="0" w:right="0"/>
              <w:jc w:val="both"/>
            </w:pPr>
            <w:r w:rsidRPr="0023712C">
              <w:t>B2101</w:t>
            </w:r>
          </w:p>
        </w:tc>
      </w:tr>
      <w:tr w:rsidR="00202BB1" w:rsidRPr="0023712C" w14:paraId="13565EF6" w14:textId="77777777" w:rsidTr="00202BB1">
        <w:tc>
          <w:tcPr>
            <w:tcW w:w="1668" w:type="dxa"/>
            <w:vMerge/>
          </w:tcPr>
          <w:p w14:paraId="0EB537C2" w14:textId="77777777" w:rsidR="00202BB1" w:rsidRPr="0023712C" w:rsidRDefault="00202BB1" w:rsidP="00202BB1">
            <w:pPr>
              <w:pStyle w:val="Tabletext"/>
              <w:keepNext/>
              <w:keepLines/>
              <w:spacing w:before="100" w:beforeAutospacing="1" w:after="100" w:afterAutospacing="1"/>
              <w:ind w:left="0" w:right="0"/>
            </w:pPr>
          </w:p>
        </w:tc>
        <w:tc>
          <w:tcPr>
            <w:tcW w:w="3685" w:type="dxa"/>
          </w:tcPr>
          <w:p w14:paraId="5928CCF1" w14:textId="77777777" w:rsidR="00202BB1" w:rsidRPr="0023712C" w:rsidRDefault="00202BB1" w:rsidP="00202BB1">
            <w:pPr>
              <w:pStyle w:val="Tabletext"/>
              <w:keepNext/>
              <w:keepLines/>
              <w:spacing w:before="100" w:beforeAutospacing="1" w:after="100" w:afterAutospacing="1"/>
              <w:ind w:left="0" w:right="0"/>
            </w:pPr>
          </w:p>
        </w:tc>
        <w:tc>
          <w:tcPr>
            <w:tcW w:w="2126" w:type="dxa"/>
          </w:tcPr>
          <w:p w14:paraId="0D4B0DA0" w14:textId="77777777" w:rsidR="00202BB1" w:rsidRPr="0023712C" w:rsidRDefault="00202BB1" w:rsidP="00202BB1">
            <w:pPr>
              <w:pStyle w:val="Tabletext"/>
              <w:keepNext/>
              <w:keepLines/>
              <w:spacing w:before="100" w:beforeAutospacing="1" w:after="100" w:afterAutospacing="1"/>
              <w:ind w:left="0" w:right="0"/>
              <w:jc w:val="both"/>
            </w:pPr>
            <w:r w:rsidRPr="0023712C">
              <w:t>B2107</w:t>
            </w:r>
          </w:p>
        </w:tc>
      </w:tr>
      <w:tr w:rsidR="00202BB1" w:rsidRPr="0023712C" w14:paraId="195318BC" w14:textId="77777777" w:rsidTr="00202BB1">
        <w:tc>
          <w:tcPr>
            <w:tcW w:w="1668" w:type="dxa"/>
            <w:vMerge/>
          </w:tcPr>
          <w:p w14:paraId="7385C0CE" w14:textId="77777777" w:rsidR="00202BB1" w:rsidRPr="0023712C" w:rsidRDefault="00202BB1" w:rsidP="00202BB1">
            <w:pPr>
              <w:pStyle w:val="Tabletext"/>
              <w:keepNext/>
              <w:keepLines/>
              <w:spacing w:before="100" w:beforeAutospacing="1" w:after="100" w:afterAutospacing="1"/>
              <w:ind w:left="0" w:right="0"/>
            </w:pPr>
          </w:p>
        </w:tc>
        <w:tc>
          <w:tcPr>
            <w:tcW w:w="3685" w:type="dxa"/>
          </w:tcPr>
          <w:p w14:paraId="6D429CF0" w14:textId="77777777" w:rsidR="00202BB1" w:rsidRPr="0023712C" w:rsidRDefault="00202BB1" w:rsidP="00202BB1">
            <w:pPr>
              <w:pStyle w:val="Tabletext"/>
              <w:keepNext/>
              <w:keepLines/>
              <w:spacing w:before="100" w:beforeAutospacing="1" w:after="100" w:afterAutospacing="1"/>
              <w:ind w:left="0" w:right="0"/>
            </w:pPr>
          </w:p>
        </w:tc>
        <w:tc>
          <w:tcPr>
            <w:tcW w:w="2126" w:type="dxa"/>
          </w:tcPr>
          <w:p w14:paraId="2F8B9801" w14:textId="77777777" w:rsidR="00202BB1" w:rsidRPr="0023712C" w:rsidRDefault="00202BB1" w:rsidP="00202BB1">
            <w:pPr>
              <w:pStyle w:val="Tabletext"/>
              <w:keepNext/>
              <w:keepLines/>
              <w:spacing w:before="100" w:beforeAutospacing="1" w:after="100" w:afterAutospacing="1"/>
              <w:ind w:left="0" w:right="0"/>
              <w:jc w:val="both"/>
            </w:pPr>
            <w:r w:rsidRPr="0023712C">
              <w:t>C2101</w:t>
            </w:r>
          </w:p>
        </w:tc>
      </w:tr>
      <w:tr w:rsidR="00202BB1" w:rsidRPr="0023712C" w14:paraId="6980C62C" w14:textId="77777777" w:rsidTr="00202BB1">
        <w:trPr>
          <w:trHeight w:val="445"/>
        </w:trPr>
        <w:tc>
          <w:tcPr>
            <w:tcW w:w="1668" w:type="dxa"/>
            <w:vMerge/>
          </w:tcPr>
          <w:p w14:paraId="23E8AAE2" w14:textId="77777777" w:rsidR="00202BB1" w:rsidRPr="0023712C" w:rsidRDefault="00202BB1" w:rsidP="00202BB1">
            <w:pPr>
              <w:pStyle w:val="Tabletext"/>
              <w:keepNext/>
              <w:keepLines/>
              <w:spacing w:before="100" w:beforeAutospacing="1" w:after="100" w:afterAutospacing="1"/>
              <w:ind w:left="0" w:right="0"/>
            </w:pPr>
          </w:p>
        </w:tc>
        <w:tc>
          <w:tcPr>
            <w:tcW w:w="3685" w:type="dxa"/>
          </w:tcPr>
          <w:p w14:paraId="2FF057A0" w14:textId="77777777" w:rsidR="00202BB1" w:rsidRPr="0023712C" w:rsidRDefault="00202BB1" w:rsidP="00202BB1">
            <w:pPr>
              <w:pStyle w:val="Tabletext"/>
              <w:keepNext/>
              <w:keepLines/>
              <w:spacing w:before="100" w:beforeAutospacing="1" w:after="100" w:afterAutospacing="1"/>
              <w:ind w:left="0" w:right="0"/>
            </w:pPr>
            <w:r w:rsidRPr="0023712C">
              <w:tab/>
            </w:r>
            <w:r w:rsidRPr="0023712C">
              <w:tab/>
              <w:t>Infusion</w:t>
            </w:r>
          </w:p>
        </w:tc>
        <w:tc>
          <w:tcPr>
            <w:tcW w:w="2126" w:type="dxa"/>
          </w:tcPr>
          <w:p w14:paraId="325E5F74" w14:textId="77777777" w:rsidR="00202BB1" w:rsidRPr="0023712C" w:rsidRDefault="00202BB1" w:rsidP="00202BB1">
            <w:pPr>
              <w:pStyle w:val="Tabletext"/>
              <w:keepNext/>
              <w:keepLines/>
              <w:spacing w:before="100" w:beforeAutospacing="1" w:after="100" w:afterAutospacing="1"/>
              <w:ind w:left="0" w:right="0"/>
              <w:jc w:val="both"/>
            </w:pPr>
            <w:r w:rsidRPr="0023712C">
              <w:t>B2108</w:t>
            </w:r>
          </w:p>
        </w:tc>
      </w:tr>
      <w:tr w:rsidR="00202BB1" w:rsidRPr="0023712C" w14:paraId="7077FA09" w14:textId="77777777" w:rsidTr="00202BB1">
        <w:tc>
          <w:tcPr>
            <w:tcW w:w="1668" w:type="dxa"/>
            <w:vMerge/>
          </w:tcPr>
          <w:p w14:paraId="0C3F6872" w14:textId="77777777" w:rsidR="00202BB1" w:rsidRPr="0023712C" w:rsidRDefault="00202BB1" w:rsidP="00202BB1">
            <w:pPr>
              <w:pStyle w:val="Tabletext"/>
              <w:keepNext/>
              <w:keepLines/>
              <w:spacing w:before="100" w:beforeAutospacing="1" w:after="100" w:afterAutospacing="1"/>
              <w:ind w:left="0" w:right="0"/>
            </w:pPr>
          </w:p>
        </w:tc>
        <w:tc>
          <w:tcPr>
            <w:tcW w:w="3685" w:type="dxa"/>
          </w:tcPr>
          <w:p w14:paraId="77968473" w14:textId="77777777" w:rsidR="00202BB1" w:rsidRPr="0023712C" w:rsidRDefault="00202BB1" w:rsidP="00202BB1">
            <w:pPr>
              <w:pStyle w:val="Tabletext"/>
              <w:keepNext/>
              <w:keepLines/>
              <w:spacing w:before="100" w:beforeAutospacing="1" w:after="100" w:afterAutospacing="1"/>
              <w:ind w:left="0" w:right="0"/>
            </w:pPr>
            <w:r w:rsidRPr="0023712C">
              <w:tab/>
            </w:r>
            <w:r w:rsidRPr="0023712C">
              <w:tab/>
              <w:t>Multi-dose</w:t>
            </w:r>
          </w:p>
        </w:tc>
        <w:tc>
          <w:tcPr>
            <w:tcW w:w="2126" w:type="dxa"/>
          </w:tcPr>
          <w:p w14:paraId="646421F7" w14:textId="77777777" w:rsidR="00202BB1" w:rsidRPr="0023712C" w:rsidRDefault="00202BB1" w:rsidP="00202BB1">
            <w:pPr>
              <w:pStyle w:val="Tabletext"/>
              <w:keepNext/>
              <w:keepLines/>
              <w:spacing w:before="100" w:beforeAutospacing="1" w:after="100" w:afterAutospacing="1"/>
              <w:ind w:left="0" w:right="0"/>
              <w:jc w:val="both"/>
            </w:pPr>
            <w:r w:rsidRPr="0023712C">
              <w:t>B2102</w:t>
            </w:r>
          </w:p>
        </w:tc>
      </w:tr>
      <w:tr w:rsidR="00202BB1" w:rsidRPr="0023712C" w14:paraId="32CCA8CE" w14:textId="77777777" w:rsidTr="00202BB1">
        <w:tc>
          <w:tcPr>
            <w:tcW w:w="1668" w:type="dxa"/>
            <w:vMerge/>
          </w:tcPr>
          <w:p w14:paraId="45C02E65" w14:textId="77777777" w:rsidR="00202BB1" w:rsidRPr="0023712C" w:rsidRDefault="00202BB1" w:rsidP="00202BB1">
            <w:pPr>
              <w:pStyle w:val="Tabletext"/>
              <w:keepNext/>
              <w:keepLines/>
              <w:spacing w:before="100" w:beforeAutospacing="1" w:after="100" w:afterAutospacing="1"/>
              <w:ind w:left="0" w:right="0"/>
            </w:pPr>
          </w:p>
        </w:tc>
        <w:tc>
          <w:tcPr>
            <w:tcW w:w="3685" w:type="dxa"/>
          </w:tcPr>
          <w:p w14:paraId="78C0ADBB" w14:textId="77777777" w:rsidR="00202BB1" w:rsidRPr="0023712C" w:rsidRDefault="00202BB1" w:rsidP="00202BB1">
            <w:pPr>
              <w:pStyle w:val="Tabletext"/>
              <w:keepNext/>
              <w:keepLines/>
              <w:spacing w:before="100" w:beforeAutospacing="1" w:after="100" w:afterAutospacing="1"/>
              <w:ind w:left="0" w:right="0"/>
            </w:pPr>
          </w:p>
        </w:tc>
        <w:tc>
          <w:tcPr>
            <w:tcW w:w="2126" w:type="dxa"/>
          </w:tcPr>
          <w:p w14:paraId="12D5E55C" w14:textId="77777777" w:rsidR="00202BB1" w:rsidRPr="0023712C" w:rsidRDefault="00202BB1" w:rsidP="00202BB1">
            <w:pPr>
              <w:pStyle w:val="Tabletext"/>
              <w:keepNext/>
              <w:keepLines/>
              <w:spacing w:before="100" w:beforeAutospacing="1" w:after="100" w:afterAutospacing="1"/>
              <w:ind w:left="0" w:right="0"/>
              <w:jc w:val="both"/>
            </w:pPr>
            <w:r w:rsidRPr="0023712C">
              <w:t>B2106</w:t>
            </w:r>
          </w:p>
        </w:tc>
      </w:tr>
      <w:tr w:rsidR="00202BB1" w:rsidRPr="0023712C" w14:paraId="6162297B" w14:textId="77777777" w:rsidTr="00202BB1">
        <w:trPr>
          <w:trHeight w:val="740"/>
        </w:trPr>
        <w:tc>
          <w:tcPr>
            <w:tcW w:w="1668" w:type="dxa"/>
            <w:vMerge/>
          </w:tcPr>
          <w:p w14:paraId="7074AB05" w14:textId="77777777" w:rsidR="00202BB1" w:rsidRPr="0023712C" w:rsidRDefault="00202BB1" w:rsidP="00202BB1">
            <w:pPr>
              <w:pStyle w:val="Tabletext"/>
              <w:keepNext/>
              <w:keepLines/>
              <w:spacing w:before="100" w:beforeAutospacing="1" w:after="100" w:afterAutospacing="1"/>
              <w:ind w:left="0" w:right="0"/>
            </w:pPr>
          </w:p>
        </w:tc>
        <w:tc>
          <w:tcPr>
            <w:tcW w:w="3685" w:type="dxa"/>
          </w:tcPr>
          <w:p w14:paraId="46D1C3E5" w14:textId="77777777" w:rsidR="00202BB1" w:rsidRPr="0023712C" w:rsidRDefault="00202BB1" w:rsidP="00202BB1">
            <w:pPr>
              <w:pStyle w:val="Tabletext"/>
              <w:keepNext/>
              <w:keepLines/>
              <w:spacing w:before="100" w:beforeAutospacing="1" w:after="100" w:afterAutospacing="1"/>
              <w:ind w:left="0" w:right="0"/>
            </w:pPr>
          </w:p>
        </w:tc>
        <w:tc>
          <w:tcPr>
            <w:tcW w:w="2126" w:type="dxa"/>
          </w:tcPr>
          <w:p w14:paraId="78550360" w14:textId="77777777" w:rsidR="00202BB1" w:rsidRDefault="00202BB1" w:rsidP="00202BB1">
            <w:pPr>
              <w:pStyle w:val="Tabletext"/>
              <w:keepNext/>
              <w:keepLines/>
              <w:spacing w:before="100" w:beforeAutospacing="1" w:after="100" w:afterAutospacing="1"/>
              <w:ind w:left="0" w:right="0"/>
              <w:jc w:val="both"/>
            </w:pPr>
            <w:r w:rsidRPr="0023712C">
              <w:t>B2107</w:t>
            </w:r>
          </w:p>
          <w:p w14:paraId="706F7C3F" w14:textId="77777777" w:rsidR="00202BB1" w:rsidRPr="0023712C" w:rsidRDefault="00202BB1" w:rsidP="00202BB1">
            <w:pPr>
              <w:pStyle w:val="Tabletext"/>
              <w:keepNext/>
              <w:keepLines/>
              <w:spacing w:before="100" w:beforeAutospacing="1" w:after="100" w:afterAutospacing="1"/>
              <w:ind w:left="0" w:right="0"/>
              <w:jc w:val="both"/>
            </w:pPr>
            <w:r w:rsidRPr="0023712C">
              <w:t>B2113</w:t>
            </w:r>
          </w:p>
          <w:p w14:paraId="7FFE7F2F" w14:textId="77777777" w:rsidR="00202BB1" w:rsidRPr="0023712C" w:rsidRDefault="00202BB1" w:rsidP="00202BB1">
            <w:pPr>
              <w:pStyle w:val="Tabletext"/>
              <w:keepNext/>
              <w:keepLines/>
              <w:spacing w:before="100" w:beforeAutospacing="1" w:after="100" w:afterAutospacing="1"/>
              <w:ind w:left="0" w:right="0"/>
              <w:jc w:val="both"/>
            </w:pPr>
            <w:r w:rsidRPr="0023712C">
              <w:t>B2125</w:t>
            </w:r>
          </w:p>
        </w:tc>
      </w:tr>
      <w:tr w:rsidR="00202BB1" w:rsidRPr="0023712C" w14:paraId="11912041" w14:textId="77777777" w:rsidTr="00202BB1">
        <w:tc>
          <w:tcPr>
            <w:tcW w:w="1668" w:type="dxa"/>
            <w:vMerge/>
          </w:tcPr>
          <w:p w14:paraId="0DDE33D2" w14:textId="77777777" w:rsidR="00202BB1" w:rsidRPr="0023712C" w:rsidRDefault="00202BB1" w:rsidP="00202BB1">
            <w:pPr>
              <w:pStyle w:val="Tabletext"/>
              <w:keepNext/>
              <w:keepLines/>
              <w:spacing w:before="100" w:beforeAutospacing="1" w:after="100" w:afterAutospacing="1"/>
              <w:ind w:left="0" w:right="0"/>
            </w:pPr>
          </w:p>
        </w:tc>
        <w:tc>
          <w:tcPr>
            <w:tcW w:w="3685" w:type="dxa"/>
          </w:tcPr>
          <w:p w14:paraId="2076B47E" w14:textId="77777777" w:rsidR="00202BB1" w:rsidRPr="0023712C" w:rsidRDefault="00202BB1" w:rsidP="00202BB1">
            <w:pPr>
              <w:pStyle w:val="Tabletext"/>
              <w:keepNext/>
              <w:keepLines/>
              <w:spacing w:before="100" w:beforeAutospacing="1" w:after="100" w:afterAutospacing="1"/>
              <w:ind w:left="0" w:right="0"/>
            </w:pPr>
            <w:r w:rsidRPr="0023712C">
              <w:t>Bioavailability (mass balance)</w:t>
            </w:r>
          </w:p>
        </w:tc>
        <w:tc>
          <w:tcPr>
            <w:tcW w:w="2126" w:type="dxa"/>
          </w:tcPr>
          <w:p w14:paraId="04F6F7E8" w14:textId="77777777" w:rsidR="00202BB1" w:rsidRPr="0023712C" w:rsidRDefault="00202BB1" w:rsidP="00202BB1">
            <w:pPr>
              <w:pStyle w:val="Tabletext"/>
              <w:keepNext/>
              <w:keepLines/>
              <w:spacing w:before="100" w:beforeAutospacing="1" w:after="100" w:afterAutospacing="1"/>
              <w:ind w:left="0" w:right="0"/>
              <w:jc w:val="both"/>
            </w:pPr>
            <w:r w:rsidRPr="0023712C">
              <w:t>B2112</w:t>
            </w:r>
          </w:p>
        </w:tc>
      </w:tr>
      <w:tr w:rsidR="00202BB1" w:rsidRPr="0023712C" w14:paraId="293FDCB8" w14:textId="77777777" w:rsidTr="00202BB1">
        <w:tc>
          <w:tcPr>
            <w:tcW w:w="1668" w:type="dxa"/>
            <w:vMerge w:val="restart"/>
          </w:tcPr>
          <w:p w14:paraId="078F0E18" w14:textId="77777777" w:rsidR="00202BB1" w:rsidRPr="00215520" w:rsidRDefault="00202BB1" w:rsidP="00202BB1">
            <w:pPr>
              <w:pStyle w:val="Tabletext"/>
              <w:keepNext/>
              <w:keepLines/>
              <w:spacing w:before="100" w:beforeAutospacing="1" w:after="100" w:afterAutospacing="1"/>
              <w:ind w:left="0" w:right="0"/>
              <w:rPr>
                <w:b/>
                <w:bCs/>
                <w:sz w:val="20"/>
                <w:szCs w:val="20"/>
              </w:rPr>
            </w:pPr>
            <w:r w:rsidRPr="00215520">
              <w:rPr>
                <w:b/>
                <w:bCs/>
                <w:sz w:val="20"/>
                <w:szCs w:val="20"/>
              </w:rPr>
              <w:t>PK in special populations</w:t>
            </w:r>
          </w:p>
          <w:p w14:paraId="161C7634" w14:textId="77777777" w:rsidR="00202BB1" w:rsidRPr="00215520" w:rsidRDefault="00202BB1" w:rsidP="00202BB1">
            <w:pPr>
              <w:pStyle w:val="Tabletext"/>
              <w:keepNext/>
              <w:keepLines/>
              <w:spacing w:before="100" w:beforeAutospacing="1" w:after="100" w:afterAutospacing="1"/>
              <w:ind w:left="0" w:right="0"/>
              <w:rPr>
                <w:sz w:val="20"/>
                <w:szCs w:val="20"/>
              </w:rPr>
            </w:pPr>
          </w:p>
        </w:tc>
        <w:tc>
          <w:tcPr>
            <w:tcW w:w="3685" w:type="dxa"/>
            <w:vMerge w:val="restart"/>
          </w:tcPr>
          <w:p w14:paraId="5CEF674E" w14:textId="77777777" w:rsidR="00202BB1" w:rsidRPr="0023712C" w:rsidRDefault="00202BB1" w:rsidP="00202BB1">
            <w:pPr>
              <w:pStyle w:val="Tabletext"/>
              <w:keepNext/>
              <w:keepLines/>
              <w:spacing w:before="100" w:beforeAutospacing="1" w:after="100" w:afterAutospacing="1"/>
              <w:ind w:left="0" w:right="0"/>
              <w:jc w:val="both"/>
            </w:pPr>
            <w:r w:rsidRPr="0023712C">
              <w:t>Target population §</w:t>
            </w:r>
            <w:r w:rsidRPr="0023712C">
              <w:tab/>
              <w:t>Multi-dose</w:t>
            </w:r>
          </w:p>
        </w:tc>
        <w:tc>
          <w:tcPr>
            <w:tcW w:w="2126" w:type="dxa"/>
          </w:tcPr>
          <w:p w14:paraId="675B00F0" w14:textId="77777777" w:rsidR="00202BB1" w:rsidRPr="0023712C" w:rsidRDefault="00202BB1" w:rsidP="00202BB1">
            <w:pPr>
              <w:pStyle w:val="Tabletext"/>
              <w:keepNext/>
              <w:keepLines/>
              <w:spacing w:before="100" w:beforeAutospacing="1" w:after="100" w:afterAutospacing="1"/>
              <w:ind w:left="0" w:right="0"/>
              <w:jc w:val="both"/>
            </w:pPr>
            <w:r w:rsidRPr="0023712C">
              <w:t>B2208</w:t>
            </w:r>
          </w:p>
        </w:tc>
      </w:tr>
      <w:tr w:rsidR="00202BB1" w:rsidRPr="0023712C" w14:paraId="50EB03FA" w14:textId="77777777" w:rsidTr="00202BB1">
        <w:tc>
          <w:tcPr>
            <w:tcW w:w="1668" w:type="dxa"/>
            <w:vMerge/>
          </w:tcPr>
          <w:p w14:paraId="1203370B" w14:textId="77777777" w:rsidR="00202BB1" w:rsidRPr="00215520" w:rsidRDefault="00202BB1" w:rsidP="00202BB1">
            <w:pPr>
              <w:pStyle w:val="Tabletext"/>
              <w:keepNext/>
              <w:keepLines/>
              <w:spacing w:before="100" w:beforeAutospacing="1" w:after="100" w:afterAutospacing="1"/>
              <w:ind w:left="0" w:right="0"/>
              <w:rPr>
                <w:b/>
                <w:bCs/>
                <w:sz w:val="20"/>
                <w:szCs w:val="20"/>
              </w:rPr>
            </w:pPr>
          </w:p>
        </w:tc>
        <w:tc>
          <w:tcPr>
            <w:tcW w:w="3685" w:type="dxa"/>
            <w:vMerge/>
          </w:tcPr>
          <w:p w14:paraId="20635D51" w14:textId="77777777" w:rsidR="00202BB1" w:rsidRPr="0023712C" w:rsidRDefault="00202BB1" w:rsidP="00202BB1">
            <w:pPr>
              <w:pStyle w:val="Tabletext"/>
              <w:keepNext/>
              <w:keepLines/>
              <w:spacing w:before="100" w:beforeAutospacing="1" w:after="100" w:afterAutospacing="1"/>
              <w:ind w:left="0" w:right="0"/>
              <w:jc w:val="both"/>
            </w:pPr>
          </w:p>
        </w:tc>
        <w:tc>
          <w:tcPr>
            <w:tcW w:w="2126" w:type="dxa"/>
          </w:tcPr>
          <w:p w14:paraId="1EFFA85F" w14:textId="77777777" w:rsidR="00202BB1" w:rsidRPr="0023712C" w:rsidRDefault="00202BB1" w:rsidP="00202BB1">
            <w:pPr>
              <w:pStyle w:val="Tabletext"/>
              <w:keepNext/>
              <w:keepLines/>
              <w:spacing w:before="100" w:beforeAutospacing="1" w:after="100" w:afterAutospacing="1"/>
              <w:ind w:left="0" w:right="0"/>
              <w:jc w:val="both"/>
            </w:pPr>
            <w:r w:rsidRPr="0023712C">
              <w:t>B2305</w:t>
            </w:r>
          </w:p>
        </w:tc>
      </w:tr>
      <w:tr w:rsidR="00202BB1" w:rsidRPr="0023712C" w14:paraId="14962A4A" w14:textId="77777777" w:rsidTr="00202BB1">
        <w:tc>
          <w:tcPr>
            <w:tcW w:w="1668" w:type="dxa"/>
            <w:vMerge/>
          </w:tcPr>
          <w:p w14:paraId="630461E3" w14:textId="77777777" w:rsidR="00202BB1" w:rsidRPr="00215520" w:rsidRDefault="00202BB1" w:rsidP="00202BB1">
            <w:pPr>
              <w:pStyle w:val="Tabletext"/>
              <w:keepNext/>
              <w:keepLines/>
              <w:spacing w:before="100" w:beforeAutospacing="1" w:after="100" w:afterAutospacing="1"/>
              <w:ind w:left="0" w:right="0"/>
              <w:rPr>
                <w:b/>
                <w:bCs/>
                <w:sz w:val="20"/>
                <w:szCs w:val="20"/>
              </w:rPr>
            </w:pPr>
          </w:p>
        </w:tc>
        <w:tc>
          <w:tcPr>
            <w:tcW w:w="3685" w:type="dxa"/>
          </w:tcPr>
          <w:p w14:paraId="3A2C3A06" w14:textId="77777777" w:rsidR="00202BB1" w:rsidRPr="0023712C" w:rsidRDefault="00202BB1" w:rsidP="00202BB1">
            <w:pPr>
              <w:pStyle w:val="Tabletext"/>
              <w:keepNext/>
              <w:keepLines/>
              <w:spacing w:before="100" w:beforeAutospacing="1" w:after="100" w:afterAutospacing="1"/>
              <w:ind w:left="0" w:right="0"/>
              <w:jc w:val="both"/>
            </w:pPr>
            <w:r w:rsidRPr="0023712C">
              <w:t>Hepatic impairment</w:t>
            </w:r>
          </w:p>
        </w:tc>
        <w:tc>
          <w:tcPr>
            <w:tcW w:w="2126" w:type="dxa"/>
          </w:tcPr>
          <w:p w14:paraId="4DBADBFC" w14:textId="77777777" w:rsidR="00202BB1" w:rsidRPr="0023712C" w:rsidRDefault="00202BB1" w:rsidP="00202BB1">
            <w:pPr>
              <w:pStyle w:val="Tabletext"/>
              <w:keepNext/>
              <w:keepLines/>
              <w:spacing w:before="100" w:beforeAutospacing="1" w:after="100" w:afterAutospacing="1"/>
              <w:ind w:left="0" w:right="0"/>
              <w:jc w:val="both"/>
            </w:pPr>
            <w:r w:rsidRPr="0023712C">
              <w:t>B2114</w:t>
            </w:r>
          </w:p>
        </w:tc>
      </w:tr>
      <w:tr w:rsidR="00202BB1" w:rsidRPr="00467D76" w14:paraId="2712D231" w14:textId="77777777" w:rsidTr="00202BB1">
        <w:tc>
          <w:tcPr>
            <w:tcW w:w="1668" w:type="dxa"/>
            <w:vMerge w:val="restart"/>
          </w:tcPr>
          <w:p w14:paraId="5FE12742" w14:textId="77777777" w:rsidR="00202BB1" w:rsidRPr="00215520" w:rsidRDefault="00202BB1" w:rsidP="00202BB1">
            <w:pPr>
              <w:keepNext/>
              <w:keepLines/>
              <w:spacing w:before="100" w:beforeAutospacing="1" w:after="100" w:afterAutospacing="1"/>
              <w:ind w:left="0" w:right="0"/>
              <w:rPr>
                <w:sz w:val="20"/>
                <w:szCs w:val="20"/>
              </w:rPr>
            </w:pPr>
            <w:r w:rsidRPr="00215520">
              <w:rPr>
                <w:b/>
                <w:bCs/>
                <w:sz w:val="20"/>
                <w:szCs w:val="20"/>
              </w:rPr>
              <w:t>Population PK analyses</w:t>
            </w:r>
          </w:p>
        </w:tc>
        <w:tc>
          <w:tcPr>
            <w:tcW w:w="3685" w:type="dxa"/>
          </w:tcPr>
          <w:p w14:paraId="5BABE8AA" w14:textId="77777777" w:rsidR="00202BB1" w:rsidRPr="0023712C" w:rsidRDefault="00202BB1" w:rsidP="00202BB1">
            <w:pPr>
              <w:pStyle w:val="Tabletext"/>
              <w:keepNext/>
              <w:keepLines/>
              <w:spacing w:before="100" w:beforeAutospacing="1" w:after="100" w:afterAutospacing="1"/>
              <w:ind w:left="0" w:right="0"/>
              <w:jc w:val="both"/>
            </w:pPr>
            <w:r w:rsidRPr="0023712C">
              <w:t>Healthy subjects</w:t>
            </w:r>
          </w:p>
        </w:tc>
        <w:tc>
          <w:tcPr>
            <w:tcW w:w="2126" w:type="dxa"/>
          </w:tcPr>
          <w:p w14:paraId="6D09ABDB" w14:textId="77777777" w:rsidR="00202BB1" w:rsidRPr="0023712C" w:rsidRDefault="00202BB1" w:rsidP="00202BB1">
            <w:pPr>
              <w:pStyle w:val="Tabletext"/>
              <w:keepNext/>
              <w:keepLines/>
              <w:spacing w:before="100" w:beforeAutospacing="1" w:after="100" w:afterAutospacing="1"/>
              <w:ind w:left="0" w:right="0"/>
              <w:jc w:val="both"/>
            </w:pPr>
            <w:r w:rsidRPr="0023712C">
              <w:t>Module 5.3.3.5</w:t>
            </w:r>
          </w:p>
        </w:tc>
      </w:tr>
      <w:tr w:rsidR="00202BB1" w:rsidRPr="0023712C" w14:paraId="5A7E648C" w14:textId="77777777" w:rsidTr="00202BB1">
        <w:trPr>
          <w:trHeight w:val="472"/>
        </w:trPr>
        <w:tc>
          <w:tcPr>
            <w:tcW w:w="1668" w:type="dxa"/>
            <w:vMerge/>
          </w:tcPr>
          <w:p w14:paraId="18166F5B" w14:textId="77777777" w:rsidR="00202BB1" w:rsidRPr="0023712C" w:rsidRDefault="00202BB1" w:rsidP="00202BB1">
            <w:pPr>
              <w:pStyle w:val="Tabletext"/>
              <w:keepNext/>
              <w:keepLines/>
              <w:spacing w:before="100" w:beforeAutospacing="1" w:after="100" w:afterAutospacing="1"/>
              <w:ind w:left="0" w:right="0"/>
              <w:rPr>
                <w:b/>
                <w:bCs/>
              </w:rPr>
            </w:pPr>
          </w:p>
        </w:tc>
        <w:tc>
          <w:tcPr>
            <w:tcW w:w="3685" w:type="dxa"/>
          </w:tcPr>
          <w:p w14:paraId="2FBAA976" w14:textId="77777777" w:rsidR="00202BB1" w:rsidRPr="0023712C" w:rsidRDefault="00202BB1" w:rsidP="00202BB1">
            <w:pPr>
              <w:pStyle w:val="Tabletext"/>
              <w:keepNext/>
              <w:keepLines/>
              <w:spacing w:before="100" w:beforeAutospacing="1" w:after="100" w:afterAutospacing="1"/>
              <w:ind w:left="0" w:right="0"/>
              <w:jc w:val="both"/>
            </w:pPr>
            <w:r w:rsidRPr="0023712C">
              <w:t>Target population</w:t>
            </w:r>
          </w:p>
        </w:tc>
        <w:tc>
          <w:tcPr>
            <w:tcW w:w="2126" w:type="dxa"/>
          </w:tcPr>
          <w:p w14:paraId="2703DE93" w14:textId="77777777" w:rsidR="00202BB1" w:rsidRPr="0023712C" w:rsidRDefault="00202BB1" w:rsidP="00202BB1">
            <w:pPr>
              <w:pStyle w:val="Tabletext"/>
              <w:keepNext/>
              <w:keepLines/>
              <w:spacing w:before="100" w:beforeAutospacing="1" w:after="100" w:afterAutospacing="1"/>
              <w:ind w:left="0" w:right="0"/>
              <w:jc w:val="both"/>
            </w:pPr>
            <w:r w:rsidRPr="0023712C">
              <w:t>Module 5.3.3.5</w:t>
            </w:r>
          </w:p>
        </w:tc>
      </w:tr>
    </w:tbl>
    <w:p w14:paraId="3DE44313" w14:textId="77777777" w:rsidR="00202BB1" w:rsidRPr="0023712C" w:rsidRDefault="00202BB1" w:rsidP="00202BB1">
      <w:pPr>
        <w:keepNext/>
        <w:keepLines/>
        <w:jc w:val="both"/>
        <w:rPr>
          <w:sz w:val="20"/>
          <w:szCs w:val="20"/>
        </w:rPr>
      </w:pPr>
      <w:r w:rsidRPr="0023712C">
        <w:rPr>
          <w:sz w:val="20"/>
          <w:szCs w:val="20"/>
        </w:rPr>
        <w:t>§ Subjects who would be eligible to receive the drug if approved for the proposed indication.</w:t>
      </w:r>
    </w:p>
    <w:p w14:paraId="78EDFF2C" w14:textId="77777777" w:rsidR="00202BB1" w:rsidRPr="001547A0" w:rsidRDefault="00202BB1" w:rsidP="00202BB1">
      <w:bookmarkStart w:id="92" w:name="_Toc349891768"/>
      <w:bookmarkStart w:id="93" w:name="_Toc350352084"/>
      <w:r w:rsidRPr="001547A0">
        <w:t xml:space="preserve">None of the </w:t>
      </w:r>
      <w:r>
        <w:t>PK</w:t>
      </w:r>
      <w:r w:rsidRPr="001547A0">
        <w:t xml:space="preserve"> studies had deficiencies that excluded their results from consideration.</w:t>
      </w:r>
      <w:bookmarkEnd w:id="92"/>
      <w:bookmarkEnd w:id="93"/>
    </w:p>
    <w:p w14:paraId="5D6341EE" w14:textId="77777777" w:rsidR="00202BB1" w:rsidRPr="0023712C" w:rsidRDefault="00202BB1" w:rsidP="00AD75DD">
      <w:pPr>
        <w:pStyle w:val="Heading4"/>
      </w:pPr>
      <w:bookmarkStart w:id="94" w:name="_Toc241374296"/>
      <w:bookmarkStart w:id="95" w:name="_Ref269982040"/>
      <w:bookmarkStart w:id="96" w:name="_Ref271018704"/>
      <w:bookmarkStart w:id="97" w:name="_Ref271018755"/>
      <w:bookmarkStart w:id="98" w:name="_Toc272414635"/>
      <w:bookmarkStart w:id="99" w:name="_Toc290846258"/>
      <w:bookmarkStart w:id="100" w:name="_Ref349534225"/>
      <w:bookmarkStart w:id="101" w:name="_Ref349534287"/>
      <w:bookmarkStart w:id="102" w:name="_Toc350352102"/>
      <w:bookmarkStart w:id="103" w:name="_Toc381199067"/>
      <w:bookmarkStart w:id="104" w:name="_Toc196046481"/>
      <w:bookmarkStart w:id="105" w:name="_Toc247691520"/>
      <w:bookmarkStart w:id="106" w:name="_Toc314842503"/>
      <w:r w:rsidRPr="0023712C">
        <w:t>Evaluator’s overall conclusions on pharmacokinetics</w:t>
      </w:r>
      <w:bookmarkEnd w:id="94"/>
      <w:bookmarkEnd w:id="95"/>
      <w:bookmarkEnd w:id="96"/>
      <w:bookmarkEnd w:id="97"/>
      <w:bookmarkEnd w:id="98"/>
      <w:bookmarkEnd w:id="99"/>
      <w:bookmarkEnd w:id="100"/>
      <w:bookmarkEnd w:id="101"/>
      <w:bookmarkEnd w:id="102"/>
      <w:bookmarkEnd w:id="103"/>
    </w:p>
    <w:p w14:paraId="43E5268C" w14:textId="77777777" w:rsidR="00202BB1" w:rsidRPr="008474F3" w:rsidRDefault="00202BB1" w:rsidP="00202BB1">
      <w:r w:rsidRPr="008474F3">
        <w:t xml:space="preserve">The PK profile of pasireotide has been well characterised, both in </w:t>
      </w:r>
      <w:r>
        <w:t>HV</w:t>
      </w:r>
      <w:r w:rsidRPr="008474F3">
        <w:t xml:space="preserve"> and the target population, in respect of its intended use by </w:t>
      </w:r>
      <w:proofErr w:type="spellStart"/>
      <w:r w:rsidRPr="008474F3">
        <w:t>s</w:t>
      </w:r>
      <w:r w:rsidR="00AF1E41">
        <w:t>c</w:t>
      </w:r>
      <w:proofErr w:type="spellEnd"/>
      <w:r w:rsidR="00AF1E41">
        <w:t xml:space="preserve"> i</w:t>
      </w:r>
      <w:r w:rsidRPr="008474F3">
        <w:t>njection for patients with Cushing's disease. Rapid and complete absorption with dose proportionality across the proposed therapeutic range, absence of significant interference by metabolites, and major dependence on hepatic excretion have all been established.</w:t>
      </w:r>
    </w:p>
    <w:p w14:paraId="49048F97" w14:textId="77777777" w:rsidR="00202BB1" w:rsidRPr="008474F3" w:rsidRDefault="00202BB1" w:rsidP="00202BB1">
      <w:r w:rsidRPr="008474F3">
        <w:t>Increased exposure in the target population is identified and appears largely due to the covariate of age. This should be made clearer in information on PK in the draft PI</w:t>
      </w:r>
      <w:r w:rsidR="00AF1E41">
        <w:t>.</w:t>
      </w:r>
    </w:p>
    <w:p w14:paraId="4F057FAD" w14:textId="77777777" w:rsidR="00202BB1" w:rsidRPr="008474F3" w:rsidRDefault="00202BB1" w:rsidP="00202BB1">
      <w:r w:rsidRPr="008474F3">
        <w:t xml:space="preserve">As discussed above, the data on single dose PK exposure in hepatically impaired patients is accurate as it stands but does not adequately assess the potential for hazardous exposure </w:t>
      </w:r>
      <w:r w:rsidRPr="008474F3">
        <w:lastRenderedPageBreak/>
        <w:t>with multiple dosing. This has implications for relevant sections of the contraindications, precautions and dosing sections of the draft PI</w:t>
      </w:r>
      <w:r>
        <w:t>.</w:t>
      </w:r>
    </w:p>
    <w:p w14:paraId="20FFF84D" w14:textId="77777777" w:rsidR="008E7846" w:rsidRDefault="008E7846" w:rsidP="008E7846">
      <w:pPr>
        <w:pStyle w:val="Heading3"/>
      </w:pPr>
      <w:bookmarkStart w:id="107" w:name="_Toc383680722"/>
      <w:r w:rsidRPr="00254787">
        <w:t>Pharmacodynamics</w:t>
      </w:r>
      <w:bookmarkEnd w:id="67"/>
      <w:bookmarkEnd w:id="104"/>
      <w:bookmarkEnd w:id="105"/>
      <w:bookmarkEnd w:id="106"/>
      <w:bookmarkEnd w:id="107"/>
    </w:p>
    <w:p w14:paraId="16E55D65" w14:textId="77777777" w:rsidR="00202BB1" w:rsidRPr="00AD75DD" w:rsidRDefault="00202BB1" w:rsidP="00AD75DD">
      <w:pPr>
        <w:pStyle w:val="Heading4"/>
      </w:pPr>
      <w:bookmarkStart w:id="108" w:name="_Toc272414637"/>
      <w:bookmarkStart w:id="109" w:name="_Toc290846260"/>
      <w:bookmarkStart w:id="110" w:name="_Toc350352104"/>
      <w:bookmarkStart w:id="111" w:name="_Toc381199069"/>
      <w:r w:rsidRPr="0023712C">
        <w:t>Studies providing pharmacodynamic data</w:t>
      </w:r>
      <w:bookmarkEnd w:id="108"/>
      <w:bookmarkEnd w:id="109"/>
      <w:bookmarkEnd w:id="110"/>
      <w:bookmarkEnd w:id="111"/>
    </w:p>
    <w:p w14:paraId="783CA0BD" w14:textId="77777777" w:rsidR="00202BB1" w:rsidRPr="005B196F" w:rsidRDefault="00202BB1" w:rsidP="00676AF0">
      <w:r w:rsidRPr="00AD75DD">
        <w:t xml:space="preserve">Table </w:t>
      </w:r>
      <w:r w:rsidR="00AF1E41">
        <w:t xml:space="preserve">6 </w:t>
      </w:r>
      <w:r w:rsidRPr="00AD75DD">
        <w:t>shows the</w:t>
      </w:r>
      <w:r w:rsidR="00AF1E41">
        <w:t xml:space="preserve"> studies relating to each </w:t>
      </w:r>
      <w:r>
        <w:t xml:space="preserve">PD </w:t>
      </w:r>
      <w:r w:rsidRPr="005B196F">
        <w:t>topic</w:t>
      </w:r>
      <w:r>
        <w:t>.</w:t>
      </w:r>
      <w:r w:rsidRPr="005B196F">
        <w:t xml:space="preserve"> Note that a number of these studies also appear in </w:t>
      </w:r>
      <w:r>
        <w:t xml:space="preserve">Table </w:t>
      </w:r>
      <w:r w:rsidR="00AF1E41">
        <w:t>5</w:t>
      </w:r>
      <w:r>
        <w:t xml:space="preserve"> as</w:t>
      </w:r>
      <w:r w:rsidRPr="005B196F">
        <w:t xml:space="preserve"> many of the </w:t>
      </w:r>
      <w:r>
        <w:t>P</w:t>
      </w:r>
      <w:r w:rsidRPr="005B196F">
        <w:t xml:space="preserve">hase </w:t>
      </w:r>
      <w:r>
        <w:t>I</w:t>
      </w:r>
      <w:r w:rsidRPr="005B196F">
        <w:t xml:space="preserve"> studies include both PK and PD data; also that there are no clinical studies relating to the primary </w:t>
      </w:r>
      <w:r>
        <w:t>PD</w:t>
      </w:r>
      <w:r w:rsidRPr="005B196F">
        <w:t xml:space="preserve"> action of pasireotide for the purpose of this application, which is its action in suppressing ACTH release from the pituitary, and from pituitary tumour cells in particular. This has been established in</w:t>
      </w:r>
      <w:r w:rsidR="00E27E5F">
        <w:t xml:space="preserve"> </w:t>
      </w:r>
      <w:r w:rsidR="004939E4" w:rsidRPr="00A338C4">
        <w:t>in</w:t>
      </w:r>
      <w:r w:rsidR="00676AF0">
        <w:t> </w:t>
      </w:r>
      <w:r w:rsidR="004939E4" w:rsidRPr="00A338C4">
        <w:t>vitro</w:t>
      </w:r>
      <w:r w:rsidRPr="005B196F">
        <w:t xml:space="preserve"> studies.</w:t>
      </w:r>
    </w:p>
    <w:p w14:paraId="48EF6394" w14:textId="77777777" w:rsidR="00202BB1" w:rsidRDefault="00202BB1" w:rsidP="00202BB1">
      <w:pPr>
        <w:pStyle w:val="TableTitle"/>
        <w:keepLines/>
      </w:pPr>
      <w:bookmarkStart w:id="112" w:name="_Ref269985397"/>
      <w:bookmarkStart w:id="113" w:name="_Toc349891789"/>
      <w:bookmarkStart w:id="114" w:name="_Toc350352105"/>
      <w:bookmarkStart w:id="115" w:name="_Toc350352307"/>
      <w:r w:rsidRPr="005B196F">
        <w:t>Table</w:t>
      </w:r>
      <w:bookmarkEnd w:id="112"/>
      <w:r>
        <w:t xml:space="preserve"> </w:t>
      </w:r>
      <w:r w:rsidR="00A60283">
        <w:t>6</w:t>
      </w:r>
      <w:r>
        <w:t>:</w:t>
      </w:r>
      <w:r w:rsidRPr="005B196F">
        <w:t xml:space="preserve"> Submitted pharmacodynamic studies.</w:t>
      </w:r>
      <w:bookmarkEnd w:id="113"/>
      <w:bookmarkEnd w:id="114"/>
      <w:bookmarkEnd w:id="115"/>
    </w:p>
    <w:tbl>
      <w:tblPr>
        <w:tblStyle w:val="TableTGAblue"/>
        <w:tblW w:w="0" w:type="auto"/>
        <w:tblLook w:val="04A0" w:firstRow="1" w:lastRow="0" w:firstColumn="1" w:lastColumn="0" w:noHBand="0" w:noVBand="1"/>
      </w:tblPr>
      <w:tblGrid>
        <w:gridCol w:w="2376"/>
        <w:gridCol w:w="3785"/>
        <w:gridCol w:w="2311"/>
      </w:tblGrid>
      <w:tr w:rsidR="00202BB1" w14:paraId="4048B10D" w14:textId="77777777" w:rsidTr="00202BB1">
        <w:trPr>
          <w:cnfStyle w:val="100000000000" w:firstRow="1" w:lastRow="0" w:firstColumn="0" w:lastColumn="0" w:oddVBand="0" w:evenVBand="0" w:oddHBand="0" w:evenHBand="0" w:firstRowFirstColumn="0" w:firstRowLastColumn="0" w:lastRowFirstColumn="0" w:lastRowLastColumn="0"/>
        </w:trPr>
        <w:tc>
          <w:tcPr>
            <w:tcW w:w="2376" w:type="dxa"/>
          </w:tcPr>
          <w:p w14:paraId="22CBF46B" w14:textId="77777777" w:rsidR="00202BB1" w:rsidRPr="00FC54CC" w:rsidRDefault="00202BB1" w:rsidP="00202BB1">
            <w:pPr>
              <w:keepLines/>
              <w:spacing w:before="0" w:after="0"/>
              <w:rPr>
                <w:sz w:val="20"/>
                <w:szCs w:val="20"/>
              </w:rPr>
            </w:pPr>
            <w:r w:rsidRPr="00FC54CC">
              <w:rPr>
                <w:sz w:val="20"/>
                <w:szCs w:val="20"/>
              </w:rPr>
              <w:t>PD Topic</w:t>
            </w:r>
          </w:p>
        </w:tc>
        <w:tc>
          <w:tcPr>
            <w:tcW w:w="3785" w:type="dxa"/>
          </w:tcPr>
          <w:p w14:paraId="056C6393" w14:textId="77777777" w:rsidR="00202BB1" w:rsidRPr="00FC54CC" w:rsidRDefault="00202BB1" w:rsidP="00202BB1">
            <w:pPr>
              <w:keepLines/>
              <w:spacing w:before="0" w:after="0"/>
              <w:rPr>
                <w:sz w:val="20"/>
                <w:szCs w:val="20"/>
              </w:rPr>
            </w:pPr>
            <w:r w:rsidRPr="00FC54CC">
              <w:rPr>
                <w:sz w:val="20"/>
                <w:szCs w:val="20"/>
              </w:rPr>
              <w:t>Subtopic</w:t>
            </w:r>
          </w:p>
        </w:tc>
        <w:tc>
          <w:tcPr>
            <w:tcW w:w="2311" w:type="dxa"/>
          </w:tcPr>
          <w:p w14:paraId="2A34A272" w14:textId="77777777" w:rsidR="00202BB1" w:rsidRPr="00FC54CC" w:rsidRDefault="00202BB1" w:rsidP="00202BB1">
            <w:pPr>
              <w:keepLines/>
              <w:spacing w:before="0" w:after="0"/>
              <w:rPr>
                <w:sz w:val="20"/>
                <w:szCs w:val="20"/>
              </w:rPr>
            </w:pPr>
            <w:r w:rsidRPr="00FC54CC">
              <w:rPr>
                <w:sz w:val="20"/>
                <w:szCs w:val="20"/>
              </w:rPr>
              <w:t>Study ID</w:t>
            </w:r>
          </w:p>
        </w:tc>
      </w:tr>
      <w:tr w:rsidR="00202BB1" w14:paraId="686A0794" w14:textId="77777777" w:rsidTr="00202BB1">
        <w:tc>
          <w:tcPr>
            <w:tcW w:w="2376" w:type="dxa"/>
            <w:vMerge w:val="restart"/>
          </w:tcPr>
          <w:p w14:paraId="3FBD1E0F" w14:textId="77777777" w:rsidR="00202BB1" w:rsidRPr="00FC54CC" w:rsidRDefault="00202BB1" w:rsidP="00202BB1">
            <w:pPr>
              <w:keepNext/>
              <w:keepLines/>
              <w:spacing w:before="0" w:after="0"/>
              <w:rPr>
                <w:sz w:val="20"/>
                <w:szCs w:val="20"/>
              </w:rPr>
            </w:pPr>
            <w:r w:rsidRPr="00FC54CC">
              <w:rPr>
                <w:b/>
                <w:sz w:val="20"/>
                <w:szCs w:val="20"/>
              </w:rPr>
              <w:t>Secondary</w:t>
            </w:r>
            <w:r>
              <w:rPr>
                <w:b/>
                <w:sz w:val="20"/>
                <w:szCs w:val="20"/>
              </w:rPr>
              <w:t xml:space="preserve"> </w:t>
            </w:r>
            <w:r w:rsidRPr="00FC54CC">
              <w:rPr>
                <w:b/>
                <w:bCs/>
                <w:sz w:val="20"/>
                <w:szCs w:val="20"/>
              </w:rPr>
              <w:t>Pharmacology</w:t>
            </w:r>
            <w:r w:rsidRPr="00FC54CC">
              <w:rPr>
                <w:sz w:val="20"/>
                <w:szCs w:val="20"/>
              </w:rPr>
              <w:t xml:space="preserve"> </w:t>
            </w:r>
          </w:p>
        </w:tc>
        <w:tc>
          <w:tcPr>
            <w:tcW w:w="3785" w:type="dxa"/>
          </w:tcPr>
          <w:p w14:paraId="5536F339" w14:textId="77777777" w:rsidR="00202BB1" w:rsidRPr="00FC54CC" w:rsidRDefault="00202BB1" w:rsidP="00202BB1">
            <w:pPr>
              <w:keepNext/>
              <w:keepLines/>
              <w:spacing w:before="0" w:after="0"/>
              <w:rPr>
                <w:sz w:val="20"/>
                <w:szCs w:val="20"/>
              </w:rPr>
            </w:pPr>
            <w:r w:rsidRPr="00FC54CC">
              <w:rPr>
                <w:sz w:val="20"/>
                <w:szCs w:val="20"/>
              </w:rPr>
              <w:t>Effect on growth hormone release</w:t>
            </w:r>
          </w:p>
        </w:tc>
        <w:tc>
          <w:tcPr>
            <w:tcW w:w="2311" w:type="dxa"/>
          </w:tcPr>
          <w:p w14:paraId="381DC060" w14:textId="77777777" w:rsidR="00202BB1" w:rsidRPr="00FC54CC" w:rsidRDefault="00202BB1" w:rsidP="00202BB1">
            <w:pPr>
              <w:keepNext/>
              <w:keepLines/>
              <w:spacing w:before="0" w:after="0"/>
              <w:rPr>
                <w:sz w:val="20"/>
                <w:szCs w:val="20"/>
              </w:rPr>
            </w:pPr>
            <w:r w:rsidRPr="00FC54CC">
              <w:rPr>
                <w:sz w:val="20"/>
                <w:szCs w:val="20"/>
              </w:rPr>
              <w:t>B2101</w:t>
            </w:r>
          </w:p>
        </w:tc>
      </w:tr>
      <w:tr w:rsidR="00202BB1" w14:paraId="1A5F33DC" w14:textId="77777777" w:rsidTr="00202BB1">
        <w:tc>
          <w:tcPr>
            <w:tcW w:w="2376" w:type="dxa"/>
            <w:vMerge/>
          </w:tcPr>
          <w:p w14:paraId="46B19766" w14:textId="77777777" w:rsidR="00202BB1" w:rsidRPr="00FC54CC" w:rsidRDefault="00202BB1" w:rsidP="00202BB1">
            <w:pPr>
              <w:keepNext/>
              <w:keepLines/>
              <w:spacing w:before="0" w:after="0"/>
              <w:rPr>
                <w:sz w:val="20"/>
                <w:szCs w:val="20"/>
              </w:rPr>
            </w:pPr>
          </w:p>
        </w:tc>
        <w:tc>
          <w:tcPr>
            <w:tcW w:w="3785" w:type="dxa"/>
            <w:vMerge w:val="restart"/>
          </w:tcPr>
          <w:p w14:paraId="260A0DB5" w14:textId="77777777" w:rsidR="00202BB1" w:rsidRDefault="00202BB1" w:rsidP="00202BB1">
            <w:pPr>
              <w:pStyle w:val="Tabletext"/>
              <w:keepNext/>
              <w:keepLines/>
              <w:spacing w:before="0" w:after="0"/>
              <w:rPr>
                <w:sz w:val="20"/>
                <w:szCs w:val="20"/>
              </w:rPr>
            </w:pPr>
          </w:p>
          <w:p w14:paraId="6ABC9093" w14:textId="77777777" w:rsidR="00202BB1" w:rsidRPr="00FC54CC" w:rsidRDefault="00202BB1" w:rsidP="00202BB1">
            <w:pPr>
              <w:pStyle w:val="Tabletext"/>
              <w:keepNext/>
              <w:keepLines/>
              <w:spacing w:before="0" w:after="0"/>
              <w:rPr>
                <w:sz w:val="20"/>
                <w:szCs w:val="20"/>
              </w:rPr>
            </w:pPr>
            <w:r w:rsidRPr="00FC54CC">
              <w:rPr>
                <w:sz w:val="20"/>
                <w:szCs w:val="20"/>
              </w:rPr>
              <w:t>Effect on glucose homoeostasis</w:t>
            </w:r>
          </w:p>
        </w:tc>
        <w:tc>
          <w:tcPr>
            <w:tcW w:w="2311" w:type="dxa"/>
          </w:tcPr>
          <w:p w14:paraId="5F033D9A" w14:textId="77777777" w:rsidR="00202BB1" w:rsidRPr="00FC54CC" w:rsidRDefault="00202BB1" w:rsidP="00202BB1">
            <w:pPr>
              <w:pStyle w:val="Tabletext"/>
              <w:keepNext/>
              <w:keepLines/>
              <w:spacing w:before="0" w:after="0"/>
              <w:jc w:val="both"/>
              <w:rPr>
                <w:sz w:val="20"/>
                <w:szCs w:val="20"/>
              </w:rPr>
            </w:pPr>
            <w:r w:rsidRPr="00FC54CC">
              <w:rPr>
                <w:sz w:val="20"/>
                <w:szCs w:val="20"/>
              </w:rPr>
              <w:t>B2102</w:t>
            </w:r>
          </w:p>
        </w:tc>
      </w:tr>
      <w:tr w:rsidR="00202BB1" w14:paraId="0B8732F8" w14:textId="77777777" w:rsidTr="00202BB1">
        <w:tc>
          <w:tcPr>
            <w:tcW w:w="2376" w:type="dxa"/>
            <w:vMerge/>
          </w:tcPr>
          <w:p w14:paraId="51553C83" w14:textId="77777777" w:rsidR="00202BB1" w:rsidRPr="00FC54CC" w:rsidRDefault="00202BB1" w:rsidP="00202BB1">
            <w:pPr>
              <w:keepNext/>
              <w:keepLines/>
              <w:spacing w:before="0" w:after="0"/>
              <w:rPr>
                <w:sz w:val="20"/>
                <w:szCs w:val="20"/>
              </w:rPr>
            </w:pPr>
          </w:p>
        </w:tc>
        <w:tc>
          <w:tcPr>
            <w:tcW w:w="3785" w:type="dxa"/>
            <w:vMerge/>
          </w:tcPr>
          <w:p w14:paraId="4DFF5344" w14:textId="77777777" w:rsidR="00202BB1" w:rsidRPr="00FC54CC" w:rsidRDefault="00202BB1" w:rsidP="00202BB1">
            <w:pPr>
              <w:pStyle w:val="Tabletext"/>
              <w:keepNext/>
              <w:keepLines/>
              <w:spacing w:before="0" w:after="0"/>
              <w:rPr>
                <w:sz w:val="20"/>
                <w:szCs w:val="20"/>
              </w:rPr>
            </w:pPr>
          </w:p>
        </w:tc>
        <w:tc>
          <w:tcPr>
            <w:tcW w:w="2311" w:type="dxa"/>
          </w:tcPr>
          <w:p w14:paraId="572A4433" w14:textId="77777777" w:rsidR="00202BB1" w:rsidRPr="00FC54CC" w:rsidRDefault="00202BB1" w:rsidP="00202BB1">
            <w:pPr>
              <w:pStyle w:val="Tabletext"/>
              <w:keepNext/>
              <w:keepLines/>
              <w:spacing w:before="0" w:after="0"/>
              <w:jc w:val="both"/>
              <w:rPr>
                <w:sz w:val="20"/>
                <w:szCs w:val="20"/>
              </w:rPr>
            </w:pPr>
            <w:r w:rsidRPr="00FC54CC">
              <w:rPr>
                <w:sz w:val="20"/>
                <w:szCs w:val="20"/>
              </w:rPr>
              <w:t>B2102*</w:t>
            </w:r>
          </w:p>
        </w:tc>
      </w:tr>
      <w:tr w:rsidR="00202BB1" w14:paraId="6EBEFA64" w14:textId="77777777" w:rsidTr="00202BB1">
        <w:tc>
          <w:tcPr>
            <w:tcW w:w="2376" w:type="dxa"/>
            <w:vMerge/>
          </w:tcPr>
          <w:p w14:paraId="5CBB10C9" w14:textId="77777777" w:rsidR="00202BB1" w:rsidRPr="00FC54CC" w:rsidRDefault="00202BB1" w:rsidP="00202BB1">
            <w:pPr>
              <w:keepNext/>
              <w:keepLines/>
              <w:spacing w:before="0" w:after="0"/>
              <w:rPr>
                <w:sz w:val="20"/>
                <w:szCs w:val="20"/>
              </w:rPr>
            </w:pPr>
          </w:p>
        </w:tc>
        <w:tc>
          <w:tcPr>
            <w:tcW w:w="3785" w:type="dxa"/>
            <w:vMerge/>
          </w:tcPr>
          <w:p w14:paraId="0F7FCDCF" w14:textId="77777777" w:rsidR="00202BB1" w:rsidRPr="00FC54CC" w:rsidRDefault="00202BB1" w:rsidP="00202BB1">
            <w:pPr>
              <w:pStyle w:val="Tabletext"/>
              <w:keepNext/>
              <w:keepLines/>
              <w:spacing w:before="0" w:after="0"/>
              <w:jc w:val="both"/>
              <w:rPr>
                <w:sz w:val="20"/>
                <w:szCs w:val="20"/>
              </w:rPr>
            </w:pPr>
          </w:p>
        </w:tc>
        <w:tc>
          <w:tcPr>
            <w:tcW w:w="2311" w:type="dxa"/>
          </w:tcPr>
          <w:p w14:paraId="3507290F" w14:textId="77777777" w:rsidR="00202BB1" w:rsidRPr="00FC54CC" w:rsidRDefault="00202BB1" w:rsidP="00202BB1">
            <w:pPr>
              <w:pStyle w:val="Tabletext"/>
              <w:keepNext/>
              <w:keepLines/>
              <w:spacing w:before="0" w:after="0"/>
              <w:jc w:val="both"/>
              <w:rPr>
                <w:sz w:val="20"/>
                <w:szCs w:val="20"/>
              </w:rPr>
            </w:pPr>
            <w:r w:rsidRPr="00FC54CC">
              <w:rPr>
                <w:sz w:val="20"/>
                <w:szCs w:val="20"/>
              </w:rPr>
              <w:t>B2106*</w:t>
            </w:r>
          </w:p>
        </w:tc>
      </w:tr>
      <w:tr w:rsidR="00202BB1" w14:paraId="44B2C3B5" w14:textId="77777777" w:rsidTr="00202BB1">
        <w:tc>
          <w:tcPr>
            <w:tcW w:w="2376" w:type="dxa"/>
            <w:vMerge/>
          </w:tcPr>
          <w:p w14:paraId="2F98B548" w14:textId="77777777" w:rsidR="00202BB1" w:rsidRPr="00FC54CC" w:rsidRDefault="00202BB1" w:rsidP="00202BB1">
            <w:pPr>
              <w:keepNext/>
              <w:keepLines/>
              <w:spacing w:before="0" w:after="0"/>
              <w:rPr>
                <w:sz w:val="20"/>
                <w:szCs w:val="20"/>
              </w:rPr>
            </w:pPr>
          </w:p>
        </w:tc>
        <w:tc>
          <w:tcPr>
            <w:tcW w:w="3785" w:type="dxa"/>
          </w:tcPr>
          <w:p w14:paraId="106F54D0" w14:textId="77777777" w:rsidR="00202BB1" w:rsidRPr="00FC54CC" w:rsidRDefault="00202BB1" w:rsidP="00202BB1">
            <w:pPr>
              <w:keepNext/>
              <w:keepLines/>
              <w:spacing w:before="0" w:after="0"/>
              <w:rPr>
                <w:sz w:val="20"/>
                <w:szCs w:val="20"/>
              </w:rPr>
            </w:pPr>
          </w:p>
        </w:tc>
        <w:tc>
          <w:tcPr>
            <w:tcW w:w="2311" w:type="dxa"/>
          </w:tcPr>
          <w:p w14:paraId="1A15783F" w14:textId="77777777" w:rsidR="00202BB1" w:rsidRPr="00FC54CC" w:rsidRDefault="00202BB1" w:rsidP="00202BB1">
            <w:pPr>
              <w:keepNext/>
              <w:keepLines/>
              <w:spacing w:before="0" w:after="0"/>
              <w:rPr>
                <w:sz w:val="20"/>
                <w:szCs w:val="20"/>
              </w:rPr>
            </w:pPr>
            <w:r w:rsidRPr="00FC54CC">
              <w:rPr>
                <w:sz w:val="20"/>
                <w:szCs w:val="20"/>
              </w:rPr>
              <w:t>B2107*</w:t>
            </w:r>
          </w:p>
        </w:tc>
      </w:tr>
      <w:tr w:rsidR="00202BB1" w14:paraId="1BBBF3CA" w14:textId="77777777" w:rsidTr="00202BB1">
        <w:tc>
          <w:tcPr>
            <w:tcW w:w="2376" w:type="dxa"/>
            <w:vMerge/>
          </w:tcPr>
          <w:p w14:paraId="190AC0C9" w14:textId="77777777" w:rsidR="00202BB1" w:rsidRPr="00FC54CC" w:rsidRDefault="00202BB1" w:rsidP="00202BB1">
            <w:pPr>
              <w:keepNext/>
              <w:keepLines/>
              <w:spacing w:before="0" w:after="0"/>
              <w:rPr>
                <w:sz w:val="20"/>
                <w:szCs w:val="20"/>
              </w:rPr>
            </w:pPr>
          </w:p>
        </w:tc>
        <w:tc>
          <w:tcPr>
            <w:tcW w:w="3785" w:type="dxa"/>
          </w:tcPr>
          <w:p w14:paraId="4C92A42E" w14:textId="77777777" w:rsidR="00202BB1" w:rsidRPr="00FC54CC" w:rsidRDefault="00202BB1" w:rsidP="00202BB1">
            <w:pPr>
              <w:pStyle w:val="Tabletext"/>
              <w:keepNext/>
              <w:keepLines/>
              <w:spacing w:before="0" w:after="0"/>
              <w:jc w:val="both"/>
              <w:rPr>
                <w:sz w:val="20"/>
                <w:szCs w:val="20"/>
              </w:rPr>
            </w:pPr>
          </w:p>
        </w:tc>
        <w:tc>
          <w:tcPr>
            <w:tcW w:w="2311" w:type="dxa"/>
          </w:tcPr>
          <w:p w14:paraId="30B1454A" w14:textId="77777777" w:rsidR="00202BB1" w:rsidRPr="00FC54CC" w:rsidRDefault="00202BB1" w:rsidP="00202BB1">
            <w:pPr>
              <w:pStyle w:val="Tabletext"/>
              <w:keepNext/>
              <w:keepLines/>
              <w:spacing w:before="0" w:after="0"/>
              <w:jc w:val="both"/>
              <w:rPr>
                <w:sz w:val="20"/>
                <w:szCs w:val="20"/>
              </w:rPr>
            </w:pPr>
            <w:r w:rsidRPr="00FC54CC">
              <w:rPr>
                <w:sz w:val="20"/>
                <w:szCs w:val="20"/>
              </w:rPr>
              <w:t>B2216</w:t>
            </w:r>
          </w:p>
        </w:tc>
      </w:tr>
      <w:tr w:rsidR="00202BB1" w14:paraId="0446AB1B" w14:textId="77777777" w:rsidTr="00202BB1">
        <w:tc>
          <w:tcPr>
            <w:tcW w:w="2376" w:type="dxa"/>
            <w:vMerge/>
          </w:tcPr>
          <w:p w14:paraId="14843FF0" w14:textId="77777777" w:rsidR="00202BB1" w:rsidRPr="00FC54CC" w:rsidRDefault="00202BB1" w:rsidP="00202BB1">
            <w:pPr>
              <w:keepNext/>
              <w:keepLines/>
              <w:spacing w:before="0" w:after="0"/>
              <w:rPr>
                <w:sz w:val="20"/>
                <w:szCs w:val="20"/>
              </w:rPr>
            </w:pPr>
          </w:p>
        </w:tc>
        <w:tc>
          <w:tcPr>
            <w:tcW w:w="3785" w:type="dxa"/>
          </w:tcPr>
          <w:p w14:paraId="30958C77" w14:textId="77777777" w:rsidR="00202BB1" w:rsidRPr="00FC54CC" w:rsidRDefault="00202BB1" w:rsidP="00202BB1">
            <w:pPr>
              <w:pStyle w:val="Tabletext"/>
              <w:keepNext/>
              <w:keepLines/>
              <w:spacing w:before="0" w:after="0"/>
              <w:jc w:val="both"/>
              <w:rPr>
                <w:sz w:val="20"/>
                <w:szCs w:val="20"/>
              </w:rPr>
            </w:pPr>
            <w:r w:rsidRPr="00FC54CC">
              <w:rPr>
                <w:sz w:val="20"/>
                <w:szCs w:val="20"/>
              </w:rPr>
              <w:t>Cardiac repolarisation</w:t>
            </w:r>
          </w:p>
        </w:tc>
        <w:tc>
          <w:tcPr>
            <w:tcW w:w="2311" w:type="dxa"/>
          </w:tcPr>
          <w:p w14:paraId="743A867F" w14:textId="77777777" w:rsidR="00202BB1" w:rsidRPr="00FC54CC" w:rsidRDefault="00202BB1" w:rsidP="00202BB1">
            <w:pPr>
              <w:pStyle w:val="Tabletext"/>
              <w:keepNext/>
              <w:keepLines/>
              <w:spacing w:before="0" w:after="0"/>
              <w:jc w:val="both"/>
              <w:rPr>
                <w:sz w:val="20"/>
                <w:szCs w:val="20"/>
              </w:rPr>
            </w:pPr>
            <w:r w:rsidRPr="00FC54CC">
              <w:rPr>
                <w:sz w:val="20"/>
                <w:szCs w:val="20"/>
              </w:rPr>
              <w:t>B2113</w:t>
            </w:r>
          </w:p>
        </w:tc>
      </w:tr>
      <w:tr w:rsidR="00202BB1" w14:paraId="50DA4B94" w14:textId="77777777" w:rsidTr="00202BB1">
        <w:tc>
          <w:tcPr>
            <w:tcW w:w="2376" w:type="dxa"/>
            <w:vMerge/>
          </w:tcPr>
          <w:p w14:paraId="261ECCC1" w14:textId="77777777" w:rsidR="00202BB1" w:rsidRPr="00FC54CC" w:rsidRDefault="00202BB1" w:rsidP="00202BB1">
            <w:pPr>
              <w:keepNext/>
              <w:keepLines/>
              <w:spacing w:before="0" w:after="0"/>
              <w:rPr>
                <w:sz w:val="20"/>
                <w:szCs w:val="20"/>
              </w:rPr>
            </w:pPr>
          </w:p>
        </w:tc>
        <w:tc>
          <w:tcPr>
            <w:tcW w:w="3785" w:type="dxa"/>
          </w:tcPr>
          <w:p w14:paraId="06A1C675" w14:textId="77777777" w:rsidR="00202BB1" w:rsidRPr="00FC54CC" w:rsidRDefault="00202BB1" w:rsidP="00202BB1">
            <w:pPr>
              <w:pStyle w:val="Tabletext"/>
              <w:keepNext/>
              <w:keepLines/>
              <w:spacing w:before="0" w:after="0"/>
              <w:jc w:val="both"/>
              <w:rPr>
                <w:sz w:val="20"/>
                <w:szCs w:val="20"/>
              </w:rPr>
            </w:pPr>
          </w:p>
        </w:tc>
        <w:tc>
          <w:tcPr>
            <w:tcW w:w="2311" w:type="dxa"/>
          </w:tcPr>
          <w:p w14:paraId="07472EC7" w14:textId="77777777" w:rsidR="00202BB1" w:rsidRPr="00FC54CC" w:rsidRDefault="00202BB1" w:rsidP="00202BB1">
            <w:pPr>
              <w:pStyle w:val="Tabletext"/>
              <w:keepNext/>
              <w:keepLines/>
              <w:spacing w:before="0" w:after="0"/>
              <w:jc w:val="both"/>
              <w:rPr>
                <w:sz w:val="20"/>
                <w:szCs w:val="20"/>
              </w:rPr>
            </w:pPr>
            <w:r w:rsidRPr="00FC54CC">
              <w:rPr>
                <w:sz w:val="20"/>
                <w:szCs w:val="20"/>
              </w:rPr>
              <w:t>B2125</w:t>
            </w:r>
          </w:p>
        </w:tc>
      </w:tr>
      <w:tr w:rsidR="00202BB1" w14:paraId="3A3CE063" w14:textId="77777777" w:rsidTr="00202BB1">
        <w:tc>
          <w:tcPr>
            <w:tcW w:w="2376" w:type="dxa"/>
          </w:tcPr>
          <w:p w14:paraId="61924AF3" w14:textId="77777777" w:rsidR="00202BB1" w:rsidRPr="0023712C" w:rsidRDefault="00202BB1" w:rsidP="00202BB1">
            <w:pPr>
              <w:pStyle w:val="Tabletext"/>
              <w:keepNext/>
              <w:keepLines/>
              <w:jc w:val="both"/>
              <w:rPr>
                <w:b/>
                <w:bCs/>
              </w:rPr>
            </w:pPr>
            <w:r w:rsidRPr="0023712C">
              <w:rPr>
                <w:b/>
                <w:bCs/>
              </w:rPr>
              <w:t>PD Interactions</w:t>
            </w:r>
          </w:p>
        </w:tc>
        <w:tc>
          <w:tcPr>
            <w:tcW w:w="3785" w:type="dxa"/>
          </w:tcPr>
          <w:p w14:paraId="4452327B" w14:textId="77777777" w:rsidR="00202BB1" w:rsidRPr="0023712C" w:rsidRDefault="00202BB1" w:rsidP="00202BB1">
            <w:pPr>
              <w:pStyle w:val="Tabletext"/>
              <w:keepNext/>
              <w:keepLines/>
              <w:rPr>
                <w:lang w:val="da-DK"/>
              </w:rPr>
            </w:pPr>
            <w:r w:rsidRPr="0023712C">
              <w:rPr>
                <w:lang w:val="da-DK"/>
              </w:rPr>
              <w:t>Metformin, vildagliptin, liraglutide and nateglinide</w:t>
            </w:r>
          </w:p>
        </w:tc>
        <w:tc>
          <w:tcPr>
            <w:tcW w:w="2311" w:type="dxa"/>
          </w:tcPr>
          <w:p w14:paraId="2067693C" w14:textId="77777777" w:rsidR="00202BB1" w:rsidRPr="0023712C" w:rsidRDefault="00202BB1" w:rsidP="00202BB1">
            <w:pPr>
              <w:pStyle w:val="Tabletext"/>
              <w:keepNext/>
              <w:keepLines/>
              <w:jc w:val="both"/>
            </w:pPr>
            <w:r w:rsidRPr="0023712C">
              <w:t>B2124</w:t>
            </w:r>
          </w:p>
        </w:tc>
      </w:tr>
      <w:tr w:rsidR="00202BB1" w14:paraId="20C6FAAA" w14:textId="77777777" w:rsidTr="00202BB1">
        <w:tc>
          <w:tcPr>
            <w:tcW w:w="2376" w:type="dxa"/>
          </w:tcPr>
          <w:p w14:paraId="4C791BA4" w14:textId="77777777" w:rsidR="00202BB1" w:rsidRPr="0023712C" w:rsidRDefault="00202BB1" w:rsidP="00202BB1">
            <w:pPr>
              <w:pStyle w:val="Tabletext"/>
              <w:keepNext/>
              <w:keepLines/>
              <w:rPr>
                <w:b/>
                <w:bCs/>
              </w:rPr>
            </w:pPr>
            <w:r w:rsidRPr="0023712C">
              <w:rPr>
                <w:b/>
                <w:bCs/>
              </w:rPr>
              <w:t>Population PD and PK-PD analyses</w:t>
            </w:r>
          </w:p>
        </w:tc>
        <w:tc>
          <w:tcPr>
            <w:tcW w:w="3785" w:type="dxa"/>
          </w:tcPr>
          <w:p w14:paraId="5D264F13" w14:textId="77777777" w:rsidR="00202BB1" w:rsidRPr="0023712C" w:rsidRDefault="00202BB1" w:rsidP="00202BB1">
            <w:pPr>
              <w:pStyle w:val="Tabletext"/>
              <w:keepNext/>
              <w:keepLines/>
            </w:pPr>
            <w:r w:rsidRPr="0023712C">
              <w:t>Target population with pituitary Cushing's disease</w:t>
            </w:r>
          </w:p>
        </w:tc>
        <w:tc>
          <w:tcPr>
            <w:tcW w:w="2311" w:type="dxa"/>
          </w:tcPr>
          <w:p w14:paraId="21B46658" w14:textId="77777777" w:rsidR="00202BB1" w:rsidRPr="0023712C" w:rsidRDefault="00202BB1" w:rsidP="00202BB1">
            <w:pPr>
              <w:pStyle w:val="Tabletext"/>
              <w:keepNext/>
              <w:keepLines/>
              <w:jc w:val="both"/>
            </w:pPr>
            <w:r w:rsidRPr="0023712C">
              <w:t>Module 5.3.3.5</w:t>
            </w:r>
          </w:p>
        </w:tc>
      </w:tr>
    </w:tbl>
    <w:p w14:paraId="0C8B042F" w14:textId="77777777" w:rsidR="00202BB1" w:rsidRDefault="00202BB1" w:rsidP="00202BB1">
      <w:r>
        <w:t>None of the PD</w:t>
      </w:r>
      <w:r w:rsidRPr="00FC54CC">
        <w:t xml:space="preserve"> studies had deficiencies that excluded their results from consideration.</w:t>
      </w:r>
    </w:p>
    <w:p w14:paraId="4C2C29EF" w14:textId="77777777" w:rsidR="00202BB1" w:rsidRPr="0023712C" w:rsidRDefault="00202BB1" w:rsidP="00AD75DD">
      <w:pPr>
        <w:pStyle w:val="Heading4"/>
      </w:pPr>
      <w:bookmarkStart w:id="116" w:name="_Ref269983272"/>
      <w:bookmarkStart w:id="117" w:name="_Toc272414648"/>
      <w:bookmarkStart w:id="118" w:name="_Toc290846270"/>
      <w:bookmarkStart w:id="119" w:name="_Toc350352113"/>
      <w:bookmarkStart w:id="120" w:name="_Toc381199071"/>
      <w:r w:rsidRPr="0023712C">
        <w:t>Evaluator’s overall conclusions on pharmacodynamics</w:t>
      </w:r>
      <w:bookmarkEnd w:id="116"/>
      <w:bookmarkEnd w:id="117"/>
      <w:bookmarkEnd w:id="118"/>
      <w:bookmarkEnd w:id="119"/>
      <w:bookmarkEnd w:id="120"/>
    </w:p>
    <w:p w14:paraId="55518BC4" w14:textId="77777777" w:rsidR="00202BB1" w:rsidRPr="00354FB4" w:rsidRDefault="00202BB1" w:rsidP="00202BB1">
      <w:r w:rsidRPr="00354FB4">
        <w:t xml:space="preserve">Evidence for the primary PD effects of pasireotide on ACTH and cortisol secretion in patients with pituitary </w:t>
      </w:r>
      <w:proofErr w:type="spellStart"/>
      <w:r w:rsidRPr="00354FB4">
        <w:t>corticotroph</w:t>
      </w:r>
      <w:proofErr w:type="spellEnd"/>
      <w:r w:rsidRPr="00354FB4">
        <w:t xml:space="preserve"> tumours rests on</w:t>
      </w:r>
      <w:r>
        <w:t xml:space="preserve"> </w:t>
      </w:r>
      <w:r w:rsidR="004939E4" w:rsidRPr="00A338C4">
        <w:t>in vitro</w:t>
      </w:r>
      <w:r w:rsidRPr="00354FB4">
        <w:t xml:space="preserve"> studies not reviewed in this evaluation, and its effectiveness in the </w:t>
      </w:r>
      <w:r>
        <w:t>P</w:t>
      </w:r>
      <w:r w:rsidRPr="00354FB4">
        <w:t xml:space="preserve">hase </w:t>
      </w:r>
      <w:r>
        <w:t>III</w:t>
      </w:r>
      <w:r w:rsidRPr="00354FB4">
        <w:t xml:space="preserve"> efficacy studies.</w:t>
      </w:r>
    </w:p>
    <w:p w14:paraId="346BC528" w14:textId="77777777" w:rsidR="00202BB1" w:rsidRPr="00354FB4" w:rsidRDefault="00202BB1" w:rsidP="00202BB1">
      <w:r w:rsidRPr="00354FB4">
        <w:t xml:space="preserve">Pasireotide has, as described above, a number of secondary PD actions which reflect the widespread inhibitory role of somatostatin in endocrine physiology. Physiological </w:t>
      </w:r>
      <w:r>
        <w:t>GH</w:t>
      </w:r>
      <w:r w:rsidRPr="00354FB4">
        <w:t xml:space="preserve"> secretion is suppressed at a lower dosage threshold than that found for </w:t>
      </w:r>
      <w:proofErr w:type="spellStart"/>
      <w:r w:rsidRPr="00354FB4">
        <w:t>pasireotide's</w:t>
      </w:r>
      <w:proofErr w:type="spellEnd"/>
      <w:r w:rsidRPr="00354FB4">
        <w:t xml:space="preserve"> therapeutic action in Cushing's disease.</w:t>
      </w:r>
    </w:p>
    <w:p w14:paraId="2577590A" w14:textId="77777777" w:rsidR="00202BB1" w:rsidRPr="00354FB4" w:rsidRDefault="00202BB1" w:rsidP="00202BB1">
      <w:r w:rsidRPr="00354FB4">
        <w:t xml:space="preserve">The lower dosage threshold also observed for </w:t>
      </w:r>
      <w:proofErr w:type="spellStart"/>
      <w:r w:rsidRPr="00354FB4">
        <w:t>pasireotide's</w:t>
      </w:r>
      <w:proofErr w:type="spellEnd"/>
      <w:r w:rsidRPr="00354FB4">
        <w:t xml:space="preserve"> secondary PD effect on glucose homoeostasis, by comparison with its PD effect on cortisol secretion in Cushing's disease, is of practical importance in relation to safety: it implies that maximal effect on parameters of glucose homoeostasis are likely to be seen at any dose within the therapeutic range, so that downward adjustment of dosage would be unlikely to ameliorate hyperglycaemia should this occur as an adverse effect. It is likely that the same applies to the variety of other secondary PD actions assessed in</w:t>
      </w:r>
      <w:r>
        <w:t xml:space="preserve"> S</w:t>
      </w:r>
      <w:r w:rsidRPr="00354FB4">
        <w:t>tudy B2102, all of which have some potential as the basis for safety issues.</w:t>
      </w:r>
    </w:p>
    <w:p w14:paraId="6E9F8F60" w14:textId="77777777" w:rsidR="00202BB1" w:rsidRPr="00354FB4" w:rsidRDefault="00202BB1" w:rsidP="00202BB1">
      <w:r w:rsidRPr="00354FB4">
        <w:t xml:space="preserve">The mechanism for the secondary PD effect on glucose homoeostasis has been extremely well-documented in the included studies. The drug PD interaction </w:t>
      </w:r>
      <w:r>
        <w:t>S</w:t>
      </w:r>
      <w:r w:rsidRPr="00354FB4">
        <w:t xml:space="preserve">tudy B2124 suggests that oral diabetes therapies which act through the incretin effect are most likely be to be </w:t>
      </w:r>
      <w:r w:rsidRPr="00354FB4">
        <w:lastRenderedPageBreak/>
        <w:t>useful in managing hyperglycaemia should this be necessary. The importance of these observations in relation to safety, particularly in long-term use, is discussed below.</w:t>
      </w:r>
    </w:p>
    <w:p w14:paraId="7A4C3F4C" w14:textId="77777777" w:rsidR="008E7846" w:rsidRDefault="008E7846" w:rsidP="008E7846">
      <w:pPr>
        <w:pStyle w:val="Heading3"/>
      </w:pPr>
      <w:bookmarkStart w:id="121" w:name="_Toc163441372"/>
      <w:bookmarkStart w:id="122" w:name="_Toc196046485"/>
      <w:bookmarkStart w:id="123" w:name="_Toc247691521"/>
      <w:bookmarkStart w:id="124" w:name="_Toc314842504"/>
      <w:bookmarkStart w:id="125" w:name="_Toc383680723"/>
      <w:r w:rsidRPr="00254787">
        <w:t>Efficacy</w:t>
      </w:r>
      <w:bookmarkEnd w:id="121"/>
      <w:bookmarkEnd w:id="122"/>
      <w:bookmarkEnd w:id="123"/>
      <w:bookmarkEnd w:id="124"/>
      <w:bookmarkEnd w:id="125"/>
    </w:p>
    <w:p w14:paraId="5A253654" w14:textId="77777777" w:rsidR="00FB168E" w:rsidRPr="00FB168E" w:rsidRDefault="00FB168E" w:rsidP="00FB168E">
      <w:pPr>
        <w:pStyle w:val="Heading4"/>
      </w:pPr>
      <w:r>
        <w:t xml:space="preserve">Studies providing efficacy data </w:t>
      </w:r>
    </w:p>
    <w:p w14:paraId="60A207C2" w14:textId="77777777" w:rsidR="00D21B9C" w:rsidRPr="0023712C" w:rsidRDefault="00D21B9C" w:rsidP="00D21B9C">
      <w:pPr>
        <w:pStyle w:val="Heading5"/>
      </w:pPr>
      <w:bookmarkStart w:id="126" w:name="_Ref243301615"/>
      <w:bookmarkStart w:id="127" w:name="_Ref271040927"/>
      <w:bookmarkStart w:id="128" w:name="_Ref271040932"/>
      <w:bookmarkStart w:id="129" w:name="_Toc272414653"/>
      <w:bookmarkStart w:id="130" w:name="_Toc290846275"/>
      <w:bookmarkStart w:id="131" w:name="_Ref349400832"/>
      <w:bookmarkStart w:id="132" w:name="_Toc350352118"/>
      <w:bookmarkStart w:id="133" w:name="_Toc184439992"/>
      <w:bookmarkStart w:id="134" w:name="_Toc184440279"/>
      <w:bookmarkStart w:id="135" w:name="_Toc184444657"/>
      <w:bookmarkStart w:id="136" w:name="_Toc196046487"/>
      <w:r w:rsidRPr="0023712C">
        <w:t xml:space="preserve">Study </w:t>
      </w:r>
      <w:bookmarkEnd w:id="126"/>
      <w:bookmarkEnd w:id="127"/>
      <w:bookmarkEnd w:id="128"/>
      <w:bookmarkEnd w:id="129"/>
      <w:bookmarkEnd w:id="130"/>
      <w:r w:rsidRPr="0023712C">
        <w:t>B2305</w:t>
      </w:r>
      <w:bookmarkEnd w:id="131"/>
      <w:bookmarkEnd w:id="132"/>
    </w:p>
    <w:p w14:paraId="4310961C" w14:textId="77777777" w:rsidR="00D21B9C" w:rsidRPr="00125711" w:rsidRDefault="00D21B9C" w:rsidP="00D21B9C">
      <w:r w:rsidRPr="00125711">
        <w:t xml:space="preserve">This was a </w:t>
      </w:r>
      <w:r>
        <w:t>P</w:t>
      </w:r>
      <w:r w:rsidRPr="00125711">
        <w:t xml:space="preserve">hase </w:t>
      </w:r>
      <w:r>
        <w:t>III</w:t>
      </w:r>
      <w:r w:rsidRPr="00125711">
        <w:t>, randomised, double-blind study to assess the efficacy and safety of different doses of subcutaneously administered pasireotide over a six</w:t>
      </w:r>
      <w:r w:rsidR="006E3367">
        <w:t xml:space="preserve"> m</w:t>
      </w:r>
      <w:r w:rsidRPr="00125711">
        <w:t>onth treatment period in patients with newly arising, persistent o</w:t>
      </w:r>
      <w:r>
        <w:t xml:space="preserve">r recurrent Cushing's disease. </w:t>
      </w:r>
      <w:r w:rsidRPr="00125711">
        <w:t>It was undertaken between December 2006 and March 2010 at 53 international centres</w:t>
      </w:r>
      <w:r w:rsidR="00AF1E41">
        <w:t>.</w:t>
      </w:r>
    </w:p>
    <w:p w14:paraId="6E5B9AF1" w14:textId="77777777" w:rsidR="00D21B9C" w:rsidRPr="0023712C" w:rsidRDefault="00D21B9C" w:rsidP="00D21B9C">
      <w:r w:rsidRPr="00125711">
        <w:t xml:space="preserve">The study design undertakes comparison of two dosage levels (600 µg </w:t>
      </w:r>
      <w:r w:rsidR="0009268D">
        <w:t>BD</w:t>
      </w:r>
      <w:r w:rsidRPr="00125711">
        <w:t xml:space="preserve"> and 900 µg </w:t>
      </w:r>
      <w:r w:rsidR="0009268D">
        <w:t>BD</w:t>
      </w:r>
      <w:r w:rsidRPr="00125711">
        <w:t xml:space="preserve">). Following randomisation to one of these two treatment arms, double-blind treatment was to continue for </w:t>
      </w:r>
      <w:r>
        <w:t>six</w:t>
      </w:r>
      <w:r w:rsidRPr="00125711">
        <w:t xml:space="preserve"> months unless a 300 µg dose increment was indicated on the basis of pre</w:t>
      </w:r>
      <w:r>
        <w:t>-</w:t>
      </w:r>
      <w:r w:rsidRPr="00125711">
        <w:t xml:space="preserve">established criteria at the </w:t>
      </w:r>
      <w:r>
        <w:t>three</w:t>
      </w:r>
      <w:r w:rsidRPr="00125711">
        <w:t xml:space="preserve"> month assessment. Following this there was a furt</w:t>
      </w:r>
      <w:r w:rsidR="006E3367">
        <w:t xml:space="preserve">her six </w:t>
      </w:r>
      <w:r>
        <w:t xml:space="preserve">month open-label phase. </w:t>
      </w:r>
      <w:r w:rsidRPr="00125711">
        <w:t>There was no placebo or active control. The sponsor argues that a placebo group would be ethically unacceptable because of the severity of the condition and some of the circumstances of</w:t>
      </w:r>
      <w:r w:rsidRPr="0023712C">
        <w:t xml:space="preserve"> recruitment (for example, failed response to surgery); and that an active control is impractical because there is no alternative approved treatment.</w:t>
      </w:r>
    </w:p>
    <w:p w14:paraId="4B540989" w14:textId="77777777" w:rsidR="00D21B9C" w:rsidRPr="00125711" w:rsidRDefault="00D21B9C" w:rsidP="00D21B9C">
      <w:pPr>
        <w:ind w:left="1440" w:hanging="1440"/>
      </w:pPr>
      <w:r w:rsidRPr="00125711">
        <w:rPr>
          <w:b/>
        </w:rPr>
        <w:t>Comment</w:t>
      </w:r>
      <w:r w:rsidRPr="00125711">
        <w:t xml:space="preserve">: </w:t>
      </w:r>
      <w:r>
        <w:tab/>
        <w:t>T</w:t>
      </w:r>
      <w:r w:rsidRPr="00125711">
        <w:t>he argument for not including a placebo group is accepted. With regard to the possibility of an active control, there are other treatments available and in use despite lack of regulatory approval, as summarised above, which could have been used for this purpose. However this would have involved a larger study and potential difficulties in interpretation particularly in the sense that there might be sub-populations more or less likely to respond to one treatment or the other. Furthermore the principal outcome variables are changes in laboratory measurements, for which a placebo response is unlikely to be observed. In summary, the study design is acceptable.</w:t>
      </w:r>
    </w:p>
    <w:p w14:paraId="71FE9B84" w14:textId="77777777" w:rsidR="00D21B9C" w:rsidRPr="0023712C" w:rsidRDefault="00D21B9C" w:rsidP="00D21B9C">
      <w:pPr>
        <w:pStyle w:val="Heading5"/>
      </w:pPr>
      <w:bookmarkStart w:id="137" w:name="_Ref349400799"/>
      <w:bookmarkStart w:id="138" w:name="_Toc350352121"/>
      <w:r w:rsidRPr="0023712C">
        <w:t>Study B2208/2208E1</w:t>
      </w:r>
      <w:bookmarkEnd w:id="137"/>
      <w:bookmarkEnd w:id="138"/>
    </w:p>
    <w:p w14:paraId="4FA1137C" w14:textId="77777777" w:rsidR="00D21B9C" w:rsidRPr="00D32FD6" w:rsidRDefault="00D21B9C" w:rsidP="00D21B9C">
      <w:r w:rsidRPr="00D32FD6">
        <w:t xml:space="preserve">This was a </w:t>
      </w:r>
      <w:r>
        <w:t>P</w:t>
      </w:r>
      <w:r w:rsidRPr="00D32FD6">
        <w:t xml:space="preserve">hase </w:t>
      </w:r>
      <w:r>
        <w:t>II</w:t>
      </w:r>
      <w:r w:rsidRPr="00D32FD6">
        <w:t xml:space="preserve">, proof of concept, open-label, uncontrolled study to assess the efficacy and safety of the short term (15 day) administration of pasireotide 600 µg </w:t>
      </w:r>
      <w:r w:rsidR="0009268D">
        <w:t>BD</w:t>
      </w:r>
      <w:r w:rsidRPr="00D32FD6">
        <w:t xml:space="preserve"> to patients with Cushing's disease. The study, which has been published (</w:t>
      </w:r>
      <w:r>
        <w:rPr>
          <w:rStyle w:val="FootnoteReference"/>
        </w:rPr>
        <w:footnoteReference w:id="6"/>
      </w:r>
      <w:r w:rsidRPr="00D32FD6">
        <w:t xml:space="preserve">), was conducted at 10 international centres between April 2004 and June 2006, prior to the initiation of pivotal </w:t>
      </w:r>
      <w:r>
        <w:t>S</w:t>
      </w:r>
      <w:r w:rsidRPr="00D32FD6">
        <w:t>tudy B2305, the design of which it presumably informed. It contains the only clinical data on the use of pasireotide in patients with Cushing's disease apart from the pivotal study, and is submitted in support of it.</w:t>
      </w:r>
    </w:p>
    <w:p w14:paraId="717551B0" w14:textId="77777777" w:rsidR="00FB168E" w:rsidRPr="00EC09EE" w:rsidRDefault="00FB168E" w:rsidP="00FB168E">
      <w:pPr>
        <w:rPr>
          <w:b/>
        </w:rPr>
      </w:pPr>
      <w:bookmarkStart w:id="139" w:name="_Ref271126605"/>
      <w:bookmarkStart w:id="140" w:name="_Toc272414657"/>
      <w:bookmarkStart w:id="141" w:name="_Toc290846282"/>
      <w:bookmarkStart w:id="142" w:name="_Toc350352125"/>
      <w:r w:rsidRPr="00EC09EE">
        <w:rPr>
          <w:b/>
        </w:rPr>
        <w:t>Extension study B2208E1</w:t>
      </w:r>
      <w:r>
        <w:rPr>
          <w:b/>
        </w:rPr>
        <w:t>:</w:t>
      </w:r>
    </w:p>
    <w:p w14:paraId="3CCBBE61" w14:textId="77777777" w:rsidR="00FB168E" w:rsidRPr="00EC09EE" w:rsidRDefault="00FB168E" w:rsidP="00FB168E">
      <w:r w:rsidRPr="00EC09EE">
        <w:t>Patients who had either been classified as responders or "experienced significant clinical benefit" (which included having shown a reduction in</w:t>
      </w:r>
      <w:r w:rsidR="00AF1E41">
        <w:t xml:space="preserve"> mean urinary free cortisol (</w:t>
      </w:r>
      <w:proofErr w:type="spellStart"/>
      <w:r w:rsidRPr="00EC09EE">
        <w:t>mUFC</w:t>
      </w:r>
      <w:proofErr w:type="spellEnd"/>
      <w:r w:rsidR="00AF1E41">
        <w:t>)</w:t>
      </w:r>
      <w:r w:rsidRPr="00EC09EE">
        <w:t xml:space="preserve">, but not to normal) in the core 15 day study were permitted to enrol in this </w:t>
      </w:r>
      <w:r w:rsidR="00AF1E41">
        <w:t xml:space="preserve">six </w:t>
      </w:r>
      <w:r w:rsidRPr="00EC09EE">
        <w:t xml:space="preserve">month </w:t>
      </w:r>
      <w:r>
        <w:t>P</w:t>
      </w:r>
      <w:r w:rsidRPr="00EC09EE">
        <w:t xml:space="preserve">hase </w:t>
      </w:r>
      <w:r>
        <w:t>II</w:t>
      </w:r>
      <w:r w:rsidRPr="00EC09EE">
        <w:t xml:space="preserve"> extension, to continue on the 600 µg </w:t>
      </w:r>
      <w:r w:rsidR="0009268D">
        <w:t>BD</w:t>
      </w:r>
      <w:r w:rsidRPr="00EC09EE">
        <w:t xml:space="preserve"> dose or have it increased to 900 µg </w:t>
      </w:r>
      <w:r w:rsidR="0009268D">
        <w:t>BD</w:t>
      </w:r>
      <w:r w:rsidRPr="00EC09EE">
        <w:t xml:space="preserve"> if UFC levels rose during the extension. As in the original study, the primary efficacy variable was the proportion of responders based on normalisation of </w:t>
      </w:r>
      <w:proofErr w:type="spellStart"/>
      <w:r w:rsidRPr="00EC09EE">
        <w:t>mUFC</w:t>
      </w:r>
      <w:proofErr w:type="spellEnd"/>
      <w:r w:rsidRPr="00EC09EE">
        <w:t>.</w:t>
      </w:r>
    </w:p>
    <w:p w14:paraId="6F536960" w14:textId="77777777" w:rsidR="00FB168E" w:rsidRPr="007D2EEC" w:rsidRDefault="00FB168E" w:rsidP="00FB168E">
      <w:r w:rsidRPr="007D2EEC">
        <w:t xml:space="preserve">18 subjects, comprising </w:t>
      </w:r>
      <w:r>
        <w:t>three</w:t>
      </w:r>
      <w:r w:rsidRPr="007D2EEC">
        <w:t xml:space="preserve"> who had been responders in the core study, 11 who had shown a partial reduction of </w:t>
      </w:r>
      <w:proofErr w:type="spellStart"/>
      <w:r w:rsidRPr="007D2EEC">
        <w:t>mUFC</w:t>
      </w:r>
      <w:proofErr w:type="spellEnd"/>
      <w:r w:rsidRPr="007D2EEC">
        <w:t xml:space="preserve">, and </w:t>
      </w:r>
      <w:r>
        <w:t>four</w:t>
      </w:r>
      <w:r w:rsidRPr="007D2EEC">
        <w:t xml:space="preserve"> who had shown no reduction, were evaluated in the extension study and remained on treatment from </w:t>
      </w:r>
      <w:r>
        <w:t>two</w:t>
      </w:r>
      <w:r w:rsidRPr="007D2EEC">
        <w:t xml:space="preserve"> months to 4.8 years with a </w:t>
      </w:r>
      <w:r w:rsidRPr="007D2EEC">
        <w:lastRenderedPageBreak/>
        <w:t xml:space="preserve">mean duration of 16 months. At the time of data cut-off (March 2010), </w:t>
      </w:r>
      <w:r>
        <w:t>three</w:t>
      </w:r>
      <w:r w:rsidRPr="007D2EEC">
        <w:t xml:space="preserve"> patients were still receiving treatment.</w:t>
      </w:r>
    </w:p>
    <w:p w14:paraId="6DFE756B" w14:textId="77777777" w:rsidR="00FB168E" w:rsidRPr="007D2EEC" w:rsidRDefault="00FB168E" w:rsidP="00FB168E">
      <w:r w:rsidRPr="007D2EEC">
        <w:t>The results were somewhat complex and are best summarised as follows:</w:t>
      </w:r>
    </w:p>
    <w:p w14:paraId="55EB794A" w14:textId="77777777" w:rsidR="00FB168E" w:rsidRPr="007D2EEC" w:rsidRDefault="00FB168E" w:rsidP="00FB168E">
      <w:pPr>
        <w:pStyle w:val="ListBullet"/>
        <w:numPr>
          <w:ilvl w:val="0"/>
          <w:numId w:val="3"/>
        </w:numPr>
      </w:pPr>
      <w:r>
        <w:t>Of the three</w:t>
      </w:r>
      <w:r w:rsidRPr="007D2EEC">
        <w:t xml:space="preserve"> responders in the core study that entered the extension, </w:t>
      </w:r>
      <w:r>
        <w:t>one</w:t>
      </w:r>
      <w:r w:rsidRPr="007D2EEC">
        <w:t xml:space="preserve"> was still a responder at </w:t>
      </w:r>
      <w:r>
        <w:t>six</w:t>
      </w:r>
      <w:r w:rsidRPr="007D2EEC">
        <w:t xml:space="preserve"> months and </w:t>
      </w:r>
      <w:r>
        <w:t xml:space="preserve">one </w:t>
      </w:r>
      <w:r w:rsidRPr="007D2EEC">
        <w:t xml:space="preserve">patient became a reducer. The </w:t>
      </w:r>
      <w:r>
        <w:t>thi</w:t>
      </w:r>
      <w:r w:rsidRPr="007D2EEC">
        <w:t xml:space="preserve">rd patient discontinued the study prior to Month 6 and was therefore counted as a non-reducer at </w:t>
      </w:r>
      <w:r>
        <w:t>six</w:t>
      </w:r>
      <w:r w:rsidRPr="007D2EEC">
        <w:t xml:space="preserve"> months.</w:t>
      </w:r>
    </w:p>
    <w:p w14:paraId="4598E99E" w14:textId="77777777" w:rsidR="00FB168E" w:rsidRPr="007D2EEC" w:rsidRDefault="00FB168E" w:rsidP="00FB168E">
      <w:pPr>
        <w:pStyle w:val="ListBullet"/>
        <w:numPr>
          <w:ilvl w:val="0"/>
          <w:numId w:val="3"/>
        </w:numPr>
      </w:pPr>
      <w:r>
        <w:t>O</w:t>
      </w:r>
      <w:r w:rsidRPr="007D2EEC">
        <w:t xml:space="preserve">f the 11 reducers in the core study that entered the extension, </w:t>
      </w:r>
      <w:r>
        <w:t>five</w:t>
      </w:r>
      <w:r w:rsidRPr="007D2EEC">
        <w:t xml:space="preserve"> maintained their reducer status at </w:t>
      </w:r>
      <w:r>
        <w:t>six</w:t>
      </w:r>
      <w:r w:rsidRPr="007D2EEC">
        <w:t xml:space="preserve"> months. Two of the reducers became responders at </w:t>
      </w:r>
      <w:r>
        <w:t>six</w:t>
      </w:r>
      <w:r w:rsidRPr="007D2EEC">
        <w:t xml:space="preserve"> months, and </w:t>
      </w:r>
      <w:r>
        <w:t>four</w:t>
      </w:r>
      <w:r w:rsidRPr="007D2EEC">
        <w:t xml:space="preserve"> became non-reducers.</w:t>
      </w:r>
    </w:p>
    <w:p w14:paraId="16473528" w14:textId="77777777" w:rsidR="00FB168E" w:rsidRDefault="00FB168E" w:rsidP="00FB168E">
      <w:pPr>
        <w:pStyle w:val="ListBullet"/>
        <w:numPr>
          <w:ilvl w:val="0"/>
          <w:numId w:val="3"/>
        </w:numPr>
      </w:pPr>
      <w:r>
        <w:t>Of the four</w:t>
      </w:r>
      <w:r w:rsidRPr="007D2EEC">
        <w:t xml:space="preserve"> non-reducers in the core study that entered the extension, </w:t>
      </w:r>
      <w:r>
        <w:t>one</w:t>
      </w:r>
      <w:r w:rsidRPr="007D2EEC">
        <w:t xml:space="preserve"> became a responder at </w:t>
      </w:r>
      <w:r>
        <w:t>six</w:t>
      </w:r>
      <w:r w:rsidRPr="007D2EEC">
        <w:t xml:space="preserve"> months and </w:t>
      </w:r>
      <w:r>
        <w:t>three</w:t>
      </w:r>
      <w:r w:rsidRPr="007D2EEC">
        <w:t xml:space="preserve"> remained non-reducers.</w:t>
      </w:r>
    </w:p>
    <w:p w14:paraId="44CF0271" w14:textId="77777777" w:rsidR="00FB168E" w:rsidRPr="001B23C8" w:rsidRDefault="00FB168E" w:rsidP="00FB168E">
      <w:r w:rsidRPr="001B23C8">
        <w:t xml:space="preserve">Thus, there are similar numbers of responders after six months as at the end of the core study, but they are not the same subjects. Some subjects who responded well early experienced deterioration during the extension, and vice versa. </w:t>
      </w:r>
    </w:p>
    <w:p w14:paraId="549D8AC2" w14:textId="77777777" w:rsidR="00FB168E" w:rsidRPr="001B23C8" w:rsidRDefault="00FB168E" w:rsidP="00FB168E">
      <w:pPr>
        <w:ind w:left="1440" w:hanging="1440"/>
      </w:pPr>
      <w:r w:rsidRPr="001B23C8">
        <w:rPr>
          <w:b/>
        </w:rPr>
        <w:t>Comment</w:t>
      </w:r>
      <w:r w:rsidRPr="001B23C8">
        <w:t xml:space="preserve">: </w:t>
      </w:r>
      <w:r>
        <w:tab/>
      </w:r>
      <w:r w:rsidRPr="001B23C8">
        <w:t xml:space="preserve">The status of the </w:t>
      </w:r>
      <w:r>
        <w:t>three</w:t>
      </w:r>
      <w:r w:rsidRPr="001B23C8">
        <w:t xml:space="preserve"> patients w</w:t>
      </w:r>
      <w:r>
        <w:t>ho had been treated for almost five</w:t>
      </w:r>
      <w:r w:rsidRPr="001B23C8">
        <w:t xml:space="preserve"> years is of interest</w:t>
      </w:r>
      <w:r w:rsidR="00A248B1">
        <w:t xml:space="preserve"> i</w:t>
      </w:r>
      <w:r w:rsidRPr="001B23C8">
        <w:t>f it can be presumed (latest data not seen) that they are showing a continuing response</w:t>
      </w:r>
      <w:r>
        <w:t>. T</w:t>
      </w:r>
      <w:r w:rsidRPr="001B23C8">
        <w:t>he fact that they represent 10% of the original efficacy population is a significant clinical benefit.</w:t>
      </w:r>
    </w:p>
    <w:p w14:paraId="3AE108EC" w14:textId="77777777" w:rsidR="00D21B9C" w:rsidRPr="0023712C" w:rsidRDefault="00D21B9C" w:rsidP="00D21B9C">
      <w:pPr>
        <w:pStyle w:val="Heading4"/>
      </w:pPr>
      <w:r w:rsidRPr="0023712C">
        <w:t xml:space="preserve">Evaluator’s </w:t>
      </w:r>
      <w:r w:rsidR="00FB168E">
        <w:t xml:space="preserve">overall </w:t>
      </w:r>
      <w:r w:rsidRPr="0023712C">
        <w:t xml:space="preserve">conclusions on efficacy </w:t>
      </w:r>
      <w:bookmarkEnd w:id="139"/>
      <w:bookmarkEnd w:id="140"/>
      <w:bookmarkEnd w:id="141"/>
      <w:bookmarkEnd w:id="142"/>
    </w:p>
    <w:p w14:paraId="66201468" w14:textId="77777777" w:rsidR="00D21B9C" w:rsidRPr="001B23C8" w:rsidRDefault="00D21B9C" w:rsidP="00D21B9C">
      <w:r w:rsidRPr="001B23C8">
        <w:t xml:space="preserve">A clinically valuable response occurred in approximately half of the patients treated in pivotal </w:t>
      </w:r>
      <w:r>
        <w:t>S</w:t>
      </w:r>
      <w:r w:rsidRPr="001B23C8">
        <w:t xml:space="preserve">tudy B2305, and in approximately half of those the urinary cortisol was returned to the normal range. Such a response was significantly more likely to occur if the higher dose of 900 µg </w:t>
      </w:r>
      <w:r w:rsidR="0009268D">
        <w:t>BD</w:t>
      </w:r>
      <w:r w:rsidRPr="001B23C8">
        <w:t xml:space="preserve"> was employed, by comparison with 600 µg </w:t>
      </w:r>
      <w:r w:rsidR="0009268D">
        <w:t>BD</w:t>
      </w:r>
      <w:r w:rsidRPr="001B23C8">
        <w:t>. Biochemical evidence of response, when it occurs, is seen within the first month. Some form of reduction of urinary cortisol occurs in approximately two thirds of patients.</w:t>
      </w:r>
    </w:p>
    <w:p w14:paraId="77BBCF57" w14:textId="77777777" w:rsidR="00D21B9C" w:rsidRPr="0023712C" w:rsidRDefault="00D21B9C" w:rsidP="00D21B9C">
      <w:r w:rsidRPr="001B23C8">
        <w:t>Although a higher response rate would obviously be preferred, these outcomes will be valued by clinicians caring for patients with Cushing's disease. Once the option of neurosurgical cure has been exhausted, as in the proposed indication, management becomes difficult and the efficacy outcomes described here are at least equivalent and probably superior to existing treatment options, in so far as the limited data on alternatives allows comparison. The inclusion of an active comparator arm, probably using ketoconazole, in the pivotal trial might have yielded a greater degree of confidence in the relative efficacy of pasireotide with respect to other treatments, but this was not undertaken. The logistics of such a trial would be complex</w:t>
      </w:r>
      <w:r>
        <w:t>.</w:t>
      </w:r>
    </w:p>
    <w:p w14:paraId="7B0E3C94" w14:textId="77777777" w:rsidR="00D21B9C" w:rsidRPr="007D33C0" w:rsidRDefault="00D21B9C" w:rsidP="00D21B9C">
      <w:r w:rsidRPr="007D33C0">
        <w:t>The observation of pituitary tumour shrinkage in a significant proportion of patients is an additional treatment benefit.</w:t>
      </w:r>
    </w:p>
    <w:p w14:paraId="6C370342" w14:textId="77777777" w:rsidR="00D21B9C" w:rsidRPr="007D33C0" w:rsidRDefault="00D21B9C" w:rsidP="00D21B9C">
      <w:r w:rsidRPr="007D33C0">
        <w:t xml:space="preserve">Reliance on a single pivotal study appears acceptable in this case. The data comes from a wide international spread of specialised centres treating patients with this disorder, which mitigates against treatment or selection bias. Collection of a larger patient population would be difficult. Supporting </w:t>
      </w:r>
      <w:r>
        <w:t>S</w:t>
      </w:r>
      <w:r w:rsidRPr="007D33C0">
        <w:t>tudy B2208 and its extension contribute little in the way of patient numbers but qualitatively confirm the outcomes observed in B2305.</w:t>
      </w:r>
    </w:p>
    <w:p w14:paraId="1584E0CF" w14:textId="77777777" w:rsidR="00D21B9C" w:rsidRPr="007D33C0" w:rsidRDefault="00D21B9C" w:rsidP="00D21B9C">
      <w:r w:rsidRPr="007D33C0">
        <w:t>A significant concern is whether response rates will be maintained with long-term treatment, which would be required by the majority of patients receiving the product for the proposed indication.</w:t>
      </w:r>
    </w:p>
    <w:p w14:paraId="25B112FB" w14:textId="77777777" w:rsidR="00D21B9C" w:rsidRPr="007D33C0" w:rsidRDefault="00D21B9C" w:rsidP="00D21B9C">
      <w:r w:rsidRPr="007D33C0">
        <w:t xml:space="preserve">If the application is approved, it is likely that the therapeutic benefits of pasireotide will be applied not only alone but in sequence or combination with other therapeutic agents, as </w:t>
      </w:r>
      <w:r w:rsidRPr="007D33C0">
        <w:lastRenderedPageBreak/>
        <w:t xml:space="preserve">has already been described for its use in combination with cabergoline and ketoconazole in </w:t>
      </w:r>
      <w:r w:rsidR="00AF1E41">
        <w:t>one study</w:t>
      </w:r>
      <w:r>
        <w:rPr>
          <w:rStyle w:val="FootnoteReference"/>
        </w:rPr>
        <w:footnoteReference w:id="7"/>
      </w:r>
      <w:r w:rsidRPr="007D33C0">
        <w:t xml:space="preserve"> referred to in the Summary of Clinical Safety. </w:t>
      </w:r>
    </w:p>
    <w:p w14:paraId="1532005A" w14:textId="77777777" w:rsidR="008E7846" w:rsidRPr="002E238E" w:rsidRDefault="008E7846" w:rsidP="008E7846">
      <w:pPr>
        <w:pStyle w:val="Heading3"/>
      </w:pPr>
      <w:bookmarkStart w:id="143" w:name="_Toc163441378"/>
      <w:bookmarkStart w:id="144" w:name="_Toc196046495"/>
      <w:bookmarkStart w:id="145" w:name="_Toc247691522"/>
      <w:bookmarkStart w:id="146" w:name="_Toc314842505"/>
      <w:bookmarkStart w:id="147" w:name="_Toc383680724"/>
      <w:bookmarkEnd w:id="133"/>
      <w:bookmarkEnd w:id="134"/>
      <w:bookmarkEnd w:id="135"/>
      <w:bookmarkEnd w:id="136"/>
      <w:r w:rsidRPr="002E238E">
        <w:t>Safety</w:t>
      </w:r>
      <w:bookmarkEnd w:id="143"/>
      <w:bookmarkEnd w:id="144"/>
      <w:bookmarkEnd w:id="145"/>
      <w:bookmarkEnd w:id="146"/>
      <w:bookmarkEnd w:id="147"/>
    </w:p>
    <w:p w14:paraId="3A443604" w14:textId="77777777" w:rsidR="00FB168E" w:rsidRPr="0023712C" w:rsidRDefault="00FB168E" w:rsidP="00B113A0">
      <w:pPr>
        <w:pStyle w:val="Heading4"/>
      </w:pPr>
      <w:bookmarkStart w:id="148" w:name="_Toc272414659"/>
      <w:bookmarkStart w:id="149" w:name="_Toc290846284"/>
      <w:bookmarkStart w:id="150" w:name="_Toc350352127"/>
      <w:bookmarkStart w:id="151" w:name="_Toc381199076"/>
      <w:bookmarkStart w:id="152" w:name="_Toc184440288"/>
      <w:bookmarkStart w:id="153" w:name="_Toc184444666"/>
      <w:bookmarkStart w:id="154" w:name="_Toc196046496"/>
      <w:r w:rsidRPr="0023712C">
        <w:t>Studies providing evaluable safety data</w:t>
      </w:r>
      <w:bookmarkEnd w:id="148"/>
      <w:bookmarkEnd w:id="149"/>
      <w:bookmarkEnd w:id="150"/>
      <w:bookmarkEnd w:id="151"/>
    </w:p>
    <w:p w14:paraId="65D90F91" w14:textId="77777777" w:rsidR="00FB168E" w:rsidRPr="007D33C0" w:rsidRDefault="00FB168E" w:rsidP="00FB168E">
      <w:bookmarkStart w:id="155" w:name="_Ref268776745"/>
      <w:r w:rsidRPr="007D33C0">
        <w:t>The following studies provided evaluable safety data:</w:t>
      </w:r>
    </w:p>
    <w:p w14:paraId="53371EE4" w14:textId="77777777" w:rsidR="00FB168E" w:rsidRPr="00D24EAA" w:rsidRDefault="00FB168E" w:rsidP="00B113A0">
      <w:pPr>
        <w:pStyle w:val="Heading5"/>
      </w:pPr>
      <w:r w:rsidRPr="00D24EAA">
        <w:t xml:space="preserve">Pivotal efficacy </w:t>
      </w:r>
      <w:bookmarkEnd w:id="155"/>
      <w:r w:rsidRPr="00D24EAA">
        <w:t>study</w:t>
      </w:r>
      <w:r>
        <w:t>:</w:t>
      </w:r>
    </w:p>
    <w:p w14:paraId="04A8FC47" w14:textId="77777777" w:rsidR="00FB168E" w:rsidRPr="007D33C0" w:rsidRDefault="00FB168E" w:rsidP="00FB168E">
      <w:r w:rsidRPr="007D33C0">
        <w:t>In the pivotal efficacy study, the following safety data were collected:</w:t>
      </w:r>
    </w:p>
    <w:p w14:paraId="61E2F566" w14:textId="77777777" w:rsidR="00FB168E" w:rsidRPr="007D33C0" w:rsidRDefault="00FB168E" w:rsidP="00FB168E">
      <w:pPr>
        <w:pStyle w:val="ListBullet"/>
        <w:numPr>
          <w:ilvl w:val="0"/>
          <w:numId w:val="3"/>
        </w:numPr>
      </w:pPr>
      <w:r w:rsidRPr="007D33C0">
        <w:t>AE</w:t>
      </w:r>
      <w:r w:rsidR="00AF1E41">
        <w:t>s</w:t>
      </w:r>
      <w:r w:rsidRPr="007D33C0">
        <w:t xml:space="preserve"> and serious adverse events (</w:t>
      </w:r>
      <w:r w:rsidR="00B41C0F">
        <w:t>SAEs</w:t>
      </w:r>
      <w:r w:rsidRPr="007D33C0">
        <w:t>) were recorded and documented according to the study protocol at routine visits by means of historical data and monitoring of vital signs. AE</w:t>
      </w:r>
      <w:r w:rsidR="00AF1E41">
        <w:t>s</w:t>
      </w:r>
      <w:r w:rsidRPr="007D33C0">
        <w:t xml:space="preserve"> could be spontaneously volunteered or detected by questioning. The severity of AE</w:t>
      </w:r>
      <w:r w:rsidR="00AF1E41">
        <w:t>s</w:t>
      </w:r>
      <w:r w:rsidRPr="007D33C0">
        <w:t xml:space="preserve"> was assessed according to the Common Terminology Criteria for Adverse Events (CTCAE) vers</w:t>
      </w:r>
      <w:r>
        <w:t>ion</w:t>
      </w:r>
      <w:r w:rsidRPr="007D33C0">
        <w:t xml:space="preserve"> 3.0, as </w:t>
      </w:r>
      <w:r>
        <w:t>Gr</w:t>
      </w:r>
      <w:r w:rsidRPr="007D33C0">
        <w:t>ades 1-4 (mild, moderate, severe or life-threatening). Note that these same procedures and criteria for documentation of safety information were employed for all studies in the dossier.</w:t>
      </w:r>
    </w:p>
    <w:p w14:paraId="5AED4071" w14:textId="77777777" w:rsidR="00FB168E" w:rsidRPr="007D33C0" w:rsidRDefault="00FB168E" w:rsidP="00FB168E">
      <w:pPr>
        <w:pStyle w:val="ListBullet"/>
        <w:numPr>
          <w:ilvl w:val="0"/>
          <w:numId w:val="3"/>
        </w:numPr>
      </w:pPr>
      <w:r w:rsidRPr="007D33C0">
        <w:t xml:space="preserve">A number of AEs or safety issues of particular interest were defined for this study, as informed by the preclinical data, </w:t>
      </w:r>
      <w:r>
        <w:t>P</w:t>
      </w:r>
      <w:r w:rsidRPr="007D33C0">
        <w:t xml:space="preserve">hase </w:t>
      </w:r>
      <w:r>
        <w:t>I</w:t>
      </w:r>
      <w:r w:rsidRPr="007D33C0">
        <w:t xml:space="preserve"> studies, and otherwise known adverse or potential adverse effects of somatostatin analogues. These included changes in blood glucose and related parameters, gallbladder related events, and effects on cardiac repolarisation.</w:t>
      </w:r>
    </w:p>
    <w:p w14:paraId="5ACE0897" w14:textId="77777777" w:rsidR="00FB168E" w:rsidRPr="007D33C0" w:rsidRDefault="00FB168E" w:rsidP="00FB168E">
      <w:pPr>
        <w:pStyle w:val="ListBullet"/>
        <w:numPr>
          <w:ilvl w:val="0"/>
          <w:numId w:val="3"/>
        </w:numPr>
      </w:pPr>
      <w:r w:rsidRPr="007D33C0">
        <w:t>Laboratory tests, including haematology, blood chemistry and urine tests were performed at all protocol visits.</w:t>
      </w:r>
    </w:p>
    <w:p w14:paraId="2D2C6505" w14:textId="77777777" w:rsidR="00FB168E" w:rsidRPr="007D33C0" w:rsidRDefault="00FB168E" w:rsidP="00FB168E">
      <w:pPr>
        <w:pStyle w:val="ListBullet"/>
        <w:numPr>
          <w:ilvl w:val="0"/>
          <w:numId w:val="3"/>
        </w:numPr>
      </w:pPr>
      <w:r w:rsidRPr="007D33C0">
        <w:t>Fasting blood glucose and HbA1c at regular intervals.</w:t>
      </w:r>
    </w:p>
    <w:p w14:paraId="1B2C3454" w14:textId="77777777" w:rsidR="00FB168E" w:rsidRPr="007D33C0" w:rsidRDefault="00FB168E" w:rsidP="00FB168E">
      <w:pPr>
        <w:pStyle w:val="ListBullet"/>
        <w:numPr>
          <w:ilvl w:val="0"/>
          <w:numId w:val="3"/>
        </w:numPr>
      </w:pPr>
      <w:r w:rsidRPr="007D33C0">
        <w:t>ECG performed at all visits.</w:t>
      </w:r>
    </w:p>
    <w:p w14:paraId="09E0473F" w14:textId="77777777" w:rsidR="00FB168E" w:rsidRPr="007D33C0" w:rsidRDefault="00FB168E" w:rsidP="00FB168E">
      <w:pPr>
        <w:pStyle w:val="ListBullet"/>
        <w:numPr>
          <w:ilvl w:val="0"/>
          <w:numId w:val="3"/>
        </w:numPr>
      </w:pPr>
      <w:r w:rsidRPr="007D33C0">
        <w:t>Gallbladder ultrasound at baseline and every six months thereafter.</w:t>
      </w:r>
    </w:p>
    <w:p w14:paraId="7C19EF5C" w14:textId="77777777" w:rsidR="00FB168E" w:rsidRPr="0023712C" w:rsidRDefault="00FB168E" w:rsidP="00B113A0">
      <w:pPr>
        <w:pStyle w:val="Heading5"/>
      </w:pPr>
      <w:bookmarkStart w:id="156" w:name="_Toc350352128"/>
      <w:r w:rsidRPr="0023712C">
        <w:t xml:space="preserve">Study B2201/2201E </w:t>
      </w:r>
      <w:bookmarkEnd w:id="156"/>
    </w:p>
    <w:p w14:paraId="0A009476" w14:textId="77777777" w:rsidR="00FB168E" w:rsidRPr="00D24EAA" w:rsidRDefault="00FB168E" w:rsidP="00FB168E">
      <w:r w:rsidRPr="00D24EAA">
        <w:t xml:space="preserve">This study together with its long-term extension provides further safety data on acromegalic patients exposed to pasireotide at doses of 200, 400, and 600 µg </w:t>
      </w:r>
      <w:r w:rsidR="0009268D">
        <w:t>BD</w:t>
      </w:r>
      <w:r w:rsidRPr="00D24EAA">
        <w:t>. As the upper levels of these doses fall within the dose range proposed for the current application, or at least the lower part of it, the data is appropriately included in the safety database</w:t>
      </w:r>
      <w:r>
        <w:t>,</w:t>
      </w:r>
      <w:r w:rsidRPr="00D24EAA">
        <w:t xml:space="preserve"> </w:t>
      </w:r>
      <w:r>
        <w:t>and</w:t>
      </w:r>
      <w:r w:rsidRPr="00D24EAA">
        <w:t xml:space="preserve"> for the purposes of this evaluation.</w:t>
      </w:r>
    </w:p>
    <w:p w14:paraId="534C260B" w14:textId="77777777" w:rsidR="00FB168E" w:rsidRPr="00D24EAA" w:rsidRDefault="00FB168E" w:rsidP="00B113A0">
      <w:pPr>
        <w:pStyle w:val="Heading5"/>
      </w:pPr>
      <w:bookmarkStart w:id="157" w:name="_Toc350352129"/>
      <w:r w:rsidRPr="00D24EAA">
        <w:t xml:space="preserve">Study B2202 </w:t>
      </w:r>
      <w:bookmarkEnd w:id="157"/>
    </w:p>
    <w:p w14:paraId="2B5C5029" w14:textId="77777777" w:rsidR="00FB168E" w:rsidRPr="00D24EAA" w:rsidRDefault="00FB168E" w:rsidP="00FB168E">
      <w:r w:rsidRPr="00D24EAA">
        <w:t xml:space="preserve">This trial was carried out on patients with carcinoid syndrome. Doses given ranged from 300 - 900 µg </w:t>
      </w:r>
      <w:r w:rsidR="0009268D">
        <w:t>BD</w:t>
      </w:r>
      <w:r w:rsidRPr="00D24EAA">
        <w:t>. As shown below (</w:t>
      </w:r>
      <w:r w:rsidR="00AF1E41">
        <w:t>Table 7</w:t>
      </w:r>
      <w:r w:rsidRPr="00D24EAA">
        <w:t xml:space="preserve">), most patients were only treated short term (median exposure 12.7 weeks) but 15 received pasireotide for periods of between </w:t>
      </w:r>
      <w:r>
        <w:t>six</w:t>
      </w:r>
      <w:r w:rsidRPr="00D24EAA">
        <w:t xml:space="preserve"> and 12 months.</w:t>
      </w:r>
    </w:p>
    <w:p w14:paraId="0F7BF869" w14:textId="77777777" w:rsidR="00FB168E" w:rsidRPr="0023712C" w:rsidRDefault="00FB168E" w:rsidP="00B113A0">
      <w:pPr>
        <w:pStyle w:val="Heading5"/>
      </w:pPr>
      <w:bookmarkStart w:id="158" w:name="_Toc350352130"/>
      <w:r w:rsidRPr="0023712C">
        <w:t>Study B2103</w:t>
      </w:r>
      <w:bookmarkEnd w:id="158"/>
    </w:p>
    <w:p w14:paraId="21F57A83" w14:textId="77777777" w:rsidR="00FB168E" w:rsidRDefault="00FB168E" w:rsidP="00FB168E">
      <w:r w:rsidRPr="00D24EAA">
        <w:t>This study examined the efficacy and safety of pasireotide in patients with acromegaly. The primary objective was to compare the efficacy of single doses of 100 µg and 250 µg pasireotide with a standard 100 µg dos</w:t>
      </w:r>
      <w:r>
        <w:t>e of octreotide (</w:t>
      </w:r>
      <w:proofErr w:type="spellStart"/>
      <w:r>
        <w:t>Sandostatin</w:t>
      </w:r>
      <w:proofErr w:type="spellEnd"/>
      <w:r>
        <w:t xml:space="preserve">). </w:t>
      </w:r>
      <w:r w:rsidRPr="00D24EAA">
        <w:t xml:space="preserve">The dosages of pasireotide used were employed early in the clinical development program and are not amongst the formulations submitted for market approval. A total of 12 patients received </w:t>
      </w:r>
      <w:r w:rsidRPr="00D24EAA">
        <w:lastRenderedPageBreak/>
        <w:t xml:space="preserve">single doses as described above; this exposure does not contribute significantly to that of the safety population and is not included below in </w:t>
      </w:r>
      <w:r>
        <w:t xml:space="preserve">Table </w:t>
      </w:r>
      <w:r w:rsidR="00AF1E41">
        <w:t>7</w:t>
      </w:r>
      <w:r>
        <w:t>.</w:t>
      </w:r>
    </w:p>
    <w:p w14:paraId="6169A710" w14:textId="77777777" w:rsidR="00FB168E" w:rsidRPr="0023712C" w:rsidRDefault="00FB168E" w:rsidP="00B113A0">
      <w:pPr>
        <w:pStyle w:val="Heading4"/>
      </w:pPr>
      <w:bookmarkStart w:id="159" w:name="_Toc241374318"/>
      <w:bookmarkStart w:id="160" w:name="_Ref271196630"/>
      <w:bookmarkStart w:id="161" w:name="_Toc272414662"/>
      <w:bookmarkStart w:id="162" w:name="_Toc290846300"/>
      <w:bookmarkStart w:id="163" w:name="_Toc350352132"/>
      <w:bookmarkStart w:id="164" w:name="_Toc381199078"/>
      <w:r>
        <w:t>Summary of p</w:t>
      </w:r>
      <w:r w:rsidRPr="0023712C">
        <w:t>atient</w:t>
      </w:r>
      <w:r>
        <w:t xml:space="preserve">/drug </w:t>
      </w:r>
      <w:r w:rsidRPr="0023712C">
        <w:t>exposure</w:t>
      </w:r>
      <w:bookmarkEnd w:id="159"/>
      <w:bookmarkEnd w:id="160"/>
      <w:bookmarkEnd w:id="161"/>
      <w:bookmarkEnd w:id="162"/>
      <w:bookmarkEnd w:id="163"/>
      <w:bookmarkEnd w:id="164"/>
    </w:p>
    <w:p w14:paraId="2D3B08D9" w14:textId="77777777" w:rsidR="00FB168E" w:rsidRPr="00D24EAA" w:rsidRDefault="00FB168E" w:rsidP="00FB168E">
      <w:r w:rsidRPr="00D24EAA">
        <w:t>Overall exposure to pasireotide in the studies reviewed for this submission is described below</w:t>
      </w:r>
      <w:r>
        <w:t>.</w:t>
      </w:r>
    </w:p>
    <w:p w14:paraId="4CCF4639" w14:textId="77777777" w:rsidR="00FB168E" w:rsidRPr="0023712C" w:rsidRDefault="00FB168E" w:rsidP="00FB168E">
      <w:pPr>
        <w:pStyle w:val="TableTitle"/>
        <w:keepLines/>
      </w:pPr>
      <w:bookmarkStart w:id="165" w:name="_Toc349891817"/>
      <w:bookmarkStart w:id="166" w:name="_Toc350352133"/>
      <w:bookmarkStart w:id="167" w:name="_Toc350352314"/>
      <w:r w:rsidRPr="0023712C">
        <w:t>Table</w:t>
      </w:r>
      <w:r>
        <w:t xml:space="preserve"> </w:t>
      </w:r>
      <w:r w:rsidR="00A60283">
        <w:t>7</w:t>
      </w:r>
      <w:r>
        <w:t>:</w:t>
      </w:r>
      <w:r w:rsidRPr="0023712C">
        <w:t xml:space="preserve"> Exposure to pasireotide and comparators in PK/PD studies.</w:t>
      </w:r>
      <w:bookmarkEnd w:id="165"/>
      <w:bookmarkEnd w:id="166"/>
      <w:bookmarkEnd w:id="167"/>
    </w:p>
    <w:tbl>
      <w:tblPr>
        <w:tblStyle w:val="TableTGAblue"/>
        <w:tblW w:w="8512" w:type="dxa"/>
        <w:tblLayout w:type="fixed"/>
        <w:tblLook w:val="00A0" w:firstRow="1" w:lastRow="0" w:firstColumn="1" w:lastColumn="0" w:noHBand="0" w:noVBand="0"/>
      </w:tblPr>
      <w:tblGrid>
        <w:gridCol w:w="1399"/>
        <w:gridCol w:w="1488"/>
        <w:gridCol w:w="1194"/>
        <w:gridCol w:w="1459"/>
        <w:gridCol w:w="1591"/>
        <w:gridCol w:w="1381"/>
      </w:tblGrid>
      <w:tr w:rsidR="00FB168E" w:rsidRPr="0023712C" w14:paraId="3F19CC31" w14:textId="77777777" w:rsidTr="00EB5C7C">
        <w:trPr>
          <w:cnfStyle w:val="100000000000" w:firstRow="1" w:lastRow="0" w:firstColumn="0" w:lastColumn="0" w:oddVBand="0" w:evenVBand="0" w:oddHBand="0" w:evenHBand="0" w:firstRowFirstColumn="0" w:firstRowLastColumn="0" w:lastRowFirstColumn="0" w:lastRowLastColumn="0"/>
          <w:trHeight w:val="1086"/>
        </w:trPr>
        <w:tc>
          <w:tcPr>
            <w:tcW w:w="1399" w:type="dxa"/>
            <w:vMerge w:val="restart"/>
          </w:tcPr>
          <w:p w14:paraId="46C5C6EF" w14:textId="77777777" w:rsidR="00FB168E" w:rsidRPr="008B72F2" w:rsidRDefault="00FB168E" w:rsidP="00B113A0">
            <w:pPr>
              <w:keepLines/>
              <w:autoSpaceDE w:val="0"/>
              <w:autoSpaceDN w:val="0"/>
              <w:adjustRightInd w:val="0"/>
              <w:spacing w:before="0" w:after="0"/>
              <w:ind w:left="0" w:right="0"/>
              <w:rPr>
                <w:rFonts w:asciiTheme="minorHAnsi" w:hAnsiTheme="minorHAnsi"/>
                <w:bCs/>
                <w:sz w:val="18"/>
                <w:szCs w:val="18"/>
              </w:rPr>
            </w:pPr>
            <w:r w:rsidRPr="008B72F2">
              <w:rPr>
                <w:rFonts w:asciiTheme="minorHAnsi" w:hAnsiTheme="minorHAnsi"/>
                <w:bCs/>
                <w:sz w:val="18"/>
                <w:szCs w:val="18"/>
              </w:rPr>
              <w:t xml:space="preserve">Study ID </w:t>
            </w:r>
          </w:p>
        </w:tc>
        <w:tc>
          <w:tcPr>
            <w:tcW w:w="4140" w:type="dxa"/>
            <w:gridSpan w:val="3"/>
          </w:tcPr>
          <w:p w14:paraId="2C6D8A94" w14:textId="77777777" w:rsidR="00FB168E" w:rsidRPr="008B72F2" w:rsidRDefault="00FB168E" w:rsidP="00B113A0">
            <w:pPr>
              <w:keepLines/>
              <w:autoSpaceDE w:val="0"/>
              <w:autoSpaceDN w:val="0"/>
              <w:adjustRightInd w:val="0"/>
              <w:spacing w:before="0" w:after="0"/>
              <w:ind w:left="0" w:right="0"/>
              <w:jc w:val="both"/>
              <w:rPr>
                <w:rFonts w:asciiTheme="minorHAnsi" w:hAnsiTheme="minorHAnsi"/>
                <w:bCs/>
                <w:sz w:val="18"/>
                <w:szCs w:val="18"/>
              </w:rPr>
            </w:pPr>
            <w:r w:rsidRPr="008B72F2">
              <w:rPr>
                <w:rFonts w:asciiTheme="minorHAnsi" w:hAnsiTheme="minorHAnsi"/>
                <w:bCs/>
                <w:sz w:val="18"/>
                <w:szCs w:val="18"/>
              </w:rPr>
              <w:t>Controlled studies*</w:t>
            </w:r>
          </w:p>
        </w:tc>
        <w:tc>
          <w:tcPr>
            <w:tcW w:w="1591" w:type="dxa"/>
          </w:tcPr>
          <w:p w14:paraId="016A1BBF" w14:textId="77777777" w:rsidR="00FB168E" w:rsidRPr="008B72F2" w:rsidRDefault="00FB168E" w:rsidP="00B113A0">
            <w:pPr>
              <w:keepLines/>
              <w:autoSpaceDE w:val="0"/>
              <w:autoSpaceDN w:val="0"/>
              <w:adjustRightInd w:val="0"/>
              <w:spacing w:before="0" w:after="0"/>
              <w:ind w:left="0" w:right="0"/>
              <w:jc w:val="both"/>
              <w:rPr>
                <w:rFonts w:asciiTheme="minorHAnsi" w:hAnsiTheme="minorHAnsi"/>
                <w:bCs/>
                <w:sz w:val="18"/>
                <w:szCs w:val="18"/>
              </w:rPr>
            </w:pPr>
            <w:r w:rsidRPr="008B72F2">
              <w:rPr>
                <w:rFonts w:asciiTheme="minorHAnsi" w:hAnsiTheme="minorHAnsi"/>
                <w:bCs/>
                <w:sz w:val="18"/>
                <w:szCs w:val="18"/>
              </w:rPr>
              <w:t>Uncontrolled</w:t>
            </w:r>
          </w:p>
          <w:p w14:paraId="5EB728E7" w14:textId="77777777" w:rsidR="00FB168E" w:rsidRPr="008B72F2" w:rsidRDefault="00FB168E" w:rsidP="00B113A0">
            <w:pPr>
              <w:keepLines/>
              <w:autoSpaceDE w:val="0"/>
              <w:autoSpaceDN w:val="0"/>
              <w:adjustRightInd w:val="0"/>
              <w:spacing w:before="0" w:after="0"/>
              <w:ind w:left="0" w:right="0"/>
              <w:jc w:val="both"/>
              <w:rPr>
                <w:rFonts w:asciiTheme="minorHAnsi" w:hAnsiTheme="minorHAnsi"/>
                <w:bCs/>
                <w:sz w:val="18"/>
                <w:szCs w:val="18"/>
              </w:rPr>
            </w:pPr>
            <w:r w:rsidRPr="008B72F2">
              <w:rPr>
                <w:rFonts w:asciiTheme="minorHAnsi" w:hAnsiTheme="minorHAnsi"/>
                <w:bCs/>
                <w:sz w:val="18"/>
                <w:szCs w:val="18"/>
              </w:rPr>
              <w:t>studies</w:t>
            </w:r>
          </w:p>
        </w:tc>
        <w:tc>
          <w:tcPr>
            <w:tcW w:w="1381" w:type="dxa"/>
            <w:vMerge w:val="restart"/>
          </w:tcPr>
          <w:p w14:paraId="33A920CD" w14:textId="77777777" w:rsidR="00FB168E" w:rsidRPr="008B72F2" w:rsidRDefault="00FB168E" w:rsidP="00B113A0">
            <w:pPr>
              <w:keepLines/>
              <w:autoSpaceDE w:val="0"/>
              <w:autoSpaceDN w:val="0"/>
              <w:adjustRightInd w:val="0"/>
              <w:spacing w:before="0" w:after="0"/>
              <w:ind w:left="0" w:right="0"/>
              <w:jc w:val="both"/>
              <w:rPr>
                <w:rFonts w:asciiTheme="minorHAnsi" w:hAnsiTheme="minorHAnsi"/>
                <w:bCs/>
                <w:sz w:val="18"/>
                <w:szCs w:val="18"/>
              </w:rPr>
            </w:pPr>
            <w:r w:rsidRPr="008B72F2">
              <w:rPr>
                <w:rFonts w:asciiTheme="minorHAnsi" w:hAnsiTheme="minorHAnsi"/>
                <w:bCs/>
                <w:sz w:val="18"/>
                <w:szCs w:val="18"/>
              </w:rPr>
              <w:t>Total</w:t>
            </w:r>
          </w:p>
          <w:p w14:paraId="7A5C3994" w14:textId="77777777" w:rsidR="00FB168E" w:rsidRPr="008B72F2" w:rsidRDefault="00FB168E" w:rsidP="00B113A0">
            <w:pPr>
              <w:keepLines/>
              <w:autoSpaceDE w:val="0"/>
              <w:autoSpaceDN w:val="0"/>
              <w:adjustRightInd w:val="0"/>
              <w:spacing w:before="0" w:after="0"/>
              <w:ind w:left="0" w:right="0"/>
              <w:jc w:val="both"/>
              <w:rPr>
                <w:rFonts w:asciiTheme="minorHAnsi" w:hAnsiTheme="minorHAnsi"/>
                <w:bCs/>
                <w:sz w:val="18"/>
                <w:szCs w:val="18"/>
              </w:rPr>
            </w:pPr>
            <w:r w:rsidRPr="008B72F2">
              <w:rPr>
                <w:rFonts w:asciiTheme="minorHAnsi" w:hAnsiTheme="minorHAnsi"/>
                <w:bCs/>
                <w:sz w:val="18"/>
                <w:szCs w:val="18"/>
              </w:rPr>
              <w:t>Pasireotide</w:t>
            </w:r>
          </w:p>
        </w:tc>
      </w:tr>
      <w:tr w:rsidR="00FB168E" w:rsidRPr="0023712C" w14:paraId="1249877F" w14:textId="77777777" w:rsidTr="00EB5C7C">
        <w:trPr>
          <w:trHeight w:val="145"/>
        </w:trPr>
        <w:tc>
          <w:tcPr>
            <w:tcW w:w="1399" w:type="dxa"/>
            <w:vMerge/>
          </w:tcPr>
          <w:p w14:paraId="5BBB3D27"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p>
        </w:tc>
        <w:tc>
          <w:tcPr>
            <w:tcW w:w="1488" w:type="dxa"/>
          </w:tcPr>
          <w:p w14:paraId="3925FAB4"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Pasireotide</w:t>
            </w:r>
          </w:p>
        </w:tc>
        <w:tc>
          <w:tcPr>
            <w:tcW w:w="1194" w:type="dxa"/>
          </w:tcPr>
          <w:p w14:paraId="010F96B3"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Placebo</w:t>
            </w:r>
          </w:p>
        </w:tc>
        <w:tc>
          <w:tcPr>
            <w:tcW w:w="1459" w:type="dxa"/>
          </w:tcPr>
          <w:p w14:paraId="4E14F332" w14:textId="77777777" w:rsidR="00FB168E" w:rsidRPr="008B72F2"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8B72F2">
              <w:rPr>
                <w:rFonts w:asciiTheme="minorHAnsi" w:hAnsiTheme="minorHAnsi"/>
                <w:b/>
                <w:bCs/>
                <w:sz w:val="18"/>
                <w:szCs w:val="18"/>
              </w:rPr>
              <w:t>Moxifloxacin</w:t>
            </w:r>
          </w:p>
        </w:tc>
        <w:tc>
          <w:tcPr>
            <w:tcW w:w="1591" w:type="dxa"/>
          </w:tcPr>
          <w:p w14:paraId="14C2986A"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Pasireotide</w:t>
            </w:r>
          </w:p>
        </w:tc>
        <w:tc>
          <w:tcPr>
            <w:tcW w:w="1381" w:type="dxa"/>
            <w:vMerge/>
          </w:tcPr>
          <w:p w14:paraId="085DD1E2"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p>
        </w:tc>
      </w:tr>
      <w:tr w:rsidR="00FB168E" w:rsidRPr="0023712C" w14:paraId="6A509D65" w14:textId="77777777" w:rsidTr="00EB5C7C">
        <w:trPr>
          <w:trHeight w:val="468"/>
        </w:trPr>
        <w:tc>
          <w:tcPr>
            <w:tcW w:w="1399" w:type="dxa"/>
          </w:tcPr>
          <w:p w14:paraId="29DFD60D"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B2101</w:t>
            </w:r>
          </w:p>
        </w:tc>
        <w:tc>
          <w:tcPr>
            <w:tcW w:w="1488" w:type="dxa"/>
          </w:tcPr>
          <w:p w14:paraId="0B236C12"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54</w:t>
            </w:r>
          </w:p>
        </w:tc>
        <w:tc>
          <w:tcPr>
            <w:tcW w:w="1194" w:type="dxa"/>
          </w:tcPr>
          <w:p w14:paraId="68F59C9E"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18</w:t>
            </w:r>
          </w:p>
        </w:tc>
        <w:tc>
          <w:tcPr>
            <w:tcW w:w="1459" w:type="dxa"/>
          </w:tcPr>
          <w:p w14:paraId="31864E70"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087BEDE4"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381" w:type="dxa"/>
          </w:tcPr>
          <w:p w14:paraId="1561F715"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54</w:t>
            </w:r>
          </w:p>
        </w:tc>
      </w:tr>
      <w:tr w:rsidR="00FB168E" w:rsidRPr="0023712C" w14:paraId="2C586B16" w14:textId="77777777" w:rsidTr="00EB5C7C">
        <w:trPr>
          <w:trHeight w:val="483"/>
        </w:trPr>
        <w:tc>
          <w:tcPr>
            <w:tcW w:w="1399" w:type="dxa"/>
          </w:tcPr>
          <w:p w14:paraId="31B31172"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B2102</w:t>
            </w:r>
          </w:p>
        </w:tc>
        <w:tc>
          <w:tcPr>
            <w:tcW w:w="1488" w:type="dxa"/>
          </w:tcPr>
          <w:p w14:paraId="3DB10F84"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28</w:t>
            </w:r>
          </w:p>
        </w:tc>
        <w:tc>
          <w:tcPr>
            <w:tcW w:w="1194" w:type="dxa"/>
          </w:tcPr>
          <w:p w14:paraId="4CAD1145"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28</w:t>
            </w:r>
          </w:p>
        </w:tc>
        <w:tc>
          <w:tcPr>
            <w:tcW w:w="1459" w:type="dxa"/>
          </w:tcPr>
          <w:p w14:paraId="267C6780"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0D9B4E67"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381" w:type="dxa"/>
          </w:tcPr>
          <w:p w14:paraId="1A1B820A"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28</w:t>
            </w:r>
          </w:p>
        </w:tc>
      </w:tr>
      <w:tr w:rsidR="00FB168E" w:rsidRPr="0023712C" w14:paraId="663587ED" w14:textId="77777777" w:rsidTr="00EB5C7C">
        <w:trPr>
          <w:trHeight w:val="483"/>
        </w:trPr>
        <w:tc>
          <w:tcPr>
            <w:tcW w:w="1399" w:type="dxa"/>
          </w:tcPr>
          <w:p w14:paraId="57110056"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B2106</w:t>
            </w:r>
          </w:p>
        </w:tc>
        <w:tc>
          <w:tcPr>
            <w:tcW w:w="1488" w:type="dxa"/>
          </w:tcPr>
          <w:p w14:paraId="4246B8CF"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2E2CC7AC"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06F4EF99"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7D987973"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17</w:t>
            </w:r>
          </w:p>
        </w:tc>
        <w:tc>
          <w:tcPr>
            <w:tcW w:w="1381" w:type="dxa"/>
          </w:tcPr>
          <w:p w14:paraId="5D782BCF"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17</w:t>
            </w:r>
          </w:p>
        </w:tc>
      </w:tr>
      <w:tr w:rsidR="00FB168E" w:rsidRPr="0023712C" w14:paraId="114DC414" w14:textId="77777777" w:rsidTr="00EB5C7C">
        <w:trPr>
          <w:trHeight w:val="483"/>
        </w:trPr>
        <w:tc>
          <w:tcPr>
            <w:tcW w:w="1399" w:type="dxa"/>
          </w:tcPr>
          <w:p w14:paraId="2EAC863C"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B2107</w:t>
            </w:r>
          </w:p>
        </w:tc>
        <w:tc>
          <w:tcPr>
            <w:tcW w:w="1488" w:type="dxa"/>
          </w:tcPr>
          <w:p w14:paraId="2BA67E4B"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2D47DC90"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38E54792"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4EF77BE9"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66</w:t>
            </w:r>
          </w:p>
        </w:tc>
        <w:tc>
          <w:tcPr>
            <w:tcW w:w="1381" w:type="dxa"/>
          </w:tcPr>
          <w:p w14:paraId="07598B9D"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66</w:t>
            </w:r>
          </w:p>
        </w:tc>
      </w:tr>
      <w:tr w:rsidR="00FB168E" w:rsidRPr="0023712C" w14:paraId="2164BB7C" w14:textId="77777777" w:rsidTr="00EB5C7C">
        <w:trPr>
          <w:trHeight w:val="483"/>
        </w:trPr>
        <w:tc>
          <w:tcPr>
            <w:tcW w:w="1399" w:type="dxa"/>
          </w:tcPr>
          <w:p w14:paraId="6F67F606"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B2108</w:t>
            </w:r>
          </w:p>
        </w:tc>
        <w:tc>
          <w:tcPr>
            <w:tcW w:w="1488" w:type="dxa"/>
          </w:tcPr>
          <w:p w14:paraId="02563E51"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41A15FE6"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66E8D66B"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0D76ABE1"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43</w:t>
            </w:r>
          </w:p>
        </w:tc>
        <w:tc>
          <w:tcPr>
            <w:tcW w:w="1381" w:type="dxa"/>
          </w:tcPr>
          <w:p w14:paraId="1CAC8486"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43</w:t>
            </w:r>
          </w:p>
        </w:tc>
      </w:tr>
      <w:tr w:rsidR="00FB168E" w:rsidRPr="0023712C" w14:paraId="05B6E062" w14:textId="77777777" w:rsidTr="00EB5C7C">
        <w:trPr>
          <w:trHeight w:val="483"/>
        </w:trPr>
        <w:tc>
          <w:tcPr>
            <w:tcW w:w="1399" w:type="dxa"/>
          </w:tcPr>
          <w:p w14:paraId="30793D5E"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B2112</w:t>
            </w:r>
          </w:p>
        </w:tc>
        <w:tc>
          <w:tcPr>
            <w:tcW w:w="1488" w:type="dxa"/>
          </w:tcPr>
          <w:p w14:paraId="36341744"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076D568F"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089E7109"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41632BE1"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4</w:t>
            </w:r>
          </w:p>
        </w:tc>
        <w:tc>
          <w:tcPr>
            <w:tcW w:w="1381" w:type="dxa"/>
          </w:tcPr>
          <w:p w14:paraId="149726C4"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4</w:t>
            </w:r>
          </w:p>
        </w:tc>
      </w:tr>
      <w:tr w:rsidR="00FB168E" w:rsidRPr="0023712C" w14:paraId="4A07A573" w14:textId="77777777" w:rsidTr="00EB5C7C">
        <w:trPr>
          <w:trHeight w:val="483"/>
        </w:trPr>
        <w:tc>
          <w:tcPr>
            <w:tcW w:w="1399" w:type="dxa"/>
          </w:tcPr>
          <w:p w14:paraId="53CAC566"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B2113 part 1</w:t>
            </w:r>
          </w:p>
        </w:tc>
        <w:tc>
          <w:tcPr>
            <w:tcW w:w="1488" w:type="dxa"/>
          </w:tcPr>
          <w:p w14:paraId="2503C3EE"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37</w:t>
            </w:r>
          </w:p>
        </w:tc>
        <w:tc>
          <w:tcPr>
            <w:tcW w:w="1194" w:type="dxa"/>
          </w:tcPr>
          <w:p w14:paraId="1C804E31"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18</w:t>
            </w:r>
          </w:p>
        </w:tc>
        <w:tc>
          <w:tcPr>
            <w:tcW w:w="1459" w:type="dxa"/>
          </w:tcPr>
          <w:p w14:paraId="01446148"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3754B277"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381" w:type="dxa"/>
          </w:tcPr>
          <w:p w14:paraId="474F589F"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37</w:t>
            </w:r>
          </w:p>
        </w:tc>
      </w:tr>
      <w:tr w:rsidR="00FB168E" w:rsidRPr="0023712C" w14:paraId="17D25916" w14:textId="77777777" w:rsidTr="00EB5C7C">
        <w:trPr>
          <w:trHeight w:val="483"/>
        </w:trPr>
        <w:tc>
          <w:tcPr>
            <w:tcW w:w="1399" w:type="dxa"/>
          </w:tcPr>
          <w:p w14:paraId="226316E1"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B2113 part 2</w:t>
            </w:r>
          </w:p>
        </w:tc>
        <w:tc>
          <w:tcPr>
            <w:tcW w:w="1488" w:type="dxa"/>
          </w:tcPr>
          <w:p w14:paraId="4E717102"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95</w:t>
            </w:r>
          </w:p>
        </w:tc>
        <w:tc>
          <w:tcPr>
            <w:tcW w:w="1194" w:type="dxa"/>
          </w:tcPr>
          <w:p w14:paraId="71092733"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95</w:t>
            </w:r>
          </w:p>
        </w:tc>
        <w:tc>
          <w:tcPr>
            <w:tcW w:w="1459" w:type="dxa"/>
          </w:tcPr>
          <w:p w14:paraId="0731C8B1"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95</w:t>
            </w:r>
          </w:p>
        </w:tc>
        <w:tc>
          <w:tcPr>
            <w:tcW w:w="1591" w:type="dxa"/>
          </w:tcPr>
          <w:p w14:paraId="1BECD6D7"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381" w:type="dxa"/>
          </w:tcPr>
          <w:p w14:paraId="67FAB3D8"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95</w:t>
            </w:r>
          </w:p>
        </w:tc>
      </w:tr>
      <w:tr w:rsidR="00FB168E" w:rsidRPr="0023712C" w14:paraId="61E9F4CD" w14:textId="77777777" w:rsidTr="00EB5C7C">
        <w:trPr>
          <w:trHeight w:val="483"/>
        </w:trPr>
        <w:tc>
          <w:tcPr>
            <w:tcW w:w="1399" w:type="dxa"/>
          </w:tcPr>
          <w:p w14:paraId="7BB05EE1"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B2125</w:t>
            </w:r>
          </w:p>
        </w:tc>
        <w:tc>
          <w:tcPr>
            <w:tcW w:w="1488" w:type="dxa"/>
          </w:tcPr>
          <w:p w14:paraId="3834DF4A"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112</w:t>
            </w:r>
          </w:p>
        </w:tc>
        <w:tc>
          <w:tcPr>
            <w:tcW w:w="1194" w:type="dxa"/>
          </w:tcPr>
          <w:p w14:paraId="5F66F5F8"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112</w:t>
            </w:r>
          </w:p>
        </w:tc>
        <w:tc>
          <w:tcPr>
            <w:tcW w:w="1459" w:type="dxa"/>
          </w:tcPr>
          <w:p w14:paraId="0BF70E01"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112</w:t>
            </w:r>
          </w:p>
        </w:tc>
        <w:tc>
          <w:tcPr>
            <w:tcW w:w="1591" w:type="dxa"/>
          </w:tcPr>
          <w:p w14:paraId="1FE0E6DA"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381" w:type="dxa"/>
          </w:tcPr>
          <w:p w14:paraId="1204EC4D"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112</w:t>
            </w:r>
          </w:p>
        </w:tc>
      </w:tr>
      <w:tr w:rsidR="00FB168E" w:rsidRPr="0023712C" w14:paraId="0CD03F9C" w14:textId="77777777" w:rsidTr="00EB5C7C">
        <w:trPr>
          <w:trHeight w:val="483"/>
        </w:trPr>
        <w:tc>
          <w:tcPr>
            <w:tcW w:w="1399" w:type="dxa"/>
          </w:tcPr>
          <w:p w14:paraId="67614A77"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C2101</w:t>
            </w:r>
          </w:p>
        </w:tc>
        <w:tc>
          <w:tcPr>
            <w:tcW w:w="1488" w:type="dxa"/>
          </w:tcPr>
          <w:p w14:paraId="1A72A9F3"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3BEE8646"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48A211B5"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0C8E2446"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78</w:t>
            </w:r>
          </w:p>
        </w:tc>
        <w:tc>
          <w:tcPr>
            <w:tcW w:w="1381" w:type="dxa"/>
          </w:tcPr>
          <w:p w14:paraId="44124AE6"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78</w:t>
            </w:r>
          </w:p>
        </w:tc>
      </w:tr>
      <w:tr w:rsidR="00FB168E" w:rsidRPr="0023712C" w14:paraId="2DE87DF1" w14:textId="77777777" w:rsidTr="00EB5C7C">
        <w:trPr>
          <w:trHeight w:val="483"/>
        </w:trPr>
        <w:tc>
          <w:tcPr>
            <w:tcW w:w="1399" w:type="dxa"/>
          </w:tcPr>
          <w:p w14:paraId="2C250649"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B2114</w:t>
            </w:r>
          </w:p>
        </w:tc>
        <w:tc>
          <w:tcPr>
            <w:tcW w:w="1488" w:type="dxa"/>
          </w:tcPr>
          <w:p w14:paraId="236EE45B"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703B359F"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2A85084E"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4C9C4F68"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34</w:t>
            </w:r>
          </w:p>
        </w:tc>
        <w:tc>
          <w:tcPr>
            <w:tcW w:w="1381" w:type="dxa"/>
          </w:tcPr>
          <w:p w14:paraId="239F3607"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34</w:t>
            </w:r>
          </w:p>
        </w:tc>
      </w:tr>
      <w:tr w:rsidR="00FB168E" w:rsidRPr="0023712C" w14:paraId="78DF99F2" w14:textId="77777777" w:rsidTr="00EB5C7C">
        <w:trPr>
          <w:trHeight w:val="483"/>
        </w:trPr>
        <w:tc>
          <w:tcPr>
            <w:tcW w:w="1399" w:type="dxa"/>
          </w:tcPr>
          <w:p w14:paraId="4B344065"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B2216</w:t>
            </w:r>
          </w:p>
        </w:tc>
        <w:tc>
          <w:tcPr>
            <w:tcW w:w="1488" w:type="dxa"/>
          </w:tcPr>
          <w:p w14:paraId="2E974539"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7C477013"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5BA376F8"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291801DB"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45</w:t>
            </w:r>
          </w:p>
        </w:tc>
        <w:tc>
          <w:tcPr>
            <w:tcW w:w="1381" w:type="dxa"/>
          </w:tcPr>
          <w:p w14:paraId="190BE868"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45</w:t>
            </w:r>
          </w:p>
        </w:tc>
      </w:tr>
      <w:tr w:rsidR="00FB168E" w:rsidRPr="0023712C" w14:paraId="0F99F71F" w14:textId="77777777" w:rsidTr="00EB5C7C">
        <w:trPr>
          <w:trHeight w:val="483"/>
        </w:trPr>
        <w:tc>
          <w:tcPr>
            <w:tcW w:w="1399" w:type="dxa"/>
          </w:tcPr>
          <w:p w14:paraId="3521D3A6" w14:textId="77777777" w:rsidR="00FB168E" w:rsidRPr="00D00768" w:rsidRDefault="00FB168E" w:rsidP="00B113A0">
            <w:pPr>
              <w:pStyle w:val="TableBullet"/>
              <w:keepNext/>
              <w:keepLines/>
              <w:numPr>
                <w:ilvl w:val="0"/>
                <w:numId w:val="0"/>
              </w:numPr>
              <w:ind w:right="0"/>
              <w:jc w:val="both"/>
              <w:rPr>
                <w:rFonts w:asciiTheme="minorHAnsi" w:hAnsiTheme="minorHAnsi"/>
                <w:sz w:val="18"/>
                <w:szCs w:val="18"/>
              </w:rPr>
            </w:pPr>
            <w:r w:rsidRPr="00D00768">
              <w:rPr>
                <w:rFonts w:asciiTheme="minorHAnsi" w:hAnsiTheme="minorHAnsi"/>
                <w:sz w:val="18"/>
                <w:szCs w:val="18"/>
              </w:rPr>
              <w:t>B2124</w:t>
            </w:r>
          </w:p>
        </w:tc>
        <w:tc>
          <w:tcPr>
            <w:tcW w:w="1488" w:type="dxa"/>
          </w:tcPr>
          <w:p w14:paraId="6DC14F29"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194" w:type="dxa"/>
          </w:tcPr>
          <w:p w14:paraId="2C06B927"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459" w:type="dxa"/>
          </w:tcPr>
          <w:p w14:paraId="18F9DE51"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p>
        </w:tc>
        <w:tc>
          <w:tcPr>
            <w:tcW w:w="1591" w:type="dxa"/>
          </w:tcPr>
          <w:p w14:paraId="44D29866"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90</w:t>
            </w:r>
          </w:p>
        </w:tc>
        <w:tc>
          <w:tcPr>
            <w:tcW w:w="1381" w:type="dxa"/>
          </w:tcPr>
          <w:p w14:paraId="5E2D6C20"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sz w:val="18"/>
                <w:szCs w:val="18"/>
              </w:rPr>
            </w:pPr>
            <w:r w:rsidRPr="00D00768">
              <w:rPr>
                <w:rFonts w:asciiTheme="minorHAnsi" w:hAnsiTheme="minorHAnsi"/>
                <w:sz w:val="18"/>
                <w:szCs w:val="18"/>
              </w:rPr>
              <w:t>90</w:t>
            </w:r>
          </w:p>
        </w:tc>
      </w:tr>
      <w:tr w:rsidR="00FB168E" w:rsidRPr="0023712C" w14:paraId="25559BF3" w14:textId="77777777" w:rsidTr="00EB5C7C">
        <w:trPr>
          <w:trHeight w:val="498"/>
        </w:trPr>
        <w:tc>
          <w:tcPr>
            <w:tcW w:w="1399" w:type="dxa"/>
          </w:tcPr>
          <w:p w14:paraId="20AA1E88"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TOTAL</w:t>
            </w:r>
          </w:p>
        </w:tc>
        <w:tc>
          <w:tcPr>
            <w:tcW w:w="1488" w:type="dxa"/>
          </w:tcPr>
          <w:p w14:paraId="3961F8B6"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326</w:t>
            </w:r>
          </w:p>
        </w:tc>
        <w:tc>
          <w:tcPr>
            <w:tcW w:w="1194" w:type="dxa"/>
          </w:tcPr>
          <w:p w14:paraId="7E8F2585"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271</w:t>
            </w:r>
          </w:p>
        </w:tc>
        <w:tc>
          <w:tcPr>
            <w:tcW w:w="1459" w:type="dxa"/>
          </w:tcPr>
          <w:p w14:paraId="549F637D"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207</w:t>
            </w:r>
          </w:p>
        </w:tc>
        <w:tc>
          <w:tcPr>
            <w:tcW w:w="1591" w:type="dxa"/>
          </w:tcPr>
          <w:p w14:paraId="01B89C23"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377</w:t>
            </w:r>
          </w:p>
        </w:tc>
        <w:tc>
          <w:tcPr>
            <w:tcW w:w="1381" w:type="dxa"/>
          </w:tcPr>
          <w:p w14:paraId="224AA982" w14:textId="77777777" w:rsidR="00FB168E" w:rsidRPr="00D00768" w:rsidRDefault="00FB168E" w:rsidP="00B113A0">
            <w:pPr>
              <w:keepNext/>
              <w:keepLines/>
              <w:autoSpaceDE w:val="0"/>
              <w:autoSpaceDN w:val="0"/>
              <w:adjustRightInd w:val="0"/>
              <w:spacing w:before="0" w:after="0"/>
              <w:ind w:left="0" w:right="0"/>
              <w:jc w:val="both"/>
              <w:rPr>
                <w:rFonts w:asciiTheme="minorHAnsi" w:hAnsiTheme="minorHAnsi"/>
                <w:b/>
                <w:bCs/>
                <w:sz w:val="18"/>
                <w:szCs w:val="18"/>
              </w:rPr>
            </w:pPr>
            <w:r w:rsidRPr="00D00768">
              <w:rPr>
                <w:rFonts w:asciiTheme="minorHAnsi" w:hAnsiTheme="minorHAnsi"/>
                <w:b/>
                <w:bCs/>
                <w:sz w:val="18"/>
                <w:szCs w:val="18"/>
              </w:rPr>
              <w:t>703</w:t>
            </w:r>
          </w:p>
        </w:tc>
      </w:tr>
    </w:tbl>
    <w:p w14:paraId="604C7AD7" w14:textId="77777777" w:rsidR="00FB168E" w:rsidRDefault="00FB168E" w:rsidP="00FB168E">
      <w:pPr>
        <w:pStyle w:val="Tabletext"/>
        <w:keepNext/>
        <w:keepLines/>
      </w:pPr>
      <w:r w:rsidRPr="00D00768">
        <w:t>*If a crossover study, subjects are counted in all relevant columns</w:t>
      </w:r>
      <w:bookmarkStart w:id="168" w:name="_Ref272765193"/>
      <w:bookmarkStart w:id="169" w:name="_Toc269112508"/>
      <w:bookmarkStart w:id="170" w:name="_Toc349891818"/>
      <w:bookmarkStart w:id="171" w:name="_Toc350352134"/>
      <w:bookmarkStart w:id="172" w:name="_Toc350352315"/>
    </w:p>
    <w:p w14:paraId="71116178" w14:textId="77777777" w:rsidR="00FB168E" w:rsidRPr="008B72F2" w:rsidRDefault="00FB168E" w:rsidP="00FB168E"/>
    <w:p w14:paraId="42D530DB" w14:textId="77777777" w:rsidR="00FB168E" w:rsidRPr="0023712C" w:rsidRDefault="00FB168E" w:rsidP="00FB168E">
      <w:pPr>
        <w:pStyle w:val="TableTitle"/>
        <w:keepLines/>
      </w:pPr>
      <w:r w:rsidRPr="0023712C">
        <w:lastRenderedPageBreak/>
        <w:t>Table</w:t>
      </w:r>
      <w:bookmarkEnd w:id="168"/>
      <w:r w:rsidR="00A60283">
        <w:t xml:space="preserve"> 8</w:t>
      </w:r>
      <w:r>
        <w:t>:</w:t>
      </w:r>
      <w:r w:rsidRPr="0023712C">
        <w:t xml:space="preserve"> Exposure to pasireotide in clinical studies according to dose and duration.</w:t>
      </w:r>
      <w:bookmarkEnd w:id="169"/>
      <w:bookmarkEnd w:id="170"/>
      <w:bookmarkEnd w:id="171"/>
      <w:bookmarkEnd w:id="172"/>
    </w:p>
    <w:tbl>
      <w:tblPr>
        <w:tblStyle w:val="TableTGAblue"/>
        <w:tblW w:w="8330" w:type="dxa"/>
        <w:tblLayout w:type="fixed"/>
        <w:tblLook w:val="00A0" w:firstRow="1" w:lastRow="0" w:firstColumn="1" w:lastColumn="0" w:noHBand="0" w:noVBand="0"/>
      </w:tblPr>
      <w:tblGrid>
        <w:gridCol w:w="2113"/>
        <w:gridCol w:w="776"/>
        <w:gridCol w:w="777"/>
        <w:gridCol w:w="777"/>
        <w:gridCol w:w="778"/>
        <w:gridCol w:w="777"/>
        <w:gridCol w:w="777"/>
        <w:gridCol w:w="777"/>
        <w:gridCol w:w="778"/>
      </w:tblGrid>
      <w:tr w:rsidR="00FB168E" w:rsidRPr="0023712C" w14:paraId="5E74E468" w14:textId="77777777" w:rsidTr="00EB5C7C">
        <w:trPr>
          <w:cnfStyle w:val="100000000000" w:firstRow="1" w:lastRow="0" w:firstColumn="0" w:lastColumn="0" w:oddVBand="0" w:evenVBand="0" w:oddHBand="0" w:evenHBand="0" w:firstRowFirstColumn="0" w:firstRowLastColumn="0" w:lastRowFirstColumn="0" w:lastRowLastColumn="0"/>
          <w:trHeight w:val="464"/>
        </w:trPr>
        <w:tc>
          <w:tcPr>
            <w:tcW w:w="2113" w:type="dxa"/>
            <w:vMerge w:val="restart"/>
          </w:tcPr>
          <w:p w14:paraId="07C00992" w14:textId="77777777" w:rsidR="00FB168E" w:rsidRPr="008B72F2" w:rsidRDefault="00FB168E" w:rsidP="00B113A0">
            <w:pPr>
              <w:pStyle w:val="Tabletext"/>
              <w:keepLines/>
            </w:pPr>
            <w:r w:rsidRPr="008B72F2">
              <w:t>Study ID (Indication)</w:t>
            </w:r>
          </w:p>
        </w:tc>
        <w:tc>
          <w:tcPr>
            <w:tcW w:w="3107" w:type="dxa"/>
            <w:gridSpan w:val="4"/>
          </w:tcPr>
          <w:p w14:paraId="6D3BC881" w14:textId="77777777" w:rsidR="00FB168E" w:rsidRPr="008B72F2" w:rsidRDefault="00FB168E" w:rsidP="00B113A0">
            <w:pPr>
              <w:pStyle w:val="Tabletext"/>
              <w:keepLines/>
            </w:pPr>
            <w:r w:rsidRPr="008B72F2">
              <w:t>Proposed dose range</w:t>
            </w:r>
          </w:p>
        </w:tc>
        <w:tc>
          <w:tcPr>
            <w:tcW w:w="3108" w:type="dxa"/>
            <w:gridSpan w:val="4"/>
          </w:tcPr>
          <w:p w14:paraId="2987EBFC" w14:textId="77777777" w:rsidR="00FB168E" w:rsidRPr="008B72F2" w:rsidRDefault="00FB168E" w:rsidP="00B113A0">
            <w:pPr>
              <w:pStyle w:val="Tabletext"/>
              <w:keepLines/>
            </w:pPr>
            <w:r w:rsidRPr="008B72F2">
              <w:t>Proposed maximum dose***</w:t>
            </w:r>
          </w:p>
        </w:tc>
      </w:tr>
      <w:tr w:rsidR="00FB168E" w:rsidRPr="0023712C" w14:paraId="4AFD7C3F" w14:textId="77777777" w:rsidTr="00EB5C7C">
        <w:trPr>
          <w:trHeight w:val="139"/>
        </w:trPr>
        <w:tc>
          <w:tcPr>
            <w:tcW w:w="2113" w:type="dxa"/>
            <w:vMerge/>
          </w:tcPr>
          <w:p w14:paraId="456B5D05" w14:textId="77777777" w:rsidR="00FB168E" w:rsidRPr="0023712C" w:rsidRDefault="00FB168E" w:rsidP="00B113A0">
            <w:pPr>
              <w:pStyle w:val="Tabletext"/>
              <w:keepNext/>
              <w:keepLines/>
            </w:pPr>
          </w:p>
        </w:tc>
        <w:tc>
          <w:tcPr>
            <w:tcW w:w="776" w:type="dxa"/>
          </w:tcPr>
          <w:p w14:paraId="42DC7098" w14:textId="77777777" w:rsidR="00FB168E" w:rsidRPr="0023712C" w:rsidRDefault="00FB168E" w:rsidP="00B113A0">
            <w:pPr>
              <w:pStyle w:val="Tabletext"/>
              <w:keepNext/>
              <w:keepLines/>
              <w:spacing w:before="0" w:after="0"/>
              <w:ind w:left="0" w:right="0"/>
            </w:pPr>
            <w:r w:rsidRPr="0023712C">
              <w:t>≥ 3</w:t>
            </w:r>
          </w:p>
          <w:p w14:paraId="1DD840A7" w14:textId="77777777" w:rsidR="00FB168E" w:rsidRPr="0023712C" w:rsidRDefault="00FB168E" w:rsidP="00B113A0">
            <w:pPr>
              <w:pStyle w:val="Tabletext"/>
              <w:keepNext/>
              <w:keepLines/>
              <w:spacing w:before="0" w:after="0"/>
              <w:ind w:left="0" w:right="0"/>
            </w:pPr>
            <w:r w:rsidRPr="0023712C">
              <w:t>mo.</w:t>
            </w:r>
          </w:p>
        </w:tc>
        <w:tc>
          <w:tcPr>
            <w:tcW w:w="777" w:type="dxa"/>
          </w:tcPr>
          <w:p w14:paraId="0C34FA72" w14:textId="77777777" w:rsidR="00FB168E" w:rsidRPr="0023712C" w:rsidRDefault="00FB168E" w:rsidP="00B113A0">
            <w:pPr>
              <w:pStyle w:val="Tabletext"/>
              <w:keepNext/>
              <w:keepLines/>
              <w:spacing w:before="0" w:after="0"/>
              <w:ind w:left="0" w:right="0"/>
            </w:pPr>
            <w:r w:rsidRPr="0023712C">
              <w:t>≥ 6</w:t>
            </w:r>
          </w:p>
          <w:p w14:paraId="6778AE98" w14:textId="77777777" w:rsidR="00FB168E" w:rsidRPr="0023712C" w:rsidRDefault="00FB168E" w:rsidP="00B113A0">
            <w:pPr>
              <w:pStyle w:val="Tabletext"/>
              <w:keepNext/>
              <w:keepLines/>
              <w:spacing w:before="0" w:after="0"/>
              <w:ind w:left="0" w:right="0"/>
            </w:pPr>
            <w:r w:rsidRPr="0023712C">
              <w:t>mo.</w:t>
            </w:r>
          </w:p>
        </w:tc>
        <w:tc>
          <w:tcPr>
            <w:tcW w:w="777" w:type="dxa"/>
          </w:tcPr>
          <w:p w14:paraId="1BCEEC7D" w14:textId="77777777" w:rsidR="00FB168E" w:rsidRPr="0023712C" w:rsidRDefault="00FB168E" w:rsidP="00B113A0">
            <w:pPr>
              <w:pStyle w:val="Tabletext"/>
              <w:keepNext/>
              <w:keepLines/>
              <w:spacing w:before="0" w:after="0"/>
              <w:ind w:left="0" w:right="0"/>
            </w:pPr>
            <w:r w:rsidRPr="0023712C">
              <w:t>≥</w:t>
            </w:r>
            <w:r>
              <w:t xml:space="preserve"> </w:t>
            </w:r>
            <w:r w:rsidRPr="0023712C">
              <w:t>12</w:t>
            </w:r>
          </w:p>
          <w:p w14:paraId="6C534722" w14:textId="77777777" w:rsidR="00FB168E" w:rsidRPr="0023712C" w:rsidRDefault="00FB168E" w:rsidP="00B113A0">
            <w:pPr>
              <w:pStyle w:val="Tabletext"/>
              <w:keepNext/>
              <w:keepLines/>
              <w:spacing w:before="0" w:after="0"/>
              <w:ind w:left="0" w:right="0"/>
            </w:pPr>
            <w:r w:rsidRPr="0023712C">
              <w:t>mo.</w:t>
            </w:r>
          </w:p>
        </w:tc>
        <w:tc>
          <w:tcPr>
            <w:tcW w:w="778" w:type="dxa"/>
          </w:tcPr>
          <w:p w14:paraId="51DCC761" w14:textId="77777777" w:rsidR="00FB168E" w:rsidRPr="0023712C" w:rsidRDefault="00FB168E" w:rsidP="00B113A0">
            <w:pPr>
              <w:pStyle w:val="Tabletext"/>
              <w:keepNext/>
              <w:keepLines/>
              <w:spacing w:before="0" w:after="0"/>
              <w:ind w:left="0" w:right="0"/>
            </w:pPr>
            <w:r w:rsidRPr="0023712C">
              <w:t>Any</w:t>
            </w:r>
          </w:p>
          <w:p w14:paraId="1DD9C0F6" w14:textId="77777777" w:rsidR="00FB168E" w:rsidRPr="0023712C" w:rsidRDefault="00FB168E" w:rsidP="00B113A0">
            <w:pPr>
              <w:pStyle w:val="Tabletext"/>
              <w:keepNext/>
              <w:keepLines/>
              <w:spacing w:before="0" w:after="0"/>
              <w:ind w:left="0" w:right="0"/>
            </w:pPr>
            <w:proofErr w:type="spellStart"/>
            <w:r w:rsidRPr="0023712C">
              <w:t>dur’n</w:t>
            </w:r>
            <w:proofErr w:type="spellEnd"/>
            <w:r w:rsidRPr="0023712C">
              <w:t>*</w:t>
            </w:r>
          </w:p>
        </w:tc>
        <w:tc>
          <w:tcPr>
            <w:tcW w:w="777" w:type="dxa"/>
          </w:tcPr>
          <w:p w14:paraId="45CC6659" w14:textId="77777777" w:rsidR="00FB168E" w:rsidRPr="0023712C" w:rsidRDefault="00FB168E" w:rsidP="00B113A0">
            <w:pPr>
              <w:pStyle w:val="Tabletext"/>
              <w:keepNext/>
              <w:keepLines/>
              <w:spacing w:before="0" w:after="0"/>
              <w:ind w:left="0" w:right="0"/>
            </w:pPr>
            <w:r w:rsidRPr="0023712C">
              <w:t>≥ 3</w:t>
            </w:r>
          </w:p>
          <w:p w14:paraId="4D7F3B06" w14:textId="77777777" w:rsidR="00FB168E" w:rsidRPr="0023712C" w:rsidRDefault="00FB168E" w:rsidP="00B113A0">
            <w:pPr>
              <w:pStyle w:val="Tabletext"/>
              <w:keepNext/>
              <w:keepLines/>
              <w:spacing w:before="0" w:after="0"/>
              <w:ind w:left="0" w:right="0"/>
            </w:pPr>
            <w:r w:rsidRPr="0023712C">
              <w:t>mo.</w:t>
            </w:r>
          </w:p>
        </w:tc>
        <w:tc>
          <w:tcPr>
            <w:tcW w:w="777" w:type="dxa"/>
          </w:tcPr>
          <w:p w14:paraId="25083517" w14:textId="77777777" w:rsidR="00FB168E" w:rsidRPr="0023712C" w:rsidRDefault="00FB168E" w:rsidP="00B113A0">
            <w:pPr>
              <w:pStyle w:val="Tabletext"/>
              <w:keepNext/>
              <w:keepLines/>
              <w:spacing w:before="0" w:after="0"/>
              <w:ind w:left="0" w:right="0"/>
            </w:pPr>
            <w:r w:rsidRPr="0023712C">
              <w:t>≥ 6</w:t>
            </w:r>
          </w:p>
          <w:p w14:paraId="46E97A03" w14:textId="77777777" w:rsidR="00FB168E" w:rsidRPr="0023712C" w:rsidRDefault="00FB168E" w:rsidP="00B113A0">
            <w:pPr>
              <w:pStyle w:val="Tabletext"/>
              <w:keepNext/>
              <w:keepLines/>
              <w:spacing w:before="0" w:after="0"/>
              <w:ind w:left="0" w:right="0"/>
            </w:pPr>
            <w:r w:rsidRPr="0023712C">
              <w:t>mo.</w:t>
            </w:r>
          </w:p>
        </w:tc>
        <w:tc>
          <w:tcPr>
            <w:tcW w:w="777" w:type="dxa"/>
          </w:tcPr>
          <w:p w14:paraId="05FAA9F2" w14:textId="77777777" w:rsidR="00FB168E" w:rsidRPr="0023712C" w:rsidRDefault="00FB168E" w:rsidP="00B113A0">
            <w:pPr>
              <w:pStyle w:val="Tabletext"/>
              <w:keepNext/>
              <w:keepLines/>
              <w:spacing w:before="0" w:after="0"/>
              <w:ind w:left="0" w:right="0"/>
            </w:pPr>
            <w:r w:rsidRPr="0023712C">
              <w:t>≥ 12</w:t>
            </w:r>
          </w:p>
          <w:p w14:paraId="7C566F1E" w14:textId="77777777" w:rsidR="00FB168E" w:rsidRPr="0023712C" w:rsidRDefault="00FB168E" w:rsidP="00B113A0">
            <w:pPr>
              <w:pStyle w:val="Tabletext"/>
              <w:keepNext/>
              <w:keepLines/>
              <w:spacing w:before="0" w:after="0"/>
              <w:ind w:left="0" w:right="0"/>
            </w:pPr>
            <w:r w:rsidRPr="0023712C">
              <w:t>mo.</w:t>
            </w:r>
          </w:p>
        </w:tc>
        <w:tc>
          <w:tcPr>
            <w:tcW w:w="778" w:type="dxa"/>
          </w:tcPr>
          <w:p w14:paraId="1AF1D9AC" w14:textId="77777777" w:rsidR="00FB168E" w:rsidRPr="0023712C" w:rsidRDefault="00FB168E" w:rsidP="00B113A0">
            <w:pPr>
              <w:pStyle w:val="Tabletext"/>
              <w:keepNext/>
              <w:keepLines/>
              <w:spacing w:before="0" w:after="0"/>
              <w:ind w:left="0" w:right="0"/>
            </w:pPr>
            <w:r w:rsidRPr="0023712C">
              <w:t>Any</w:t>
            </w:r>
          </w:p>
          <w:p w14:paraId="4B38540E" w14:textId="77777777" w:rsidR="00FB168E" w:rsidRPr="0023712C" w:rsidRDefault="00FB168E" w:rsidP="00B113A0">
            <w:pPr>
              <w:pStyle w:val="Tabletext"/>
              <w:keepNext/>
              <w:keepLines/>
              <w:spacing w:before="0" w:after="0"/>
              <w:ind w:left="0" w:right="0"/>
            </w:pPr>
            <w:proofErr w:type="spellStart"/>
            <w:r w:rsidRPr="0023712C">
              <w:t>dur’n</w:t>
            </w:r>
            <w:proofErr w:type="spellEnd"/>
            <w:r w:rsidRPr="0023712C">
              <w:t>*</w:t>
            </w:r>
          </w:p>
        </w:tc>
      </w:tr>
      <w:tr w:rsidR="00FB168E" w:rsidRPr="0023712C" w14:paraId="1D777839" w14:textId="77777777" w:rsidTr="00EB5C7C">
        <w:trPr>
          <w:trHeight w:val="449"/>
        </w:trPr>
        <w:tc>
          <w:tcPr>
            <w:tcW w:w="2113" w:type="dxa"/>
          </w:tcPr>
          <w:p w14:paraId="79944A96" w14:textId="77777777" w:rsidR="00FB168E" w:rsidRPr="008B72F2" w:rsidRDefault="00FB168E" w:rsidP="00B113A0">
            <w:pPr>
              <w:pStyle w:val="Tabletext"/>
              <w:keepNext/>
              <w:keepLines/>
              <w:rPr>
                <w:b/>
              </w:rPr>
            </w:pPr>
            <w:r w:rsidRPr="008B72F2">
              <w:rPr>
                <w:b/>
              </w:rPr>
              <w:t>B2305 (Cushing's)</w:t>
            </w:r>
          </w:p>
        </w:tc>
        <w:tc>
          <w:tcPr>
            <w:tcW w:w="776" w:type="dxa"/>
          </w:tcPr>
          <w:p w14:paraId="48FE4431" w14:textId="77777777" w:rsidR="00FB168E" w:rsidRPr="0023712C" w:rsidRDefault="00FB168E" w:rsidP="00B113A0">
            <w:pPr>
              <w:pStyle w:val="Tabletext"/>
              <w:keepNext/>
              <w:keepLines/>
              <w:spacing w:before="0" w:after="0"/>
              <w:ind w:left="0" w:right="0"/>
            </w:pPr>
            <w:r w:rsidRPr="0023712C">
              <w:t>132</w:t>
            </w:r>
          </w:p>
        </w:tc>
        <w:tc>
          <w:tcPr>
            <w:tcW w:w="777" w:type="dxa"/>
          </w:tcPr>
          <w:p w14:paraId="5D8AF4A0" w14:textId="77777777" w:rsidR="00FB168E" w:rsidRPr="0023712C" w:rsidRDefault="00FB168E" w:rsidP="00B113A0">
            <w:pPr>
              <w:pStyle w:val="Tabletext"/>
              <w:keepNext/>
              <w:keepLines/>
              <w:spacing w:before="0" w:after="0"/>
              <w:ind w:left="0" w:right="0"/>
            </w:pPr>
            <w:r w:rsidRPr="0023712C">
              <w:t>110</w:t>
            </w:r>
          </w:p>
        </w:tc>
        <w:tc>
          <w:tcPr>
            <w:tcW w:w="777" w:type="dxa"/>
          </w:tcPr>
          <w:p w14:paraId="36D77C63" w14:textId="77777777" w:rsidR="00FB168E" w:rsidRPr="0023712C" w:rsidRDefault="00FB168E" w:rsidP="00B113A0">
            <w:pPr>
              <w:pStyle w:val="Tabletext"/>
              <w:keepNext/>
              <w:keepLines/>
              <w:spacing w:before="0" w:after="0"/>
              <w:ind w:left="0" w:right="0"/>
            </w:pPr>
            <w:r>
              <w:t xml:space="preserve">  </w:t>
            </w:r>
            <w:r w:rsidRPr="0023712C">
              <w:t>63</w:t>
            </w:r>
          </w:p>
        </w:tc>
        <w:tc>
          <w:tcPr>
            <w:tcW w:w="778" w:type="dxa"/>
          </w:tcPr>
          <w:p w14:paraId="03CBA8C7" w14:textId="77777777" w:rsidR="00FB168E" w:rsidRPr="0023712C" w:rsidRDefault="00FB168E" w:rsidP="00B113A0">
            <w:pPr>
              <w:pStyle w:val="Tabletext"/>
              <w:keepNext/>
              <w:keepLines/>
              <w:spacing w:before="0" w:after="0"/>
              <w:ind w:left="0" w:right="0"/>
            </w:pPr>
            <w:r w:rsidRPr="0023712C">
              <w:t>162</w:t>
            </w:r>
          </w:p>
        </w:tc>
        <w:tc>
          <w:tcPr>
            <w:tcW w:w="777" w:type="dxa"/>
          </w:tcPr>
          <w:p w14:paraId="3716805B" w14:textId="77777777" w:rsidR="00FB168E" w:rsidRPr="0023712C" w:rsidRDefault="00FB168E" w:rsidP="00B113A0">
            <w:pPr>
              <w:pStyle w:val="Tabletext"/>
              <w:keepNext/>
              <w:keepLines/>
              <w:spacing w:before="0" w:after="0"/>
              <w:ind w:left="0" w:right="0"/>
            </w:pPr>
            <w:r w:rsidRPr="0023712C">
              <w:t>64</w:t>
            </w:r>
          </w:p>
        </w:tc>
        <w:tc>
          <w:tcPr>
            <w:tcW w:w="777" w:type="dxa"/>
          </w:tcPr>
          <w:p w14:paraId="75470762" w14:textId="77777777" w:rsidR="00FB168E" w:rsidRPr="0023712C" w:rsidRDefault="00FB168E" w:rsidP="00B113A0">
            <w:pPr>
              <w:pStyle w:val="Tabletext"/>
              <w:keepNext/>
              <w:keepLines/>
              <w:spacing w:before="0" w:after="0"/>
              <w:ind w:left="0" w:right="0"/>
            </w:pPr>
            <w:r w:rsidRPr="0023712C">
              <w:t>55</w:t>
            </w:r>
          </w:p>
        </w:tc>
        <w:tc>
          <w:tcPr>
            <w:tcW w:w="777" w:type="dxa"/>
          </w:tcPr>
          <w:p w14:paraId="40F3431F" w14:textId="77777777" w:rsidR="00FB168E" w:rsidRPr="0023712C" w:rsidRDefault="00FB168E" w:rsidP="00B113A0">
            <w:pPr>
              <w:pStyle w:val="Tabletext"/>
              <w:keepNext/>
              <w:keepLines/>
              <w:spacing w:before="0" w:after="0"/>
              <w:ind w:left="0" w:right="0"/>
            </w:pPr>
            <w:r w:rsidRPr="0023712C">
              <w:t>35</w:t>
            </w:r>
          </w:p>
        </w:tc>
        <w:tc>
          <w:tcPr>
            <w:tcW w:w="778" w:type="dxa"/>
          </w:tcPr>
          <w:p w14:paraId="4F62D44D" w14:textId="77777777" w:rsidR="00FB168E" w:rsidRPr="0023712C" w:rsidRDefault="00FB168E" w:rsidP="00B113A0">
            <w:pPr>
              <w:pStyle w:val="Tabletext"/>
              <w:keepNext/>
              <w:keepLines/>
              <w:spacing w:before="0" w:after="0"/>
              <w:ind w:left="0" w:right="0"/>
            </w:pPr>
            <w:r w:rsidRPr="0023712C">
              <w:t>80</w:t>
            </w:r>
          </w:p>
        </w:tc>
      </w:tr>
      <w:tr w:rsidR="00FB168E" w:rsidRPr="0023712C" w14:paraId="21A933A7" w14:textId="77777777" w:rsidTr="00EB5C7C">
        <w:trPr>
          <w:trHeight w:val="464"/>
        </w:trPr>
        <w:tc>
          <w:tcPr>
            <w:tcW w:w="2113" w:type="dxa"/>
          </w:tcPr>
          <w:p w14:paraId="0B4BEBEA" w14:textId="77777777" w:rsidR="00FB168E" w:rsidRPr="008B72F2" w:rsidRDefault="00FB168E" w:rsidP="00B113A0">
            <w:pPr>
              <w:pStyle w:val="Tabletext"/>
              <w:keepNext/>
              <w:keepLines/>
              <w:rPr>
                <w:b/>
              </w:rPr>
            </w:pPr>
            <w:r w:rsidRPr="008B72F2">
              <w:rPr>
                <w:b/>
              </w:rPr>
              <w:t>B2208 (Cushing's)</w:t>
            </w:r>
          </w:p>
        </w:tc>
        <w:tc>
          <w:tcPr>
            <w:tcW w:w="776" w:type="dxa"/>
          </w:tcPr>
          <w:p w14:paraId="7AA6353D" w14:textId="77777777" w:rsidR="00FB168E" w:rsidRPr="0023712C" w:rsidRDefault="00FB168E" w:rsidP="00B113A0">
            <w:pPr>
              <w:pStyle w:val="Tabletext"/>
              <w:keepNext/>
              <w:keepLines/>
              <w:spacing w:before="0" w:after="0"/>
              <w:ind w:left="0" w:right="0"/>
            </w:pPr>
          </w:p>
        </w:tc>
        <w:tc>
          <w:tcPr>
            <w:tcW w:w="777" w:type="dxa"/>
          </w:tcPr>
          <w:p w14:paraId="55555F11" w14:textId="77777777" w:rsidR="00FB168E" w:rsidRPr="0023712C" w:rsidRDefault="00FB168E" w:rsidP="00B113A0">
            <w:pPr>
              <w:pStyle w:val="Tabletext"/>
              <w:keepNext/>
              <w:keepLines/>
              <w:spacing w:before="0" w:after="0"/>
              <w:ind w:left="0" w:right="0"/>
            </w:pPr>
          </w:p>
        </w:tc>
        <w:tc>
          <w:tcPr>
            <w:tcW w:w="777" w:type="dxa"/>
          </w:tcPr>
          <w:p w14:paraId="472CFD65" w14:textId="77777777" w:rsidR="00FB168E" w:rsidRPr="0023712C" w:rsidRDefault="00FB168E" w:rsidP="00B113A0">
            <w:pPr>
              <w:pStyle w:val="Tabletext"/>
              <w:keepNext/>
              <w:keepLines/>
              <w:spacing w:before="0" w:after="0"/>
              <w:ind w:left="0" w:right="0"/>
            </w:pPr>
          </w:p>
        </w:tc>
        <w:tc>
          <w:tcPr>
            <w:tcW w:w="778" w:type="dxa"/>
          </w:tcPr>
          <w:p w14:paraId="2401ECF3" w14:textId="77777777" w:rsidR="00FB168E" w:rsidRPr="0023712C" w:rsidRDefault="00FB168E" w:rsidP="00B113A0">
            <w:pPr>
              <w:pStyle w:val="Tabletext"/>
              <w:keepNext/>
              <w:keepLines/>
              <w:spacing w:before="0" w:after="0"/>
              <w:ind w:left="0" w:right="0"/>
            </w:pPr>
            <w:r>
              <w:t xml:space="preserve">  </w:t>
            </w:r>
            <w:r w:rsidRPr="0023712C">
              <w:t>39</w:t>
            </w:r>
          </w:p>
        </w:tc>
        <w:tc>
          <w:tcPr>
            <w:tcW w:w="777" w:type="dxa"/>
          </w:tcPr>
          <w:p w14:paraId="78EBF746" w14:textId="77777777" w:rsidR="00FB168E" w:rsidRPr="0023712C" w:rsidRDefault="00FB168E" w:rsidP="00B113A0">
            <w:pPr>
              <w:pStyle w:val="Tabletext"/>
              <w:keepNext/>
              <w:keepLines/>
              <w:spacing w:before="0" w:after="0"/>
              <w:ind w:left="0" w:right="0"/>
            </w:pPr>
          </w:p>
        </w:tc>
        <w:tc>
          <w:tcPr>
            <w:tcW w:w="777" w:type="dxa"/>
          </w:tcPr>
          <w:p w14:paraId="0F7A1FD6" w14:textId="77777777" w:rsidR="00FB168E" w:rsidRPr="0023712C" w:rsidRDefault="00FB168E" w:rsidP="00B113A0">
            <w:pPr>
              <w:pStyle w:val="Tabletext"/>
              <w:keepNext/>
              <w:keepLines/>
              <w:spacing w:before="0" w:after="0"/>
              <w:ind w:left="0" w:right="0"/>
            </w:pPr>
          </w:p>
        </w:tc>
        <w:tc>
          <w:tcPr>
            <w:tcW w:w="777" w:type="dxa"/>
          </w:tcPr>
          <w:p w14:paraId="5B23FB54" w14:textId="77777777" w:rsidR="00FB168E" w:rsidRPr="0023712C" w:rsidRDefault="00FB168E" w:rsidP="00B113A0">
            <w:pPr>
              <w:pStyle w:val="Tabletext"/>
              <w:keepNext/>
              <w:keepLines/>
              <w:spacing w:before="0" w:after="0"/>
              <w:ind w:left="0" w:right="0"/>
            </w:pPr>
          </w:p>
        </w:tc>
        <w:tc>
          <w:tcPr>
            <w:tcW w:w="778" w:type="dxa"/>
          </w:tcPr>
          <w:p w14:paraId="0E6DB443" w14:textId="77777777" w:rsidR="00FB168E" w:rsidRPr="0023712C" w:rsidRDefault="00FB168E" w:rsidP="00B113A0">
            <w:pPr>
              <w:pStyle w:val="Tabletext"/>
              <w:keepNext/>
              <w:keepLines/>
              <w:spacing w:before="0" w:after="0"/>
              <w:ind w:left="0" w:right="0"/>
            </w:pPr>
          </w:p>
        </w:tc>
      </w:tr>
      <w:tr w:rsidR="00FB168E" w:rsidRPr="0023712C" w14:paraId="6914D019" w14:textId="77777777" w:rsidTr="00EB5C7C">
        <w:trPr>
          <w:trHeight w:val="464"/>
        </w:trPr>
        <w:tc>
          <w:tcPr>
            <w:tcW w:w="2113" w:type="dxa"/>
          </w:tcPr>
          <w:p w14:paraId="732F41D1" w14:textId="77777777" w:rsidR="00FB168E" w:rsidRPr="008B72F2" w:rsidRDefault="00FB168E" w:rsidP="00B113A0">
            <w:pPr>
              <w:pStyle w:val="Tabletext"/>
              <w:keepNext/>
              <w:keepLines/>
              <w:rPr>
                <w:b/>
              </w:rPr>
            </w:pPr>
            <w:r w:rsidRPr="008B72F2">
              <w:rPr>
                <w:b/>
              </w:rPr>
              <w:t>B2208E1 (Cushing's)</w:t>
            </w:r>
          </w:p>
        </w:tc>
        <w:tc>
          <w:tcPr>
            <w:tcW w:w="776" w:type="dxa"/>
          </w:tcPr>
          <w:p w14:paraId="76FCD8F2" w14:textId="77777777" w:rsidR="00FB168E" w:rsidRPr="0023712C" w:rsidRDefault="00FB168E" w:rsidP="00B113A0">
            <w:pPr>
              <w:pStyle w:val="Tabletext"/>
              <w:keepNext/>
              <w:keepLines/>
              <w:spacing w:before="0" w:after="0"/>
              <w:ind w:left="0" w:right="0"/>
            </w:pPr>
            <w:r>
              <w:t xml:space="preserve">  </w:t>
            </w:r>
            <w:r w:rsidRPr="0023712C">
              <w:t>17</w:t>
            </w:r>
          </w:p>
        </w:tc>
        <w:tc>
          <w:tcPr>
            <w:tcW w:w="777" w:type="dxa"/>
          </w:tcPr>
          <w:p w14:paraId="5D1BBD04" w14:textId="77777777" w:rsidR="00FB168E" w:rsidRPr="0023712C" w:rsidRDefault="00FB168E" w:rsidP="00B113A0">
            <w:pPr>
              <w:pStyle w:val="Tabletext"/>
              <w:keepNext/>
              <w:keepLines/>
              <w:spacing w:before="0" w:after="0"/>
              <w:ind w:left="0" w:right="0"/>
            </w:pPr>
            <w:r>
              <w:t xml:space="preserve">  </w:t>
            </w:r>
            <w:r w:rsidRPr="0023712C">
              <w:t>12</w:t>
            </w:r>
          </w:p>
        </w:tc>
        <w:tc>
          <w:tcPr>
            <w:tcW w:w="777" w:type="dxa"/>
          </w:tcPr>
          <w:p w14:paraId="0C2F1B19" w14:textId="77777777" w:rsidR="00FB168E" w:rsidRPr="0023712C" w:rsidRDefault="00FB168E" w:rsidP="00B113A0">
            <w:pPr>
              <w:pStyle w:val="Tabletext"/>
              <w:keepNext/>
              <w:keepLines/>
              <w:spacing w:before="0" w:after="0"/>
              <w:ind w:left="0" w:right="0"/>
            </w:pPr>
            <w:r>
              <w:t xml:space="preserve">     </w:t>
            </w:r>
            <w:r w:rsidRPr="0023712C">
              <w:t>7</w:t>
            </w:r>
          </w:p>
        </w:tc>
        <w:tc>
          <w:tcPr>
            <w:tcW w:w="778" w:type="dxa"/>
          </w:tcPr>
          <w:p w14:paraId="062F3CFE" w14:textId="77777777" w:rsidR="00FB168E" w:rsidRPr="0023712C" w:rsidRDefault="00FB168E" w:rsidP="00B113A0">
            <w:pPr>
              <w:pStyle w:val="Tabletext"/>
              <w:keepNext/>
              <w:keepLines/>
              <w:spacing w:before="0" w:after="0"/>
              <w:ind w:left="0" w:right="0"/>
            </w:pPr>
            <w:r>
              <w:t xml:space="preserve">  </w:t>
            </w:r>
            <w:r w:rsidRPr="0023712C">
              <w:t>19</w:t>
            </w:r>
          </w:p>
        </w:tc>
        <w:tc>
          <w:tcPr>
            <w:tcW w:w="777" w:type="dxa"/>
          </w:tcPr>
          <w:p w14:paraId="5D438482" w14:textId="77777777" w:rsidR="00FB168E" w:rsidRPr="0023712C" w:rsidRDefault="00FB168E" w:rsidP="00B113A0">
            <w:pPr>
              <w:pStyle w:val="Tabletext"/>
              <w:keepNext/>
              <w:keepLines/>
              <w:spacing w:before="0" w:after="0"/>
              <w:ind w:left="0" w:right="0"/>
            </w:pPr>
          </w:p>
        </w:tc>
        <w:tc>
          <w:tcPr>
            <w:tcW w:w="777" w:type="dxa"/>
          </w:tcPr>
          <w:p w14:paraId="023F5DD3" w14:textId="77777777" w:rsidR="00FB168E" w:rsidRPr="0023712C" w:rsidRDefault="00FB168E" w:rsidP="00B113A0">
            <w:pPr>
              <w:pStyle w:val="Tabletext"/>
              <w:keepNext/>
              <w:keepLines/>
              <w:spacing w:before="0" w:after="0"/>
              <w:ind w:left="0" w:right="0"/>
            </w:pPr>
          </w:p>
        </w:tc>
        <w:tc>
          <w:tcPr>
            <w:tcW w:w="777" w:type="dxa"/>
          </w:tcPr>
          <w:p w14:paraId="53FF1F06" w14:textId="77777777" w:rsidR="00FB168E" w:rsidRPr="0023712C" w:rsidRDefault="00FB168E" w:rsidP="00B113A0">
            <w:pPr>
              <w:pStyle w:val="Tabletext"/>
              <w:keepNext/>
              <w:keepLines/>
              <w:spacing w:before="0" w:after="0"/>
              <w:ind w:left="0" w:right="0"/>
            </w:pPr>
          </w:p>
        </w:tc>
        <w:tc>
          <w:tcPr>
            <w:tcW w:w="778" w:type="dxa"/>
          </w:tcPr>
          <w:p w14:paraId="7D560BEF" w14:textId="77777777" w:rsidR="00FB168E" w:rsidRPr="0023712C" w:rsidRDefault="00FB168E" w:rsidP="00B113A0">
            <w:pPr>
              <w:pStyle w:val="Tabletext"/>
              <w:keepNext/>
              <w:keepLines/>
              <w:spacing w:before="0" w:after="0"/>
              <w:ind w:left="0" w:right="0"/>
            </w:pPr>
          </w:p>
        </w:tc>
      </w:tr>
      <w:tr w:rsidR="00FB168E" w:rsidRPr="0023712C" w14:paraId="2E1A7625" w14:textId="77777777" w:rsidTr="00EB5C7C">
        <w:trPr>
          <w:trHeight w:val="464"/>
        </w:trPr>
        <w:tc>
          <w:tcPr>
            <w:tcW w:w="2113" w:type="dxa"/>
          </w:tcPr>
          <w:p w14:paraId="5E804E15" w14:textId="77777777" w:rsidR="00FB168E" w:rsidRPr="008B72F2" w:rsidRDefault="00FB168E" w:rsidP="00B113A0">
            <w:pPr>
              <w:pStyle w:val="Tabletext"/>
              <w:keepNext/>
              <w:keepLines/>
              <w:rPr>
                <w:b/>
              </w:rPr>
            </w:pPr>
            <w:r w:rsidRPr="008B72F2">
              <w:rPr>
                <w:b/>
              </w:rPr>
              <w:t>B2201 (acromegaly)**</w:t>
            </w:r>
          </w:p>
        </w:tc>
        <w:tc>
          <w:tcPr>
            <w:tcW w:w="776" w:type="dxa"/>
          </w:tcPr>
          <w:p w14:paraId="7B407742" w14:textId="77777777" w:rsidR="00FB168E" w:rsidRPr="0023712C" w:rsidRDefault="00FB168E" w:rsidP="00B113A0">
            <w:pPr>
              <w:pStyle w:val="Tabletext"/>
              <w:keepNext/>
              <w:keepLines/>
              <w:spacing w:before="0" w:after="0"/>
              <w:ind w:left="0" w:right="0"/>
            </w:pPr>
          </w:p>
        </w:tc>
        <w:tc>
          <w:tcPr>
            <w:tcW w:w="777" w:type="dxa"/>
          </w:tcPr>
          <w:p w14:paraId="732C13F0" w14:textId="77777777" w:rsidR="00FB168E" w:rsidRPr="0023712C" w:rsidRDefault="00FB168E" w:rsidP="00B113A0">
            <w:pPr>
              <w:pStyle w:val="Tabletext"/>
              <w:keepNext/>
              <w:keepLines/>
              <w:spacing w:before="0" w:after="0"/>
              <w:ind w:left="0" w:right="0"/>
            </w:pPr>
          </w:p>
        </w:tc>
        <w:tc>
          <w:tcPr>
            <w:tcW w:w="777" w:type="dxa"/>
          </w:tcPr>
          <w:p w14:paraId="7D05CCDA" w14:textId="77777777" w:rsidR="00FB168E" w:rsidRPr="0023712C" w:rsidRDefault="00FB168E" w:rsidP="00B113A0">
            <w:pPr>
              <w:pStyle w:val="Tabletext"/>
              <w:keepNext/>
              <w:keepLines/>
              <w:spacing w:before="0" w:after="0"/>
              <w:ind w:left="0" w:right="0"/>
            </w:pPr>
          </w:p>
        </w:tc>
        <w:tc>
          <w:tcPr>
            <w:tcW w:w="778" w:type="dxa"/>
          </w:tcPr>
          <w:p w14:paraId="6290D256" w14:textId="77777777" w:rsidR="00FB168E" w:rsidRPr="0023712C" w:rsidRDefault="00FB168E" w:rsidP="00B113A0">
            <w:pPr>
              <w:pStyle w:val="Tabletext"/>
              <w:keepNext/>
              <w:keepLines/>
              <w:spacing w:before="0" w:after="0"/>
              <w:ind w:left="0" w:right="0"/>
            </w:pPr>
            <w:r>
              <w:t xml:space="preserve">  </w:t>
            </w:r>
            <w:r w:rsidRPr="0023712C">
              <w:t>62</w:t>
            </w:r>
          </w:p>
        </w:tc>
        <w:tc>
          <w:tcPr>
            <w:tcW w:w="777" w:type="dxa"/>
          </w:tcPr>
          <w:p w14:paraId="68E212EB" w14:textId="77777777" w:rsidR="00FB168E" w:rsidRPr="0023712C" w:rsidRDefault="00FB168E" w:rsidP="00B113A0">
            <w:pPr>
              <w:pStyle w:val="Tabletext"/>
              <w:keepNext/>
              <w:keepLines/>
              <w:spacing w:before="0" w:after="0"/>
              <w:ind w:left="0" w:right="0"/>
            </w:pPr>
          </w:p>
        </w:tc>
        <w:tc>
          <w:tcPr>
            <w:tcW w:w="777" w:type="dxa"/>
          </w:tcPr>
          <w:p w14:paraId="43FCADDE" w14:textId="77777777" w:rsidR="00FB168E" w:rsidRPr="0023712C" w:rsidRDefault="00FB168E" w:rsidP="00B113A0">
            <w:pPr>
              <w:pStyle w:val="Tabletext"/>
              <w:keepNext/>
              <w:keepLines/>
              <w:spacing w:before="0" w:after="0"/>
              <w:ind w:left="0" w:right="0"/>
            </w:pPr>
          </w:p>
        </w:tc>
        <w:tc>
          <w:tcPr>
            <w:tcW w:w="777" w:type="dxa"/>
          </w:tcPr>
          <w:p w14:paraId="4FA6F816" w14:textId="77777777" w:rsidR="00FB168E" w:rsidRPr="0023712C" w:rsidRDefault="00FB168E" w:rsidP="00B113A0">
            <w:pPr>
              <w:pStyle w:val="Tabletext"/>
              <w:keepNext/>
              <w:keepLines/>
              <w:spacing w:before="0" w:after="0"/>
              <w:ind w:left="0" w:right="0"/>
            </w:pPr>
          </w:p>
        </w:tc>
        <w:tc>
          <w:tcPr>
            <w:tcW w:w="778" w:type="dxa"/>
          </w:tcPr>
          <w:p w14:paraId="5388470C" w14:textId="77777777" w:rsidR="00FB168E" w:rsidRPr="0023712C" w:rsidRDefault="00FB168E" w:rsidP="00B113A0">
            <w:pPr>
              <w:pStyle w:val="Tabletext"/>
              <w:keepNext/>
              <w:keepLines/>
              <w:spacing w:before="0" w:after="0"/>
              <w:ind w:left="0" w:right="0"/>
            </w:pPr>
          </w:p>
        </w:tc>
      </w:tr>
      <w:tr w:rsidR="00FB168E" w:rsidRPr="0023712C" w14:paraId="6403D760" w14:textId="77777777" w:rsidTr="00EB5C7C">
        <w:trPr>
          <w:trHeight w:val="464"/>
        </w:trPr>
        <w:tc>
          <w:tcPr>
            <w:tcW w:w="2113" w:type="dxa"/>
          </w:tcPr>
          <w:p w14:paraId="48333AAA" w14:textId="77777777" w:rsidR="00FB168E" w:rsidRPr="008B72F2" w:rsidRDefault="00FB168E" w:rsidP="00B113A0">
            <w:pPr>
              <w:pStyle w:val="Tabletext"/>
              <w:keepNext/>
              <w:keepLines/>
              <w:rPr>
                <w:b/>
              </w:rPr>
            </w:pPr>
            <w:r w:rsidRPr="008B72F2">
              <w:rPr>
                <w:b/>
              </w:rPr>
              <w:t>B2201E1 (acromegaly)</w:t>
            </w:r>
          </w:p>
        </w:tc>
        <w:tc>
          <w:tcPr>
            <w:tcW w:w="776" w:type="dxa"/>
          </w:tcPr>
          <w:p w14:paraId="705E61B3" w14:textId="77777777" w:rsidR="00FB168E" w:rsidRPr="0023712C" w:rsidRDefault="00FB168E" w:rsidP="00B113A0">
            <w:pPr>
              <w:pStyle w:val="Tabletext"/>
              <w:keepNext/>
              <w:keepLines/>
              <w:spacing w:before="0" w:after="0"/>
              <w:ind w:left="0" w:right="0"/>
            </w:pPr>
            <w:r>
              <w:t xml:space="preserve">  </w:t>
            </w:r>
            <w:r w:rsidRPr="0023712C">
              <w:t>30</w:t>
            </w:r>
          </w:p>
        </w:tc>
        <w:tc>
          <w:tcPr>
            <w:tcW w:w="777" w:type="dxa"/>
          </w:tcPr>
          <w:p w14:paraId="6FD6F6FA" w14:textId="77777777" w:rsidR="00FB168E" w:rsidRPr="0023712C" w:rsidRDefault="00FB168E" w:rsidP="00B113A0">
            <w:pPr>
              <w:pStyle w:val="Tabletext"/>
              <w:keepNext/>
              <w:keepLines/>
              <w:spacing w:before="0" w:after="0"/>
              <w:ind w:left="0" w:right="0"/>
            </w:pPr>
            <w:r>
              <w:t xml:space="preserve">  </w:t>
            </w:r>
            <w:r w:rsidRPr="0023712C">
              <w:t>28</w:t>
            </w:r>
          </w:p>
        </w:tc>
        <w:tc>
          <w:tcPr>
            <w:tcW w:w="777" w:type="dxa"/>
          </w:tcPr>
          <w:p w14:paraId="24CDC4D7" w14:textId="77777777" w:rsidR="00FB168E" w:rsidRPr="0023712C" w:rsidRDefault="00FB168E" w:rsidP="00B113A0">
            <w:pPr>
              <w:pStyle w:val="Tabletext"/>
              <w:keepNext/>
              <w:keepLines/>
              <w:spacing w:before="0" w:after="0"/>
              <w:ind w:left="0" w:right="0"/>
            </w:pPr>
            <w:r>
              <w:t xml:space="preserve">  </w:t>
            </w:r>
            <w:r w:rsidRPr="0023712C">
              <w:t>23</w:t>
            </w:r>
          </w:p>
        </w:tc>
        <w:tc>
          <w:tcPr>
            <w:tcW w:w="778" w:type="dxa"/>
          </w:tcPr>
          <w:p w14:paraId="050534DD" w14:textId="77777777" w:rsidR="00FB168E" w:rsidRPr="0023712C" w:rsidRDefault="00FB168E" w:rsidP="00B113A0">
            <w:pPr>
              <w:pStyle w:val="Tabletext"/>
              <w:keepNext/>
              <w:keepLines/>
              <w:spacing w:before="0" w:after="0"/>
              <w:ind w:left="0" w:right="0"/>
            </w:pPr>
            <w:r>
              <w:t xml:space="preserve">  </w:t>
            </w:r>
            <w:r w:rsidRPr="0023712C">
              <w:t>30</w:t>
            </w:r>
          </w:p>
        </w:tc>
        <w:tc>
          <w:tcPr>
            <w:tcW w:w="777" w:type="dxa"/>
          </w:tcPr>
          <w:p w14:paraId="33C9C413" w14:textId="77777777" w:rsidR="00FB168E" w:rsidRPr="0023712C" w:rsidRDefault="00FB168E" w:rsidP="00B113A0">
            <w:pPr>
              <w:pStyle w:val="Tabletext"/>
              <w:keepNext/>
              <w:keepLines/>
              <w:spacing w:before="0" w:after="0"/>
              <w:ind w:left="0" w:right="0"/>
            </w:pPr>
          </w:p>
        </w:tc>
        <w:tc>
          <w:tcPr>
            <w:tcW w:w="777" w:type="dxa"/>
          </w:tcPr>
          <w:p w14:paraId="5E73D2CF" w14:textId="77777777" w:rsidR="00FB168E" w:rsidRPr="0023712C" w:rsidRDefault="00FB168E" w:rsidP="00B113A0">
            <w:pPr>
              <w:pStyle w:val="Tabletext"/>
              <w:keepNext/>
              <w:keepLines/>
              <w:spacing w:before="0" w:after="0"/>
              <w:ind w:left="0" w:right="0"/>
            </w:pPr>
          </w:p>
        </w:tc>
        <w:tc>
          <w:tcPr>
            <w:tcW w:w="777" w:type="dxa"/>
          </w:tcPr>
          <w:p w14:paraId="1C6B3B19" w14:textId="77777777" w:rsidR="00FB168E" w:rsidRPr="0023712C" w:rsidRDefault="00FB168E" w:rsidP="00B113A0">
            <w:pPr>
              <w:pStyle w:val="Tabletext"/>
              <w:keepNext/>
              <w:keepLines/>
              <w:spacing w:before="0" w:after="0"/>
              <w:ind w:left="0" w:right="0"/>
            </w:pPr>
          </w:p>
        </w:tc>
        <w:tc>
          <w:tcPr>
            <w:tcW w:w="778" w:type="dxa"/>
          </w:tcPr>
          <w:p w14:paraId="58C6F723" w14:textId="77777777" w:rsidR="00FB168E" w:rsidRPr="0023712C" w:rsidRDefault="00FB168E" w:rsidP="00B113A0">
            <w:pPr>
              <w:pStyle w:val="Tabletext"/>
              <w:keepNext/>
              <w:keepLines/>
              <w:spacing w:before="0" w:after="0"/>
              <w:ind w:left="0" w:right="0"/>
            </w:pPr>
          </w:p>
        </w:tc>
      </w:tr>
      <w:tr w:rsidR="00FB168E" w:rsidRPr="0023712C" w14:paraId="53D847B7" w14:textId="77777777" w:rsidTr="00EB5C7C">
        <w:trPr>
          <w:trHeight w:val="464"/>
        </w:trPr>
        <w:tc>
          <w:tcPr>
            <w:tcW w:w="2113" w:type="dxa"/>
          </w:tcPr>
          <w:p w14:paraId="026A59AB" w14:textId="77777777" w:rsidR="00FB168E" w:rsidRPr="008B72F2" w:rsidRDefault="00FB168E" w:rsidP="00B113A0">
            <w:pPr>
              <w:pStyle w:val="Tabletext"/>
              <w:keepNext/>
              <w:keepLines/>
              <w:rPr>
                <w:b/>
              </w:rPr>
            </w:pPr>
            <w:r w:rsidRPr="008B72F2">
              <w:rPr>
                <w:b/>
              </w:rPr>
              <w:t>B2202 (carcinoid)</w:t>
            </w:r>
          </w:p>
        </w:tc>
        <w:tc>
          <w:tcPr>
            <w:tcW w:w="776" w:type="dxa"/>
          </w:tcPr>
          <w:p w14:paraId="44FE95CA" w14:textId="77777777" w:rsidR="00FB168E" w:rsidRPr="0023712C" w:rsidRDefault="00FB168E" w:rsidP="00B113A0">
            <w:pPr>
              <w:pStyle w:val="Tabletext"/>
              <w:keepNext/>
              <w:keepLines/>
              <w:spacing w:before="0" w:after="0"/>
              <w:ind w:left="0" w:right="0"/>
            </w:pPr>
            <w:r>
              <w:t xml:space="preserve">  </w:t>
            </w:r>
            <w:r w:rsidRPr="0023712C">
              <w:t>22</w:t>
            </w:r>
          </w:p>
        </w:tc>
        <w:tc>
          <w:tcPr>
            <w:tcW w:w="777" w:type="dxa"/>
          </w:tcPr>
          <w:p w14:paraId="75C547B7" w14:textId="77777777" w:rsidR="00FB168E" w:rsidRPr="0023712C" w:rsidRDefault="00FB168E" w:rsidP="00B113A0">
            <w:pPr>
              <w:pStyle w:val="Tabletext"/>
              <w:keepNext/>
              <w:keepLines/>
              <w:spacing w:before="0" w:after="0"/>
              <w:ind w:left="0" w:right="0"/>
            </w:pPr>
            <w:r>
              <w:t xml:space="preserve">  1</w:t>
            </w:r>
            <w:r w:rsidRPr="0023712C">
              <w:t>5</w:t>
            </w:r>
          </w:p>
        </w:tc>
        <w:tc>
          <w:tcPr>
            <w:tcW w:w="777" w:type="dxa"/>
          </w:tcPr>
          <w:p w14:paraId="2C5D2673" w14:textId="77777777" w:rsidR="00FB168E" w:rsidRPr="0023712C" w:rsidRDefault="00FB168E" w:rsidP="00B113A0">
            <w:pPr>
              <w:pStyle w:val="Tabletext"/>
              <w:keepNext/>
              <w:keepLines/>
              <w:spacing w:before="0" w:after="0"/>
              <w:ind w:left="0" w:right="0"/>
            </w:pPr>
            <w:r>
              <w:t xml:space="preserve">     </w:t>
            </w:r>
            <w:r w:rsidRPr="0023712C">
              <w:t>7</w:t>
            </w:r>
          </w:p>
        </w:tc>
        <w:tc>
          <w:tcPr>
            <w:tcW w:w="778" w:type="dxa"/>
          </w:tcPr>
          <w:p w14:paraId="0C98E412" w14:textId="77777777" w:rsidR="00FB168E" w:rsidRPr="0023712C" w:rsidRDefault="00FB168E" w:rsidP="00B113A0">
            <w:pPr>
              <w:pStyle w:val="Tabletext"/>
              <w:keepNext/>
              <w:keepLines/>
              <w:spacing w:before="0" w:after="0"/>
              <w:ind w:left="0" w:right="0"/>
            </w:pPr>
            <w:r>
              <w:t xml:space="preserve">  </w:t>
            </w:r>
            <w:r w:rsidRPr="0023712C">
              <w:t>45</w:t>
            </w:r>
          </w:p>
        </w:tc>
        <w:tc>
          <w:tcPr>
            <w:tcW w:w="777" w:type="dxa"/>
          </w:tcPr>
          <w:p w14:paraId="6072354B" w14:textId="77777777" w:rsidR="00FB168E" w:rsidRPr="0023712C" w:rsidRDefault="00FB168E" w:rsidP="00B113A0">
            <w:pPr>
              <w:pStyle w:val="Tabletext"/>
              <w:keepNext/>
              <w:keepLines/>
              <w:spacing w:before="0" w:after="0"/>
              <w:ind w:left="0" w:right="0"/>
            </w:pPr>
          </w:p>
        </w:tc>
        <w:tc>
          <w:tcPr>
            <w:tcW w:w="777" w:type="dxa"/>
          </w:tcPr>
          <w:p w14:paraId="18736546" w14:textId="77777777" w:rsidR="00FB168E" w:rsidRPr="0023712C" w:rsidRDefault="00FB168E" w:rsidP="00B113A0">
            <w:pPr>
              <w:pStyle w:val="Tabletext"/>
              <w:keepNext/>
              <w:keepLines/>
              <w:spacing w:before="0" w:after="0"/>
              <w:ind w:left="0" w:right="0"/>
            </w:pPr>
          </w:p>
        </w:tc>
        <w:tc>
          <w:tcPr>
            <w:tcW w:w="777" w:type="dxa"/>
          </w:tcPr>
          <w:p w14:paraId="1E00FEE8" w14:textId="77777777" w:rsidR="00FB168E" w:rsidRPr="0023712C" w:rsidRDefault="00FB168E" w:rsidP="00B113A0">
            <w:pPr>
              <w:pStyle w:val="Tabletext"/>
              <w:keepNext/>
              <w:keepLines/>
              <w:spacing w:before="0" w:after="0"/>
              <w:ind w:left="0" w:right="0"/>
            </w:pPr>
          </w:p>
        </w:tc>
        <w:tc>
          <w:tcPr>
            <w:tcW w:w="778" w:type="dxa"/>
          </w:tcPr>
          <w:p w14:paraId="273FC0E8" w14:textId="77777777" w:rsidR="00FB168E" w:rsidRPr="0023712C" w:rsidRDefault="00FB168E" w:rsidP="00B113A0">
            <w:pPr>
              <w:pStyle w:val="Tabletext"/>
              <w:keepNext/>
              <w:keepLines/>
              <w:spacing w:before="0" w:after="0"/>
              <w:ind w:left="0" w:right="0"/>
            </w:pPr>
          </w:p>
        </w:tc>
      </w:tr>
      <w:tr w:rsidR="00FB168E" w:rsidRPr="0023712C" w14:paraId="3BC9F1A7" w14:textId="77777777" w:rsidTr="00EB5C7C">
        <w:trPr>
          <w:trHeight w:val="478"/>
        </w:trPr>
        <w:tc>
          <w:tcPr>
            <w:tcW w:w="2113" w:type="dxa"/>
          </w:tcPr>
          <w:p w14:paraId="2B44239B" w14:textId="77777777" w:rsidR="00FB168E" w:rsidRPr="008B72F2" w:rsidRDefault="00FB168E" w:rsidP="00B113A0">
            <w:pPr>
              <w:pStyle w:val="Tabletext"/>
              <w:keepNext/>
              <w:keepLines/>
              <w:rPr>
                <w:b/>
              </w:rPr>
            </w:pPr>
            <w:r w:rsidRPr="008B72F2">
              <w:rPr>
                <w:b/>
              </w:rPr>
              <w:t>TOTAL</w:t>
            </w:r>
          </w:p>
        </w:tc>
        <w:tc>
          <w:tcPr>
            <w:tcW w:w="776" w:type="dxa"/>
          </w:tcPr>
          <w:p w14:paraId="7016A8E7" w14:textId="77777777" w:rsidR="00FB168E" w:rsidRPr="008B72F2" w:rsidRDefault="00FB168E" w:rsidP="00B113A0">
            <w:pPr>
              <w:pStyle w:val="Tabletext"/>
              <w:keepNext/>
              <w:keepLines/>
              <w:spacing w:before="0" w:after="0"/>
              <w:ind w:left="0" w:right="0"/>
              <w:rPr>
                <w:b/>
              </w:rPr>
            </w:pPr>
            <w:r w:rsidRPr="008B72F2">
              <w:rPr>
                <w:b/>
              </w:rPr>
              <w:t>201</w:t>
            </w:r>
          </w:p>
        </w:tc>
        <w:tc>
          <w:tcPr>
            <w:tcW w:w="777" w:type="dxa"/>
          </w:tcPr>
          <w:p w14:paraId="305A9D94" w14:textId="77777777" w:rsidR="00FB168E" w:rsidRPr="008B72F2" w:rsidRDefault="00FB168E" w:rsidP="00B113A0">
            <w:pPr>
              <w:pStyle w:val="Tabletext"/>
              <w:keepNext/>
              <w:keepLines/>
              <w:spacing w:before="0" w:after="0"/>
              <w:ind w:left="0" w:right="0"/>
              <w:rPr>
                <w:b/>
              </w:rPr>
            </w:pPr>
            <w:r w:rsidRPr="008B72F2">
              <w:rPr>
                <w:b/>
              </w:rPr>
              <w:t>165</w:t>
            </w:r>
          </w:p>
        </w:tc>
        <w:tc>
          <w:tcPr>
            <w:tcW w:w="777" w:type="dxa"/>
          </w:tcPr>
          <w:p w14:paraId="1F5C13C1" w14:textId="77777777" w:rsidR="00FB168E" w:rsidRPr="008B72F2" w:rsidRDefault="00FB168E" w:rsidP="00B113A0">
            <w:pPr>
              <w:pStyle w:val="Tabletext"/>
              <w:keepNext/>
              <w:keepLines/>
              <w:spacing w:before="0" w:after="0"/>
              <w:ind w:left="0" w:right="0"/>
              <w:rPr>
                <w:b/>
              </w:rPr>
            </w:pPr>
            <w:r w:rsidRPr="008B72F2">
              <w:rPr>
                <w:b/>
              </w:rPr>
              <w:t>100</w:t>
            </w:r>
          </w:p>
        </w:tc>
        <w:tc>
          <w:tcPr>
            <w:tcW w:w="778" w:type="dxa"/>
          </w:tcPr>
          <w:p w14:paraId="2A6E968D" w14:textId="77777777" w:rsidR="00FB168E" w:rsidRPr="008B72F2" w:rsidRDefault="00FB168E" w:rsidP="00B113A0">
            <w:pPr>
              <w:pStyle w:val="Tabletext"/>
              <w:keepNext/>
              <w:keepLines/>
              <w:spacing w:before="0" w:after="0"/>
              <w:ind w:left="0" w:right="0"/>
              <w:rPr>
                <w:b/>
              </w:rPr>
            </w:pPr>
            <w:r w:rsidRPr="008B72F2">
              <w:rPr>
                <w:b/>
              </w:rPr>
              <w:t>357</w:t>
            </w:r>
          </w:p>
        </w:tc>
        <w:tc>
          <w:tcPr>
            <w:tcW w:w="777" w:type="dxa"/>
          </w:tcPr>
          <w:p w14:paraId="6F9264FA" w14:textId="77777777" w:rsidR="00FB168E" w:rsidRPr="008B72F2" w:rsidRDefault="00FB168E" w:rsidP="00B113A0">
            <w:pPr>
              <w:pStyle w:val="Tabletext"/>
              <w:keepNext/>
              <w:keepLines/>
              <w:spacing w:before="0" w:after="0"/>
              <w:ind w:left="0" w:right="0"/>
              <w:rPr>
                <w:b/>
              </w:rPr>
            </w:pPr>
            <w:r w:rsidRPr="008B72F2">
              <w:rPr>
                <w:b/>
              </w:rPr>
              <w:t>64</w:t>
            </w:r>
          </w:p>
        </w:tc>
        <w:tc>
          <w:tcPr>
            <w:tcW w:w="777" w:type="dxa"/>
          </w:tcPr>
          <w:p w14:paraId="5E38CF24" w14:textId="77777777" w:rsidR="00FB168E" w:rsidRPr="008B72F2" w:rsidRDefault="00FB168E" w:rsidP="00B113A0">
            <w:pPr>
              <w:pStyle w:val="Tabletext"/>
              <w:keepNext/>
              <w:keepLines/>
              <w:spacing w:before="0" w:after="0"/>
              <w:ind w:left="0" w:right="0"/>
              <w:rPr>
                <w:b/>
              </w:rPr>
            </w:pPr>
            <w:r w:rsidRPr="008B72F2">
              <w:rPr>
                <w:b/>
              </w:rPr>
              <w:t>55</w:t>
            </w:r>
          </w:p>
        </w:tc>
        <w:tc>
          <w:tcPr>
            <w:tcW w:w="777" w:type="dxa"/>
          </w:tcPr>
          <w:p w14:paraId="446F8FE3" w14:textId="77777777" w:rsidR="00FB168E" w:rsidRPr="008B72F2" w:rsidRDefault="00FB168E" w:rsidP="00B113A0">
            <w:pPr>
              <w:pStyle w:val="Tabletext"/>
              <w:keepNext/>
              <w:keepLines/>
              <w:spacing w:before="0" w:after="0"/>
              <w:ind w:left="0" w:right="0"/>
              <w:rPr>
                <w:b/>
              </w:rPr>
            </w:pPr>
            <w:r w:rsidRPr="008B72F2">
              <w:rPr>
                <w:b/>
              </w:rPr>
              <w:t>35</w:t>
            </w:r>
          </w:p>
        </w:tc>
        <w:tc>
          <w:tcPr>
            <w:tcW w:w="778" w:type="dxa"/>
          </w:tcPr>
          <w:p w14:paraId="06EFE251" w14:textId="77777777" w:rsidR="00FB168E" w:rsidRPr="008B72F2" w:rsidRDefault="00FB168E" w:rsidP="00B113A0">
            <w:pPr>
              <w:pStyle w:val="Tabletext"/>
              <w:keepNext/>
              <w:keepLines/>
              <w:spacing w:before="0" w:after="0"/>
              <w:ind w:left="0" w:right="0"/>
              <w:rPr>
                <w:b/>
              </w:rPr>
            </w:pPr>
            <w:r w:rsidRPr="008B72F2">
              <w:rPr>
                <w:b/>
              </w:rPr>
              <w:t>80</w:t>
            </w:r>
          </w:p>
        </w:tc>
      </w:tr>
    </w:tbl>
    <w:p w14:paraId="4D485E4C" w14:textId="77777777" w:rsidR="00FB168E" w:rsidRPr="008B72F2" w:rsidRDefault="00FB168E" w:rsidP="00FB168E">
      <w:pPr>
        <w:pStyle w:val="Tabletext"/>
        <w:keepNext/>
        <w:keepLines/>
        <w:spacing w:before="0" w:after="0"/>
      </w:pPr>
      <w:r w:rsidRPr="008B72F2">
        <w:t>*The amount by which this figure exceeds the 3 month figure indicates patients treated for &lt;3 months; if all columns to the left are blank, then all were treated for &lt;3 months.</w:t>
      </w:r>
    </w:p>
    <w:p w14:paraId="6C566026" w14:textId="77777777" w:rsidR="00FB168E" w:rsidRPr="008B72F2" w:rsidRDefault="00FB168E" w:rsidP="00FB168E">
      <w:pPr>
        <w:pStyle w:val="Tabletext"/>
        <w:keepNext/>
        <w:keepLines/>
        <w:spacing w:before="0" w:after="0"/>
      </w:pPr>
      <w:r w:rsidRPr="008B72F2">
        <w:t xml:space="preserve">**Includes 400 µg </w:t>
      </w:r>
      <w:r w:rsidR="0009268D">
        <w:t>BD</w:t>
      </w:r>
      <w:r w:rsidRPr="008B72F2">
        <w:t xml:space="preserve"> and 600 µg </w:t>
      </w:r>
      <w:r w:rsidR="0009268D">
        <w:t>BD</w:t>
      </w:r>
      <w:r w:rsidRPr="008B72F2">
        <w:t xml:space="preserve"> dosage groups.</w:t>
      </w:r>
    </w:p>
    <w:p w14:paraId="48B38A24" w14:textId="77777777" w:rsidR="00FB168E" w:rsidRPr="008B72F2" w:rsidRDefault="00FB168E" w:rsidP="00FB168E">
      <w:pPr>
        <w:pStyle w:val="Tabletext"/>
        <w:keepNext/>
        <w:keepLines/>
        <w:spacing w:before="0" w:after="0"/>
      </w:pPr>
      <w:r w:rsidRPr="008B72F2">
        <w:t>***A small number of patients included in the proposed dose range section of this table had doses of 1800 µg total daily for periods of their treatment but would not contribute significantly to the totals in this section.</w:t>
      </w:r>
    </w:p>
    <w:p w14:paraId="2AC75621" w14:textId="77777777" w:rsidR="00CC7DBB" w:rsidRPr="0023712C" w:rsidRDefault="00CC7DBB" w:rsidP="00B113A0">
      <w:pPr>
        <w:pStyle w:val="Heading5"/>
      </w:pPr>
      <w:bookmarkStart w:id="173" w:name="_Toc241374320"/>
      <w:bookmarkStart w:id="174" w:name="_Ref272333507"/>
      <w:bookmarkStart w:id="175" w:name="_Toc272414666"/>
      <w:bookmarkStart w:id="176" w:name="_Toc290846304"/>
      <w:bookmarkStart w:id="177" w:name="_Toc350352138"/>
      <w:bookmarkStart w:id="178" w:name="_Toc241374328"/>
      <w:bookmarkStart w:id="179" w:name="_Toc272414691"/>
      <w:bookmarkStart w:id="180" w:name="_Toc290846329"/>
      <w:bookmarkStart w:id="181" w:name="_Toc350352161"/>
      <w:bookmarkStart w:id="182" w:name="_Toc381199085"/>
      <w:r w:rsidRPr="0023712C">
        <w:t>Deaths and other serious adverse events</w:t>
      </w:r>
      <w:bookmarkEnd w:id="173"/>
      <w:bookmarkEnd w:id="174"/>
      <w:bookmarkEnd w:id="175"/>
      <w:bookmarkEnd w:id="176"/>
      <w:bookmarkEnd w:id="177"/>
    </w:p>
    <w:p w14:paraId="3C3FFBAB" w14:textId="77777777" w:rsidR="00CC7DBB" w:rsidRPr="007E68D3" w:rsidRDefault="00CC7DBB" w:rsidP="007E68D3">
      <w:pPr>
        <w:pStyle w:val="Heading6"/>
        <w:rPr>
          <w:b/>
          <w:i w:val="0"/>
        </w:rPr>
      </w:pPr>
      <w:r w:rsidRPr="007E68D3">
        <w:rPr>
          <w:b/>
          <w:i w:val="0"/>
        </w:rPr>
        <w:t>Pivotal study:</w:t>
      </w:r>
    </w:p>
    <w:p w14:paraId="7DA69420" w14:textId="77777777" w:rsidR="00CC7DBB" w:rsidRPr="006548A9" w:rsidRDefault="00CC7DBB" w:rsidP="00CC7DBB">
      <w:r w:rsidRPr="006548A9">
        <w:t>Amongst the recruited patients, two deaths occurred, one during the screening period prior to any administration of study drug and the other two months following study completion, due to surgical complications following adrenalectomy.</w:t>
      </w:r>
    </w:p>
    <w:p w14:paraId="7A8D9AFD" w14:textId="77777777" w:rsidR="00CC7DBB" w:rsidRPr="006548A9" w:rsidRDefault="00CC7DBB" w:rsidP="00CC7DBB">
      <w:pPr>
        <w:ind w:left="1440" w:hanging="1440"/>
      </w:pPr>
      <w:r w:rsidRPr="006548A9">
        <w:rPr>
          <w:b/>
        </w:rPr>
        <w:t>Comment</w:t>
      </w:r>
      <w:r w:rsidRPr="006548A9">
        <w:t xml:space="preserve">: </w:t>
      </w:r>
      <w:r>
        <w:tab/>
        <w:t>N</w:t>
      </w:r>
      <w:r w:rsidRPr="006548A9">
        <w:t xml:space="preserve">either of these deaths is related to study drug, but the second is a vivid illustration of the difficulties which management of pituitary Cushing's disease can present. </w:t>
      </w:r>
      <w:r>
        <w:t>The patient</w:t>
      </w:r>
      <w:r w:rsidRPr="006548A9">
        <w:t xml:space="preserve"> was aged 47, had failed pituitary surgery, started pasireotide but then developed worsening diabetes so was discontinued from the study and was referred for adrenal surgery with an eventually fatal outcome. </w:t>
      </w:r>
      <w:r>
        <w:t xml:space="preserve">The clinical evaluator </w:t>
      </w:r>
      <w:r w:rsidRPr="006548A9">
        <w:t>mention</w:t>
      </w:r>
      <w:r>
        <w:t>ed</w:t>
      </w:r>
      <w:r w:rsidRPr="006548A9">
        <w:t xml:space="preserve"> this case because it illustrates the level of need for an effective medical treatment, and therefore the level of risk which might be tolerable in achieving such.</w:t>
      </w:r>
    </w:p>
    <w:p w14:paraId="257FD66B" w14:textId="77777777" w:rsidR="00CC7DBB" w:rsidRDefault="00B41C0F" w:rsidP="00CC7DBB">
      <w:r>
        <w:t>SAEs</w:t>
      </w:r>
      <w:r w:rsidR="00CC7DBB" w:rsidRPr="006548A9">
        <w:t xml:space="preserve"> were reported overall in 24.7% of patients, with no significant differential between the dosage groups. The pattern of events was similar to that for AE</w:t>
      </w:r>
      <w:r w:rsidR="00AF1E41">
        <w:t>s</w:t>
      </w:r>
      <w:r w:rsidR="00CC7DBB" w:rsidRPr="006548A9">
        <w:t xml:space="preserve"> generally with the addition of some instances of "pituitary dependent Cushing's syndrome" and "pituitary tumour benign", clearly related to the underlying disease. Otherwise the most common events are related to blood glucose or gallstone disease. There is no suggestion of any safety issues other than those already recognised.</w:t>
      </w:r>
    </w:p>
    <w:p w14:paraId="3451A01D" w14:textId="77777777" w:rsidR="00CC7DBB" w:rsidRPr="007E68D3" w:rsidRDefault="00CC7DBB" w:rsidP="007E68D3">
      <w:pPr>
        <w:pStyle w:val="Heading6"/>
        <w:rPr>
          <w:b/>
          <w:i w:val="0"/>
        </w:rPr>
      </w:pPr>
      <w:r w:rsidRPr="007E68D3">
        <w:rPr>
          <w:b/>
          <w:i w:val="0"/>
        </w:rPr>
        <w:lastRenderedPageBreak/>
        <w:t>Other studies:</w:t>
      </w:r>
    </w:p>
    <w:p w14:paraId="3A7838D3" w14:textId="77777777" w:rsidR="00CC7DBB" w:rsidRPr="008C5846" w:rsidRDefault="00CC7DBB" w:rsidP="00CC7DBB">
      <w:r w:rsidRPr="008C5846">
        <w:t>The only death reported in the remainder of the safety database was that of a single patient in the carcinoid dataset, related to tumour progression.</w:t>
      </w:r>
    </w:p>
    <w:p w14:paraId="3128CAA6" w14:textId="77777777" w:rsidR="00CC7DBB" w:rsidRPr="008C5846" w:rsidRDefault="00B41C0F" w:rsidP="00CC7DBB">
      <w:r>
        <w:t>SAEs</w:t>
      </w:r>
      <w:r w:rsidR="00CC7DBB" w:rsidRPr="008C5846">
        <w:t xml:space="preserve"> in the remaining studies were reported in 20-30% of the study populations and most commonly consisted of hyperglycaemia related events, or other AE</w:t>
      </w:r>
      <w:r w:rsidR="00AF1E41">
        <w:t>s</w:t>
      </w:r>
      <w:r w:rsidR="00CC7DBB" w:rsidRPr="008C5846">
        <w:t xml:space="preserve"> of known special interest related to the study medication, or incidental disorders such as acute myocardial infarction or pregnancy.</w:t>
      </w:r>
    </w:p>
    <w:p w14:paraId="04F30D89" w14:textId="77777777" w:rsidR="00CC7DBB" w:rsidRPr="0023712C" w:rsidRDefault="00CC7DBB" w:rsidP="00B113A0">
      <w:pPr>
        <w:pStyle w:val="Heading4"/>
      </w:pPr>
      <w:r w:rsidRPr="0023712C">
        <w:t>Evaluator’s overall conclusions on clinical safety</w:t>
      </w:r>
      <w:bookmarkEnd w:id="178"/>
      <w:bookmarkEnd w:id="179"/>
      <w:bookmarkEnd w:id="180"/>
      <w:bookmarkEnd w:id="181"/>
      <w:bookmarkEnd w:id="182"/>
    </w:p>
    <w:p w14:paraId="7B5B0254" w14:textId="77777777" w:rsidR="00CC7DBB" w:rsidRPr="0023712C" w:rsidRDefault="00CC7DBB" w:rsidP="00CC7DBB">
      <w:r w:rsidRPr="00890C48">
        <w:t xml:space="preserve">Pasireotide, similar to other somatostatin analogues, has a significant profile of observed and potential adverse effects. Upper </w:t>
      </w:r>
      <w:r>
        <w:t>GI</w:t>
      </w:r>
      <w:r w:rsidRPr="00890C48">
        <w:t xml:space="preserve"> symptoms and diarrhoea will be observed in about half of the patients treated with therapeutic doses, although usually improving with time. The high incidence of these adverse effects reflects the fact that the doses required for adequate therapeutic response are close to the maximum tolerated dose. Gallstones will develop in up to 20% of patients.</w:t>
      </w:r>
      <w:r w:rsidRPr="0023712C">
        <w:t xml:space="preserve"> </w:t>
      </w:r>
    </w:p>
    <w:p w14:paraId="6D754E3E" w14:textId="77777777" w:rsidR="00CC7DBB" w:rsidRPr="00890C48" w:rsidRDefault="00CC7DBB" w:rsidP="00CC7DBB">
      <w:r w:rsidRPr="00890C48">
        <w:t>Hyperglycaemia of some degree develops in most Cushing's disease patients treated with pasireotide, and will meet the criteria for diabetes mellitus in about half of these. If this does develop, it responds best to those oral agents which act through the incretin mechanism, or could otherwise be treated with insulin.</w:t>
      </w:r>
    </w:p>
    <w:p w14:paraId="484798EF" w14:textId="77777777" w:rsidR="00CC7DBB" w:rsidRPr="00890C48" w:rsidRDefault="00CC7DBB" w:rsidP="00CC7DBB">
      <w:r w:rsidRPr="00890C48">
        <w:t>A minor degree of QT prolongation has been observed but has not been the cause of serious cardiac clinical events.</w:t>
      </w:r>
    </w:p>
    <w:p w14:paraId="7DC2DEC3" w14:textId="77777777" w:rsidR="00CC7DBB" w:rsidRDefault="00CC7DBB" w:rsidP="00CC7DBB">
      <w:r w:rsidRPr="00890C48">
        <w:t>Abnormalities of liver function have developed with initiation of pasireotide, but have us</w:t>
      </w:r>
      <w:r>
        <w:t xml:space="preserve">ually been mild and transient. </w:t>
      </w:r>
      <w:r w:rsidRPr="00890C48">
        <w:t>However, there is insufficient evidence of safe use in patients with moderately impaired hepatic function, even at the reduced dosage proposed by the sponsor.</w:t>
      </w:r>
    </w:p>
    <w:p w14:paraId="37E8EC28" w14:textId="77777777" w:rsidR="00CC7DBB" w:rsidRDefault="00CC7DBB" w:rsidP="00CC7DBB">
      <w:pPr>
        <w:pStyle w:val="Heading3"/>
      </w:pPr>
      <w:bookmarkStart w:id="183" w:name="_Toc381199086"/>
      <w:bookmarkStart w:id="184" w:name="_Toc383680725"/>
      <w:r>
        <w:t>First round benefit-risk assessment</w:t>
      </w:r>
      <w:bookmarkEnd w:id="183"/>
      <w:bookmarkEnd w:id="184"/>
    </w:p>
    <w:p w14:paraId="7DB8842F" w14:textId="77777777" w:rsidR="00CC7DBB" w:rsidRPr="00CC7DBB" w:rsidRDefault="00CC7DBB" w:rsidP="00CC7DBB">
      <w:r w:rsidRPr="00CC7DBB">
        <w:t>Patients with pituitary Cushing's disease who have failed or are otherwise unsuitable for curative pituitary surgery are faced with two equally undesirable alternatives. Therefore, if a treatment offers significant benefits it might justify the taking of significant risks.</w:t>
      </w:r>
    </w:p>
    <w:p w14:paraId="2AB3EE1F" w14:textId="77777777" w:rsidR="00CC7DBB" w:rsidRPr="0023712C" w:rsidRDefault="00CC7DBB" w:rsidP="00CC7DBB">
      <w:pPr>
        <w:pStyle w:val="Heading4"/>
      </w:pPr>
      <w:bookmarkStart w:id="185" w:name="_Toc236802592"/>
      <w:bookmarkStart w:id="186" w:name="_Toc241374331"/>
      <w:bookmarkStart w:id="187" w:name="_Ref272160836"/>
      <w:bookmarkStart w:id="188" w:name="_Toc272414693"/>
      <w:bookmarkStart w:id="189" w:name="_Toc290846331"/>
      <w:bookmarkStart w:id="190" w:name="_Toc350352163"/>
      <w:bookmarkStart w:id="191" w:name="_Toc381199087"/>
      <w:r w:rsidRPr="0023712C">
        <w:t>First round assessment of benefits</w:t>
      </w:r>
      <w:bookmarkEnd w:id="185"/>
      <w:bookmarkEnd w:id="186"/>
      <w:bookmarkEnd w:id="187"/>
      <w:bookmarkEnd w:id="188"/>
      <w:bookmarkEnd w:id="189"/>
      <w:bookmarkEnd w:id="190"/>
      <w:bookmarkEnd w:id="191"/>
    </w:p>
    <w:p w14:paraId="53C2D63B" w14:textId="77777777" w:rsidR="00CC7DBB" w:rsidRPr="00B573EB" w:rsidRDefault="00CC7DBB" w:rsidP="00CC7DBB">
      <w:r w:rsidRPr="00B573EB">
        <w:t>The benefits of pasireotide in the proposed usage are:</w:t>
      </w:r>
    </w:p>
    <w:p w14:paraId="74A16D66" w14:textId="77777777" w:rsidR="00CC7DBB" w:rsidRPr="00B573EB" w:rsidRDefault="00CC7DBB" w:rsidP="00CC7DBB">
      <w:pPr>
        <w:pStyle w:val="ListBullet"/>
        <w:numPr>
          <w:ilvl w:val="0"/>
          <w:numId w:val="3"/>
        </w:numPr>
      </w:pPr>
      <w:r w:rsidRPr="00B573EB">
        <w:t>Reduction of urinary cortisol secretion and consequent improvement in clinical and biochemical manifestations of Cushing's disease.</w:t>
      </w:r>
    </w:p>
    <w:p w14:paraId="6FEEC555" w14:textId="77777777" w:rsidR="00CC7DBB" w:rsidRPr="00B573EB" w:rsidRDefault="00CC7DBB" w:rsidP="00CC7DBB">
      <w:pPr>
        <w:pStyle w:val="ListBullet"/>
        <w:numPr>
          <w:ilvl w:val="0"/>
          <w:numId w:val="3"/>
        </w:numPr>
      </w:pPr>
      <w:r w:rsidRPr="00B573EB">
        <w:t>Potential avoidance of long-term complications of cortical exposure provided a response is maintained.</w:t>
      </w:r>
    </w:p>
    <w:p w14:paraId="361541A5" w14:textId="77777777" w:rsidR="00CC7DBB" w:rsidRPr="00B573EB" w:rsidRDefault="00CC7DBB" w:rsidP="00CC7DBB">
      <w:pPr>
        <w:pStyle w:val="ListBullet"/>
        <w:numPr>
          <w:ilvl w:val="0"/>
          <w:numId w:val="3"/>
        </w:numPr>
      </w:pPr>
      <w:r w:rsidRPr="00B573EB">
        <w:t>Reduction in pituitary tumour volume.</w:t>
      </w:r>
    </w:p>
    <w:p w14:paraId="688422D7" w14:textId="77777777" w:rsidR="00CC7DBB" w:rsidRPr="00B573EB" w:rsidRDefault="00CC7DBB" w:rsidP="00CC7DBB">
      <w:bookmarkStart w:id="192" w:name="_Toc349891848"/>
      <w:bookmarkStart w:id="193" w:name="_Toc350352164"/>
      <w:r w:rsidRPr="00B573EB">
        <w:t>Although no other medical therapies are currently approved for Cushing's disease, the benefits demonstrated in this application are, on the basis of limited evidence available, equivalent or superior to current off-label use of other medications, as discussed above.</w:t>
      </w:r>
      <w:bookmarkEnd w:id="192"/>
      <w:bookmarkEnd w:id="193"/>
    </w:p>
    <w:p w14:paraId="30399262" w14:textId="77777777" w:rsidR="00CC7DBB" w:rsidRPr="00B573EB" w:rsidRDefault="00CC7DBB" w:rsidP="00CC7DBB">
      <w:pPr>
        <w:pStyle w:val="Heading4"/>
      </w:pPr>
      <w:bookmarkStart w:id="194" w:name="_Toc236802596"/>
      <w:bookmarkStart w:id="195" w:name="_Toc241374334"/>
      <w:bookmarkStart w:id="196" w:name="_Ref272160964"/>
      <w:bookmarkStart w:id="197" w:name="_Toc272414694"/>
      <w:bookmarkStart w:id="198" w:name="_Toc290846332"/>
      <w:bookmarkStart w:id="199" w:name="_Toc350352165"/>
      <w:bookmarkStart w:id="200" w:name="_Toc381199088"/>
      <w:r w:rsidRPr="00B573EB">
        <w:lastRenderedPageBreak/>
        <w:t>First round assessment of risks</w:t>
      </w:r>
      <w:bookmarkEnd w:id="194"/>
      <w:bookmarkEnd w:id="195"/>
      <w:bookmarkEnd w:id="196"/>
      <w:bookmarkEnd w:id="197"/>
      <w:bookmarkEnd w:id="198"/>
      <w:bookmarkEnd w:id="199"/>
      <w:bookmarkEnd w:id="200"/>
    </w:p>
    <w:p w14:paraId="2BB1923E" w14:textId="77777777" w:rsidR="00CC7DBB" w:rsidRPr="00B573EB" w:rsidRDefault="00CC7DBB" w:rsidP="007E68D3">
      <w:pPr>
        <w:keepNext/>
      </w:pPr>
      <w:r w:rsidRPr="00B573EB">
        <w:t>The risks of pasireotide in the proposed usage are:</w:t>
      </w:r>
    </w:p>
    <w:p w14:paraId="564429CA" w14:textId="77777777" w:rsidR="00CC7DBB" w:rsidRPr="00B573EB" w:rsidRDefault="00CC7DBB" w:rsidP="00CC7DBB">
      <w:pPr>
        <w:pStyle w:val="ListBullet"/>
        <w:numPr>
          <w:ilvl w:val="0"/>
          <w:numId w:val="3"/>
        </w:numPr>
      </w:pPr>
      <w:r w:rsidRPr="00B573EB">
        <w:t xml:space="preserve">Development of </w:t>
      </w:r>
      <w:r>
        <w:t>GI</w:t>
      </w:r>
      <w:r w:rsidRPr="00B573EB">
        <w:t xml:space="preserve"> adverse effects such as diarrhoea and nausea. These are unpleasant but not permanently injurious to health.</w:t>
      </w:r>
    </w:p>
    <w:p w14:paraId="10041F59" w14:textId="77777777" w:rsidR="00CC7DBB" w:rsidRPr="00B573EB" w:rsidRDefault="00CC7DBB" w:rsidP="00CC7DBB">
      <w:pPr>
        <w:pStyle w:val="ListBullet"/>
        <w:numPr>
          <w:ilvl w:val="0"/>
          <w:numId w:val="3"/>
        </w:numPr>
      </w:pPr>
      <w:r w:rsidRPr="00B573EB">
        <w:t>Development of hyperglycaemia with a significant chance of progression to diabetes mellitus requiring treatment, possibly insulin injections.</w:t>
      </w:r>
    </w:p>
    <w:p w14:paraId="09336191" w14:textId="77777777" w:rsidR="00CC7DBB" w:rsidRPr="00B573EB" w:rsidRDefault="00CC7DBB" w:rsidP="00CC7DBB">
      <w:pPr>
        <w:pStyle w:val="ListBullet"/>
        <w:numPr>
          <w:ilvl w:val="0"/>
          <w:numId w:val="3"/>
        </w:numPr>
      </w:pPr>
      <w:r w:rsidRPr="00B573EB">
        <w:t>Approximate</w:t>
      </w:r>
      <w:r>
        <w:t>ly</w:t>
      </w:r>
      <w:r w:rsidRPr="00B573EB">
        <w:t xml:space="preserve"> 20% risk of developing gallstones, but little risk of bile duct obstruction.</w:t>
      </w:r>
    </w:p>
    <w:p w14:paraId="1332AF0D" w14:textId="77777777" w:rsidR="00CC7DBB" w:rsidRPr="00B573EB" w:rsidRDefault="00CC7DBB" w:rsidP="00CC7DBB">
      <w:pPr>
        <w:pStyle w:val="ListBullet"/>
        <w:numPr>
          <w:ilvl w:val="0"/>
          <w:numId w:val="3"/>
        </w:numPr>
      </w:pPr>
      <w:r w:rsidRPr="00B573EB">
        <w:t>Development of QT prolongation, although with little likelihood of any risk of cardiac compromise except in the case of significant pre-existing comorbidity or co</w:t>
      </w:r>
      <w:r>
        <w:t>-</w:t>
      </w:r>
      <w:r w:rsidRPr="00B573EB">
        <w:t>administration of medications with a similar effect.</w:t>
      </w:r>
    </w:p>
    <w:p w14:paraId="1A72421E" w14:textId="77777777" w:rsidR="00CC7DBB" w:rsidRPr="00B573EB" w:rsidRDefault="00CC7DBB" w:rsidP="00CC7DBB">
      <w:pPr>
        <w:pStyle w:val="ListBullet"/>
        <w:numPr>
          <w:ilvl w:val="0"/>
          <w:numId w:val="3"/>
        </w:numPr>
      </w:pPr>
      <w:r w:rsidRPr="00B573EB">
        <w:t>Mild impairment of liver function (raised enzyme levels); the possible impact of this, along with other exposure-related effects of pasireotide, on patients with moderately impaired hepatic function has not been adequately assessed and therefore represents an unquantifiable risk in relation to likely benefit for that subpopulation.</w:t>
      </w:r>
    </w:p>
    <w:p w14:paraId="2C5F3BD0" w14:textId="77777777" w:rsidR="00CC7DBB" w:rsidRPr="0023712C" w:rsidRDefault="00CC7DBB" w:rsidP="00CC7DBB">
      <w:pPr>
        <w:pStyle w:val="Heading4"/>
      </w:pPr>
      <w:bookmarkStart w:id="201" w:name="_Toc236802597"/>
      <w:bookmarkStart w:id="202" w:name="_Toc241374335"/>
      <w:bookmarkStart w:id="203" w:name="_Toc272414695"/>
      <w:bookmarkStart w:id="204" w:name="_Toc290846333"/>
      <w:bookmarkStart w:id="205" w:name="_Toc350352166"/>
      <w:bookmarkStart w:id="206" w:name="_Toc381199089"/>
      <w:r w:rsidRPr="0023712C">
        <w:t>First round assessment of benefit-risk balance</w:t>
      </w:r>
      <w:bookmarkEnd w:id="201"/>
      <w:bookmarkEnd w:id="202"/>
      <w:bookmarkEnd w:id="203"/>
      <w:bookmarkEnd w:id="204"/>
      <w:bookmarkEnd w:id="205"/>
      <w:bookmarkEnd w:id="206"/>
    </w:p>
    <w:p w14:paraId="5C8655E7" w14:textId="77777777" w:rsidR="00CC7DBB" w:rsidRPr="0023712C" w:rsidRDefault="00CC7DBB" w:rsidP="00CC7DBB">
      <w:r w:rsidRPr="00B573EB">
        <w:t xml:space="preserve">The benefit-risk balance of pasireotide, given the proposed usage, is favourable with the exception that, in </w:t>
      </w:r>
      <w:r>
        <w:t xml:space="preserve">the evaluator’s </w:t>
      </w:r>
      <w:r w:rsidRPr="00B573EB">
        <w:t xml:space="preserve">view, use by patients with moderately impaired hepatic function should not be recommended even at reduced dosage without further evidence that this is safe. This recommendation is based on </w:t>
      </w:r>
      <w:r>
        <w:t xml:space="preserve">the evaluator’s </w:t>
      </w:r>
      <w:r w:rsidRPr="00B573EB">
        <w:t>assessment that the benefit-risk balance appears, in the absence of definitive data, to be significantly less favourable than for the overa</w:t>
      </w:r>
      <w:r>
        <w:t>ll Cushing's disease population.</w:t>
      </w:r>
    </w:p>
    <w:p w14:paraId="289A79BA" w14:textId="77777777" w:rsidR="00CC7DBB" w:rsidRDefault="00CC7DBB" w:rsidP="00CC7DBB">
      <w:pPr>
        <w:pStyle w:val="Heading3"/>
      </w:pPr>
      <w:bookmarkStart w:id="207" w:name="_Toc381199090"/>
      <w:bookmarkStart w:id="208" w:name="_Toc383680726"/>
      <w:r>
        <w:t>First round recommendation regarding authorisation</w:t>
      </w:r>
      <w:bookmarkEnd w:id="207"/>
      <w:bookmarkEnd w:id="208"/>
    </w:p>
    <w:p w14:paraId="493CA33F" w14:textId="77777777" w:rsidR="00CC7DBB" w:rsidRDefault="00CC7DBB" w:rsidP="00CC7DBB">
      <w:r w:rsidRPr="006D1042">
        <w:t>It is recommended that the application be approved; pending consideration of the recommendations of this report regarding safety of use in the presence of moderately impaired hepatic function. It is also suggested that the proposed indication be altered to</w:t>
      </w:r>
      <w:r>
        <w:t>:</w:t>
      </w:r>
    </w:p>
    <w:p w14:paraId="364F7716" w14:textId="77777777" w:rsidR="00CC7DBB" w:rsidRPr="006D1042" w:rsidRDefault="00CC7DBB" w:rsidP="00CC7DBB">
      <w:pPr>
        <w:ind w:left="567"/>
        <w:rPr>
          <w:i/>
        </w:rPr>
      </w:pPr>
      <w:r w:rsidRPr="006D1042">
        <w:rPr>
          <w:i/>
        </w:rPr>
        <w:t xml:space="preserve">Treatment of patients with Cushing's disease for whom pituitary surgery is contraindicated or has failed </w:t>
      </w:r>
    </w:p>
    <w:p w14:paraId="2198609C" w14:textId="77777777" w:rsidR="00CC7DBB" w:rsidRPr="006D1042" w:rsidRDefault="00CC7DBB" w:rsidP="00CC7DBB">
      <w:r w:rsidRPr="006D1042">
        <w:t>as this defines the target population more precisely and is more consistent with the population studied in the pivotal clinical trial.</w:t>
      </w:r>
    </w:p>
    <w:p w14:paraId="6DBEFD70" w14:textId="77777777" w:rsidR="008E7846" w:rsidRDefault="008E7846" w:rsidP="008E7846">
      <w:pPr>
        <w:pStyle w:val="Heading3"/>
      </w:pPr>
      <w:bookmarkStart w:id="209" w:name="_Toc255919423"/>
      <w:bookmarkStart w:id="210" w:name="_Toc241374329"/>
      <w:bookmarkStart w:id="211" w:name="_Toc270320087"/>
      <w:bookmarkStart w:id="212" w:name="_Toc314842506"/>
      <w:bookmarkStart w:id="213" w:name="_Toc383680727"/>
      <w:bookmarkStart w:id="214" w:name="_Toc163441387"/>
      <w:bookmarkEnd w:id="152"/>
      <w:bookmarkEnd w:id="153"/>
      <w:bookmarkEnd w:id="154"/>
      <w:r>
        <w:t>List of questions</w:t>
      </w:r>
      <w:bookmarkEnd w:id="209"/>
      <w:bookmarkEnd w:id="210"/>
      <w:bookmarkEnd w:id="211"/>
      <w:bookmarkEnd w:id="212"/>
      <w:bookmarkEnd w:id="213"/>
    </w:p>
    <w:p w14:paraId="530D9770" w14:textId="77777777" w:rsidR="008E7846" w:rsidRPr="0039105A" w:rsidRDefault="00CC7DBB" w:rsidP="00327883">
      <w:r>
        <w:t>None requested.</w:t>
      </w:r>
    </w:p>
    <w:p w14:paraId="4B77974D" w14:textId="77777777" w:rsidR="008E7846" w:rsidRPr="00E41208" w:rsidRDefault="008E7846" w:rsidP="008E7846">
      <w:pPr>
        <w:pStyle w:val="Heading2"/>
      </w:pPr>
      <w:bookmarkStart w:id="215" w:name="_Toc247691524"/>
      <w:bookmarkStart w:id="216" w:name="_Toc314842508"/>
      <w:bookmarkStart w:id="217" w:name="_Toc383680728"/>
      <w:bookmarkStart w:id="218" w:name="_Toc196046504"/>
      <w:bookmarkStart w:id="219" w:name="_Toc163441390"/>
      <w:bookmarkEnd w:id="214"/>
      <w:r w:rsidRPr="00E41208">
        <w:t xml:space="preserve">V. Pharmacovigilance </w:t>
      </w:r>
      <w:r>
        <w:t>f</w:t>
      </w:r>
      <w:r w:rsidRPr="00E41208">
        <w:t>indings</w:t>
      </w:r>
      <w:bookmarkEnd w:id="215"/>
      <w:bookmarkEnd w:id="216"/>
      <w:bookmarkEnd w:id="217"/>
    </w:p>
    <w:p w14:paraId="45F4493A" w14:textId="77777777" w:rsidR="008E7846" w:rsidRDefault="00386150" w:rsidP="008E7846">
      <w:pPr>
        <w:pStyle w:val="Heading3"/>
        <w:rPr>
          <w:lang w:eastAsia="en-AU"/>
        </w:rPr>
      </w:pPr>
      <w:bookmarkStart w:id="220" w:name="_Toc247691526"/>
      <w:bookmarkStart w:id="221" w:name="_Toc314842509"/>
      <w:bookmarkStart w:id="222" w:name="_Toc383680729"/>
      <w:r>
        <w:rPr>
          <w:lang w:eastAsia="en-AU"/>
        </w:rPr>
        <w:t>Risk m</w:t>
      </w:r>
      <w:r w:rsidR="008E7846">
        <w:rPr>
          <w:lang w:eastAsia="en-AU"/>
        </w:rPr>
        <w:t xml:space="preserve">anagement </w:t>
      </w:r>
      <w:r>
        <w:rPr>
          <w:lang w:eastAsia="en-AU"/>
        </w:rPr>
        <w:t>p</w:t>
      </w:r>
      <w:r w:rsidR="008E7846">
        <w:rPr>
          <w:lang w:eastAsia="en-AU"/>
        </w:rPr>
        <w:t>lan</w:t>
      </w:r>
      <w:bookmarkEnd w:id="220"/>
      <w:bookmarkEnd w:id="221"/>
      <w:bookmarkEnd w:id="222"/>
    </w:p>
    <w:p w14:paraId="47AA1142" w14:textId="77777777" w:rsidR="008E7846" w:rsidRDefault="008E7846" w:rsidP="008E7846">
      <w:pPr>
        <w:rPr>
          <w:lang w:eastAsia="en-AU"/>
        </w:rPr>
      </w:pPr>
      <w:r>
        <w:rPr>
          <w:lang w:eastAsia="en-AU"/>
        </w:rPr>
        <w:t xml:space="preserve">The sponsor submitted a Risk Management Plan </w:t>
      </w:r>
      <w:r w:rsidR="00915A9C">
        <w:rPr>
          <w:lang w:eastAsia="en-AU"/>
        </w:rPr>
        <w:t xml:space="preserve">identified </w:t>
      </w:r>
      <w:r w:rsidR="00915A9C" w:rsidRPr="00915A9C">
        <w:t xml:space="preserve">as Safety Risk Management Plan (in EU-RMP format) Version 2 (dated 13/01/2012, DLP 17/11/2011) with Safety Risk Management Plan Australian Implementation Version 2 (dated 21/09/2012) </w:t>
      </w:r>
      <w:r>
        <w:rPr>
          <w:lang w:eastAsia="en-AU"/>
        </w:rPr>
        <w:t>which was reviewed by the TGA’s Office of Product Review (OPR).</w:t>
      </w:r>
    </w:p>
    <w:p w14:paraId="6264ECFD" w14:textId="77777777" w:rsidR="008E7846" w:rsidRPr="009E7A89" w:rsidRDefault="003A7F6C" w:rsidP="009E7A89">
      <w:pPr>
        <w:pStyle w:val="Heading3"/>
      </w:pPr>
      <w:bookmarkStart w:id="223" w:name="_Toc383680730"/>
      <w:r w:rsidRPr="009E7A89">
        <w:lastRenderedPageBreak/>
        <w:t>Safety s</w:t>
      </w:r>
      <w:r w:rsidR="008E7846" w:rsidRPr="009E7A89">
        <w:t>pecification</w:t>
      </w:r>
      <w:bookmarkEnd w:id="223"/>
    </w:p>
    <w:p w14:paraId="54E481D9" w14:textId="77777777" w:rsidR="009E7A89" w:rsidRDefault="009E7A89" w:rsidP="009E7A89">
      <w:r w:rsidRPr="009E7A89">
        <w:t xml:space="preserve">Subject to the evaluation of the non-clinical aspects of the Safety Specification (SS) by the Toxicology area of the OSE and the clinical aspects of the SS by the OMA, the summary of the Ongoing Safety Concerns as specified by the sponsor is as follows (Table </w:t>
      </w:r>
      <w:r w:rsidR="00A60283">
        <w:t>9</w:t>
      </w:r>
      <w:r w:rsidRPr="009E7A89">
        <w:t>):</w:t>
      </w:r>
    </w:p>
    <w:p w14:paraId="5D5636CD" w14:textId="77777777" w:rsidR="009E7A89" w:rsidRPr="00C14538" w:rsidRDefault="009E7A89" w:rsidP="00A60283">
      <w:pPr>
        <w:pStyle w:val="TableTitle"/>
        <w:keepLines/>
      </w:pPr>
      <w:r w:rsidRPr="00C14538">
        <w:t xml:space="preserve">Table </w:t>
      </w:r>
      <w:r w:rsidR="00A60283">
        <w:t>9</w:t>
      </w:r>
      <w:r>
        <w:t>:</w:t>
      </w:r>
      <w:r w:rsidRPr="00C14538">
        <w:t xml:space="preserve"> Important identified and potential risks and missing information.</w:t>
      </w:r>
    </w:p>
    <w:p w14:paraId="4F812F90" w14:textId="77777777" w:rsidR="009E7A89" w:rsidRPr="00F30EE0" w:rsidRDefault="009E7A89" w:rsidP="00A60283">
      <w:pPr>
        <w:keepNext/>
        <w:keepLines/>
        <w:rPr>
          <w:rFonts w:asciiTheme="majorHAnsi" w:hAnsiTheme="majorHAnsi" w:cstheme="minorHAnsi"/>
        </w:rPr>
      </w:pPr>
      <w:r>
        <w:rPr>
          <w:rFonts w:asciiTheme="majorHAnsi" w:hAnsiTheme="majorHAnsi" w:cstheme="minorHAnsi"/>
          <w:noProof/>
          <w:lang w:eastAsia="en-AU"/>
        </w:rPr>
        <w:drawing>
          <wp:inline distT="0" distB="0" distL="0" distR="0" wp14:anchorId="56CE3A68" wp14:editId="40A37961">
            <wp:extent cx="5288555" cy="5124450"/>
            <wp:effectExtent l="0" t="0" r="7620" b="0"/>
            <wp:docPr id="105" name="Picture 105" descr="Table 9: Important identified and potential risks and miss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cstate="print"/>
                    <a:srcRect/>
                    <a:stretch>
                      <a:fillRect/>
                    </a:stretch>
                  </pic:blipFill>
                  <pic:spPr bwMode="auto">
                    <a:xfrm>
                      <a:off x="0" y="0"/>
                      <a:ext cx="5293444" cy="5129187"/>
                    </a:xfrm>
                    <a:prstGeom prst="rect">
                      <a:avLst/>
                    </a:prstGeom>
                    <a:noFill/>
                    <a:ln w="9525">
                      <a:noFill/>
                      <a:miter lim="800000"/>
                      <a:headEnd/>
                      <a:tailEnd/>
                    </a:ln>
                  </pic:spPr>
                </pic:pic>
              </a:graphicData>
            </a:graphic>
          </wp:inline>
        </w:drawing>
      </w:r>
    </w:p>
    <w:p w14:paraId="2A0A8007" w14:textId="77777777" w:rsidR="009E7A89" w:rsidRPr="009E7A89" w:rsidRDefault="009E7A89" w:rsidP="007E68D3">
      <w:pPr>
        <w:pStyle w:val="Heading4"/>
      </w:pPr>
      <w:r w:rsidRPr="009E7A89">
        <w:t>Office of Product Review (OPR) reviewer comment:</w:t>
      </w:r>
    </w:p>
    <w:p w14:paraId="6FDE68C7" w14:textId="77777777" w:rsidR="009E7A89" w:rsidRPr="009E7A89" w:rsidRDefault="009E7A89" w:rsidP="009E7A89">
      <w:r w:rsidRPr="009E7A89">
        <w:t>Notwithstanding the evaluation of the non-clinical and clinical aspects of the SS this is considered acceptable.</w:t>
      </w:r>
    </w:p>
    <w:p w14:paraId="42668B23" w14:textId="77777777" w:rsidR="008E7846" w:rsidRDefault="008E7846" w:rsidP="009E7A89">
      <w:pPr>
        <w:pStyle w:val="Heading3"/>
        <w:rPr>
          <w:lang w:eastAsia="en-AU"/>
        </w:rPr>
      </w:pPr>
      <w:bookmarkStart w:id="224" w:name="_Toc383680731"/>
      <w:r>
        <w:rPr>
          <w:lang w:eastAsia="en-AU"/>
        </w:rPr>
        <w:t xml:space="preserve">Pharmacovigilance </w:t>
      </w:r>
      <w:r w:rsidR="003A7F6C">
        <w:rPr>
          <w:lang w:eastAsia="en-AU"/>
        </w:rPr>
        <w:t>p</w:t>
      </w:r>
      <w:r>
        <w:rPr>
          <w:lang w:eastAsia="en-AU"/>
        </w:rPr>
        <w:t>lan</w:t>
      </w:r>
      <w:bookmarkEnd w:id="224"/>
    </w:p>
    <w:p w14:paraId="72F48678" w14:textId="77777777" w:rsidR="009E7A89" w:rsidRPr="00F30EE0" w:rsidRDefault="009E7A89" w:rsidP="009E7A89">
      <w:pPr>
        <w:pStyle w:val="Heading4"/>
      </w:pPr>
      <w:bookmarkStart w:id="225" w:name="_Toc347911753"/>
      <w:r w:rsidRPr="00F30EE0">
        <w:t>Proposed pharmacovigilance activities</w:t>
      </w:r>
      <w:bookmarkEnd w:id="225"/>
    </w:p>
    <w:p w14:paraId="29D791BF" w14:textId="77777777" w:rsidR="009E7A89" w:rsidRPr="009E7A89" w:rsidRDefault="009E7A89" w:rsidP="009E7A89">
      <w:r w:rsidRPr="009E7A89">
        <w:t xml:space="preserve">The sponsor proposes routine pharmacovigilance activities for important identified and potential risks and missing information (as stated above). Furthermore, additional activities are planned for some of the risks. These activities are summarised in Table </w:t>
      </w:r>
      <w:r w:rsidR="00A60283">
        <w:t>10</w:t>
      </w:r>
      <w:r w:rsidRPr="009E7A89">
        <w:t>.</w:t>
      </w:r>
    </w:p>
    <w:p w14:paraId="4DFF1272" w14:textId="77777777" w:rsidR="009E7A89" w:rsidRPr="00FE2D84" w:rsidRDefault="009E7A89" w:rsidP="00A60283">
      <w:pPr>
        <w:pStyle w:val="TableTitle"/>
        <w:keepLines/>
      </w:pPr>
      <w:r w:rsidRPr="00FE2D84">
        <w:lastRenderedPageBreak/>
        <w:t xml:space="preserve">Table </w:t>
      </w:r>
      <w:r w:rsidR="00A60283">
        <w:t>10</w:t>
      </w:r>
      <w:r>
        <w:t>:</w:t>
      </w:r>
      <w:r w:rsidRPr="00FE2D84">
        <w:t xml:space="preserve"> Activities additional to routine planned by the sponsor regarding certain safety concerns</w:t>
      </w:r>
    </w:p>
    <w:tbl>
      <w:tblPr>
        <w:tblStyle w:val="TableTGAblue"/>
        <w:tblW w:w="0" w:type="auto"/>
        <w:tblLook w:val="04A0" w:firstRow="1" w:lastRow="0" w:firstColumn="1" w:lastColumn="0" w:noHBand="0" w:noVBand="1"/>
      </w:tblPr>
      <w:tblGrid>
        <w:gridCol w:w="2376"/>
        <w:gridCol w:w="1985"/>
        <w:gridCol w:w="3827"/>
      </w:tblGrid>
      <w:tr w:rsidR="00242737" w:rsidRPr="00FE2D84" w14:paraId="7465C0A2" w14:textId="77777777" w:rsidTr="00EE2E28">
        <w:trPr>
          <w:cnfStyle w:val="100000000000" w:firstRow="1" w:lastRow="0" w:firstColumn="0" w:lastColumn="0" w:oddVBand="0" w:evenVBand="0" w:oddHBand="0" w:evenHBand="0" w:firstRowFirstColumn="0" w:firstRowLastColumn="0" w:lastRowFirstColumn="0" w:lastRowLastColumn="0"/>
          <w:trHeight w:val="960"/>
        </w:trPr>
        <w:tc>
          <w:tcPr>
            <w:tcW w:w="2376" w:type="dxa"/>
          </w:tcPr>
          <w:p w14:paraId="4D7372E2" w14:textId="77777777" w:rsidR="00242737" w:rsidRPr="009E7A89" w:rsidRDefault="00242737" w:rsidP="00A60283">
            <w:pPr>
              <w:keepLines/>
              <w:ind w:left="0"/>
              <w:rPr>
                <w:sz w:val="20"/>
                <w:szCs w:val="20"/>
              </w:rPr>
            </w:pPr>
            <w:r w:rsidRPr="009E7A89">
              <w:rPr>
                <w:sz w:val="20"/>
                <w:szCs w:val="20"/>
              </w:rPr>
              <w:t>Additional activity</w:t>
            </w:r>
          </w:p>
        </w:tc>
        <w:tc>
          <w:tcPr>
            <w:tcW w:w="1985" w:type="dxa"/>
          </w:tcPr>
          <w:p w14:paraId="610B2F47" w14:textId="77777777" w:rsidR="00242737" w:rsidRPr="009E7A89" w:rsidRDefault="00242737" w:rsidP="00A60283">
            <w:pPr>
              <w:keepLines/>
              <w:ind w:left="0"/>
              <w:rPr>
                <w:sz w:val="20"/>
                <w:szCs w:val="20"/>
              </w:rPr>
            </w:pPr>
            <w:r w:rsidRPr="009E7A89">
              <w:rPr>
                <w:sz w:val="20"/>
                <w:szCs w:val="20"/>
              </w:rPr>
              <w:t>Assigned safety concern</w:t>
            </w:r>
          </w:p>
        </w:tc>
        <w:tc>
          <w:tcPr>
            <w:tcW w:w="3827" w:type="dxa"/>
          </w:tcPr>
          <w:p w14:paraId="05219535" w14:textId="77777777" w:rsidR="00242737" w:rsidRPr="009E7A89" w:rsidRDefault="00242737" w:rsidP="00A60283">
            <w:pPr>
              <w:keepLines/>
              <w:ind w:left="0"/>
              <w:rPr>
                <w:sz w:val="20"/>
                <w:szCs w:val="20"/>
              </w:rPr>
            </w:pPr>
            <w:r w:rsidRPr="009E7A89">
              <w:rPr>
                <w:sz w:val="20"/>
                <w:szCs w:val="20"/>
              </w:rPr>
              <w:t>Actions/outcome proposed</w:t>
            </w:r>
          </w:p>
        </w:tc>
      </w:tr>
      <w:tr w:rsidR="00242737" w:rsidRPr="00FE2D84" w14:paraId="5EE653E7" w14:textId="77777777" w:rsidTr="00EE2E28">
        <w:trPr>
          <w:trHeight w:val="3720"/>
        </w:trPr>
        <w:tc>
          <w:tcPr>
            <w:tcW w:w="2376" w:type="dxa"/>
          </w:tcPr>
          <w:p w14:paraId="7E9BF165" w14:textId="77777777" w:rsidR="00242737" w:rsidRPr="009E7A89" w:rsidRDefault="00242737" w:rsidP="00A60283">
            <w:pPr>
              <w:keepNext/>
              <w:keepLines/>
              <w:ind w:left="0"/>
              <w:rPr>
                <w:sz w:val="20"/>
                <w:szCs w:val="20"/>
              </w:rPr>
            </w:pPr>
            <w:r w:rsidRPr="009E7A89">
              <w:rPr>
                <w:sz w:val="20"/>
                <w:szCs w:val="20"/>
              </w:rPr>
              <w:t>CSOM230B2410</w:t>
            </w:r>
          </w:p>
          <w:p w14:paraId="3F88BB48" w14:textId="77777777" w:rsidR="00242737" w:rsidRPr="009E7A89" w:rsidRDefault="00242737" w:rsidP="00A60283">
            <w:pPr>
              <w:keepNext/>
              <w:keepLines/>
              <w:ind w:left="0"/>
              <w:rPr>
                <w:sz w:val="20"/>
                <w:szCs w:val="20"/>
              </w:rPr>
            </w:pPr>
            <w:r w:rsidRPr="009E7A89">
              <w:rPr>
                <w:sz w:val="20"/>
                <w:szCs w:val="20"/>
              </w:rPr>
              <w:t>Non-interventional</w:t>
            </w:r>
            <w:r>
              <w:rPr>
                <w:sz w:val="20"/>
                <w:szCs w:val="20"/>
              </w:rPr>
              <w:t xml:space="preserve"> </w:t>
            </w:r>
            <w:r w:rsidRPr="009E7A89">
              <w:rPr>
                <w:sz w:val="20"/>
                <w:szCs w:val="20"/>
              </w:rPr>
              <w:t xml:space="preserve">study for the generation of long term safety and efficacy data of </w:t>
            </w:r>
            <w:proofErr w:type="spellStart"/>
            <w:r w:rsidRPr="009E7A89">
              <w:rPr>
                <w:sz w:val="20"/>
                <w:szCs w:val="20"/>
              </w:rPr>
              <w:t>pasireotide</w:t>
            </w:r>
            <w:proofErr w:type="spellEnd"/>
            <w:r w:rsidRPr="009E7A89">
              <w:rPr>
                <w:sz w:val="20"/>
                <w:szCs w:val="20"/>
              </w:rPr>
              <w:t xml:space="preserve"> </w:t>
            </w:r>
            <w:proofErr w:type="spellStart"/>
            <w:r>
              <w:rPr>
                <w:sz w:val="20"/>
                <w:szCs w:val="20"/>
              </w:rPr>
              <w:t>sc</w:t>
            </w:r>
            <w:proofErr w:type="spellEnd"/>
            <w:r w:rsidRPr="009E7A89">
              <w:rPr>
                <w:sz w:val="20"/>
                <w:szCs w:val="20"/>
              </w:rPr>
              <w:t xml:space="preserve"> in patients with Cushing’s disease</w:t>
            </w:r>
          </w:p>
          <w:p w14:paraId="7B85A247" w14:textId="77777777" w:rsidR="00242737" w:rsidRPr="009E7A89" w:rsidRDefault="00242737" w:rsidP="00A60283">
            <w:pPr>
              <w:keepNext/>
              <w:keepLines/>
              <w:ind w:left="0"/>
              <w:rPr>
                <w:sz w:val="20"/>
                <w:szCs w:val="20"/>
              </w:rPr>
            </w:pPr>
          </w:p>
          <w:p w14:paraId="50AF77ED" w14:textId="77777777" w:rsidR="00242737" w:rsidRDefault="00242737" w:rsidP="00A60283">
            <w:pPr>
              <w:keepNext/>
              <w:keepLines/>
              <w:ind w:left="0"/>
              <w:rPr>
                <w:sz w:val="20"/>
                <w:szCs w:val="20"/>
              </w:rPr>
            </w:pPr>
            <w:r w:rsidRPr="009E7A89">
              <w:rPr>
                <w:sz w:val="20"/>
                <w:szCs w:val="20"/>
              </w:rPr>
              <w:t>Protocol available</w:t>
            </w:r>
          </w:p>
          <w:p w14:paraId="76989BEE" w14:textId="77777777" w:rsidR="00EE2E28" w:rsidRPr="009E7A89" w:rsidRDefault="00EE2E28" w:rsidP="00A60283">
            <w:pPr>
              <w:keepNext/>
              <w:keepLines/>
              <w:ind w:left="0"/>
              <w:rPr>
                <w:sz w:val="20"/>
                <w:szCs w:val="20"/>
              </w:rPr>
            </w:pPr>
          </w:p>
        </w:tc>
        <w:tc>
          <w:tcPr>
            <w:tcW w:w="1985" w:type="dxa"/>
          </w:tcPr>
          <w:p w14:paraId="57A2FBAF" w14:textId="77777777" w:rsidR="00242737" w:rsidRPr="009E7A89" w:rsidRDefault="00242737" w:rsidP="00A60283">
            <w:pPr>
              <w:keepNext/>
              <w:keepLines/>
              <w:ind w:left="0"/>
              <w:rPr>
                <w:sz w:val="20"/>
                <w:szCs w:val="20"/>
              </w:rPr>
            </w:pPr>
            <w:r w:rsidRPr="009E7A89">
              <w:rPr>
                <w:sz w:val="20"/>
                <w:szCs w:val="20"/>
              </w:rPr>
              <w:t>Long-term safety in patients</w:t>
            </w:r>
          </w:p>
        </w:tc>
        <w:tc>
          <w:tcPr>
            <w:tcW w:w="3827" w:type="dxa"/>
          </w:tcPr>
          <w:p w14:paraId="229E5D17" w14:textId="77777777" w:rsidR="00242737" w:rsidRPr="009E7A89" w:rsidRDefault="00242737" w:rsidP="00A60283">
            <w:pPr>
              <w:keepNext/>
              <w:keepLines/>
              <w:ind w:left="0"/>
              <w:rPr>
                <w:sz w:val="20"/>
                <w:szCs w:val="20"/>
              </w:rPr>
            </w:pPr>
            <w:r w:rsidRPr="009E7A89">
              <w:rPr>
                <w:sz w:val="20"/>
                <w:szCs w:val="20"/>
              </w:rPr>
              <w:t>Primary objective:</w:t>
            </w:r>
          </w:p>
          <w:p w14:paraId="30660024" w14:textId="77777777" w:rsidR="00242737" w:rsidRPr="009E7A89" w:rsidRDefault="00242737" w:rsidP="00A60283">
            <w:pPr>
              <w:keepNext/>
              <w:keepLines/>
              <w:ind w:left="0"/>
              <w:rPr>
                <w:sz w:val="20"/>
                <w:szCs w:val="20"/>
              </w:rPr>
            </w:pPr>
            <w:r w:rsidRPr="009E7A89">
              <w:rPr>
                <w:sz w:val="20"/>
                <w:szCs w:val="20"/>
              </w:rPr>
              <w:t xml:space="preserve">To document the long-term safety and tolerability profile of </w:t>
            </w:r>
            <w:proofErr w:type="spellStart"/>
            <w:r w:rsidRPr="009E7A89">
              <w:rPr>
                <w:sz w:val="20"/>
                <w:szCs w:val="20"/>
              </w:rPr>
              <w:t>pasireotide</w:t>
            </w:r>
            <w:proofErr w:type="spellEnd"/>
            <w:r w:rsidRPr="009E7A89">
              <w:rPr>
                <w:sz w:val="20"/>
                <w:szCs w:val="20"/>
              </w:rPr>
              <w:t xml:space="preserve"> </w:t>
            </w:r>
            <w:proofErr w:type="spellStart"/>
            <w:r>
              <w:rPr>
                <w:sz w:val="20"/>
                <w:szCs w:val="20"/>
              </w:rPr>
              <w:t>sc</w:t>
            </w:r>
            <w:proofErr w:type="spellEnd"/>
            <w:r w:rsidRPr="009E7A89">
              <w:rPr>
                <w:sz w:val="20"/>
                <w:szCs w:val="20"/>
              </w:rPr>
              <w:t xml:space="preserve"> when administered as monotherapy or in combination with other therapies in patients with Cushing’s disease.</w:t>
            </w:r>
          </w:p>
          <w:p w14:paraId="5420352D" w14:textId="77777777" w:rsidR="00242737" w:rsidRPr="009E7A89" w:rsidRDefault="00242737" w:rsidP="00A60283">
            <w:pPr>
              <w:keepNext/>
              <w:keepLines/>
              <w:ind w:left="0"/>
              <w:rPr>
                <w:sz w:val="20"/>
                <w:szCs w:val="20"/>
              </w:rPr>
            </w:pPr>
          </w:p>
          <w:p w14:paraId="72A4DFDA" w14:textId="77777777" w:rsidR="00242737" w:rsidRPr="009E7A89" w:rsidRDefault="00242737" w:rsidP="00A60283">
            <w:pPr>
              <w:keepNext/>
              <w:keepLines/>
              <w:ind w:left="0"/>
              <w:rPr>
                <w:sz w:val="20"/>
                <w:szCs w:val="20"/>
              </w:rPr>
            </w:pPr>
            <w:r w:rsidRPr="009E7A89">
              <w:rPr>
                <w:sz w:val="20"/>
                <w:szCs w:val="20"/>
              </w:rPr>
              <w:t>Secondary objectives:</w:t>
            </w:r>
          </w:p>
          <w:p w14:paraId="3A2CAC9A" w14:textId="77777777" w:rsidR="00242737" w:rsidRPr="009E7A89" w:rsidRDefault="00242737" w:rsidP="00EE2E28">
            <w:pPr>
              <w:keepNext/>
              <w:keepLines/>
              <w:ind w:left="0"/>
              <w:rPr>
                <w:sz w:val="20"/>
                <w:szCs w:val="20"/>
              </w:rPr>
            </w:pPr>
            <w:r w:rsidRPr="009E7A89">
              <w:rPr>
                <w:sz w:val="20"/>
                <w:szCs w:val="20"/>
              </w:rPr>
              <w:t>Multiple (See study protocol)</w:t>
            </w:r>
            <w:r w:rsidR="00EE2E28" w:rsidRPr="009E7A89" w:rsidDel="00EE2E28">
              <w:rPr>
                <w:sz w:val="20"/>
                <w:szCs w:val="20"/>
              </w:rPr>
              <w:t xml:space="preserve"> </w:t>
            </w:r>
          </w:p>
        </w:tc>
      </w:tr>
    </w:tbl>
    <w:p w14:paraId="452DBB74" w14:textId="77777777" w:rsidR="009E7A89" w:rsidRPr="009E7A89" w:rsidRDefault="009E7A89" w:rsidP="007E68D3">
      <w:pPr>
        <w:pStyle w:val="Heading4"/>
      </w:pPr>
      <w:bookmarkStart w:id="226" w:name="_Toc347911754"/>
      <w:r w:rsidRPr="009E7A89">
        <w:t>OPR reviewer’s comments in regard to the pharmacovigilance plan (PP) and the appropriateness of milestones</w:t>
      </w:r>
      <w:bookmarkEnd w:id="226"/>
      <w:r>
        <w:t>:</w:t>
      </w:r>
    </w:p>
    <w:p w14:paraId="067D389F" w14:textId="77777777" w:rsidR="009E7A89" w:rsidRPr="009E7A89" w:rsidRDefault="009E7A89" w:rsidP="009E7A89">
      <w:r w:rsidRPr="009E7A89">
        <w:t>The sponsor mainly plans routine pharmacovigilance activities. Only one safety concern has been assigned an additional activity.</w:t>
      </w:r>
    </w:p>
    <w:p w14:paraId="0CF1D952" w14:textId="77777777" w:rsidR="009E7A89" w:rsidRPr="009E7A89" w:rsidRDefault="009E7A89" w:rsidP="009E7A89">
      <w:r w:rsidRPr="009E7A89">
        <w:t>The sponsor’s proposed pharmacovigilance activities and milestones are considered acceptable, but not complete. The study protocol submitted is considered acceptable in regard to the assigned safety concern for RMP purposes.</w:t>
      </w:r>
    </w:p>
    <w:p w14:paraId="352AE30D" w14:textId="77777777" w:rsidR="009E7A89" w:rsidRPr="009E7A89" w:rsidRDefault="009E7A89" w:rsidP="009E7A89">
      <w:r w:rsidRPr="009E7A89">
        <w:t>Given the risk of pasireotide-induced hyperglycaemia and the profile of the likely target population, the sponsor should conduct a post-marketing clinical study to assess the management of this safety concern. In particular, this should establish which anti</w:t>
      </w:r>
      <w:r>
        <w:t>-</w:t>
      </w:r>
      <w:r w:rsidRPr="009E7A89">
        <w:t>diabetic drug class to use, as biguanides (</w:t>
      </w:r>
      <w:r>
        <w:t xml:space="preserve">for example, </w:t>
      </w:r>
      <w:r w:rsidRPr="009E7A89">
        <w:t>metformin) or thiazolidinediones (</w:t>
      </w:r>
      <w:r>
        <w:t>for example</w:t>
      </w:r>
      <w:r w:rsidRPr="009E7A89">
        <w:t xml:space="preserve"> rosiglitazone) may be less favourable than others, such as DPP-4 inhibitors or GLP-1 analogues (van Raalte </w:t>
      </w:r>
      <w:r w:rsidRPr="00A338C4">
        <w:t>et al</w:t>
      </w:r>
      <w:r w:rsidRPr="009E7A89">
        <w:t>., 2011</w:t>
      </w:r>
      <w:r>
        <w:rPr>
          <w:rStyle w:val="FootnoteReference"/>
        </w:rPr>
        <w:footnoteReference w:id="8"/>
      </w:r>
      <w:r w:rsidRPr="009E7A89">
        <w:t xml:space="preserve">). It is noted that the sponsor plans to undertake such a study in a different jurisdiction. </w:t>
      </w:r>
    </w:p>
    <w:p w14:paraId="49552F68" w14:textId="77777777" w:rsidR="008E7846" w:rsidRDefault="008E7846" w:rsidP="00643F5B">
      <w:pPr>
        <w:pStyle w:val="Heading3"/>
        <w:rPr>
          <w:lang w:eastAsia="en-AU"/>
        </w:rPr>
      </w:pPr>
      <w:bookmarkStart w:id="227" w:name="_Toc383680732"/>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bookmarkEnd w:id="227"/>
    </w:p>
    <w:p w14:paraId="64087FC5" w14:textId="77777777" w:rsidR="00AB324B" w:rsidRPr="00F30EE0" w:rsidRDefault="00AB324B" w:rsidP="00643F5B">
      <w:pPr>
        <w:pStyle w:val="Heading4"/>
      </w:pPr>
      <w:bookmarkStart w:id="228" w:name="_Toc347911756"/>
      <w:bookmarkStart w:id="229" w:name="_Toc247691527"/>
      <w:r w:rsidRPr="00F30EE0">
        <w:t>Sponsor’s conclusion in regard to the need for risk minimisation activities</w:t>
      </w:r>
      <w:bookmarkEnd w:id="228"/>
    </w:p>
    <w:p w14:paraId="351AA459" w14:textId="77777777" w:rsidR="00AB324B" w:rsidRPr="00AB324B" w:rsidRDefault="00AB324B" w:rsidP="00AB324B">
      <w:r w:rsidRPr="00AB324B">
        <w:t>The sponsor states that no additional risk minimisation activities are necessary.</w:t>
      </w:r>
    </w:p>
    <w:p w14:paraId="5A1FC6DE" w14:textId="77777777" w:rsidR="00AB324B" w:rsidRPr="007E68D3" w:rsidRDefault="00AB324B" w:rsidP="007E68D3">
      <w:pPr>
        <w:pStyle w:val="Heading5"/>
        <w:rPr>
          <w:i w:val="0"/>
        </w:rPr>
      </w:pPr>
      <w:r w:rsidRPr="007E68D3">
        <w:rPr>
          <w:i w:val="0"/>
        </w:rPr>
        <w:t>OPR reviewer comment:</w:t>
      </w:r>
    </w:p>
    <w:p w14:paraId="101D1901" w14:textId="77777777" w:rsidR="00AB324B" w:rsidRPr="00AB324B" w:rsidRDefault="00AB324B" w:rsidP="00AB324B">
      <w:r w:rsidRPr="00AB324B">
        <w:t>The sponsor’s conclusion is acceptable, except for the potential need of patient education on the safe techniques in regard to administering pasireotide safely and effectively.</w:t>
      </w:r>
    </w:p>
    <w:p w14:paraId="4754F37C" w14:textId="77777777" w:rsidR="00AB324B" w:rsidRPr="00F30EE0" w:rsidRDefault="00AB324B" w:rsidP="00643F5B">
      <w:pPr>
        <w:pStyle w:val="Heading4"/>
      </w:pPr>
      <w:bookmarkStart w:id="230" w:name="_Toc268857338"/>
      <w:bookmarkStart w:id="231" w:name="_Toc347911757"/>
      <w:r w:rsidRPr="00F30EE0">
        <w:lastRenderedPageBreak/>
        <w:t>Potential for medication errors</w:t>
      </w:r>
      <w:bookmarkEnd w:id="230"/>
      <w:bookmarkEnd w:id="231"/>
    </w:p>
    <w:p w14:paraId="210DB7C3" w14:textId="77777777" w:rsidR="00AB324B" w:rsidRPr="00AB324B" w:rsidRDefault="00AB324B" w:rsidP="00AB324B">
      <w:r w:rsidRPr="00AB324B">
        <w:t>For the purposes of this RMP evaluation different types of medication errors, as suggested by Ferner &amp; Aronson (2006)</w:t>
      </w:r>
      <w:r>
        <w:rPr>
          <w:rStyle w:val="FootnoteReference"/>
        </w:rPr>
        <w:footnoteReference w:id="9"/>
      </w:r>
      <w:r w:rsidRPr="00AB324B">
        <w:t>, have been considered.</w:t>
      </w:r>
    </w:p>
    <w:p w14:paraId="264F73E8" w14:textId="77777777" w:rsidR="00AB324B" w:rsidRPr="007E68D3" w:rsidRDefault="00AB324B" w:rsidP="007E68D3">
      <w:pPr>
        <w:pStyle w:val="Heading5"/>
        <w:rPr>
          <w:i w:val="0"/>
        </w:rPr>
      </w:pPr>
      <w:r w:rsidRPr="007E68D3">
        <w:rPr>
          <w:i w:val="0"/>
        </w:rPr>
        <w:t>OPR reviewer comment:</w:t>
      </w:r>
    </w:p>
    <w:p w14:paraId="511E4A5F" w14:textId="77777777" w:rsidR="00AB324B" w:rsidRPr="00AB324B" w:rsidRDefault="00AB324B" w:rsidP="00AB324B">
      <w:r w:rsidRPr="00AB324B">
        <w:t>The sponsor’s actions regarding name confusion, labelling and presentation are considered acceptable. However, medication errors may arise from improper administration of the drug</w:t>
      </w:r>
    </w:p>
    <w:p w14:paraId="1217F61B" w14:textId="77777777" w:rsidR="00AB324B" w:rsidRPr="00AB324B" w:rsidRDefault="00AB324B" w:rsidP="00AB324B">
      <w:r w:rsidRPr="00AB324B">
        <w:t xml:space="preserve">The sponsor should outline their proposed activities (including potential additional risk minimisation activities) that ensure that patients are able to retrieve the drug from the ampoule safely and effectively, inject the drug safely and effectively, and dispose of the sharp safely and effectively. </w:t>
      </w:r>
    </w:p>
    <w:p w14:paraId="3C492A3F" w14:textId="77777777" w:rsidR="00AB324B" w:rsidRPr="00AB324B" w:rsidRDefault="00AB324B" w:rsidP="00AB324B">
      <w:r w:rsidRPr="00AB324B">
        <w:t>Potential issues may include and are not limited to:</w:t>
      </w:r>
    </w:p>
    <w:p w14:paraId="5DE694D1" w14:textId="77777777" w:rsidR="00AB324B" w:rsidRPr="00AB324B" w:rsidRDefault="00AB324B" w:rsidP="00AB324B">
      <w:pPr>
        <w:pStyle w:val="ListBullet"/>
      </w:pPr>
      <w:r w:rsidRPr="00AB324B">
        <w:t>Injury sustained from the glass ampoule;</w:t>
      </w:r>
    </w:p>
    <w:p w14:paraId="71E7FF46" w14:textId="77777777" w:rsidR="00AB324B" w:rsidRPr="00AB324B" w:rsidRDefault="00AB324B" w:rsidP="00AB324B">
      <w:pPr>
        <w:pStyle w:val="ListBullet"/>
      </w:pPr>
      <w:r w:rsidRPr="00AB324B">
        <w:t>Dosing variation resulting from the inability to draw up the correct amount contained in the ampoule;</w:t>
      </w:r>
    </w:p>
    <w:p w14:paraId="6C39091A" w14:textId="77777777" w:rsidR="00AB324B" w:rsidRPr="00AB324B" w:rsidRDefault="00AB324B" w:rsidP="00AB324B">
      <w:pPr>
        <w:pStyle w:val="ListBullet"/>
      </w:pPr>
      <w:r w:rsidRPr="00AB324B">
        <w:t xml:space="preserve">An incorrect injection technique that results in </w:t>
      </w:r>
      <w:r w:rsidR="0009268D" w:rsidRPr="00AB324B">
        <w:t>su</w:t>
      </w:r>
      <w:r w:rsidR="0009268D">
        <w:t xml:space="preserve">b </w:t>
      </w:r>
      <w:r w:rsidR="0009268D" w:rsidRPr="00AB324B">
        <w:t>dermal</w:t>
      </w:r>
      <w:r w:rsidRPr="00AB324B">
        <w:t xml:space="preserve"> or intramuscular injections; and</w:t>
      </w:r>
    </w:p>
    <w:p w14:paraId="631F2134" w14:textId="77777777" w:rsidR="00AB324B" w:rsidRPr="00AB324B" w:rsidRDefault="00AB324B" w:rsidP="00AB324B">
      <w:pPr>
        <w:pStyle w:val="ListBullet"/>
      </w:pPr>
      <w:r w:rsidRPr="00AB324B">
        <w:t>Failure to dispose of the sharp appropriately and risk of transmission of disease to others.</w:t>
      </w:r>
    </w:p>
    <w:p w14:paraId="3C49C459" w14:textId="77777777" w:rsidR="00AB324B" w:rsidRPr="002C6D4C" w:rsidRDefault="00AB324B" w:rsidP="00643F5B">
      <w:pPr>
        <w:pStyle w:val="Heading4"/>
      </w:pPr>
      <w:r w:rsidRPr="002C6D4C">
        <w:t>Potential for overdose</w:t>
      </w:r>
    </w:p>
    <w:p w14:paraId="74FE58DB" w14:textId="77777777" w:rsidR="00AB324B" w:rsidRPr="00AB324B" w:rsidRDefault="00AB324B" w:rsidP="00AB324B">
      <w:r w:rsidRPr="00AB324B">
        <w:t>The risk for overdose is low. In the proposed P</w:t>
      </w:r>
      <w:r>
        <w:t>I</w:t>
      </w:r>
      <w:r w:rsidRPr="00AB324B">
        <w:t>, over</w:t>
      </w:r>
      <w:r>
        <w:t>-</w:t>
      </w:r>
      <w:r w:rsidRPr="00AB324B">
        <w:t>dosage and its management have been discussed to a satisfactory standard.</w:t>
      </w:r>
    </w:p>
    <w:p w14:paraId="5CA3B12F" w14:textId="77777777" w:rsidR="00AB324B" w:rsidRPr="002C6D4C" w:rsidRDefault="00AB324B" w:rsidP="00643F5B">
      <w:pPr>
        <w:pStyle w:val="Heading4"/>
      </w:pPr>
      <w:r w:rsidRPr="002C6D4C">
        <w:t xml:space="preserve">Potential for </w:t>
      </w:r>
      <w:r w:rsidRPr="00F30EE0">
        <w:t>off-label use</w:t>
      </w:r>
    </w:p>
    <w:p w14:paraId="0ED13A02" w14:textId="77777777" w:rsidR="00AB324B" w:rsidRPr="00AB324B" w:rsidRDefault="00AB324B" w:rsidP="00AB324B">
      <w:r w:rsidRPr="00AB324B">
        <w:t xml:space="preserve">Somatostatin </w:t>
      </w:r>
      <w:proofErr w:type="spellStart"/>
      <w:r w:rsidRPr="00AB324B">
        <w:t>analogs</w:t>
      </w:r>
      <w:proofErr w:type="spellEnd"/>
      <w:r w:rsidRPr="00AB324B">
        <w:t xml:space="preserve"> such as pasireotide could potentially be used to manage acromegaly and carcinoid tumours.</w:t>
      </w:r>
    </w:p>
    <w:p w14:paraId="0BAB21B7" w14:textId="77777777" w:rsidR="00AB324B" w:rsidRPr="00F30EE0" w:rsidRDefault="00AB324B" w:rsidP="00643F5B">
      <w:pPr>
        <w:pStyle w:val="Heading4"/>
      </w:pPr>
      <w:r>
        <w:t xml:space="preserve">Potential </w:t>
      </w:r>
      <w:r w:rsidRPr="00F30EE0">
        <w:t>for paediatric off-label use</w:t>
      </w:r>
    </w:p>
    <w:p w14:paraId="3F392BCB" w14:textId="77777777" w:rsidR="00AB324B" w:rsidRDefault="00AB324B" w:rsidP="00AB324B">
      <w:r w:rsidRPr="00AB324B">
        <w:t>The sponsor recognises that pasireotide is only indicated for adults. This is reflected in the proposed PI. This is considered acceptable.</w:t>
      </w:r>
    </w:p>
    <w:p w14:paraId="0F51DB13" w14:textId="77777777" w:rsidR="00AB324B" w:rsidRDefault="00AB324B" w:rsidP="00643F5B">
      <w:pPr>
        <w:pStyle w:val="Heading3"/>
      </w:pPr>
      <w:bookmarkStart w:id="232" w:name="_Toc383680733"/>
      <w:r>
        <w:t>Risk minimisation plan</w:t>
      </w:r>
      <w:bookmarkEnd w:id="232"/>
    </w:p>
    <w:p w14:paraId="524E1096" w14:textId="77777777" w:rsidR="00AB324B" w:rsidRPr="00F30EE0" w:rsidRDefault="00AB324B" w:rsidP="00643F5B">
      <w:pPr>
        <w:pStyle w:val="Heading4"/>
      </w:pPr>
      <w:bookmarkStart w:id="233" w:name="_Toc347911759"/>
      <w:r w:rsidRPr="00F30EE0">
        <w:t>Planned actions</w:t>
      </w:r>
      <w:bookmarkEnd w:id="233"/>
    </w:p>
    <w:p w14:paraId="17DF3C89" w14:textId="77777777" w:rsidR="00AB324B" w:rsidRPr="00AB324B" w:rsidRDefault="00AB324B" w:rsidP="00AB324B">
      <w:r w:rsidRPr="00AB324B">
        <w:t>No additional risk minimisation activities are proposed for Signifor.</w:t>
      </w:r>
    </w:p>
    <w:p w14:paraId="6A2218C7" w14:textId="77777777" w:rsidR="00AB324B" w:rsidRPr="007E68D3" w:rsidRDefault="00AB324B" w:rsidP="007E68D3">
      <w:pPr>
        <w:pStyle w:val="Heading5"/>
        <w:rPr>
          <w:i w:val="0"/>
        </w:rPr>
      </w:pPr>
      <w:r w:rsidRPr="007E68D3">
        <w:rPr>
          <w:i w:val="0"/>
        </w:rPr>
        <w:t>OPR reviewer comment:</w:t>
      </w:r>
    </w:p>
    <w:p w14:paraId="391D6F4C" w14:textId="77777777" w:rsidR="00AB324B" w:rsidRPr="00AB324B" w:rsidRDefault="00AB324B" w:rsidP="00AB324B">
      <w:r w:rsidRPr="00AB324B">
        <w:t xml:space="preserve">In regard to the proposed routine risk minimisation activities, it is recommended to the Delegate that the draft </w:t>
      </w:r>
      <w:r>
        <w:t>PI document be revised.</w:t>
      </w:r>
    </w:p>
    <w:p w14:paraId="39438AC1" w14:textId="77777777" w:rsidR="008E7846" w:rsidRDefault="008E7846" w:rsidP="00AB324B">
      <w:pPr>
        <w:pStyle w:val="Heading3"/>
      </w:pPr>
      <w:bookmarkStart w:id="234" w:name="_Toc383680734"/>
      <w:r w:rsidRPr="00AB324B">
        <w:lastRenderedPageBreak/>
        <w:t xml:space="preserve">Summary of </w:t>
      </w:r>
      <w:r w:rsidR="003A7F6C" w:rsidRPr="00AB324B">
        <w:t>r</w:t>
      </w:r>
      <w:r w:rsidRPr="00AB324B">
        <w:t>ecommendations</w:t>
      </w:r>
      <w:bookmarkEnd w:id="234"/>
    </w:p>
    <w:p w14:paraId="6F2EE747" w14:textId="0A4E65AB" w:rsidR="00AB324B" w:rsidRPr="00643F5B" w:rsidRDefault="00AB324B" w:rsidP="00643F5B">
      <w:r w:rsidRPr="00643F5B">
        <w:t xml:space="preserve">The OPR provides these recommendations in the context that the submitted RMP (Safety Risk Management Plan (in EU-RMP format) Version 2 (dated 13/01/2012, DLP 17/11/2011) with Safety Risk Management Plan Australian Implementation Version 2 (dated 21/09/2012)) is supportive to the application; the implementation of a RMP satisfactory to the TGA is imposed as a condition of registration; the submitted EU-RMP is applicable without modification in Australia unless so qualified; and the draft product information and </w:t>
      </w:r>
      <w:r w:rsidR="00133E7E">
        <w:t>C</w:t>
      </w:r>
      <w:r w:rsidRPr="00643F5B">
        <w:t xml:space="preserve">onsumer </w:t>
      </w:r>
      <w:r w:rsidR="00133E7E">
        <w:t>M</w:t>
      </w:r>
      <w:r w:rsidRPr="00643F5B">
        <w:t xml:space="preserve">edicine </w:t>
      </w:r>
      <w:r w:rsidR="00133E7E">
        <w:t>I</w:t>
      </w:r>
      <w:r w:rsidRPr="00643F5B">
        <w:t>nformation documents should NOT be revised until the Delegates Overview has been received</w:t>
      </w:r>
      <w:r w:rsidR="00643F5B">
        <w:t>.</w:t>
      </w:r>
    </w:p>
    <w:p w14:paraId="756B6E79" w14:textId="77777777" w:rsidR="00AB324B" w:rsidRPr="00F30EE0" w:rsidRDefault="00AB324B" w:rsidP="00643F5B">
      <w:pPr>
        <w:pStyle w:val="Heading4"/>
      </w:pPr>
      <w:r w:rsidRPr="00F30EE0">
        <w:t>Further safety considerations</w:t>
      </w:r>
    </w:p>
    <w:p w14:paraId="357A1683" w14:textId="77777777" w:rsidR="00AB324B" w:rsidRPr="00643F5B" w:rsidRDefault="00AB324B" w:rsidP="00643F5B">
      <w:pPr>
        <w:pStyle w:val="ListBullet"/>
      </w:pPr>
      <w:r w:rsidRPr="00643F5B">
        <w:t xml:space="preserve">Safety considerations may be raised by the nonclinical and clinical evaluators through the consolidated </w:t>
      </w:r>
      <w:r w:rsidR="00643F5B">
        <w:t>TGA request for further information</w:t>
      </w:r>
      <w:r w:rsidRPr="00643F5B">
        <w:t>. It is important to ensure that the information provided in response to these includes a consideration of the relevance for the R</w:t>
      </w:r>
      <w:r w:rsidR="00643F5B">
        <w:t>MP</w:t>
      </w:r>
      <w:r w:rsidRPr="00643F5B">
        <w:t xml:space="preserve">, and any specific information needed to </w:t>
      </w:r>
      <w:r w:rsidR="00643F5B">
        <w:t xml:space="preserve">address this issue in the RMP. </w:t>
      </w:r>
      <w:r w:rsidRPr="00643F5B">
        <w:t>For any safety considerations so raised, please provide information that is relevant and necessary to address the issue in the RMP.</w:t>
      </w:r>
    </w:p>
    <w:p w14:paraId="27BE717D" w14:textId="77777777" w:rsidR="00AB324B" w:rsidRPr="00643F5B" w:rsidRDefault="00AB324B" w:rsidP="00643F5B">
      <w:r w:rsidRPr="00643F5B">
        <w:t>Unless the sponsor can provide compelling justification against any of the following recommendations, the following should be considered:</w:t>
      </w:r>
    </w:p>
    <w:p w14:paraId="50149057" w14:textId="77777777" w:rsidR="00643F5B" w:rsidRPr="00643F5B" w:rsidRDefault="00AB324B" w:rsidP="00643F5B">
      <w:pPr>
        <w:pStyle w:val="Heading4"/>
        <w:rPr>
          <w:rStyle w:val="Heading4Char"/>
          <w:b/>
          <w:bCs/>
        </w:rPr>
      </w:pPr>
      <w:r w:rsidRPr="00643F5B">
        <w:rPr>
          <w:rStyle w:val="Heading4Char"/>
          <w:b/>
          <w:bCs/>
        </w:rPr>
        <w:t>Recommendations in regard to pharmacovigilance</w:t>
      </w:r>
      <w:r w:rsidR="00643F5B" w:rsidRPr="00643F5B">
        <w:rPr>
          <w:rStyle w:val="Heading4Char"/>
          <w:b/>
          <w:bCs/>
        </w:rPr>
        <w:t xml:space="preserve"> activities</w:t>
      </w:r>
    </w:p>
    <w:p w14:paraId="3FF241D5" w14:textId="77777777" w:rsidR="00AB324B" w:rsidRPr="00643F5B" w:rsidRDefault="00643F5B" w:rsidP="00643F5B">
      <w:r w:rsidRPr="00643F5B">
        <w:t xml:space="preserve"> </w:t>
      </w:r>
      <w:r w:rsidR="00AB324B" w:rsidRPr="00643F5B">
        <w:t>Given the risk of pasireotide-induced hyperglycaemia and the profile of the likely target population, the sponsor should conduct a post-marketing clinical study to assess the management of this safety concern.</w:t>
      </w:r>
    </w:p>
    <w:p w14:paraId="4BD45541" w14:textId="77777777" w:rsidR="00AB324B" w:rsidRPr="00172356" w:rsidRDefault="00AB324B" w:rsidP="00643F5B">
      <w:pPr>
        <w:pStyle w:val="Heading4"/>
      </w:pPr>
      <w:r w:rsidRPr="00BD3B3D">
        <w:t xml:space="preserve">Recommendations in regard </w:t>
      </w:r>
      <w:r w:rsidR="00643F5B">
        <w:t>to risk minimisation activities</w:t>
      </w:r>
    </w:p>
    <w:p w14:paraId="2BD78664" w14:textId="77777777" w:rsidR="00AB324B" w:rsidRPr="00643F5B" w:rsidRDefault="00AB324B" w:rsidP="00643F5B">
      <w:r w:rsidRPr="00643F5B">
        <w:t>The sponsor should outline their proposed activities (including potential additional risk minimisation activities) that ensure that patients are able to retrieve the drug from the ampoule safely and effectively, inject the drug safely and effectively, and dispose of the sharp safely and effectively.</w:t>
      </w:r>
    </w:p>
    <w:p w14:paraId="064B73C3" w14:textId="77777777" w:rsidR="00AB324B" w:rsidRDefault="00AB324B" w:rsidP="00643F5B">
      <w:r w:rsidRPr="00643F5B">
        <w:t>In regard to the proposed routine risk minimisation activities, it is recommended to the Delegate that the draft product information document be revised</w:t>
      </w:r>
      <w:r w:rsidR="00643F5B">
        <w:t>.</w:t>
      </w:r>
    </w:p>
    <w:p w14:paraId="17A4B39E" w14:textId="77777777" w:rsidR="00AC0EF3" w:rsidRPr="00E107AD" w:rsidRDefault="00AC0EF3" w:rsidP="00AC0EF3">
      <w:pPr>
        <w:pStyle w:val="Heading4"/>
      </w:pPr>
      <w:r w:rsidRPr="00107999">
        <w:t xml:space="preserve">Suggested wording for conditions of registration </w:t>
      </w:r>
    </w:p>
    <w:p w14:paraId="248B7B95" w14:textId="77777777" w:rsidR="00AC0EF3" w:rsidRDefault="00AC0EF3" w:rsidP="00AC0EF3">
      <w:pPr>
        <w:rPr>
          <w:rFonts w:asciiTheme="minorHAnsi" w:hAnsiTheme="minorHAnsi"/>
        </w:rPr>
      </w:pPr>
      <w:r>
        <w:rPr>
          <w:rFonts w:asciiTheme="minorHAnsi" w:hAnsiTheme="minorHAnsi"/>
        </w:rPr>
        <w:t xml:space="preserve">Implement </w:t>
      </w:r>
      <w:r w:rsidRPr="00D3700C">
        <w:rPr>
          <w:rFonts w:asciiTheme="minorHAnsi" w:hAnsiTheme="minorHAnsi"/>
        </w:rPr>
        <w:t>Safety Risk Management Plan (in EU-RMP format) Version 2 (dated 13/01/2012, DLP 17/11/2011) with Safety Risk Management Plan Australian Implementation Version 2 (dated 21/09/2012)</w:t>
      </w:r>
      <w:r>
        <w:rPr>
          <w:rFonts w:asciiTheme="minorHAnsi" w:hAnsiTheme="minorHAnsi"/>
        </w:rPr>
        <w:t>,</w:t>
      </w:r>
      <w:r w:rsidRPr="00107999">
        <w:rPr>
          <w:rFonts w:asciiTheme="minorHAnsi" w:hAnsiTheme="minorHAnsi"/>
        </w:rPr>
        <w:t xml:space="preserve"> and any future updates as a condition of registration.</w:t>
      </w:r>
    </w:p>
    <w:p w14:paraId="1610CC09" w14:textId="77777777" w:rsidR="00AC0EF3" w:rsidRDefault="00F86C1C" w:rsidP="00F86C1C">
      <w:pPr>
        <w:pStyle w:val="Heading4"/>
      </w:pPr>
      <w:r>
        <w:t>Reconciliation of issues outlined in the RMP report</w:t>
      </w:r>
    </w:p>
    <w:p w14:paraId="1D7044FF" w14:textId="77777777" w:rsidR="00F86C1C" w:rsidRDefault="00F86C1C" w:rsidP="00F86C1C">
      <w:pPr>
        <w:pStyle w:val="TableTitle"/>
      </w:pPr>
      <w:r>
        <w:t xml:space="preserve">Table </w:t>
      </w:r>
      <w:r w:rsidR="00A60283">
        <w:t>11</w:t>
      </w:r>
      <w:r>
        <w:t>: Reconciliation of issues outlined in the RMP report</w:t>
      </w:r>
    </w:p>
    <w:tbl>
      <w:tblPr>
        <w:tblStyle w:val="TableTGAblue"/>
        <w:tblW w:w="0" w:type="auto"/>
        <w:tblLook w:val="04A0" w:firstRow="1" w:lastRow="0" w:firstColumn="1" w:lastColumn="0" w:noHBand="0" w:noVBand="1"/>
      </w:tblPr>
      <w:tblGrid>
        <w:gridCol w:w="3137"/>
        <w:gridCol w:w="3301"/>
        <w:gridCol w:w="2046"/>
      </w:tblGrid>
      <w:tr w:rsidR="00E15405" w14:paraId="6B8D557B" w14:textId="77777777" w:rsidTr="00F86C1C">
        <w:trPr>
          <w:cnfStyle w:val="100000000000" w:firstRow="1" w:lastRow="0" w:firstColumn="0" w:lastColumn="0" w:oddVBand="0" w:evenVBand="0" w:oddHBand="0" w:evenHBand="0" w:firstRowFirstColumn="0" w:firstRowLastColumn="0" w:lastRowFirstColumn="0" w:lastRowLastColumn="0"/>
        </w:trPr>
        <w:tc>
          <w:tcPr>
            <w:tcW w:w="3227" w:type="dxa"/>
          </w:tcPr>
          <w:p w14:paraId="7713A84D" w14:textId="77777777" w:rsidR="00E15405" w:rsidRPr="00E15405" w:rsidRDefault="00E15405" w:rsidP="00AC0EF3">
            <w:pPr>
              <w:rPr>
                <w:rFonts w:asciiTheme="minorHAnsi" w:hAnsiTheme="minorHAnsi"/>
                <w:sz w:val="18"/>
                <w:szCs w:val="18"/>
              </w:rPr>
            </w:pPr>
            <w:r w:rsidRPr="00E15405">
              <w:rPr>
                <w:rFonts w:asciiTheme="minorHAnsi" w:hAnsiTheme="minorHAnsi"/>
                <w:sz w:val="18"/>
                <w:szCs w:val="18"/>
              </w:rPr>
              <w:t>Recommendation in RMP evaluation report</w:t>
            </w:r>
          </w:p>
        </w:tc>
        <w:tc>
          <w:tcPr>
            <w:tcW w:w="3402" w:type="dxa"/>
          </w:tcPr>
          <w:p w14:paraId="482C7E9E" w14:textId="77777777" w:rsidR="00E15405" w:rsidRPr="00E15405" w:rsidRDefault="00E15405" w:rsidP="00E15405">
            <w:pPr>
              <w:jc w:val="center"/>
              <w:rPr>
                <w:rFonts w:asciiTheme="minorHAnsi" w:hAnsiTheme="minorHAnsi"/>
                <w:sz w:val="18"/>
                <w:szCs w:val="18"/>
              </w:rPr>
            </w:pPr>
            <w:r w:rsidRPr="00E15405">
              <w:rPr>
                <w:rFonts w:asciiTheme="minorHAnsi" w:hAnsiTheme="minorHAnsi"/>
                <w:sz w:val="18"/>
                <w:szCs w:val="18"/>
              </w:rPr>
              <w:t>Sponsor’s response (or summary of the response)</w:t>
            </w:r>
          </w:p>
        </w:tc>
        <w:tc>
          <w:tcPr>
            <w:tcW w:w="2091" w:type="dxa"/>
          </w:tcPr>
          <w:p w14:paraId="6E025BEC" w14:textId="77777777" w:rsidR="00E15405" w:rsidRPr="00E15405" w:rsidRDefault="00E15405" w:rsidP="00AC0EF3">
            <w:pPr>
              <w:rPr>
                <w:rFonts w:asciiTheme="minorHAnsi" w:hAnsiTheme="minorHAnsi"/>
                <w:sz w:val="18"/>
                <w:szCs w:val="18"/>
              </w:rPr>
            </w:pPr>
            <w:r w:rsidRPr="00E15405">
              <w:rPr>
                <w:rFonts w:asciiTheme="minorHAnsi" w:hAnsiTheme="minorHAnsi"/>
                <w:sz w:val="18"/>
                <w:szCs w:val="18"/>
              </w:rPr>
              <w:t>OPR evaluator’s comment</w:t>
            </w:r>
          </w:p>
        </w:tc>
      </w:tr>
      <w:tr w:rsidR="00E15405" w14:paraId="45D68670" w14:textId="77777777" w:rsidTr="00F86C1C">
        <w:tc>
          <w:tcPr>
            <w:tcW w:w="3227" w:type="dxa"/>
          </w:tcPr>
          <w:p w14:paraId="28154D7D" w14:textId="77777777" w:rsidR="00E15405" w:rsidRPr="00E15405" w:rsidRDefault="00E15405" w:rsidP="00E11425">
            <w:pPr>
              <w:spacing w:before="0" w:after="0"/>
              <w:ind w:left="57" w:right="57"/>
              <w:rPr>
                <w:rFonts w:asciiTheme="minorHAnsi" w:hAnsiTheme="minorHAnsi"/>
                <w:sz w:val="18"/>
                <w:szCs w:val="18"/>
              </w:rPr>
            </w:pPr>
            <w:r w:rsidRPr="00E15405">
              <w:rPr>
                <w:sz w:val="18"/>
                <w:szCs w:val="18"/>
              </w:rPr>
              <w:t xml:space="preserve">Safety considerations may be raised by the nonclinical and clinical evaluators through the consolidated </w:t>
            </w:r>
            <w:r w:rsidR="005E0C52">
              <w:rPr>
                <w:sz w:val="18"/>
                <w:szCs w:val="18"/>
              </w:rPr>
              <w:t xml:space="preserve">TGA request for further information. </w:t>
            </w:r>
            <w:r w:rsidRPr="00E15405">
              <w:rPr>
                <w:sz w:val="18"/>
                <w:szCs w:val="18"/>
              </w:rPr>
              <w:lastRenderedPageBreak/>
              <w:t>It is important to ensure that the information provided in response to these include</w:t>
            </w:r>
            <w:r>
              <w:rPr>
                <w:sz w:val="18"/>
                <w:szCs w:val="18"/>
              </w:rPr>
              <w:t>s</w:t>
            </w:r>
            <w:r w:rsidRPr="00E15405">
              <w:rPr>
                <w:sz w:val="18"/>
                <w:szCs w:val="18"/>
              </w:rPr>
              <w:t xml:space="preserve"> a consideration of the relevance for the Risk Management Plan, and any specific information needed to address this issue in the RMP. For any safety considerations so raised, please provide information that is relevant and necessary to address the issue in the RMP.</w:t>
            </w:r>
          </w:p>
        </w:tc>
        <w:tc>
          <w:tcPr>
            <w:tcW w:w="3402" w:type="dxa"/>
          </w:tcPr>
          <w:p w14:paraId="544A8D59" w14:textId="77777777" w:rsidR="00E15405" w:rsidRDefault="00E15405" w:rsidP="00AC0EF3">
            <w:pPr>
              <w:rPr>
                <w:rFonts w:asciiTheme="minorHAnsi" w:hAnsiTheme="minorHAnsi"/>
              </w:rPr>
            </w:pPr>
          </w:p>
        </w:tc>
        <w:tc>
          <w:tcPr>
            <w:tcW w:w="2091" w:type="dxa"/>
          </w:tcPr>
          <w:p w14:paraId="4B1D8079" w14:textId="77777777" w:rsidR="00E15405" w:rsidRDefault="00E15405" w:rsidP="00AC0EF3">
            <w:pPr>
              <w:rPr>
                <w:rFonts w:asciiTheme="minorHAnsi" w:hAnsiTheme="minorHAnsi"/>
              </w:rPr>
            </w:pPr>
          </w:p>
        </w:tc>
      </w:tr>
      <w:tr w:rsidR="00E15405" w14:paraId="1C0952DF" w14:textId="77777777" w:rsidTr="00F86C1C">
        <w:tc>
          <w:tcPr>
            <w:tcW w:w="3227" w:type="dxa"/>
          </w:tcPr>
          <w:p w14:paraId="51F0406B" w14:textId="77777777" w:rsidR="00E15405" w:rsidRDefault="00E15405" w:rsidP="006E3367">
            <w:pPr>
              <w:spacing w:before="0" w:after="0"/>
              <w:ind w:left="57" w:right="57"/>
              <w:rPr>
                <w:rFonts w:asciiTheme="minorHAnsi" w:hAnsiTheme="minorHAnsi"/>
              </w:rPr>
            </w:pPr>
            <w:r w:rsidRPr="00E15405">
              <w:rPr>
                <w:sz w:val="18"/>
                <w:szCs w:val="18"/>
              </w:rPr>
              <w:t>Given the risk of pasireotide</w:t>
            </w:r>
            <w:r w:rsidR="006E3367">
              <w:rPr>
                <w:sz w:val="18"/>
                <w:szCs w:val="18"/>
              </w:rPr>
              <w:t xml:space="preserve"> </w:t>
            </w:r>
            <w:r w:rsidRPr="00E15405">
              <w:rPr>
                <w:sz w:val="18"/>
                <w:szCs w:val="18"/>
              </w:rPr>
              <w:t>induced hyperglycaemia and the profile of the likely target population, the sponsor should conduct a post-marketing clinical study to assess the management of this safety concern.</w:t>
            </w:r>
            <w:r>
              <w:rPr>
                <w:rFonts w:asciiTheme="minorHAnsi" w:hAnsiTheme="minorHAnsi"/>
              </w:rPr>
              <w:t xml:space="preserve"> </w:t>
            </w:r>
          </w:p>
        </w:tc>
        <w:tc>
          <w:tcPr>
            <w:tcW w:w="3402" w:type="dxa"/>
          </w:tcPr>
          <w:p w14:paraId="08E41886" w14:textId="77777777" w:rsidR="00E15405" w:rsidRPr="00E15405" w:rsidRDefault="00E15405" w:rsidP="00E15405">
            <w:pPr>
              <w:spacing w:before="0" w:after="0"/>
              <w:ind w:left="57" w:right="57"/>
              <w:rPr>
                <w:i/>
                <w:sz w:val="18"/>
                <w:szCs w:val="18"/>
              </w:rPr>
            </w:pPr>
            <w:r w:rsidRPr="00E15405">
              <w:rPr>
                <w:sz w:val="18"/>
                <w:szCs w:val="18"/>
              </w:rPr>
              <w:t xml:space="preserve">The sponsor will be conducting </w:t>
            </w:r>
            <w:r w:rsidRPr="00E15405">
              <w:rPr>
                <w:i/>
                <w:sz w:val="18"/>
                <w:szCs w:val="18"/>
              </w:rPr>
              <w:t>‘Study SOM230B2219 is “A 24</w:t>
            </w:r>
            <w:r w:rsidR="006E3367">
              <w:rPr>
                <w:i/>
                <w:sz w:val="18"/>
                <w:szCs w:val="18"/>
              </w:rPr>
              <w:t xml:space="preserve"> </w:t>
            </w:r>
            <w:r w:rsidRPr="00E15405">
              <w:rPr>
                <w:i/>
                <w:sz w:val="18"/>
                <w:szCs w:val="18"/>
              </w:rPr>
              <w:t xml:space="preserve">week </w:t>
            </w:r>
            <w:proofErr w:type="spellStart"/>
            <w:r w:rsidRPr="00E15405">
              <w:rPr>
                <w:i/>
                <w:sz w:val="18"/>
                <w:szCs w:val="18"/>
              </w:rPr>
              <w:t>multicenter</w:t>
            </w:r>
            <w:proofErr w:type="spellEnd"/>
            <w:r w:rsidRPr="00E15405">
              <w:rPr>
                <w:i/>
                <w:sz w:val="18"/>
                <w:szCs w:val="18"/>
              </w:rPr>
              <w:t xml:space="preserve">, open-label, Phase </w:t>
            </w:r>
            <w:proofErr w:type="spellStart"/>
            <w:r w:rsidRPr="00E15405">
              <w:rPr>
                <w:i/>
                <w:sz w:val="18"/>
                <w:szCs w:val="18"/>
              </w:rPr>
              <w:t>IIIb</w:t>
            </w:r>
            <w:proofErr w:type="spellEnd"/>
            <w:r w:rsidRPr="00E15405">
              <w:rPr>
                <w:i/>
                <w:sz w:val="18"/>
                <w:szCs w:val="18"/>
              </w:rPr>
              <w:t xml:space="preserve"> study to investigate the management of </w:t>
            </w:r>
            <w:proofErr w:type="spellStart"/>
            <w:r w:rsidRPr="00E15405">
              <w:rPr>
                <w:i/>
                <w:sz w:val="18"/>
                <w:szCs w:val="18"/>
              </w:rPr>
              <w:t>pasireotide</w:t>
            </w:r>
            <w:proofErr w:type="spellEnd"/>
            <w:r w:rsidRPr="00E15405">
              <w:rPr>
                <w:i/>
                <w:sz w:val="18"/>
                <w:szCs w:val="18"/>
              </w:rPr>
              <w:t xml:space="preserve">-induced </w:t>
            </w:r>
            <w:proofErr w:type="spellStart"/>
            <w:r w:rsidRPr="00E15405">
              <w:rPr>
                <w:i/>
                <w:sz w:val="18"/>
                <w:szCs w:val="18"/>
              </w:rPr>
              <w:t>hyperglycemia</w:t>
            </w:r>
            <w:proofErr w:type="spellEnd"/>
            <w:r w:rsidRPr="00E15405">
              <w:rPr>
                <w:i/>
                <w:sz w:val="18"/>
                <w:szCs w:val="18"/>
              </w:rPr>
              <w:t xml:space="preserve"> in adult patients with Cushing’s Disease and acromegaly with insulin- or DPP-4 inhibitor targeted therapy”.’</w:t>
            </w:r>
          </w:p>
          <w:p w14:paraId="318D8361" w14:textId="77777777" w:rsidR="00E15405" w:rsidRPr="00E15405" w:rsidRDefault="00E15405" w:rsidP="00E15405">
            <w:pPr>
              <w:spacing w:before="0" w:after="0"/>
              <w:ind w:left="57" w:right="57"/>
              <w:rPr>
                <w:sz w:val="18"/>
                <w:szCs w:val="18"/>
              </w:rPr>
            </w:pPr>
          </w:p>
          <w:p w14:paraId="1CF5EAA5" w14:textId="77777777" w:rsidR="00E15405" w:rsidRPr="00E15405" w:rsidRDefault="00E15405" w:rsidP="00E15405">
            <w:pPr>
              <w:spacing w:before="0" w:after="0"/>
              <w:ind w:left="57" w:right="57"/>
              <w:rPr>
                <w:i/>
                <w:sz w:val="18"/>
                <w:szCs w:val="18"/>
              </w:rPr>
            </w:pPr>
            <w:r w:rsidRPr="00E15405">
              <w:rPr>
                <w:sz w:val="18"/>
                <w:szCs w:val="18"/>
              </w:rPr>
              <w:t>The purpose ‘</w:t>
            </w:r>
            <w:r w:rsidRPr="00E15405">
              <w:rPr>
                <w:i/>
                <w:sz w:val="18"/>
                <w:szCs w:val="18"/>
              </w:rPr>
              <w:t xml:space="preserve">is to investigate the optimal management of </w:t>
            </w:r>
            <w:proofErr w:type="spellStart"/>
            <w:r w:rsidRPr="00E15405">
              <w:rPr>
                <w:i/>
                <w:sz w:val="18"/>
                <w:szCs w:val="18"/>
              </w:rPr>
              <w:t>pasireotide</w:t>
            </w:r>
            <w:proofErr w:type="spellEnd"/>
            <w:r w:rsidRPr="00E15405">
              <w:rPr>
                <w:i/>
                <w:sz w:val="18"/>
                <w:szCs w:val="18"/>
              </w:rPr>
              <w:t xml:space="preserve">-induced </w:t>
            </w:r>
            <w:proofErr w:type="spellStart"/>
            <w:r w:rsidRPr="00E15405">
              <w:rPr>
                <w:i/>
                <w:sz w:val="18"/>
                <w:szCs w:val="18"/>
              </w:rPr>
              <w:t>hyperglycemia</w:t>
            </w:r>
            <w:proofErr w:type="spellEnd"/>
            <w:r w:rsidRPr="00E15405">
              <w:rPr>
                <w:i/>
                <w:sz w:val="18"/>
                <w:szCs w:val="18"/>
              </w:rPr>
              <w:t xml:space="preserve"> in patients with Cushing’s Disease or acromegaly in the overall population. The study aims to demonstrate that </w:t>
            </w:r>
            <w:proofErr w:type="spellStart"/>
            <w:r w:rsidRPr="00E15405">
              <w:rPr>
                <w:i/>
                <w:sz w:val="18"/>
                <w:szCs w:val="18"/>
              </w:rPr>
              <w:t>hyperglycemia</w:t>
            </w:r>
            <w:proofErr w:type="spellEnd"/>
            <w:r w:rsidRPr="00E15405">
              <w:rPr>
                <w:i/>
                <w:sz w:val="18"/>
                <w:szCs w:val="18"/>
              </w:rPr>
              <w:t xml:space="preserve"> can be effectively and safely managed in the majority of patients, including those with diabetes at baseline who are not at goal (HbA1c&gt; 7%) as evidenced by lower or stable HbA1C or only a small increase from baseline in HbA1c at week 16 (i.e., ≤0.3%). This study is also designed to provide guidance on the optimal treatment algorithm with specific focus on DPP-4 inhibitor therapy, i.e., sitagliptin (first DPP-4 inhibitor approved, available in US and EU) vs. insulin.’</w:t>
            </w:r>
          </w:p>
          <w:p w14:paraId="21377D95" w14:textId="77777777" w:rsidR="00E15405" w:rsidRPr="00E15405" w:rsidRDefault="00E15405" w:rsidP="00E15405">
            <w:pPr>
              <w:spacing w:before="0" w:after="0"/>
              <w:ind w:left="57" w:right="57"/>
              <w:rPr>
                <w:sz w:val="18"/>
                <w:szCs w:val="18"/>
              </w:rPr>
            </w:pPr>
          </w:p>
          <w:p w14:paraId="68D97519" w14:textId="77777777" w:rsidR="00E15405" w:rsidRDefault="00E15405" w:rsidP="00E15405">
            <w:pPr>
              <w:spacing w:before="0" w:after="0"/>
              <w:ind w:left="57" w:right="57"/>
              <w:rPr>
                <w:rFonts w:asciiTheme="minorHAnsi" w:hAnsiTheme="minorHAnsi"/>
              </w:rPr>
            </w:pPr>
          </w:p>
        </w:tc>
        <w:tc>
          <w:tcPr>
            <w:tcW w:w="2091" w:type="dxa"/>
          </w:tcPr>
          <w:p w14:paraId="796E3438" w14:textId="77777777" w:rsidR="00E15405" w:rsidRPr="00E15405" w:rsidRDefault="00E15405" w:rsidP="00E15405">
            <w:pPr>
              <w:spacing w:before="0" w:after="0"/>
              <w:ind w:left="57" w:right="57"/>
              <w:rPr>
                <w:rFonts w:asciiTheme="minorHAnsi" w:hAnsiTheme="minorHAnsi"/>
                <w:sz w:val="18"/>
                <w:szCs w:val="18"/>
              </w:rPr>
            </w:pPr>
            <w:r w:rsidRPr="00E15405">
              <w:rPr>
                <w:rFonts w:asciiTheme="minorHAnsi" w:hAnsiTheme="minorHAnsi"/>
                <w:sz w:val="18"/>
                <w:szCs w:val="18"/>
              </w:rPr>
              <w:t>This is considered acceptable.</w:t>
            </w:r>
          </w:p>
          <w:p w14:paraId="13D63704" w14:textId="77777777" w:rsidR="00E15405" w:rsidRDefault="00E15405" w:rsidP="00E15405">
            <w:pPr>
              <w:spacing w:before="0" w:after="0"/>
              <w:ind w:left="57" w:right="57"/>
              <w:rPr>
                <w:rFonts w:asciiTheme="minorHAnsi" w:hAnsiTheme="minorHAnsi"/>
              </w:rPr>
            </w:pPr>
            <w:r w:rsidRPr="00E15405">
              <w:rPr>
                <w:rFonts w:asciiTheme="minorHAnsi" w:hAnsiTheme="minorHAnsi"/>
                <w:sz w:val="18"/>
                <w:szCs w:val="18"/>
              </w:rPr>
              <w:t>The study and the study protocol needs to be included in any RMP updates.</w:t>
            </w:r>
          </w:p>
        </w:tc>
      </w:tr>
      <w:tr w:rsidR="00F86C1C" w14:paraId="7197A339" w14:textId="77777777" w:rsidTr="00F86C1C">
        <w:tc>
          <w:tcPr>
            <w:tcW w:w="3227" w:type="dxa"/>
          </w:tcPr>
          <w:p w14:paraId="2CBCF441" w14:textId="77777777" w:rsidR="00F86C1C" w:rsidRPr="00F86C1C" w:rsidRDefault="00F86C1C" w:rsidP="00F86C1C">
            <w:pPr>
              <w:spacing w:before="0" w:after="0"/>
              <w:ind w:left="57" w:right="57"/>
              <w:rPr>
                <w:sz w:val="18"/>
                <w:szCs w:val="18"/>
              </w:rPr>
            </w:pPr>
            <w:r w:rsidRPr="00F86C1C">
              <w:rPr>
                <w:sz w:val="18"/>
                <w:szCs w:val="18"/>
              </w:rPr>
              <w:t>The sponsor should outline their proposed activities (including potential additional risk minimisation activities) that ensure that patients are able to retrieve the drug from the ampoule safely and effectively, inject the drug safely and effectively, and dispose of the sharp safely and effectively.</w:t>
            </w:r>
          </w:p>
          <w:p w14:paraId="67F320C7" w14:textId="77777777" w:rsidR="00F86C1C" w:rsidRPr="00F86C1C" w:rsidRDefault="00F86C1C" w:rsidP="00F86C1C">
            <w:pPr>
              <w:spacing w:before="0" w:after="0"/>
              <w:ind w:left="57" w:right="57"/>
              <w:rPr>
                <w:sz w:val="18"/>
                <w:szCs w:val="18"/>
              </w:rPr>
            </w:pPr>
          </w:p>
          <w:p w14:paraId="753D50D9" w14:textId="77777777" w:rsidR="00F86C1C" w:rsidRPr="00F86C1C" w:rsidRDefault="00F86C1C" w:rsidP="00F86C1C">
            <w:pPr>
              <w:spacing w:before="0" w:after="0"/>
              <w:ind w:left="57" w:right="57"/>
              <w:rPr>
                <w:sz w:val="18"/>
                <w:szCs w:val="18"/>
              </w:rPr>
            </w:pPr>
            <w:r w:rsidRPr="00F86C1C">
              <w:rPr>
                <w:sz w:val="18"/>
                <w:szCs w:val="18"/>
              </w:rPr>
              <w:t>Potential issue:</w:t>
            </w:r>
          </w:p>
          <w:p w14:paraId="4C539DE0" w14:textId="77777777" w:rsidR="00F86C1C" w:rsidRDefault="00F86C1C" w:rsidP="00F86C1C">
            <w:pPr>
              <w:spacing w:before="0" w:after="0"/>
              <w:ind w:left="57" w:right="57"/>
              <w:rPr>
                <w:rFonts w:asciiTheme="minorHAnsi" w:hAnsiTheme="minorHAnsi"/>
              </w:rPr>
            </w:pPr>
            <w:r w:rsidRPr="00F86C1C">
              <w:rPr>
                <w:sz w:val="18"/>
                <w:szCs w:val="18"/>
              </w:rPr>
              <w:t>Injury sustained from the glass ampoule.</w:t>
            </w:r>
          </w:p>
        </w:tc>
        <w:tc>
          <w:tcPr>
            <w:tcW w:w="3402" w:type="dxa"/>
          </w:tcPr>
          <w:p w14:paraId="3EDC7CC2" w14:textId="77777777" w:rsidR="00F86C1C" w:rsidRPr="00F86C1C" w:rsidRDefault="00F86C1C" w:rsidP="00F86C1C">
            <w:pPr>
              <w:spacing w:before="0" w:after="0"/>
              <w:ind w:left="57" w:right="57"/>
              <w:rPr>
                <w:rFonts w:asciiTheme="minorHAnsi" w:hAnsiTheme="minorHAnsi"/>
                <w:sz w:val="18"/>
                <w:szCs w:val="18"/>
              </w:rPr>
            </w:pPr>
            <w:r w:rsidRPr="00F86C1C">
              <w:rPr>
                <w:rFonts w:asciiTheme="minorHAnsi" w:hAnsiTheme="minorHAnsi"/>
                <w:sz w:val="18"/>
                <w:szCs w:val="18"/>
              </w:rPr>
              <w:t xml:space="preserve">The sponsor acknowledges that glass ampoules are not an ideal delivery system. </w:t>
            </w:r>
            <w:r w:rsidR="0064155C">
              <w:rPr>
                <w:rFonts w:asciiTheme="minorHAnsi" w:hAnsiTheme="minorHAnsi"/>
                <w:sz w:val="18"/>
                <w:szCs w:val="18"/>
              </w:rPr>
              <w:t>T</w:t>
            </w:r>
            <w:r w:rsidRPr="00F86C1C">
              <w:rPr>
                <w:rFonts w:asciiTheme="minorHAnsi" w:hAnsiTheme="minorHAnsi"/>
                <w:sz w:val="18"/>
                <w:szCs w:val="18"/>
              </w:rPr>
              <w:t>he sponsor states that the following encompasses adequate risk minimisation measures:</w:t>
            </w:r>
          </w:p>
          <w:p w14:paraId="2BAAE4E9" w14:textId="77777777" w:rsidR="00F86C1C" w:rsidRPr="00F86C1C" w:rsidRDefault="00F86C1C" w:rsidP="00F86C1C">
            <w:pPr>
              <w:pStyle w:val="ListBullet"/>
              <w:spacing w:before="0" w:after="0"/>
              <w:ind w:right="57"/>
              <w:rPr>
                <w:sz w:val="18"/>
                <w:szCs w:val="18"/>
              </w:rPr>
            </w:pPr>
            <w:r w:rsidRPr="00F86C1C">
              <w:rPr>
                <w:sz w:val="18"/>
                <w:szCs w:val="18"/>
              </w:rPr>
              <w:t>Use of OPC (one point cut) ampoules;</w:t>
            </w:r>
          </w:p>
          <w:p w14:paraId="561C8E98" w14:textId="77777777" w:rsidR="00F86C1C" w:rsidRPr="00F86C1C" w:rsidRDefault="00F86C1C" w:rsidP="00F86C1C">
            <w:pPr>
              <w:pStyle w:val="ListBullet"/>
              <w:spacing w:before="0" w:after="0"/>
              <w:ind w:right="57"/>
              <w:rPr>
                <w:sz w:val="18"/>
                <w:szCs w:val="18"/>
              </w:rPr>
            </w:pPr>
            <w:r w:rsidRPr="00F86C1C">
              <w:rPr>
                <w:sz w:val="18"/>
                <w:szCs w:val="18"/>
              </w:rPr>
              <w:t xml:space="preserve">Use of Schott </w:t>
            </w:r>
            <w:proofErr w:type="spellStart"/>
            <w:r w:rsidRPr="00F86C1C">
              <w:rPr>
                <w:sz w:val="18"/>
                <w:szCs w:val="18"/>
              </w:rPr>
              <w:t>TopLine</w:t>
            </w:r>
            <w:proofErr w:type="spellEnd"/>
            <w:r w:rsidRPr="00F86C1C">
              <w:rPr>
                <w:sz w:val="18"/>
                <w:szCs w:val="18"/>
              </w:rPr>
              <w:t xml:space="preserve"> ampoules; and</w:t>
            </w:r>
          </w:p>
          <w:p w14:paraId="20972FCB" w14:textId="77777777" w:rsidR="00F86C1C" w:rsidRPr="00F86C1C" w:rsidRDefault="00F86C1C" w:rsidP="00F86C1C">
            <w:pPr>
              <w:pStyle w:val="ListBullet"/>
              <w:spacing w:before="0" w:after="0"/>
              <w:ind w:right="57"/>
              <w:rPr>
                <w:sz w:val="18"/>
                <w:szCs w:val="18"/>
              </w:rPr>
            </w:pPr>
            <w:r w:rsidRPr="00F86C1C">
              <w:rPr>
                <w:sz w:val="18"/>
                <w:szCs w:val="18"/>
              </w:rPr>
              <w:t>Amendment of the proposed CMI to reflect recommendations made in the RMP evaluation report.</w:t>
            </w:r>
          </w:p>
          <w:p w14:paraId="631138AA" w14:textId="77777777" w:rsidR="00F86C1C" w:rsidRPr="00773D08" w:rsidRDefault="00F86C1C" w:rsidP="00F86C1C">
            <w:pPr>
              <w:spacing w:before="0" w:after="0"/>
              <w:ind w:left="57" w:right="57"/>
              <w:rPr>
                <w:rFonts w:asciiTheme="minorHAnsi" w:hAnsiTheme="minorHAnsi"/>
              </w:rPr>
            </w:pPr>
            <w:r w:rsidRPr="00F86C1C">
              <w:rPr>
                <w:rFonts w:asciiTheme="minorHAnsi" w:hAnsiTheme="minorHAnsi"/>
                <w:noProof/>
                <w:sz w:val="18"/>
                <w:szCs w:val="18"/>
              </w:rPr>
              <w:t xml:space="preserve">The sponsor has suggested appropriate changes to the proposed </w:t>
            </w:r>
            <w:r w:rsidRPr="00F86C1C">
              <w:rPr>
                <w:rFonts w:asciiTheme="minorHAnsi" w:hAnsiTheme="minorHAnsi"/>
                <w:noProof/>
                <w:sz w:val="18"/>
                <w:szCs w:val="18"/>
              </w:rPr>
              <w:lastRenderedPageBreak/>
              <w:t>CMI including the use of illustrations. These changes have been outlined in the s31 response document.</w:t>
            </w:r>
          </w:p>
        </w:tc>
        <w:tc>
          <w:tcPr>
            <w:tcW w:w="2091" w:type="dxa"/>
          </w:tcPr>
          <w:p w14:paraId="26B7BB42" w14:textId="77777777" w:rsidR="00F86C1C" w:rsidRPr="00F86C1C" w:rsidRDefault="00F86C1C" w:rsidP="00F86C1C">
            <w:pPr>
              <w:ind w:left="57" w:right="57"/>
              <w:rPr>
                <w:rFonts w:asciiTheme="minorHAnsi" w:hAnsiTheme="minorHAnsi"/>
                <w:sz w:val="18"/>
                <w:szCs w:val="18"/>
              </w:rPr>
            </w:pPr>
            <w:r w:rsidRPr="00F86C1C">
              <w:rPr>
                <w:rFonts w:asciiTheme="minorHAnsi" w:hAnsiTheme="minorHAnsi"/>
                <w:sz w:val="18"/>
                <w:szCs w:val="18"/>
              </w:rPr>
              <w:lastRenderedPageBreak/>
              <w:t>This is considered acceptable</w:t>
            </w:r>
          </w:p>
        </w:tc>
      </w:tr>
      <w:tr w:rsidR="00F86C1C" w14:paraId="44359AE0" w14:textId="77777777" w:rsidTr="00F86C1C">
        <w:tc>
          <w:tcPr>
            <w:tcW w:w="3227" w:type="dxa"/>
          </w:tcPr>
          <w:p w14:paraId="615DB026" w14:textId="77777777" w:rsidR="00F86C1C" w:rsidRPr="00F86C1C" w:rsidRDefault="00F86C1C" w:rsidP="00F86C1C">
            <w:pPr>
              <w:spacing w:before="0" w:after="0"/>
              <w:ind w:left="57" w:right="57"/>
              <w:rPr>
                <w:rFonts w:asciiTheme="minorHAnsi" w:hAnsiTheme="minorHAnsi"/>
                <w:sz w:val="18"/>
                <w:szCs w:val="18"/>
              </w:rPr>
            </w:pPr>
            <w:r w:rsidRPr="00F86C1C">
              <w:rPr>
                <w:rFonts w:asciiTheme="minorHAnsi" w:hAnsiTheme="minorHAnsi"/>
                <w:sz w:val="18"/>
                <w:szCs w:val="18"/>
              </w:rPr>
              <w:t>Potential issue:</w:t>
            </w:r>
          </w:p>
          <w:p w14:paraId="623B981D" w14:textId="77777777" w:rsidR="00F86C1C" w:rsidRPr="00F86C1C" w:rsidRDefault="00F86C1C" w:rsidP="00F86C1C">
            <w:pPr>
              <w:spacing w:before="0" w:after="0"/>
              <w:ind w:left="57" w:right="57"/>
              <w:rPr>
                <w:rFonts w:asciiTheme="minorHAnsi" w:hAnsiTheme="minorHAnsi"/>
                <w:sz w:val="18"/>
                <w:szCs w:val="18"/>
              </w:rPr>
            </w:pPr>
            <w:r w:rsidRPr="00F86C1C">
              <w:rPr>
                <w:rFonts w:asciiTheme="minorHAnsi" w:hAnsiTheme="minorHAnsi"/>
                <w:sz w:val="18"/>
                <w:szCs w:val="18"/>
              </w:rPr>
              <w:t>Dosing variation resulting from the inability to draw up the correct amount contained in the ampoule.</w:t>
            </w:r>
          </w:p>
        </w:tc>
        <w:tc>
          <w:tcPr>
            <w:tcW w:w="3402" w:type="dxa"/>
          </w:tcPr>
          <w:p w14:paraId="23478979" w14:textId="77777777" w:rsidR="00F86C1C" w:rsidRPr="00F86C1C" w:rsidRDefault="00F86C1C" w:rsidP="00416D90">
            <w:pPr>
              <w:spacing w:before="0" w:after="0"/>
              <w:ind w:left="57" w:right="57"/>
              <w:rPr>
                <w:rFonts w:asciiTheme="minorHAnsi" w:hAnsiTheme="minorHAnsi"/>
                <w:sz w:val="18"/>
                <w:szCs w:val="18"/>
              </w:rPr>
            </w:pPr>
            <w:r w:rsidRPr="00F86C1C">
              <w:rPr>
                <w:rFonts w:asciiTheme="minorHAnsi" w:hAnsiTheme="minorHAnsi"/>
                <w:sz w:val="18"/>
                <w:szCs w:val="18"/>
              </w:rPr>
              <w:t xml:space="preserve">The sponsor has suggested appropriate changes to the proposed CMI including the use of illustrations. These changes </w:t>
            </w:r>
            <w:r w:rsidR="00416D90">
              <w:rPr>
                <w:rFonts w:asciiTheme="minorHAnsi" w:hAnsiTheme="minorHAnsi"/>
                <w:sz w:val="18"/>
                <w:szCs w:val="18"/>
              </w:rPr>
              <w:t>were</w:t>
            </w:r>
            <w:r w:rsidRPr="00F86C1C">
              <w:rPr>
                <w:rFonts w:asciiTheme="minorHAnsi" w:hAnsiTheme="minorHAnsi"/>
                <w:sz w:val="18"/>
                <w:szCs w:val="18"/>
              </w:rPr>
              <w:t xml:space="preserve"> outlined in the TGA request for further information document.</w:t>
            </w:r>
          </w:p>
        </w:tc>
        <w:tc>
          <w:tcPr>
            <w:tcW w:w="2091" w:type="dxa"/>
          </w:tcPr>
          <w:p w14:paraId="0A71A0E1" w14:textId="77777777" w:rsidR="00F86C1C" w:rsidRPr="00F86C1C" w:rsidRDefault="00F86C1C" w:rsidP="00F86C1C">
            <w:pPr>
              <w:spacing w:before="0" w:after="0"/>
              <w:ind w:left="57" w:right="57"/>
              <w:rPr>
                <w:rFonts w:asciiTheme="minorHAnsi" w:hAnsiTheme="minorHAnsi"/>
                <w:sz w:val="18"/>
                <w:szCs w:val="18"/>
              </w:rPr>
            </w:pPr>
            <w:r w:rsidRPr="00F86C1C">
              <w:rPr>
                <w:rFonts w:asciiTheme="minorHAnsi" w:hAnsiTheme="minorHAnsi"/>
                <w:sz w:val="18"/>
                <w:szCs w:val="18"/>
              </w:rPr>
              <w:t>This is considered acceptable.</w:t>
            </w:r>
          </w:p>
        </w:tc>
      </w:tr>
      <w:tr w:rsidR="00F86C1C" w14:paraId="0708DA5F" w14:textId="77777777" w:rsidTr="00F86C1C">
        <w:tc>
          <w:tcPr>
            <w:tcW w:w="3227" w:type="dxa"/>
          </w:tcPr>
          <w:p w14:paraId="5783539F" w14:textId="77777777" w:rsidR="00F86C1C" w:rsidRPr="00416D90" w:rsidRDefault="00F86C1C" w:rsidP="00416D90">
            <w:pPr>
              <w:spacing w:before="0" w:after="0"/>
              <w:ind w:left="57" w:right="57"/>
              <w:rPr>
                <w:rFonts w:asciiTheme="minorHAnsi" w:hAnsiTheme="minorHAnsi"/>
                <w:sz w:val="18"/>
                <w:szCs w:val="18"/>
              </w:rPr>
            </w:pPr>
            <w:r w:rsidRPr="00416D90">
              <w:rPr>
                <w:rFonts w:asciiTheme="minorHAnsi" w:hAnsiTheme="minorHAnsi"/>
                <w:sz w:val="18"/>
                <w:szCs w:val="18"/>
              </w:rPr>
              <w:t>Potential issue:</w:t>
            </w:r>
          </w:p>
          <w:p w14:paraId="642BE934" w14:textId="77777777" w:rsidR="00F86C1C" w:rsidRPr="00416D90" w:rsidRDefault="00F86C1C" w:rsidP="00416D90">
            <w:pPr>
              <w:spacing w:before="0" w:after="0"/>
              <w:ind w:left="57" w:right="57"/>
              <w:rPr>
                <w:rFonts w:asciiTheme="minorHAnsi" w:hAnsiTheme="minorHAnsi"/>
                <w:sz w:val="18"/>
                <w:szCs w:val="18"/>
              </w:rPr>
            </w:pPr>
            <w:r w:rsidRPr="00416D90">
              <w:rPr>
                <w:rFonts w:asciiTheme="minorHAnsi" w:hAnsiTheme="minorHAnsi"/>
                <w:sz w:val="18"/>
                <w:szCs w:val="18"/>
              </w:rPr>
              <w:t>An incorrect injection technique that results in sub-dermal or intramuscular injections.</w:t>
            </w:r>
          </w:p>
        </w:tc>
        <w:tc>
          <w:tcPr>
            <w:tcW w:w="3402" w:type="dxa"/>
          </w:tcPr>
          <w:p w14:paraId="039E660E" w14:textId="77777777" w:rsidR="00F86C1C" w:rsidRPr="00416D90" w:rsidRDefault="00F86C1C" w:rsidP="00416D90">
            <w:pPr>
              <w:spacing w:before="0" w:after="0"/>
              <w:ind w:left="57" w:right="57"/>
              <w:rPr>
                <w:rFonts w:asciiTheme="minorHAnsi" w:hAnsiTheme="minorHAnsi"/>
                <w:sz w:val="18"/>
                <w:szCs w:val="18"/>
              </w:rPr>
            </w:pPr>
            <w:r w:rsidRPr="00416D90">
              <w:rPr>
                <w:rFonts w:asciiTheme="minorHAnsi" w:hAnsiTheme="minorHAnsi"/>
                <w:sz w:val="18"/>
                <w:szCs w:val="18"/>
              </w:rPr>
              <w:t xml:space="preserve">The sponsor has suggested appropriate changes to the proposed CMI including </w:t>
            </w:r>
            <w:r w:rsidR="00416D90">
              <w:rPr>
                <w:rFonts w:asciiTheme="minorHAnsi" w:hAnsiTheme="minorHAnsi"/>
                <w:sz w:val="18"/>
                <w:szCs w:val="18"/>
              </w:rPr>
              <w:t xml:space="preserve">the </w:t>
            </w:r>
            <w:r w:rsidRPr="00416D90">
              <w:rPr>
                <w:rFonts w:asciiTheme="minorHAnsi" w:hAnsiTheme="minorHAnsi"/>
                <w:sz w:val="18"/>
                <w:szCs w:val="18"/>
              </w:rPr>
              <w:t>use of illustrations</w:t>
            </w:r>
            <w:r w:rsidR="00416D90" w:rsidRPr="00416D90">
              <w:rPr>
                <w:rFonts w:asciiTheme="minorHAnsi" w:hAnsiTheme="minorHAnsi"/>
                <w:sz w:val="18"/>
                <w:szCs w:val="18"/>
              </w:rPr>
              <w:t xml:space="preserve">. These changes </w:t>
            </w:r>
            <w:r w:rsidR="00416D90">
              <w:rPr>
                <w:rFonts w:asciiTheme="minorHAnsi" w:hAnsiTheme="minorHAnsi"/>
                <w:sz w:val="18"/>
                <w:szCs w:val="18"/>
              </w:rPr>
              <w:t>were</w:t>
            </w:r>
            <w:r w:rsidR="00416D90" w:rsidRPr="00416D90">
              <w:rPr>
                <w:rFonts w:asciiTheme="minorHAnsi" w:hAnsiTheme="minorHAnsi"/>
                <w:sz w:val="18"/>
                <w:szCs w:val="18"/>
              </w:rPr>
              <w:t xml:space="preserve"> outlined in the TGA request for further information document.</w:t>
            </w:r>
          </w:p>
        </w:tc>
        <w:tc>
          <w:tcPr>
            <w:tcW w:w="2091" w:type="dxa"/>
          </w:tcPr>
          <w:p w14:paraId="6EBDEBB8" w14:textId="77777777" w:rsidR="00F86C1C" w:rsidRPr="00416D90" w:rsidRDefault="00416D90" w:rsidP="00416D90">
            <w:pPr>
              <w:spacing w:before="0" w:after="0"/>
              <w:ind w:left="57" w:right="57"/>
              <w:rPr>
                <w:rFonts w:asciiTheme="minorHAnsi" w:hAnsiTheme="minorHAnsi"/>
                <w:sz w:val="18"/>
                <w:szCs w:val="18"/>
              </w:rPr>
            </w:pPr>
            <w:r w:rsidRPr="00416D90">
              <w:rPr>
                <w:rFonts w:asciiTheme="minorHAnsi" w:hAnsiTheme="minorHAnsi"/>
                <w:sz w:val="18"/>
                <w:szCs w:val="18"/>
              </w:rPr>
              <w:t>This is considered acceptable.</w:t>
            </w:r>
          </w:p>
        </w:tc>
      </w:tr>
      <w:tr w:rsidR="00416D90" w14:paraId="077FEED5" w14:textId="77777777" w:rsidTr="00F86C1C">
        <w:tc>
          <w:tcPr>
            <w:tcW w:w="3227" w:type="dxa"/>
          </w:tcPr>
          <w:p w14:paraId="79AE30F8" w14:textId="77777777" w:rsidR="00416D90" w:rsidRDefault="00416D90" w:rsidP="00416D90">
            <w:pPr>
              <w:spacing w:before="0" w:after="0"/>
              <w:ind w:left="57" w:right="57"/>
              <w:rPr>
                <w:rFonts w:asciiTheme="minorHAnsi" w:hAnsiTheme="minorHAnsi"/>
                <w:sz w:val="18"/>
                <w:szCs w:val="18"/>
              </w:rPr>
            </w:pPr>
            <w:r>
              <w:rPr>
                <w:rFonts w:asciiTheme="minorHAnsi" w:hAnsiTheme="minorHAnsi"/>
                <w:sz w:val="18"/>
                <w:szCs w:val="18"/>
              </w:rPr>
              <w:t>Potential issue:</w:t>
            </w:r>
          </w:p>
          <w:p w14:paraId="2A999EB8" w14:textId="77777777" w:rsidR="00416D90" w:rsidRPr="00416D90" w:rsidRDefault="00416D90" w:rsidP="00416D90">
            <w:pPr>
              <w:spacing w:before="0" w:after="0"/>
              <w:ind w:left="57" w:right="57"/>
              <w:rPr>
                <w:rFonts w:asciiTheme="minorHAnsi" w:hAnsiTheme="minorHAnsi"/>
                <w:sz w:val="18"/>
                <w:szCs w:val="18"/>
              </w:rPr>
            </w:pPr>
            <w:r>
              <w:rPr>
                <w:rFonts w:asciiTheme="minorHAnsi" w:hAnsiTheme="minorHAnsi"/>
                <w:sz w:val="18"/>
                <w:szCs w:val="18"/>
              </w:rPr>
              <w:t>Failure to dispose of the sharp appropriately and risk of transmission of disease to others.</w:t>
            </w:r>
          </w:p>
        </w:tc>
        <w:tc>
          <w:tcPr>
            <w:tcW w:w="3402" w:type="dxa"/>
          </w:tcPr>
          <w:p w14:paraId="626ABFCD" w14:textId="77777777" w:rsidR="00416D90" w:rsidRPr="00416D90" w:rsidRDefault="00416D90" w:rsidP="00416D90">
            <w:pPr>
              <w:spacing w:before="0" w:after="0"/>
              <w:ind w:left="57" w:right="57"/>
              <w:rPr>
                <w:rFonts w:asciiTheme="minorHAnsi" w:hAnsiTheme="minorHAnsi"/>
                <w:sz w:val="18"/>
                <w:szCs w:val="18"/>
              </w:rPr>
            </w:pPr>
            <w:r>
              <w:rPr>
                <w:rFonts w:asciiTheme="minorHAnsi" w:hAnsiTheme="minorHAnsi"/>
                <w:sz w:val="18"/>
                <w:szCs w:val="18"/>
              </w:rPr>
              <w:t>The sponsor has suggested appropriate changes to the proposed CMI including the use of illustrations. These changes were outlined in the TGA request for further information document.</w:t>
            </w:r>
          </w:p>
        </w:tc>
        <w:tc>
          <w:tcPr>
            <w:tcW w:w="2091" w:type="dxa"/>
          </w:tcPr>
          <w:p w14:paraId="344CF5D6" w14:textId="77777777" w:rsidR="00416D90" w:rsidRPr="00416D90" w:rsidRDefault="00416D90" w:rsidP="00416D90">
            <w:pPr>
              <w:spacing w:before="0" w:after="0"/>
              <w:ind w:left="57" w:right="57"/>
              <w:rPr>
                <w:rFonts w:asciiTheme="minorHAnsi" w:hAnsiTheme="minorHAnsi"/>
                <w:sz w:val="18"/>
                <w:szCs w:val="18"/>
              </w:rPr>
            </w:pPr>
            <w:r>
              <w:rPr>
                <w:rFonts w:asciiTheme="minorHAnsi" w:hAnsiTheme="minorHAnsi"/>
                <w:sz w:val="18"/>
                <w:szCs w:val="18"/>
              </w:rPr>
              <w:t>This is considered acceptable.</w:t>
            </w:r>
          </w:p>
        </w:tc>
      </w:tr>
    </w:tbl>
    <w:p w14:paraId="51FA1DEC" w14:textId="77777777" w:rsidR="008E7846" w:rsidRPr="00792A32" w:rsidRDefault="008E7846" w:rsidP="008E7846">
      <w:pPr>
        <w:pStyle w:val="Heading2"/>
      </w:pPr>
      <w:bookmarkStart w:id="235" w:name="_Toc314842510"/>
      <w:bookmarkStart w:id="236" w:name="_Toc38368073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218"/>
      <w:bookmarkEnd w:id="229"/>
      <w:bookmarkEnd w:id="235"/>
      <w:bookmarkEnd w:id="236"/>
    </w:p>
    <w:p w14:paraId="035AB796" w14:textId="77777777" w:rsidR="008E7846" w:rsidRDefault="008E7846" w:rsidP="008E7846">
      <w:bookmarkStart w:id="237" w:name="_Toc247691528"/>
      <w:r>
        <w:t xml:space="preserve">The submission was summarised in the following </w:t>
      </w:r>
      <w:r w:rsidRPr="00EF5C48">
        <w:t xml:space="preserve">Delegate’s </w:t>
      </w:r>
      <w:r>
        <w:t>overview</w:t>
      </w:r>
      <w:r w:rsidRPr="00EF5C48">
        <w:t xml:space="preserve"> and recommendation</w:t>
      </w:r>
      <w:r>
        <w:t>s:</w:t>
      </w:r>
    </w:p>
    <w:p w14:paraId="4A41A898" w14:textId="77777777" w:rsidR="008E7846" w:rsidRDefault="008E7846" w:rsidP="008E7846">
      <w:pPr>
        <w:pStyle w:val="Heading3"/>
      </w:pPr>
      <w:bookmarkStart w:id="238" w:name="_Toc314842511"/>
      <w:bookmarkStart w:id="239" w:name="_Toc383680736"/>
      <w:r>
        <w:t>Quality</w:t>
      </w:r>
      <w:bookmarkEnd w:id="237"/>
      <w:bookmarkEnd w:id="238"/>
      <w:bookmarkEnd w:id="239"/>
    </w:p>
    <w:p w14:paraId="53EDA469" w14:textId="77777777" w:rsidR="008E44E2" w:rsidRPr="00D74D0E" w:rsidRDefault="00BA58BF" w:rsidP="00D74D0E">
      <w:r w:rsidRPr="00D74D0E">
        <w:t>The</w:t>
      </w:r>
      <w:r w:rsidR="008E44E2" w:rsidRPr="00D74D0E">
        <w:t xml:space="preserve"> pharmaceutical chemistry evaluator has no objection to registration.</w:t>
      </w:r>
    </w:p>
    <w:p w14:paraId="5EC93E23" w14:textId="77777777" w:rsidR="00D74D0E" w:rsidRPr="00D74D0E" w:rsidRDefault="008E44E2" w:rsidP="00D74D0E">
      <w:r w:rsidRPr="00D74D0E">
        <w:t xml:space="preserve">In </w:t>
      </w:r>
      <w:r w:rsidR="00D74D0E">
        <w:t>HV,</w:t>
      </w:r>
      <w:r w:rsidRPr="00D74D0E">
        <w:t xml:space="preserve"> </w:t>
      </w:r>
      <w:proofErr w:type="spellStart"/>
      <w:r w:rsidRPr="00D74D0E">
        <w:t>T</w:t>
      </w:r>
      <w:r w:rsidRPr="00D74D0E">
        <w:rPr>
          <w:vertAlign w:val="subscript"/>
        </w:rPr>
        <w:t>max</w:t>
      </w:r>
      <w:proofErr w:type="spellEnd"/>
      <w:r w:rsidRPr="00D74D0E">
        <w:t xml:space="preserve"> is 0.25-0.50 hours. Pasireotide shows linear pharmacokinetics</w:t>
      </w:r>
      <w:r w:rsidR="00D74D0E">
        <w:t xml:space="preserve"> </w:t>
      </w:r>
      <w:r w:rsidRPr="00D74D0E">
        <w:t xml:space="preserve">in both </w:t>
      </w:r>
      <w:r w:rsidR="00D74D0E">
        <w:t>HV</w:t>
      </w:r>
      <w:r w:rsidRPr="00D74D0E">
        <w:t xml:space="preserve"> and Cushing’s disease patients over the dose range studied,</w:t>
      </w:r>
      <w:r w:rsidR="00D74D0E">
        <w:t xml:space="preserve"> </w:t>
      </w:r>
      <w:r w:rsidR="00D74D0E" w:rsidRPr="00D74D0E">
        <w:t xml:space="preserve">which includes the proposed therapeutic doses. The effective </w:t>
      </w:r>
      <w:r w:rsidR="00D74D0E">
        <w:t xml:space="preserve">t½ </w:t>
      </w:r>
      <w:r w:rsidR="00D74D0E" w:rsidRPr="00D74D0E">
        <w:t>is approximately 12</w:t>
      </w:r>
      <w:r w:rsidR="00D74D0E">
        <w:t xml:space="preserve"> </w:t>
      </w:r>
      <w:r w:rsidR="00D74D0E" w:rsidRPr="00D74D0E">
        <w:t>hours. In plasma, it is 88% protein bound.</w:t>
      </w:r>
    </w:p>
    <w:p w14:paraId="6961B76E" w14:textId="77777777" w:rsidR="00D74D0E" w:rsidRPr="00D74D0E" w:rsidRDefault="00D74D0E" w:rsidP="00D74D0E">
      <w:r w:rsidRPr="00D74D0E">
        <w:t>No studies have been conducted to evaluate the absolute bioavailability in humans.</w:t>
      </w:r>
      <w:r>
        <w:t xml:space="preserve"> </w:t>
      </w:r>
      <w:r w:rsidRPr="00D74D0E">
        <w:t>Pasireotide is metabolically stable and is mainly eliminated via hepatic clearance (biliary</w:t>
      </w:r>
      <w:r>
        <w:t xml:space="preserve"> </w:t>
      </w:r>
      <w:r w:rsidRPr="00D74D0E">
        <w:t>excretion) and only to a small extent via renal route. Relative to patients with intact</w:t>
      </w:r>
      <w:r>
        <w:t xml:space="preserve"> </w:t>
      </w:r>
      <w:r w:rsidRPr="00D74D0E">
        <w:t>hepatic function, patients with mild, moderate and severe hepatic impairment (Child-Pugh</w:t>
      </w:r>
      <w:r>
        <w:t xml:space="preserve"> </w:t>
      </w:r>
      <w:r w:rsidRPr="00D74D0E">
        <w:t xml:space="preserve">A, B, C) show an </w:t>
      </w:r>
      <w:r w:rsidR="00BA58BF">
        <w:t>8</w:t>
      </w:r>
      <w:r w:rsidRPr="00D74D0E">
        <w:t xml:space="preserve">%, </w:t>
      </w:r>
      <w:r w:rsidR="00BA58BF">
        <w:t>60</w:t>
      </w:r>
      <w:r w:rsidRPr="00D74D0E">
        <w:t xml:space="preserve">%, </w:t>
      </w:r>
      <w:r w:rsidR="00BA58BF">
        <w:t>79</w:t>
      </w:r>
      <w:r w:rsidRPr="00D74D0E">
        <w:t>% increase in AUC</w:t>
      </w:r>
      <w:r w:rsidRPr="00D74D0E">
        <w:rPr>
          <w:vertAlign w:val="subscript"/>
        </w:rPr>
        <w:t>inf</w:t>
      </w:r>
      <w:r w:rsidRPr="00D74D0E">
        <w:t xml:space="preserve">, and a </w:t>
      </w:r>
      <w:r w:rsidR="00BA58BF">
        <w:t>7</w:t>
      </w:r>
      <w:r w:rsidRPr="00D74D0E">
        <w:t xml:space="preserve">%, </w:t>
      </w:r>
      <w:r w:rsidR="00BA58BF">
        <w:t>67</w:t>
      </w:r>
      <w:r w:rsidRPr="00D74D0E">
        <w:t xml:space="preserve">%, </w:t>
      </w:r>
      <w:r w:rsidR="00BA58BF">
        <w:t>69</w:t>
      </w:r>
      <w:r w:rsidRPr="00D74D0E">
        <w:t xml:space="preserve">% increase in </w:t>
      </w:r>
      <w:proofErr w:type="spellStart"/>
      <w:r w:rsidRPr="00D74D0E">
        <w:t>C</w:t>
      </w:r>
      <w:r w:rsidRPr="00D74D0E">
        <w:rPr>
          <w:vertAlign w:val="subscript"/>
        </w:rPr>
        <w:t>max</w:t>
      </w:r>
      <w:proofErr w:type="spellEnd"/>
      <w:r>
        <w:rPr>
          <w:vertAlign w:val="subscript"/>
        </w:rPr>
        <w:t xml:space="preserve"> </w:t>
      </w:r>
      <w:r w:rsidRPr="00D74D0E">
        <w:t>(</w:t>
      </w:r>
      <w:r>
        <w:t>S</w:t>
      </w:r>
      <w:r w:rsidRPr="00D74D0E">
        <w:t>tudy B2114)</w:t>
      </w:r>
      <w:r w:rsidR="00BA58BF" w:rsidRPr="00BA58BF">
        <w:t xml:space="preserve"> </w:t>
      </w:r>
      <w:r w:rsidR="00BA58BF">
        <w:t>after adjustment for age, BMI and albumin</w:t>
      </w:r>
      <w:r w:rsidRPr="00D74D0E">
        <w:t>. Based on these data, the proposed PI recommends dose adjustment in</w:t>
      </w:r>
      <w:r>
        <w:t xml:space="preserve"> </w:t>
      </w:r>
      <w:r w:rsidRPr="00D74D0E">
        <w:t>patients with moderate hepatic impairment and contraindication of pasireotide use in</w:t>
      </w:r>
      <w:r>
        <w:t xml:space="preserve"> </w:t>
      </w:r>
      <w:r w:rsidRPr="00D74D0E">
        <w:t>patients with severe hepatic impairment. The clinical evaluator had some concerns with</w:t>
      </w:r>
      <w:r>
        <w:t xml:space="preserve"> </w:t>
      </w:r>
      <w:r w:rsidR="00964A93">
        <w:t>this.</w:t>
      </w:r>
    </w:p>
    <w:p w14:paraId="64C6D452" w14:textId="77777777" w:rsidR="00D74D0E" w:rsidRPr="00D74D0E" w:rsidRDefault="00D74D0E" w:rsidP="00D74D0E">
      <w:r w:rsidRPr="00D74D0E">
        <w:t>Based on</w:t>
      </w:r>
      <w:r w:rsidR="00E27E5F">
        <w:t xml:space="preserve"> </w:t>
      </w:r>
      <w:r w:rsidR="004939E4" w:rsidRPr="00A338C4">
        <w:t>in vitro</w:t>
      </w:r>
      <w:r w:rsidRPr="00D74D0E">
        <w:t xml:space="preserve"> studies, pasireotide is not a substrate, inhibitor, or inducer for metabolic</w:t>
      </w:r>
      <w:r>
        <w:t xml:space="preserve"> </w:t>
      </w:r>
      <w:r w:rsidRPr="00D74D0E">
        <w:t>isozymes in the proposed dosing range, and therefore unlikely to be subject to drug-drug</w:t>
      </w:r>
      <w:r>
        <w:t xml:space="preserve"> </w:t>
      </w:r>
      <w:r w:rsidRPr="00D74D0E">
        <w:t>interactions.</w:t>
      </w:r>
    </w:p>
    <w:p w14:paraId="3ACC3411" w14:textId="77777777" w:rsidR="00D74D0E" w:rsidRDefault="00D74D0E" w:rsidP="00D74D0E">
      <w:pPr>
        <w:rPr>
          <w:rFonts w:eastAsiaTheme="minorHAnsi" w:cs="Cambria"/>
        </w:rPr>
      </w:pPr>
      <w:r w:rsidRPr="00D74D0E">
        <w:t>Pasireotide was evaluated for potential QT prolongation in two QT studies. Testing was</w:t>
      </w:r>
      <w:r>
        <w:t xml:space="preserve"> </w:t>
      </w:r>
      <w:r w:rsidRPr="00D74D0E">
        <w:t xml:space="preserve">conducted with one of the therapeutic doses (600 </w:t>
      </w:r>
      <w:r w:rsidR="009E2DAC">
        <w:t>µ</w:t>
      </w:r>
      <w:r w:rsidRPr="00D74D0E">
        <w:t>g) and with a supratherapeutic dose</w:t>
      </w:r>
      <w:r>
        <w:t xml:space="preserve"> </w:t>
      </w:r>
      <w:r w:rsidRPr="00D74D0E">
        <w:t xml:space="preserve">of 1950 </w:t>
      </w:r>
      <w:r w:rsidR="009E2DAC">
        <w:t>µ</w:t>
      </w:r>
      <w:r w:rsidRPr="00D74D0E">
        <w:t>g to simulate a possible “worst case scenario” such as administration to</w:t>
      </w:r>
      <w:r>
        <w:t xml:space="preserve"> </w:t>
      </w:r>
      <w:r w:rsidRPr="00D74D0E">
        <w:t xml:space="preserve">patients </w:t>
      </w:r>
      <w:r w:rsidRPr="00D74D0E">
        <w:lastRenderedPageBreak/>
        <w:t xml:space="preserve">with hepatic impairment. In both studies an effect of </w:t>
      </w:r>
      <w:proofErr w:type="spellStart"/>
      <w:r w:rsidRPr="00D74D0E">
        <w:t>pasireotide</w:t>
      </w:r>
      <w:proofErr w:type="spellEnd"/>
      <w:r w:rsidRPr="00D74D0E">
        <w:t xml:space="preserve"> on the QTc</w:t>
      </w:r>
      <w:r>
        <w:t xml:space="preserve"> </w:t>
      </w:r>
      <w:r>
        <w:rPr>
          <w:rFonts w:eastAsiaTheme="minorHAnsi" w:cs="Cambria"/>
        </w:rPr>
        <w:t xml:space="preserve">interval was observed. The maximum placebo-subtracted mean change from baseline occurred at two hours post dose. Pasireotide increased the double-corrected QTc interval by 13.19 </w:t>
      </w:r>
      <w:proofErr w:type="spellStart"/>
      <w:r>
        <w:rPr>
          <w:rFonts w:eastAsiaTheme="minorHAnsi" w:cs="Cambria"/>
        </w:rPr>
        <w:t>ms</w:t>
      </w:r>
      <w:proofErr w:type="spellEnd"/>
      <w:r>
        <w:rPr>
          <w:rFonts w:eastAsiaTheme="minorHAnsi" w:cs="Cambria"/>
        </w:rPr>
        <w:t xml:space="preserve"> (90% </w:t>
      </w:r>
      <w:r w:rsidR="00964A93">
        <w:rPr>
          <w:rFonts w:eastAsiaTheme="minorHAnsi" w:cs="Cambria"/>
        </w:rPr>
        <w:t>confidence interval (</w:t>
      </w:r>
      <w:r>
        <w:rPr>
          <w:rFonts w:eastAsiaTheme="minorHAnsi" w:cs="Cambria"/>
        </w:rPr>
        <w:t>CI</w:t>
      </w:r>
      <w:r w:rsidR="00964A93">
        <w:rPr>
          <w:rFonts w:eastAsiaTheme="minorHAnsi" w:cs="Cambria"/>
        </w:rPr>
        <w:t>)</w:t>
      </w:r>
      <w:r>
        <w:rPr>
          <w:rFonts w:eastAsiaTheme="minorHAnsi" w:cs="Cambria"/>
        </w:rPr>
        <w:t xml:space="preserve">: 11.38; 15.01) and 16.12 </w:t>
      </w:r>
      <w:proofErr w:type="spellStart"/>
      <w:r>
        <w:rPr>
          <w:rFonts w:eastAsiaTheme="minorHAnsi" w:cs="Cambria"/>
        </w:rPr>
        <w:t>ms</w:t>
      </w:r>
      <w:proofErr w:type="spellEnd"/>
      <w:r>
        <w:rPr>
          <w:rFonts w:eastAsiaTheme="minorHAnsi" w:cs="Cambria"/>
        </w:rPr>
        <w:t xml:space="preserve"> (90% CI: 14.30; 17.95 </w:t>
      </w:r>
      <w:proofErr w:type="spellStart"/>
      <w:r>
        <w:rPr>
          <w:rFonts w:eastAsiaTheme="minorHAnsi" w:cs="Cambria"/>
        </w:rPr>
        <w:t>ms</w:t>
      </w:r>
      <w:proofErr w:type="spellEnd"/>
      <w:r>
        <w:rPr>
          <w:rFonts w:eastAsiaTheme="minorHAnsi" w:cs="Cambria"/>
        </w:rPr>
        <w:t xml:space="preserve">) following 600 </w:t>
      </w:r>
      <w:r w:rsidR="009E2DAC">
        <w:rPr>
          <w:rFonts w:eastAsiaTheme="minorHAnsi" w:cs="Cambria"/>
        </w:rPr>
        <w:t>µ</w:t>
      </w:r>
      <w:r>
        <w:rPr>
          <w:rFonts w:eastAsiaTheme="minorHAnsi" w:cs="Cambria"/>
        </w:rPr>
        <w:t xml:space="preserve">g </w:t>
      </w:r>
      <w:r w:rsidR="0009268D">
        <w:rPr>
          <w:rFonts w:eastAsiaTheme="minorHAnsi" w:cs="Cambria"/>
        </w:rPr>
        <w:t>BD</w:t>
      </w:r>
      <w:r>
        <w:rPr>
          <w:rFonts w:eastAsiaTheme="minorHAnsi" w:cs="Cambria"/>
        </w:rPr>
        <w:t xml:space="preserve"> and 1950 </w:t>
      </w:r>
      <w:r w:rsidR="009E2DAC">
        <w:rPr>
          <w:rFonts w:eastAsiaTheme="minorHAnsi" w:cs="Cambria"/>
        </w:rPr>
        <w:t>µ</w:t>
      </w:r>
      <w:r>
        <w:rPr>
          <w:rFonts w:eastAsiaTheme="minorHAnsi" w:cs="Cambria"/>
        </w:rPr>
        <w:t xml:space="preserve">g </w:t>
      </w:r>
      <w:r w:rsidR="0009268D">
        <w:rPr>
          <w:rFonts w:eastAsiaTheme="minorHAnsi" w:cs="Cambria"/>
        </w:rPr>
        <w:t>BD</w:t>
      </w:r>
      <w:r>
        <w:rPr>
          <w:rFonts w:eastAsiaTheme="minorHAnsi" w:cs="Cambria"/>
        </w:rPr>
        <w:t>, respectively. The PI will need to clearly and explicitly convey this information.</w:t>
      </w:r>
    </w:p>
    <w:p w14:paraId="46F647B1" w14:textId="77777777" w:rsidR="00D74D0E" w:rsidRDefault="00D74D0E" w:rsidP="00D74D0E">
      <w:pPr>
        <w:pStyle w:val="Heading3"/>
        <w:rPr>
          <w:rFonts w:eastAsiaTheme="minorHAnsi"/>
        </w:rPr>
      </w:pPr>
      <w:bookmarkStart w:id="240" w:name="_Toc383680737"/>
      <w:r>
        <w:rPr>
          <w:rFonts w:eastAsiaTheme="minorHAnsi"/>
        </w:rPr>
        <w:t>Nonclinical evaluation</w:t>
      </w:r>
      <w:bookmarkEnd w:id="240"/>
    </w:p>
    <w:p w14:paraId="71293122" w14:textId="77777777" w:rsidR="00D74D0E" w:rsidRPr="00D74D0E" w:rsidRDefault="00D74D0E" w:rsidP="00D74D0E">
      <w:r w:rsidRPr="00D74D0E">
        <w:t>There were no unexpected findings identified with pasireotide and the toxicity profile is</w:t>
      </w:r>
      <w:r>
        <w:t xml:space="preserve"> </w:t>
      </w:r>
      <w:r w:rsidRPr="00D74D0E">
        <w:t>consistent with other somatostatin analogues.</w:t>
      </w:r>
    </w:p>
    <w:p w14:paraId="544ECB67" w14:textId="77777777" w:rsidR="00D74D0E" w:rsidRPr="00D74D0E" w:rsidRDefault="00D74D0E" w:rsidP="00D74D0E">
      <w:r w:rsidRPr="00D74D0E">
        <w:t>The toxicities observed in toxicology studies are described as extensions of the</w:t>
      </w:r>
      <w:r>
        <w:t xml:space="preserve"> </w:t>
      </w:r>
      <w:r w:rsidRPr="00D74D0E">
        <w:t>pharmacologic activity of the drug and are consistent across species. Pasireotide was not</w:t>
      </w:r>
      <w:r>
        <w:t xml:space="preserve"> </w:t>
      </w:r>
      <w:r w:rsidRPr="00D74D0E">
        <w:t>found to be genotoxic. Carcinogenicity studies were negative for drug-related neoplasms.</w:t>
      </w:r>
    </w:p>
    <w:p w14:paraId="6DDE178A" w14:textId="77777777" w:rsidR="00D74D0E" w:rsidRPr="00D74D0E" w:rsidRDefault="00D74D0E" w:rsidP="00D74D0E">
      <w:r w:rsidRPr="00D74D0E">
        <w:t xml:space="preserve">With respect to </w:t>
      </w:r>
      <w:proofErr w:type="spellStart"/>
      <w:r w:rsidRPr="00D74D0E">
        <w:t>hyperglycemia</w:t>
      </w:r>
      <w:proofErr w:type="spellEnd"/>
      <w:r w:rsidRPr="00D74D0E">
        <w:t xml:space="preserve"> and hepatic </w:t>
      </w:r>
      <w:r>
        <w:t>AE</w:t>
      </w:r>
      <w:r w:rsidRPr="00D74D0E">
        <w:t xml:space="preserve"> (two safety concerns identified</w:t>
      </w:r>
      <w:r>
        <w:t xml:space="preserve"> </w:t>
      </w:r>
      <w:r w:rsidRPr="00D74D0E">
        <w:t>in humans during the pasireotide program), the animal data provide only limited insight.</w:t>
      </w:r>
      <w:r>
        <w:t xml:space="preserve"> </w:t>
      </w:r>
      <w:r w:rsidRPr="00D74D0E">
        <w:t>The observation that pasireotide inhibits insulin secretion was made in animals and in</w:t>
      </w:r>
      <w:r>
        <w:t xml:space="preserve"> </w:t>
      </w:r>
      <w:r w:rsidRPr="00D74D0E">
        <w:t>humans. Overt hepatic toxicity was not observed in healthy animals.</w:t>
      </w:r>
    </w:p>
    <w:p w14:paraId="7C3A0343" w14:textId="77777777" w:rsidR="00D74D0E" w:rsidRPr="00D74D0E" w:rsidRDefault="00D74D0E" w:rsidP="00D74D0E">
      <w:r w:rsidRPr="00D74D0E">
        <w:t>Because reproduction studies performed in rats and rabbits showed evidence of impaired</w:t>
      </w:r>
      <w:r>
        <w:t xml:space="preserve"> </w:t>
      </w:r>
      <w:r w:rsidRPr="00D74D0E">
        <w:t xml:space="preserve">fertility or harm to the </w:t>
      </w:r>
      <w:proofErr w:type="spellStart"/>
      <w:r w:rsidRPr="00D74D0E">
        <w:t>fetus</w:t>
      </w:r>
      <w:proofErr w:type="spellEnd"/>
      <w:r w:rsidRPr="00D74D0E">
        <w:t xml:space="preserve"> at therapeutic </w:t>
      </w:r>
      <w:proofErr w:type="spellStart"/>
      <w:r w:rsidRPr="00D74D0E">
        <w:t>pasireotide</w:t>
      </w:r>
      <w:proofErr w:type="spellEnd"/>
      <w:r w:rsidRPr="00D74D0E">
        <w:t xml:space="preserve"> exposures, a pregnancy C category</w:t>
      </w:r>
      <w:r>
        <w:t xml:space="preserve"> </w:t>
      </w:r>
      <w:r w:rsidRPr="00D74D0E">
        <w:t>is recommended, indicating that pasireotide should be used during pregnancy only if</w:t>
      </w:r>
      <w:r>
        <w:t xml:space="preserve"> </w:t>
      </w:r>
      <w:r w:rsidRPr="00D74D0E">
        <w:t>clearly needed. Patients with Cushing’s disease, in general, have low fertility rates because</w:t>
      </w:r>
      <w:r>
        <w:t xml:space="preserve"> </w:t>
      </w:r>
      <w:r w:rsidRPr="00D74D0E">
        <w:t>of the effects of cortisol on the reproductive system; and, for patients who undergo</w:t>
      </w:r>
      <w:r>
        <w:t xml:space="preserve"> </w:t>
      </w:r>
      <w:r w:rsidRPr="00D74D0E">
        <w:t>pituitary surgery, because of a higher likelihood of pituitary insufficiency.</w:t>
      </w:r>
    </w:p>
    <w:p w14:paraId="589C248A" w14:textId="77777777" w:rsidR="00D74D0E" w:rsidRPr="00D74D0E" w:rsidRDefault="00D74D0E" w:rsidP="00D74D0E">
      <w:r w:rsidRPr="00D74D0E">
        <w:t>Pasireotide also had an inhibitory effect on GH/IGF-1 secretion in animals, which is the</w:t>
      </w:r>
      <w:r>
        <w:t xml:space="preserve"> </w:t>
      </w:r>
      <w:r w:rsidRPr="00D74D0E">
        <w:t>basis for it being developed for the treatment of acromegaly.</w:t>
      </w:r>
    </w:p>
    <w:p w14:paraId="79329E11" w14:textId="77777777" w:rsidR="008E7846" w:rsidRDefault="008E7846" w:rsidP="008E7846">
      <w:pPr>
        <w:pStyle w:val="Heading3"/>
      </w:pPr>
      <w:bookmarkStart w:id="241" w:name="_Toc247691530"/>
      <w:bookmarkStart w:id="242" w:name="_Toc314842513"/>
      <w:bookmarkStart w:id="243" w:name="_Toc383680738"/>
      <w:r>
        <w:t>Clinical</w:t>
      </w:r>
      <w:bookmarkEnd w:id="241"/>
      <w:bookmarkEnd w:id="242"/>
      <w:bookmarkEnd w:id="243"/>
    </w:p>
    <w:p w14:paraId="25E6ED82" w14:textId="77777777" w:rsidR="00D74D0E" w:rsidRPr="00572777" w:rsidRDefault="00D74D0E" w:rsidP="00572777">
      <w:r w:rsidRPr="00572777">
        <w:t>The clinical evaluator recommended that the application be approved, although he/she</w:t>
      </w:r>
      <w:r w:rsidR="00572777">
        <w:t xml:space="preserve"> </w:t>
      </w:r>
      <w:r w:rsidRPr="00572777">
        <w:t>raised two areas of uncertainty concerning the PI:</w:t>
      </w:r>
    </w:p>
    <w:p w14:paraId="27326D78" w14:textId="77777777" w:rsidR="00D74D0E" w:rsidRPr="00D74D0E" w:rsidRDefault="00D74D0E" w:rsidP="00D74D0E">
      <w:pPr>
        <w:pStyle w:val="ListBullet"/>
      </w:pPr>
      <w:r w:rsidRPr="00D74D0E">
        <w:t>Use in patients with moderate hepatic impairment.</w:t>
      </w:r>
    </w:p>
    <w:p w14:paraId="549E54E2" w14:textId="77777777" w:rsidR="00D74D0E" w:rsidRPr="00D74D0E" w:rsidRDefault="00D74D0E" w:rsidP="00572777">
      <w:pPr>
        <w:ind w:firstLine="360"/>
      </w:pPr>
      <w:r w:rsidRPr="00D74D0E">
        <w:t>The dosage recommendations in the initially proposed PI were:</w:t>
      </w:r>
    </w:p>
    <w:p w14:paraId="592B3618" w14:textId="77777777" w:rsidR="00D74D0E" w:rsidRPr="00D74D0E" w:rsidRDefault="00D74D0E" w:rsidP="00572777">
      <w:pPr>
        <w:pStyle w:val="ListBullet2"/>
      </w:pPr>
      <w:r w:rsidRPr="00D74D0E">
        <w:t>No dose adjustment for mildly impaired hepatic function (Child-Pugh A)</w:t>
      </w:r>
    </w:p>
    <w:p w14:paraId="69C7284F" w14:textId="77777777" w:rsidR="00D74D0E" w:rsidRPr="00D74D0E" w:rsidRDefault="00D74D0E" w:rsidP="00572777">
      <w:pPr>
        <w:pStyle w:val="ListBullet2"/>
      </w:pPr>
      <w:r w:rsidRPr="00D74D0E">
        <w:t>An initial dose of 300</w:t>
      </w:r>
      <w:r w:rsidR="009E2DAC">
        <w:t>µ</w:t>
      </w:r>
      <w:r w:rsidRPr="00D74D0E">
        <w:t>g twice a day for moderately impaired hepatic</w:t>
      </w:r>
      <w:r>
        <w:t xml:space="preserve"> </w:t>
      </w:r>
      <w:r w:rsidRPr="00D74D0E">
        <w:t>function (Child-Pugh B). The maximum recommended dose is 600</w:t>
      </w:r>
      <w:r>
        <w:t xml:space="preserve"> </w:t>
      </w:r>
      <w:r w:rsidR="009E2DAC">
        <w:t>µ</w:t>
      </w:r>
      <w:r w:rsidRPr="00D74D0E">
        <w:t>g</w:t>
      </w:r>
      <w:r>
        <w:t xml:space="preserve"> </w:t>
      </w:r>
      <w:r w:rsidRPr="00D74D0E">
        <w:t>twice a day.</w:t>
      </w:r>
    </w:p>
    <w:p w14:paraId="186246A1" w14:textId="77777777" w:rsidR="00D74D0E" w:rsidRPr="00D74D0E" w:rsidRDefault="00D74D0E" w:rsidP="00572777">
      <w:pPr>
        <w:pStyle w:val="ListBullet2"/>
      </w:pPr>
      <w:r w:rsidRPr="00D74D0E">
        <w:t>Contraindicated for patients with severe hepatic impairment (Child Pugh</w:t>
      </w:r>
      <w:r>
        <w:t xml:space="preserve"> C</w:t>
      </w:r>
      <w:r w:rsidRPr="00D74D0E">
        <w:t>).</w:t>
      </w:r>
    </w:p>
    <w:p w14:paraId="0D3C3F7F" w14:textId="77777777" w:rsidR="00D74D0E" w:rsidRPr="00D74D0E" w:rsidRDefault="00D74D0E" w:rsidP="00572777">
      <w:pPr>
        <w:ind w:left="360"/>
      </w:pPr>
      <w:r w:rsidRPr="00D74D0E">
        <w:t>In response to the evaluator’s concern about use in moderate hepatic</w:t>
      </w:r>
      <w:r>
        <w:t xml:space="preserve"> </w:t>
      </w:r>
      <w:r w:rsidRPr="00D74D0E">
        <w:t>impairment, the sponsor added the following extra information about the initial dose of 300</w:t>
      </w:r>
      <w:r w:rsidR="009E2DAC">
        <w:t>µ</w:t>
      </w:r>
      <w:r w:rsidRPr="00D74D0E">
        <w:t>g and possible titration to 600</w:t>
      </w:r>
      <w:r w:rsidR="009E2DAC">
        <w:t>µg</w:t>
      </w:r>
      <w:r w:rsidRPr="00D74D0E">
        <w:t xml:space="preserve"> (2nd point above):</w:t>
      </w:r>
      <w:r w:rsidR="00572777">
        <w:t xml:space="preserve"> </w:t>
      </w:r>
      <w:r w:rsidRPr="00D74D0E">
        <w:t>“only following careful consideration of perceived risks and benefits to the</w:t>
      </w:r>
      <w:r w:rsidR="00572777">
        <w:t xml:space="preserve"> </w:t>
      </w:r>
      <w:r w:rsidRPr="00D74D0E">
        <w:t>individual and with frequent clinical review and monitoring of liver function”.</w:t>
      </w:r>
    </w:p>
    <w:p w14:paraId="5B5C96AB" w14:textId="77777777" w:rsidR="00D74D0E" w:rsidRPr="00D74D0E" w:rsidRDefault="00D74D0E" w:rsidP="00D74D0E">
      <w:pPr>
        <w:pStyle w:val="ListBullet"/>
      </w:pPr>
      <w:r w:rsidRPr="00D74D0E">
        <w:t xml:space="preserve">The wording of the indication: The clinical evaluator preferred </w:t>
      </w:r>
      <w:r w:rsidRPr="00572777">
        <w:rPr>
          <w:i/>
        </w:rPr>
        <w:t>Treatment of</w:t>
      </w:r>
      <w:r w:rsidR="00572777" w:rsidRPr="00572777">
        <w:rPr>
          <w:i/>
        </w:rPr>
        <w:t xml:space="preserve"> </w:t>
      </w:r>
      <w:r w:rsidRPr="00572777">
        <w:rPr>
          <w:i/>
        </w:rPr>
        <w:t>patients with Cushing’s disease for whom pituitary surgery is contraindicated or has</w:t>
      </w:r>
      <w:r w:rsidR="00572777" w:rsidRPr="00572777">
        <w:rPr>
          <w:i/>
        </w:rPr>
        <w:t xml:space="preserve"> </w:t>
      </w:r>
      <w:r w:rsidRPr="00572777">
        <w:rPr>
          <w:i/>
        </w:rPr>
        <w:t xml:space="preserve">failed </w:t>
      </w:r>
      <w:r w:rsidRPr="00D74D0E">
        <w:t>because “this defines the target population more precisely and is more</w:t>
      </w:r>
      <w:r w:rsidR="00572777">
        <w:t xml:space="preserve"> </w:t>
      </w:r>
      <w:r w:rsidRPr="00D74D0E">
        <w:t>consistent with the population studied in the clinical trial”. The sponsor made this</w:t>
      </w:r>
      <w:r w:rsidR="00572777">
        <w:t xml:space="preserve"> </w:t>
      </w:r>
      <w:r w:rsidRPr="00D74D0E">
        <w:t>change during the evaluation.</w:t>
      </w:r>
    </w:p>
    <w:p w14:paraId="0A0D0C6B" w14:textId="77777777" w:rsidR="00D74D0E" w:rsidRPr="00D74D0E" w:rsidRDefault="00D74D0E" w:rsidP="00D74D0E">
      <w:r w:rsidRPr="00D74D0E">
        <w:t>The data evaluated included:</w:t>
      </w:r>
    </w:p>
    <w:p w14:paraId="31A226BC" w14:textId="77777777" w:rsidR="00D74D0E" w:rsidRPr="00D74D0E" w:rsidRDefault="00D74D0E" w:rsidP="00D74D0E">
      <w:pPr>
        <w:pStyle w:val="ListBullet"/>
      </w:pPr>
      <w:r w:rsidRPr="00D74D0E">
        <w:lastRenderedPageBreak/>
        <w:t xml:space="preserve">12 clinical pharmacology studies, including 11 that provided </w:t>
      </w:r>
      <w:r w:rsidR="00572777">
        <w:t>PK</w:t>
      </w:r>
      <w:r w:rsidRPr="00D74D0E">
        <w:t xml:space="preserve"> data</w:t>
      </w:r>
      <w:r w:rsidR="00572777">
        <w:t xml:space="preserve"> </w:t>
      </w:r>
      <w:r w:rsidRPr="00D74D0E">
        <w:t xml:space="preserve">and </w:t>
      </w:r>
      <w:r w:rsidR="00572777">
        <w:t>nine</w:t>
      </w:r>
      <w:r w:rsidRPr="00D74D0E">
        <w:t xml:space="preserve"> that provided </w:t>
      </w:r>
      <w:r w:rsidR="00572777">
        <w:t>PD</w:t>
      </w:r>
      <w:r w:rsidRPr="00D74D0E">
        <w:t xml:space="preserve"> data.</w:t>
      </w:r>
    </w:p>
    <w:p w14:paraId="34B4C72D" w14:textId="77777777" w:rsidR="00D74D0E" w:rsidRPr="00D74D0E" w:rsidRDefault="00572777" w:rsidP="00572777">
      <w:pPr>
        <w:pStyle w:val="ListBullet"/>
      </w:pPr>
      <w:r>
        <w:t>One pivotal efficacy/safety S</w:t>
      </w:r>
      <w:r w:rsidR="00D74D0E" w:rsidRPr="00D74D0E">
        <w:t>tudy B2305</w:t>
      </w:r>
    </w:p>
    <w:p w14:paraId="1649CAC3" w14:textId="77777777" w:rsidR="00572777" w:rsidRDefault="00572777" w:rsidP="00572777">
      <w:pPr>
        <w:pStyle w:val="ListBullet"/>
      </w:pPr>
      <w:r>
        <w:t>Four other efficacy/safety studies.</w:t>
      </w:r>
    </w:p>
    <w:p w14:paraId="27F46445" w14:textId="77777777" w:rsidR="00572777" w:rsidRDefault="00572777" w:rsidP="00572777">
      <w:pPr>
        <w:pStyle w:val="ListBullet"/>
      </w:pPr>
      <w:r>
        <w:t>Population safety reports on glucose metabolism, QT/QTc (cardiac safety), and a hepatic safety report</w:t>
      </w:r>
    </w:p>
    <w:p w14:paraId="65B78534" w14:textId="77777777" w:rsidR="008E7846" w:rsidRDefault="00572777" w:rsidP="00572777">
      <w:r>
        <w:t>The main evidence of efficacy of pasireotide in patients with Cushing’s disease comes from Phase III Trial B2305. Supporting evidence comes from the Phase II Trial B2208.</w:t>
      </w:r>
    </w:p>
    <w:p w14:paraId="4C7E096F" w14:textId="77777777" w:rsidR="00342E16" w:rsidRPr="00342E16" w:rsidRDefault="00342E16" w:rsidP="00342E16">
      <w:pPr>
        <w:pStyle w:val="Heading4"/>
      </w:pPr>
      <w:r w:rsidRPr="00342E16">
        <w:t>Pharmacology</w:t>
      </w:r>
    </w:p>
    <w:p w14:paraId="1A3CD698" w14:textId="77777777" w:rsidR="00342E16" w:rsidRPr="00342E16" w:rsidRDefault="00342E16" w:rsidP="00342E16">
      <w:r w:rsidRPr="00342E16">
        <w:t>Following subcutaneous injection, pasireotide was shown to have:</w:t>
      </w:r>
    </w:p>
    <w:p w14:paraId="2B0154F2" w14:textId="77777777" w:rsidR="00342E16" w:rsidRPr="00342E16" w:rsidRDefault="00342E16" w:rsidP="00342E16">
      <w:pPr>
        <w:pStyle w:val="ListBullet"/>
      </w:pPr>
      <w:r w:rsidRPr="00342E16">
        <w:t>Rapid absorption</w:t>
      </w:r>
    </w:p>
    <w:p w14:paraId="6D248594" w14:textId="77777777" w:rsidR="00342E16" w:rsidRPr="00342E16" w:rsidRDefault="00342E16" w:rsidP="00342E16">
      <w:pPr>
        <w:pStyle w:val="ListBullet"/>
      </w:pPr>
      <w:r w:rsidRPr="00342E16">
        <w:t>Dose proportionality across the proposed therapeutic doses</w:t>
      </w:r>
    </w:p>
    <w:p w14:paraId="2D256B6A" w14:textId="77777777" w:rsidR="00342E16" w:rsidRPr="00342E16" w:rsidRDefault="00342E16" w:rsidP="00342E16">
      <w:pPr>
        <w:pStyle w:val="ListBullet"/>
      </w:pPr>
      <w:r w:rsidRPr="00342E16">
        <w:t>No significant interference by metabolites</w:t>
      </w:r>
    </w:p>
    <w:p w14:paraId="0F9683AC" w14:textId="77777777" w:rsidR="00342E16" w:rsidRPr="00342E16" w:rsidRDefault="00342E16" w:rsidP="00342E16">
      <w:pPr>
        <w:pStyle w:val="ListBullet"/>
      </w:pPr>
      <w:r w:rsidRPr="00342E16">
        <w:t>Major dependence on hepatic excretion</w:t>
      </w:r>
    </w:p>
    <w:p w14:paraId="1C461FE0" w14:textId="77777777" w:rsidR="00342E16" w:rsidRPr="00342E16" w:rsidRDefault="00342E16" w:rsidP="00342E16">
      <w:pPr>
        <w:pStyle w:val="Heading4"/>
      </w:pPr>
      <w:r w:rsidRPr="00342E16">
        <w:t>Pharmacodynamics</w:t>
      </w:r>
    </w:p>
    <w:p w14:paraId="4941854E" w14:textId="77777777" w:rsidR="00342E16" w:rsidRPr="00342E16" w:rsidRDefault="00342E16" w:rsidP="00342E16">
      <w:r w:rsidRPr="00342E16">
        <w:t>Pasireotide has several secondary PD actions which reflect widespread inhibitory role of</w:t>
      </w:r>
      <w:r>
        <w:t xml:space="preserve"> </w:t>
      </w:r>
      <w:r w:rsidRPr="00342E16">
        <w:t>SST. Two are particularly noteworthy:</w:t>
      </w:r>
    </w:p>
    <w:p w14:paraId="71A3CC43" w14:textId="77777777" w:rsidR="00342E16" w:rsidRPr="00342E16" w:rsidRDefault="00342E16" w:rsidP="00342E16">
      <w:pPr>
        <w:pStyle w:val="ListBullet"/>
      </w:pPr>
      <w:r w:rsidRPr="00342E16">
        <w:t xml:space="preserve">Physiological </w:t>
      </w:r>
      <w:r w:rsidR="008E387B">
        <w:t>GH</w:t>
      </w:r>
      <w:r w:rsidRPr="00342E16">
        <w:t xml:space="preserve"> secretion is suppressed at a lower dose threshold</w:t>
      </w:r>
      <w:r>
        <w:t xml:space="preserve"> </w:t>
      </w:r>
      <w:r w:rsidRPr="00342E16">
        <w:t>than the therapeutic dose used in Cushing’s disease.</w:t>
      </w:r>
    </w:p>
    <w:p w14:paraId="33E018C2" w14:textId="77777777" w:rsidR="00342E16" w:rsidRPr="00342E16" w:rsidRDefault="00342E16" w:rsidP="00342E16">
      <w:pPr>
        <w:pStyle w:val="ListBullet"/>
      </w:pPr>
      <w:r w:rsidRPr="00342E16">
        <w:t>Maximal effects on glucose homoeostasis occurs at any dose within the therapeutic</w:t>
      </w:r>
      <w:r>
        <w:t xml:space="preserve"> </w:t>
      </w:r>
      <w:r w:rsidRPr="00342E16">
        <w:t>range for Cushing’s disease; so downward adjustment of dose is unlikely to</w:t>
      </w:r>
      <w:r>
        <w:t xml:space="preserve"> </w:t>
      </w:r>
      <w:r w:rsidRPr="00342E16">
        <w:t>ameliorate hyperglycaemia/diabetes.</w:t>
      </w:r>
    </w:p>
    <w:p w14:paraId="37228C0A" w14:textId="77777777" w:rsidR="00342E16" w:rsidRPr="00342E16" w:rsidRDefault="00342E16" w:rsidP="00342E16">
      <w:pPr>
        <w:pStyle w:val="Heading4"/>
      </w:pPr>
      <w:r w:rsidRPr="00342E16">
        <w:t>Efficacy</w:t>
      </w:r>
    </w:p>
    <w:p w14:paraId="43633300" w14:textId="77777777" w:rsidR="00342E16" w:rsidRPr="00342E16" w:rsidRDefault="00342E16" w:rsidP="00342E16">
      <w:r w:rsidRPr="00342E16">
        <w:t>The pivotal evidence of efficacy for pasireotide in patients with Cushing’s disease comes from the Phase</w:t>
      </w:r>
      <w:r w:rsidR="00A60283">
        <w:t xml:space="preserve"> III</w:t>
      </w:r>
      <w:r w:rsidRPr="00342E16">
        <w:t xml:space="preserve"> </w:t>
      </w:r>
      <w:r w:rsidR="00A60283">
        <w:t>C</w:t>
      </w:r>
      <w:r w:rsidRPr="00342E16">
        <w:t xml:space="preserve">linical </w:t>
      </w:r>
      <w:r w:rsidR="00A60283">
        <w:t>T</w:t>
      </w:r>
      <w:r w:rsidRPr="00342E16">
        <w:t>rial B2305, which is the largest</w:t>
      </w:r>
      <w:r>
        <w:t xml:space="preserve"> </w:t>
      </w:r>
      <w:r w:rsidRPr="00342E16">
        <w:t>Phase</w:t>
      </w:r>
      <w:r>
        <w:t xml:space="preserve"> III</w:t>
      </w:r>
      <w:r w:rsidRPr="00342E16">
        <w:t xml:space="preserve"> study conducted in Cushing’s disease patients, for any therapy.</w:t>
      </w:r>
      <w:r>
        <w:t xml:space="preserve"> </w:t>
      </w:r>
      <w:r w:rsidRPr="00342E16">
        <w:t>Supportive evidence comes from the Phase</w:t>
      </w:r>
      <w:r>
        <w:t xml:space="preserve"> II</w:t>
      </w:r>
      <w:r w:rsidRPr="00342E16">
        <w:t xml:space="preserve"> </w:t>
      </w:r>
      <w:r>
        <w:t>C</w:t>
      </w:r>
      <w:r w:rsidRPr="00342E16">
        <w:t xml:space="preserve">linical </w:t>
      </w:r>
      <w:r>
        <w:t>T</w:t>
      </w:r>
      <w:r w:rsidRPr="00342E16">
        <w:t>rial B2208.</w:t>
      </w:r>
    </w:p>
    <w:p w14:paraId="4FA858E5" w14:textId="77777777" w:rsidR="00342E16" w:rsidRDefault="00342E16" w:rsidP="00A60283">
      <w:pPr>
        <w:pStyle w:val="TableTitle"/>
        <w:keepLines/>
      </w:pPr>
      <w:bookmarkStart w:id="244" w:name="_Toc314842514"/>
      <w:r>
        <w:t xml:space="preserve">Table </w:t>
      </w:r>
      <w:r w:rsidR="00A60283">
        <w:t xml:space="preserve">12: </w:t>
      </w:r>
      <w:r w:rsidRPr="00342E16">
        <w:t>Study B2208 (Phase</w:t>
      </w:r>
      <w:r>
        <w:t xml:space="preserve"> II</w:t>
      </w:r>
      <w:r w:rsidRPr="00342E16">
        <w:t>, supportive)</w:t>
      </w:r>
    </w:p>
    <w:tbl>
      <w:tblPr>
        <w:tblStyle w:val="TableGrid"/>
        <w:tblW w:w="0" w:type="auto"/>
        <w:tblLook w:val="04A0" w:firstRow="1" w:lastRow="0" w:firstColumn="1" w:lastColumn="0" w:noHBand="0" w:noVBand="1"/>
      </w:tblPr>
      <w:tblGrid>
        <w:gridCol w:w="1519"/>
        <w:gridCol w:w="6975"/>
      </w:tblGrid>
      <w:tr w:rsidR="00463B1A" w14:paraId="77BAE24E" w14:textId="77777777" w:rsidTr="00463B1A">
        <w:tc>
          <w:tcPr>
            <w:tcW w:w="1526" w:type="dxa"/>
          </w:tcPr>
          <w:p w14:paraId="0867377D" w14:textId="77777777" w:rsidR="00463B1A" w:rsidRDefault="00463B1A" w:rsidP="00A60283">
            <w:pPr>
              <w:keepNext/>
              <w:keepLines/>
            </w:pPr>
            <w:r>
              <w:t>Patients</w:t>
            </w:r>
          </w:p>
        </w:tc>
        <w:tc>
          <w:tcPr>
            <w:tcW w:w="7194" w:type="dxa"/>
          </w:tcPr>
          <w:p w14:paraId="7AC87845" w14:textId="77777777" w:rsidR="00463B1A" w:rsidRDefault="00463B1A" w:rsidP="00A60283">
            <w:pPr>
              <w:keepNext/>
              <w:keepLines/>
            </w:pPr>
            <w:r w:rsidRPr="00342E16">
              <w:t>39 adult patients with Cushing’s disease</w:t>
            </w:r>
          </w:p>
        </w:tc>
      </w:tr>
      <w:tr w:rsidR="00463B1A" w14:paraId="4B9E5085" w14:textId="77777777" w:rsidTr="00463B1A">
        <w:tc>
          <w:tcPr>
            <w:tcW w:w="1526" w:type="dxa"/>
          </w:tcPr>
          <w:p w14:paraId="5788B243" w14:textId="77777777" w:rsidR="00463B1A" w:rsidRDefault="00463B1A" w:rsidP="00A60283">
            <w:pPr>
              <w:keepNext/>
              <w:keepLines/>
            </w:pPr>
            <w:r>
              <w:t>Intervention</w:t>
            </w:r>
          </w:p>
        </w:tc>
        <w:tc>
          <w:tcPr>
            <w:tcW w:w="7194" w:type="dxa"/>
          </w:tcPr>
          <w:p w14:paraId="322B8BC8" w14:textId="77777777" w:rsidR="00463B1A" w:rsidRDefault="00463B1A" w:rsidP="00224C4E">
            <w:pPr>
              <w:keepNext/>
              <w:keepLines/>
            </w:pPr>
            <w:r w:rsidRPr="00342E16">
              <w:t>600</w:t>
            </w:r>
            <w:r>
              <w:t xml:space="preserve"> </w:t>
            </w:r>
            <w:r w:rsidR="009E2DAC">
              <w:t>µ</w:t>
            </w:r>
            <w:r w:rsidRPr="00342E16">
              <w:t xml:space="preserve">g pasireotide </w:t>
            </w:r>
            <w:r w:rsidR="0009268D">
              <w:t>BD</w:t>
            </w:r>
            <w:r w:rsidRPr="00342E16">
              <w:t>, administered subcutaneously</w:t>
            </w:r>
          </w:p>
        </w:tc>
      </w:tr>
      <w:tr w:rsidR="00463B1A" w14:paraId="74BCF871" w14:textId="77777777" w:rsidTr="00463B1A">
        <w:tc>
          <w:tcPr>
            <w:tcW w:w="1526" w:type="dxa"/>
          </w:tcPr>
          <w:p w14:paraId="1383E87E" w14:textId="77777777" w:rsidR="00463B1A" w:rsidRDefault="00463B1A" w:rsidP="00A60283">
            <w:pPr>
              <w:keepNext/>
              <w:keepLines/>
            </w:pPr>
            <w:r w:rsidRPr="00342E16">
              <w:t>Comparator</w:t>
            </w:r>
          </w:p>
        </w:tc>
        <w:tc>
          <w:tcPr>
            <w:tcW w:w="7194" w:type="dxa"/>
          </w:tcPr>
          <w:p w14:paraId="467AEC03" w14:textId="77777777" w:rsidR="00463B1A" w:rsidRDefault="00463B1A" w:rsidP="00A60283">
            <w:pPr>
              <w:keepNext/>
              <w:keepLines/>
            </w:pPr>
            <w:r>
              <w:t>nil</w:t>
            </w:r>
          </w:p>
        </w:tc>
      </w:tr>
      <w:tr w:rsidR="00463B1A" w14:paraId="7B732B61" w14:textId="77777777" w:rsidTr="00463B1A">
        <w:tc>
          <w:tcPr>
            <w:tcW w:w="1526" w:type="dxa"/>
          </w:tcPr>
          <w:p w14:paraId="10940096" w14:textId="77777777" w:rsidR="00463B1A" w:rsidRDefault="00463B1A" w:rsidP="00A60283">
            <w:pPr>
              <w:keepNext/>
              <w:keepLines/>
            </w:pPr>
            <w:r w:rsidRPr="00342E16">
              <w:t>Primary</w:t>
            </w:r>
            <w:r>
              <w:t xml:space="preserve"> </w:t>
            </w:r>
            <w:r w:rsidRPr="00342E16">
              <w:t>endpoint</w:t>
            </w:r>
          </w:p>
        </w:tc>
        <w:tc>
          <w:tcPr>
            <w:tcW w:w="7194" w:type="dxa"/>
          </w:tcPr>
          <w:p w14:paraId="18E745F3" w14:textId="77777777" w:rsidR="00463B1A" w:rsidRDefault="00463B1A" w:rsidP="00A60283">
            <w:pPr>
              <w:keepNext/>
              <w:keepLines/>
            </w:pPr>
            <w:r w:rsidRPr="00342E16">
              <w:t>urinary free cortisol (UFC)</w:t>
            </w:r>
          </w:p>
        </w:tc>
      </w:tr>
      <w:tr w:rsidR="00463B1A" w14:paraId="3C9FB41E" w14:textId="77777777" w:rsidTr="00463B1A">
        <w:tc>
          <w:tcPr>
            <w:tcW w:w="1526" w:type="dxa"/>
          </w:tcPr>
          <w:p w14:paraId="0C54199C" w14:textId="77777777" w:rsidR="00463B1A" w:rsidRDefault="00463B1A" w:rsidP="00A60283">
            <w:pPr>
              <w:keepNext/>
              <w:keepLines/>
            </w:pPr>
            <w:r w:rsidRPr="00342E16">
              <w:t>Follow-up</w:t>
            </w:r>
          </w:p>
        </w:tc>
        <w:tc>
          <w:tcPr>
            <w:tcW w:w="7194" w:type="dxa"/>
          </w:tcPr>
          <w:p w14:paraId="11672268" w14:textId="77777777" w:rsidR="00463B1A" w:rsidRDefault="00463B1A" w:rsidP="00A60283">
            <w:pPr>
              <w:keepNext/>
              <w:keepLines/>
            </w:pPr>
            <w:r w:rsidRPr="00342E16">
              <w:t>15 days (patients were allowed to participate in an extension</w:t>
            </w:r>
            <w:r>
              <w:t xml:space="preserve"> </w:t>
            </w:r>
            <w:r w:rsidRPr="00342E16">
              <w:t>phase at which time up- or down- titration of the pasireotide dose</w:t>
            </w:r>
            <w:r>
              <w:t xml:space="preserve"> </w:t>
            </w:r>
            <w:r w:rsidRPr="00342E16">
              <w:t>was allowed)</w:t>
            </w:r>
          </w:p>
        </w:tc>
      </w:tr>
    </w:tbl>
    <w:p w14:paraId="55CDAF8D" w14:textId="77777777" w:rsidR="00342E16" w:rsidRPr="00342E16" w:rsidRDefault="00342E16" w:rsidP="00342E16">
      <w:r w:rsidRPr="00463B1A">
        <w:rPr>
          <w:b/>
        </w:rPr>
        <w:t>Results</w:t>
      </w:r>
      <w:r w:rsidRPr="00342E16">
        <w:t>: 5/29 (17%) of the patients who contributed data showed normalisation</w:t>
      </w:r>
      <w:r w:rsidR="00463B1A">
        <w:t xml:space="preserve"> </w:t>
      </w:r>
      <w:r w:rsidRPr="00342E16">
        <w:t xml:space="preserve">of </w:t>
      </w:r>
      <w:r w:rsidR="00964A93">
        <w:t>UFC</w:t>
      </w:r>
      <w:r w:rsidRPr="00342E16">
        <w:t>.</w:t>
      </w:r>
    </w:p>
    <w:p w14:paraId="4ED48718" w14:textId="77777777" w:rsidR="00342E16" w:rsidRPr="009E2DAC" w:rsidRDefault="00342E16" w:rsidP="009E2DAC">
      <w:r w:rsidRPr="00463B1A">
        <w:rPr>
          <w:b/>
        </w:rPr>
        <w:lastRenderedPageBreak/>
        <w:t>Comment</w:t>
      </w:r>
      <w:r w:rsidRPr="00342E16">
        <w:t>: This study showed that 600</w:t>
      </w:r>
      <w:r w:rsidR="009E2DAC">
        <w:t xml:space="preserve"> µ</w:t>
      </w:r>
      <w:r w:rsidRPr="00342E16">
        <w:t xml:space="preserve">g of pasireotide </w:t>
      </w:r>
      <w:r w:rsidR="0009268D">
        <w:t>BD</w:t>
      </w:r>
      <w:r w:rsidRPr="00342E16">
        <w:t xml:space="preserve"> can normalise</w:t>
      </w:r>
      <w:r w:rsidR="00463B1A">
        <w:t xml:space="preserve"> </w:t>
      </w:r>
      <w:r w:rsidR="00964A93">
        <w:t>UFC</w:t>
      </w:r>
      <w:r w:rsidRPr="00342E16">
        <w:t xml:space="preserve"> in some patients. Dose</w:t>
      </w:r>
      <w:r w:rsidR="00B51E40">
        <w:t xml:space="preserve"> </w:t>
      </w:r>
      <w:r w:rsidRPr="00342E16">
        <w:t xml:space="preserve">response analysis showed </w:t>
      </w:r>
      <w:r w:rsidRPr="00463B1A">
        <w:t>that</w:t>
      </w:r>
      <w:r w:rsidR="00463B1A" w:rsidRPr="00463B1A">
        <w:t xml:space="preserve"> patients who normalised had higher exposures to pasireotide than</w:t>
      </w:r>
      <w:r w:rsidR="009E2DAC">
        <w:t xml:space="preserve"> </w:t>
      </w:r>
      <w:r w:rsidR="009E2DAC" w:rsidRPr="009E2DAC">
        <w:t>non</w:t>
      </w:r>
      <w:r w:rsidR="009E2DAC">
        <w:t>-</w:t>
      </w:r>
      <w:r w:rsidR="009E2DAC" w:rsidRPr="009E2DAC">
        <w:t>responders</w:t>
      </w:r>
      <w:r w:rsidR="009E2DAC">
        <w:t xml:space="preserve"> </w:t>
      </w:r>
      <w:r w:rsidR="009E2DAC" w:rsidRPr="009E2DAC">
        <w:t>and this led to exploration of 900</w:t>
      </w:r>
      <w:r w:rsidR="009E2DAC">
        <w:t xml:space="preserve"> µ</w:t>
      </w:r>
      <w:r w:rsidR="009E2DAC" w:rsidRPr="009E2DAC">
        <w:t xml:space="preserve">g </w:t>
      </w:r>
      <w:r w:rsidR="0009268D">
        <w:t>BD</w:t>
      </w:r>
      <w:r w:rsidR="009E2DAC" w:rsidRPr="009E2DAC">
        <w:t xml:space="preserve"> in the extension phase of</w:t>
      </w:r>
      <w:r w:rsidR="009E2DAC">
        <w:t xml:space="preserve"> </w:t>
      </w:r>
      <w:r w:rsidR="009E2DAC" w:rsidRPr="009E2DAC">
        <w:t>this trial and the addition of a 900</w:t>
      </w:r>
      <w:r w:rsidR="009E2DAC">
        <w:t xml:space="preserve"> µ</w:t>
      </w:r>
      <w:r w:rsidR="009E2DAC" w:rsidRPr="009E2DAC">
        <w:t xml:space="preserve">g arm to the planned </w:t>
      </w:r>
      <w:r w:rsidR="009E2DAC">
        <w:t>P</w:t>
      </w:r>
      <w:r w:rsidR="009E2DAC" w:rsidRPr="009E2DAC">
        <w:t>hase</w:t>
      </w:r>
      <w:r w:rsidR="009E2DAC">
        <w:t xml:space="preserve"> III</w:t>
      </w:r>
      <w:r w:rsidR="009E2DAC" w:rsidRPr="009E2DAC">
        <w:t xml:space="preserve"> </w:t>
      </w:r>
      <w:r w:rsidR="009E2DAC">
        <w:t>T</w:t>
      </w:r>
      <w:r w:rsidR="009E2DAC" w:rsidRPr="009E2DAC">
        <w:t>rial B2305.</w:t>
      </w:r>
    </w:p>
    <w:p w14:paraId="4A4F7983" w14:textId="77777777" w:rsidR="00C45881" w:rsidRPr="00C45881" w:rsidRDefault="00C45881" w:rsidP="00A60283">
      <w:pPr>
        <w:pStyle w:val="TableTitle"/>
        <w:keepLines/>
      </w:pPr>
      <w:r w:rsidRPr="00C45881">
        <w:t xml:space="preserve">Table </w:t>
      </w:r>
      <w:r w:rsidR="00A60283">
        <w:t>13</w:t>
      </w:r>
      <w:r w:rsidR="00B51E40">
        <w:t>: Study B2305 (Phase III</w:t>
      </w:r>
      <w:r w:rsidRPr="00C45881">
        <w:t>, pivotal evidence provided to establish efficacy)</w:t>
      </w:r>
    </w:p>
    <w:tbl>
      <w:tblPr>
        <w:tblStyle w:val="TableGrid"/>
        <w:tblW w:w="0" w:type="auto"/>
        <w:tblLook w:val="04A0" w:firstRow="1" w:lastRow="0" w:firstColumn="1" w:lastColumn="0" w:noHBand="0" w:noVBand="1"/>
      </w:tblPr>
      <w:tblGrid>
        <w:gridCol w:w="1519"/>
        <w:gridCol w:w="6975"/>
      </w:tblGrid>
      <w:tr w:rsidR="00C45881" w14:paraId="62967C71" w14:textId="77777777" w:rsidTr="00C45881">
        <w:tc>
          <w:tcPr>
            <w:tcW w:w="1526" w:type="dxa"/>
          </w:tcPr>
          <w:bookmarkEnd w:id="244"/>
          <w:p w14:paraId="65F56F9A" w14:textId="77777777" w:rsidR="00C45881" w:rsidRPr="00C45881" w:rsidRDefault="00C45881" w:rsidP="00A60283">
            <w:pPr>
              <w:keepNext/>
              <w:keepLines/>
            </w:pPr>
            <w:r w:rsidRPr="00C45881">
              <w:t>Patients</w:t>
            </w:r>
          </w:p>
        </w:tc>
        <w:tc>
          <w:tcPr>
            <w:tcW w:w="7194" w:type="dxa"/>
          </w:tcPr>
          <w:p w14:paraId="13C75F0F" w14:textId="77777777" w:rsidR="00C45881" w:rsidRPr="00C45881" w:rsidRDefault="00C45881" w:rsidP="00A60283">
            <w:pPr>
              <w:keepNext/>
              <w:keepLines/>
            </w:pPr>
            <w:r w:rsidRPr="00C45881">
              <w:t>162 adult (18+ years) patients with Cushing’s disease enrolled at</w:t>
            </w:r>
            <w:r>
              <w:t xml:space="preserve"> </w:t>
            </w:r>
            <w:r w:rsidRPr="00C45881">
              <w:t>68 sites in 18 countries. The trial only enrolled Cushing’s disease</w:t>
            </w:r>
            <w:r>
              <w:t xml:space="preserve"> </w:t>
            </w:r>
            <w:r w:rsidRPr="00C45881">
              <w:t>patients who were candidates for medical therapy according to</w:t>
            </w:r>
            <w:r>
              <w:t xml:space="preserve"> </w:t>
            </w:r>
            <w:r w:rsidRPr="00C45881">
              <w:t>current practice: patients with persistence or recurrence of</w:t>
            </w:r>
            <w:r>
              <w:t xml:space="preserve"> </w:t>
            </w:r>
            <w:r w:rsidRPr="00C45881">
              <w:t>hypercortisolism despite prior pituitary surgery (</w:t>
            </w:r>
            <w:r>
              <w:t>that is, second</w:t>
            </w:r>
            <w:r w:rsidRPr="00C45881">
              <w:t xml:space="preserve"> 2nd line), plus</w:t>
            </w:r>
            <w:r>
              <w:t xml:space="preserve"> </w:t>
            </w:r>
            <w:r w:rsidRPr="00C45881">
              <w:t>some patients who refused surgery or were poor candidates for</w:t>
            </w:r>
            <w:r>
              <w:t xml:space="preserve"> </w:t>
            </w:r>
            <w:r w:rsidRPr="00C45881">
              <w:t>surgery (78% were women). The study had clear inclusion criteria</w:t>
            </w:r>
            <w:r>
              <w:t xml:space="preserve"> </w:t>
            </w:r>
            <w:r w:rsidRPr="00C45881">
              <w:t>to confirm Cushing’s disease and exclude non-Cushing’s patients.</w:t>
            </w:r>
            <w:r>
              <w:t xml:space="preserve"> </w:t>
            </w:r>
            <w:r w:rsidRPr="00C45881">
              <w:t>4% of patients had prior radiotherapy.</w:t>
            </w:r>
          </w:p>
        </w:tc>
      </w:tr>
      <w:tr w:rsidR="00C45881" w14:paraId="3C84F2DF" w14:textId="77777777" w:rsidTr="00C45881">
        <w:tc>
          <w:tcPr>
            <w:tcW w:w="1526" w:type="dxa"/>
          </w:tcPr>
          <w:p w14:paraId="4230EB85" w14:textId="77777777" w:rsidR="00C45881" w:rsidRPr="00C45881" w:rsidRDefault="00C45881" w:rsidP="00A60283">
            <w:pPr>
              <w:keepNext/>
              <w:keepLines/>
            </w:pPr>
            <w:r w:rsidRPr="00C45881">
              <w:t>Intervention</w:t>
            </w:r>
          </w:p>
        </w:tc>
        <w:tc>
          <w:tcPr>
            <w:tcW w:w="7194" w:type="dxa"/>
          </w:tcPr>
          <w:p w14:paraId="69C81971" w14:textId="77777777" w:rsidR="00C45881" w:rsidRPr="00C45881" w:rsidRDefault="00C45881" w:rsidP="00224C4E">
            <w:pPr>
              <w:keepNext/>
              <w:keepLines/>
            </w:pPr>
            <w:r w:rsidRPr="00C45881">
              <w:t>600</w:t>
            </w:r>
            <w:r w:rsidR="009E2DAC">
              <w:t xml:space="preserve"> µ</w:t>
            </w:r>
            <w:r w:rsidRPr="00C45881">
              <w:t>g versus 900</w:t>
            </w:r>
            <w:r w:rsidR="009E2DAC">
              <w:t xml:space="preserve"> µ</w:t>
            </w:r>
            <w:r w:rsidRPr="00C45881">
              <w:t xml:space="preserve">g pasireotide </w:t>
            </w:r>
            <w:r w:rsidR="0009268D">
              <w:t>BD</w:t>
            </w:r>
            <w:r w:rsidRPr="00C45881">
              <w:t>, administered</w:t>
            </w:r>
            <w:r>
              <w:t xml:space="preserve"> </w:t>
            </w:r>
            <w:r w:rsidRPr="00C45881">
              <w:t>subcutaneously</w:t>
            </w:r>
          </w:p>
        </w:tc>
      </w:tr>
      <w:tr w:rsidR="00C45881" w14:paraId="008369D5" w14:textId="77777777" w:rsidTr="00C45881">
        <w:tc>
          <w:tcPr>
            <w:tcW w:w="1526" w:type="dxa"/>
          </w:tcPr>
          <w:p w14:paraId="5366214A" w14:textId="77777777" w:rsidR="00C45881" w:rsidRPr="00C45881" w:rsidRDefault="00C45881" w:rsidP="00A60283">
            <w:pPr>
              <w:keepNext/>
              <w:keepLines/>
            </w:pPr>
            <w:r w:rsidRPr="00C45881">
              <w:t>Comparator</w:t>
            </w:r>
          </w:p>
        </w:tc>
        <w:tc>
          <w:tcPr>
            <w:tcW w:w="7194" w:type="dxa"/>
          </w:tcPr>
          <w:p w14:paraId="1017EA47" w14:textId="77777777" w:rsidR="00C45881" w:rsidRPr="00C45881" w:rsidRDefault="00C45881" w:rsidP="00A60283">
            <w:pPr>
              <w:keepNext/>
              <w:keepLines/>
            </w:pPr>
            <w:r w:rsidRPr="00C45881">
              <w:t>nil (only rarely does Cushing’s disease resolve/improve</w:t>
            </w:r>
            <w:r>
              <w:t xml:space="preserve"> </w:t>
            </w:r>
            <w:r w:rsidRPr="00C45881">
              <w:t>spontaneously)</w:t>
            </w:r>
          </w:p>
        </w:tc>
      </w:tr>
      <w:tr w:rsidR="00C45881" w14:paraId="66C7517A" w14:textId="77777777" w:rsidTr="00C45881">
        <w:tc>
          <w:tcPr>
            <w:tcW w:w="1526" w:type="dxa"/>
          </w:tcPr>
          <w:p w14:paraId="4C7FC128" w14:textId="77777777" w:rsidR="00C45881" w:rsidRPr="00C45881" w:rsidRDefault="00C45881" w:rsidP="00A60283">
            <w:pPr>
              <w:keepNext/>
              <w:keepLines/>
            </w:pPr>
            <w:r w:rsidRPr="00C45881">
              <w:t>Design</w:t>
            </w:r>
          </w:p>
        </w:tc>
        <w:tc>
          <w:tcPr>
            <w:tcW w:w="7194" w:type="dxa"/>
          </w:tcPr>
          <w:p w14:paraId="5C21FEE3" w14:textId="77777777" w:rsidR="00C45881" w:rsidRDefault="00C45881" w:rsidP="00A60283">
            <w:pPr>
              <w:keepNext/>
              <w:keepLines/>
            </w:pPr>
            <w:r w:rsidRPr="00C45881">
              <w:t>Parallel randomised controlled trial.</w:t>
            </w:r>
            <w:r>
              <w:t xml:space="preserve"> </w:t>
            </w:r>
          </w:p>
          <w:p w14:paraId="1F3C2A3A" w14:textId="77777777" w:rsidR="00C45881" w:rsidRPr="00C45881" w:rsidRDefault="00C45881" w:rsidP="00A60283">
            <w:pPr>
              <w:keepNext/>
              <w:keepLines/>
            </w:pPr>
            <w:r w:rsidRPr="00C45881">
              <w:t>A potential carry-over effect of previous medications was</w:t>
            </w:r>
            <w:r>
              <w:t xml:space="preserve"> </w:t>
            </w:r>
            <w:r w:rsidRPr="00C45881">
              <w:t>minimised by a washout of previous medical therapies that took</w:t>
            </w:r>
            <w:r>
              <w:t xml:space="preserve"> </w:t>
            </w:r>
            <w:r w:rsidRPr="00C45881">
              <w:t>into account the half-life of specific drugs.</w:t>
            </w:r>
          </w:p>
          <w:p w14:paraId="622CABCA" w14:textId="77777777" w:rsidR="00C45881" w:rsidRPr="00C45881" w:rsidRDefault="00C45881" w:rsidP="00AF1E41">
            <w:pPr>
              <w:keepNext/>
              <w:keepLines/>
            </w:pPr>
            <w:r w:rsidRPr="00C45881">
              <w:t xml:space="preserve">The study protocol did not allow patients to continue </w:t>
            </w:r>
            <w:r>
              <w:t xml:space="preserve">pasireotide </w:t>
            </w:r>
            <w:r w:rsidRPr="00C45881">
              <w:t>treatment at the randomised dose if they failed to show</w:t>
            </w:r>
            <w:r>
              <w:t xml:space="preserve"> </w:t>
            </w:r>
            <w:r w:rsidRPr="00C45881">
              <w:t xml:space="preserve">improvement. By </w:t>
            </w:r>
            <w:r>
              <w:t>three</w:t>
            </w:r>
            <w:r w:rsidRPr="00C45881">
              <w:t xml:space="preserve"> months of treatment, patients who did not</w:t>
            </w:r>
            <w:r>
              <w:t xml:space="preserve"> </w:t>
            </w:r>
            <w:r w:rsidRPr="00C45881">
              <w:t>reach a UFC level that was clearly trending</w:t>
            </w:r>
            <w:r>
              <w:t xml:space="preserve"> </w:t>
            </w:r>
            <w:r w:rsidRPr="00C45881">
              <w:t>towards normalisation were unblinded and allowed to increase</w:t>
            </w:r>
            <w:r>
              <w:t xml:space="preserve"> </w:t>
            </w:r>
            <w:r w:rsidRPr="00C45881">
              <w:t>their dose by 300</w:t>
            </w:r>
            <w:r w:rsidR="009E2DAC">
              <w:t>µ</w:t>
            </w:r>
            <w:r w:rsidRPr="00C45881">
              <w:t>g. Patients for whom the dose could not be</w:t>
            </w:r>
            <w:r>
              <w:t xml:space="preserve"> </w:t>
            </w:r>
            <w:r w:rsidRPr="00C45881">
              <w:t>escalated were discontinued from the trial. All patients, who were</w:t>
            </w:r>
            <w:r>
              <w:t xml:space="preserve"> unblinded at three</w:t>
            </w:r>
            <w:r w:rsidRPr="00C45881">
              <w:t xml:space="preserve"> months, were considered treatment failures in for</w:t>
            </w:r>
            <w:r>
              <w:t xml:space="preserve"> </w:t>
            </w:r>
            <w:r w:rsidRPr="00C45881">
              <w:t>the purpose of the primary endpoint. (Only 66% of patients</w:t>
            </w:r>
            <w:r>
              <w:t xml:space="preserve"> </w:t>
            </w:r>
            <w:r w:rsidRPr="00C45881">
              <w:t xml:space="preserve">completed the first </w:t>
            </w:r>
            <w:r>
              <w:t>six</w:t>
            </w:r>
            <w:r w:rsidRPr="00C45881">
              <w:t xml:space="preserve"> months of the trial due to a combination of</w:t>
            </w:r>
            <w:r>
              <w:t xml:space="preserve"> </w:t>
            </w:r>
            <w:r w:rsidRPr="00C45881">
              <w:t>poor response and adverse events.)</w:t>
            </w:r>
          </w:p>
        </w:tc>
      </w:tr>
      <w:tr w:rsidR="00C45881" w14:paraId="161F4011" w14:textId="77777777" w:rsidTr="00C45881">
        <w:tc>
          <w:tcPr>
            <w:tcW w:w="1526" w:type="dxa"/>
          </w:tcPr>
          <w:p w14:paraId="078DA125" w14:textId="77777777" w:rsidR="00C45881" w:rsidRPr="00C45881" w:rsidRDefault="00C45881" w:rsidP="00A60283">
            <w:pPr>
              <w:keepNext/>
              <w:keepLines/>
            </w:pPr>
            <w:r w:rsidRPr="00C45881">
              <w:t>Primary</w:t>
            </w:r>
            <w:r>
              <w:t xml:space="preserve"> </w:t>
            </w:r>
            <w:r w:rsidRPr="00C45881">
              <w:t>endpoint</w:t>
            </w:r>
          </w:p>
        </w:tc>
        <w:tc>
          <w:tcPr>
            <w:tcW w:w="7194" w:type="dxa"/>
          </w:tcPr>
          <w:p w14:paraId="5F6BCA87" w14:textId="77777777" w:rsidR="00C45881" w:rsidRPr="00C45881" w:rsidRDefault="00C45881" w:rsidP="00A60283">
            <w:pPr>
              <w:keepNext/>
              <w:keepLines/>
            </w:pPr>
            <w:r w:rsidRPr="00C45881">
              <w:t xml:space="preserve">Normalised </w:t>
            </w:r>
            <w:r w:rsidR="00964A93">
              <w:t>EFC</w:t>
            </w:r>
            <w:r w:rsidRPr="00C45881">
              <w:t xml:space="preserve"> (at or below the </w:t>
            </w:r>
            <w:r w:rsidR="00964A93">
              <w:t>ULN</w:t>
            </w:r>
            <w:r w:rsidRPr="00C45881">
              <w:t xml:space="preserve"> range at </w:t>
            </w:r>
            <w:r>
              <w:t>six</w:t>
            </w:r>
            <w:r w:rsidRPr="00C45881">
              <w:t xml:space="preserve"> months without a dose increase).</w:t>
            </w:r>
          </w:p>
          <w:p w14:paraId="45457ED3" w14:textId="77777777" w:rsidR="00C45881" w:rsidRPr="00C45881" w:rsidRDefault="00C45881" w:rsidP="00AF1E41">
            <w:pPr>
              <w:keepNext/>
              <w:keepLines/>
            </w:pPr>
            <w:r w:rsidRPr="00C45881">
              <w:t>UFC was measured as an average of multiple urine collections</w:t>
            </w:r>
            <w:r>
              <w:t xml:space="preserve"> </w:t>
            </w:r>
            <w:r w:rsidRPr="00C45881">
              <w:t xml:space="preserve">and is referred to as the </w:t>
            </w:r>
            <w:proofErr w:type="spellStart"/>
            <w:r w:rsidRPr="00C45881">
              <w:t>mUFC</w:t>
            </w:r>
            <w:proofErr w:type="spellEnd"/>
            <w:r w:rsidRPr="00C45881">
              <w:t xml:space="preserve"> for each time point</w:t>
            </w:r>
            <w:r>
              <w:t xml:space="preserve"> </w:t>
            </w:r>
            <w:r w:rsidRPr="00C45881">
              <w:t>for each patient.</w:t>
            </w:r>
          </w:p>
        </w:tc>
      </w:tr>
      <w:tr w:rsidR="00C45881" w14:paraId="5CB87851" w14:textId="77777777" w:rsidTr="00C45881">
        <w:tc>
          <w:tcPr>
            <w:tcW w:w="1526" w:type="dxa"/>
          </w:tcPr>
          <w:p w14:paraId="47E996BB" w14:textId="77777777" w:rsidR="00C45881" w:rsidRPr="00C45881" w:rsidRDefault="00C45881" w:rsidP="00A60283">
            <w:pPr>
              <w:keepNext/>
              <w:keepLines/>
            </w:pPr>
            <w:r w:rsidRPr="00C45881">
              <w:t>Follow-up</w:t>
            </w:r>
          </w:p>
        </w:tc>
        <w:tc>
          <w:tcPr>
            <w:tcW w:w="7194" w:type="dxa"/>
          </w:tcPr>
          <w:p w14:paraId="67485381" w14:textId="77777777" w:rsidR="00C45881" w:rsidRPr="00C45881" w:rsidRDefault="00C45881" w:rsidP="00A60283">
            <w:pPr>
              <w:keepNext/>
              <w:keepLines/>
            </w:pPr>
            <w:r>
              <w:t>Six</w:t>
            </w:r>
            <w:r w:rsidRPr="00C45881">
              <w:t xml:space="preserve"> months for primary outcome (double blinding), with a </w:t>
            </w:r>
            <w:r>
              <w:t>six</w:t>
            </w:r>
            <w:r w:rsidRPr="00C45881">
              <w:t xml:space="preserve"> months</w:t>
            </w:r>
            <w:r>
              <w:t xml:space="preserve"> </w:t>
            </w:r>
            <w:r w:rsidRPr="00C45881">
              <w:t>extension (open label); and further follow-up after 12 months.</w:t>
            </w:r>
          </w:p>
        </w:tc>
      </w:tr>
    </w:tbl>
    <w:p w14:paraId="2BECB051" w14:textId="77777777" w:rsidR="00B11892" w:rsidRPr="00B11892" w:rsidRDefault="00B11892" w:rsidP="00B11892">
      <w:r w:rsidRPr="00B11892">
        <w:rPr>
          <w:b/>
        </w:rPr>
        <w:t>Pre-planned analysis:</w:t>
      </w:r>
      <w:r w:rsidRPr="00B11892">
        <w:t xml:space="preserve"> The two different doses were not compared to each</w:t>
      </w:r>
      <w:r>
        <w:t xml:space="preserve"> </w:t>
      </w:r>
      <w:r w:rsidRPr="00B11892">
        <w:t>other. Instead, each dose was independently compared to a threshold, set by</w:t>
      </w:r>
      <w:r>
        <w:t xml:space="preserve"> </w:t>
      </w:r>
      <w:r w:rsidRPr="00B11892">
        <w:t>FDA, of a 15% response rate. (Spontaneous remission of C</w:t>
      </w:r>
      <w:r w:rsidR="00964A93">
        <w:t>ushing’s disease</w:t>
      </w:r>
      <w:r w:rsidRPr="00B11892">
        <w:t xml:space="preserve"> is an exceedingly</w:t>
      </w:r>
      <w:r>
        <w:t xml:space="preserve"> </w:t>
      </w:r>
      <w:r w:rsidRPr="00B11892">
        <w:t>rare event.)</w:t>
      </w:r>
    </w:p>
    <w:p w14:paraId="3234D4B1" w14:textId="77777777" w:rsidR="00B11892" w:rsidRPr="00B11892" w:rsidRDefault="00B11892" w:rsidP="00B11892">
      <w:r w:rsidRPr="00B11892">
        <w:t>Sample size/power: 73 patients in each group would provide 87% power to</w:t>
      </w:r>
      <w:r>
        <w:t xml:space="preserve"> </w:t>
      </w:r>
      <w:r w:rsidRPr="00B11892">
        <w:t>demonstrate statistical significance at 5% against the 15% threshold.</w:t>
      </w:r>
    </w:p>
    <w:p w14:paraId="2FD045CC" w14:textId="77777777" w:rsidR="00B11892" w:rsidRDefault="00B11892" w:rsidP="00A60283">
      <w:pPr>
        <w:pStyle w:val="TableTitle"/>
        <w:keepLines/>
      </w:pPr>
      <w:r>
        <w:lastRenderedPageBreak/>
        <w:t>Table</w:t>
      </w:r>
      <w:r w:rsidR="00A60283">
        <w:t xml:space="preserve"> 14</w:t>
      </w:r>
      <w:r>
        <w:t>: Primary efficacy endpoint at 6 months</w:t>
      </w:r>
    </w:p>
    <w:tbl>
      <w:tblPr>
        <w:tblStyle w:val="TableGrid"/>
        <w:tblW w:w="8613" w:type="dxa"/>
        <w:tblLook w:val="04A0" w:firstRow="1" w:lastRow="0" w:firstColumn="1" w:lastColumn="0" w:noHBand="0" w:noVBand="1"/>
      </w:tblPr>
      <w:tblGrid>
        <w:gridCol w:w="2943"/>
        <w:gridCol w:w="1985"/>
        <w:gridCol w:w="1984"/>
        <w:gridCol w:w="1701"/>
      </w:tblGrid>
      <w:tr w:rsidR="004C54E3" w14:paraId="30AD160B" w14:textId="77777777" w:rsidTr="004C54E3">
        <w:tc>
          <w:tcPr>
            <w:tcW w:w="2943" w:type="dxa"/>
          </w:tcPr>
          <w:p w14:paraId="64125F20" w14:textId="77777777" w:rsidR="00B11892" w:rsidRPr="00B11892" w:rsidRDefault="00B11892" w:rsidP="00A60283">
            <w:pPr>
              <w:keepNext/>
              <w:keepLines/>
              <w:rPr>
                <w:sz w:val="20"/>
                <w:szCs w:val="20"/>
              </w:rPr>
            </w:pPr>
          </w:p>
        </w:tc>
        <w:tc>
          <w:tcPr>
            <w:tcW w:w="1985" w:type="dxa"/>
          </w:tcPr>
          <w:p w14:paraId="2FD83B6C" w14:textId="77777777" w:rsidR="004C54E3" w:rsidRDefault="00B11892" w:rsidP="00A60283">
            <w:pPr>
              <w:keepNext/>
              <w:keepLines/>
              <w:jc w:val="center"/>
              <w:rPr>
                <w:sz w:val="20"/>
                <w:szCs w:val="20"/>
              </w:rPr>
            </w:pPr>
            <w:r w:rsidRPr="00B11892">
              <w:rPr>
                <w:sz w:val="20"/>
                <w:szCs w:val="20"/>
              </w:rPr>
              <w:t>Pasireotide</w:t>
            </w:r>
          </w:p>
          <w:p w14:paraId="156C6E30" w14:textId="77777777" w:rsidR="004C54E3" w:rsidRDefault="00B11892" w:rsidP="00A60283">
            <w:pPr>
              <w:keepNext/>
              <w:keepLines/>
              <w:jc w:val="center"/>
              <w:rPr>
                <w:sz w:val="20"/>
                <w:szCs w:val="20"/>
              </w:rPr>
            </w:pPr>
            <w:r w:rsidRPr="00B11892">
              <w:rPr>
                <w:sz w:val="20"/>
                <w:szCs w:val="20"/>
              </w:rPr>
              <w:t xml:space="preserve">600 µg </w:t>
            </w:r>
            <w:r w:rsidR="0009268D">
              <w:rPr>
                <w:sz w:val="20"/>
                <w:szCs w:val="20"/>
              </w:rPr>
              <w:t>BD</w:t>
            </w:r>
            <w:r w:rsidRPr="00B11892">
              <w:rPr>
                <w:sz w:val="20"/>
                <w:szCs w:val="20"/>
              </w:rPr>
              <w:t>,</w:t>
            </w:r>
          </w:p>
          <w:p w14:paraId="7BCBD3A4" w14:textId="77777777" w:rsidR="00B11892" w:rsidRPr="00B11892" w:rsidRDefault="00B11892" w:rsidP="00A60283">
            <w:pPr>
              <w:keepNext/>
              <w:keepLines/>
              <w:jc w:val="center"/>
              <w:rPr>
                <w:sz w:val="20"/>
                <w:szCs w:val="20"/>
              </w:rPr>
            </w:pPr>
            <w:r w:rsidRPr="00B11892">
              <w:rPr>
                <w:sz w:val="20"/>
                <w:szCs w:val="20"/>
              </w:rPr>
              <w:t>n=82</w:t>
            </w:r>
          </w:p>
        </w:tc>
        <w:tc>
          <w:tcPr>
            <w:tcW w:w="1984" w:type="dxa"/>
          </w:tcPr>
          <w:p w14:paraId="55834139" w14:textId="77777777" w:rsidR="004C54E3" w:rsidRDefault="00B11892" w:rsidP="00A60283">
            <w:pPr>
              <w:keepNext/>
              <w:keepLines/>
              <w:jc w:val="center"/>
              <w:rPr>
                <w:sz w:val="20"/>
                <w:szCs w:val="20"/>
              </w:rPr>
            </w:pPr>
            <w:r w:rsidRPr="00B11892">
              <w:rPr>
                <w:sz w:val="20"/>
                <w:szCs w:val="20"/>
              </w:rPr>
              <w:t>Pasireotide</w:t>
            </w:r>
          </w:p>
          <w:p w14:paraId="276A1148" w14:textId="77777777" w:rsidR="004C54E3" w:rsidRDefault="00B11892" w:rsidP="00A60283">
            <w:pPr>
              <w:keepNext/>
              <w:keepLines/>
              <w:jc w:val="center"/>
              <w:rPr>
                <w:sz w:val="20"/>
                <w:szCs w:val="20"/>
              </w:rPr>
            </w:pPr>
            <w:r w:rsidRPr="00B11892">
              <w:rPr>
                <w:sz w:val="20"/>
                <w:szCs w:val="20"/>
              </w:rPr>
              <w:t xml:space="preserve">900 µg </w:t>
            </w:r>
            <w:r w:rsidR="0009268D">
              <w:rPr>
                <w:sz w:val="20"/>
                <w:szCs w:val="20"/>
              </w:rPr>
              <w:t>BD</w:t>
            </w:r>
            <w:r w:rsidRPr="00B11892">
              <w:rPr>
                <w:sz w:val="20"/>
                <w:szCs w:val="20"/>
              </w:rPr>
              <w:t>,</w:t>
            </w:r>
          </w:p>
          <w:p w14:paraId="2B25CE60" w14:textId="77777777" w:rsidR="00B11892" w:rsidRPr="00B11892" w:rsidRDefault="00B11892" w:rsidP="00A60283">
            <w:pPr>
              <w:keepNext/>
              <w:keepLines/>
              <w:jc w:val="center"/>
              <w:rPr>
                <w:sz w:val="20"/>
                <w:szCs w:val="20"/>
              </w:rPr>
            </w:pPr>
            <w:r w:rsidRPr="00B11892">
              <w:rPr>
                <w:sz w:val="20"/>
                <w:szCs w:val="20"/>
              </w:rPr>
              <w:t>n=80</w:t>
            </w:r>
          </w:p>
        </w:tc>
        <w:tc>
          <w:tcPr>
            <w:tcW w:w="1701" w:type="dxa"/>
          </w:tcPr>
          <w:p w14:paraId="646AFCD5" w14:textId="77777777" w:rsidR="004C54E3" w:rsidRDefault="004C54E3" w:rsidP="00A60283">
            <w:pPr>
              <w:keepNext/>
              <w:keepLines/>
              <w:jc w:val="center"/>
              <w:rPr>
                <w:sz w:val="20"/>
                <w:szCs w:val="20"/>
              </w:rPr>
            </w:pPr>
          </w:p>
          <w:p w14:paraId="77726DEA" w14:textId="77777777" w:rsidR="00B11892" w:rsidRPr="00B11892" w:rsidRDefault="00B11892" w:rsidP="00A60283">
            <w:pPr>
              <w:keepNext/>
              <w:keepLines/>
              <w:jc w:val="center"/>
              <w:rPr>
                <w:sz w:val="20"/>
                <w:szCs w:val="20"/>
              </w:rPr>
            </w:pPr>
            <w:r w:rsidRPr="00B11892">
              <w:rPr>
                <w:sz w:val="20"/>
                <w:szCs w:val="20"/>
              </w:rPr>
              <w:t>Total</w:t>
            </w:r>
          </w:p>
          <w:p w14:paraId="7BEF917B" w14:textId="77777777" w:rsidR="00B11892" w:rsidRPr="00B11892" w:rsidRDefault="00B11892" w:rsidP="00A60283">
            <w:pPr>
              <w:keepNext/>
              <w:keepLines/>
              <w:jc w:val="center"/>
              <w:rPr>
                <w:sz w:val="20"/>
                <w:szCs w:val="20"/>
              </w:rPr>
            </w:pPr>
            <w:r w:rsidRPr="00B11892">
              <w:rPr>
                <w:sz w:val="20"/>
                <w:szCs w:val="20"/>
              </w:rPr>
              <w:t>N=162</w:t>
            </w:r>
          </w:p>
        </w:tc>
      </w:tr>
      <w:tr w:rsidR="004C54E3" w14:paraId="1CDECEB2" w14:textId="77777777" w:rsidTr="004C54E3">
        <w:tc>
          <w:tcPr>
            <w:tcW w:w="2943" w:type="dxa"/>
          </w:tcPr>
          <w:p w14:paraId="7B336F4C" w14:textId="77777777" w:rsidR="00B11892" w:rsidRPr="00B11892" w:rsidRDefault="00B11892" w:rsidP="00A60283">
            <w:pPr>
              <w:keepNext/>
              <w:keepLines/>
              <w:rPr>
                <w:sz w:val="20"/>
                <w:szCs w:val="20"/>
              </w:rPr>
            </w:pPr>
            <w:r w:rsidRPr="00B11892">
              <w:rPr>
                <w:sz w:val="20"/>
                <w:szCs w:val="20"/>
              </w:rPr>
              <w:t>Normalisation of UFC; n/N</w:t>
            </w:r>
            <w:r w:rsidR="004C54E3">
              <w:rPr>
                <w:sz w:val="20"/>
                <w:szCs w:val="20"/>
              </w:rPr>
              <w:t xml:space="preserve"> (%)</w:t>
            </w:r>
          </w:p>
        </w:tc>
        <w:tc>
          <w:tcPr>
            <w:tcW w:w="1985" w:type="dxa"/>
          </w:tcPr>
          <w:p w14:paraId="7F41A580" w14:textId="77777777" w:rsidR="00B11892" w:rsidRPr="00B11892" w:rsidRDefault="00B11892" w:rsidP="00A60283">
            <w:pPr>
              <w:keepNext/>
              <w:keepLines/>
              <w:jc w:val="center"/>
              <w:rPr>
                <w:sz w:val="20"/>
                <w:szCs w:val="20"/>
              </w:rPr>
            </w:pPr>
            <w:r w:rsidRPr="00B11892">
              <w:rPr>
                <w:sz w:val="20"/>
                <w:szCs w:val="20"/>
              </w:rPr>
              <w:t>12/82 (15%)</w:t>
            </w:r>
          </w:p>
        </w:tc>
        <w:tc>
          <w:tcPr>
            <w:tcW w:w="1984" w:type="dxa"/>
          </w:tcPr>
          <w:p w14:paraId="1477191D" w14:textId="77777777" w:rsidR="00B11892" w:rsidRPr="00B11892" w:rsidRDefault="00B11892" w:rsidP="00A60283">
            <w:pPr>
              <w:keepNext/>
              <w:keepLines/>
              <w:jc w:val="center"/>
              <w:rPr>
                <w:sz w:val="20"/>
                <w:szCs w:val="20"/>
              </w:rPr>
            </w:pPr>
            <w:r w:rsidRPr="00B11892">
              <w:rPr>
                <w:sz w:val="20"/>
                <w:szCs w:val="20"/>
              </w:rPr>
              <w:t>21/80 (26%)</w:t>
            </w:r>
          </w:p>
        </w:tc>
        <w:tc>
          <w:tcPr>
            <w:tcW w:w="1701" w:type="dxa"/>
          </w:tcPr>
          <w:p w14:paraId="380B1985" w14:textId="77777777" w:rsidR="00B11892" w:rsidRPr="00B11892" w:rsidRDefault="00B11892" w:rsidP="00A60283">
            <w:pPr>
              <w:keepNext/>
              <w:keepLines/>
              <w:jc w:val="center"/>
              <w:rPr>
                <w:sz w:val="20"/>
                <w:szCs w:val="20"/>
              </w:rPr>
            </w:pPr>
            <w:r w:rsidRPr="00B11892">
              <w:rPr>
                <w:sz w:val="20"/>
                <w:szCs w:val="20"/>
              </w:rPr>
              <w:t>33/162 (20%)</w:t>
            </w:r>
          </w:p>
        </w:tc>
      </w:tr>
      <w:tr w:rsidR="004C54E3" w14:paraId="262FA218" w14:textId="77777777" w:rsidTr="004C54E3">
        <w:tc>
          <w:tcPr>
            <w:tcW w:w="2943" w:type="dxa"/>
          </w:tcPr>
          <w:p w14:paraId="2AAC522A" w14:textId="77777777" w:rsidR="00B11892" w:rsidRPr="00B11892" w:rsidRDefault="00B11892" w:rsidP="00A60283">
            <w:pPr>
              <w:keepNext/>
              <w:keepLines/>
              <w:jc w:val="right"/>
              <w:rPr>
                <w:sz w:val="20"/>
                <w:szCs w:val="20"/>
              </w:rPr>
            </w:pPr>
            <w:r w:rsidRPr="00B11892">
              <w:rPr>
                <w:sz w:val="20"/>
                <w:szCs w:val="20"/>
              </w:rPr>
              <w:t xml:space="preserve">95% CI </w:t>
            </w:r>
          </w:p>
        </w:tc>
        <w:tc>
          <w:tcPr>
            <w:tcW w:w="1985" w:type="dxa"/>
          </w:tcPr>
          <w:p w14:paraId="2FD8E462" w14:textId="77777777" w:rsidR="00B11892" w:rsidRPr="00B11892" w:rsidRDefault="00B11892" w:rsidP="00A60283">
            <w:pPr>
              <w:keepNext/>
              <w:keepLines/>
              <w:jc w:val="center"/>
              <w:rPr>
                <w:sz w:val="20"/>
                <w:szCs w:val="20"/>
              </w:rPr>
            </w:pPr>
            <w:r w:rsidRPr="00B11892">
              <w:rPr>
                <w:sz w:val="20"/>
                <w:szCs w:val="20"/>
              </w:rPr>
              <w:t>7%, 22%</w:t>
            </w:r>
          </w:p>
        </w:tc>
        <w:tc>
          <w:tcPr>
            <w:tcW w:w="1984" w:type="dxa"/>
          </w:tcPr>
          <w:p w14:paraId="2EBE5640" w14:textId="77777777" w:rsidR="00B11892" w:rsidRPr="00B11892" w:rsidRDefault="00B11892" w:rsidP="00A60283">
            <w:pPr>
              <w:keepNext/>
              <w:keepLines/>
              <w:jc w:val="center"/>
              <w:rPr>
                <w:sz w:val="20"/>
                <w:szCs w:val="20"/>
              </w:rPr>
            </w:pPr>
            <w:r w:rsidRPr="00B11892">
              <w:rPr>
                <w:sz w:val="20"/>
                <w:szCs w:val="20"/>
              </w:rPr>
              <w:t>17%, 36%</w:t>
            </w:r>
          </w:p>
        </w:tc>
        <w:tc>
          <w:tcPr>
            <w:tcW w:w="1701" w:type="dxa"/>
          </w:tcPr>
          <w:p w14:paraId="56FF9623" w14:textId="77777777" w:rsidR="00B11892" w:rsidRPr="00B11892" w:rsidRDefault="00B11892" w:rsidP="00A60283">
            <w:pPr>
              <w:keepNext/>
              <w:keepLines/>
              <w:jc w:val="center"/>
              <w:rPr>
                <w:sz w:val="20"/>
                <w:szCs w:val="20"/>
              </w:rPr>
            </w:pPr>
            <w:r w:rsidRPr="00B11892">
              <w:rPr>
                <w:sz w:val="20"/>
                <w:szCs w:val="20"/>
              </w:rPr>
              <w:t>14%, 27%</w:t>
            </w:r>
          </w:p>
        </w:tc>
      </w:tr>
      <w:tr w:rsidR="004C54E3" w14:paraId="1A02DE23" w14:textId="77777777" w:rsidTr="004C54E3">
        <w:tc>
          <w:tcPr>
            <w:tcW w:w="2943" w:type="dxa"/>
          </w:tcPr>
          <w:p w14:paraId="0C6A4358" w14:textId="77777777" w:rsidR="00B11892" w:rsidRPr="00B11892" w:rsidRDefault="00B11892" w:rsidP="00A60283">
            <w:pPr>
              <w:keepNext/>
              <w:keepLines/>
              <w:jc w:val="right"/>
              <w:rPr>
                <w:sz w:val="20"/>
                <w:szCs w:val="20"/>
              </w:rPr>
            </w:pPr>
            <w:r w:rsidRPr="00B11892">
              <w:rPr>
                <w:sz w:val="20"/>
                <w:szCs w:val="20"/>
              </w:rPr>
              <w:t>97.5% CI</w:t>
            </w:r>
          </w:p>
        </w:tc>
        <w:tc>
          <w:tcPr>
            <w:tcW w:w="1985" w:type="dxa"/>
          </w:tcPr>
          <w:p w14:paraId="63A64B87" w14:textId="77777777" w:rsidR="00B11892" w:rsidRPr="00B11892" w:rsidRDefault="00B11892" w:rsidP="00A60283">
            <w:pPr>
              <w:keepNext/>
              <w:keepLines/>
              <w:jc w:val="center"/>
              <w:rPr>
                <w:sz w:val="20"/>
                <w:szCs w:val="20"/>
              </w:rPr>
            </w:pPr>
          </w:p>
        </w:tc>
        <w:tc>
          <w:tcPr>
            <w:tcW w:w="1984" w:type="dxa"/>
          </w:tcPr>
          <w:p w14:paraId="7DAC5B99" w14:textId="77777777" w:rsidR="00B11892" w:rsidRPr="00B11892" w:rsidRDefault="00B11892" w:rsidP="00A60283">
            <w:pPr>
              <w:keepNext/>
              <w:keepLines/>
              <w:jc w:val="center"/>
              <w:rPr>
                <w:sz w:val="20"/>
                <w:szCs w:val="20"/>
              </w:rPr>
            </w:pPr>
            <w:r w:rsidRPr="00B11892">
              <w:rPr>
                <w:sz w:val="20"/>
                <w:szCs w:val="20"/>
              </w:rPr>
              <w:t>16%, 39%</w:t>
            </w:r>
          </w:p>
        </w:tc>
        <w:tc>
          <w:tcPr>
            <w:tcW w:w="1701" w:type="dxa"/>
          </w:tcPr>
          <w:p w14:paraId="5842E974" w14:textId="77777777" w:rsidR="00B11892" w:rsidRPr="00B11892" w:rsidRDefault="00B11892" w:rsidP="00A60283">
            <w:pPr>
              <w:keepNext/>
              <w:keepLines/>
              <w:jc w:val="center"/>
              <w:rPr>
                <w:sz w:val="20"/>
                <w:szCs w:val="20"/>
              </w:rPr>
            </w:pPr>
          </w:p>
        </w:tc>
      </w:tr>
    </w:tbl>
    <w:p w14:paraId="7B1093C4" w14:textId="77777777" w:rsidR="00147013" w:rsidRPr="00147013" w:rsidRDefault="00147013" w:rsidP="00147013">
      <w:r w:rsidRPr="00147013">
        <w:t>The lower limit of the 95% CI was above the pre-specified threshold of 15% for</w:t>
      </w:r>
      <w:r>
        <w:t xml:space="preserve"> </w:t>
      </w:r>
      <w:r w:rsidRPr="00147013">
        <w:t>the 900</w:t>
      </w:r>
      <w:r>
        <w:t xml:space="preserve"> µ</w:t>
      </w:r>
      <w:r w:rsidRPr="00147013">
        <w:t>g dose, but not the 600</w:t>
      </w:r>
      <w:r>
        <w:t xml:space="preserve"> µ</w:t>
      </w:r>
      <w:r w:rsidRPr="00147013">
        <w:t>g dose. The 900</w:t>
      </w:r>
      <w:r>
        <w:t xml:space="preserve"> µ</w:t>
      </w:r>
      <w:r w:rsidRPr="00147013">
        <w:t>g dose also achieved</w:t>
      </w:r>
      <w:r>
        <w:t xml:space="preserve"> </w:t>
      </w:r>
      <w:r w:rsidRPr="00147013">
        <w:t>the threshold of 15% using a 97.5% CI, to allow for multiplicity.</w:t>
      </w:r>
    </w:p>
    <w:p w14:paraId="4601C91A" w14:textId="77777777" w:rsidR="00147013" w:rsidRPr="00147013" w:rsidRDefault="00147013" w:rsidP="00147013">
      <w:pPr>
        <w:rPr>
          <w:b/>
        </w:rPr>
      </w:pPr>
      <w:r w:rsidRPr="00147013">
        <w:rPr>
          <w:b/>
        </w:rPr>
        <w:t>Results: Secondary endpoints and post-hoc analyses</w:t>
      </w:r>
    </w:p>
    <w:p w14:paraId="4D8CD0DF" w14:textId="77777777" w:rsidR="00147013" w:rsidRDefault="00147013" w:rsidP="00147013">
      <w:r w:rsidRPr="00147013">
        <w:t xml:space="preserve">Partial response was defined as </w:t>
      </w:r>
      <w:r>
        <w:t xml:space="preserve">six </w:t>
      </w:r>
      <w:r w:rsidRPr="00147013">
        <w:t xml:space="preserve">month </w:t>
      </w:r>
      <w:proofErr w:type="spellStart"/>
      <w:r w:rsidRPr="00147013">
        <w:t>mUFC</w:t>
      </w:r>
      <w:proofErr w:type="spellEnd"/>
      <w:r w:rsidRPr="00147013">
        <w:t xml:space="preserve"> remaining above the </w:t>
      </w:r>
      <w:r w:rsidR="00964A93">
        <w:t>upper limit of normal (ULN)</w:t>
      </w:r>
      <w:r w:rsidRPr="00147013">
        <w:t>, but decreasing by at least 50% from baseline. 600</w:t>
      </w:r>
      <w:r>
        <w:t>µ</w:t>
      </w:r>
      <w:r w:rsidRPr="00147013">
        <w:t>g: 15/82 or</w:t>
      </w:r>
      <w:r>
        <w:t xml:space="preserve"> </w:t>
      </w:r>
      <w:r w:rsidRPr="00147013">
        <w:t>18%, 900</w:t>
      </w:r>
      <w:r>
        <w:t xml:space="preserve"> µ</w:t>
      </w:r>
      <w:r w:rsidRPr="00147013">
        <w:t>g: 10/80 or 12.5%; total 25/162 or 15%.</w:t>
      </w:r>
      <w:r>
        <w:t xml:space="preserve"> </w:t>
      </w:r>
    </w:p>
    <w:p w14:paraId="2E35E077" w14:textId="77777777" w:rsidR="00147013" w:rsidRPr="00147013" w:rsidRDefault="00147013" w:rsidP="00147013">
      <w:r w:rsidRPr="00147013">
        <w:t xml:space="preserve">Mean </w:t>
      </w:r>
      <w:proofErr w:type="spellStart"/>
      <w:r w:rsidRPr="00147013">
        <w:t>mUFC</w:t>
      </w:r>
      <w:proofErr w:type="spellEnd"/>
      <w:r w:rsidRPr="00147013">
        <w:t xml:space="preserve"> levels decreased by 52% (600</w:t>
      </w:r>
      <w:r>
        <w:t xml:space="preserve"> µ</w:t>
      </w:r>
      <w:r w:rsidRPr="00147013">
        <w:t>g) and 58% (900</w:t>
      </w:r>
      <w:r>
        <w:t xml:space="preserve"> µ</w:t>
      </w:r>
      <w:r w:rsidRPr="00147013">
        <w:t>g).</w:t>
      </w:r>
      <w:r>
        <w:t xml:space="preserve"> </w:t>
      </w:r>
      <w:r w:rsidRPr="00147013">
        <w:t>Serum ACTH and cortisol levels decreased, but none normalised.</w:t>
      </w:r>
      <w:r>
        <w:t xml:space="preserve"> </w:t>
      </w:r>
      <w:r w:rsidRPr="00147013">
        <w:t>There were decreases other efficacy endpoints (</w:t>
      </w:r>
      <w:r>
        <w:t>for example, BP</w:t>
      </w:r>
      <w:r w:rsidRPr="00147013">
        <w:t>, weight,</w:t>
      </w:r>
      <w:r>
        <w:t xml:space="preserve"> </w:t>
      </w:r>
      <w:r w:rsidRPr="00147013">
        <w:t>and health-related</w:t>
      </w:r>
      <w:r>
        <w:t xml:space="preserve"> </w:t>
      </w:r>
      <w:r w:rsidRPr="00147013">
        <w:t>quality</w:t>
      </w:r>
      <w:r>
        <w:t xml:space="preserve"> </w:t>
      </w:r>
      <w:r w:rsidRPr="00147013">
        <w:t>of</w:t>
      </w:r>
      <w:r>
        <w:t xml:space="preserve"> </w:t>
      </w:r>
      <w:r w:rsidRPr="00147013">
        <w:t>life) but these are difficult to interpret because:</w:t>
      </w:r>
      <w:r>
        <w:t xml:space="preserve"> </w:t>
      </w:r>
      <w:r w:rsidRPr="00147013">
        <w:t>there was no placebo group; other medications were at the discretion of the</w:t>
      </w:r>
      <w:r>
        <w:t xml:space="preserve"> </w:t>
      </w:r>
      <w:r w:rsidRPr="00147013">
        <w:t>treating doctor; there was no adjustment for statistical multiplicity.</w:t>
      </w:r>
    </w:p>
    <w:p w14:paraId="63F10CD2" w14:textId="77777777" w:rsidR="00B11892" w:rsidRDefault="00147013" w:rsidP="00147013">
      <w:r w:rsidRPr="00147013">
        <w:t>Seventy</w:t>
      </w:r>
      <w:r w:rsidR="00B51E40">
        <w:t xml:space="preserve"> </w:t>
      </w:r>
      <w:r w:rsidRPr="00147013">
        <w:t>five patients (46%) had a measurable pituitary tumour on MRI at</w:t>
      </w:r>
      <w:r>
        <w:t xml:space="preserve"> baseline. At M</w:t>
      </w:r>
      <w:r w:rsidRPr="00147013">
        <w:t>onth</w:t>
      </w:r>
      <w:r>
        <w:t xml:space="preserve"> </w:t>
      </w:r>
      <w:r w:rsidRPr="00147013">
        <w:t>12, the mean percentage change in tumour volume was –9.1% (95% CI, –46.3 to 28.0) in the 600</w:t>
      </w:r>
      <w:r>
        <w:t xml:space="preserve"> µ</w:t>
      </w:r>
      <w:r w:rsidRPr="00147013">
        <w:t>g group and –43.8% (95% CI, –68.4</w:t>
      </w:r>
      <w:r>
        <w:t xml:space="preserve"> </w:t>
      </w:r>
      <w:r w:rsidRPr="00147013">
        <w:t>to –19.2) in the 900</w:t>
      </w:r>
      <w:r>
        <w:t xml:space="preserve"> µ</w:t>
      </w:r>
      <w:r w:rsidRPr="00147013">
        <w:t>g group</w:t>
      </w:r>
      <w:r>
        <w:t>.</w:t>
      </w:r>
    </w:p>
    <w:p w14:paraId="3185BB18" w14:textId="77777777" w:rsidR="00147013" w:rsidRPr="00147013" w:rsidRDefault="00147013" w:rsidP="00147013">
      <w:pPr>
        <w:pStyle w:val="Heading5"/>
        <w:rPr>
          <w:rFonts w:eastAsiaTheme="minorHAnsi"/>
        </w:rPr>
      </w:pPr>
      <w:r w:rsidRPr="00147013">
        <w:rPr>
          <w:rFonts w:eastAsiaTheme="minorHAnsi"/>
        </w:rPr>
        <w:t>Efficacy and dose selection</w:t>
      </w:r>
    </w:p>
    <w:p w14:paraId="72674349" w14:textId="77777777" w:rsidR="00147013" w:rsidRPr="00147013" w:rsidRDefault="00147013" w:rsidP="00147013">
      <w:r w:rsidRPr="00147013">
        <w:t>The 900</w:t>
      </w:r>
      <w:r>
        <w:t xml:space="preserve"> µ</w:t>
      </w:r>
      <w:r w:rsidRPr="00147013">
        <w:t>g dose achieved statistical significance against the 15% threshold;</w:t>
      </w:r>
      <w:r>
        <w:t xml:space="preserve"> </w:t>
      </w:r>
      <w:r w:rsidRPr="00147013">
        <w:t>whereas the 600</w:t>
      </w:r>
      <w:r>
        <w:t xml:space="preserve"> µ</w:t>
      </w:r>
      <w:r w:rsidRPr="00147013">
        <w:t>g dose did not. However, the difference for some of the</w:t>
      </w:r>
      <w:r>
        <w:t xml:space="preserve"> </w:t>
      </w:r>
      <w:r w:rsidRPr="00147013">
        <w:t>secondary endpoints was small; and the 600</w:t>
      </w:r>
      <w:r>
        <w:t xml:space="preserve"> µ</w:t>
      </w:r>
      <w:r w:rsidRPr="00147013">
        <w:t>g was not directly compared to</w:t>
      </w:r>
      <w:r>
        <w:t xml:space="preserve"> </w:t>
      </w:r>
      <w:r w:rsidRPr="00147013">
        <w:t>the 900</w:t>
      </w:r>
      <w:r>
        <w:t xml:space="preserve"> µ</w:t>
      </w:r>
      <w:r w:rsidRPr="00147013">
        <w:t>g dose. Also, the pre-</w:t>
      </w:r>
      <w:r>
        <w:t>s</w:t>
      </w:r>
      <w:r w:rsidRPr="00147013">
        <w:t>pecified threshold of the responder</w:t>
      </w:r>
      <w:r>
        <w:t xml:space="preserve"> </w:t>
      </w:r>
      <w:r w:rsidRPr="00147013">
        <w:t>(normalisation of UFC) percentage of 15% was somewhat arbitrary and was</w:t>
      </w:r>
      <w:r>
        <w:t xml:space="preserve"> </w:t>
      </w:r>
      <w:r w:rsidRPr="00147013">
        <w:t>adopted because of the need to pre-specify the analysis plan and have a formal</w:t>
      </w:r>
      <w:r>
        <w:t xml:space="preserve"> </w:t>
      </w:r>
      <w:r w:rsidRPr="00147013">
        <w:t>statistical argument for sample size. Furthermore, because of tolerability, some</w:t>
      </w:r>
      <w:r>
        <w:t xml:space="preserve"> </w:t>
      </w:r>
      <w:r w:rsidRPr="00147013">
        <w:t>patients in the 600</w:t>
      </w:r>
      <w:r>
        <w:t xml:space="preserve"> µ</w:t>
      </w:r>
      <w:r w:rsidRPr="00147013">
        <w:t>g group finished the trial on 300</w:t>
      </w:r>
      <w:r>
        <w:t xml:space="preserve"> µ</w:t>
      </w:r>
      <w:r w:rsidRPr="00147013">
        <w:t>g and some patients on</w:t>
      </w:r>
      <w:r>
        <w:t xml:space="preserve"> </w:t>
      </w:r>
      <w:r w:rsidRPr="00147013">
        <w:t>900</w:t>
      </w:r>
      <w:r>
        <w:t xml:space="preserve"> µ</w:t>
      </w:r>
      <w:r w:rsidRPr="00147013">
        <w:t>g finished the trial on 600</w:t>
      </w:r>
      <w:r>
        <w:t xml:space="preserve"> µ</w:t>
      </w:r>
      <w:r w:rsidRPr="00147013">
        <w:t>g.</w:t>
      </w:r>
    </w:p>
    <w:p w14:paraId="7E8D30DD" w14:textId="77777777" w:rsidR="00147013" w:rsidRPr="00147013" w:rsidRDefault="00147013" w:rsidP="00147013">
      <w:r w:rsidRPr="00147013">
        <w:t xml:space="preserve">Taking into consideration the totality of the efficacy analyses, the 900 </w:t>
      </w:r>
      <w:r w:rsidR="00964A93">
        <w:t>µ</w:t>
      </w:r>
      <w:r w:rsidRPr="00147013">
        <w:t xml:space="preserve">g </w:t>
      </w:r>
      <w:r w:rsidR="0009268D">
        <w:t>BD</w:t>
      </w:r>
      <w:r w:rsidRPr="00147013">
        <w:t xml:space="preserve"> dose seems</w:t>
      </w:r>
      <w:r w:rsidR="008309D4">
        <w:t xml:space="preserve"> </w:t>
      </w:r>
      <w:r w:rsidRPr="00147013">
        <w:t xml:space="preserve">to perform somewhat better than the 600 </w:t>
      </w:r>
      <w:r w:rsidR="008309D4">
        <w:t>µ</w:t>
      </w:r>
      <w:r w:rsidRPr="00147013">
        <w:t xml:space="preserve">g </w:t>
      </w:r>
      <w:r w:rsidR="0009268D">
        <w:t>BD</w:t>
      </w:r>
      <w:r w:rsidRPr="00147013">
        <w:t xml:space="preserve"> dose (a larger percentage of patients</w:t>
      </w:r>
      <w:r w:rsidR="008309D4">
        <w:t xml:space="preserve"> </w:t>
      </w:r>
      <w:r w:rsidRPr="00147013">
        <w:t>normali</w:t>
      </w:r>
      <w:r w:rsidR="008309D4">
        <w:t>s</w:t>
      </w:r>
      <w:r w:rsidRPr="00147013">
        <w:t xml:space="preserve">ed their </w:t>
      </w:r>
      <w:proofErr w:type="spellStart"/>
      <w:r w:rsidRPr="00147013">
        <w:t>mUFC</w:t>
      </w:r>
      <w:proofErr w:type="spellEnd"/>
      <w:r w:rsidRPr="00147013">
        <w:t xml:space="preserve"> or had </w:t>
      </w:r>
      <w:proofErr w:type="spellStart"/>
      <w:r w:rsidRPr="00147013">
        <w:t>mUFC</w:t>
      </w:r>
      <w:proofErr w:type="spellEnd"/>
      <w:r w:rsidRPr="00147013">
        <w:t xml:space="preserve"> reductions &gt;</w:t>
      </w:r>
      <w:r w:rsidR="00964A93">
        <w:t xml:space="preserve"> </w:t>
      </w:r>
      <w:r w:rsidRPr="00147013">
        <w:t>50%), but the differences were not</w:t>
      </w:r>
      <w:r w:rsidR="008309D4">
        <w:t xml:space="preserve"> </w:t>
      </w:r>
      <w:r w:rsidRPr="00147013">
        <w:t>striking. The two doses may not be very far away on the dose-response curve.</w:t>
      </w:r>
    </w:p>
    <w:p w14:paraId="09989D7A" w14:textId="77777777" w:rsidR="00147013" w:rsidRPr="00147013" w:rsidRDefault="00147013" w:rsidP="008309D4">
      <w:pPr>
        <w:pStyle w:val="Heading4"/>
      </w:pPr>
      <w:r w:rsidRPr="00147013">
        <w:t>Safety</w:t>
      </w:r>
    </w:p>
    <w:p w14:paraId="3EDE094B" w14:textId="77777777" w:rsidR="008309D4" w:rsidRPr="008309D4" w:rsidRDefault="008309D4" w:rsidP="008309D4">
      <w:pPr>
        <w:pStyle w:val="Heading5"/>
        <w:rPr>
          <w:rFonts w:eastAsiaTheme="minorHAnsi"/>
        </w:rPr>
      </w:pPr>
      <w:r w:rsidRPr="008309D4">
        <w:rPr>
          <w:rFonts w:eastAsiaTheme="minorHAnsi"/>
        </w:rPr>
        <w:t>Currently available data</w:t>
      </w:r>
    </w:p>
    <w:p w14:paraId="67175005" w14:textId="77777777" w:rsidR="008309D4" w:rsidRPr="008309D4" w:rsidRDefault="008309D4" w:rsidP="008309D4">
      <w:r w:rsidRPr="008309D4">
        <w:t>The safety data provided included info</w:t>
      </w:r>
      <w:r>
        <w:t>rmation obtained from the Phase II</w:t>
      </w:r>
      <w:r w:rsidRPr="008309D4">
        <w:t xml:space="preserve"> trial and the</w:t>
      </w:r>
      <w:r>
        <w:t xml:space="preserve"> </w:t>
      </w:r>
      <w:r w:rsidRPr="008309D4">
        <w:t>Phase</w:t>
      </w:r>
      <w:r>
        <w:t xml:space="preserve"> III</w:t>
      </w:r>
      <w:r w:rsidRPr="008309D4">
        <w:t xml:space="preserve"> trial (including extensions to 12 months and beyond), from several studies</w:t>
      </w:r>
      <w:r>
        <w:t xml:space="preserve"> </w:t>
      </w:r>
      <w:r w:rsidRPr="008309D4">
        <w:t xml:space="preserve">conducted in </w:t>
      </w:r>
      <w:r>
        <w:t>HV</w:t>
      </w:r>
      <w:r w:rsidRPr="008309D4">
        <w:t>, and from studies across all indications for which</w:t>
      </w:r>
      <w:r>
        <w:t xml:space="preserve"> </w:t>
      </w:r>
      <w:r w:rsidRPr="008309D4">
        <w:t>pasireotide is being developed (including acromegaly).</w:t>
      </w:r>
    </w:p>
    <w:p w14:paraId="0465BE7D" w14:textId="77777777" w:rsidR="008309D4" w:rsidRPr="008309D4" w:rsidRDefault="008309D4" w:rsidP="008309D4">
      <w:r w:rsidRPr="008309D4">
        <w:lastRenderedPageBreak/>
        <w:t>The safety datasets included 726 people, 201 of whom were patients with Cushing’s</w:t>
      </w:r>
      <w:r>
        <w:t xml:space="preserve"> </w:t>
      </w:r>
      <w:r w:rsidRPr="008309D4">
        <w:t>disease; 162 were enrolled in the pivotal Phase</w:t>
      </w:r>
      <w:r>
        <w:t xml:space="preserve"> III T</w:t>
      </w:r>
      <w:r w:rsidRPr="008309D4">
        <w:t>rial B2305 where mean exposure was</w:t>
      </w:r>
      <w:r>
        <w:t xml:space="preserve"> </w:t>
      </w:r>
      <w:r w:rsidRPr="008309D4">
        <w:t>close to 11 months and 40% of patients were treated for 12+ months.</w:t>
      </w:r>
    </w:p>
    <w:p w14:paraId="4E497FC0" w14:textId="77777777" w:rsidR="008309D4" w:rsidRPr="008309D4" w:rsidRDefault="008309D4" w:rsidP="008309D4">
      <w:pPr>
        <w:pStyle w:val="Heading5"/>
        <w:rPr>
          <w:rFonts w:eastAsiaTheme="minorHAnsi"/>
        </w:rPr>
      </w:pPr>
      <w:r w:rsidRPr="008309D4">
        <w:rPr>
          <w:rFonts w:eastAsiaTheme="minorHAnsi"/>
        </w:rPr>
        <w:t>Overview of adverse events</w:t>
      </w:r>
    </w:p>
    <w:p w14:paraId="74B6C762" w14:textId="77777777" w:rsidR="008309D4" w:rsidRPr="008309D4" w:rsidRDefault="008309D4" w:rsidP="008309D4">
      <w:r w:rsidRPr="008309D4">
        <w:t xml:space="preserve">No patient deaths were reported while on pasireotide treatment. </w:t>
      </w:r>
      <w:r w:rsidR="00B41C0F" w:rsidRPr="00B41C0F">
        <w:rPr>
          <w:i/>
        </w:rPr>
        <w:t>SAES</w:t>
      </w:r>
      <w:r>
        <w:t xml:space="preserve"> </w:t>
      </w:r>
      <w:r w:rsidRPr="008309D4">
        <w:t>occurred in about one-quarter of the patients in the pivotal Phase</w:t>
      </w:r>
      <w:r>
        <w:t xml:space="preserve"> III</w:t>
      </w:r>
      <w:r w:rsidRPr="008309D4">
        <w:t xml:space="preserve"> </w:t>
      </w:r>
      <w:r>
        <w:t>T</w:t>
      </w:r>
      <w:r w:rsidRPr="008309D4">
        <w:t>rial B2305. Even in</w:t>
      </w:r>
      <w:r>
        <w:t xml:space="preserve"> </w:t>
      </w:r>
      <w:r w:rsidRPr="008309D4">
        <w:t xml:space="preserve">the absence of a comparator arm in the trial, some </w:t>
      </w:r>
      <w:r w:rsidR="00B41C0F">
        <w:t>SAEs</w:t>
      </w:r>
      <w:r w:rsidRPr="008309D4">
        <w:t xml:space="preserve"> are likely to be</w:t>
      </w:r>
      <w:r>
        <w:t xml:space="preserve"> </w:t>
      </w:r>
      <w:r w:rsidRPr="008309D4">
        <w:t>pasireotide-related, based either on known mechanism of action (</w:t>
      </w:r>
      <w:r>
        <w:t xml:space="preserve">for example, </w:t>
      </w:r>
      <w:r w:rsidRPr="008309D4">
        <w:t>adrenal</w:t>
      </w:r>
      <w:r>
        <w:t xml:space="preserve"> </w:t>
      </w:r>
      <w:r w:rsidRPr="008309D4">
        <w:t xml:space="preserve">insufficiency) or based on the already characterised pattern of </w:t>
      </w:r>
      <w:r w:rsidR="00B41C0F">
        <w:t>SAEs</w:t>
      </w:r>
      <w:r>
        <w:t xml:space="preserve"> </w:t>
      </w:r>
      <w:r w:rsidRPr="008309D4">
        <w:t xml:space="preserve">observed with other </w:t>
      </w:r>
      <w:proofErr w:type="spellStart"/>
      <w:r w:rsidRPr="008309D4">
        <w:t>somastatin</w:t>
      </w:r>
      <w:proofErr w:type="spellEnd"/>
      <w:r w:rsidRPr="008309D4">
        <w:t xml:space="preserve"> inhibitors: </w:t>
      </w:r>
      <w:r>
        <w:t>GI</w:t>
      </w:r>
      <w:r w:rsidRPr="008309D4">
        <w:t xml:space="preserve"> </w:t>
      </w:r>
      <w:r>
        <w:t>AE</w:t>
      </w:r>
      <w:r w:rsidR="00964A93">
        <w:t>s</w:t>
      </w:r>
      <w:r w:rsidRPr="008309D4">
        <w:t xml:space="preserve"> (a</w:t>
      </w:r>
      <w:r w:rsidR="0009268D">
        <w:t>bd</w:t>
      </w:r>
      <w:r w:rsidRPr="008309D4">
        <w:t>ominal</w:t>
      </w:r>
      <w:r>
        <w:t xml:space="preserve"> </w:t>
      </w:r>
      <w:r w:rsidRPr="008309D4">
        <w:t>pain, constipation, increased lipase food intolerance), hepatobiliary disease (</w:t>
      </w:r>
      <w:proofErr w:type="spellStart"/>
      <w:r w:rsidRPr="008309D4">
        <w:t>cholelithasis</w:t>
      </w:r>
      <w:proofErr w:type="spellEnd"/>
      <w:r w:rsidRPr="008309D4">
        <w:t>,</w:t>
      </w:r>
      <w:r>
        <w:t xml:space="preserve"> </w:t>
      </w:r>
      <w:r w:rsidRPr="008309D4">
        <w:t>acute cholecystitis), QT prolongation, hyperglycaemia, diabetes, hypoglycaemia. Trial</w:t>
      </w:r>
      <w:r>
        <w:t xml:space="preserve"> </w:t>
      </w:r>
      <w:r w:rsidRPr="008309D4">
        <w:t xml:space="preserve">discontinuations for </w:t>
      </w:r>
      <w:r>
        <w:t>AE</w:t>
      </w:r>
      <w:r w:rsidR="00964A93">
        <w:t>s</w:t>
      </w:r>
      <w:r w:rsidRPr="008309D4">
        <w:t xml:space="preserve"> occurred in 17.3% of patients, with a similar pattern</w:t>
      </w:r>
      <w:r>
        <w:t xml:space="preserve"> </w:t>
      </w:r>
      <w:r w:rsidRPr="008309D4">
        <w:t xml:space="preserve">to that observed for </w:t>
      </w:r>
      <w:r w:rsidR="00B41C0F">
        <w:t>SAEs</w:t>
      </w:r>
      <w:r w:rsidRPr="008309D4">
        <w:t>.</w:t>
      </w:r>
    </w:p>
    <w:p w14:paraId="230BE441" w14:textId="77777777" w:rsidR="008309D4" w:rsidRPr="008309D4" w:rsidRDefault="008309D4" w:rsidP="008309D4">
      <w:r w:rsidRPr="008309D4">
        <w:t xml:space="preserve">Given the morbidity seen in patients in Cushing’s disease, treatment-emergent </w:t>
      </w:r>
      <w:r>
        <w:t>AE</w:t>
      </w:r>
      <w:r w:rsidR="00964A93">
        <w:t>s</w:t>
      </w:r>
      <w:r w:rsidRPr="008309D4">
        <w:t xml:space="preserve"> were seen in almost all patients (98%). The most frequent were: diarrhoea (58%),</w:t>
      </w:r>
      <w:r>
        <w:t xml:space="preserve"> </w:t>
      </w:r>
      <w:r w:rsidRPr="008309D4">
        <w:t xml:space="preserve">nausea (52%), hyperglycaemia (40%), </w:t>
      </w:r>
      <w:proofErr w:type="spellStart"/>
      <w:r w:rsidRPr="008309D4">
        <w:t>cholethiasis</w:t>
      </w:r>
      <w:proofErr w:type="spellEnd"/>
      <w:r w:rsidRPr="008309D4">
        <w:t xml:space="preserve"> (30%), headache (28%), abdominal</w:t>
      </w:r>
      <w:r>
        <w:t xml:space="preserve"> </w:t>
      </w:r>
      <w:r w:rsidRPr="008309D4">
        <w:t>pain (24%), and diabetes (18%).</w:t>
      </w:r>
    </w:p>
    <w:p w14:paraId="1A404996" w14:textId="77777777" w:rsidR="008309D4" w:rsidRPr="008309D4" w:rsidRDefault="008309D4" w:rsidP="008309D4">
      <w:r w:rsidRPr="008309D4">
        <w:t>In the Phase</w:t>
      </w:r>
      <w:r>
        <w:t xml:space="preserve"> III T</w:t>
      </w:r>
      <w:r w:rsidRPr="008309D4">
        <w:t>rial B2305, QT prolongation was reported in 6% of patients; no events of</w:t>
      </w:r>
      <w:r>
        <w:t xml:space="preserve"> </w:t>
      </w:r>
      <w:r w:rsidRPr="008309D4">
        <w:t>torsade de pointes were diagnosed (as described in the section on Pharmaceutical</w:t>
      </w:r>
      <w:r>
        <w:t xml:space="preserve"> </w:t>
      </w:r>
      <w:r w:rsidRPr="008309D4">
        <w:t xml:space="preserve">Chemistry, QT prolongation was confirmed in two QT trials). </w:t>
      </w:r>
      <w:proofErr w:type="spellStart"/>
      <w:r w:rsidRPr="008309D4">
        <w:t>Hypocortisolism</w:t>
      </w:r>
      <w:proofErr w:type="spellEnd"/>
      <w:r w:rsidRPr="008309D4">
        <w:t xml:space="preserve"> was seen in</w:t>
      </w:r>
      <w:r>
        <w:t xml:space="preserve"> </w:t>
      </w:r>
      <w:r w:rsidRPr="008309D4">
        <w:t>8.0% trial participants, but only about one quarter required exogenous steroid treatment</w:t>
      </w:r>
      <w:r>
        <w:t xml:space="preserve"> </w:t>
      </w:r>
      <w:r w:rsidRPr="008309D4">
        <w:t>and only for a short duration.</w:t>
      </w:r>
    </w:p>
    <w:p w14:paraId="2F53CD45" w14:textId="77777777" w:rsidR="008309D4" w:rsidRPr="008309D4" w:rsidRDefault="008309D4" w:rsidP="008309D4">
      <w:pPr>
        <w:pStyle w:val="Heading5"/>
        <w:rPr>
          <w:rFonts w:eastAsiaTheme="minorHAnsi"/>
        </w:rPr>
      </w:pPr>
      <w:r w:rsidRPr="008309D4">
        <w:rPr>
          <w:rFonts w:eastAsiaTheme="minorHAnsi"/>
        </w:rPr>
        <w:t>Adverse events of particular concern</w:t>
      </w:r>
    </w:p>
    <w:p w14:paraId="3CF6985F" w14:textId="77777777" w:rsidR="008309D4" w:rsidRPr="008309D4" w:rsidRDefault="008309D4" w:rsidP="00964A93">
      <w:pPr>
        <w:pStyle w:val="Numberbullet0"/>
        <w:numPr>
          <w:ilvl w:val="0"/>
          <w:numId w:val="39"/>
        </w:numPr>
      </w:pPr>
      <w:r w:rsidRPr="008309D4">
        <w:t>Hyperglycaemia and diabetes</w:t>
      </w:r>
    </w:p>
    <w:p w14:paraId="5B405937" w14:textId="77777777" w:rsidR="008309D4" w:rsidRPr="008309D4" w:rsidRDefault="008309D4" w:rsidP="008309D4">
      <w:r w:rsidRPr="008309D4">
        <w:t>Pasireotide treatment is associated with a remarkable degree of hyperglycaemia, an issue</w:t>
      </w:r>
      <w:r>
        <w:t xml:space="preserve"> </w:t>
      </w:r>
      <w:r w:rsidRPr="008309D4">
        <w:t>of particular concern given that patients with Cushing’s disease already have insulin</w:t>
      </w:r>
      <w:r>
        <w:t xml:space="preserve"> </w:t>
      </w:r>
      <w:r w:rsidRPr="008309D4">
        <w:t>resistance due to their hypercortisolism. In pivotal Phase</w:t>
      </w:r>
      <w:r>
        <w:t xml:space="preserve"> III T</w:t>
      </w:r>
      <w:r w:rsidRPr="008309D4">
        <w:t>rial B2305, increases in</w:t>
      </w:r>
      <w:r>
        <w:t xml:space="preserve"> </w:t>
      </w:r>
      <w:r w:rsidRPr="008309D4">
        <w:t xml:space="preserve">fasting plasma glucose occurred as early as </w:t>
      </w:r>
      <w:r>
        <w:t>two</w:t>
      </w:r>
      <w:r w:rsidRPr="008309D4">
        <w:t xml:space="preserve"> weeks after start of treatment; a mean</w:t>
      </w:r>
      <w:r>
        <w:t xml:space="preserve"> </w:t>
      </w:r>
      <w:r w:rsidRPr="008309D4">
        <w:t>increase in HbA1c from baseline of 1.5% was seen in both dose groups. The</w:t>
      </w:r>
      <w:r>
        <w:t xml:space="preserve"> </w:t>
      </w:r>
      <w:r w:rsidRPr="008309D4">
        <w:t>percentage of patients with diabetes increased from 34% at baseline to 50% at all</w:t>
      </w:r>
      <w:r>
        <w:t xml:space="preserve"> </w:t>
      </w:r>
      <w:r w:rsidRPr="008309D4">
        <w:t>subsequent time periods. A new anti-diabetic medication was started in 74 of the 162</w:t>
      </w:r>
      <w:r>
        <w:t xml:space="preserve"> </w:t>
      </w:r>
      <w:r w:rsidRPr="008309D4">
        <w:t xml:space="preserve">participants in </w:t>
      </w:r>
      <w:r>
        <w:t>T</w:t>
      </w:r>
      <w:r w:rsidRPr="008309D4">
        <w:t>rial B2305.</w:t>
      </w:r>
    </w:p>
    <w:p w14:paraId="4EAB719D" w14:textId="77777777" w:rsidR="008309D4" w:rsidRPr="006D5E5E" w:rsidRDefault="008309D4" w:rsidP="006D5E5E">
      <w:r w:rsidRPr="006D5E5E">
        <w:t xml:space="preserve">The mechanism of pasireotide-induced hyperglycaemia is well characterised and is consistent with the somatostatin receptor binding profile of pasireotide. Somatostatin-related inhibition of insulin secretion is almost entirely mediated by the </w:t>
      </w:r>
      <w:r w:rsidR="006D5E5E" w:rsidRPr="006D5E5E">
        <w:t>sstr</w:t>
      </w:r>
      <w:r w:rsidRPr="006D5E5E">
        <w:t xml:space="preserve">2 and </w:t>
      </w:r>
      <w:r w:rsidR="006D5E5E" w:rsidRPr="006D5E5E">
        <w:t>sstr</w:t>
      </w:r>
      <w:r w:rsidRPr="006D5E5E">
        <w:t>5, and pasireotide</w:t>
      </w:r>
      <w:r w:rsidR="006D5E5E" w:rsidRPr="006D5E5E">
        <w:t xml:space="preserve"> and pasireotide has high affinity for both these receptors, in contrast with the binding profile of the other currently marketed </w:t>
      </w:r>
      <w:proofErr w:type="spellStart"/>
      <w:r w:rsidR="006D5E5E" w:rsidRPr="006D5E5E">
        <w:t>somstatin</w:t>
      </w:r>
      <w:proofErr w:type="spellEnd"/>
      <w:r w:rsidR="006D5E5E" w:rsidRPr="006D5E5E">
        <w:t xml:space="preserve"> receptors, </w:t>
      </w:r>
      <w:proofErr w:type="spellStart"/>
      <w:r w:rsidR="006D5E5E" w:rsidRPr="006D5E5E">
        <w:t>lanreotide</w:t>
      </w:r>
      <w:proofErr w:type="spellEnd"/>
      <w:r w:rsidR="006D5E5E" w:rsidRPr="006D5E5E">
        <w:t xml:space="preserve"> and octreotide, which have lower sstr5 affinities and have shown lower glucose elevation in clinical trials.</w:t>
      </w:r>
    </w:p>
    <w:p w14:paraId="22327DB0" w14:textId="77777777" w:rsidR="006D5E5E" w:rsidRPr="006D5E5E" w:rsidRDefault="006D5E5E" w:rsidP="006D5E5E">
      <w:pPr>
        <w:pStyle w:val="Numberbullet0"/>
      </w:pPr>
      <w:r>
        <w:t>Liver function</w:t>
      </w:r>
    </w:p>
    <w:p w14:paraId="060C80C3" w14:textId="77777777" w:rsidR="006D5E5E" w:rsidRPr="006D5E5E" w:rsidRDefault="006D5E5E" w:rsidP="006D5E5E">
      <w:r w:rsidRPr="006D5E5E">
        <w:t>Liver enzyme elevations have been seen previously with somatostatin analogues. In</w:t>
      </w:r>
      <w:r>
        <w:t xml:space="preserve"> </w:t>
      </w:r>
      <w:r w:rsidRPr="006D5E5E">
        <w:t xml:space="preserve">B2305, 5.1% of </w:t>
      </w:r>
      <w:proofErr w:type="spellStart"/>
      <w:r w:rsidRPr="006D5E5E">
        <w:t>p</w:t>
      </w:r>
      <w:r>
        <w:t>at</w:t>
      </w:r>
      <w:r w:rsidRPr="006D5E5E">
        <w:t>t</w:t>
      </w:r>
      <w:r>
        <w:t>ient</w:t>
      </w:r>
      <w:r w:rsidRPr="006D5E5E">
        <w:t>s</w:t>
      </w:r>
      <w:proofErr w:type="spellEnd"/>
      <w:r w:rsidRPr="006D5E5E">
        <w:t xml:space="preserve"> had elevations of ALT and AST </w:t>
      </w:r>
      <w:r>
        <w:t xml:space="preserve">three times </w:t>
      </w:r>
      <w:r w:rsidRPr="006D5E5E">
        <w:t xml:space="preserve">the </w:t>
      </w:r>
      <w:r w:rsidR="00964A93">
        <w:t>ULN</w:t>
      </w:r>
      <w:r w:rsidRPr="006D5E5E">
        <w:t>. The</w:t>
      </w:r>
      <w:r>
        <w:t xml:space="preserve"> </w:t>
      </w:r>
      <w:r w:rsidRPr="006D5E5E">
        <w:t xml:space="preserve">general experience with octreotide and </w:t>
      </w:r>
      <w:proofErr w:type="spellStart"/>
      <w:r w:rsidRPr="006D5E5E">
        <w:t>lanreotide</w:t>
      </w:r>
      <w:proofErr w:type="spellEnd"/>
      <w:r w:rsidRPr="006D5E5E">
        <w:t xml:space="preserve"> is that these liver enzyme elevations are</w:t>
      </w:r>
      <w:r>
        <w:t xml:space="preserve"> </w:t>
      </w:r>
      <w:r w:rsidRPr="006D5E5E">
        <w:t>mostly benign, transient, and reversible.</w:t>
      </w:r>
    </w:p>
    <w:p w14:paraId="28B478AE" w14:textId="77777777" w:rsidR="006D5E5E" w:rsidRDefault="006D5E5E" w:rsidP="006D5E5E">
      <w:pPr>
        <w:pStyle w:val="Heading5"/>
        <w:rPr>
          <w:rFonts w:eastAsiaTheme="minorHAnsi"/>
        </w:rPr>
      </w:pPr>
      <w:r>
        <w:rPr>
          <w:rFonts w:eastAsiaTheme="minorHAnsi"/>
        </w:rPr>
        <w:t>Safety and dose selection</w:t>
      </w:r>
    </w:p>
    <w:p w14:paraId="2E867BC3" w14:textId="77777777" w:rsidR="006D5E5E" w:rsidRPr="006D5E5E" w:rsidRDefault="006D5E5E" w:rsidP="006D5E5E">
      <w:r w:rsidRPr="006D5E5E">
        <w:t>The safety profile</w:t>
      </w:r>
      <w:r w:rsidR="00776763">
        <w:t>s</w:t>
      </w:r>
      <w:r w:rsidRPr="006D5E5E">
        <w:t xml:space="preserve"> of the two different doses, evaluated in the pivotal </w:t>
      </w:r>
      <w:r>
        <w:t>T</w:t>
      </w:r>
      <w:r w:rsidRPr="006D5E5E">
        <w:t>rial B2305</w:t>
      </w:r>
      <w:r>
        <w:t>,</w:t>
      </w:r>
      <w:r w:rsidRPr="006D5E5E">
        <w:t xml:space="preserve"> were</w:t>
      </w:r>
      <w:r>
        <w:t xml:space="preserve"> </w:t>
      </w:r>
      <w:r w:rsidRPr="006D5E5E">
        <w:t>not very different. Discontinuations were only slightly higher in the 900</w:t>
      </w:r>
      <w:r>
        <w:t xml:space="preserve"> µ</w:t>
      </w:r>
      <w:r w:rsidRPr="006D5E5E">
        <w:t>g group: 18.8%</w:t>
      </w:r>
      <w:r>
        <w:t xml:space="preserve"> </w:t>
      </w:r>
      <w:r w:rsidRPr="006D5E5E">
        <w:t>versus 15.9%; as were AE</w:t>
      </w:r>
      <w:r w:rsidR="00964A93">
        <w:t>s</w:t>
      </w:r>
      <w:r w:rsidRPr="006D5E5E">
        <w:t xml:space="preserve"> related to glucose metabolism: 42.5% versus 37.8%: DM: 20%</w:t>
      </w:r>
      <w:r>
        <w:t xml:space="preserve"> </w:t>
      </w:r>
      <w:r w:rsidRPr="006D5E5E">
        <w:lastRenderedPageBreak/>
        <w:t>versus 15.9%. A possible explanation is that trough levels were not very different between</w:t>
      </w:r>
      <w:r>
        <w:t xml:space="preserve"> </w:t>
      </w:r>
      <w:r w:rsidRPr="006D5E5E">
        <w:t xml:space="preserve">the </w:t>
      </w:r>
      <w:r>
        <w:t>two</w:t>
      </w:r>
      <w:r w:rsidRPr="006D5E5E">
        <w:t xml:space="preserve"> doses.</w:t>
      </w:r>
    </w:p>
    <w:p w14:paraId="7846A56E" w14:textId="77777777" w:rsidR="006D5E5E" w:rsidRPr="006D5E5E" w:rsidRDefault="006D5E5E" w:rsidP="00B46E2A">
      <w:pPr>
        <w:pStyle w:val="Heading3"/>
        <w:rPr>
          <w:rFonts w:eastAsiaTheme="minorHAnsi"/>
        </w:rPr>
      </w:pPr>
      <w:bookmarkStart w:id="245" w:name="_Toc383680739"/>
      <w:r w:rsidRPr="006D5E5E">
        <w:rPr>
          <w:rFonts w:eastAsiaTheme="minorHAnsi"/>
        </w:rPr>
        <w:t>R</w:t>
      </w:r>
      <w:r w:rsidR="00B46E2A">
        <w:rPr>
          <w:rFonts w:eastAsiaTheme="minorHAnsi"/>
        </w:rPr>
        <w:t xml:space="preserve">isk Management </w:t>
      </w:r>
      <w:r w:rsidRPr="006D5E5E">
        <w:rPr>
          <w:rFonts w:eastAsiaTheme="minorHAnsi"/>
        </w:rPr>
        <w:t>P</w:t>
      </w:r>
      <w:r w:rsidR="00B46E2A">
        <w:rPr>
          <w:rFonts w:eastAsiaTheme="minorHAnsi"/>
        </w:rPr>
        <w:t>lan</w:t>
      </w:r>
      <w:bookmarkEnd w:id="245"/>
    </w:p>
    <w:p w14:paraId="494552A3" w14:textId="77777777" w:rsidR="006D5E5E" w:rsidRPr="006D5E5E" w:rsidRDefault="006D5E5E" w:rsidP="006D5E5E">
      <w:r w:rsidRPr="006D5E5E">
        <w:t>Implement EU RMP, Version 8.0 (dated Oct 2012) with Australian Specific Annex to the EU</w:t>
      </w:r>
      <w:r>
        <w:t xml:space="preserve"> </w:t>
      </w:r>
      <w:r w:rsidRPr="006D5E5E">
        <w:t>RMP Version 8.0, Version 1.0 (dated Nov 2012).</w:t>
      </w:r>
    </w:p>
    <w:p w14:paraId="038023CA" w14:textId="77777777" w:rsidR="006D5E5E" w:rsidRDefault="006D5E5E" w:rsidP="00B46E2A">
      <w:pPr>
        <w:pStyle w:val="Heading3"/>
      </w:pPr>
      <w:bookmarkStart w:id="246" w:name="_Toc383680740"/>
      <w:r>
        <w:t>Delegate considerations</w:t>
      </w:r>
      <w:bookmarkEnd w:id="246"/>
    </w:p>
    <w:p w14:paraId="65E9B76D" w14:textId="77777777" w:rsidR="006D5E5E" w:rsidRPr="006D5E5E" w:rsidRDefault="006D5E5E" w:rsidP="006D5E5E">
      <w:r w:rsidRPr="006D5E5E">
        <w:t>Although the pivotal Phase</w:t>
      </w:r>
      <w:r>
        <w:t xml:space="preserve"> III T</w:t>
      </w:r>
      <w:r w:rsidRPr="006D5E5E">
        <w:t>rial B2305 did not have a placebo arm, Cushing’s disease</w:t>
      </w:r>
      <w:r>
        <w:t xml:space="preserve"> </w:t>
      </w:r>
      <w:r w:rsidRPr="006D5E5E">
        <w:t>only rarely resolves spontaneously. Therefore, the Phase</w:t>
      </w:r>
      <w:r>
        <w:t xml:space="preserve"> III T</w:t>
      </w:r>
      <w:r w:rsidRPr="006D5E5E">
        <w:t>rial is adequately designed to</w:t>
      </w:r>
      <w:r>
        <w:t xml:space="preserve"> </w:t>
      </w:r>
      <w:r w:rsidRPr="006D5E5E">
        <w:t xml:space="preserve">establish efficacy. The endpoint in the trial, </w:t>
      </w:r>
      <w:r>
        <w:t>UFC</w:t>
      </w:r>
      <w:r w:rsidRPr="006D5E5E">
        <w:t xml:space="preserve"> is an established</w:t>
      </w:r>
      <w:r>
        <w:t xml:space="preserve"> </w:t>
      </w:r>
      <w:r w:rsidRPr="006D5E5E">
        <w:t>biomarker for diagnosing and monitoring response to treatment in Cushing’s disease.</w:t>
      </w:r>
      <w:r>
        <w:t xml:space="preserve"> </w:t>
      </w:r>
      <w:r w:rsidRPr="006D5E5E">
        <w:t>Effects of pasireotide on patient-relevant outcomes such as cardiovascular events,</w:t>
      </w:r>
      <w:r>
        <w:t xml:space="preserve"> </w:t>
      </w:r>
      <w:r w:rsidRPr="006D5E5E">
        <w:t>depression, and muscle weakness are unknown. However, it would be unrealistic to expect</w:t>
      </w:r>
      <w:r>
        <w:t xml:space="preserve"> </w:t>
      </w:r>
      <w:r w:rsidRPr="006D5E5E">
        <w:t>that a large enough trial, with long enough follow-up, could be conducted for such a rare</w:t>
      </w:r>
      <w:r>
        <w:t xml:space="preserve"> </w:t>
      </w:r>
      <w:r w:rsidRPr="006D5E5E">
        <w:t>condition.</w:t>
      </w:r>
    </w:p>
    <w:p w14:paraId="522EAF88" w14:textId="77777777" w:rsidR="006D5E5E" w:rsidRDefault="006D5E5E" w:rsidP="006D5E5E">
      <w:pPr>
        <w:autoSpaceDE w:val="0"/>
        <w:autoSpaceDN w:val="0"/>
        <w:adjustRightInd w:val="0"/>
        <w:spacing w:before="0" w:after="0" w:line="240" w:lineRule="auto"/>
        <w:rPr>
          <w:rFonts w:eastAsiaTheme="minorHAnsi" w:cs="Cambria"/>
        </w:rPr>
      </w:pPr>
      <w:r>
        <w:rPr>
          <w:rFonts w:eastAsiaTheme="minorHAnsi" w:cs="Cambria"/>
        </w:rPr>
        <w:t xml:space="preserve">The pivotal </w:t>
      </w:r>
      <w:r w:rsidR="00B46E2A">
        <w:rPr>
          <w:rFonts w:eastAsiaTheme="minorHAnsi" w:cs="Cambria"/>
        </w:rPr>
        <w:t>P</w:t>
      </w:r>
      <w:r>
        <w:rPr>
          <w:rFonts w:eastAsiaTheme="minorHAnsi" w:cs="Cambria"/>
        </w:rPr>
        <w:t>hase</w:t>
      </w:r>
      <w:r w:rsidR="00B46E2A">
        <w:rPr>
          <w:rFonts w:eastAsiaTheme="minorHAnsi" w:cs="Cambria"/>
        </w:rPr>
        <w:t xml:space="preserve"> III</w:t>
      </w:r>
      <w:r>
        <w:rPr>
          <w:rFonts w:eastAsiaTheme="minorHAnsi" w:cs="Cambria"/>
        </w:rPr>
        <w:t xml:space="preserve"> </w:t>
      </w:r>
      <w:r w:rsidR="00B46E2A">
        <w:rPr>
          <w:rFonts w:eastAsiaTheme="minorHAnsi" w:cs="Cambria"/>
        </w:rPr>
        <w:t>T</w:t>
      </w:r>
      <w:r>
        <w:rPr>
          <w:rFonts w:eastAsiaTheme="minorHAnsi" w:cs="Cambria"/>
        </w:rPr>
        <w:t>rial B2305 is the largest randomised study of a treatment for</w:t>
      </w:r>
      <w:r w:rsidR="00B46E2A">
        <w:rPr>
          <w:rFonts w:eastAsiaTheme="minorHAnsi" w:cs="Cambria"/>
        </w:rPr>
        <w:t xml:space="preserve"> </w:t>
      </w:r>
      <w:r>
        <w:rPr>
          <w:rFonts w:eastAsiaTheme="minorHAnsi" w:cs="Cambria"/>
        </w:rPr>
        <w:t>Cushing’s disease. Therefore, the risks/safety</w:t>
      </w:r>
      <w:r w:rsidR="00776763">
        <w:rPr>
          <w:rFonts w:eastAsiaTheme="minorHAnsi" w:cs="Cambria"/>
        </w:rPr>
        <w:t xml:space="preserve"> profile</w:t>
      </w:r>
      <w:r>
        <w:rPr>
          <w:rFonts w:eastAsiaTheme="minorHAnsi" w:cs="Cambria"/>
        </w:rPr>
        <w:t xml:space="preserve"> of pasireotide </w:t>
      </w:r>
      <w:r w:rsidR="00776763">
        <w:rPr>
          <w:rFonts w:eastAsiaTheme="minorHAnsi" w:cs="Cambria"/>
        </w:rPr>
        <w:t xml:space="preserve">is </w:t>
      </w:r>
      <w:r>
        <w:rPr>
          <w:rFonts w:eastAsiaTheme="minorHAnsi" w:cs="Cambria"/>
        </w:rPr>
        <w:t>probably better</w:t>
      </w:r>
      <w:r w:rsidR="00B46E2A">
        <w:rPr>
          <w:rFonts w:eastAsiaTheme="minorHAnsi" w:cs="Cambria"/>
        </w:rPr>
        <w:t xml:space="preserve"> </w:t>
      </w:r>
      <w:r>
        <w:rPr>
          <w:rFonts w:eastAsiaTheme="minorHAnsi" w:cs="Cambria"/>
        </w:rPr>
        <w:t>characterised than other medicines for Cushing’s disease, which are used off-label.</w:t>
      </w:r>
      <w:r w:rsidR="00B46E2A">
        <w:rPr>
          <w:rFonts w:eastAsiaTheme="minorHAnsi" w:cs="Cambria"/>
        </w:rPr>
        <w:t xml:space="preserve"> The Delegate </w:t>
      </w:r>
      <w:r>
        <w:rPr>
          <w:rFonts w:eastAsiaTheme="minorHAnsi" w:cs="Cambria"/>
        </w:rPr>
        <w:t>ha</w:t>
      </w:r>
      <w:r w:rsidR="00B46E2A">
        <w:rPr>
          <w:rFonts w:eastAsiaTheme="minorHAnsi" w:cs="Cambria"/>
        </w:rPr>
        <w:t>d</w:t>
      </w:r>
      <w:r>
        <w:rPr>
          <w:rFonts w:eastAsiaTheme="minorHAnsi" w:cs="Cambria"/>
        </w:rPr>
        <w:t xml:space="preserve"> no reason to say, at th</w:t>
      </w:r>
      <w:r w:rsidR="00B46E2A">
        <w:rPr>
          <w:rFonts w:eastAsiaTheme="minorHAnsi" w:cs="Cambria"/>
        </w:rPr>
        <w:t>e</w:t>
      </w:r>
      <w:r>
        <w:rPr>
          <w:rFonts w:eastAsiaTheme="minorHAnsi" w:cs="Cambria"/>
        </w:rPr>
        <w:t xml:space="preserve"> time, that the application for pasireotide should not be</w:t>
      </w:r>
      <w:r w:rsidR="00B46E2A">
        <w:rPr>
          <w:rFonts w:eastAsiaTheme="minorHAnsi" w:cs="Cambria"/>
        </w:rPr>
        <w:t xml:space="preserve"> </w:t>
      </w:r>
      <w:r>
        <w:rPr>
          <w:rFonts w:eastAsiaTheme="minorHAnsi" w:cs="Cambria"/>
        </w:rPr>
        <w:t>approved for registration.</w:t>
      </w:r>
    </w:p>
    <w:p w14:paraId="6410D390" w14:textId="77777777" w:rsidR="006D5E5E" w:rsidRDefault="00B46E2A" w:rsidP="00B46E2A">
      <w:pPr>
        <w:pStyle w:val="Heading3"/>
      </w:pPr>
      <w:bookmarkStart w:id="247" w:name="_Toc383680741"/>
      <w:r>
        <w:rPr>
          <w:rFonts w:eastAsiaTheme="minorHAnsi"/>
        </w:rPr>
        <w:t xml:space="preserve">Proposed </w:t>
      </w:r>
      <w:r w:rsidR="007E68D3">
        <w:rPr>
          <w:rFonts w:eastAsiaTheme="minorHAnsi"/>
        </w:rPr>
        <w:t>a</w:t>
      </w:r>
      <w:r>
        <w:rPr>
          <w:rFonts w:eastAsiaTheme="minorHAnsi"/>
        </w:rPr>
        <w:t>ction</w:t>
      </w:r>
      <w:bookmarkEnd w:id="247"/>
      <w:r>
        <w:rPr>
          <w:rFonts w:eastAsiaTheme="minorHAnsi"/>
        </w:rPr>
        <w:t xml:space="preserve"> </w:t>
      </w:r>
    </w:p>
    <w:p w14:paraId="74912F60" w14:textId="77777777" w:rsidR="00B46E2A" w:rsidRPr="00B46E2A" w:rsidRDefault="00B46E2A" w:rsidP="00B46E2A">
      <w:r w:rsidRPr="00B46E2A">
        <w:t>Specific questions for ACPM advice are:</w:t>
      </w:r>
    </w:p>
    <w:p w14:paraId="00D35D94" w14:textId="77777777" w:rsidR="00B46E2A" w:rsidRPr="00B46E2A" w:rsidRDefault="00964A93" w:rsidP="00B46E2A">
      <w:pPr>
        <w:pStyle w:val="Numberbullet0"/>
        <w:numPr>
          <w:ilvl w:val="0"/>
          <w:numId w:val="35"/>
        </w:numPr>
      </w:pPr>
      <w:r w:rsidRPr="00964A93">
        <w:rPr>
          <w:b/>
        </w:rPr>
        <w:t>Starting Dose</w:t>
      </w:r>
      <w:r>
        <w:t xml:space="preserve">: </w:t>
      </w:r>
      <w:r w:rsidR="00B46E2A" w:rsidRPr="00B46E2A">
        <w:t>The proposed Australian PI recommends a starting dose of 900</w:t>
      </w:r>
      <w:r w:rsidR="00B46E2A">
        <w:t xml:space="preserve"> µ</w:t>
      </w:r>
      <w:r w:rsidR="00B46E2A" w:rsidRPr="00B46E2A">
        <w:t>g, with titration back</w:t>
      </w:r>
      <w:r w:rsidR="00B46E2A">
        <w:t xml:space="preserve"> </w:t>
      </w:r>
      <w:r w:rsidR="00B46E2A" w:rsidRPr="00B46E2A">
        <w:t>to 600</w:t>
      </w:r>
      <w:r w:rsidR="00B46E2A">
        <w:t xml:space="preserve"> µ</w:t>
      </w:r>
      <w:r w:rsidR="00B46E2A" w:rsidRPr="00B46E2A">
        <w:t>g based on response and tolerability. Only the 900</w:t>
      </w:r>
      <w:r w:rsidR="00B46E2A">
        <w:t xml:space="preserve"> µ</w:t>
      </w:r>
      <w:r w:rsidR="00B46E2A" w:rsidRPr="00B46E2A">
        <w:t>g dose was statistically</w:t>
      </w:r>
      <w:r w:rsidR="00B46E2A">
        <w:t xml:space="preserve"> </w:t>
      </w:r>
      <w:r w:rsidR="00B46E2A" w:rsidRPr="00B46E2A">
        <w:t>significant versus the pre-specified threshold of at least 15% of patients achieving</w:t>
      </w:r>
      <w:r w:rsidR="00B46E2A">
        <w:t xml:space="preserve"> </w:t>
      </w:r>
      <w:r w:rsidR="00B46E2A" w:rsidRPr="00B46E2A">
        <w:t xml:space="preserve">normalisation of their </w:t>
      </w:r>
      <w:r w:rsidR="00B46E2A">
        <w:t>UFC</w:t>
      </w:r>
      <w:r w:rsidR="00B46E2A" w:rsidRPr="00B46E2A">
        <w:t xml:space="preserve"> at </w:t>
      </w:r>
      <w:r w:rsidR="00B46E2A">
        <w:t>six</w:t>
      </w:r>
      <w:r w:rsidR="00B46E2A" w:rsidRPr="00B46E2A">
        <w:t xml:space="preserve"> months. However, differences on efficacy</w:t>
      </w:r>
      <w:r w:rsidR="00B46E2A">
        <w:t xml:space="preserve"> </w:t>
      </w:r>
      <w:r w:rsidR="00B46E2A" w:rsidRPr="00B46E2A">
        <w:t>endpoints, compared to the 600</w:t>
      </w:r>
      <w:r w:rsidR="00B46E2A">
        <w:t xml:space="preserve"> µg</w:t>
      </w:r>
      <w:r w:rsidR="00B46E2A" w:rsidRPr="00B46E2A">
        <w:t xml:space="preserve"> dose, were not striking; differences on safety</w:t>
      </w:r>
      <w:r w:rsidR="00B46E2A">
        <w:t xml:space="preserve"> </w:t>
      </w:r>
      <w:r w:rsidR="00B46E2A" w:rsidRPr="00B46E2A">
        <w:t>endpoints were also not striking. Would it be better to recommend a starting dose of</w:t>
      </w:r>
      <w:r w:rsidR="00B46E2A">
        <w:t xml:space="preserve"> </w:t>
      </w:r>
      <w:r w:rsidR="00B46E2A" w:rsidRPr="00B46E2A">
        <w:t>600</w:t>
      </w:r>
      <w:r w:rsidR="00B46E2A">
        <w:t xml:space="preserve"> µ</w:t>
      </w:r>
      <w:r w:rsidR="00B46E2A" w:rsidRPr="00B46E2A">
        <w:t>g with possible up-titration to 900</w:t>
      </w:r>
      <w:r w:rsidR="00B46E2A">
        <w:t xml:space="preserve"> µ</w:t>
      </w:r>
      <w:r w:rsidR="00B46E2A" w:rsidRPr="00B46E2A">
        <w:t>g? (</w:t>
      </w:r>
      <w:r w:rsidR="00FE57F4">
        <w:t>A</w:t>
      </w:r>
      <w:r w:rsidR="00B46E2A" w:rsidRPr="00B46E2A">
        <w:t xml:space="preserve">s in EU, see Table </w:t>
      </w:r>
      <w:r>
        <w:t>1</w:t>
      </w:r>
      <w:r w:rsidR="00B46E2A" w:rsidRPr="00B46E2A">
        <w:t>)</w:t>
      </w:r>
      <w:r>
        <w:t>.</w:t>
      </w:r>
      <w:r w:rsidR="00B46E2A" w:rsidRPr="00B46E2A">
        <w:t xml:space="preserve"> Alternatively, should the PI just recommend a dose range of</w:t>
      </w:r>
      <w:r w:rsidR="00B46E2A">
        <w:t xml:space="preserve"> </w:t>
      </w:r>
      <w:r w:rsidR="00B46E2A" w:rsidRPr="00B46E2A">
        <w:t>300</w:t>
      </w:r>
      <w:r w:rsidR="00B46E2A">
        <w:t xml:space="preserve"> µ</w:t>
      </w:r>
      <w:r w:rsidR="00B46E2A" w:rsidRPr="00B46E2A">
        <w:t>g-900</w:t>
      </w:r>
      <w:r w:rsidR="00B46E2A">
        <w:t xml:space="preserve"> µ</w:t>
      </w:r>
      <w:r w:rsidR="00B46E2A" w:rsidRPr="00B46E2A">
        <w:t>g? (</w:t>
      </w:r>
      <w:r w:rsidR="00FE57F4">
        <w:t>A</w:t>
      </w:r>
      <w:r w:rsidR="00B46E2A" w:rsidRPr="00B46E2A">
        <w:t xml:space="preserve">s in US, see Table </w:t>
      </w:r>
      <w:r>
        <w:t>1</w:t>
      </w:r>
      <w:r w:rsidR="00B46E2A" w:rsidRPr="00B46E2A">
        <w:t>)</w:t>
      </w:r>
      <w:r>
        <w:t>.</w:t>
      </w:r>
    </w:p>
    <w:p w14:paraId="47B9B93A" w14:textId="77777777" w:rsidR="00B46E2A" w:rsidRPr="00B46E2A" w:rsidRDefault="00964A93" w:rsidP="00B46E2A">
      <w:pPr>
        <w:pStyle w:val="Numberbullet0"/>
      </w:pPr>
      <w:r w:rsidRPr="00964A93">
        <w:rPr>
          <w:b/>
        </w:rPr>
        <w:t>Dose adjustments for hepatic impaired patients</w:t>
      </w:r>
      <w:r>
        <w:t xml:space="preserve">: </w:t>
      </w:r>
      <w:r w:rsidR="00B46E2A" w:rsidRPr="00B46E2A">
        <w:t>Pasireotide is eliminated via hepatic excretion. Relative to patients with intact hepatic</w:t>
      </w:r>
      <w:r w:rsidR="00FE57F4">
        <w:t xml:space="preserve"> </w:t>
      </w:r>
      <w:r w:rsidR="00B46E2A" w:rsidRPr="00B46E2A">
        <w:t>function, patients with mild, moderate, and severe hepatic impairment (Child-Pugh A, B, C)</w:t>
      </w:r>
      <w:r w:rsidR="00FE57F4">
        <w:t xml:space="preserve"> </w:t>
      </w:r>
      <w:r w:rsidR="00B46E2A" w:rsidRPr="00B46E2A">
        <w:t>show a 12%, 56%, 42% increase in AUC</w:t>
      </w:r>
      <w:r w:rsidR="00B46E2A" w:rsidRPr="00FE57F4">
        <w:rPr>
          <w:vertAlign w:val="subscript"/>
        </w:rPr>
        <w:t>inf</w:t>
      </w:r>
      <w:r w:rsidR="00B46E2A" w:rsidRPr="00B46E2A">
        <w:t xml:space="preserve">, and a 3%, 46%, 33% increase in </w:t>
      </w:r>
      <w:proofErr w:type="spellStart"/>
      <w:r w:rsidR="00B46E2A" w:rsidRPr="00B46E2A">
        <w:t>C</w:t>
      </w:r>
      <w:r w:rsidR="00B46E2A" w:rsidRPr="00FE57F4">
        <w:rPr>
          <w:vertAlign w:val="subscript"/>
        </w:rPr>
        <w:t>max</w:t>
      </w:r>
      <w:proofErr w:type="spellEnd"/>
      <w:r w:rsidR="00B46E2A" w:rsidRPr="00FE57F4">
        <w:rPr>
          <w:vertAlign w:val="subscript"/>
        </w:rPr>
        <w:t xml:space="preserve"> </w:t>
      </w:r>
      <w:r w:rsidR="00FE57F4">
        <w:t>(S</w:t>
      </w:r>
      <w:r w:rsidR="00B46E2A" w:rsidRPr="00B46E2A">
        <w:t>tudy</w:t>
      </w:r>
      <w:r w:rsidR="00FE57F4">
        <w:t xml:space="preserve"> </w:t>
      </w:r>
      <w:r w:rsidR="00B46E2A" w:rsidRPr="00B46E2A">
        <w:t>B2114). Based on these data, the proposed PI recommends dose adjustment in patients</w:t>
      </w:r>
      <w:r w:rsidR="00FE57F4">
        <w:t xml:space="preserve"> </w:t>
      </w:r>
      <w:r w:rsidR="00B46E2A" w:rsidRPr="00B46E2A">
        <w:t>with moderate hepatic impairment and contraindication of pasireotide use in patients</w:t>
      </w:r>
      <w:r w:rsidR="00FE57F4">
        <w:t xml:space="preserve"> </w:t>
      </w:r>
      <w:r w:rsidR="00B46E2A" w:rsidRPr="00B46E2A">
        <w:t>with severe hepatic impairment. Do the data (or expert clinical opinion) support such a</w:t>
      </w:r>
      <w:r w:rsidR="00FE57F4">
        <w:t xml:space="preserve"> </w:t>
      </w:r>
      <w:r w:rsidR="00B46E2A" w:rsidRPr="00B46E2A">
        <w:t>recommendation? Is the general advice about liver monitoring for patients without</w:t>
      </w:r>
      <w:r w:rsidR="00FE57F4">
        <w:t xml:space="preserve"> </w:t>
      </w:r>
      <w:r w:rsidR="00B46E2A" w:rsidRPr="00B46E2A">
        <w:t>hepatic impairment adequate? (</w:t>
      </w:r>
      <w:r w:rsidR="00743E53">
        <w:t>P</w:t>
      </w:r>
      <w:r w:rsidR="00B46E2A" w:rsidRPr="00B46E2A">
        <w:t xml:space="preserve">rior to treatment; after </w:t>
      </w:r>
      <w:r w:rsidR="00FE57F4">
        <w:t>one to two w</w:t>
      </w:r>
      <w:r w:rsidR="00B46E2A" w:rsidRPr="00B46E2A">
        <w:t xml:space="preserve">eeks, after </w:t>
      </w:r>
      <w:r w:rsidR="00FE57F4">
        <w:t>two to three</w:t>
      </w:r>
      <w:r w:rsidR="00B46E2A" w:rsidRPr="00B46E2A">
        <w:t xml:space="preserve"> months; and</w:t>
      </w:r>
      <w:r w:rsidR="00FE57F4">
        <w:t xml:space="preserve"> </w:t>
      </w:r>
      <w:r w:rsidR="00B46E2A" w:rsidRPr="00B46E2A">
        <w:t>then as clinically indicated)</w:t>
      </w:r>
    </w:p>
    <w:p w14:paraId="3B03C455" w14:textId="77777777" w:rsidR="00FE57F4" w:rsidRDefault="00FE57F4" w:rsidP="00C45881">
      <w:pPr>
        <w:pStyle w:val="Numberbullet0"/>
      </w:pPr>
      <w:r>
        <w:t>In the context of the seriousness of Cushing’s disease, are the adverse effects manageable? In particular, can hyperglycaemia (which is seen almost immediately with increases in fasting plasma glucose noted within two weeks) be managed?</w:t>
      </w:r>
    </w:p>
    <w:p w14:paraId="1A8FC327" w14:textId="77777777" w:rsidR="00FE57F4" w:rsidRDefault="00FE57F4" w:rsidP="00FE57F4">
      <w:r>
        <w:t>The sponsor could address the following questions in the pre-ACPM response:</w:t>
      </w:r>
    </w:p>
    <w:p w14:paraId="183E7395" w14:textId="77777777" w:rsidR="00FE57F4" w:rsidRDefault="00FE57F4" w:rsidP="00FE57F4">
      <w:pPr>
        <w:pStyle w:val="ListBullet"/>
      </w:pPr>
      <w:r>
        <w:lastRenderedPageBreak/>
        <w:t>What post-marketing studies planned to assess the management of pasireotide induced hyperglycaemia and diabetes?</w:t>
      </w:r>
    </w:p>
    <w:p w14:paraId="2EE4C863" w14:textId="77777777" w:rsidR="00FE57F4" w:rsidRDefault="00FE57F4" w:rsidP="00FE57F4">
      <w:pPr>
        <w:pStyle w:val="ListBullet"/>
      </w:pPr>
      <w:r>
        <w:t xml:space="preserve">Are any registry/database studies planned to describe patterns of use of pasireotide and outcomes of use? </w:t>
      </w:r>
    </w:p>
    <w:p w14:paraId="19E84CB8" w14:textId="77777777" w:rsidR="00FE57F4" w:rsidRDefault="00FE57F4" w:rsidP="00FE57F4">
      <w:pPr>
        <w:pStyle w:val="Heading4"/>
      </w:pPr>
      <w:r>
        <w:t xml:space="preserve">Conditions of </w:t>
      </w:r>
      <w:r w:rsidR="007E68D3">
        <w:t>r</w:t>
      </w:r>
      <w:r>
        <w:t>egistration:</w:t>
      </w:r>
    </w:p>
    <w:p w14:paraId="7FD3DEA5" w14:textId="77777777" w:rsidR="00FE57F4" w:rsidRPr="00FE57F4" w:rsidRDefault="00FE57F4" w:rsidP="00FE57F4">
      <w:r w:rsidRPr="00FE57F4">
        <w:t>The following are proposed as conditions of registration:</w:t>
      </w:r>
    </w:p>
    <w:p w14:paraId="7E115BCB" w14:textId="77777777" w:rsidR="00FE57F4" w:rsidRDefault="00FE57F4" w:rsidP="00FE57F4">
      <w:pPr>
        <w:pStyle w:val="ListBullet"/>
      </w:pPr>
      <w:r>
        <w:t>Implement Safety Risk Management Plan (in EU-RMP format) Version 2 (dated 13/01/2012, DLP 17/11/2011) with Safety Risk Management Plan Australian Implementation Version 2 (dated 21/09/2012), and any future updates.</w:t>
      </w:r>
    </w:p>
    <w:p w14:paraId="7AFB84B0" w14:textId="77777777" w:rsidR="00FE57F4" w:rsidRDefault="00FE57F4" w:rsidP="00FE57F4">
      <w:pPr>
        <w:pStyle w:val="ListBullet"/>
      </w:pPr>
      <w:r>
        <w:t>Provide to the TGA the results of any studies that identify safety concerns or provide updated safety information, as soon as possible.</w:t>
      </w:r>
    </w:p>
    <w:p w14:paraId="1E1E3D37" w14:textId="77777777" w:rsidR="008E7846" w:rsidRDefault="00FE57F4" w:rsidP="00FE57F4">
      <w:pPr>
        <w:pStyle w:val="ListBullet"/>
      </w:pPr>
      <w:r>
        <w:t>Provide to the TGA the results of any studies that assess the management of pasireotide-induced hyperglycaemia or diabetes, as soon as possible.</w:t>
      </w:r>
    </w:p>
    <w:p w14:paraId="091F2267" w14:textId="77777777" w:rsidR="008E7846" w:rsidRDefault="008E7846" w:rsidP="00743E53">
      <w:pPr>
        <w:pStyle w:val="Heading3"/>
      </w:pPr>
      <w:bookmarkStart w:id="248" w:name="_Toc383680742"/>
      <w:bookmarkStart w:id="249" w:name="_Toc196046505"/>
      <w:bookmarkStart w:id="250" w:name="_Toc196046949"/>
      <w:r>
        <w:t>Response from Sponsor</w:t>
      </w:r>
      <w:bookmarkEnd w:id="248"/>
    </w:p>
    <w:p w14:paraId="0A777E79" w14:textId="77777777" w:rsidR="00743E53" w:rsidRPr="00743E53" w:rsidRDefault="00743E53" w:rsidP="00743E53">
      <w:pPr>
        <w:pStyle w:val="Heading4"/>
      </w:pPr>
      <w:r w:rsidRPr="00743E53">
        <w:t xml:space="preserve">Introduction </w:t>
      </w:r>
    </w:p>
    <w:p w14:paraId="253B8C26" w14:textId="77777777" w:rsidR="00743E53" w:rsidRDefault="00743E53" w:rsidP="00743E53">
      <w:r w:rsidRPr="00743E53">
        <w:t xml:space="preserve">Novartis welcomes the Delegate’s and </w:t>
      </w:r>
      <w:r>
        <w:t>cl</w:t>
      </w:r>
      <w:r w:rsidRPr="00743E53">
        <w:t xml:space="preserve">inical </w:t>
      </w:r>
      <w:r>
        <w:t>e</w:t>
      </w:r>
      <w:r w:rsidRPr="00743E53">
        <w:t>valuator’s recommendation to approve Signifor (pasireotide) for</w:t>
      </w:r>
      <w:r>
        <w:t>:</w:t>
      </w:r>
    </w:p>
    <w:p w14:paraId="787C5D60" w14:textId="77777777" w:rsidR="00743E53" w:rsidRPr="00743E53" w:rsidRDefault="00743E53" w:rsidP="00743E53">
      <w:pPr>
        <w:ind w:left="720"/>
        <w:rPr>
          <w:i/>
        </w:rPr>
      </w:pPr>
      <w:r w:rsidRPr="00743E53">
        <w:rPr>
          <w:i/>
        </w:rPr>
        <w:t>‘</w:t>
      </w:r>
      <w:proofErr w:type="gramStart"/>
      <w:r w:rsidRPr="00743E53">
        <w:rPr>
          <w:i/>
        </w:rPr>
        <w:t>the</w:t>
      </w:r>
      <w:proofErr w:type="gramEnd"/>
      <w:r w:rsidRPr="00743E53">
        <w:rPr>
          <w:i/>
        </w:rPr>
        <w:t xml:space="preserve"> treatment of adult patients with Cushing’s disease for whom surgery is not an option or for whom surgery has failed’.</w:t>
      </w:r>
    </w:p>
    <w:p w14:paraId="56172854" w14:textId="77777777" w:rsidR="00743E53" w:rsidRPr="00743E53" w:rsidRDefault="00743E53" w:rsidP="00743E53">
      <w:r w:rsidRPr="00743E53">
        <w:t>Pasireotide is a new chemical entity in Australia and for this submission and indication, pasireotide is an orphan drug. Cushing’s disease is a very rare debilitating and life-threatening endocrine disease for which there is no registered treatment in Australia. The Delegate has sought the ACPM’s advice</w:t>
      </w:r>
      <w:r>
        <w:t xml:space="preserve"> on three</w:t>
      </w:r>
      <w:r w:rsidRPr="00743E53">
        <w:t xml:space="preserve"> specific issues related to this application and has also invited Novartis to respond to </w:t>
      </w:r>
      <w:r>
        <w:t>two</w:t>
      </w:r>
      <w:r w:rsidRPr="00743E53">
        <w:t xml:space="preserve"> questions relating to planned post marketing studies. Novartis will take this opportunity to present our responses on each of these specific issues for consideration by ACPM. For the sake of clarity and convenience, the Delegate’s comments are transcribed in italics ahead of our response. </w:t>
      </w:r>
    </w:p>
    <w:p w14:paraId="5173137A" w14:textId="77777777" w:rsidR="00743E53" w:rsidRPr="00743E53" w:rsidRDefault="00743E53" w:rsidP="00743E53">
      <w:pPr>
        <w:pStyle w:val="Heading4"/>
      </w:pPr>
      <w:r w:rsidRPr="00743E53">
        <w:t xml:space="preserve">Response to issues raised in the Delegate’s overview </w:t>
      </w:r>
    </w:p>
    <w:p w14:paraId="46BF1DEA" w14:textId="77777777" w:rsidR="00743E53" w:rsidRPr="00743E53" w:rsidRDefault="00964A93" w:rsidP="00743E53">
      <w:pPr>
        <w:pStyle w:val="Heading5"/>
        <w:rPr>
          <w:rFonts w:eastAsiaTheme="minorHAnsi"/>
        </w:rPr>
      </w:pPr>
      <w:r>
        <w:rPr>
          <w:rFonts w:eastAsiaTheme="minorHAnsi"/>
        </w:rPr>
        <w:t xml:space="preserve">Question 1: </w:t>
      </w:r>
      <w:r w:rsidR="00743E53" w:rsidRPr="00743E53">
        <w:rPr>
          <w:rFonts w:eastAsiaTheme="minorHAnsi"/>
        </w:rPr>
        <w:t xml:space="preserve">Starting dose </w:t>
      </w:r>
    </w:p>
    <w:p w14:paraId="2CEB77BF" w14:textId="77777777" w:rsidR="00743E53" w:rsidRPr="00964A93" w:rsidRDefault="00743E53" w:rsidP="00743E53">
      <w:pPr>
        <w:rPr>
          <w:i/>
        </w:rPr>
      </w:pPr>
      <w:r w:rsidRPr="00964A93">
        <w:rPr>
          <w:i/>
        </w:rPr>
        <w:t>The proposed Australian PI recommends a starting dose of 900 µg, with titration back to 600 µg based on response and tolerability. Only the 900 µg was statistically significant versus the pre-specified threshold of at least 15% of patients achieving normalisation of the UFC at six months. However the differences on efficacy endpoints, compared to the 600 µg dose were not striking; differences on safety endpoints were also not striking. Would it be better to recommend a starting dose of 600 µg with possible up-titration to 900</w:t>
      </w:r>
      <w:r w:rsidR="00964A93" w:rsidRPr="00964A93">
        <w:rPr>
          <w:i/>
        </w:rPr>
        <w:t xml:space="preserve"> µ</w:t>
      </w:r>
      <w:r w:rsidRPr="00964A93">
        <w:rPr>
          <w:i/>
        </w:rPr>
        <w:t xml:space="preserve">g? </w:t>
      </w:r>
      <w:r w:rsidR="003121DF" w:rsidRPr="00964A93">
        <w:rPr>
          <w:i/>
        </w:rPr>
        <w:t>(As in the EU</w:t>
      </w:r>
      <w:r w:rsidR="00B51E40" w:rsidRPr="00964A93">
        <w:rPr>
          <w:i/>
        </w:rPr>
        <w:t xml:space="preserve">, see Table </w:t>
      </w:r>
      <w:r w:rsidR="00964A93" w:rsidRPr="00964A93">
        <w:rPr>
          <w:i/>
        </w:rPr>
        <w:t>1</w:t>
      </w:r>
      <w:r w:rsidR="003121DF" w:rsidRPr="00964A93">
        <w:rPr>
          <w:i/>
        </w:rPr>
        <w:t xml:space="preserve">). </w:t>
      </w:r>
      <w:r w:rsidRPr="00964A93">
        <w:rPr>
          <w:i/>
        </w:rPr>
        <w:t>Alternatively, should the PI just recommend a dose range of 300</w:t>
      </w:r>
      <w:r w:rsidR="003121DF" w:rsidRPr="00964A93">
        <w:rPr>
          <w:i/>
        </w:rPr>
        <w:t xml:space="preserve"> µ</w:t>
      </w:r>
      <w:r w:rsidRPr="00964A93">
        <w:rPr>
          <w:i/>
        </w:rPr>
        <w:t>g</w:t>
      </w:r>
      <w:r w:rsidR="003121DF" w:rsidRPr="00964A93">
        <w:rPr>
          <w:i/>
        </w:rPr>
        <w:t xml:space="preserve"> – </w:t>
      </w:r>
      <w:r w:rsidRPr="00964A93">
        <w:rPr>
          <w:i/>
        </w:rPr>
        <w:t>900</w:t>
      </w:r>
      <w:r w:rsidR="003121DF" w:rsidRPr="00964A93">
        <w:rPr>
          <w:i/>
        </w:rPr>
        <w:t xml:space="preserve"> µ</w:t>
      </w:r>
      <w:r w:rsidRPr="00964A93">
        <w:rPr>
          <w:i/>
        </w:rPr>
        <w:t>g? (</w:t>
      </w:r>
      <w:r w:rsidR="003121DF" w:rsidRPr="00964A93">
        <w:rPr>
          <w:i/>
        </w:rPr>
        <w:t>A</w:t>
      </w:r>
      <w:r w:rsidRPr="00964A93">
        <w:rPr>
          <w:i/>
        </w:rPr>
        <w:t xml:space="preserve">s in </w:t>
      </w:r>
      <w:r w:rsidR="003121DF" w:rsidRPr="00964A93">
        <w:rPr>
          <w:i/>
        </w:rPr>
        <w:t xml:space="preserve">the </w:t>
      </w:r>
      <w:r w:rsidRPr="00964A93">
        <w:rPr>
          <w:i/>
        </w:rPr>
        <w:t>US</w:t>
      </w:r>
      <w:r w:rsidR="00B51E40" w:rsidRPr="00964A93">
        <w:rPr>
          <w:i/>
        </w:rPr>
        <w:t xml:space="preserve">, see Table </w:t>
      </w:r>
      <w:r w:rsidR="00964A93" w:rsidRPr="00964A93">
        <w:rPr>
          <w:i/>
        </w:rPr>
        <w:t>1</w:t>
      </w:r>
      <w:r w:rsidR="003121DF" w:rsidRPr="00964A93">
        <w:rPr>
          <w:i/>
        </w:rPr>
        <w:t>)</w:t>
      </w:r>
      <w:r w:rsidR="00B062FC" w:rsidRPr="00964A93">
        <w:rPr>
          <w:i/>
        </w:rPr>
        <w:t>.</w:t>
      </w:r>
    </w:p>
    <w:p w14:paraId="605D96C7" w14:textId="77777777" w:rsidR="00743E53" w:rsidRPr="007E68D3" w:rsidRDefault="00743E53" w:rsidP="007E68D3">
      <w:pPr>
        <w:pStyle w:val="Heading6"/>
        <w:rPr>
          <w:b/>
          <w:i w:val="0"/>
        </w:rPr>
      </w:pPr>
      <w:r w:rsidRPr="007E68D3">
        <w:rPr>
          <w:b/>
          <w:i w:val="0"/>
        </w:rPr>
        <w:t xml:space="preserve">Response </w:t>
      </w:r>
    </w:p>
    <w:p w14:paraId="016E3992" w14:textId="77777777" w:rsidR="004565DD" w:rsidRPr="004565DD" w:rsidRDefault="00743E53" w:rsidP="004565DD">
      <w:r w:rsidRPr="004565DD">
        <w:t>The biological (biochemical) efficacy a</w:t>
      </w:r>
      <w:r w:rsidR="004565DD">
        <w:t xml:space="preserve">ssessment of 600 </w:t>
      </w:r>
      <w:proofErr w:type="spellStart"/>
      <w:r w:rsidR="004565DD">
        <w:t>μg</w:t>
      </w:r>
      <w:proofErr w:type="spellEnd"/>
      <w:r w:rsidR="004565DD">
        <w:t xml:space="preserve"> and 900 </w:t>
      </w:r>
      <w:proofErr w:type="spellStart"/>
      <w:r w:rsidR="004565DD">
        <w:t>μg</w:t>
      </w:r>
      <w:proofErr w:type="spellEnd"/>
      <w:r w:rsidR="004565DD">
        <w:t xml:space="preserve"> </w:t>
      </w:r>
      <w:r w:rsidR="0009268D">
        <w:t>BD</w:t>
      </w:r>
      <w:r w:rsidRPr="004565DD">
        <w:t xml:space="preserve"> indicates that both doses are efficacious. The key parameter of median changes in </w:t>
      </w:r>
      <w:proofErr w:type="spellStart"/>
      <w:r w:rsidRPr="004565DD">
        <w:t>mUFC</w:t>
      </w:r>
      <w:proofErr w:type="spellEnd"/>
      <w:r w:rsidRPr="004565DD">
        <w:t xml:space="preserve"> over time showed similar results between the two doses with median changes from baseline to </w:t>
      </w:r>
      <w:r w:rsidR="004565DD">
        <w:t>M</w:t>
      </w:r>
      <w:r w:rsidRPr="004565DD">
        <w:t xml:space="preserve">onth 6 being identical at -47.9% and the </w:t>
      </w:r>
      <w:r w:rsidR="004565DD">
        <w:t>M</w:t>
      </w:r>
      <w:r w:rsidRPr="004565DD">
        <w:t xml:space="preserve">onth 12 values being very close at -67.6% and </w:t>
      </w:r>
      <w:r w:rsidRPr="004565DD">
        <w:lastRenderedPageBreak/>
        <w:t xml:space="preserve">-62.4%, respectively for 600 </w:t>
      </w:r>
      <w:proofErr w:type="spellStart"/>
      <w:r w:rsidRPr="004565DD">
        <w:t>μg</w:t>
      </w:r>
      <w:proofErr w:type="spellEnd"/>
      <w:r w:rsidRPr="004565DD">
        <w:t xml:space="preserve"> and 900 </w:t>
      </w:r>
      <w:proofErr w:type="spellStart"/>
      <w:r w:rsidRPr="004565DD">
        <w:t>μg</w:t>
      </w:r>
      <w:proofErr w:type="spellEnd"/>
      <w:r w:rsidRPr="004565DD">
        <w:t xml:space="preserve"> </w:t>
      </w:r>
      <w:r w:rsidR="0009268D">
        <w:t>BD</w:t>
      </w:r>
      <w:r w:rsidRPr="004565DD">
        <w:t xml:space="preserve"> [Pivotal clinical </w:t>
      </w:r>
      <w:r w:rsidR="004565DD" w:rsidRPr="004565DD">
        <w:t>S</w:t>
      </w:r>
      <w:r w:rsidRPr="004565DD">
        <w:t>tudy B2305</w:t>
      </w:r>
      <w:r w:rsidR="00B062FC">
        <w:t xml:space="preserve"> CSR</w:t>
      </w:r>
      <w:r w:rsidR="004565DD" w:rsidRPr="004565DD">
        <w:t xml:space="preserve">]. Changes in the other biological parameters of plasma ACTH and serum cortisol for the two dose groups were also similar. In addition, the clinical changes observed did not appear to be dose dependent, nor was there a difference in the persistence of effect between doses. However, controlled and partially controlled responder rates were slightly higher for 900 </w:t>
      </w:r>
      <w:proofErr w:type="spellStart"/>
      <w:r w:rsidR="004565DD" w:rsidRPr="004565DD">
        <w:t>μg</w:t>
      </w:r>
      <w:proofErr w:type="spellEnd"/>
      <w:r w:rsidR="004565DD" w:rsidRPr="004565DD">
        <w:t xml:space="preserve"> </w:t>
      </w:r>
      <w:r w:rsidR="0009268D">
        <w:t>BD</w:t>
      </w:r>
      <w:r w:rsidR="004565DD" w:rsidRPr="004565DD">
        <w:t xml:space="preserve"> (41.3%) relative to 600 </w:t>
      </w:r>
      <w:proofErr w:type="spellStart"/>
      <w:r w:rsidR="004565DD" w:rsidRPr="004565DD">
        <w:t>μg</w:t>
      </w:r>
      <w:proofErr w:type="spellEnd"/>
      <w:r w:rsidR="004565DD" w:rsidRPr="004565DD">
        <w:t xml:space="preserve"> </w:t>
      </w:r>
      <w:r w:rsidR="0009268D">
        <w:t>BD</w:t>
      </w:r>
      <w:r w:rsidR="004565DD" w:rsidRPr="004565DD">
        <w:t xml:space="preserve"> (34.2%) with a larger percentage of patients on 900 </w:t>
      </w:r>
      <w:proofErr w:type="spellStart"/>
      <w:r w:rsidR="004565DD" w:rsidRPr="004565DD">
        <w:t>μg</w:t>
      </w:r>
      <w:proofErr w:type="spellEnd"/>
      <w:r w:rsidR="004565DD" w:rsidRPr="004565DD">
        <w:t xml:space="preserve"> </w:t>
      </w:r>
      <w:r w:rsidR="0009268D">
        <w:t>BD</w:t>
      </w:r>
      <w:r w:rsidR="004565DD" w:rsidRPr="004565DD">
        <w:t xml:space="preserve"> meeting the primary endpoint and demonstrating a more consistent effect across all baseline </w:t>
      </w:r>
      <w:proofErr w:type="spellStart"/>
      <w:r w:rsidR="004565DD" w:rsidRPr="004565DD">
        <w:t>mUFC</w:t>
      </w:r>
      <w:proofErr w:type="spellEnd"/>
      <w:r w:rsidR="004565DD" w:rsidRPr="004565DD">
        <w:t xml:space="preserve"> values [Summary of Clinical Efficacy]. </w:t>
      </w:r>
    </w:p>
    <w:p w14:paraId="7CA35161" w14:textId="77777777" w:rsidR="008E7846" w:rsidRDefault="004565DD" w:rsidP="004565DD">
      <w:r w:rsidRPr="004565DD">
        <w:t>As presented in the B2305 CSR as well as the Summary of Clinical Safety, key safety parameters (</w:t>
      </w:r>
      <w:r w:rsidR="00B062FC">
        <w:t xml:space="preserve">for example, </w:t>
      </w:r>
      <w:r w:rsidRPr="004565DD">
        <w:t xml:space="preserve">QT prolongation, elevations in liver function tests, and cardiovascular events) lacked any dose-dependency with the possible exception of hyperglycaemia. Normal glucose tolerance patients and pre-diabetic patients did not appear to have meaningful differences in HbA1c between 600 and 900 </w:t>
      </w:r>
      <w:proofErr w:type="spellStart"/>
      <w:r w:rsidRPr="004565DD">
        <w:t>μg</w:t>
      </w:r>
      <w:proofErr w:type="spellEnd"/>
      <w:r w:rsidRPr="004565DD">
        <w:t xml:space="preserve"> </w:t>
      </w:r>
      <w:r w:rsidR="0009268D">
        <w:t>BD</w:t>
      </w:r>
      <w:r w:rsidRPr="004565DD">
        <w:t xml:space="preserve">. Diabetic patients on 900 </w:t>
      </w:r>
      <w:proofErr w:type="spellStart"/>
      <w:r w:rsidRPr="004565DD">
        <w:t>μg</w:t>
      </w:r>
      <w:proofErr w:type="spellEnd"/>
      <w:r w:rsidRPr="004565DD">
        <w:t xml:space="preserve"> </w:t>
      </w:r>
      <w:r w:rsidR="0009268D">
        <w:t>BD</w:t>
      </w:r>
      <w:r w:rsidRPr="004565DD">
        <w:t xml:space="preserve"> had a tendency for slightly larger increases in HbA1c relative to 600 </w:t>
      </w:r>
      <w:proofErr w:type="spellStart"/>
      <w:r w:rsidRPr="004565DD">
        <w:t>μg</w:t>
      </w:r>
      <w:proofErr w:type="spellEnd"/>
      <w:r w:rsidRPr="004565DD">
        <w:t xml:space="preserve"> </w:t>
      </w:r>
      <w:r w:rsidR="0009268D">
        <w:t>BD</w:t>
      </w:r>
      <w:r w:rsidRPr="004565DD">
        <w:t xml:space="preserve">. </w:t>
      </w:r>
      <w:r w:rsidR="00B062FC" w:rsidRPr="004565DD">
        <w:t>Hyperglycaemic</w:t>
      </w:r>
      <w:r w:rsidRPr="004565DD">
        <w:t xml:space="preserve"> AEs were assessed by dose and baseline </w:t>
      </w:r>
      <w:proofErr w:type="spellStart"/>
      <w:r w:rsidRPr="004565DD">
        <w:t>glycemic</w:t>
      </w:r>
      <w:proofErr w:type="spellEnd"/>
      <w:r w:rsidRPr="004565DD">
        <w:t xml:space="preserve"> status using the Adverse Events of Special Interest-hyperglycaemia search terms previously used in the B2305 CSR and the Summary of Clinical Safety. Overall, the analysis did not reveal clear differences between 600 and 900 </w:t>
      </w:r>
      <w:proofErr w:type="spellStart"/>
      <w:r w:rsidRPr="004565DD">
        <w:t>μg</w:t>
      </w:r>
      <w:proofErr w:type="spellEnd"/>
      <w:r w:rsidRPr="004565DD">
        <w:t xml:space="preserve"> </w:t>
      </w:r>
      <w:r w:rsidR="0009268D">
        <w:t>BD</w:t>
      </w:r>
      <w:r w:rsidRPr="004565DD">
        <w:t xml:space="preserve"> across the groups studied (normal glucose tolerance, pre-diabetics and diabetics). The similarity between 600 and 900 </w:t>
      </w:r>
      <w:proofErr w:type="spellStart"/>
      <w:r w:rsidRPr="004565DD">
        <w:t>μg</w:t>
      </w:r>
      <w:proofErr w:type="spellEnd"/>
      <w:r w:rsidRPr="004565DD">
        <w:t xml:space="preserve"> </w:t>
      </w:r>
      <w:r w:rsidR="0009268D">
        <w:t>BD</w:t>
      </w:r>
      <w:r w:rsidRPr="004565DD">
        <w:t xml:space="preserve"> in mean changes in HbA1c over time is consistent with the mechanistic data observed in Study B2216. One of the main conclusions of Study B2216 was that there were no dose dependent differences in any of the key outcome measures (</w:t>
      </w:r>
      <w:r w:rsidR="00B062FC">
        <w:t xml:space="preserve">that is, </w:t>
      </w:r>
      <w:r w:rsidRPr="004565DD">
        <w:t xml:space="preserve">oral glucose tolerance test (OGTT), </w:t>
      </w:r>
      <w:r w:rsidR="00B062FC" w:rsidRPr="004565DD">
        <w:t>hyperglycaemic</w:t>
      </w:r>
      <w:r w:rsidRPr="004565DD">
        <w:t xml:space="preserve"> clamp and the </w:t>
      </w:r>
      <w:proofErr w:type="spellStart"/>
      <w:r w:rsidRPr="004565DD">
        <w:t>hyperinsulinemic</w:t>
      </w:r>
      <w:proofErr w:type="spellEnd"/>
      <w:r w:rsidRPr="004565DD">
        <w:t xml:space="preserve"> </w:t>
      </w:r>
      <w:proofErr w:type="spellStart"/>
      <w:r w:rsidRPr="004565DD">
        <w:t>euglyc</w:t>
      </w:r>
      <w:r w:rsidR="00B062FC">
        <w:t>a</w:t>
      </w:r>
      <w:r w:rsidRPr="004565DD">
        <w:t>emic</w:t>
      </w:r>
      <w:proofErr w:type="spellEnd"/>
      <w:r w:rsidRPr="004565DD">
        <w:t xml:space="preserve"> clamp).</w:t>
      </w:r>
    </w:p>
    <w:p w14:paraId="2075F10D" w14:textId="77777777" w:rsidR="00B062FC" w:rsidRPr="00B062FC" w:rsidRDefault="00B062FC" w:rsidP="00B062FC">
      <w:r w:rsidRPr="00B062FC">
        <w:t xml:space="preserve">The effect of up-titration of pasireotide was reviewed in an analysis presented in the clinical study report for study B2305. There were 24 patients in the 600 </w:t>
      </w:r>
      <w:proofErr w:type="spellStart"/>
      <w:r w:rsidRPr="00B062FC">
        <w:t>μg</w:t>
      </w:r>
      <w:proofErr w:type="spellEnd"/>
      <w:r w:rsidRPr="00B062FC">
        <w:t xml:space="preserve"> </w:t>
      </w:r>
      <w:r w:rsidR="0009268D">
        <w:t>BD</w:t>
      </w:r>
      <w:r w:rsidRPr="00B062FC">
        <w:t xml:space="preserve"> group whose dose was increased at Month 3. In those patients whose dose was increased from 600 to 900 </w:t>
      </w:r>
      <w:proofErr w:type="spellStart"/>
      <w:r w:rsidRPr="00B062FC">
        <w:t>μg</w:t>
      </w:r>
      <w:proofErr w:type="spellEnd"/>
      <w:r w:rsidRPr="00B062FC">
        <w:t xml:space="preserve"> </w:t>
      </w:r>
      <w:r w:rsidR="0009268D">
        <w:t>BD</w:t>
      </w:r>
      <w:r w:rsidRPr="00B062FC">
        <w:t xml:space="preserve"> at Month 3, the mean </w:t>
      </w:r>
      <w:proofErr w:type="spellStart"/>
      <w:r w:rsidRPr="00B062FC">
        <w:t>mUFC</w:t>
      </w:r>
      <w:proofErr w:type="spellEnd"/>
      <w:r w:rsidRPr="00B062FC">
        <w:t xml:space="preserve"> decreased from 710.4 nmol/24h at Month 3 (before dose increase) to 571.3 nmol/24h at Month 4 (after dose increase). The median </w:t>
      </w:r>
      <w:proofErr w:type="spellStart"/>
      <w:r w:rsidRPr="00B062FC">
        <w:t>mUFC</w:t>
      </w:r>
      <w:proofErr w:type="spellEnd"/>
      <w:r w:rsidRPr="00B062FC">
        <w:t xml:space="preserve"> decreased from 530.8 to 402.0 nmol/24h for the same time points. </w:t>
      </w:r>
    </w:p>
    <w:p w14:paraId="67AD33A5" w14:textId="77777777" w:rsidR="00B062FC" w:rsidRPr="00B062FC" w:rsidRDefault="00B062FC" w:rsidP="00B062FC">
      <w:r w:rsidRPr="00B062FC">
        <w:t xml:space="preserve">Based on the greater efficacy and consistency of effect observed with the 900 </w:t>
      </w:r>
      <w:proofErr w:type="spellStart"/>
      <w:r w:rsidRPr="00B062FC">
        <w:t>μg</w:t>
      </w:r>
      <w:proofErr w:type="spellEnd"/>
      <w:r>
        <w:t xml:space="preserve"> </w:t>
      </w:r>
      <w:r w:rsidR="0009268D">
        <w:t>BD</w:t>
      </w:r>
      <w:r>
        <w:t xml:space="preserve"> </w:t>
      </w:r>
      <w:r w:rsidRPr="00B062FC">
        <w:t xml:space="preserve">dose when compared with the 600 </w:t>
      </w:r>
      <w:proofErr w:type="spellStart"/>
      <w:r w:rsidRPr="00B062FC">
        <w:t>μg</w:t>
      </w:r>
      <w:proofErr w:type="spellEnd"/>
      <w:r w:rsidRPr="00B062FC">
        <w:t xml:space="preserve"> </w:t>
      </w:r>
      <w:r w:rsidR="0009268D">
        <w:t>BD</w:t>
      </w:r>
      <w:r w:rsidRPr="00B062FC">
        <w:t xml:space="preserve"> dose of pasireotide, Novartis recommends a starting dose of 900 </w:t>
      </w:r>
      <w:proofErr w:type="spellStart"/>
      <w:r w:rsidRPr="00B062FC">
        <w:t>μg</w:t>
      </w:r>
      <w:proofErr w:type="spellEnd"/>
      <w:r w:rsidRPr="00B062FC">
        <w:t xml:space="preserve"> </w:t>
      </w:r>
      <w:r w:rsidR="0009268D">
        <w:t>BD</w:t>
      </w:r>
      <w:r w:rsidRPr="00B062FC">
        <w:t xml:space="preserve"> except for patients with a history of diabetes or pre-diabetes, in whom the recommended starting dose is 600 </w:t>
      </w:r>
      <w:proofErr w:type="spellStart"/>
      <w:r w:rsidRPr="00B062FC">
        <w:t>μg</w:t>
      </w:r>
      <w:proofErr w:type="spellEnd"/>
      <w:r w:rsidRPr="00B062FC">
        <w:t xml:space="preserve"> </w:t>
      </w:r>
      <w:r w:rsidR="0009268D">
        <w:t>BD</w:t>
      </w:r>
      <w:r w:rsidRPr="00B062FC">
        <w:t xml:space="preserve"> and patients with moderately impaired hepatic function in whom the recommended starting dose is 300 </w:t>
      </w:r>
      <w:proofErr w:type="spellStart"/>
      <w:r w:rsidRPr="00B062FC">
        <w:t>μg</w:t>
      </w:r>
      <w:proofErr w:type="spellEnd"/>
      <w:r w:rsidRPr="00B062FC">
        <w:t xml:space="preserve"> </w:t>
      </w:r>
      <w:r w:rsidR="0009268D">
        <w:t>BD</w:t>
      </w:r>
      <w:r w:rsidRPr="00B062FC">
        <w:t>. Thus the relevant text in the PI has not been altered pending further advice from the ACPM.</w:t>
      </w:r>
    </w:p>
    <w:p w14:paraId="7AA33C6C" w14:textId="77777777" w:rsidR="00B062FC" w:rsidRPr="00B062FC" w:rsidRDefault="00964A93" w:rsidP="00B062FC">
      <w:pPr>
        <w:pStyle w:val="Heading5"/>
        <w:rPr>
          <w:rFonts w:eastAsiaTheme="minorHAnsi"/>
        </w:rPr>
      </w:pPr>
      <w:r>
        <w:rPr>
          <w:rFonts w:eastAsiaTheme="minorHAnsi"/>
        </w:rPr>
        <w:t xml:space="preserve">Question 2: </w:t>
      </w:r>
      <w:r w:rsidR="00B062FC" w:rsidRPr="00B062FC">
        <w:rPr>
          <w:rFonts w:eastAsiaTheme="minorHAnsi"/>
        </w:rPr>
        <w:t xml:space="preserve">Dose adjustments for hepatic impaired patients: </w:t>
      </w:r>
    </w:p>
    <w:p w14:paraId="6351E242" w14:textId="77777777" w:rsidR="00B062FC" w:rsidRPr="00964A93" w:rsidRDefault="00B062FC" w:rsidP="00B062FC">
      <w:pPr>
        <w:rPr>
          <w:i/>
        </w:rPr>
      </w:pPr>
      <w:r w:rsidRPr="00964A93">
        <w:rPr>
          <w:i/>
        </w:rPr>
        <w:t>Pasireotide is eliminated via hepatic excretion. Relative to patients with intact hepatic function, patients with mild, moderate, and severe hepatic impairment (Child-Pugh A, B, C) show a 12%, 56%, 42% increase in AUC</w:t>
      </w:r>
      <w:r w:rsidRPr="00964A93">
        <w:rPr>
          <w:i/>
          <w:vertAlign w:val="subscript"/>
        </w:rPr>
        <w:t>inf</w:t>
      </w:r>
      <w:r w:rsidRPr="00964A93">
        <w:rPr>
          <w:i/>
        </w:rPr>
        <w:t xml:space="preserve"> and a 3%, 46%, 33% increase in </w:t>
      </w:r>
      <w:proofErr w:type="spellStart"/>
      <w:r w:rsidRPr="00964A93">
        <w:rPr>
          <w:i/>
        </w:rPr>
        <w:t>C</w:t>
      </w:r>
      <w:r w:rsidRPr="00964A93">
        <w:rPr>
          <w:i/>
          <w:vertAlign w:val="subscript"/>
        </w:rPr>
        <w:t>max</w:t>
      </w:r>
      <w:proofErr w:type="spellEnd"/>
      <w:r w:rsidRPr="00964A93">
        <w:rPr>
          <w:i/>
        </w:rPr>
        <w:t xml:space="preserve"> (Study B2114). Based on these data, the proposed PI recommends dose adjustment in patients with moderate hepatic impairment and contraindication of pasireotide use in patients with severe hepatic impairment. Do the data (or expert clinical opinion) support such a recommendation? Is the general advice about liver monitoring for patients without hepatic impairment adequate? (Prior to treatment; after one to two weeks, after two to three months; and then as clinically indicated). </w:t>
      </w:r>
    </w:p>
    <w:p w14:paraId="5761F4E3" w14:textId="77777777" w:rsidR="00B062FC" w:rsidRPr="007E68D3" w:rsidRDefault="00B062FC" w:rsidP="007E68D3">
      <w:pPr>
        <w:pStyle w:val="Heading6"/>
        <w:rPr>
          <w:b/>
          <w:i w:val="0"/>
        </w:rPr>
      </w:pPr>
      <w:r w:rsidRPr="007E68D3">
        <w:rPr>
          <w:b/>
          <w:i w:val="0"/>
        </w:rPr>
        <w:t xml:space="preserve">Response </w:t>
      </w:r>
    </w:p>
    <w:p w14:paraId="63FC8C6B" w14:textId="77777777" w:rsidR="00B062FC" w:rsidRPr="00B062FC" w:rsidRDefault="00B062FC" w:rsidP="00B062FC">
      <w:r w:rsidRPr="00B062FC">
        <w:t>Novartis has arrived at the proposed recommendations for dosing in hepatic impaired patients based on the evidence provided by the PK dat</w:t>
      </w:r>
      <w:r>
        <w:t>a. In hepatic impairment S</w:t>
      </w:r>
      <w:r w:rsidRPr="00B062FC">
        <w:t>tudy B2114, results showed after adjustment for age, BMI and albumin, subjects with mild, moderate and severe hepatic impairment based on Child-Pugh classification had 8%, 60% and 79% increase in AUC</w:t>
      </w:r>
      <w:r w:rsidRPr="00B062FC">
        <w:rPr>
          <w:vertAlign w:val="subscript"/>
        </w:rPr>
        <w:t>inf</w:t>
      </w:r>
      <w:r w:rsidRPr="00B062FC">
        <w:t xml:space="preserve">; and 7%, 67% and 69% increase in </w:t>
      </w:r>
      <w:proofErr w:type="spellStart"/>
      <w:r w:rsidRPr="00B062FC">
        <w:t>C</w:t>
      </w:r>
      <w:r w:rsidRPr="00B062FC">
        <w:rPr>
          <w:vertAlign w:val="subscript"/>
        </w:rPr>
        <w:t>max</w:t>
      </w:r>
      <w:proofErr w:type="spellEnd"/>
      <w:r w:rsidRPr="00B062FC">
        <w:t xml:space="preserve"> in comparison to the </w:t>
      </w:r>
      <w:r w:rsidRPr="00B062FC">
        <w:lastRenderedPageBreak/>
        <w:t xml:space="preserve">normal group. Study B2114 employed a single </w:t>
      </w:r>
      <w:proofErr w:type="spellStart"/>
      <w:r w:rsidRPr="00B062FC">
        <w:t>sc</w:t>
      </w:r>
      <w:proofErr w:type="spellEnd"/>
      <w:r w:rsidRPr="00B062FC">
        <w:t xml:space="preserve"> dose of 600 </w:t>
      </w:r>
      <w:proofErr w:type="spellStart"/>
      <w:r w:rsidRPr="00B062FC">
        <w:t>μg</w:t>
      </w:r>
      <w:proofErr w:type="spellEnd"/>
      <w:r w:rsidRPr="00B062FC">
        <w:t xml:space="preserve">. Based on the assumption of dose proportionality, a reduction of dose from 600 </w:t>
      </w:r>
      <w:proofErr w:type="spellStart"/>
      <w:r w:rsidRPr="00B062FC">
        <w:t>μg</w:t>
      </w:r>
      <w:proofErr w:type="spellEnd"/>
      <w:r w:rsidRPr="00B062FC">
        <w:t xml:space="preserve"> to 375 </w:t>
      </w:r>
      <w:proofErr w:type="spellStart"/>
      <w:r w:rsidRPr="00B062FC">
        <w:t>μg</w:t>
      </w:r>
      <w:proofErr w:type="spellEnd"/>
      <w:r w:rsidRPr="00B062FC">
        <w:t xml:space="preserve"> </w:t>
      </w:r>
      <w:r w:rsidR="0009268D">
        <w:t>BD</w:t>
      </w:r>
      <w:r w:rsidRPr="00B062FC">
        <w:t>, would result in a 60% decrease in AUC</w:t>
      </w:r>
      <w:r w:rsidRPr="00B438B0">
        <w:rPr>
          <w:vertAlign w:val="subscript"/>
        </w:rPr>
        <w:t>inf</w:t>
      </w:r>
      <w:r w:rsidRPr="00B062FC">
        <w:t xml:space="preserve">. Similarly, a reduction of dose from 600 </w:t>
      </w:r>
      <w:proofErr w:type="spellStart"/>
      <w:r w:rsidRPr="00B062FC">
        <w:t>μg</w:t>
      </w:r>
      <w:proofErr w:type="spellEnd"/>
      <w:r w:rsidRPr="00B062FC">
        <w:t xml:space="preserve"> to 359 </w:t>
      </w:r>
      <w:proofErr w:type="spellStart"/>
      <w:r w:rsidRPr="00B062FC">
        <w:t>μg</w:t>
      </w:r>
      <w:proofErr w:type="spellEnd"/>
      <w:r w:rsidRPr="00B062FC">
        <w:t xml:space="preserve"> </w:t>
      </w:r>
      <w:r w:rsidR="0009268D">
        <w:t>BD</w:t>
      </w:r>
      <w:r w:rsidRPr="00B062FC">
        <w:t xml:space="preserve">, would result in a decrease in </w:t>
      </w:r>
      <w:proofErr w:type="spellStart"/>
      <w:r w:rsidRPr="00B062FC">
        <w:t>C</w:t>
      </w:r>
      <w:r w:rsidRPr="00B438B0">
        <w:rPr>
          <w:vertAlign w:val="subscript"/>
        </w:rPr>
        <w:t>max</w:t>
      </w:r>
      <w:proofErr w:type="spellEnd"/>
      <w:r w:rsidRPr="00B062FC">
        <w:t xml:space="preserve"> by 67% for moderate hepatic impaired patients. Practically, the closest dose strength to 375 </w:t>
      </w:r>
      <w:proofErr w:type="spellStart"/>
      <w:r w:rsidRPr="00B062FC">
        <w:t>μg</w:t>
      </w:r>
      <w:proofErr w:type="spellEnd"/>
      <w:r w:rsidRPr="00B062FC">
        <w:t xml:space="preserve"> </w:t>
      </w:r>
      <w:r w:rsidR="0009268D">
        <w:t>BD</w:t>
      </w:r>
      <w:r w:rsidRPr="00B062FC">
        <w:t xml:space="preserve"> and respectively 359 </w:t>
      </w:r>
      <w:proofErr w:type="spellStart"/>
      <w:r w:rsidRPr="00B062FC">
        <w:t>μg</w:t>
      </w:r>
      <w:proofErr w:type="spellEnd"/>
      <w:r w:rsidRPr="00B062FC">
        <w:t xml:space="preserve"> </w:t>
      </w:r>
      <w:r w:rsidR="0009268D">
        <w:t>BD</w:t>
      </w:r>
      <w:r w:rsidRPr="00B062FC">
        <w:t xml:space="preserve"> is 300 </w:t>
      </w:r>
      <w:proofErr w:type="spellStart"/>
      <w:r w:rsidRPr="00B062FC">
        <w:t>μg</w:t>
      </w:r>
      <w:proofErr w:type="spellEnd"/>
      <w:r w:rsidRPr="00B062FC">
        <w:t xml:space="preserve"> </w:t>
      </w:r>
      <w:r w:rsidR="0009268D">
        <w:t>BD</w:t>
      </w:r>
      <w:r w:rsidRPr="00B062FC">
        <w:t xml:space="preserve">. Thus the recommendation is that the maximum dose for patients with Cushing’s disease with moderate hepatic impairment is 600 </w:t>
      </w:r>
      <w:proofErr w:type="spellStart"/>
      <w:r w:rsidRPr="00B062FC">
        <w:t>μg</w:t>
      </w:r>
      <w:proofErr w:type="spellEnd"/>
      <w:r w:rsidRPr="00B062FC">
        <w:t xml:space="preserve"> </w:t>
      </w:r>
      <w:r w:rsidR="0009268D">
        <w:t>BD</w:t>
      </w:r>
      <w:r w:rsidRPr="00B062FC">
        <w:t xml:space="preserve"> with a starting dose of 300 </w:t>
      </w:r>
      <w:proofErr w:type="spellStart"/>
      <w:r w:rsidRPr="00B062FC">
        <w:t>μg</w:t>
      </w:r>
      <w:proofErr w:type="spellEnd"/>
      <w:r w:rsidRPr="00B062FC">
        <w:t xml:space="preserve"> </w:t>
      </w:r>
      <w:r w:rsidR="0009268D">
        <w:t>BD</w:t>
      </w:r>
      <w:r w:rsidRPr="00B062FC">
        <w:t xml:space="preserve">. </w:t>
      </w:r>
    </w:p>
    <w:p w14:paraId="6AA3CA8C" w14:textId="77777777" w:rsidR="00B062FC" w:rsidRPr="00B062FC" w:rsidRDefault="00B062FC" w:rsidP="00B062FC">
      <w:r w:rsidRPr="00B062FC">
        <w:t>Pasireotide use in patients with severe hepatic impairment is not recommended, given that PK exposures in patients with Cushing’</w:t>
      </w:r>
      <w:r w:rsidR="00B438B0">
        <w:t>s disease are two</w:t>
      </w:r>
      <w:r w:rsidRPr="00B062FC">
        <w:t xml:space="preserve">-fold higher than those in </w:t>
      </w:r>
      <w:r w:rsidR="00B438B0">
        <w:t>HV</w:t>
      </w:r>
      <w:r w:rsidRPr="00B062FC">
        <w:t xml:space="preserve">, and 69% to 79% higher PK exposures in subjects with severe hepatic impairment than with normal hepatic function. Elevations of liver enzymes and total bilirubin have been observed throughout the clinical study program. Increases in liver function test measures were observed for 16% of patients with Cushing’s disease in the pivotal </w:t>
      </w:r>
      <w:r w:rsidR="00B438B0">
        <w:t>S</w:t>
      </w:r>
      <w:r w:rsidRPr="00B062FC">
        <w:t>tudy B2305; however these increases were generally mild. Patients with severe hepatic impairment may be intrinsically more sensitive to liver enzyme and bilirubin elevations seen as side effects of pasireotide sc. As a precautionary measure, patients with Cushing’s disease and severe hepatic impairment should not be treated with pasireotide sc</w:t>
      </w:r>
      <w:r w:rsidR="00B438B0">
        <w:t>.</w:t>
      </w:r>
    </w:p>
    <w:p w14:paraId="289E495B" w14:textId="77777777" w:rsidR="00B438B0" w:rsidRPr="00B438B0" w:rsidRDefault="00B438B0" w:rsidP="00B438B0">
      <w:r w:rsidRPr="00B438B0">
        <w:t xml:space="preserve">The proposed PI provides recommendations for liver monitoring in patients. Novartis would like to add that at the time of submission of the response </w:t>
      </w:r>
      <w:r>
        <w:t xml:space="preserve">the TGA’s request for further information, </w:t>
      </w:r>
      <w:r w:rsidRPr="00B438B0">
        <w:t xml:space="preserve">a safety update (CDS 31-Jan-13) to the Precautions, Liver tests section to the Australian PI was included. To provide further guidance to treating physicians on the monitoring of liver function, an additional time point up to </w:t>
      </w:r>
      <w:r>
        <w:t>three</w:t>
      </w:r>
      <w:r w:rsidRPr="00B438B0">
        <w:t xml:space="preserve"> month</w:t>
      </w:r>
      <w:r>
        <w:t>s</w:t>
      </w:r>
      <w:r w:rsidRPr="00B438B0">
        <w:t xml:space="preserve"> was proposed. Mild and transient elevations of liver tests in both Cushing's disease patients and healthy subjects were observed mostly during the first three months of treatment. Accordingly, Novartis proposed to increase liver monitoring during this period. Therefore the monitoring proposal is “Monitoring of liver function is recommended prior to treatment with Signifor and after the first </w:t>
      </w:r>
      <w:r>
        <w:t>one to two</w:t>
      </w:r>
      <w:r w:rsidRPr="00B438B0">
        <w:t xml:space="preserve"> weeks and then monthly for </w:t>
      </w:r>
      <w:r>
        <w:t>three</w:t>
      </w:r>
      <w:r w:rsidRPr="00B438B0">
        <w:t xml:space="preserve"> months. Thereafter liver function should be monitored as clinically indicated.” </w:t>
      </w:r>
    </w:p>
    <w:p w14:paraId="5B71027F" w14:textId="77777777" w:rsidR="005670F4" w:rsidRDefault="005670F4" w:rsidP="005670F4">
      <w:pPr>
        <w:pStyle w:val="Heading5"/>
      </w:pPr>
      <w:r>
        <w:t xml:space="preserve">Adverse Effects: particularly hyperglycaemia </w:t>
      </w:r>
    </w:p>
    <w:p w14:paraId="1979A532" w14:textId="77777777" w:rsidR="005670F4" w:rsidRPr="00964A93" w:rsidRDefault="005670F4" w:rsidP="005670F4">
      <w:pPr>
        <w:rPr>
          <w:i/>
        </w:rPr>
      </w:pPr>
      <w:r w:rsidRPr="00964A93">
        <w:rPr>
          <w:i/>
        </w:rPr>
        <w:t xml:space="preserve">Management of AEs: in the context of the seriousness of Cushing’s disease, are the adverse effects manageable? In particular, can hyperglycaemia (which is seen almost immediately with increases in fasting plasma glucose noted within two weeks) be managed? </w:t>
      </w:r>
    </w:p>
    <w:p w14:paraId="6AC32795" w14:textId="77777777" w:rsidR="005670F4" w:rsidRPr="007E68D3" w:rsidRDefault="005670F4" w:rsidP="007E68D3">
      <w:pPr>
        <w:pStyle w:val="Heading6"/>
        <w:rPr>
          <w:b/>
          <w:i w:val="0"/>
        </w:rPr>
      </w:pPr>
      <w:r w:rsidRPr="007E68D3">
        <w:rPr>
          <w:b/>
          <w:i w:val="0"/>
        </w:rPr>
        <w:t xml:space="preserve">Response </w:t>
      </w:r>
    </w:p>
    <w:p w14:paraId="5BD276B7" w14:textId="77777777" w:rsidR="00964A93" w:rsidRDefault="005670F4" w:rsidP="00D9675A">
      <w:r w:rsidRPr="005670F4">
        <w:t>In patients with Cushing’s disease for whom surgery is not an option or for whom surgery has failed control of hypercortisolism, may currently be attempted with off-label use of various medications, such as ketoconazole. Although this is used in Australia, it can be toxic at the doses required to reduce cortisol secretion. Both the FDA and EMA have made recent recommendations regarding limiting the use of oral ketoconazole because of the risk of liver injury</w:t>
      </w:r>
      <w:r>
        <w:rPr>
          <w:rStyle w:val="FootnoteReference"/>
        </w:rPr>
        <w:footnoteReference w:id="10"/>
      </w:r>
      <w:r w:rsidR="00776763">
        <w:rPr>
          <w:vertAlign w:val="superscript"/>
        </w:rPr>
        <w:t>,</w:t>
      </w:r>
      <w:r>
        <w:rPr>
          <w:rStyle w:val="FootnoteReference"/>
        </w:rPr>
        <w:footnoteReference w:id="11"/>
      </w:r>
      <w:r w:rsidRPr="005670F4">
        <w:t xml:space="preserve">. It is understood that the TGA are currently reviewing information on oral ketoconazole to determine whether any action needs to be taken. These off-label treatment options are used despite the lack of robust data regarding the effectiveness of these therapies and potentially significant toxicities because of the severe physical and psychological symptoms associated with uncontrolled Cushing’s disease. Thus pasireotide fulfils an unmet medical need in these patients where there is currently no approved </w:t>
      </w:r>
      <w:r w:rsidRPr="005670F4">
        <w:lastRenderedPageBreak/>
        <w:t>medical therapy. Pasireotide has a safety profile that is consistent with the known adverse effects of approved somatostatin analogues (SSA) with the exception of an increased risk of hyperglycaemia</w:t>
      </w:r>
      <w:r w:rsidR="00964A93">
        <w:t>.</w:t>
      </w:r>
    </w:p>
    <w:p w14:paraId="3421206D" w14:textId="77777777" w:rsidR="00D9675A" w:rsidRPr="00D9675A" w:rsidRDefault="005670F4" w:rsidP="00D9675A">
      <w:r w:rsidRPr="005670F4">
        <w:t xml:space="preserve">Hyperglycaemia is a well-documented adverse effect of SSAs, and </w:t>
      </w:r>
      <w:proofErr w:type="spellStart"/>
      <w:r w:rsidRPr="005670F4">
        <w:t>dysglyc</w:t>
      </w:r>
      <w:r>
        <w:t>a</w:t>
      </w:r>
      <w:r w:rsidRPr="005670F4">
        <w:t>emia</w:t>
      </w:r>
      <w:proofErr w:type="spellEnd"/>
      <w:r w:rsidRPr="005670F4">
        <w:t xml:space="preserve"> (hyperglycaemia/hypoglyc</w:t>
      </w:r>
      <w:r>
        <w:t>a</w:t>
      </w:r>
      <w:r w:rsidRPr="005670F4">
        <w:t xml:space="preserve">emia) events have been reported as adverse reactions for octreotide and </w:t>
      </w:r>
      <w:proofErr w:type="spellStart"/>
      <w:r w:rsidRPr="005670F4">
        <w:t>lanreotide</w:t>
      </w:r>
      <w:proofErr w:type="spellEnd"/>
      <w:r w:rsidRPr="005670F4">
        <w:t xml:space="preserve">. Study SOM230B2124 in </w:t>
      </w:r>
      <w:r>
        <w:t>HV</w:t>
      </w:r>
      <w:r w:rsidRPr="005670F4">
        <w:t xml:space="preserve"> corroborated that the underlying mechanisms of hyperglycaemia following </w:t>
      </w:r>
      <w:proofErr w:type="spellStart"/>
      <w:r w:rsidRPr="005670F4">
        <w:t>pasireotide</w:t>
      </w:r>
      <w:proofErr w:type="spellEnd"/>
      <w:r w:rsidRPr="005670F4">
        <w:t xml:space="preserve"> </w:t>
      </w:r>
      <w:proofErr w:type="spellStart"/>
      <w:r w:rsidRPr="005670F4">
        <w:t>sc</w:t>
      </w:r>
      <w:proofErr w:type="spellEnd"/>
      <w:r w:rsidRPr="005670F4">
        <w:t xml:space="preserve"> treatment in humans was mainly due to decreased insulin secretion and reduced GLP-1/GIP incretin response with no changes in hepatic or peripheral insulin sensitivity. Co-administering pasireotide with four different classes of </w:t>
      </w:r>
      <w:proofErr w:type="spellStart"/>
      <w:r w:rsidRPr="005670F4">
        <w:t>antihyperglyc</w:t>
      </w:r>
      <w:r w:rsidR="00D9675A">
        <w:t>a</w:t>
      </w:r>
      <w:r w:rsidRPr="005670F4">
        <w:t>emic</w:t>
      </w:r>
      <w:proofErr w:type="spellEnd"/>
      <w:r w:rsidRPr="005670F4">
        <w:t xml:space="preserve"> drugs (biguanide [metformin], insulin secretagogue [</w:t>
      </w:r>
      <w:proofErr w:type="spellStart"/>
      <w:r w:rsidRPr="005670F4">
        <w:t>nateglinide</w:t>
      </w:r>
      <w:proofErr w:type="spellEnd"/>
      <w:r w:rsidRPr="005670F4">
        <w:t>], DPP-4 inhibitor [vildagliptin], and GLP-1 analogue [liraglutide]) for one week suggested that incretin based therapies (</w:t>
      </w:r>
      <w:r w:rsidR="00D9675A">
        <w:t xml:space="preserve">that is, </w:t>
      </w:r>
      <w:r w:rsidRPr="005670F4">
        <w:t>GLP-1 analogues and DPP-4 inhibitors) would be most useful in the management of pasireotide-induced hyperglycaemia. In view of the pre-existing insulin resistance in patients with Cushing’s disease, combination therapy with a biguanide (</w:t>
      </w:r>
      <w:r w:rsidR="00D9675A">
        <w:t xml:space="preserve">for example, </w:t>
      </w:r>
      <w:r w:rsidRPr="005670F4">
        <w:t xml:space="preserve">metformin) and an incretin enhancer may also be appropriate to treat pasireotide-induced hyperglycaemia. This data was further corroborated by the pivotal Phase </w:t>
      </w:r>
      <w:r w:rsidR="00D9675A">
        <w:t>III T</w:t>
      </w:r>
      <w:r w:rsidRPr="005670F4">
        <w:t xml:space="preserve">rial B2305 which showed that </w:t>
      </w:r>
      <w:r w:rsidRPr="00D9675A">
        <w:t xml:space="preserve">pasireotide induced hyperglycaemia was more likely to occur in patients with conventional risk factors for hyperglycaemia and metabolic syndrome (overweight/obese, hypertension, </w:t>
      </w:r>
      <w:proofErr w:type="spellStart"/>
      <w:r w:rsidRPr="00D9675A">
        <w:t>dyslipidemia</w:t>
      </w:r>
      <w:proofErr w:type="spellEnd"/>
      <w:r w:rsidRPr="00D9675A">
        <w:t xml:space="preserve">, glucose intolerance/ diabetes mellitus) were more likely to have hyperglycaemia during this study. In this trial, the initial increase in FPG (peaking at </w:t>
      </w:r>
      <w:r w:rsidR="00D9675A" w:rsidRPr="00D9675A">
        <w:t>M</w:t>
      </w:r>
      <w:r w:rsidRPr="00D9675A">
        <w:t>onth 1) was followed by stabili</w:t>
      </w:r>
      <w:r w:rsidR="00D9675A" w:rsidRPr="00D9675A">
        <w:t>s</w:t>
      </w:r>
      <w:r w:rsidRPr="00D9675A">
        <w:t xml:space="preserve">ation or decreases in FPG levels after </w:t>
      </w:r>
      <w:r w:rsidR="00D9675A" w:rsidRPr="00D9675A">
        <w:t>M</w:t>
      </w:r>
      <w:r w:rsidRPr="00D9675A">
        <w:t xml:space="preserve">onth 3 in both the 600 </w:t>
      </w:r>
      <w:proofErr w:type="spellStart"/>
      <w:r w:rsidRPr="00D9675A">
        <w:t>μg</w:t>
      </w:r>
      <w:proofErr w:type="spellEnd"/>
      <w:r w:rsidRPr="00D9675A">
        <w:t xml:space="preserve"> and 900 </w:t>
      </w:r>
      <w:proofErr w:type="spellStart"/>
      <w:r w:rsidRPr="00D9675A">
        <w:t>μg</w:t>
      </w:r>
      <w:proofErr w:type="spellEnd"/>
      <w:r w:rsidRPr="00D9675A">
        <w:t xml:space="preserve"> dose groups. HbA1c increased within </w:t>
      </w:r>
      <w:r w:rsidR="00D9675A" w:rsidRPr="00D9675A">
        <w:t>two</w:t>
      </w:r>
      <w:r w:rsidRPr="00D9675A">
        <w:t xml:space="preserve"> months and remained stable for the duration of the study with mean HbA1c values at </w:t>
      </w:r>
      <w:r w:rsidR="00D9675A" w:rsidRPr="00D9675A">
        <w:t>M</w:t>
      </w:r>
      <w:r w:rsidRPr="00D9675A">
        <w:t xml:space="preserve">onth 12 being consistent with values seen at Month 2 (mean HbA1C values (SD) for the 600 </w:t>
      </w:r>
      <w:r w:rsidR="00D9675A" w:rsidRPr="00D9675A">
        <w:t>µ</w:t>
      </w:r>
      <w:r w:rsidRPr="00D9675A">
        <w:t xml:space="preserve">g and 900 </w:t>
      </w:r>
      <w:r w:rsidR="00D9675A" w:rsidRPr="00D9675A">
        <w:t>µ</w:t>
      </w:r>
      <w:r w:rsidRPr="00D9675A">
        <w:t xml:space="preserve">g groups, respectively at baseline were 5.83 (0.78) and 5.76 (0.79), at </w:t>
      </w:r>
      <w:r w:rsidR="00D9675A" w:rsidRPr="00D9675A">
        <w:t>M</w:t>
      </w:r>
      <w:r w:rsidRPr="00D9675A">
        <w:t>onth 2 were 7.24 (1.65) and</w:t>
      </w:r>
      <w:r w:rsidR="00D9675A" w:rsidRPr="00D9675A">
        <w:t xml:space="preserve"> 7.41 (1.5) and at </w:t>
      </w:r>
      <w:r w:rsidR="00D9675A">
        <w:t>M</w:t>
      </w:r>
      <w:r w:rsidR="00D9675A" w:rsidRPr="00D9675A">
        <w:t xml:space="preserve">onth 12 were 7.25 (1.32) and 7.21 (1.6)). Overall, 6.2% of patients (4.9% on 600 </w:t>
      </w:r>
      <w:proofErr w:type="spellStart"/>
      <w:r w:rsidR="00D9675A" w:rsidRPr="00D9675A">
        <w:t>μg</w:t>
      </w:r>
      <w:proofErr w:type="spellEnd"/>
      <w:r w:rsidR="00D9675A" w:rsidRPr="00D9675A">
        <w:t xml:space="preserve"> and 7.5% on 900 </w:t>
      </w:r>
      <w:proofErr w:type="spellStart"/>
      <w:r w:rsidR="00D9675A" w:rsidRPr="00D9675A">
        <w:t>μg</w:t>
      </w:r>
      <w:proofErr w:type="spellEnd"/>
      <w:r w:rsidR="00D9675A" w:rsidRPr="00D9675A">
        <w:t>) discontinued due to hyperglycaemia related AEs. These data suggest that in Study B2305 pasireotide induced hyperglycaemia was manageable by approved therapies for diabetes. To further understand the appropriate management of pasireotide induced hyperglycaemia, Novartis will be conducting a post marketing study to compare the efficacy and safety of commonly available anti-diabetic therapies for the treatment of pasireotide induced diabetes.</w:t>
      </w:r>
    </w:p>
    <w:p w14:paraId="75E5B62F" w14:textId="77777777" w:rsidR="00D9675A" w:rsidRPr="00D9675A" w:rsidRDefault="00D9675A" w:rsidP="00D9675A">
      <w:r w:rsidRPr="00D9675A">
        <w:t>Overall, pasireotide has a favourable benefit/risk profile in Cushing’s disease. Because UFC levels decrease within the first months of treatment in patients who respond, patients who are not likely to achieve an optimal benefit-risk outcome with pasireotide can be identified early, thereby giving the option of early discontinuation of patients not likely to derive benefit from this drug. The proposed labelling fully characteri</w:t>
      </w:r>
      <w:r>
        <w:t>s</w:t>
      </w:r>
      <w:r w:rsidRPr="00D9675A">
        <w:t>es both efficacy and safety to enable appropriate use of pasireotide t</w:t>
      </w:r>
      <w:r w:rsidR="00964A93">
        <w:t>o maximize benefit while minimis</w:t>
      </w:r>
      <w:r w:rsidRPr="00D9675A">
        <w:t xml:space="preserve">ing risks to patients. </w:t>
      </w:r>
    </w:p>
    <w:p w14:paraId="088B18F2" w14:textId="77777777" w:rsidR="00D9675A" w:rsidRPr="00D9675A" w:rsidRDefault="00D9675A" w:rsidP="00D9675A">
      <w:pPr>
        <w:pStyle w:val="Heading5"/>
        <w:rPr>
          <w:rFonts w:eastAsiaTheme="minorHAnsi"/>
        </w:rPr>
      </w:pPr>
      <w:r w:rsidRPr="00D9675A">
        <w:rPr>
          <w:rFonts w:eastAsiaTheme="minorHAnsi"/>
        </w:rPr>
        <w:t xml:space="preserve">Questions on post-marketing studies </w:t>
      </w:r>
    </w:p>
    <w:p w14:paraId="5B48B6BB" w14:textId="77777777" w:rsidR="005670F4" w:rsidRPr="00964A93" w:rsidRDefault="00D9675A" w:rsidP="00D9675A">
      <w:pPr>
        <w:rPr>
          <w:i/>
        </w:rPr>
      </w:pPr>
      <w:r w:rsidRPr="00964A93">
        <w:rPr>
          <w:i/>
        </w:rPr>
        <w:t>What post-marketing studies planned to assess the management of pasireotide induced hyperglycaemia and</w:t>
      </w:r>
      <w:r w:rsidR="00C044FC" w:rsidRPr="00964A93">
        <w:rPr>
          <w:i/>
        </w:rPr>
        <w:t xml:space="preserve"> diabetes.</w:t>
      </w:r>
    </w:p>
    <w:p w14:paraId="0F971454" w14:textId="77777777" w:rsidR="00C044FC" w:rsidRPr="007E68D3" w:rsidRDefault="00C044FC" w:rsidP="007E68D3">
      <w:pPr>
        <w:pStyle w:val="Heading6"/>
        <w:rPr>
          <w:b/>
          <w:i w:val="0"/>
        </w:rPr>
      </w:pPr>
      <w:r w:rsidRPr="007E68D3">
        <w:rPr>
          <w:b/>
          <w:i w:val="0"/>
        </w:rPr>
        <w:t xml:space="preserve">Response </w:t>
      </w:r>
    </w:p>
    <w:p w14:paraId="31F39FAD" w14:textId="77777777" w:rsidR="00C044FC" w:rsidRDefault="00C044FC" w:rsidP="00C044FC">
      <w:r w:rsidRPr="00C044FC">
        <w:t>As Post-Approval Measure in Europe and Post-Marketing Requirement in US, Novartis is currently planning a study to evaluate the effect of pro-active anti-diabetic intervention on hyperglycaemia associated with pasireotide treatment. Study SOM230B2219 is “A multi-centr</w:t>
      </w:r>
      <w:r>
        <w:t>e</w:t>
      </w:r>
      <w:r w:rsidRPr="00C044FC">
        <w:t>, randomi</w:t>
      </w:r>
      <w:r>
        <w:t>s</w:t>
      </w:r>
      <w:r w:rsidRPr="00C044FC">
        <w:t xml:space="preserve">ed, open-label, Phase IV study to investigate the management of </w:t>
      </w:r>
      <w:proofErr w:type="spellStart"/>
      <w:r w:rsidRPr="00C044FC">
        <w:t>pasireotide</w:t>
      </w:r>
      <w:proofErr w:type="spellEnd"/>
      <w:r w:rsidRPr="00C044FC">
        <w:t>-induced hyperglycaemia with incretin based therapy or insulin in adult patients with Cushing’s disease or acromegaly”. Approximately 133 adult patients (age ≥</w:t>
      </w:r>
      <w:r w:rsidR="00964A93">
        <w:t> </w:t>
      </w:r>
      <w:r w:rsidRPr="00C044FC">
        <w:t>18 y</w:t>
      </w:r>
      <w:r>
        <w:t>ears</w:t>
      </w:r>
      <w:r w:rsidRPr="00C044FC">
        <w:t xml:space="preserve">) (66 in Cushing’s disease and 67 in Acromegaly) are planned to be enrolled. </w:t>
      </w:r>
    </w:p>
    <w:p w14:paraId="6A417C6C" w14:textId="77777777" w:rsidR="00C044FC" w:rsidRPr="00C044FC" w:rsidRDefault="00C044FC" w:rsidP="00C044FC">
      <w:r w:rsidRPr="00C044FC">
        <w:lastRenderedPageBreak/>
        <w:t xml:space="preserve">The purpose of this trial is to investigate the optimal management of pasireotide-induced hyperglycaemia in patients with Cushing’s </w:t>
      </w:r>
      <w:r>
        <w:t>d</w:t>
      </w:r>
      <w:r w:rsidRPr="00C044FC">
        <w:t>isease or acromegaly in the overall population. The study aims to demonstrate that pasireotide-induced hyperglyc</w:t>
      </w:r>
      <w:r w:rsidR="00B809E0">
        <w:t>a</w:t>
      </w:r>
      <w:r w:rsidRPr="00C044FC">
        <w:t>emia can be effectively and safely managed in majority of patients, including those with diabetes at start of pasireotide treatment. The primary objective is to evaluate the effect of treatment with incretin based therapy v</w:t>
      </w:r>
      <w:r>
        <w:t>ersu</w:t>
      </w:r>
      <w:r w:rsidRPr="00C044FC">
        <w:t>s insulin on the 16-week glycaemic control in patients with Cushing’s disease or acromegaly who develop or worsen hyperglyc</w:t>
      </w:r>
      <w:r>
        <w:t>a</w:t>
      </w:r>
      <w:r w:rsidRPr="00C044FC">
        <w:t>emia on pasireotide, and cannot be controlled by metformin alone or other background anti-diabetic treatments. If previously normo-glyc</w:t>
      </w:r>
      <w:r>
        <w:t>a</w:t>
      </w:r>
      <w:r w:rsidRPr="00C044FC">
        <w:t>emic patients experience increases in their fasting blood glucose based on pre-defined glyc</w:t>
      </w:r>
      <w:r>
        <w:t>a</w:t>
      </w:r>
      <w:r w:rsidRPr="00C044FC">
        <w:t>emic criteria while on pasireotide, they will start anti-diabetic treatment using metformin. If they continue to experience increases in their fasting blood glucose within the first 16 weeks, they will be randomi</w:t>
      </w:r>
      <w:r>
        <w:t>s</w:t>
      </w:r>
      <w:r w:rsidRPr="00C044FC">
        <w:t xml:space="preserve">ed in a 1:1 ratio to receive treatment with incretin based therapy (sitagliptin followed by liraglutide) or insulin for approximately 16 weeks. </w:t>
      </w:r>
    </w:p>
    <w:p w14:paraId="6D4F2D7F" w14:textId="77777777" w:rsidR="00C044FC" w:rsidRPr="00661017" w:rsidRDefault="00C044FC" w:rsidP="00C044FC">
      <w:pPr>
        <w:rPr>
          <w:i/>
        </w:rPr>
      </w:pPr>
      <w:r w:rsidRPr="00661017">
        <w:rPr>
          <w:i/>
        </w:rPr>
        <w:t xml:space="preserve">Are any registry/database studies planned to describe patterns of use of pasireotide and outcomes of use? </w:t>
      </w:r>
    </w:p>
    <w:p w14:paraId="1191616B" w14:textId="77777777" w:rsidR="00C044FC" w:rsidRPr="007E68D3" w:rsidRDefault="00C044FC" w:rsidP="007E68D3">
      <w:pPr>
        <w:pStyle w:val="Heading6"/>
        <w:rPr>
          <w:b/>
          <w:i w:val="0"/>
        </w:rPr>
      </w:pPr>
      <w:r w:rsidRPr="007E68D3">
        <w:rPr>
          <w:b/>
          <w:i w:val="0"/>
        </w:rPr>
        <w:t xml:space="preserve">Response </w:t>
      </w:r>
    </w:p>
    <w:p w14:paraId="1152F827" w14:textId="77777777" w:rsidR="005865A0" w:rsidRPr="005865A0" w:rsidRDefault="00C044FC" w:rsidP="005865A0">
      <w:r w:rsidRPr="00C044FC">
        <w:t xml:space="preserve">As </w:t>
      </w:r>
      <w:r w:rsidR="00B5322F">
        <w:t xml:space="preserve">a </w:t>
      </w:r>
      <w:r w:rsidRPr="00C044FC">
        <w:t>Post-Approval Measure in Europe and Post-Marketing Requirement in US, Novartis is conducting Study CSOM230B2410, a non-interventional, multinational, multi-centr</w:t>
      </w:r>
      <w:r>
        <w:t>e</w:t>
      </w:r>
      <w:r w:rsidRPr="00C044FC">
        <w:t xml:space="preserve"> post-marketing study for the generation of long term safety and efficacy data of </w:t>
      </w:r>
      <w:proofErr w:type="spellStart"/>
      <w:r w:rsidRPr="00C044FC">
        <w:t>pasireotide</w:t>
      </w:r>
      <w:proofErr w:type="spellEnd"/>
      <w:r w:rsidRPr="00C044FC">
        <w:t xml:space="preserve"> </w:t>
      </w:r>
      <w:proofErr w:type="spellStart"/>
      <w:r w:rsidRPr="00C044FC">
        <w:t>sc</w:t>
      </w:r>
      <w:proofErr w:type="spellEnd"/>
      <w:r w:rsidRPr="00C044FC">
        <w:t xml:space="preserve"> in patients with Cushing’s disease (FPFV: 28 March 2013). Study CSOM230B2410 is also an additional </w:t>
      </w:r>
      <w:r w:rsidR="00661017">
        <w:t>pharmacovigilance</w:t>
      </w:r>
      <w:r w:rsidRPr="00C044FC">
        <w:t xml:space="preserve"> activity listed in the Pharmacovigilance Plan of </w:t>
      </w:r>
      <w:proofErr w:type="spellStart"/>
      <w:r w:rsidRPr="00C044FC">
        <w:t>Signifor</w:t>
      </w:r>
      <w:proofErr w:type="spellEnd"/>
      <w:r w:rsidRPr="00C044FC">
        <w:t xml:space="preserve"> RMP. Approximately 100 sites in about 35 countries will participate in this study. The study will enrol up to 200 patients but not less than 100 patients. The patient population will consist of male and female patients aged 18 years or older with a diagnosis of Cushing’s disease who are prescribed commercial </w:t>
      </w:r>
      <w:proofErr w:type="spellStart"/>
      <w:r w:rsidRPr="00C044FC">
        <w:t>pasireotide</w:t>
      </w:r>
      <w:proofErr w:type="spellEnd"/>
      <w:r w:rsidRPr="00C044FC">
        <w:t xml:space="preserve"> </w:t>
      </w:r>
      <w:proofErr w:type="spellStart"/>
      <w:r w:rsidRPr="00C044FC">
        <w:t>sc</w:t>
      </w:r>
      <w:proofErr w:type="spellEnd"/>
      <w:r w:rsidRPr="00C044FC">
        <w:t xml:space="preserve"> medication. The overall treatment pattern with </w:t>
      </w:r>
      <w:proofErr w:type="spellStart"/>
      <w:r w:rsidRPr="00C044FC">
        <w:t>pasireotide</w:t>
      </w:r>
      <w:proofErr w:type="spellEnd"/>
      <w:r w:rsidRPr="00C044FC">
        <w:t xml:space="preserve"> </w:t>
      </w:r>
      <w:proofErr w:type="spellStart"/>
      <w:r w:rsidRPr="00C044FC">
        <w:t>sc</w:t>
      </w:r>
      <w:proofErr w:type="spellEnd"/>
      <w:r w:rsidRPr="00C044FC">
        <w:t xml:space="preserve"> should be consistent with the local prescribing information. For this study, each enrolled patient will be followed up for </w:t>
      </w:r>
      <w:r>
        <w:t>three</w:t>
      </w:r>
      <w:r w:rsidRPr="00C044FC">
        <w:t xml:space="preserve"> years after enrolment. Patients who permanently discontinue </w:t>
      </w:r>
      <w:proofErr w:type="spellStart"/>
      <w:r w:rsidRPr="00C044FC">
        <w:t>pasireotide</w:t>
      </w:r>
      <w:proofErr w:type="spellEnd"/>
      <w:r w:rsidRPr="00C044FC">
        <w:t xml:space="preserve"> </w:t>
      </w:r>
      <w:proofErr w:type="spellStart"/>
      <w:r w:rsidRPr="00C044FC">
        <w:t>sc</w:t>
      </w:r>
      <w:proofErr w:type="spellEnd"/>
      <w:r w:rsidRPr="00C044FC">
        <w:t xml:space="preserve"> prior to completing the </w:t>
      </w:r>
      <w:r>
        <w:t>three</w:t>
      </w:r>
      <w:r w:rsidRPr="00C044FC">
        <w:t xml:space="preserve">-year observation period will be followed up for </w:t>
      </w:r>
      <w:r>
        <w:t>three</w:t>
      </w:r>
      <w:r w:rsidRPr="00C044FC">
        <w:t xml:space="preserve"> months after </w:t>
      </w:r>
      <w:r w:rsidR="00661017">
        <w:t xml:space="preserve">the last dose of pasireotide sc. </w:t>
      </w:r>
      <w:r w:rsidRPr="00C044FC">
        <w:t xml:space="preserve">The primary objective is to document the long-term safety and tolerability profile of </w:t>
      </w:r>
      <w:proofErr w:type="spellStart"/>
      <w:r w:rsidRPr="00C044FC">
        <w:t>pasireotide</w:t>
      </w:r>
      <w:proofErr w:type="spellEnd"/>
      <w:r w:rsidRPr="00C044FC">
        <w:t xml:space="preserve"> </w:t>
      </w:r>
      <w:proofErr w:type="spellStart"/>
      <w:r w:rsidRPr="00C044FC">
        <w:t>sc</w:t>
      </w:r>
      <w:proofErr w:type="spellEnd"/>
      <w:r w:rsidRPr="00C044FC">
        <w:t xml:space="preserve"> when administered as monotherapy or in combination with other therapies in patients with Cushing’s disease. The endpoint for the primary objective is incidence of </w:t>
      </w:r>
      <w:proofErr w:type="spellStart"/>
      <w:r w:rsidRPr="00C044FC">
        <w:t>pasireotide</w:t>
      </w:r>
      <w:proofErr w:type="spellEnd"/>
      <w:r w:rsidRPr="00C044FC">
        <w:t xml:space="preserve"> </w:t>
      </w:r>
      <w:proofErr w:type="spellStart"/>
      <w:r w:rsidRPr="00C044FC">
        <w:t>sc</w:t>
      </w:r>
      <w:proofErr w:type="spellEnd"/>
      <w:r w:rsidRPr="00C044FC">
        <w:t xml:space="preserve">-related </w:t>
      </w:r>
      <w:r w:rsidR="005865A0">
        <w:t>AEs</w:t>
      </w:r>
      <w:r w:rsidRPr="00C044FC">
        <w:t xml:space="preserve"> and </w:t>
      </w:r>
      <w:r w:rsidR="00B41C0F">
        <w:t>SAEs</w:t>
      </w:r>
      <w:r w:rsidRPr="00C044FC">
        <w:t xml:space="preserve"> during the </w:t>
      </w:r>
      <w:r w:rsidR="005865A0">
        <w:t>three</w:t>
      </w:r>
      <w:r w:rsidRPr="00C044FC">
        <w:t xml:space="preserve">-year observation period. The timeframe of </w:t>
      </w:r>
      <w:r w:rsidR="005865A0">
        <w:t>three</w:t>
      </w:r>
      <w:r w:rsidRPr="00C044FC">
        <w:t xml:space="preserve"> years will allow to investigate the long-term safety/tolerability and efficacy of </w:t>
      </w:r>
      <w:proofErr w:type="spellStart"/>
      <w:r w:rsidRPr="00C044FC">
        <w:t>pasireotide</w:t>
      </w:r>
      <w:proofErr w:type="spellEnd"/>
      <w:r w:rsidRPr="00C044FC">
        <w:t xml:space="preserve"> </w:t>
      </w:r>
      <w:proofErr w:type="spellStart"/>
      <w:r w:rsidRPr="00C044FC">
        <w:t>sc</w:t>
      </w:r>
      <w:proofErr w:type="spellEnd"/>
      <w:r w:rsidRPr="00C044FC">
        <w:t xml:space="preserve"> including important safety evaluation on </w:t>
      </w:r>
      <w:proofErr w:type="spellStart"/>
      <w:r w:rsidRPr="00C044FC">
        <w:t>pasireotide</w:t>
      </w:r>
      <w:proofErr w:type="spellEnd"/>
      <w:r w:rsidRPr="00C044FC">
        <w:t xml:space="preserve"> </w:t>
      </w:r>
      <w:proofErr w:type="spellStart"/>
      <w:r w:rsidRPr="00C044FC">
        <w:t>sc</w:t>
      </w:r>
      <w:proofErr w:type="spellEnd"/>
      <w:r w:rsidR="005865A0">
        <w:t xml:space="preserve"> </w:t>
      </w:r>
      <w:r w:rsidRPr="00C044FC">
        <w:t>(</w:t>
      </w:r>
      <w:r w:rsidR="005865A0">
        <w:t xml:space="preserve">that is, </w:t>
      </w:r>
      <w:r w:rsidRPr="00C044FC">
        <w:t xml:space="preserve">induced glycaemia effects), </w:t>
      </w:r>
      <w:r w:rsidRPr="005865A0">
        <w:t xml:space="preserve">as </w:t>
      </w:r>
      <w:r w:rsidR="005865A0" w:rsidRPr="005865A0">
        <w:t>well as the long-term changes of pituitary hormo</w:t>
      </w:r>
      <w:r w:rsidR="005865A0">
        <w:t>nes and their by-products. The three</w:t>
      </w:r>
      <w:r w:rsidR="005865A0" w:rsidRPr="005865A0">
        <w:t xml:space="preserve"> year observation period is long enough to allow for the stabili</w:t>
      </w:r>
      <w:r w:rsidR="005865A0">
        <w:t>s</w:t>
      </w:r>
      <w:r w:rsidR="005865A0" w:rsidRPr="005865A0">
        <w:t>ation of the biochemical measures of disease activity (</w:t>
      </w:r>
      <w:r w:rsidR="005865A0">
        <w:t xml:space="preserve">that is, </w:t>
      </w:r>
      <w:r w:rsidR="005865A0" w:rsidRPr="005865A0">
        <w:t xml:space="preserve">UFC and plasma ACTH), thus reducing the confounding effect of acute changes in UFC on the long-term safety measures (such as glycaemia, and pituitary hormones). </w:t>
      </w:r>
    </w:p>
    <w:p w14:paraId="37069F13" w14:textId="77777777" w:rsidR="005865A0" w:rsidRPr="005865A0" w:rsidRDefault="005865A0" w:rsidP="005865A0">
      <w:pPr>
        <w:pStyle w:val="Heading5"/>
        <w:rPr>
          <w:rFonts w:eastAsiaTheme="minorHAnsi"/>
        </w:rPr>
      </w:pPr>
      <w:r w:rsidRPr="005865A0">
        <w:rPr>
          <w:rFonts w:eastAsiaTheme="minorHAnsi"/>
        </w:rPr>
        <w:t xml:space="preserve">Proposal for conditions of registration: </w:t>
      </w:r>
    </w:p>
    <w:p w14:paraId="14116A81" w14:textId="77777777" w:rsidR="00C044FC" w:rsidRPr="005865A0" w:rsidRDefault="005865A0" w:rsidP="005865A0">
      <w:r w:rsidRPr="005865A0">
        <w:t>Novartis agrees to the conditions for registration put forward by the Delegate.</w:t>
      </w:r>
    </w:p>
    <w:p w14:paraId="7B2F9F17" w14:textId="77777777" w:rsidR="005865A0" w:rsidRPr="005865A0" w:rsidRDefault="005865A0" w:rsidP="005865A0">
      <w:pPr>
        <w:pStyle w:val="Heading4"/>
      </w:pPr>
      <w:r w:rsidRPr="005865A0">
        <w:t>Concluding remarks</w:t>
      </w:r>
    </w:p>
    <w:p w14:paraId="6CF73974" w14:textId="77777777" w:rsidR="005865A0" w:rsidRPr="005865A0" w:rsidRDefault="005865A0" w:rsidP="005865A0">
      <w:r w:rsidRPr="005865A0">
        <w:t xml:space="preserve">Novartis welcomes the Delegate’s recommendation to approve Signifor for the treatment of adult patients with Cushing’s disease for whom surgery is not an option or for whom surgery has failed. Patients with Cushing’s disease have high morbidity and mortality rates and a significantly reduced quality of life. For patients who fail pituitary surgery, or for whom surgery is not an option, treatment options are limited. Pasireotide is the first pituitary-targeted medical therapy to demonstrate efficacy by directly addressing the </w:t>
      </w:r>
      <w:r w:rsidRPr="005865A0">
        <w:lastRenderedPageBreak/>
        <w:t>underlying mechanism of Cushing’s disease (</w:t>
      </w:r>
      <w:r w:rsidR="00B5322F">
        <w:t xml:space="preserve">that is, </w:t>
      </w:r>
      <w:r w:rsidRPr="005865A0">
        <w:t>suppression of increased ACTH secretion), with associated clinically relevant decreases in cortisol levels measured in serum, saliva and urine that are rapid, robust and sustained with longer follow-up (&gt;</w:t>
      </w:r>
      <w:r w:rsidR="00B5322F">
        <w:t xml:space="preserve"> two</w:t>
      </w:r>
      <w:r w:rsidRPr="005865A0">
        <w:t xml:space="preserve"> years). Additionally, clinically relevant improvements in signs and symptoms of hypercortisolism, such as BP, weight, BMI and cholesterol levels, were observed even in patients without complete normali</w:t>
      </w:r>
      <w:r w:rsidR="00B5322F">
        <w:t>s</w:t>
      </w:r>
      <w:r w:rsidRPr="005865A0">
        <w:t xml:space="preserve">ation of UFC, and patients experienced improvements in their Cushing's disease-related quality of life. </w:t>
      </w:r>
    </w:p>
    <w:p w14:paraId="6363F9F8" w14:textId="77777777" w:rsidR="005865A0" w:rsidRPr="005865A0" w:rsidRDefault="005865A0" w:rsidP="005865A0">
      <w:r w:rsidRPr="005865A0">
        <w:t>The safety profile of pasireotide was well characteri</w:t>
      </w:r>
      <w:r w:rsidR="00B5322F">
        <w:t>s</w:t>
      </w:r>
      <w:r w:rsidRPr="005865A0">
        <w:t>ed in the pivotal study as well as in the preclinical data and is consistent with the known class effects of somatostatin analogues. Hyperglyc</w:t>
      </w:r>
      <w:r>
        <w:t>a</w:t>
      </w:r>
      <w:r w:rsidRPr="005865A0">
        <w:t xml:space="preserve">emia is the most clinically relevant </w:t>
      </w:r>
      <w:r w:rsidR="00B5322F">
        <w:t>AE</w:t>
      </w:r>
      <w:r w:rsidRPr="005865A0">
        <w:t xml:space="preserve"> associated with pasireotide treatment. Given the recent improved understanding both of the underlying mechanism of hyperglyc</w:t>
      </w:r>
      <w:r>
        <w:t>a</w:t>
      </w:r>
      <w:r w:rsidRPr="005865A0">
        <w:t>emia and potentially effective treatment options, hyperglyc</w:t>
      </w:r>
      <w:r>
        <w:t>a</w:t>
      </w:r>
      <w:r w:rsidRPr="005865A0">
        <w:t>emia should be manageable in the clinical setting. Furthermore, hyperglyc</w:t>
      </w:r>
      <w:r>
        <w:t>a</w:t>
      </w:r>
      <w:r w:rsidRPr="005865A0">
        <w:t>emia associated with pasireotide is readily reversible upon discontinuation of treatment. The proposed labelling fully characterizes both efficacy and safety to enable appropriate use of pasireotide to maximi</w:t>
      </w:r>
      <w:r>
        <w:t>s</w:t>
      </w:r>
      <w:r w:rsidRPr="005865A0">
        <w:t>e benefit while minimi</w:t>
      </w:r>
      <w:r>
        <w:t>s</w:t>
      </w:r>
      <w:r w:rsidRPr="005865A0">
        <w:t>ing risks to patients. The data provided in this application and the full characteri</w:t>
      </w:r>
      <w:r>
        <w:t>s</w:t>
      </w:r>
      <w:r w:rsidRPr="005865A0">
        <w:t xml:space="preserve">ation of these data in the label support the use of pasireotide in the proposed indication. </w:t>
      </w:r>
    </w:p>
    <w:p w14:paraId="0D798F6A" w14:textId="77777777" w:rsidR="008E7846" w:rsidRDefault="005670F4" w:rsidP="008E7846">
      <w:pPr>
        <w:pStyle w:val="Heading4"/>
      </w:pPr>
      <w:r>
        <w:t>Advi</w:t>
      </w:r>
      <w:r w:rsidR="008E7846">
        <w:t xml:space="preserve">sory Committee </w:t>
      </w:r>
      <w:r w:rsidR="007E68D3">
        <w:t>c</w:t>
      </w:r>
      <w:r w:rsidR="008E7846">
        <w:t>onsiderations</w:t>
      </w:r>
    </w:p>
    <w:p w14:paraId="0B7F93B4" w14:textId="77777777" w:rsidR="00AD7626" w:rsidRDefault="008E7846" w:rsidP="00AD7626">
      <w:r>
        <w:rPr>
          <w:bCs/>
        </w:rPr>
        <w:t>The Advisory Committee on Prescription Medicines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bookmarkStart w:id="251" w:name="_Toc247691532"/>
      <w:bookmarkStart w:id="252" w:name="_Toc314842516"/>
      <w:bookmarkEnd w:id="219"/>
      <w:bookmarkEnd w:id="249"/>
      <w:bookmarkEnd w:id="250"/>
    </w:p>
    <w:p w14:paraId="38520ABA" w14:textId="77777777" w:rsidR="00AD7626" w:rsidRPr="002B0192" w:rsidRDefault="00AD7626" w:rsidP="00AD7626">
      <w:pPr>
        <w:spacing w:after="240"/>
        <w:rPr>
          <w:rFonts w:cs="Calibri"/>
          <w:bCs/>
          <w:lang w:val="en-GB"/>
        </w:rPr>
      </w:pPr>
      <w:r w:rsidRPr="002B0192">
        <w:rPr>
          <w:rFonts w:cs="Calibri"/>
          <w:bCs/>
          <w:lang w:val="en-GB"/>
        </w:rPr>
        <w:t>The submission seeks to register a new chemical entity</w:t>
      </w:r>
      <w:r w:rsidRPr="002B0192">
        <w:rPr>
          <w:rFonts w:cs="Calibri"/>
          <w:b/>
          <w:bCs/>
          <w:lang w:val="en-GB"/>
        </w:rPr>
        <w:t>.</w:t>
      </w:r>
    </w:p>
    <w:p w14:paraId="3E724D19" w14:textId="77777777" w:rsidR="00AD7626" w:rsidRPr="00CF5329" w:rsidRDefault="00AD7626" w:rsidP="00CF5329">
      <w:r w:rsidRPr="00CF5329">
        <w:t>The ACPM, taking into account the submitted evidence of efficacy, safety and quality, agreed with the delegate and considered S</w:t>
      </w:r>
      <w:r w:rsidR="00CF5329">
        <w:t>ignifor</w:t>
      </w:r>
      <w:r w:rsidRPr="00CF5329">
        <w:t xml:space="preserve"> solution for injection containing 300 µg/mL, 600</w:t>
      </w:r>
      <w:r w:rsidR="00CF5329" w:rsidRPr="00CF5329">
        <w:t> </w:t>
      </w:r>
      <w:r w:rsidR="00CF5329">
        <w:t>µg/mL, 900</w:t>
      </w:r>
      <w:r w:rsidR="00CF5329" w:rsidRPr="00CF5329">
        <w:t> </w:t>
      </w:r>
      <w:r w:rsidRPr="00CF5329">
        <w:t xml:space="preserve">µg/mL of </w:t>
      </w:r>
      <w:proofErr w:type="spellStart"/>
      <w:r w:rsidRPr="00CF5329">
        <w:t>Pasireotide</w:t>
      </w:r>
      <w:proofErr w:type="spellEnd"/>
      <w:r w:rsidRPr="00CF5329">
        <w:t xml:space="preserve"> (as </w:t>
      </w:r>
      <w:proofErr w:type="spellStart"/>
      <w:r w:rsidRPr="00CF5329">
        <w:t>diaspartate</w:t>
      </w:r>
      <w:proofErr w:type="spellEnd"/>
      <w:r w:rsidRPr="00CF5329">
        <w:t xml:space="preserve">) to have an overall positive benefit–risk profile for the proposed indication; </w:t>
      </w:r>
    </w:p>
    <w:p w14:paraId="42049585" w14:textId="77777777" w:rsidR="00AD7626" w:rsidRPr="00CF5329" w:rsidRDefault="00AD7626" w:rsidP="00CF5329">
      <w:pPr>
        <w:ind w:left="720"/>
        <w:rPr>
          <w:i/>
        </w:rPr>
      </w:pPr>
      <w:r w:rsidRPr="00CF5329">
        <w:rPr>
          <w:i/>
        </w:rPr>
        <w:t>For the treatment of adult patients with Cushing’s disease for whom surgery is not an option or for whom surgery has failed.</w:t>
      </w:r>
    </w:p>
    <w:p w14:paraId="44E8D633" w14:textId="77777777" w:rsidR="00AD7626" w:rsidRPr="00CF5329" w:rsidRDefault="00AD7626" w:rsidP="00CF5329">
      <w:r w:rsidRPr="00CF5329">
        <w:t>In addition, the delegate requested ACPM advice on the following specific issues:</w:t>
      </w:r>
    </w:p>
    <w:p w14:paraId="336E35EC" w14:textId="77777777" w:rsidR="00AD7626" w:rsidRPr="00CF5329" w:rsidRDefault="00AD7626" w:rsidP="00CF5329">
      <w:pPr>
        <w:pStyle w:val="Numberbullet0"/>
        <w:numPr>
          <w:ilvl w:val="0"/>
          <w:numId w:val="38"/>
        </w:numPr>
      </w:pPr>
      <w:r w:rsidRPr="00CF5329">
        <w:t>The proposed Australian PI re</w:t>
      </w:r>
      <w:r w:rsidR="00B809E0">
        <w:t>commends a starting dose of 900 </w:t>
      </w:r>
      <w:r w:rsidRPr="00CF5329">
        <w:t>µg, with titration back to 600</w:t>
      </w:r>
      <w:r w:rsidR="00B809E0">
        <w:t> µ</w:t>
      </w:r>
      <w:r w:rsidRPr="00CF5329">
        <w:t>g based on response and tolerability. Only the 900</w:t>
      </w:r>
      <w:r w:rsidR="00B809E0">
        <w:t> </w:t>
      </w:r>
      <w:r w:rsidRPr="00CF5329">
        <w:t xml:space="preserve">µg dose was statistically significant versus the pre-specified threshold of at least 15% of patients achieving normalisation of their urinary free cortisol at </w:t>
      </w:r>
      <w:r w:rsidR="00B809E0">
        <w:t>six</w:t>
      </w:r>
      <w:r w:rsidRPr="00CF5329">
        <w:t xml:space="preserve"> months. However, differences on efficacy endpoints, compared to the 600</w:t>
      </w:r>
      <w:r w:rsidR="00B809E0">
        <w:t> </w:t>
      </w:r>
      <w:r w:rsidRPr="00CF5329">
        <w:t>µg dose, were not striking; differences on safety endpoints were also not striking. Would it be better to recommend a starting dose of 600</w:t>
      </w:r>
      <w:r w:rsidR="00B809E0">
        <w:t> µ</w:t>
      </w:r>
      <w:r w:rsidRPr="00CF5329">
        <w:t>g with possible up-titration to 900</w:t>
      </w:r>
      <w:r w:rsidR="00B809E0">
        <w:t> </w:t>
      </w:r>
      <w:r w:rsidRPr="00CF5329">
        <w:t>µg? (</w:t>
      </w:r>
      <w:r w:rsidR="00B809E0">
        <w:t>A</w:t>
      </w:r>
      <w:r w:rsidRPr="00CF5329">
        <w:t>s in EU, see Table</w:t>
      </w:r>
      <w:r w:rsidR="00B809E0">
        <w:t> 1.)</w:t>
      </w:r>
      <w:r w:rsidRPr="00CF5329">
        <w:t xml:space="preserve"> Alternatively, should the PI just recommend a dose range of 300 µg-900</w:t>
      </w:r>
      <w:r w:rsidR="00B809E0">
        <w:t> </w:t>
      </w:r>
      <w:r w:rsidRPr="00CF5329">
        <w:t>µg? (</w:t>
      </w:r>
      <w:r w:rsidR="00B809E0">
        <w:t>A</w:t>
      </w:r>
      <w:r w:rsidRPr="00CF5329">
        <w:t>s in US, see Table</w:t>
      </w:r>
      <w:r w:rsidR="00B809E0">
        <w:t> 1.</w:t>
      </w:r>
      <w:r w:rsidRPr="00CF5329">
        <w:t>)</w:t>
      </w:r>
    </w:p>
    <w:p w14:paraId="26177EF2" w14:textId="77777777" w:rsidR="00AD7626" w:rsidRPr="00CF5329" w:rsidRDefault="00AD7626" w:rsidP="00CF5329">
      <w:pPr>
        <w:ind w:left="720"/>
      </w:pPr>
      <w:r w:rsidRPr="00CF5329">
        <w:t xml:space="preserve">With regard to starting dose, the ACPM advised the evidence suggests that 900 µg </w:t>
      </w:r>
      <w:r w:rsidR="0009268D">
        <w:t>BD</w:t>
      </w:r>
      <w:r w:rsidRPr="00CF5329">
        <w:t xml:space="preserve"> would appear to be too high as a starting dose and the PI could recommend a dose range of 300-900</w:t>
      </w:r>
      <w:r w:rsidR="00CF5329" w:rsidRPr="00CF5329">
        <w:t> </w:t>
      </w:r>
      <w:r w:rsidRPr="00CF5329">
        <w:t>µg or alternatively a starting dose of 600</w:t>
      </w:r>
      <w:r w:rsidR="00CF5329" w:rsidRPr="00CF5329">
        <w:t> </w:t>
      </w:r>
      <w:r w:rsidRPr="00CF5329">
        <w:t>µg.</w:t>
      </w:r>
    </w:p>
    <w:p w14:paraId="6E6DC614" w14:textId="77777777" w:rsidR="00AD7626" w:rsidRPr="00CF5329" w:rsidRDefault="00AD7626" w:rsidP="00CF5329">
      <w:pPr>
        <w:pStyle w:val="Numberbullet0"/>
      </w:pPr>
      <w:r w:rsidRPr="00CF5329">
        <w:t>Pasireotide is eliminated via hepatic excretion. Relative to patients with intact hepatic function, patients with mild, moderate, and severe hepatic impairment (Child-Pugh A, B, C) show a 12%, 56%, 42% increase in AUC</w:t>
      </w:r>
      <w:r w:rsidRPr="003D4CAF">
        <w:rPr>
          <w:vertAlign w:val="subscript"/>
        </w:rPr>
        <w:t>inf</w:t>
      </w:r>
      <w:r w:rsidRPr="00CF5329">
        <w:t xml:space="preserve">, and a 3%, 46%, 33% increase in </w:t>
      </w:r>
      <w:proofErr w:type="spellStart"/>
      <w:r w:rsidRPr="00CF5329">
        <w:t>C</w:t>
      </w:r>
      <w:r w:rsidRPr="003D4CAF">
        <w:rPr>
          <w:vertAlign w:val="subscript"/>
        </w:rPr>
        <w:t>max</w:t>
      </w:r>
      <w:proofErr w:type="spellEnd"/>
      <w:r w:rsidRPr="00CF5329">
        <w:t xml:space="preserve"> (</w:t>
      </w:r>
      <w:r w:rsidR="003D4CAF">
        <w:t>S</w:t>
      </w:r>
      <w:r w:rsidRPr="00CF5329">
        <w:t xml:space="preserve">tudy B2114). Based on these data, the proposed PI recommends dose adjustment in patients with moderate hepatic impairment and contraindication of pasireotide use in patients with severe hepatic impairment. Do the data (or expert clinical opinion) </w:t>
      </w:r>
      <w:r w:rsidRPr="00CF5329">
        <w:lastRenderedPageBreak/>
        <w:t>support such a recommendation? Is the general advice about liver monitoring for patients without hepatic impairment adequate? (</w:t>
      </w:r>
      <w:r w:rsidR="003D4CAF">
        <w:t>P</w:t>
      </w:r>
      <w:r w:rsidRPr="00CF5329">
        <w:t xml:space="preserve">rior to treatment; after </w:t>
      </w:r>
      <w:r w:rsidR="003D4CAF">
        <w:t xml:space="preserve">one to two </w:t>
      </w:r>
      <w:r w:rsidRPr="00CF5329">
        <w:t xml:space="preserve">weeks, after </w:t>
      </w:r>
      <w:r w:rsidR="003D4CAF">
        <w:t>two to three</w:t>
      </w:r>
      <w:r w:rsidRPr="00CF5329">
        <w:t xml:space="preserve"> months; and then as clinically indicated)</w:t>
      </w:r>
    </w:p>
    <w:p w14:paraId="0454E801" w14:textId="77777777" w:rsidR="00AD7626" w:rsidRPr="00CF5329" w:rsidRDefault="00AD7626" w:rsidP="00CF5329">
      <w:pPr>
        <w:ind w:left="720"/>
      </w:pPr>
      <w:r w:rsidRPr="00CF5329">
        <w:t>Based on the data on hepatic impairment the proposed PI recommends dose adjustments in patients with moderate hepatic impairment and contraindication with severe hepatic impairment. This seems reasonable, as does liver monitoring for patients without hepatic impairment.</w:t>
      </w:r>
    </w:p>
    <w:p w14:paraId="48550FDB" w14:textId="77777777" w:rsidR="00AD7626" w:rsidRPr="00CF5329" w:rsidRDefault="00AD7626" w:rsidP="00CF5329">
      <w:pPr>
        <w:pStyle w:val="Numberbullet0"/>
      </w:pPr>
      <w:r w:rsidRPr="00CF5329">
        <w:t xml:space="preserve">In the context of the seriousness of Cushing’s disease, are the adverse effects manageable? In particular, can hyperglycaemia (which is seen almost immediately with increases in fasting plasma glucose noted within </w:t>
      </w:r>
      <w:r w:rsidR="003D4CAF">
        <w:t>two</w:t>
      </w:r>
      <w:r w:rsidRPr="00CF5329">
        <w:t xml:space="preserve"> weeks) be managed?</w:t>
      </w:r>
    </w:p>
    <w:p w14:paraId="024E25D2" w14:textId="77777777" w:rsidR="00AD7626" w:rsidRPr="00CF5329" w:rsidRDefault="00AD7626" w:rsidP="00CF5329">
      <w:pPr>
        <w:ind w:left="720"/>
      </w:pPr>
      <w:r w:rsidRPr="00CF5329">
        <w:t xml:space="preserve">Pasireotide appears to be a useful treatment, but the treatment effect is modest </w:t>
      </w:r>
      <w:r w:rsidR="00CF5329">
        <w:t>and accompanie</w:t>
      </w:r>
      <w:r w:rsidRPr="00CF5329">
        <w:t>d by a constellation of adverse effects. Hyperglycaemia will be manageable in most patients.</w:t>
      </w:r>
      <w:r w:rsidR="00CF5329">
        <w:t xml:space="preserve"> </w:t>
      </w:r>
      <w:r w:rsidRPr="00CF5329">
        <w:t xml:space="preserve">Close monitoring and individual dose adjustment will be important to assess response to treatment. Pharmacovigilance procedures will be necessary to collect further data on safety. </w:t>
      </w:r>
    </w:p>
    <w:p w14:paraId="0B0D93ED" w14:textId="77777777" w:rsidR="00AD7626" w:rsidRPr="00CF5329" w:rsidRDefault="00AD7626" w:rsidP="00CF5329">
      <w:pPr>
        <w:pStyle w:val="Heading5"/>
      </w:pPr>
      <w:r w:rsidRPr="00CF5329">
        <w:t>Proposed conditions of registration:</w:t>
      </w:r>
    </w:p>
    <w:p w14:paraId="22F0AC24" w14:textId="77777777" w:rsidR="00CF5329" w:rsidRDefault="00AD7626" w:rsidP="00CF5329">
      <w:r w:rsidRPr="00CF5329">
        <w:t>The ACPM agreed with the delegate on the proposed conditions of registration and specifically advised on the inclusion of the following:</w:t>
      </w:r>
    </w:p>
    <w:p w14:paraId="06089EAA" w14:textId="77777777" w:rsidR="00AD7626" w:rsidRPr="00CF5329" w:rsidRDefault="00AD7626" w:rsidP="00CF5329">
      <w:pPr>
        <w:pStyle w:val="ListBullet"/>
      </w:pPr>
      <w:r w:rsidRPr="00CF5329">
        <w:t xml:space="preserve">Subject to satisfactory negotiation of the Risk Management Plan most recently approved by the TGA, </w:t>
      </w:r>
    </w:p>
    <w:p w14:paraId="13BB8FD4" w14:textId="7C9EFDAA" w:rsidR="00AD7626" w:rsidRPr="00CF5329" w:rsidRDefault="00AD7626" w:rsidP="00CF5329">
      <w:pPr>
        <w:pStyle w:val="ListBullet"/>
      </w:pPr>
      <w:r w:rsidRPr="00CF5329">
        <w:t xml:space="preserve">Negotiation of Product Information and Consumer Medicine Information to the satisfaction of the TGA. </w:t>
      </w:r>
    </w:p>
    <w:p w14:paraId="1D896C5B" w14:textId="77777777" w:rsidR="00AD7626" w:rsidRPr="00CF5329" w:rsidRDefault="00AD7626" w:rsidP="00CF5329">
      <w:pPr>
        <w:pStyle w:val="Heading5"/>
      </w:pPr>
      <w:r w:rsidRPr="00CF5329">
        <w:t>Proposed Product Information (PI)/Consumer Medicine Information (CMI) amendments:</w:t>
      </w:r>
      <w:r w:rsidRPr="00CF5329">
        <w:rPr>
          <w:highlight w:val="yellow"/>
        </w:rPr>
        <w:t xml:space="preserve"> </w:t>
      </w:r>
    </w:p>
    <w:p w14:paraId="3C0EA0F5" w14:textId="77777777" w:rsidR="00AD7626" w:rsidRPr="00CF5329" w:rsidRDefault="00AD7626" w:rsidP="00CF5329">
      <w:r w:rsidRPr="00CF5329">
        <w:t>The ACPM agreed with the delegate to the proposed amendments to the Product Information (PI) and Consumer Medicine Information (CMI).</w:t>
      </w:r>
    </w:p>
    <w:p w14:paraId="1841BA8D" w14:textId="77777777" w:rsidR="00AD7626" w:rsidRPr="00CF5329" w:rsidRDefault="00AD7626" w:rsidP="00CF5329">
      <w:r w:rsidRPr="00CF5329">
        <w:t xml:space="preserve">The ACPM advised that the implementation by the sponsor of the recommendations outlined above to the satisfaction of the TGA, in addition to the evidence of efficacy and safety provided would support the safe and effective use of these products. </w:t>
      </w:r>
    </w:p>
    <w:p w14:paraId="2C9E5F6F" w14:textId="77777777" w:rsidR="008E7846" w:rsidRPr="002E238E" w:rsidRDefault="008E7846" w:rsidP="00AD7626">
      <w:pPr>
        <w:pStyle w:val="Heading4"/>
      </w:pPr>
      <w:r>
        <w:t>Outcome</w:t>
      </w:r>
      <w:bookmarkEnd w:id="251"/>
      <w:bookmarkEnd w:id="252"/>
    </w:p>
    <w:p w14:paraId="52BFDF3E" w14:textId="77777777" w:rsidR="008E7846" w:rsidRDefault="008E7846" w:rsidP="00C80137">
      <w:r>
        <w:t xml:space="preserve">Based on a review of quality, safety and efficacy, TGA approved the registration of </w:t>
      </w:r>
      <w:r w:rsidR="00B809E0" w:rsidRPr="00CF5329">
        <w:t>S</w:t>
      </w:r>
      <w:r w:rsidR="00B809E0">
        <w:t>ignifor</w:t>
      </w:r>
      <w:r w:rsidR="00B809E0" w:rsidRPr="00CF5329">
        <w:t xml:space="preserve"> solution for injection containing 300 µg/mL, 600 </w:t>
      </w:r>
      <w:r w:rsidR="00B809E0">
        <w:t>µg/mL, 900</w:t>
      </w:r>
      <w:r w:rsidR="00B809E0" w:rsidRPr="00CF5329">
        <w:t xml:space="preserve"> µg/mL of </w:t>
      </w:r>
      <w:proofErr w:type="spellStart"/>
      <w:r w:rsidR="00B809E0" w:rsidRPr="00CF5329">
        <w:t>Pasireotide</w:t>
      </w:r>
      <w:proofErr w:type="spellEnd"/>
      <w:r w:rsidR="00B809E0" w:rsidRPr="00CF5329">
        <w:t xml:space="preserve"> (as </w:t>
      </w:r>
      <w:proofErr w:type="spellStart"/>
      <w:r w:rsidR="00B809E0" w:rsidRPr="00CF5329">
        <w:t>diaspartate</w:t>
      </w:r>
      <w:proofErr w:type="spellEnd"/>
      <w:r w:rsidR="00B809E0" w:rsidRPr="00CF5329">
        <w:t>)</w:t>
      </w:r>
      <w:r w:rsidR="00B809E0">
        <w:t>,</w:t>
      </w:r>
      <w:r>
        <w:t xml:space="preserve"> indicated for:</w:t>
      </w:r>
    </w:p>
    <w:p w14:paraId="25E43706" w14:textId="77777777" w:rsidR="00B809E0" w:rsidRPr="00CF5329" w:rsidRDefault="00B809E0" w:rsidP="00B809E0">
      <w:pPr>
        <w:ind w:left="720"/>
        <w:rPr>
          <w:i/>
        </w:rPr>
      </w:pPr>
      <w:r w:rsidRPr="00CF5329">
        <w:rPr>
          <w:i/>
        </w:rPr>
        <w:t>For the treatment of adult patients with Cushing’s disease for whom surgery is not an option or for whom surgery has failed.</w:t>
      </w:r>
    </w:p>
    <w:p w14:paraId="3F1FB16E" w14:textId="77777777" w:rsidR="00B5322F" w:rsidRDefault="00B5322F" w:rsidP="004212BC">
      <w:pPr>
        <w:pStyle w:val="Heading4"/>
      </w:pPr>
      <w:r>
        <w:t>Specific conditions applying to these therapeutic goods</w:t>
      </w:r>
    </w:p>
    <w:p w14:paraId="3DE6910B" w14:textId="77777777" w:rsidR="00B5322F" w:rsidRPr="00B5322F" w:rsidRDefault="00B5322F" w:rsidP="00B5322F">
      <w:r>
        <w:t>Signifor (</w:t>
      </w:r>
      <w:r w:rsidRPr="00B5322F">
        <w:t>pa</w:t>
      </w:r>
      <w:r>
        <w:t>sireo</w:t>
      </w:r>
      <w:r w:rsidRPr="00B5322F">
        <w:t>tide) Safety Risk Ma</w:t>
      </w:r>
      <w:r>
        <w:t>n</w:t>
      </w:r>
      <w:r w:rsidRPr="00B5322F">
        <w:t>ag</w:t>
      </w:r>
      <w:r>
        <w:t>e</w:t>
      </w:r>
      <w:r w:rsidRPr="00B5322F">
        <w:t>me</w:t>
      </w:r>
      <w:r>
        <w:t>n</w:t>
      </w:r>
      <w:r w:rsidRPr="00B5322F">
        <w:t xml:space="preserve">t Plan </w:t>
      </w:r>
      <w:r>
        <w:t>(</w:t>
      </w:r>
      <w:r w:rsidRPr="00B5322F">
        <w:t>RMP in EU-RMP format) Version</w:t>
      </w:r>
      <w:r w:rsidR="004212BC">
        <w:t xml:space="preserve"> </w:t>
      </w:r>
      <w:r w:rsidR="00AD7626">
        <w:t xml:space="preserve">2 </w:t>
      </w:r>
      <w:r w:rsidRPr="00B5322F">
        <w:t>da</w:t>
      </w:r>
      <w:r>
        <w:t>t</w:t>
      </w:r>
      <w:r w:rsidRPr="00B5322F">
        <w:t xml:space="preserve">ed 13 </w:t>
      </w:r>
      <w:r>
        <w:t>J</w:t>
      </w:r>
      <w:r w:rsidRPr="00B5322F">
        <w:t>anuary 2012 (data lock point 17 November 2011) with Safety Risk</w:t>
      </w:r>
      <w:r w:rsidR="004212BC">
        <w:t xml:space="preserve"> </w:t>
      </w:r>
      <w:r w:rsidRPr="00B5322F">
        <w:t>Management Plan Australian Implementation Version 2 dated 21 September 2012, and</w:t>
      </w:r>
      <w:r w:rsidR="004212BC">
        <w:t xml:space="preserve"> </w:t>
      </w:r>
      <w:r w:rsidRPr="00B5322F">
        <w:t>any subsequent revisions, as agreed with the TGA will be implemented in Australia.</w:t>
      </w:r>
    </w:p>
    <w:p w14:paraId="515722CB" w14:textId="77777777" w:rsidR="008E7846" w:rsidRDefault="008E7846" w:rsidP="008E7846">
      <w:pPr>
        <w:pStyle w:val="Heading2"/>
      </w:pPr>
      <w:bookmarkStart w:id="253" w:name="_Toc247691533"/>
      <w:bookmarkStart w:id="254" w:name="_Toc314842517"/>
      <w:bookmarkStart w:id="255" w:name="_Toc383680743"/>
      <w:r>
        <w:lastRenderedPageBreak/>
        <w:t>Attachment 1</w:t>
      </w:r>
      <w:r w:rsidR="002550A8">
        <w:t xml:space="preserve">: </w:t>
      </w:r>
      <w:r>
        <w:t xml:space="preserve">Product </w:t>
      </w:r>
      <w:r w:rsidR="00AA0ED0">
        <w:t>I</w:t>
      </w:r>
      <w:r>
        <w:t>nformation</w:t>
      </w:r>
      <w:bookmarkEnd w:id="253"/>
      <w:bookmarkEnd w:id="254"/>
      <w:bookmarkEnd w:id="255"/>
    </w:p>
    <w:p w14:paraId="16DEB0BF" w14:textId="77777777" w:rsidR="00C80137" w:rsidRDefault="00C80137" w:rsidP="00C80137">
      <w:pPr>
        <w:rPr>
          <w:color w:val="000000"/>
          <w:lang w:eastAsia="en-AU"/>
        </w:rPr>
      </w:pPr>
      <w:r w:rsidRPr="0037352E">
        <w:t xml:space="preserve">The Product Information approved at the time this </w:t>
      </w:r>
      <w:proofErr w:type="spellStart"/>
      <w:r w:rsidRPr="0037352E">
        <w:t>AusPAR</w:t>
      </w:r>
      <w:proofErr w:type="spellEnd"/>
      <w:r w:rsidRPr="0037352E">
        <w:t xml:space="preserve">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6" w:history="1">
        <w:r w:rsidR="00722B57" w:rsidRPr="00625A6E">
          <w:rPr>
            <w:rStyle w:val="Hyperlink"/>
          </w:rPr>
          <w:t>http://www.tga.gov.au/hp/information-medicines-pi.htm</w:t>
        </w:r>
      </w:hyperlink>
      <w:hyperlink w:history="1"/>
      <w:r w:rsidR="008F6943">
        <w:rPr>
          <w:color w:val="000000"/>
          <w:lang w:eastAsia="en-AU"/>
        </w:rPr>
        <w:t>&gt;.</w:t>
      </w:r>
    </w:p>
    <w:p w14:paraId="782F518C" w14:textId="77777777" w:rsidR="00C80137" w:rsidRDefault="00C80137" w:rsidP="00C80137">
      <w:pPr>
        <w:pStyle w:val="Heading2"/>
        <w:rPr>
          <w:lang w:eastAsia="en-AU"/>
        </w:rPr>
      </w:pPr>
      <w:bookmarkStart w:id="256" w:name="_Toc383680744"/>
      <w:r>
        <w:rPr>
          <w:lang w:eastAsia="en-AU"/>
        </w:rPr>
        <w:t>Attachment 2</w:t>
      </w:r>
      <w:r w:rsidR="002550A8">
        <w:rPr>
          <w:lang w:eastAsia="en-AU"/>
        </w:rPr>
        <w:t>:</w:t>
      </w:r>
      <w:r>
        <w:rPr>
          <w:lang w:eastAsia="en-AU"/>
        </w:rPr>
        <w:t xml:space="preserve"> Extract from the Clinical Evaluation Report</w:t>
      </w:r>
      <w:bookmarkEnd w:id="256"/>
    </w:p>
    <w:p w14:paraId="4A58509C" w14:textId="77777777" w:rsidR="00291957" w:rsidRDefault="00291957" w:rsidP="00291957">
      <w:pPr>
        <w:rPr>
          <w:lang w:eastAsia="ja-JP"/>
        </w:rPr>
      </w:pPr>
    </w:p>
    <w:p w14:paraId="3919481D" w14:textId="77777777" w:rsidR="00C80137" w:rsidRPr="001D043B" w:rsidRDefault="00C80137" w:rsidP="003A7F6C">
      <w:pPr>
        <w:pStyle w:val="TableTitle"/>
        <w:sectPr w:rsidR="00C80137" w:rsidRPr="001D043B" w:rsidSect="00B452CE">
          <w:headerReference w:type="even" r:id="rId17"/>
          <w:headerReference w:type="default" r:id="rId18"/>
          <w:foot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4A2883B" w14:textId="77777777" w:rsidTr="00202BB1">
        <w:trPr>
          <w:trHeight w:hRule="exact" w:val="704"/>
        </w:trPr>
        <w:tc>
          <w:tcPr>
            <w:tcW w:w="9175" w:type="dxa"/>
          </w:tcPr>
          <w:p w14:paraId="19F05967" w14:textId="77777777" w:rsidR="001C32CD" w:rsidRPr="00487162" w:rsidRDefault="001C32CD" w:rsidP="00202BB1">
            <w:pPr>
              <w:pStyle w:val="TGASignoff"/>
            </w:pPr>
            <w:r w:rsidRPr="00487162">
              <w:lastRenderedPageBreak/>
              <w:t>Therapeutic Goods Administration</w:t>
            </w:r>
          </w:p>
        </w:tc>
      </w:tr>
      <w:tr w:rsidR="001C32CD" w:rsidRPr="004C239D" w14:paraId="034CBA40" w14:textId="77777777" w:rsidTr="00202BB1">
        <w:trPr>
          <w:trHeight w:val="1221"/>
        </w:trPr>
        <w:tc>
          <w:tcPr>
            <w:tcW w:w="9175" w:type="dxa"/>
            <w:tcMar>
              <w:top w:w="28" w:type="dxa"/>
            </w:tcMar>
          </w:tcPr>
          <w:p w14:paraId="5A5101AB" w14:textId="77777777" w:rsidR="001C32CD" w:rsidRPr="00487162" w:rsidRDefault="001C32CD" w:rsidP="00202BB1">
            <w:pPr>
              <w:pStyle w:val="Address"/>
            </w:pPr>
            <w:r w:rsidRPr="00487162">
              <w:t>PO Box 100 Woden ACT 2606 Australia</w:t>
            </w:r>
          </w:p>
          <w:p w14:paraId="70B9ECD6" w14:textId="77777777" w:rsidR="001C32CD" w:rsidRPr="00487162" w:rsidRDefault="001C32CD" w:rsidP="00202BB1">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14:paraId="27BFC747" w14:textId="77777777" w:rsidR="001C32CD" w:rsidRPr="004C239D" w:rsidRDefault="00000000" w:rsidP="00202BB1">
            <w:pPr>
              <w:pStyle w:val="Address"/>
              <w:spacing w:line="260" w:lineRule="atLeast"/>
              <w:rPr>
                <w:b/>
                <w:color w:val="0000FF"/>
                <w:u w:val="single"/>
              </w:rPr>
            </w:pPr>
            <w:hyperlink r:id="rId23" w:history="1">
              <w:r w:rsidR="001C32CD" w:rsidRPr="00607888">
                <w:rPr>
                  <w:rStyle w:val="Hyperlink"/>
                  <w:b/>
                </w:rPr>
                <w:t>http://www.tga.gov.au</w:t>
              </w:r>
            </w:hyperlink>
          </w:p>
        </w:tc>
      </w:tr>
    </w:tbl>
    <w:p w14:paraId="3191D95B" w14:textId="77777777"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595C0" w14:textId="77777777" w:rsidR="00CA5579" w:rsidRDefault="00CA5579" w:rsidP="00C40A36">
      <w:pPr>
        <w:spacing w:after="0"/>
      </w:pPr>
      <w:r>
        <w:separator/>
      </w:r>
    </w:p>
  </w:endnote>
  <w:endnote w:type="continuationSeparator" w:id="0">
    <w:p w14:paraId="11364C74" w14:textId="77777777" w:rsidR="00CA5579" w:rsidRDefault="00CA557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76AF0" w:rsidRPr="00487162" w14:paraId="3479E8F4" w14:textId="77777777" w:rsidTr="0053625B">
      <w:trPr>
        <w:trHeight w:val="269"/>
      </w:trPr>
      <w:tc>
        <w:tcPr>
          <w:tcW w:w="7938" w:type="dxa"/>
          <w:tcMar>
            <w:top w:w="142" w:type="dxa"/>
            <w:bottom w:w="0" w:type="dxa"/>
          </w:tcMar>
        </w:tcPr>
        <w:p w14:paraId="48CE4692" w14:textId="77777777" w:rsidR="00676AF0" w:rsidRDefault="00676AF0" w:rsidP="00613954">
          <w:pPr>
            <w:pStyle w:val="Footer"/>
          </w:pPr>
          <w:proofErr w:type="spellStart"/>
          <w:r w:rsidRPr="00487162">
            <w:t>AusPAR</w:t>
          </w:r>
          <w:proofErr w:type="spellEnd"/>
          <w:r w:rsidRPr="00487162">
            <w:t xml:space="preserve"> </w:t>
          </w:r>
          <w:proofErr w:type="spellStart"/>
          <w:r>
            <w:t>Signifor</w:t>
          </w:r>
          <w:proofErr w:type="spellEnd"/>
          <w:r>
            <w:t xml:space="preserve"> </w:t>
          </w:r>
          <w:proofErr w:type="spellStart"/>
          <w:r>
            <w:t>Pasireotide</w:t>
          </w:r>
          <w:proofErr w:type="spellEnd"/>
          <w:r>
            <w:t xml:space="preserve"> (as </w:t>
          </w:r>
          <w:proofErr w:type="spellStart"/>
          <w:r>
            <w:t>diaspartate</w:t>
          </w:r>
          <w:proofErr w:type="spellEnd"/>
          <w:r>
            <w:t>) Novartis Pharmaceuticals Australia Pty Ltd</w:t>
          </w:r>
        </w:p>
        <w:p w14:paraId="2C76231C" w14:textId="77777777" w:rsidR="00676AF0" w:rsidRPr="00487162" w:rsidRDefault="00676AF0" w:rsidP="006142E9">
          <w:pPr>
            <w:pStyle w:val="Footer"/>
          </w:pPr>
          <w:r w:rsidRPr="00487162">
            <w:t>PM-20</w:t>
          </w:r>
          <w:r>
            <w:t>12</w:t>
          </w:r>
          <w:r w:rsidRPr="00487162">
            <w:t>-</w:t>
          </w:r>
          <w:r>
            <w:t>02743</w:t>
          </w:r>
          <w:r w:rsidRPr="00487162">
            <w:t>-</w:t>
          </w:r>
          <w:r>
            <w:t>3</w:t>
          </w:r>
          <w:r w:rsidRPr="00487162">
            <w:t>-</w:t>
          </w:r>
          <w:r>
            <w:t>5 Final 27 March 2014</w:t>
          </w:r>
        </w:p>
      </w:tc>
      <w:tc>
        <w:tcPr>
          <w:tcW w:w="923" w:type="dxa"/>
          <w:tcMar>
            <w:top w:w="142" w:type="dxa"/>
            <w:bottom w:w="0" w:type="dxa"/>
          </w:tcMar>
        </w:tcPr>
        <w:p w14:paraId="4B2DBB5E" w14:textId="77777777" w:rsidR="00676AF0" w:rsidRPr="00487162" w:rsidRDefault="00676AF0" w:rsidP="00D855D4">
          <w:pPr>
            <w:pStyle w:val="Footer"/>
            <w:jc w:val="right"/>
          </w:pPr>
          <w:r w:rsidRPr="00487162">
            <w:t xml:space="preserve">Page </w:t>
          </w:r>
          <w:r>
            <w:t>2</w:t>
          </w:r>
          <w:r w:rsidRPr="00487162">
            <w:t xml:space="preserve"> of </w:t>
          </w:r>
          <w:r w:rsidR="001D0FB6">
            <w:fldChar w:fldCharType="begin"/>
          </w:r>
          <w:r w:rsidR="001D0FB6">
            <w:instrText xml:space="preserve"> NUMPAGES  \* Arabic </w:instrText>
          </w:r>
          <w:r w:rsidR="001D0FB6">
            <w:fldChar w:fldCharType="separate"/>
          </w:r>
          <w:r w:rsidR="007E68D3">
            <w:rPr>
              <w:noProof/>
            </w:rPr>
            <w:t>52</w:t>
          </w:r>
          <w:r w:rsidR="001D0FB6">
            <w:rPr>
              <w:noProof/>
            </w:rPr>
            <w:fldChar w:fldCharType="end"/>
          </w:r>
        </w:p>
      </w:tc>
    </w:tr>
  </w:tbl>
  <w:p w14:paraId="43EAB062" w14:textId="77777777" w:rsidR="00676AF0" w:rsidRDefault="00676AF0"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6379"/>
      <w:gridCol w:w="2482"/>
    </w:tblGrid>
    <w:tr w:rsidR="00676AF0" w:rsidRPr="00487162" w14:paraId="03CDEAFD" w14:textId="77777777" w:rsidTr="005A6BD3">
      <w:trPr>
        <w:trHeight w:val="269"/>
      </w:trPr>
      <w:tc>
        <w:tcPr>
          <w:tcW w:w="6379" w:type="dxa"/>
          <w:tcMar>
            <w:top w:w="142" w:type="dxa"/>
            <w:bottom w:w="0" w:type="dxa"/>
          </w:tcMar>
        </w:tcPr>
        <w:p w14:paraId="302F256D" w14:textId="77777777" w:rsidR="00676AF0" w:rsidRPr="00487162" w:rsidRDefault="00676AF0" w:rsidP="003540D4">
          <w:pPr>
            <w:pStyle w:val="Footer"/>
          </w:pPr>
          <w:proofErr w:type="spellStart"/>
          <w:r w:rsidRPr="00487162">
            <w:t>Au</w:t>
          </w:r>
          <w:r w:rsidRPr="003B4D60">
            <w:t>sPAR</w:t>
          </w:r>
          <w:proofErr w:type="spellEnd"/>
          <w:r w:rsidRPr="003B4D60">
            <w:t xml:space="preserve"> </w:t>
          </w:r>
          <w:proofErr w:type="spellStart"/>
          <w:r>
            <w:t>Signifor</w:t>
          </w:r>
          <w:proofErr w:type="spellEnd"/>
          <w:r>
            <w:t xml:space="preserve"> </w:t>
          </w:r>
          <w:proofErr w:type="spellStart"/>
          <w:r>
            <w:t>Pasireotide</w:t>
          </w:r>
          <w:proofErr w:type="spellEnd"/>
          <w:r>
            <w:t xml:space="preserve"> (as </w:t>
          </w:r>
          <w:proofErr w:type="spellStart"/>
          <w:r>
            <w:t>diaspartate</w:t>
          </w:r>
          <w:proofErr w:type="spellEnd"/>
          <w:r>
            <w:t xml:space="preserve">) Novartis Pharmaceuticals Australia </w:t>
          </w:r>
          <w:proofErr w:type="spellStart"/>
          <w:r>
            <w:t>Py</w:t>
          </w:r>
          <w:proofErr w:type="spellEnd"/>
          <w:r>
            <w:t xml:space="preserve"> Ltd </w:t>
          </w:r>
          <w:r w:rsidRPr="00487162">
            <w:t xml:space="preserve"> PM-20</w:t>
          </w:r>
          <w:r>
            <w:t>14</w:t>
          </w:r>
          <w:r w:rsidRPr="00487162">
            <w:t>-</w:t>
          </w:r>
          <w:r>
            <w:t>02743</w:t>
          </w:r>
          <w:r w:rsidRPr="00487162">
            <w:t>-</w:t>
          </w:r>
          <w:r>
            <w:t>3</w:t>
          </w:r>
          <w:r w:rsidRPr="00487162">
            <w:t>-</w:t>
          </w:r>
          <w:r>
            <w:t>5 Final 27 March 2014</w:t>
          </w:r>
        </w:p>
      </w:tc>
      <w:tc>
        <w:tcPr>
          <w:tcW w:w="2482" w:type="dxa"/>
          <w:tcMar>
            <w:top w:w="142" w:type="dxa"/>
            <w:bottom w:w="0" w:type="dxa"/>
          </w:tcMar>
        </w:tcPr>
        <w:p w14:paraId="1BBB8444" w14:textId="77777777" w:rsidR="00676AF0" w:rsidRPr="00487162" w:rsidRDefault="00676AF0" w:rsidP="005A6BD3">
          <w:pPr>
            <w:pStyle w:val="Footer"/>
            <w:jc w:val="center"/>
          </w:pPr>
          <w:r w:rsidRPr="00487162">
            <w:t xml:space="preserve">Page </w:t>
          </w:r>
          <w:r>
            <w:fldChar w:fldCharType="begin"/>
          </w:r>
          <w:r>
            <w:instrText>PAGE</w:instrText>
          </w:r>
          <w:r>
            <w:fldChar w:fldCharType="separate"/>
          </w:r>
          <w:r w:rsidR="007E68D3">
            <w:rPr>
              <w:noProof/>
            </w:rPr>
            <w:t>51</w:t>
          </w:r>
          <w:r>
            <w:rPr>
              <w:noProof/>
            </w:rPr>
            <w:fldChar w:fldCharType="end"/>
          </w:r>
          <w:r w:rsidRPr="00487162">
            <w:t xml:space="preserve"> of </w:t>
          </w:r>
          <w:r w:rsidR="001D0FB6">
            <w:fldChar w:fldCharType="begin"/>
          </w:r>
          <w:r w:rsidR="001D0FB6">
            <w:instrText xml:space="preserve"> NUMPAGES  \* Arabic </w:instrText>
          </w:r>
          <w:r w:rsidR="001D0FB6">
            <w:fldChar w:fldCharType="separate"/>
          </w:r>
          <w:r w:rsidR="007E68D3">
            <w:rPr>
              <w:noProof/>
            </w:rPr>
            <w:t>52</w:t>
          </w:r>
          <w:r w:rsidR="001D0FB6">
            <w:rPr>
              <w:noProof/>
            </w:rPr>
            <w:fldChar w:fldCharType="end"/>
          </w:r>
        </w:p>
      </w:tc>
    </w:tr>
  </w:tbl>
  <w:p w14:paraId="0DBCADED" w14:textId="77777777" w:rsidR="00676AF0" w:rsidRDefault="00676AF0" w:rsidP="00E26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76AF0" w:rsidRPr="00487162" w14:paraId="0C404281" w14:textId="77777777" w:rsidTr="00E45619">
      <w:trPr>
        <w:trHeight w:val="269"/>
      </w:trPr>
      <w:tc>
        <w:tcPr>
          <w:tcW w:w="4519" w:type="dxa"/>
          <w:tcBorders>
            <w:top w:val="single" w:sz="4" w:space="0" w:color="auto"/>
          </w:tcBorders>
          <w:tcMar>
            <w:top w:w="142" w:type="dxa"/>
            <w:bottom w:w="0" w:type="dxa"/>
          </w:tcMar>
        </w:tcPr>
        <w:p w14:paraId="2736791C" w14:textId="77777777" w:rsidR="00676AF0" w:rsidRPr="00487162" w:rsidRDefault="00676AF0" w:rsidP="00FE1DEE">
          <w:pPr>
            <w:pStyle w:val="Footer"/>
          </w:pPr>
          <w:r w:rsidRPr="00487162">
            <w:t>Document title, Part #, Section # - Section title</w:t>
          </w:r>
        </w:p>
        <w:p w14:paraId="6FD0EB94" w14:textId="77777777" w:rsidR="00676AF0" w:rsidRPr="00487162" w:rsidRDefault="00676AF0" w:rsidP="00FE1DEE">
          <w:pPr>
            <w:pStyle w:val="Footer"/>
          </w:pPr>
          <w:r w:rsidRPr="00487162">
            <w:t>V1.0 October 2010</w:t>
          </w:r>
        </w:p>
      </w:tc>
      <w:tc>
        <w:tcPr>
          <w:tcW w:w="4342" w:type="dxa"/>
          <w:tcBorders>
            <w:top w:val="single" w:sz="4" w:space="0" w:color="auto"/>
          </w:tcBorders>
          <w:tcMar>
            <w:top w:w="142" w:type="dxa"/>
            <w:bottom w:w="0" w:type="dxa"/>
          </w:tcMar>
        </w:tcPr>
        <w:p w14:paraId="3CEA86C0" w14:textId="77777777" w:rsidR="00676AF0" w:rsidRPr="00487162" w:rsidRDefault="00676AF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1D0FB6">
            <w:fldChar w:fldCharType="begin"/>
          </w:r>
          <w:r w:rsidR="001D0FB6">
            <w:instrText xml:space="preserve"> NUMPAGES  </w:instrText>
          </w:r>
          <w:r w:rsidR="001D0FB6">
            <w:fldChar w:fldCharType="separate"/>
          </w:r>
          <w:r>
            <w:rPr>
              <w:noProof/>
            </w:rPr>
            <w:t>53</w:t>
          </w:r>
          <w:r w:rsidR="001D0FB6">
            <w:rPr>
              <w:noProof/>
            </w:rPr>
            <w:fldChar w:fldCharType="end"/>
          </w:r>
        </w:p>
      </w:tc>
    </w:tr>
  </w:tbl>
  <w:p w14:paraId="1843FEAC" w14:textId="77777777" w:rsidR="00676AF0" w:rsidRDefault="00676A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E9511" w14:textId="77777777" w:rsidR="00676AF0" w:rsidRPr="001C32CD" w:rsidRDefault="00676AF0" w:rsidP="001C32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76AF0" w14:paraId="4264783D" w14:textId="77777777" w:rsidTr="0010601F">
      <w:trPr>
        <w:trHeight w:val="108"/>
      </w:trPr>
      <w:tc>
        <w:tcPr>
          <w:tcW w:w="8875" w:type="dxa"/>
          <w:gridSpan w:val="2"/>
          <w:tcBorders>
            <w:bottom w:val="single" w:sz="4" w:space="0" w:color="auto"/>
          </w:tcBorders>
          <w:tcMar>
            <w:right w:w="284" w:type="dxa"/>
          </w:tcMar>
        </w:tcPr>
        <w:p w14:paraId="1C7B0B4E" w14:textId="77777777" w:rsidR="00676AF0" w:rsidRDefault="00676AF0" w:rsidP="006E08B3">
          <w:pPr>
            <w:pStyle w:val="Heading3"/>
          </w:pPr>
          <w:r>
            <w:t>Copyright</w:t>
          </w:r>
        </w:p>
        <w:p w14:paraId="376D6D4D" w14:textId="77777777" w:rsidR="00676AF0" w:rsidRDefault="00676AF0" w:rsidP="006E08B3">
          <w:r>
            <w:rPr>
              <w:rFonts w:cs="Arial"/>
            </w:rPr>
            <w:t>©</w:t>
          </w:r>
          <w:r>
            <w:t xml:space="preserve"> Commonwealth of Australia [add year]</w:t>
          </w:r>
        </w:p>
        <w:p w14:paraId="7C070520" w14:textId="77777777" w:rsidR="00676AF0" w:rsidRDefault="00676AF0" w:rsidP="006E08B3"/>
        <w:p w14:paraId="345C9AE1" w14:textId="77777777" w:rsidR="00676AF0" w:rsidRDefault="00676AF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FAE8620" w14:textId="77777777" w:rsidR="00676AF0" w:rsidRDefault="00676AF0" w:rsidP="006E08B3"/>
        <w:p w14:paraId="455C520A" w14:textId="77777777" w:rsidR="00676AF0" w:rsidRDefault="00676AF0" w:rsidP="006E08B3">
          <w:pPr>
            <w:pStyle w:val="Heading3"/>
          </w:pPr>
          <w:r>
            <w:t>Confidentiality</w:t>
          </w:r>
        </w:p>
        <w:p w14:paraId="01C4305D" w14:textId="77777777" w:rsidR="00676AF0" w:rsidRDefault="00676AF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E801462" w14:textId="77777777" w:rsidR="00676AF0" w:rsidRDefault="00676AF0" w:rsidP="006E08B3"/>
        <w:p w14:paraId="729AE112" w14:textId="77777777" w:rsidR="00676AF0" w:rsidRDefault="00676AF0" w:rsidP="006E08B3">
          <w:r>
            <w:t>For submission made by individuals, all personal details, other than your name, will be removed from your submission before it is published on the TGA’s Internet site.</w:t>
          </w:r>
        </w:p>
        <w:p w14:paraId="3AB96ED8" w14:textId="77777777" w:rsidR="00676AF0" w:rsidRDefault="00676AF0" w:rsidP="006E08B3"/>
        <w:p w14:paraId="76DE1F52" w14:textId="77777777" w:rsidR="00676AF0" w:rsidRDefault="00676AF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76AF0" w14:paraId="12753343" w14:textId="77777777" w:rsidTr="0010601F">
      <w:trPr>
        <w:trHeight w:val="417"/>
      </w:trPr>
      <w:tc>
        <w:tcPr>
          <w:tcW w:w="4519" w:type="dxa"/>
          <w:tcBorders>
            <w:top w:val="single" w:sz="4" w:space="0" w:color="auto"/>
          </w:tcBorders>
          <w:tcMar>
            <w:top w:w="142" w:type="dxa"/>
            <w:bottom w:w="0" w:type="dxa"/>
          </w:tcMar>
        </w:tcPr>
        <w:p w14:paraId="236581EC" w14:textId="77777777" w:rsidR="00676AF0" w:rsidRDefault="00676AF0" w:rsidP="006E08B3">
          <w:r>
            <w:t>Document title, Part #, Section # - Section title</w:t>
          </w:r>
        </w:p>
        <w:p w14:paraId="0835F256" w14:textId="77777777" w:rsidR="00676AF0" w:rsidRDefault="00676AF0" w:rsidP="006E08B3">
          <w:r>
            <w:t>V1.0 October 2010</w:t>
          </w:r>
        </w:p>
      </w:tc>
      <w:tc>
        <w:tcPr>
          <w:tcW w:w="4356" w:type="dxa"/>
          <w:tcBorders>
            <w:top w:val="single" w:sz="4" w:space="0" w:color="auto"/>
          </w:tcBorders>
          <w:tcMar>
            <w:top w:w="142" w:type="dxa"/>
            <w:bottom w:w="0" w:type="dxa"/>
          </w:tcMar>
        </w:tcPr>
        <w:p w14:paraId="189E782E" w14:textId="77777777" w:rsidR="00676AF0" w:rsidRDefault="00676AF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1D0FB6">
            <w:fldChar w:fldCharType="begin"/>
          </w:r>
          <w:r w:rsidR="001D0FB6">
            <w:instrText xml:space="preserve"> NUMPAGES  \* Arabic </w:instrText>
          </w:r>
          <w:r w:rsidR="001D0FB6">
            <w:fldChar w:fldCharType="separate"/>
          </w:r>
          <w:r>
            <w:rPr>
              <w:noProof/>
            </w:rPr>
            <w:t>53</w:t>
          </w:r>
          <w:r w:rsidR="001D0FB6">
            <w:rPr>
              <w:noProof/>
            </w:rPr>
            <w:fldChar w:fldCharType="end"/>
          </w:r>
          <w:r>
            <w:t xml:space="preserve">  </w:t>
          </w:r>
        </w:p>
      </w:tc>
    </w:tr>
  </w:tbl>
  <w:p w14:paraId="353C4DCF" w14:textId="77777777" w:rsidR="00676AF0" w:rsidRDefault="00676A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63747" w14:textId="77777777" w:rsidR="00CA5579" w:rsidRDefault="00CA5579" w:rsidP="00C40A36">
      <w:pPr>
        <w:spacing w:after="0"/>
      </w:pPr>
      <w:r>
        <w:separator/>
      </w:r>
    </w:p>
  </w:footnote>
  <w:footnote w:type="continuationSeparator" w:id="0">
    <w:p w14:paraId="1B19512C" w14:textId="77777777" w:rsidR="00CA5579" w:rsidRDefault="00CA5579" w:rsidP="00C40A36">
      <w:pPr>
        <w:spacing w:after="0"/>
      </w:pPr>
      <w:r>
        <w:continuationSeparator/>
      </w:r>
    </w:p>
  </w:footnote>
  <w:footnote w:id="1">
    <w:p w14:paraId="61F76052" w14:textId="77777777" w:rsidR="00676AF0" w:rsidRPr="008D06CD" w:rsidRDefault="00676AF0" w:rsidP="008D06CD">
      <w:pPr>
        <w:pStyle w:val="Standard"/>
        <w:spacing w:after="0"/>
        <w:rPr>
          <w:sz w:val="18"/>
          <w:szCs w:val="18"/>
        </w:rPr>
      </w:pPr>
      <w:r w:rsidRPr="008D06CD">
        <w:rPr>
          <w:rStyle w:val="FootnoteReference"/>
          <w:sz w:val="18"/>
          <w:szCs w:val="18"/>
        </w:rPr>
        <w:footnoteRef/>
      </w:r>
      <w:r w:rsidRPr="008D06CD">
        <w:rPr>
          <w:sz w:val="18"/>
          <w:szCs w:val="18"/>
        </w:rPr>
        <w:t xml:space="preserve"> </w:t>
      </w:r>
      <w:r w:rsidRPr="008D06CD">
        <w:rPr>
          <w:noProof/>
          <w:kern w:val="2"/>
          <w:sz w:val="18"/>
          <w:szCs w:val="18"/>
        </w:rPr>
        <w:t xml:space="preserve">Batista D.L., Zhang X., Gejman R., Ansell P.J., Zhou Y., Johnson S.A., Swearingen B., Hedley-Whyte E.T., Stratakis C.A and Klibanski A. 2006. The effects of SOM230 on cell proliferation and adrenocorticotropin secretion in human corticotroph pituitary adenomas. </w:t>
      </w:r>
      <w:r w:rsidRPr="00A338C4">
        <w:rPr>
          <w:noProof/>
          <w:kern w:val="2"/>
          <w:sz w:val="18"/>
          <w:szCs w:val="18"/>
        </w:rPr>
        <w:t>J. Clin. Endocrinol. Metab.</w:t>
      </w:r>
      <w:r w:rsidRPr="008D06CD">
        <w:rPr>
          <w:noProof/>
          <w:kern w:val="2"/>
          <w:sz w:val="18"/>
          <w:szCs w:val="18"/>
        </w:rPr>
        <w:t xml:space="preserve"> </w:t>
      </w:r>
      <w:r w:rsidRPr="00A338C4">
        <w:rPr>
          <w:noProof/>
          <w:kern w:val="2"/>
          <w:sz w:val="18"/>
          <w:szCs w:val="18"/>
        </w:rPr>
        <w:t>91:</w:t>
      </w:r>
      <w:r w:rsidRPr="008D06CD">
        <w:rPr>
          <w:noProof/>
          <w:kern w:val="2"/>
          <w:sz w:val="18"/>
          <w:szCs w:val="18"/>
        </w:rPr>
        <w:t>4482–4488.</w:t>
      </w:r>
    </w:p>
  </w:footnote>
  <w:footnote w:id="2">
    <w:p w14:paraId="6A371B9A" w14:textId="77777777" w:rsidR="00676AF0" w:rsidRPr="008D06CD" w:rsidRDefault="00676AF0" w:rsidP="008D06CD">
      <w:pPr>
        <w:pStyle w:val="Standard"/>
        <w:spacing w:after="0"/>
        <w:rPr>
          <w:sz w:val="18"/>
          <w:szCs w:val="18"/>
        </w:rPr>
      </w:pPr>
      <w:r w:rsidRPr="008D06CD">
        <w:rPr>
          <w:rStyle w:val="FootnoteReference"/>
          <w:sz w:val="18"/>
          <w:szCs w:val="18"/>
        </w:rPr>
        <w:footnoteRef/>
      </w:r>
      <w:r w:rsidRPr="008D06CD">
        <w:rPr>
          <w:sz w:val="18"/>
          <w:szCs w:val="18"/>
        </w:rPr>
        <w:t xml:space="preserve"> </w:t>
      </w:r>
      <w:r w:rsidRPr="008D06CD">
        <w:rPr>
          <w:noProof/>
          <w:kern w:val="2"/>
          <w:sz w:val="18"/>
          <w:szCs w:val="18"/>
        </w:rPr>
        <w:t xml:space="preserve">Hofland L.J., van der Hoek J., Feelders R., van Aken M.O., van Koetsveld P.M., Waaijers M., Sprij-Mooij D., Bruns C., Weckbecker G., de Herder W.W., Beckers A. and Lamberts S.W. 2005. The multi-ligand somatostatin analogue SOM230 inhibits ACTH secretion by cultured human corticotroph adenomas via somatostatin receptor type 5. </w:t>
      </w:r>
      <w:r w:rsidRPr="00A338C4">
        <w:rPr>
          <w:noProof/>
          <w:kern w:val="2"/>
          <w:sz w:val="18"/>
          <w:szCs w:val="18"/>
        </w:rPr>
        <w:t>Eur. J. Endocrinol.</w:t>
      </w:r>
      <w:r w:rsidRPr="008D06CD">
        <w:rPr>
          <w:noProof/>
          <w:kern w:val="2"/>
          <w:sz w:val="18"/>
          <w:szCs w:val="18"/>
        </w:rPr>
        <w:t xml:space="preserve"> </w:t>
      </w:r>
      <w:r w:rsidRPr="00A338C4">
        <w:rPr>
          <w:noProof/>
          <w:kern w:val="2"/>
          <w:sz w:val="18"/>
          <w:szCs w:val="18"/>
        </w:rPr>
        <w:t>152:</w:t>
      </w:r>
      <w:r w:rsidRPr="008D06CD">
        <w:rPr>
          <w:noProof/>
          <w:kern w:val="2"/>
          <w:sz w:val="18"/>
          <w:szCs w:val="18"/>
        </w:rPr>
        <w:t>645–654.</w:t>
      </w:r>
    </w:p>
  </w:footnote>
  <w:footnote w:id="3">
    <w:p w14:paraId="5F2ADFC6" w14:textId="77777777" w:rsidR="00676AF0" w:rsidRPr="008D06CD" w:rsidRDefault="00676AF0" w:rsidP="008D06CD">
      <w:pPr>
        <w:pStyle w:val="FootnoteText"/>
        <w:rPr>
          <w:szCs w:val="18"/>
        </w:rPr>
      </w:pPr>
      <w:r w:rsidRPr="008D06CD">
        <w:rPr>
          <w:rStyle w:val="FootnoteReference"/>
          <w:szCs w:val="18"/>
        </w:rPr>
        <w:footnoteRef/>
      </w:r>
      <w:r w:rsidRPr="008D06CD">
        <w:rPr>
          <w:szCs w:val="18"/>
        </w:rPr>
        <w:t xml:space="preserve"> </w:t>
      </w:r>
      <w:r w:rsidRPr="008D06CD">
        <w:rPr>
          <w:noProof/>
          <w:kern w:val="2"/>
          <w:szCs w:val="18"/>
        </w:rPr>
        <w:t xml:space="preserve">van der Hoek J., Lamberts S.W. and Hofland L.J. 2004. The role of somatostatin analogs in Cushing's disease. </w:t>
      </w:r>
      <w:r w:rsidRPr="00A338C4">
        <w:rPr>
          <w:noProof/>
          <w:kern w:val="2"/>
          <w:szCs w:val="18"/>
        </w:rPr>
        <w:t>Pituitary.</w:t>
      </w:r>
      <w:r w:rsidRPr="008D06CD">
        <w:rPr>
          <w:noProof/>
          <w:kern w:val="2"/>
          <w:szCs w:val="18"/>
        </w:rPr>
        <w:t xml:space="preserve"> </w:t>
      </w:r>
      <w:r w:rsidRPr="00A338C4">
        <w:rPr>
          <w:noProof/>
          <w:kern w:val="2"/>
          <w:szCs w:val="18"/>
        </w:rPr>
        <w:t>7:</w:t>
      </w:r>
      <w:r w:rsidRPr="008D06CD">
        <w:rPr>
          <w:noProof/>
          <w:kern w:val="2"/>
          <w:szCs w:val="18"/>
        </w:rPr>
        <w:t>257–264</w:t>
      </w:r>
    </w:p>
  </w:footnote>
  <w:footnote w:id="4">
    <w:p w14:paraId="0AD7A04D" w14:textId="77777777" w:rsidR="00676AF0" w:rsidRDefault="00676AF0" w:rsidP="004741C8">
      <w:pPr>
        <w:pStyle w:val="FootnoteText"/>
      </w:pPr>
      <w:r>
        <w:rPr>
          <w:rStyle w:val="FootnoteReference"/>
        </w:rPr>
        <w:footnoteRef/>
      </w:r>
      <w:r>
        <w:t xml:space="preserve"> Based on a steady state plasma </w:t>
      </w:r>
      <w:proofErr w:type="spellStart"/>
      <w:r w:rsidRPr="008C6EC6">
        <w:t>C</w:t>
      </w:r>
      <w:r w:rsidRPr="008C6EC6">
        <w:rPr>
          <w:vertAlign w:val="subscript"/>
        </w:rPr>
        <w:t>max</w:t>
      </w:r>
      <w:proofErr w:type="spellEnd"/>
      <w:r>
        <w:t xml:space="preserve"> of 29.0 ng/mL at 900 </w:t>
      </w:r>
      <w:proofErr w:type="spellStart"/>
      <w:r>
        <w:t>μg</w:t>
      </w:r>
      <w:proofErr w:type="spellEnd"/>
      <w:r>
        <w:t xml:space="preserve"> BD (Clinical Study CSOM230B2113), a molecular weight of 1047.21, and assuming plasma protein binding of 88% (Study DMPK(CH)</w:t>
      </w:r>
      <w:r w:rsidRPr="00DE5E08">
        <w:rPr>
          <w:w w:val="50"/>
        </w:rPr>
        <w:t> </w:t>
      </w:r>
      <w:r>
        <w:t xml:space="preserve">R99-2082). </w:t>
      </w:r>
    </w:p>
  </w:footnote>
  <w:footnote w:id="5">
    <w:p w14:paraId="0D2D56A2" w14:textId="77777777" w:rsidR="00676AF0" w:rsidRDefault="00676AF0" w:rsidP="007A3846">
      <w:pPr>
        <w:pStyle w:val="Standard"/>
        <w:spacing w:after="230"/>
      </w:pPr>
      <w:r>
        <w:rPr>
          <w:rStyle w:val="FootnoteReference"/>
        </w:rPr>
        <w:footnoteRef/>
      </w:r>
      <w:r w:rsidRPr="007D223F">
        <w:rPr>
          <w:lang w:val="de-DE"/>
        </w:rPr>
        <w:t xml:space="preserve"> </w:t>
      </w:r>
      <w:r w:rsidRPr="007D223F">
        <w:rPr>
          <w:noProof/>
          <w:kern w:val="2"/>
          <w:sz w:val="18"/>
          <w:szCs w:val="18"/>
          <w:lang w:val="de-DE"/>
        </w:rPr>
        <w:t xml:space="preserve">Wehrenberg W.B. and Giustina A. 1992. </w:t>
      </w:r>
      <w:r w:rsidRPr="007A3846">
        <w:rPr>
          <w:noProof/>
          <w:kern w:val="2"/>
          <w:sz w:val="18"/>
          <w:szCs w:val="18"/>
        </w:rPr>
        <w:t xml:space="preserve">Basic counterpoint: mechanisms and pathways of gonadal steroid modulation of growth hormone secretion. </w:t>
      </w:r>
      <w:r w:rsidRPr="00A338C4">
        <w:rPr>
          <w:noProof/>
          <w:kern w:val="2"/>
          <w:sz w:val="18"/>
          <w:szCs w:val="18"/>
        </w:rPr>
        <w:t>Endocr. Rev.</w:t>
      </w:r>
      <w:r w:rsidRPr="007A3846">
        <w:rPr>
          <w:noProof/>
          <w:kern w:val="2"/>
          <w:sz w:val="18"/>
          <w:szCs w:val="18"/>
        </w:rPr>
        <w:t xml:space="preserve"> </w:t>
      </w:r>
      <w:r w:rsidRPr="007A3846">
        <w:rPr>
          <w:b/>
          <w:noProof/>
          <w:kern w:val="2"/>
          <w:sz w:val="18"/>
          <w:szCs w:val="18"/>
        </w:rPr>
        <w:t>13:</w:t>
      </w:r>
      <w:r w:rsidRPr="007A3846">
        <w:rPr>
          <w:noProof/>
          <w:kern w:val="2"/>
          <w:sz w:val="18"/>
          <w:szCs w:val="18"/>
        </w:rPr>
        <w:t>299–308.</w:t>
      </w:r>
    </w:p>
  </w:footnote>
  <w:footnote w:id="6">
    <w:p w14:paraId="1F614238" w14:textId="77777777" w:rsidR="00676AF0" w:rsidRPr="00D32FD6" w:rsidRDefault="00676AF0" w:rsidP="00D21B9C">
      <w:pPr>
        <w:pStyle w:val="FootnoteText"/>
        <w:rPr>
          <w:szCs w:val="18"/>
        </w:rPr>
      </w:pPr>
      <w:r w:rsidRPr="00D32FD6">
        <w:rPr>
          <w:rStyle w:val="FootnoteReference"/>
          <w:szCs w:val="18"/>
        </w:rPr>
        <w:footnoteRef/>
      </w:r>
      <w:r w:rsidRPr="00D32FD6">
        <w:rPr>
          <w:color w:val="000000"/>
          <w:szCs w:val="18"/>
          <w:lang w:val="en-US"/>
        </w:rPr>
        <w:t xml:space="preserve"> </w:t>
      </w:r>
      <w:proofErr w:type="spellStart"/>
      <w:r w:rsidRPr="00D32FD6">
        <w:rPr>
          <w:color w:val="000000"/>
          <w:szCs w:val="18"/>
          <w:lang w:val="en-US"/>
        </w:rPr>
        <w:t>Boscaro</w:t>
      </w:r>
      <w:proofErr w:type="spellEnd"/>
      <w:r w:rsidRPr="00D32FD6">
        <w:rPr>
          <w:color w:val="000000"/>
          <w:szCs w:val="18"/>
          <w:lang w:val="en-US"/>
        </w:rPr>
        <w:t xml:space="preserve"> M </w:t>
      </w:r>
      <w:r w:rsidRPr="00676AF0">
        <w:rPr>
          <w:color w:val="000000"/>
          <w:szCs w:val="18"/>
          <w:lang w:val="en-US"/>
        </w:rPr>
        <w:t>et al.</w:t>
      </w:r>
      <w:r>
        <w:rPr>
          <w:color w:val="000000"/>
          <w:szCs w:val="18"/>
          <w:lang w:val="en-US"/>
        </w:rPr>
        <w:t xml:space="preserve"> </w:t>
      </w:r>
      <w:r w:rsidRPr="00D32FD6">
        <w:rPr>
          <w:color w:val="000000"/>
          <w:szCs w:val="18"/>
          <w:lang w:val="en-US"/>
        </w:rPr>
        <w:t xml:space="preserve">2009, Report of </w:t>
      </w:r>
      <w:r>
        <w:rPr>
          <w:color w:val="000000"/>
          <w:szCs w:val="18"/>
          <w:lang w:val="en-US"/>
        </w:rPr>
        <w:t>S</w:t>
      </w:r>
      <w:r w:rsidRPr="00D32FD6">
        <w:rPr>
          <w:color w:val="000000"/>
          <w:szCs w:val="18"/>
          <w:lang w:val="en-US"/>
        </w:rPr>
        <w:t xml:space="preserve">tudy B2208: </w:t>
      </w:r>
      <w:r w:rsidRPr="00676AF0">
        <w:rPr>
          <w:color w:val="000000"/>
          <w:szCs w:val="18"/>
          <w:lang w:val="en-US"/>
        </w:rPr>
        <w:t xml:space="preserve">J Clin Endocrinol </w:t>
      </w:r>
      <w:proofErr w:type="spellStart"/>
      <w:r w:rsidRPr="00676AF0">
        <w:rPr>
          <w:color w:val="000000"/>
          <w:szCs w:val="18"/>
          <w:lang w:val="en-US"/>
        </w:rPr>
        <w:t>Metab</w:t>
      </w:r>
      <w:proofErr w:type="spellEnd"/>
      <w:r w:rsidRPr="00676AF0">
        <w:rPr>
          <w:color w:val="000000"/>
          <w:szCs w:val="18"/>
          <w:lang w:val="en-US"/>
        </w:rPr>
        <w:t>.</w:t>
      </w:r>
      <w:r w:rsidRPr="00D32FD6">
        <w:rPr>
          <w:color w:val="000000"/>
          <w:szCs w:val="18"/>
          <w:lang w:val="en-US"/>
        </w:rPr>
        <w:t xml:space="preserve"> 94(1):115-22 </w:t>
      </w:r>
    </w:p>
  </w:footnote>
  <w:footnote w:id="7">
    <w:p w14:paraId="71362F1D" w14:textId="77777777" w:rsidR="00676AF0" w:rsidRPr="00BB1C3E" w:rsidRDefault="00676AF0" w:rsidP="00D21B9C">
      <w:pPr>
        <w:pStyle w:val="FootnoteText"/>
        <w:rPr>
          <w:lang w:val="de-DE"/>
        </w:rPr>
      </w:pPr>
      <w:r>
        <w:rPr>
          <w:rStyle w:val="FootnoteReference"/>
        </w:rPr>
        <w:footnoteRef/>
      </w:r>
      <w:r>
        <w:t xml:space="preserve"> </w:t>
      </w:r>
      <w:r w:rsidRPr="0034621E">
        <w:rPr>
          <w:color w:val="000000"/>
          <w:lang w:val="da-DK"/>
        </w:rPr>
        <w:t xml:space="preserve">Feelders RA, de Bruin C, Pereira AM, </w:t>
      </w:r>
      <w:r w:rsidRPr="00A338C4">
        <w:rPr>
          <w:color w:val="000000"/>
          <w:lang w:val="da-DK"/>
        </w:rPr>
        <w:t>et al.</w:t>
      </w:r>
      <w:r>
        <w:rPr>
          <w:color w:val="000000"/>
          <w:lang w:val="da-DK"/>
        </w:rPr>
        <w:t xml:space="preserve"> 2010,</w:t>
      </w:r>
      <w:r w:rsidRPr="0034621E">
        <w:rPr>
          <w:color w:val="000000"/>
        </w:rPr>
        <w:t xml:space="preserve"> Pasireotide alone or with cabergoline and ketoconazole in Cushing’s disease.</w:t>
      </w:r>
      <w:r w:rsidRPr="0034621E">
        <w:rPr>
          <w:color w:val="000000"/>
          <w:lang w:val="da-DK"/>
        </w:rPr>
        <w:t xml:space="preserve"> </w:t>
      </w:r>
      <w:r w:rsidRPr="00A338C4">
        <w:rPr>
          <w:color w:val="000000"/>
          <w:lang w:val="da-DK"/>
        </w:rPr>
        <w:t>N Engl J Med</w:t>
      </w:r>
      <w:r w:rsidRPr="00676AF0">
        <w:rPr>
          <w:color w:val="000000"/>
          <w:lang w:val="da-DK"/>
        </w:rPr>
        <w:t>;</w:t>
      </w:r>
      <w:r w:rsidRPr="0034621E">
        <w:rPr>
          <w:color w:val="000000"/>
          <w:lang w:val="da-DK"/>
        </w:rPr>
        <w:t xml:space="preserve"> 362(19):1846-8</w:t>
      </w:r>
    </w:p>
  </w:footnote>
  <w:footnote w:id="8">
    <w:p w14:paraId="46BA6465" w14:textId="77777777" w:rsidR="00676AF0" w:rsidRPr="00AB324B" w:rsidRDefault="00676AF0" w:rsidP="00AB324B">
      <w:r w:rsidRPr="00AB324B">
        <w:rPr>
          <w:vertAlign w:val="superscript"/>
        </w:rPr>
        <w:footnoteRef/>
      </w:r>
      <w:r w:rsidRPr="007D223F">
        <w:rPr>
          <w:vertAlign w:val="superscript"/>
          <w:lang w:val="de-DE"/>
        </w:rPr>
        <w:t xml:space="preserve"> </w:t>
      </w:r>
      <w:r w:rsidRPr="007D223F">
        <w:rPr>
          <w:sz w:val="18"/>
          <w:szCs w:val="18"/>
          <w:lang w:val="de-DE"/>
        </w:rPr>
        <w:t xml:space="preserve">van Raalte DH, van Genugten RE, Linssen MML, Ouwens DM, Diamant M, 2011. </w:t>
      </w:r>
      <w:r w:rsidRPr="00AB324B">
        <w:rPr>
          <w:sz w:val="18"/>
          <w:szCs w:val="18"/>
        </w:rPr>
        <w:t>Glucagon Like Peptide-1 Receptor Agonist Treatment Prevents Glucocorticoid-Induced Glucose Intolerance and Islet-Cell Dysfunction in Humans. Diabetes Care 34(2): 412–417.</w:t>
      </w:r>
    </w:p>
  </w:footnote>
  <w:footnote w:id="9">
    <w:p w14:paraId="77AA5014" w14:textId="77777777" w:rsidR="00676AF0" w:rsidRPr="00AB324B" w:rsidRDefault="00676AF0" w:rsidP="00AB324B">
      <w:r w:rsidRPr="00AB324B">
        <w:rPr>
          <w:vertAlign w:val="superscript"/>
        </w:rPr>
        <w:footnoteRef/>
      </w:r>
      <w:r w:rsidRPr="00AB324B">
        <w:t xml:space="preserve"> </w:t>
      </w:r>
      <w:r w:rsidRPr="00AB324B">
        <w:rPr>
          <w:sz w:val="18"/>
          <w:szCs w:val="18"/>
        </w:rPr>
        <w:t xml:space="preserve">Ferner RE, Aronson JK, 2006. Clarification of terminology in medication errors: definitions and classification. </w:t>
      </w:r>
      <w:r w:rsidRPr="00A338C4">
        <w:rPr>
          <w:sz w:val="18"/>
          <w:szCs w:val="18"/>
        </w:rPr>
        <w:t xml:space="preserve">Drug </w:t>
      </w:r>
      <w:proofErr w:type="spellStart"/>
      <w:r w:rsidRPr="00A338C4">
        <w:rPr>
          <w:sz w:val="18"/>
          <w:szCs w:val="18"/>
        </w:rPr>
        <w:t>Saf</w:t>
      </w:r>
      <w:proofErr w:type="spellEnd"/>
      <w:r w:rsidRPr="00AB324B">
        <w:rPr>
          <w:sz w:val="18"/>
          <w:szCs w:val="18"/>
        </w:rPr>
        <w:t xml:space="preserve"> 29:1011–1022.</w:t>
      </w:r>
    </w:p>
    <w:p w14:paraId="5BCF03DA" w14:textId="77777777" w:rsidR="00676AF0" w:rsidRDefault="00676AF0">
      <w:pPr>
        <w:pStyle w:val="FootnoteText"/>
      </w:pPr>
    </w:p>
  </w:footnote>
  <w:footnote w:id="10">
    <w:p w14:paraId="2FD3B450" w14:textId="77777777" w:rsidR="00676AF0" w:rsidRPr="005670F4" w:rsidRDefault="00676AF0" w:rsidP="005670F4">
      <w:pPr>
        <w:pStyle w:val="Default"/>
        <w:rPr>
          <w:sz w:val="18"/>
          <w:szCs w:val="18"/>
        </w:rPr>
      </w:pPr>
      <w:r w:rsidRPr="005670F4">
        <w:rPr>
          <w:rStyle w:val="FootnoteReference"/>
          <w:sz w:val="18"/>
          <w:szCs w:val="18"/>
        </w:rPr>
        <w:footnoteRef/>
      </w:r>
      <w:r w:rsidRPr="005670F4">
        <w:rPr>
          <w:sz w:val="18"/>
          <w:szCs w:val="18"/>
        </w:rPr>
        <w:t xml:space="preserve"> </w:t>
      </w:r>
      <w:r w:rsidRPr="005670F4">
        <w:rPr>
          <w:rFonts w:eastAsiaTheme="minorHAnsi"/>
          <w:sz w:val="18"/>
          <w:szCs w:val="18"/>
          <w:lang w:eastAsia="en-US"/>
        </w:rPr>
        <w:t xml:space="preserve">Press Release: European Medicines Agency recommends suspension of marketing authorisations for oral ketoconazole EMA/458028/2013 26 July 2013; </w:t>
      </w:r>
      <w:r w:rsidRPr="005670F4">
        <w:rPr>
          <w:rFonts w:eastAsiaTheme="minorHAnsi"/>
          <w:color w:val="0000FF"/>
          <w:sz w:val="18"/>
          <w:szCs w:val="18"/>
          <w:lang w:eastAsia="en-US"/>
        </w:rPr>
        <w:t xml:space="preserve">http://www.ema.europa.eu/ema/index.jsp?curl=pages/news_and_events/news/2013/07/news_detail_001855.jsp&amp;mid=WC0b01ac058004d5c1 </w:t>
      </w:r>
    </w:p>
  </w:footnote>
  <w:footnote w:id="11">
    <w:p w14:paraId="67B92D0A" w14:textId="77777777" w:rsidR="00676AF0" w:rsidRDefault="00676AF0">
      <w:pPr>
        <w:pStyle w:val="FootnoteText"/>
      </w:pPr>
      <w:r w:rsidRPr="005670F4">
        <w:rPr>
          <w:rStyle w:val="FootnoteReference"/>
          <w:szCs w:val="18"/>
        </w:rPr>
        <w:footnoteRef/>
      </w:r>
      <w:r w:rsidRPr="005670F4">
        <w:rPr>
          <w:szCs w:val="18"/>
        </w:rPr>
        <w:t xml:space="preserve"> Safety Announcement: FDA Drug Safety Communication: FDA limits usage of Nizoral (ketoconazole) oral tablets due to potentially fatal liver injury and risk of drug interactions and adrenal gland problems; 7-26-2013 </w:t>
      </w:r>
      <w:r w:rsidRPr="005670F4">
        <w:rPr>
          <w:color w:val="0000FF"/>
          <w:szCs w:val="18"/>
        </w:rPr>
        <w:t>http://www.fda.gov/downloads/Drugs/DrugSafety/UCM362444.pdf</w:t>
      </w:r>
      <w:r w:rsidRPr="005670F4">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1F728" w14:textId="77777777" w:rsidR="00676AF0" w:rsidRDefault="00676AF0"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E982" w14:textId="77777777" w:rsidR="00676AF0" w:rsidRDefault="00676AF0">
    <w:pPr>
      <w:rPr>
        <w:noProof/>
        <w:lang w:eastAsia="en-AU"/>
      </w:rPr>
    </w:pPr>
    <w:r w:rsidRPr="00347824">
      <w:rPr>
        <w:noProof/>
        <w:lang w:eastAsia="en-AU"/>
      </w:rPr>
      <w:drawing>
        <wp:anchor distT="0" distB="0" distL="114300" distR="114300" simplePos="0" relativeHeight="251659264" behindDoc="1" locked="0" layoutInCell="1" allowOverlap="1" wp14:anchorId="06267405" wp14:editId="0C3D889C">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83B0A54" w14:textId="77777777" w:rsidR="00676AF0" w:rsidRDefault="00676AF0" w:rsidP="00593AD1">
    <w:pPr>
      <w:pStyle w:val="HeaderNoLine"/>
    </w:pPr>
    <w:r>
      <w:rPr>
        <w:noProof/>
        <w:lang w:eastAsia="en-AU"/>
      </w:rPr>
      <w:drawing>
        <wp:inline distT="0" distB="0" distL="0" distR="0" wp14:anchorId="2FAE8344" wp14:editId="54EEA331">
          <wp:extent cx="5400040" cy="7634605"/>
          <wp:effectExtent l="0" t="0" r="0" b="444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346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337F" w14:textId="77777777" w:rsidR="00676AF0" w:rsidRDefault="00676A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DDCA7" w14:textId="77777777" w:rsidR="00676AF0" w:rsidRDefault="00676AF0">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0764" w14:textId="77777777" w:rsidR="00676AF0" w:rsidRDefault="00676AF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598A" w14:textId="77777777" w:rsidR="00676AF0" w:rsidRDefault="00676A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FFB9" w14:textId="77777777" w:rsidR="00676AF0" w:rsidRDefault="00676AF0"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1806A" w14:textId="77777777" w:rsidR="00676AF0" w:rsidRDefault="00676AF0" w:rsidP="006E08B3">
    <w:r>
      <w:t>Therapeutic Goods Administration</w:t>
    </w:r>
  </w:p>
  <w:p w14:paraId="0E0840C5" w14:textId="77777777" w:rsidR="00676AF0" w:rsidRDefault="00676AF0"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0A77DCC"/>
    <w:multiLevelType w:val="hybridMultilevel"/>
    <w:tmpl w:val="39724D64"/>
    <w:lvl w:ilvl="0" w:tplc="1FC065BE">
      <w:start w:val="1"/>
      <w:numFmt w:val="decimal"/>
      <w:lvlText w:val="%1."/>
      <w:lvlJc w:val="left"/>
      <w:pPr>
        <w:ind w:left="502"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1936A10"/>
    <w:multiLevelType w:val="hybridMultilevel"/>
    <w:tmpl w:val="05AAA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D0606F"/>
    <w:multiLevelType w:val="hybridMultilevel"/>
    <w:tmpl w:val="AA62E6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6B54B8C"/>
    <w:multiLevelType w:val="hybridMultilevel"/>
    <w:tmpl w:val="D2D48D9E"/>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EFD0A2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9EF5EA6"/>
    <w:multiLevelType w:val="multilevel"/>
    <w:tmpl w:val="7BD40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F57AC"/>
    <w:multiLevelType w:val="hybridMultilevel"/>
    <w:tmpl w:val="04DA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9B15D7"/>
    <w:multiLevelType w:val="hybridMultilevel"/>
    <w:tmpl w:val="3D2E60CC"/>
    <w:lvl w:ilvl="0" w:tplc="04CEB5FC">
      <w:start w:val="1"/>
      <w:numFmt w:val="bullet"/>
      <w:pStyle w:val="Bulletpoint"/>
      <w:lvlText w:val=""/>
      <w:lvlJc w:val="left"/>
      <w:pPr>
        <w:tabs>
          <w:tab w:val="num" w:pos="5047"/>
        </w:tabs>
        <w:ind w:left="5047" w:hanging="227"/>
      </w:pPr>
      <w:rPr>
        <w:rFonts w:ascii="Symbol" w:hAnsi="Symbol" w:hint="default"/>
        <w:position w:val="0"/>
        <w:sz w:val="22"/>
        <w:szCs w:val="22"/>
      </w:rPr>
    </w:lvl>
    <w:lvl w:ilvl="1" w:tplc="0C090003" w:tentative="1">
      <w:start w:val="1"/>
      <w:numFmt w:val="bullet"/>
      <w:lvlText w:val="o"/>
      <w:lvlJc w:val="left"/>
      <w:pPr>
        <w:tabs>
          <w:tab w:val="num" w:pos="6118"/>
        </w:tabs>
        <w:ind w:left="6118" w:hanging="360"/>
      </w:pPr>
      <w:rPr>
        <w:rFonts w:ascii="Courier New" w:hAnsi="Courier New" w:cs="Symbol" w:hint="default"/>
      </w:rPr>
    </w:lvl>
    <w:lvl w:ilvl="2" w:tplc="0C090005" w:tentative="1">
      <w:start w:val="1"/>
      <w:numFmt w:val="bullet"/>
      <w:lvlText w:val=""/>
      <w:lvlJc w:val="left"/>
      <w:pPr>
        <w:tabs>
          <w:tab w:val="num" w:pos="6838"/>
        </w:tabs>
        <w:ind w:left="6838" w:hanging="360"/>
      </w:pPr>
      <w:rPr>
        <w:rFonts w:ascii="Wingdings" w:hAnsi="Wingdings" w:hint="default"/>
      </w:rPr>
    </w:lvl>
    <w:lvl w:ilvl="3" w:tplc="0C090001" w:tentative="1">
      <w:start w:val="1"/>
      <w:numFmt w:val="bullet"/>
      <w:lvlText w:val=""/>
      <w:lvlJc w:val="left"/>
      <w:pPr>
        <w:tabs>
          <w:tab w:val="num" w:pos="7558"/>
        </w:tabs>
        <w:ind w:left="7558" w:hanging="360"/>
      </w:pPr>
      <w:rPr>
        <w:rFonts w:ascii="Symbol" w:hAnsi="Symbol" w:hint="default"/>
      </w:rPr>
    </w:lvl>
    <w:lvl w:ilvl="4" w:tplc="0C090003" w:tentative="1">
      <w:start w:val="1"/>
      <w:numFmt w:val="bullet"/>
      <w:lvlText w:val="o"/>
      <w:lvlJc w:val="left"/>
      <w:pPr>
        <w:tabs>
          <w:tab w:val="num" w:pos="8278"/>
        </w:tabs>
        <w:ind w:left="8278" w:hanging="360"/>
      </w:pPr>
      <w:rPr>
        <w:rFonts w:ascii="Courier New" w:hAnsi="Courier New" w:cs="Symbol" w:hint="default"/>
      </w:rPr>
    </w:lvl>
    <w:lvl w:ilvl="5" w:tplc="0C090005" w:tentative="1">
      <w:start w:val="1"/>
      <w:numFmt w:val="bullet"/>
      <w:lvlText w:val=""/>
      <w:lvlJc w:val="left"/>
      <w:pPr>
        <w:tabs>
          <w:tab w:val="num" w:pos="8998"/>
        </w:tabs>
        <w:ind w:left="8998" w:hanging="360"/>
      </w:pPr>
      <w:rPr>
        <w:rFonts w:ascii="Wingdings" w:hAnsi="Wingdings" w:hint="default"/>
      </w:rPr>
    </w:lvl>
    <w:lvl w:ilvl="6" w:tplc="0C090001" w:tentative="1">
      <w:start w:val="1"/>
      <w:numFmt w:val="bullet"/>
      <w:lvlText w:val=""/>
      <w:lvlJc w:val="left"/>
      <w:pPr>
        <w:tabs>
          <w:tab w:val="num" w:pos="9718"/>
        </w:tabs>
        <w:ind w:left="9718" w:hanging="360"/>
      </w:pPr>
      <w:rPr>
        <w:rFonts w:ascii="Symbol" w:hAnsi="Symbol" w:hint="default"/>
      </w:rPr>
    </w:lvl>
    <w:lvl w:ilvl="7" w:tplc="0C090003" w:tentative="1">
      <w:start w:val="1"/>
      <w:numFmt w:val="bullet"/>
      <w:lvlText w:val="o"/>
      <w:lvlJc w:val="left"/>
      <w:pPr>
        <w:tabs>
          <w:tab w:val="num" w:pos="10438"/>
        </w:tabs>
        <w:ind w:left="10438" w:hanging="360"/>
      </w:pPr>
      <w:rPr>
        <w:rFonts w:ascii="Courier New" w:hAnsi="Courier New" w:cs="Symbol" w:hint="default"/>
      </w:rPr>
    </w:lvl>
    <w:lvl w:ilvl="8" w:tplc="0C090005" w:tentative="1">
      <w:start w:val="1"/>
      <w:numFmt w:val="bullet"/>
      <w:lvlText w:val=""/>
      <w:lvlJc w:val="left"/>
      <w:pPr>
        <w:tabs>
          <w:tab w:val="num" w:pos="11158"/>
        </w:tabs>
        <w:ind w:left="11158" w:hanging="360"/>
      </w:pPr>
      <w:rPr>
        <w:rFonts w:ascii="Wingdings" w:hAnsi="Wingdings" w:hint="default"/>
      </w:rPr>
    </w:lvl>
  </w:abstractNum>
  <w:abstractNum w:abstractNumId="15" w15:restartNumberingAfterBreak="0">
    <w:nsid w:val="51E21733"/>
    <w:multiLevelType w:val="multilevel"/>
    <w:tmpl w:val="FBE04E36"/>
    <w:lvl w:ilvl="0">
      <w:start w:val="1"/>
      <w:numFmt w:val="decimal"/>
      <w:suff w:val="space"/>
      <w:lvlText w:val="%1. "/>
      <w:lvlJc w:val="left"/>
      <w:pPr>
        <w:ind w:left="0" w:firstLine="0"/>
      </w:pPr>
      <w:rPr>
        <w:rFonts w:hint="default"/>
      </w:rPr>
    </w:lvl>
    <w:lvl w:ilvl="1">
      <w:start w:val="1"/>
      <w:numFmt w:val="decimal"/>
      <w:suff w:val="space"/>
      <w:lvlText w:val="%1.%2. "/>
      <w:lvlJc w:val="left"/>
      <w:pPr>
        <w:ind w:left="24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suff w:val="space"/>
      <w:lvlText w:val="%1.%2.%3.%4.%5. "/>
      <w:lvlJc w:val="left"/>
      <w:pPr>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16" w15:restartNumberingAfterBreak="0">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num w:numId="1" w16cid:durableId="1682930451">
    <w:abstractNumId w:val="2"/>
  </w:num>
  <w:num w:numId="2" w16cid:durableId="446239080">
    <w:abstractNumId w:val="1"/>
  </w:num>
  <w:num w:numId="3" w16cid:durableId="588586127">
    <w:abstractNumId w:val="9"/>
  </w:num>
  <w:num w:numId="4" w16cid:durableId="190850460">
    <w:abstractNumId w:val="9"/>
  </w:num>
  <w:num w:numId="5" w16cid:durableId="113643102">
    <w:abstractNumId w:val="0"/>
  </w:num>
  <w:num w:numId="6" w16cid:durableId="1727218772">
    <w:abstractNumId w:val="9"/>
  </w:num>
  <w:num w:numId="7" w16cid:durableId="728457165">
    <w:abstractNumId w:val="9"/>
  </w:num>
  <w:num w:numId="8" w16cid:durableId="579098220">
    <w:abstractNumId w:val="4"/>
  </w:num>
  <w:num w:numId="9" w16cid:durableId="1259025112">
    <w:abstractNumId w:val="4"/>
  </w:num>
  <w:num w:numId="10" w16cid:durableId="1029842080">
    <w:abstractNumId w:val="4"/>
  </w:num>
  <w:num w:numId="11" w16cid:durableId="831532679">
    <w:abstractNumId w:val="4"/>
  </w:num>
  <w:num w:numId="12" w16cid:durableId="1698845163">
    <w:abstractNumId w:val="3"/>
    <w:lvlOverride w:ilvl="0">
      <w:lvl w:ilvl="0">
        <w:numFmt w:val="bullet"/>
        <w:lvlText w:val="•"/>
        <w:legacy w:legacy="1" w:legacySpace="0" w:legacyIndent="0"/>
        <w:lvlJc w:val="left"/>
        <w:rPr>
          <w:rFonts w:ascii="Helv" w:hAnsi="Helv" w:hint="default"/>
        </w:rPr>
      </w:lvl>
    </w:lvlOverride>
  </w:num>
  <w:num w:numId="13" w16cid:durableId="567693037">
    <w:abstractNumId w:val="9"/>
  </w:num>
  <w:num w:numId="14" w16cid:durableId="1691954040">
    <w:abstractNumId w:val="9"/>
  </w:num>
  <w:num w:numId="15" w16cid:durableId="1847597125">
    <w:abstractNumId w:val="9"/>
  </w:num>
  <w:num w:numId="16" w16cid:durableId="790518327">
    <w:abstractNumId w:val="4"/>
  </w:num>
  <w:num w:numId="17" w16cid:durableId="669675644">
    <w:abstractNumId w:val="4"/>
  </w:num>
  <w:num w:numId="18" w16cid:durableId="1570535741">
    <w:abstractNumId w:val="4"/>
  </w:num>
  <w:num w:numId="19" w16cid:durableId="498696101">
    <w:abstractNumId w:val="9"/>
  </w:num>
  <w:num w:numId="20" w16cid:durableId="324167161">
    <w:abstractNumId w:val="9"/>
  </w:num>
  <w:num w:numId="21" w16cid:durableId="1798066528">
    <w:abstractNumId w:val="9"/>
  </w:num>
  <w:num w:numId="22" w16cid:durableId="1826239910">
    <w:abstractNumId w:val="4"/>
  </w:num>
  <w:num w:numId="23" w16cid:durableId="2116246986">
    <w:abstractNumId w:val="4"/>
  </w:num>
  <w:num w:numId="24" w16cid:durableId="1021980802">
    <w:abstractNumId w:val="4"/>
  </w:num>
  <w:num w:numId="25" w16cid:durableId="113211656">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16cid:durableId="102702354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16cid:durableId="598294276">
    <w:abstractNumId w:val="16"/>
  </w:num>
  <w:num w:numId="28" w16cid:durableId="2040007485">
    <w:abstractNumId w:val="12"/>
  </w:num>
  <w:num w:numId="29" w16cid:durableId="166679515">
    <w:abstractNumId w:val="11"/>
  </w:num>
  <w:num w:numId="30" w16cid:durableId="257757976">
    <w:abstractNumId w:val="14"/>
  </w:num>
  <w:num w:numId="31" w16cid:durableId="936671530">
    <w:abstractNumId w:val="6"/>
  </w:num>
  <w:num w:numId="32" w16cid:durableId="974022366">
    <w:abstractNumId w:val="7"/>
  </w:num>
  <w:num w:numId="33" w16cid:durableId="1781992845">
    <w:abstractNumId w:val="10"/>
  </w:num>
  <w:num w:numId="34" w16cid:durableId="1809083574">
    <w:abstractNumId w:val="13"/>
  </w:num>
  <w:num w:numId="35" w16cid:durableId="1803762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3677212">
    <w:abstractNumId w:val="8"/>
  </w:num>
  <w:num w:numId="37" w16cid:durableId="1859922975">
    <w:abstractNumId w:val="5"/>
  </w:num>
  <w:num w:numId="38" w16cid:durableId="1435400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5657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15160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9"/>
  <w:doNotDisplayPageBoundaries/>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42"/>
    <w:rsid w:val="00002031"/>
    <w:rsid w:val="0000314D"/>
    <w:rsid w:val="00004734"/>
    <w:rsid w:val="00006B22"/>
    <w:rsid w:val="0001276A"/>
    <w:rsid w:val="000246AE"/>
    <w:rsid w:val="00025C67"/>
    <w:rsid w:val="00045CBC"/>
    <w:rsid w:val="0005559E"/>
    <w:rsid w:val="00060594"/>
    <w:rsid w:val="00072E45"/>
    <w:rsid w:val="00077775"/>
    <w:rsid w:val="00090471"/>
    <w:rsid w:val="0009268D"/>
    <w:rsid w:val="00096AA7"/>
    <w:rsid w:val="000A3AED"/>
    <w:rsid w:val="000A5D59"/>
    <w:rsid w:val="000B294C"/>
    <w:rsid w:val="000B3532"/>
    <w:rsid w:val="000B3A75"/>
    <w:rsid w:val="000C0D2F"/>
    <w:rsid w:val="000C690F"/>
    <w:rsid w:val="000D1295"/>
    <w:rsid w:val="000D391B"/>
    <w:rsid w:val="000D3D6D"/>
    <w:rsid w:val="000D4FC7"/>
    <w:rsid w:val="000F1D0D"/>
    <w:rsid w:val="000F4869"/>
    <w:rsid w:val="000F5B42"/>
    <w:rsid w:val="000F6E6F"/>
    <w:rsid w:val="000F728D"/>
    <w:rsid w:val="00100F7D"/>
    <w:rsid w:val="0010601F"/>
    <w:rsid w:val="0010788A"/>
    <w:rsid w:val="00107A31"/>
    <w:rsid w:val="00110EA5"/>
    <w:rsid w:val="00112F56"/>
    <w:rsid w:val="00125318"/>
    <w:rsid w:val="001305A2"/>
    <w:rsid w:val="00133238"/>
    <w:rsid w:val="00133E7E"/>
    <w:rsid w:val="0014197B"/>
    <w:rsid w:val="001447CD"/>
    <w:rsid w:val="00147013"/>
    <w:rsid w:val="001516B1"/>
    <w:rsid w:val="00154EBB"/>
    <w:rsid w:val="00156316"/>
    <w:rsid w:val="00162D14"/>
    <w:rsid w:val="00165389"/>
    <w:rsid w:val="001663E0"/>
    <w:rsid w:val="0017693F"/>
    <w:rsid w:val="0018110E"/>
    <w:rsid w:val="00181684"/>
    <w:rsid w:val="001843C6"/>
    <w:rsid w:val="001850E0"/>
    <w:rsid w:val="001A2158"/>
    <w:rsid w:val="001A525F"/>
    <w:rsid w:val="001B09F9"/>
    <w:rsid w:val="001B4317"/>
    <w:rsid w:val="001B5C90"/>
    <w:rsid w:val="001B6448"/>
    <w:rsid w:val="001C32CD"/>
    <w:rsid w:val="001C58EF"/>
    <w:rsid w:val="001D0FB6"/>
    <w:rsid w:val="001D7979"/>
    <w:rsid w:val="001E07CF"/>
    <w:rsid w:val="001E1045"/>
    <w:rsid w:val="001E59F1"/>
    <w:rsid w:val="001F49EB"/>
    <w:rsid w:val="001F6CBA"/>
    <w:rsid w:val="00201D4E"/>
    <w:rsid w:val="00202BB1"/>
    <w:rsid w:val="002076C9"/>
    <w:rsid w:val="00220B8A"/>
    <w:rsid w:val="00222A32"/>
    <w:rsid w:val="00224C4E"/>
    <w:rsid w:val="002257F3"/>
    <w:rsid w:val="00233456"/>
    <w:rsid w:val="002339A5"/>
    <w:rsid w:val="00242737"/>
    <w:rsid w:val="002550A8"/>
    <w:rsid w:val="00257848"/>
    <w:rsid w:val="0027084A"/>
    <w:rsid w:val="0028095C"/>
    <w:rsid w:val="00286434"/>
    <w:rsid w:val="00286C59"/>
    <w:rsid w:val="00291957"/>
    <w:rsid w:val="002942D1"/>
    <w:rsid w:val="0029501A"/>
    <w:rsid w:val="002A0754"/>
    <w:rsid w:val="002B1638"/>
    <w:rsid w:val="002E4C9A"/>
    <w:rsid w:val="002F11F8"/>
    <w:rsid w:val="002F3F56"/>
    <w:rsid w:val="002F44B5"/>
    <w:rsid w:val="003053F8"/>
    <w:rsid w:val="00311AC0"/>
    <w:rsid w:val="003121DF"/>
    <w:rsid w:val="00317586"/>
    <w:rsid w:val="003224F2"/>
    <w:rsid w:val="0032583B"/>
    <w:rsid w:val="00327883"/>
    <w:rsid w:val="00335504"/>
    <w:rsid w:val="00342E16"/>
    <w:rsid w:val="00347824"/>
    <w:rsid w:val="00350567"/>
    <w:rsid w:val="003521E8"/>
    <w:rsid w:val="003540D4"/>
    <w:rsid w:val="003543BC"/>
    <w:rsid w:val="003728F3"/>
    <w:rsid w:val="0037496E"/>
    <w:rsid w:val="003778D3"/>
    <w:rsid w:val="00386150"/>
    <w:rsid w:val="003874CE"/>
    <w:rsid w:val="00390900"/>
    <w:rsid w:val="003A45D3"/>
    <w:rsid w:val="003A596F"/>
    <w:rsid w:val="003A71B8"/>
    <w:rsid w:val="003A7F6C"/>
    <w:rsid w:val="003B4D60"/>
    <w:rsid w:val="003B7E39"/>
    <w:rsid w:val="003C29D7"/>
    <w:rsid w:val="003C58DC"/>
    <w:rsid w:val="003D1E62"/>
    <w:rsid w:val="003D4CAF"/>
    <w:rsid w:val="003E2486"/>
    <w:rsid w:val="003E3208"/>
    <w:rsid w:val="003F0B04"/>
    <w:rsid w:val="0040134E"/>
    <w:rsid w:val="00416D90"/>
    <w:rsid w:val="004212BC"/>
    <w:rsid w:val="00440A2D"/>
    <w:rsid w:val="00441CBB"/>
    <w:rsid w:val="004564A7"/>
    <w:rsid w:val="004565DD"/>
    <w:rsid w:val="004617BF"/>
    <w:rsid w:val="00463658"/>
    <w:rsid w:val="00463B1A"/>
    <w:rsid w:val="004722CC"/>
    <w:rsid w:val="004741C8"/>
    <w:rsid w:val="004922E6"/>
    <w:rsid w:val="004936E4"/>
    <w:rsid w:val="004939E4"/>
    <w:rsid w:val="00494E60"/>
    <w:rsid w:val="00495A3F"/>
    <w:rsid w:val="00497487"/>
    <w:rsid w:val="004B777D"/>
    <w:rsid w:val="004B7B76"/>
    <w:rsid w:val="004C213F"/>
    <w:rsid w:val="004C239D"/>
    <w:rsid w:val="004C2DCA"/>
    <w:rsid w:val="004C396E"/>
    <w:rsid w:val="004C54E3"/>
    <w:rsid w:val="004D5B38"/>
    <w:rsid w:val="004E2A98"/>
    <w:rsid w:val="004F0F38"/>
    <w:rsid w:val="00501921"/>
    <w:rsid w:val="0050561A"/>
    <w:rsid w:val="005256DD"/>
    <w:rsid w:val="00530354"/>
    <w:rsid w:val="0053625B"/>
    <w:rsid w:val="005434C6"/>
    <w:rsid w:val="0054372B"/>
    <w:rsid w:val="00543B39"/>
    <w:rsid w:val="00550096"/>
    <w:rsid w:val="00557FF9"/>
    <w:rsid w:val="005670F4"/>
    <w:rsid w:val="005673D5"/>
    <w:rsid w:val="00572777"/>
    <w:rsid w:val="00576378"/>
    <w:rsid w:val="00577130"/>
    <w:rsid w:val="0057768E"/>
    <w:rsid w:val="00577945"/>
    <w:rsid w:val="00577E38"/>
    <w:rsid w:val="00585322"/>
    <w:rsid w:val="005857C6"/>
    <w:rsid w:val="005865A0"/>
    <w:rsid w:val="00592F6E"/>
    <w:rsid w:val="00593AD1"/>
    <w:rsid w:val="005A68B6"/>
    <w:rsid w:val="005A6BD3"/>
    <w:rsid w:val="005C5570"/>
    <w:rsid w:val="005C5F5A"/>
    <w:rsid w:val="005C79A4"/>
    <w:rsid w:val="005D1C8F"/>
    <w:rsid w:val="005D5442"/>
    <w:rsid w:val="005E0C52"/>
    <w:rsid w:val="005E41F4"/>
    <w:rsid w:val="005E7E76"/>
    <w:rsid w:val="00603F32"/>
    <w:rsid w:val="00613954"/>
    <w:rsid w:val="006142E9"/>
    <w:rsid w:val="00625A6E"/>
    <w:rsid w:val="00632398"/>
    <w:rsid w:val="00633BBB"/>
    <w:rsid w:val="00640FC3"/>
    <w:rsid w:val="0064155C"/>
    <w:rsid w:val="00642020"/>
    <w:rsid w:val="006425C0"/>
    <w:rsid w:val="00643A38"/>
    <w:rsid w:val="00643F5B"/>
    <w:rsid w:val="00652D5A"/>
    <w:rsid w:val="0065337B"/>
    <w:rsid w:val="0065419D"/>
    <w:rsid w:val="006604D8"/>
    <w:rsid w:val="00661017"/>
    <w:rsid w:val="00664A5B"/>
    <w:rsid w:val="006763D2"/>
    <w:rsid w:val="00676AF0"/>
    <w:rsid w:val="00680C08"/>
    <w:rsid w:val="00685B42"/>
    <w:rsid w:val="006931B1"/>
    <w:rsid w:val="006A15C0"/>
    <w:rsid w:val="006C3E2A"/>
    <w:rsid w:val="006C5904"/>
    <w:rsid w:val="006C642F"/>
    <w:rsid w:val="006C7904"/>
    <w:rsid w:val="006D03E5"/>
    <w:rsid w:val="006D5D3E"/>
    <w:rsid w:val="006D5E5E"/>
    <w:rsid w:val="006E08B3"/>
    <w:rsid w:val="006E3367"/>
    <w:rsid w:val="006F17AC"/>
    <w:rsid w:val="006F32E1"/>
    <w:rsid w:val="006F572E"/>
    <w:rsid w:val="007046D6"/>
    <w:rsid w:val="00705DB0"/>
    <w:rsid w:val="00722B57"/>
    <w:rsid w:val="00735C40"/>
    <w:rsid w:val="0074253D"/>
    <w:rsid w:val="00743E53"/>
    <w:rsid w:val="0074429B"/>
    <w:rsid w:val="00745726"/>
    <w:rsid w:val="007615BC"/>
    <w:rsid w:val="00762F05"/>
    <w:rsid w:val="007652FF"/>
    <w:rsid w:val="00770EF1"/>
    <w:rsid w:val="00773EF7"/>
    <w:rsid w:val="00774598"/>
    <w:rsid w:val="00774E1D"/>
    <w:rsid w:val="0077675A"/>
    <w:rsid w:val="00776763"/>
    <w:rsid w:val="00780355"/>
    <w:rsid w:val="00785721"/>
    <w:rsid w:val="00793A59"/>
    <w:rsid w:val="007A3846"/>
    <w:rsid w:val="007B6E9F"/>
    <w:rsid w:val="007C1216"/>
    <w:rsid w:val="007C1AF7"/>
    <w:rsid w:val="007D223F"/>
    <w:rsid w:val="007D328C"/>
    <w:rsid w:val="007E68D3"/>
    <w:rsid w:val="008008B0"/>
    <w:rsid w:val="00805D27"/>
    <w:rsid w:val="0080664F"/>
    <w:rsid w:val="00821776"/>
    <w:rsid w:val="00826A5E"/>
    <w:rsid w:val="00827941"/>
    <w:rsid w:val="008309D4"/>
    <w:rsid w:val="008321F5"/>
    <w:rsid w:val="00832369"/>
    <w:rsid w:val="00834660"/>
    <w:rsid w:val="00836BC2"/>
    <w:rsid w:val="0085641B"/>
    <w:rsid w:val="00857136"/>
    <w:rsid w:val="00866E1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D06CD"/>
    <w:rsid w:val="008E387B"/>
    <w:rsid w:val="008E44E2"/>
    <w:rsid w:val="008E7846"/>
    <w:rsid w:val="008F1CCC"/>
    <w:rsid w:val="008F2967"/>
    <w:rsid w:val="008F6943"/>
    <w:rsid w:val="00902A21"/>
    <w:rsid w:val="00915A9C"/>
    <w:rsid w:val="00920330"/>
    <w:rsid w:val="00920733"/>
    <w:rsid w:val="009219D7"/>
    <w:rsid w:val="00922D53"/>
    <w:rsid w:val="00923B70"/>
    <w:rsid w:val="00924482"/>
    <w:rsid w:val="00930237"/>
    <w:rsid w:val="00946EA5"/>
    <w:rsid w:val="00963C08"/>
    <w:rsid w:val="00964A93"/>
    <w:rsid w:val="0098585A"/>
    <w:rsid w:val="009A4CED"/>
    <w:rsid w:val="009A54FE"/>
    <w:rsid w:val="009A690D"/>
    <w:rsid w:val="009A7C0B"/>
    <w:rsid w:val="009B1D12"/>
    <w:rsid w:val="009B416B"/>
    <w:rsid w:val="009C4BD5"/>
    <w:rsid w:val="009C7DDC"/>
    <w:rsid w:val="009D7B77"/>
    <w:rsid w:val="009E0BB0"/>
    <w:rsid w:val="009E2DAC"/>
    <w:rsid w:val="009E3FBB"/>
    <w:rsid w:val="009E7A89"/>
    <w:rsid w:val="00A102E4"/>
    <w:rsid w:val="00A129A1"/>
    <w:rsid w:val="00A12C42"/>
    <w:rsid w:val="00A14DF7"/>
    <w:rsid w:val="00A248B1"/>
    <w:rsid w:val="00A3246D"/>
    <w:rsid w:val="00A338C4"/>
    <w:rsid w:val="00A36FA7"/>
    <w:rsid w:val="00A475B7"/>
    <w:rsid w:val="00A47AF7"/>
    <w:rsid w:val="00A47C3E"/>
    <w:rsid w:val="00A500D5"/>
    <w:rsid w:val="00A50226"/>
    <w:rsid w:val="00A564AA"/>
    <w:rsid w:val="00A60283"/>
    <w:rsid w:val="00A60BAD"/>
    <w:rsid w:val="00A63A6A"/>
    <w:rsid w:val="00A803EA"/>
    <w:rsid w:val="00A84E36"/>
    <w:rsid w:val="00A850D3"/>
    <w:rsid w:val="00A900C6"/>
    <w:rsid w:val="00A964D1"/>
    <w:rsid w:val="00AA0ED0"/>
    <w:rsid w:val="00AA62AE"/>
    <w:rsid w:val="00AB324B"/>
    <w:rsid w:val="00AC0EF3"/>
    <w:rsid w:val="00AC2B40"/>
    <w:rsid w:val="00AC2BB2"/>
    <w:rsid w:val="00AC2C3C"/>
    <w:rsid w:val="00AC512D"/>
    <w:rsid w:val="00AD0083"/>
    <w:rsid w:val="00AD75DD"/>
    <w:rsid w:val="00AD7626"/>
    <w:rsid w:val="00AE65EB"/>
    <w:rsid w:val="00AE67A7"/>
    <w:rsid w:val="00AF1D94"/>
    <w:rsid w:val="00AF1E41"/>
    <w:rsid w:val="00AF60C5"/>
    <w:rsid w:val="00B009C6"/>
    <w:rsid w:val="00B01548"/>
    <w:rsid w:val="00B062FC"/>
    <w:rsid w:val="00B113A0"/>
    <w:rsid w:val="00B11892"/>
    <w:rsid w:val="00B21D29"/>
    <w:rsid w:val="00B25034"/>
    <w:rsid w:val="00B33588"/>
    <w:rsid w:val="00B33863"/>
    <w:rsid w:val="00B37D17"/>
    <w:rsid w:val="00B4175E"/>
    <w:rsid w:val="00B41C0F"/>
    <w:rsid w:val="00B438B0"/>
    <w:rsid w:val="00B452CE"/>
    <w:rsid w:val="00B46E2A"/>
    <w:rsid w:val="00B51E40"/>
    <w:rsid w:val="00B5322F"/>
    <w:rsid w:val="00B54C25"/>
    <w:rsid w:val="00B76B91"/>
    <w:rsid w:val="00B77EB1"/>
    <w:rsid w:val="00B809E0"/>
    <w:rsid w:val="00B811C6"/>
    <w:rsid w:val="00B816B9"/>
    <w:rsid w:val="00B855B0"/>
    <w:rsid w:val="00B92E08"/>
    <w:rsid w:val="00B9449B"/>
    <w:rsid w:val="00BA58BF"/>
    <w:rsid w:val="00BB1C3E"/>
    <w:rsid w:val="00BC622A"/>
    <w:rsid w:val="00BE0A78"/>
    <w:rsid w:val="00BE79F0"/>
    <w:rsid w:val="00BF046D"/>
    <w:rsid w:val="00BF1190"/>
    <w:rsid w:val="00BF5D04"/>
    <w:rsid w:val="00C044FC"/>
    <w:rsid w:val="00C1164D"/>
    <w:rsid w:val="00C16861"/>
    <w:rsid w:val="00C404A6"/>
    <w:rsid w:val="00C40A36"/>
    <w:rsid w:val="00C44419"/>
    <w:rsid w:val="00C45881"/>
    <w:rsid w:val="00C45E7B"/>
    <w:rsid w:val="00C471B1"/>
    <w:rsid w:val="00C6316B"/>
    <w:rsid w:val="00C634A9"/>
    <w:rsid w:val="00C64586"/>
    <w:rsid w:val="00C6713E"/>
    <w:rsid w:val="00C70D53"/>
    <w:rsid w:val="00C73D0B"/>
    <w:rsid w:val="00C772FF"/>
    <w:rsid w:val="00C80137"/>
    <w:rsid w:val="00C801AF"/>
    <w:rsid w:val="00C80256"/>
    <w:rsid w:val="00CA33EF"/>
    <w:rsid w:val="00CA5579"/>
    <w:rsid w:val="00CB6BC0"/>
    <w:rsid w:val="00CC1B7C"/>
    <w:rsid w:val="00CC727F"/>
    <w:rsid w:val="00CC7DBB"/>
    <w:rsid w:val="00CD734B"/>
    <w:rsid w:val="00CF15C3"/>
    <w:rsid w:val="00CF2B6F"/>
    <w:rsid w:val="00CF5329"/>
    <w:rsid w:val="00CF58B6"/>
    <w:rsid w:val="00D017ED"/>
    <w:rsid w:val="00D040D3"/>
    <w:rsid w:val="00D04C65"/>
    <w:rsid w:val="00D21B9C"/>
    <w:rsid w:val="00D224FE"/>
    <w:rsid w:val="00D4675B"/>
    <w:rsid w:val="00D50FCC"/>
    <w:rsid w:val="00D6493E"/>
    <w:rsid w:val="00D65F37"/>
    <w:rsid w:val="00D7195D"/>
    <w:rsid w:val="00D7301E"/>
    <w:rsid w:val="00D74D0E"/>
    <w:rsid w:val="00D7578E"/>
    <w:rsid w:val="00D83AE1"/>
    <w:rsid w:val="00D855D4"/>
    <w:rsid w:val="00D93466"/>
    <w:rsid w:val="00D9675A"/>
    <w:rsid w:val="00DA1124"/>
    <w:rsid w:val="00DB6124"/>
    <w:rsid w:val="00DB75B7"/>
    <w:rsid w:val="00DC2061"/>
    <w:rsid w:val="00DC6E02"/>
    <w:rsid w:val="00DE02AE"/>
    <w:rsid w:val="00DF1D7F"/>
    <w:rsid w:val="00DF4BE4"/>
    <w:rsid w:val="00DF7187"/>
    <w:rsid w:val="00E02FB4"/>
    <w:rsid w:val="00E11425"/>
    <w:rsid w:val="00E15405"/>
    <w:rsid w:val="00E20571"/>
    <w:rsid w:val="00E235F7"/>
    <w:rsid w:val="00E23659"/>
    <w:rsid w:val="00E239D4"/>
    <w:rsid w:val="00E26130"/>
    <w:rsid w:val="00E27E5F"/>
    <w:rsid w:val="00E36764"/>
    <w:rsid w:val="00E40B22"/>
    <w:rsid w:val="00E40EF7"/>
    <w:rsid w:val="00E45619"/>
    <w:rsid w:val="00E4588F"/>
    <w:rsid w:val="00E46DA3"/>
    <w:rsid w:val="00E51BB1"/>
    <w:rsid w:val="00E624A5"/>
    <w:rsid w:val="00E7344E"/>
    <w:rsid w:val="00E7481B"/>
    <w:rsid w:val="00E93673"/>
    <w:rsid w:val="00E9446F"/>
    <w:rsid w:val="00EB0798"/>
    <w:rsid w:val="00EB2FA1"/>
    <w:rsid w:val="00EB40AD"/>
    <w:rsid w:val="00EB586E"/>
    <w:rsid w:val="00EB5C7C"/>
    <w:rsid w:val="00EB5FC8"/>
    <w:rsid w:val="00EB64A0"/>
    <w:rsid w:val="00EC7A85"/>
    <w:rsid w:val="00ED3CAD"/>
    <w:rsid w:val="00ED4F3D"/>
    <w:rsid w:val="00ED5A41"/>
    <w:rsid w:val="00EE1DE8"/>
    <w:rsid w:val="00EE2E28"/>
    <w:rsid w:val="00EE37EA"/>
    <w:rsid w:val="00F033EC"/>
    <w:rsid w:val="00F04F68"/>
    <w:rsid w:val="00F11855"/>
    <w:rsid w:val="00F12670"/>
    <w:rsid w:val="00F14B27"/>
    <w:rsid w:val="00F3148D"/>
    <w:rsid w:val="00F325C5"/>
    <w:rsid w:val="00F32FE0"/>
    <w:rsid w:val="00F35298"/>
    <w:rsid w:val="00F44F39"/>
    <w:rsid w:val="00F47333"/>
    <w:rsid w:val="00F47E37"/>
    <w:rsid w:val="00F53C07"/>
    <w:rsid w:val="00F54B65"/>
    <w:rsid w:val="00F640B6"/>
    <w:rsid w:val="00F80E40"/>
    <w:rsid w:val="00F848D9"/>
    <w:rsid w:val="00F86C1C"/>
    <w:rsid w:val="00FA5B82"/>
    <w:rsid w:val="00FA639E"/>
    <w:rsid w:val="00FB168E"/>
    <w:rsid w:val="00FC25E4"/>
    <w:rsid w:val="00FC4EF7"/>
    <w:rsid w:val="00FC5824"/>
    <w:rsid w:val="00FE1DEE"/>
    <w:rsid w:val="00FE57F4"/>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EE49A"/>
  <w15:docId w15:val="{3376C305-2ECD-4929-87DF-94B60F0F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iPriority="0"/>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TableBullet">
    <w:name w:val="Table Bullet"/>
    <w:basedOn w:val="Normal"/>
    <w:uiPriority w:val="99"/>
    <w:rsid w:val="00FB168E"/>
    <w:pPr>
      <w:numPr>
        <w:numId w:val="2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cs="Cambria"/>
      <w:kern w:val="16"/>
      <w:sz w:val="20"/>
      <w:szCs w:val="20"/>
      <w:lang w:eastAsia="en-AU"/>
    </w:rPr>
  </w:style>
  <w:style w:type="paragraph" w:customStyle="1" w:styleId="Standard">
    <w:name w:val="Standard"/>
    <w:basedOn w:val="Normal"/>
    <w:link w:val="StandardChar"/>
    <w:rsid w:val="004741C8"/>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4741C8"/>
    <w:rPr>
      <w:rFonts w:ascii="Cambria" w:eastAsia="Times New Roman" w:hAnsi="Cambria" w:cs="Times New Roman"/>
      <w:snapToGrid w:val="0"/>
      <w:kern w:val="16"/>
      <w:szCs w:val="24"/>
    </w:rPr>
  </w:style>
  <w:style w:type="paragraph" w:customStyle="1" w:styleId="WhiteSpace">
    <w:name w:val="White Space"/>
    <w:basedOn w:val="Standard"/>
    <w:link w:val="WhiteSpaceChar"/>
    <w:rsid w:val="004741C8"/>
    <w:pPr>
      <w:spacing w:after="0"/>
    </w:pPr>
    <w:rPr>
      <w:sz w:val="16"/>
      <w:szCs w:val="16"/>
    </w:rPr>
  </w:style>
  <w:style w:type="paragraph" w:customStyle="1" w:styleId="AssessmentSubsection">
    <w:name w:val="Assessment Subsection"/>
    <w:basedOn w:val="Standard"/>
    <w:next w:val="Standard"/>
    <w:rsid w:val="004741C8"/>
    <w:pPr>
      <w:keepNext/>
      <w:spacing w:after="110"/>
      <w:outlineLvl w:val="2"/>
    </w:pPr>
    <w:rPr>
      <w:b/>
      <w:i/>
    </w:rPr>
  </w:style>
  <w:style w:type="character" w:customStyle="1" w:styleId="WhiteSpaceChar">
    <w:name w:val="White Space Char"/>
    <w:basedOn w:val="DefaultParagraphFont"/>
    <w:link w:val="WhiteSpace"/>
    <w:rsid w:val="004741C8"/>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A564AA"/>
    <w:pPr>
      <w:spacing w:before="60" w:after="440" w:line="215" w:lineRule="exact"/>
      <w:ind w:left="170"/>
    </w:pPr>
    <w:rPr>
      <w:rFonts w:eastAsia="Cambria"/>
      <w:snapToGrid/>
      <w:kern w:val="0"/>
      <w:sz w:val="18"/>
      <w:szCs w:val="22"/>
    </w:rPr>
  </w:style>
  <w:style w:type="character" w:customStyle="1" w:styleId="TableTitleChar">
    <w:name w:val="Table Title Char"/>
    <w:basedOn w:val="StandardChar"/>
    <w:link w:val="TableTitle"/>
    <w:rsid w:val="00A564AA"/>
    <w:rPr>
      <w:rFonts w:ascii="Cambria" w:eastAsia="Cambria" w:hAnsi="Cambria" w:cs="Times New Roman"/>
      <w:b/>
      <w:snapToGrid/>
      <w:kern w:val="16"/>
      <w:sz w:val="20"/>
      <w:szCs w:val="24"/>
    </w:rPr>
  </w:style>
  <w:style w:type="character" w:customStyle="1" w:styleId="TabletextChar">
    <w:name w:val="Table text Char"/>
    <w:basedOn w:val="DefaultParagraphFont"/>
    <w:link w:val="Tabletext"/>
    <w:rsid w:val="00A564AA"/>
    <w:rPr>
      <w:rFonts w:ascii="Cambria" w:eastAsia="Cambria" w:hAnsi="Cambria" w:cs="Times New Roman"/>
      <w:sz w:val="19"/>
    </w:rPr>
  </w:style>
  <w:style w:type="character" w:customStyle="1" w:styleId="TableCaptionChar">
    <w:name w:val="Table Caption Char"/>
    <w:basedOn w:val="TabletextChar"/>
    <w:link w:val="TableCaption"/>
    <w:rsid w:val="00A564AA"/>
    <w:rPr>
      <w:rFonts w:ascii="Cambria" w:eastAsia="Cambria" w:hAnsi="Cambria" w:cs="Times New Roman"/>
      <w:sz w:val="18"/>
    </w:rPr>
  </w:style>
  <w:style w:type="numbering" w:styleId="1ai">
    <w:name w:val="Outline List 1"/>
    <w:basedOn w:val="NoList"/>
    <w:semiHidden/>
    <w:rsid w:val="00A564AA"/>
    <w:pPr>
      <w:numPr>
        <w:numId w:val="29"/>
      </w:numPr>
    </w:pPr>
  </w:style>
  <w:style w:type="paragraph" w:customStyle="1" w:styleId="AssessmentSection">
    <w:name w:val="Assessment Section"/>
    <w:basedOn w:val="AssessmentSubsection"/>
    <w:next w:val="Standard"/>
    <w:rsid w:val="00A564AA"/>
    <w:pPr>
      <w:outlineLvl w:val="1"/>
    </w:pPr>
    <w:rPr>
      <w:i w:val="0"/>
    </w:rPr>
  </w:style>
  <w:style w:type="paragraph" w:customStyle="1" w:styleId="AssessmentSubsection2">
    <w:name w:val="Assessment Subsection 2"/>
    <w:basedOn w:val="AssessmentSubsection"/>
    <w:next w:val="Standard"/>
    <w:rsid w:val="00A564AA"/>
    <w:pPr>
      <w:outlineLvl w:val="3"/>
    </w:pPr>
    <w:rPr>
      <w:b w:val="0"/>
    </w:rPr>
  </w:style>
  <w:style w:type="paragraph" w:customStyle="1" w:styleId="TableHeader">
    <w:name w:val="Table Header"/>
    <w:basedOn w:val="Normal"/>
    <w:rsid w:val="00A564AA"/>
    <w:pPr>
      <w:keepNext/>
      <w:spacing w:before="60" w:after="60" w:line="200" w:lineRule="exact"/>
      <w:jc w:val="center"/>
    </w:pPr>
    <w:rPr>
      <w:rFonts w:eastAsia="MS Mincho" w:cstheme="minorBidi"/>
      <w:b/>
      <w:kern w:val="2"/>
      <w:sz w:val="18"/>
      <w:szCs w:val="18"/>
    </w:rPr>
  </w:style>
  <w:style w:type="paragraph" w:customStyle="1" w:styleId="Tableheader0">
    <w:name w:val="Table header"/>
    <w:basedOn w:val="Normal"/>
    <w:rsid w:val="00A564AA"/>
    <w:pPr>
      <w:keepNext/>
      <w:keepLines/>
      <w:widowControl w:val="0"/>
      <w:spacing w:before="60" w:after="60" w:line="200" w:lineRule="exact"/>
      <w:jc w:val="center"/>
    </w:pPr>
    <w:rPr>
      <w:rFonts w:eastAsia="MS Mincho" w:cstheme="minorBidi"/>
      <w:b/>
      <w:kern w:val="2"/>
      <w:sz w:val="18"/>
      <w:szCs w:val="19"/>
    </w:rPr>
  </w:style>
  <w:style w:type="character" w:styleId="CommentReference">
    <w:name w:val="annotation reference"/>
    <w:basedOn w:val="DefaultParagraphFont"/>
    <w:uiPriority w:val="99"/>
    <w:semiHidden/>
    <w:unhideWhenUsed/>
    <w:rsid w:val="005256DD"/>
    <w:rPr>
      <w:sz w:val="16"/>
      <w:szCs w:val="16"/>
    </w:rPr>
  </w:style>
  <w:style w:type="paragraph" w:styleId="CommentText">
    <w:name w:val="annotation text"/>
    <w:basedOn w:val="Normal"/>
    <w:link w:val="CommentTextChar"/>
    <w:unhideWhenUsed/>
    <w:rsid w:val="005256DD"/>
    <w:pPr>
      <w:spacing w:line="240" w:lineRule="auto"/>
    </w:pPr>
    <w:rPr>
      <w:sz w:val="20"/>
      <w:szCs w:val="20"/>
    </w:rPr>
  </w:style>
  <w:style w:type="character" w:customStyle="1" w:styleId="CommentTextChar">
    <w:name w:val="Comment Text Char"/>
    <w:basedOn w:val="DefaultParagraphFont"/>
    <w:link w:val="CommentText"/>
    <w:uiPriority w:val="99"/>
    <w:rsid w:val="005256D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256DD"/>
    <w:rPr>
      <w:b/>
      <w:bCs/>
    </w:rPr>
  </w:style>
  <w:style w:type="character" w:customStyle="1" w:styleId="CommentSubjectChar">
    <w:name w:val="Comment Subject Char"/>
    <w:basedOn w:val="CommentTextChar"/>
    <w:link w:val="CommentSubject"/>
    <w:uiPriority w:val="99"/>
    <w:semiHidden/>
    <w:rsid w:val="005256DD"/>
    <w:rPr>
      <w:rFonts w:ascii="Cambria" w:eastAsia="Cambria" w:hAnsi="Cambria" w:cs="Times New Roman"/>
      <w:b/>
      <w:bCs/>
      <w:sz w:val="20"/>
      <w:szCs w:val="20"/>
    </w:rPr>
  </w:style>
  <w:style w:type="paragraph" w:customStyle="1" w:styleId="SectionHeading">
    <w:name w:val="Section Heading"/>
    <w:basedOn w:val="Standard"/>
    <w:next w:val="Standard"/>
    <w:link w:val="SectionHeadingCharChar"/>
    <w:rsid w:val="001663E0"/>
    <w:pPr>
      <w:keepNext/>
      <w:outlineLvl w:val="0"/>
    </w:pPr>
    <w:rPr>
      <w:b/>
      <w:caps/>
    </w:rPr>
  </w:style>
  <w:style w:type="character" w:customStyle="1" w:styleId="SectionHeadingCharChar">
    <w:name w:val="Section Heading Char Char"/>
    <w:basedOn w:val="DefaultParagraphFont"/>
    <w:link w:val="SectionHeading"/>
    <w:rsid w:val="001663E0"/>
    <w:rPr>
      <w:rFonts w:ascii="Cambria" w:eastAsia="Times New Roman" w:hAnsi="Cambria" w:cs="Times New Roman"/>
      <w:b/>
      <w:caps/>
      <w:snapToGrid w:val="0"/>
      <w:kern w:val="16"/>
      <w:szCs w:val="24"/>
    </w:rPr>
  </w:style>
  <w:style w:type="paragraph" w:customStyle="1" w:styleId="Bulletpoint">
    <w:name w:val="Bullet point"/>
    <w:basedOn w:val="Standard"/>
    <w:rsid w:val="001663E0"/>
    <w:pPr>
      <w:numPr>
        <w:numId w:val="30"/>
      </w:numPr>
      <w:tabs>
        <w:tab w:val="left" w:pos="397"/>
        <w:tab w:val="num" w:pos="511"/>
      </w:tabs>
      <w:spacing w:after="180"/>
      <w:ind w:left="397" w:firstLine="0"/>
    </w:pPr>
  </w:style>
  <w:style w:type="paragraph" w:styleId="ListParagraph">
    <w:name w:val="List Paragraph"/>
    <w:basedOn w:val="Normal"/>
    <w:uiPriority w:val="34"/>
    <w:qFormat/>
    <w:rsid w:val="009E7A8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paragraph" w:customStyle="1" w:styleId="Default">
    <w:name w:val="Default"/>
    <w:rsid w:val="00E15405"/>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customStyle="1" w:styleId="st">
    <w:name w:val="st"/>
    <w:basedOn w:val="DefaultParagraphFont"/>
    <w:rsid w:val="008E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2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tga.gov.au/hp/information-medicines-pi.htm"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www.tga.gov.au" TargetMode="External"/><Relationship Id="rId28" Type="http://schemas.openxmlformats.org/officeDocument/2006/relationships/footer" Target="footer5.xml"/><Relationship Id="rId10" Type="http://schemas.openxmlformats.org/officeDocument/2006/relationships/hyperlink" Target="mailto:tga.copyright@tga.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tga.gov.au" TargetMode="External"/><Relationship Id="rId14" Type="http://schemas.openxmlformats.org/officeDocument/2006/relationships/image" Target="media/image3.emf"/><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kja\AppData\Local\Hewlett-Packard\HP%20TRIM\TEMP\HPTRIM.1864\R12%20926607%20(Revision%2020)%20%20AusPAR%20-%20Aclasta(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2EAA-F955-44C1-850E-1D3055B27706}">
  <ds:schemaRefs>
    <ds:schemaRef ds:uri="http://schemas.microsoft.com/office/2006/customDocumentInformationPanel"/>
  </ds:schemaRefs>
</ds:datastoreItem>
</file>

<file path=customXml/itemProps2.xml><?xml version="1.0" encoding="utf-8"?>
<ds:datastoreItem xmlns:ds="http://schemas.openxmlformats.org/officeDocument/2006/customXml" ds:itemID="{565C06DF-353F-459B-93CE-87530772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(Revision 20)  AusPAR - Aclasta(2).dotx</Template>
  <TotalTime>2</TotalTime>
  <Pages>53</Pages>
  <Words>19508</Words>
  <Characters>111199</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130447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pasireotide (as diaspartate)</dc:title>
  <dc:subject>prescription medicine regulation</dc:subject>
  <dc:creator>Therapeutic Goods Administration</dc:creator>
  <cp:keywords>auspar, prescription, medicine, assessment, regulation, australia. Pasireotide, diaspartate, signifor</cp:keywords>
  <cp:lastModifiedBy>PITTMAN, Abby</cp:lastModifiedBy>
  <cp:revision>3</cp:revision>
  <cp:lastPrinted>2024-10-30T01:12:00Z</cp:lastPrinted>
  <dcterms:created xsi:type="dcterms:W3CDTF">2024-10-30T01:11:00Z</dcterms:created>
  <dcterms:modified xsi:type="dcterms:W3CDTF">2024-10-30T01:12:00Z</dcterms:modified>
</cp:coreProperties>
</file>