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006" w:rsidRPr="00392ADF" w:rsidRDefault="00F03006" w:rsidP="008F20B1">
      <w:pPr>
        <w:pStyle w:val="Title"/>
      </w:pPr>
      <w:r w:rsidRPr="00392ADF">
        <w:t>SIGNIFOR</w:t>
      </w:r>
      <w:r w:rsidRPr="00392ADF">
        <w:rPr>
          <w:vertAlign w:val="superscript"/>
        </w:rPr>
        <w:t>®</w:t>
      </w:r>
      <w:r w:rsidRPr="00392ADF">
        <w:t xml:space="preserve"> </w:t>
      </w:r>
    </w:p>
    <w:p w:rsidR="007E3544" w:rsidRPr="00392ADF" w:rsidRDefault="007E3544" w:rsidP="00F109AF">
      <w:pPr>
        <w:pStyle w:val="Subtitle"/>
      </w:pPr>
      <w:proofErr w:type="spellStart"/>
      <w:r w:rsidRPr="00392ADF">
        <w:t>Pasireotide</w:t>
      </w:r>
      <w:proofErr w:type="spellEnd"/>
      <w:r w:rsidRPr="00392ADF">
        <w:t xml:space="preserve"> </w:t>
      </w:r>
      <w:proofErr w:type="spellStart"/>
      <w:r w:rsidRPr="00392ADF">
        <w:t>di</w:t>
      </w:r>
      <w:r w:rsidR="002A7826">
        <w:t>a</w:t>
      </w:r>
      <w:r w:rsidRPr="00392ADF">
        <w:t>spartate</w:t>
      </w:r>
      <w:proofErr w:type="spellEnd"/>
    </w:p>
    <w:p w:rsidR="00F03006" w:rsidRPr="00392ADF" w:rsidRDefault="00F03006" w:rsidP="00FB4008"/>
    <w:p w:rsidR="00096733" w:rsidRPr="00392ADF" w:rsidRDefault="00096733" w:rsidP="00F109AF">
      <w:pPr>
        <w:pStyle w:val="Heading1"/>
      </w:pPr>
      <w:r w:rsidRPr="00392ADF">
        <w:t>NAME OF MEDICINE</w:t>
      </w:r>
    </w:p>
    <w:p w:rsidR="00C23B90" w:rsidRPr="00392ADF" w:rsidRDefault="00C23B90"/>
    <w:p w:rsidR="00464E90" w:rsidRPr="00392ADF" w:rsidRDefault="00E95B85">
      <w:r w:rsidRPr="00392ADF">
        <w:t>SIGNIFOR</w:t>
      </w:r>
      <w:r w:rsidR="00C23B90" w:rsidRPr="00392ADF">
        <w:rPr>
          <w:vertAlign w:val="superscript"/>
        </w:rPr>
        <w:t>®</w:t>
      </w:r>
    </w:p>
    <w:p w:rsidR="00E95B85" w:rsidRPr="00392ADF" w:rsidRDefault="00E95B85">
      <w:proofErr w:type="spellStart"/>
      <w:r w:rsidRPr="00392ADF">
        <w:t>Pasireotide</w:t>
      </w:r>
      <w:proofErr w:type="spellEnd"/>
      <w:r w:rsidRPr="00392ADF">
        <w:t xml:space="preserve"> </w:t>
      </w:r>
      <w:proofErr w:type="spellStart"/>
      <w:r w:rsidRPr="00392ADF">
        <w:t>di</w:t>
      </w:r>
      <w:r w:rsidR="002A7826">
        <w:t>a</w:t>
      </w:r>
      <w:r w:rsidRPr="00392ADF">
        <w:t>spartate</w:t>
      </w:r>
      <w:proofErr w:type="spellEnd"/>
    </w:p>
    <w:p w:rsidR="00E95B85" w:rsidRPr="00392ADF" w:rsidRDefault="00FB4B63">
      <w:r>
        <w:rPr>
          <w:noProof/>
          <w:lang w:val="en-AU" w:eastAsia="en-AU"/>
        </w:rPr>
        <w:drawing>
          <wp:inline distT="0" distB="0" distL="0" distR="0" wp14:anchorId="514C78CF" wp14:editId="7DC3845F">
            <wp:extent cx="5762625" cy="3086100"/>
            <wp:effectExtent l="0" t="0" r="9525" b="0"/>
            <wp:docPr id="1" name="Picture 1"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086100"/>
                    </a:xfrm>
                    <a:prstGeom prst="rect">
                      <a:avLst/>
                    </a:prstGeom>
                    <a:noFill/>
                    <a:ln>
                      <a:noFill/>
                    </a:ln>
                  </pic:spPr>
                </pic:pic>
              </a:graphicData>
            </a:graphic>
          </wp:inline>
        </w:drawing>
      </w:r>
    </w:p>
    <w:p w:rsidR="00E95B85" w:rsidRPr="00F109AF" w:rsidRDefault="00E95B85">
      <w:proofErr w:type="spellStart"/>
      <w:r w:rsidRPr="00F109AF">
        <w:t>Pasireotide</w:t>
      </w:r>
      <w:proofErr w:type="spellEnd"/>
      <w:r w:rsidRPr="00F109AF">
        <w:t xml:space="preserve"> </w:t>
      </w:r>
      <w:proofErr w:type="spellStart"/>
      <w:r w:rsidRPr="00F109AF">
        <w:t>dia</w:t>
      </w:r>
      <w:r w:rsidR="002A7826" w:rsidRPr="00F109AF">
        <w:t>s</w:t>
      </w:r>
      <w:r w:rsidRPr="00F109AF">
        <w:t>partate</w:t>
      </w:r>
      <w:proofErr w:type="spellEnd"/>
      <w:r w:rsidRPr="00F109AF">
        <w:t xml:space="preserve"> CAS No.: 396091-77-3</w:t>
      </w:r>
    </w:p>
    <w:p w:rsidR="00E95B85" w:rsidRPr="00F109AF" w:rsidRDefault="00E95B85">
      <w:proofErr w:type="spellStart"/>
      <w:r w:rsidRPr="00F109AF">
        <w:t>Pasireotide</w:t>
      </w:r>
      <w:proofErr w:type="spellEnd"/>
      <w:r w:rsidRPr="00F109AF">
        <w:t xml:space="preserve"> CAS No.: 396091-73-9</w:t>
      </w:r>
    </w:p>
    <w:p w:rsidR="00F10BBF" w:rsidRPr="006C5560" w:rsidRDefault="00F10BBF">
      <w:r>
        <w:t>M</w:t>
      </w:r>
      <w:r w:rsidRPr="00072EDB">
        <w:t>olecular weight</w:t>
      </w:r>
      <w:r>
        <w:t>:</w:t>
      </w:r>
      <w:r w:rsidRPr="006C5560">
        <w:t xml:space="preserve"> 1313.41 (for the </w:t>
      </w:r>
      <w:proofErr w:type="spellStart"/>
      <w:r w:rsidRPr="006C5560">
        <w:t>diaspartate</w:t>
      </w:r>
      <w:proofErr w:type="spellEnd"/>
      <w:r w:rsidRPr="006C5560">
        <w:t xml:space="preserve"> salt)</w:t>
      </w:r>
    </w:p>
    <w:p w:rsidR="00CE7068" w:rsidRPr="006C5560" w:rsidRDefault="009B4C9F">
      <w:proofErr w:type="spellStart"/>
      <w:r>
        <w:t>Pasireotide</w:t>
      </w:r>
      <w:proofErr w:type="spellEnd"/>
      <w:r>
        <w:t xml:space="preserve"> </w:t>
      </w:r>
      <w:proofErr w:type="spellStart"/>
      <w:r>
        <w:t>diaspartate</w:t>
      </w:r>
      <w:proofErr w:type="spellEnd"/>
      <w:r>
        <w:t xml:space="preserve"> is a </w:t>
      </w:r>
      <w:r w:rsidRPr="009B4C9F">
        <w:t>white to slightly greyish powder</w:t>
      </w:r>
      <w:r>
        <w:t xml:space="preserve">. </w:t>
      </w:r>
      <w:r w:rsidRPr="009B4C9F">
        <w:t>The drug substance is freely soluble in water</w:t>
      </w:r>
      <w:r>
        <w:t xml:space="preserve"> and </w:t>
      </w:r>
      <w:proofErr w:type="spellStart"/>
      <w:r w:rsidRPr="009B4C9F">
        <w:t>pKa</w:t>
      </w:r>
      <w:proofErr w:type="spellEnd"/>
      <w:r w:rsidRPr="009B4C9F">
        <w:t xml:space="preserve"> has been determined at 10.2 and 9.1.</w:t>
      </w:r>
    </w:p>
    <w:p w:rsidR="007337B8" w:rsidRPr="006C5560" w:rsidRDefault="007337B8"/>
    <w:p w:rsidR="00E95B85" w:rsidRPr="00392ADF" w:rsidRDefault="00096733" w:rsidP="00F109AF">
      <w:pPr>
        <w:pStyle w:val="Heading1"/>
      </w:pPr>
      <w:r w:rsidRPr="00392ADF">
        <w:t>DESCRIPTION</w:t>
      </w:r>
    </w:p>
    <w:p w:rsidR="007337B8" w:rsidRPr="00392ADF" w:rsidRDefault="007337B8"/>
    <w:p w:rsidR="00E95B85" w:rsidRPr="00392ADF" w:rsidRDefault="00096733">
      <w:proofErr w:type="spellStart"/>
      <w:r w:rsidRPr="00392ADF">
        <w:t>Pasireotide</w:t>
      </w:r>
      <w:proofErr w:type="spellEnd"/>
      <w:r w:rsidRPr="00392ADF">
        <w:t xml:space="preserve"> 300 </w:t>
      </w:r>
      <w:r w:rsidR="00C678CC">
        <w:t>microgram</w:t>
      </w:r>
      <w:r w:rsidR="00072EDB">
        <w:t>s</w:t>
      </w:r>
      <w:r w:rsidR="00CE7068">
        <w:t>/1 mL</w:t>
      </w:r>
      <w:r w:rsidRPr="00392ADF">
        <w:t xml:space="preserve">, 600 </w:t>
      </w:r>
      <w:r w:rsidR="00C678CC">
        <w:t>microgram</w:t>
      </w:r>
      <w:r w:rsidR="00072EDB">
        <w:t>s</w:t>
      </w:r>
      <w:r w:rsidR="00CE7068">
        <w:t>/1 mL</w:t>
      </w:r>
      <w:r w:rsidR="00C678CC">
        <w:t xml:space="preserve"> and 900 microgram</w:t>
      </w:r>
      <w:r w:rsidR="00072EDB">
        <w:t>s</w:t>
      </w:r>
      <w:r w:rsidR="00CE7068">
        <w:t>/1 mL</w:t>
      </w:r>
      <w:r w:rsidRPr="00392ADF">
        <w:t xml:space="preserve"> solution for injection is clear</w:t>
      </w:r>
      <w:r w:rsidR="00BE4466">
        <w:t xml:space="preserve"> and</w:t>
      </w:r>
      <w:r w:rsidRPr="00392ADF">
        <w:t xml:space="preserve"> </w:t>
      </w:r>
      <w:proofErr w:type="spellStart"/>
      <w:r w:rsidRPr="00392ADF">
        <w:t>colou</w:t>
      </w:r>
      <w:r w:rsidR="00C411A9" w:rsidRPr="00392ADF">
        <w:t>rless</w:t>
      </w:r>
      <w:proofErr w:type="spellEnd"/>
      <w:r w:rsidR="00C411A9" w:rsidRPr="00392ADF">
        <w:t xml:space="preserve">. </w:t>
      </w:r>
      <w:r w:rsidRPr="00392ADF">
        <w:t xml:space="preserve">The free </w:t>
      </w:r>
      <w:r w:rsidR="00433EF2" w:rsidRPr="00392ADF">
        <w:t>base</w:t>
      </w:r>
      <w:r w:rsidRPr="00392ADF">
        <w:t xml:space="preserve"> is </w:t>
      </w:r>
      <w:proofErr w:type="spellStart"/>
      <w:r w:rsidR="00E95B85" w:rsidRPr="00392ADF">
        <w:t>pasireotide</w:t>
      </w:r>
      <w:proofErr w:type="spellEnd"/>
      <w:r w:rsidR="00E95B85" w:rsidRPr="00392ADF">
        <w:t xml:space="preserve"> </w:t>
      </w:r>
      <w:r w:rsidRPr="00392ADF">
        <w:t xml:space="preserve">and salt form is </w:t>
      </w:r>
      <w:proofErr w:type="spellStart"/>
      <w:r w:rsidRPr="00392ADF">
        <w:t>pasireotide</w:t>
      </w:r>
      <w:proofErr w:type="spellEnd"/>
      <w:r w:rsidRPr="00392ADF">
        <w:t xml:space="preserve"> </w:t>
      </w:r>
      <w:proofErr w:type="spellStart"/>
      <w:r w:rsidRPr="00392ADF">
        <w:t>diaspartate</w:t>
      </w:r>
      <w:proofErr w:type="spellEnd"/>
      <w:r w:rsidR="0031244F" w:rsidRPr="00392ADF">
        <w:t xml:space="preserve">.  The excipients are </w:t>
      </w:r>
      <w:proofErr w:type="spellStart"/>
      <w:r w:rsidR="0031244F" w:rsidRPr="00392ADF">
        <w:t>mannitol</w:t>
      </w:r>
      <w:proofErr w:type="spellEnd"/>
      <w:r w:rsidR="0031244F" w:rsidRPr="00392ADF">
        <w:t xml:space="preserve">, tartaric acid, sodium hydroxide and water for injections.  </w:t>
      </w:r>
      <w:r w:rsidRPr="00392ADF">
        <w:t xml:space="preserve">The formulations are isotonic and the </w:t>
      </w:r>
      <w:r w:rsidR="0031244F" w:rsidRPr="00392ADF">
        <w:t>pH is 4.2</w:t>
      </w:r>
      <w:r w:rsidRPr="00392ADF">
        <w:t>.</w:t>
      </w:r>
    </w:p>
    <w:p w:rsidR="007337B8" w:rsidRPr="00392ADF" w:rsidRDefault="007337B8"/>
    <w:p w:rsidR="007337B8" w:rsidRPr="00392ADF" w:rsidRDefault="00433EF2" w:rsidP="00F109AF">
      <w:pPr>
        <w:pStyle w:val="Heading1"/>
      </w:pPr>
      <w:r w:rsidRPr="00392ADF">
        <w:lastRenderedPageBreak/>
        <w:t>PHARMACOLOGY</w:t>
      </w:r>
    </w:p>
    <w:p w:rsidR="007337B8" w:rsidRPr="00392ADF" w:rsidRDefault="007337B8"/>
    <w:p w:rsidR="00012AD5" w:rsidRPr="00392ADF" w:rsidRDefault="007337B8" w:rsidP="00F109AF">
      <w:pPr>
        <w:pStyle w:val="Heading2"/>
      </w:pPr>
      <w:r w:rsidRPr="00392ADF">
        <w:t>Mechanism of A</w:t>
      </w:r>
      <w:r w:rsidR="00012AD5" w:rsidRPr="00392ADF">
        <w:t>ction</w:t>
      </w:r>
    </w:p>
    <w:p w:rsidR="001C776F" w:rsidRDefault="00012AD5">
      <w:proofErr w:type="spellStart"/>
      <w:r w:rsidRPr="00392ADF">
        <w:t>Pasireotide</w:t>
      </w:r>
      <w:proofErr w:type="spellEnd"/>
      <w:r w:rsidRPr="00392ADF">
        <w:t xml:space="preserve"> is a </w:t>
      </w:r>
      <w:proofErr w:type="spellStart"/>
      <w:r w:rsidRPr="00392ADF">
        <w:t>cyclohexapeptide</w:t>
      </w:r>
      <w:proofErr w:type="spellEnd"/>
      <w:r w:rsidRPr="00392ADF">
        <w:t xml:space="preserve">, injectable </w:t>
      </w:r>
      <w:proofErr w:type="spellStart"/>
      <w:r w:rsidRPr="00392ADF">
        <w:t>somatostatin</w:t>
      </w:r>
      <w:proofErr w:type="spellEnd"/>
      <w:r w:rsidRPr="00392ADF">
        <w:t xml:space="preserve"> analogue. Like natural peptide hormones somatostatin-14 and somatostatin-28 (also known as </w:t>
      </w:r>
      <w:proofErr w:type="spellStart"/>
      <w:r w:rsidRPr="00392ADF">
        <w:t>Somatotropin</w:t>
      </w:r>
      <w:proofErr w:type="spellEnd"/>
      <w:r w:rsidRPr="00392ADF">
        <w:t xml:space="preserve"> Release Inhibiting Factor [SRIF]) and other </w:t>
      </w:r>
      <w:proofErr w:type="spellStart"/>
      <w:r w:rsidRPr="00392ADF">
        <w:t>somatostatin</w:t>
      </w:r>
      <w:proofErr w:type="spellEnd"/>
      <w:r w:rsidRPr="00392ADF">
        <w:t xml:space="preserve"> analogues, </w:t>
      </w:r>
      <w:proofErr w:type="spellStart"/>
      <w:r w:rsidRPr="00392ADF">
        <w:t>pasireotide</w:t>
      </w:r>
      <w:proofErr w:type="spellEnd"/>
      <w:r w:rsidRPr="00392ADF">
        <w:t xml:space="preserve"> exerts its pharmacological activity via binding to </w:t>
      </w:r>
      <w:proofErr w:type="spellStart"/>
      <w:r w:rsidRPr="00392ADF">
        <w:t>somatostatin</w:t>
      </w:r>
      <w:proofErr w:type="spellEnd"/>
      <w:r w:rsidRPr="00392ADF">
        <w:t xml:space="preserve"> receptors. Five human </w:t>
      </w:r>
      <w:proofErr w:type="spellStart"/>
      <w:r w:rsidRPr="00392ADF">
        <w:t>somatostatin</w:t>
      </w:r>
      <w:proofErr w:type="spellEnd"/>
      <w:r w:rsidRPr="00392ADF">
        <w:t xml:space="preserve"> receptor subtypes are known: </w:t>
      </w:r>
      <w:proofErr w:type="spellStart"/>
      <w:r w:rsidRPr="00392ADF">
        <w:t>hsst</w:t>
      </w:r>
      <w:proofErr w:type="spellEnd"/>
      <w:r w:rsidRPr="00392ADF">
        <w:t xml:space="preserve"> 1, 2, 3, 4, and 5</w:t>
      </w:r>
      <w:proofErr w:type="gramStart"/>
      <w:r w:rsidRPr="00392ADF">
        <w:t xml:space="preserve">. </w:t>
      </w:r>
      <w:r w:rsidR="00AC4A74" w:rsidRPr="00392ADF">
        <w:t xml:space="preserve"> </w:t>
      </w:r>
      <w:r w:rsidRPr="00392ADF">
        <w:t>These</w:t>
      </w:r>
      <w:proofErr w:type="gramEnd"/>
      <w:r w:rsidRPr="00392ADF">
        <w:t xml:space="preserve"> receptor subtypes are expressed in different tissues under normal physiological conditions. </w:t>
      </w:r>
      <w:proofErr w:type="spellStart"/>
      <w:r w:rsidRPr="00392ADF">
        <w:t>Somatostatin</w:t>
      </w:r>
      <w:proofErr w:type="spellEnd"/>
      <w:r w:rsidRPr="00392ADF">
        <w:t xml:space="preserve"> analogues bind to </w:t>
      </w:r>
      <w:proofErr w:type="spellStart"/>
      <w:r w:rsidRPr="00392ADF">
        <w:t>hsst</w:t>
      </w:r>
      <w:proofErr w:type="spellEnd"/>
      <w:r w:rsidRPr="00392ADF">
        <w:t xml:space="preserve"> receptors with different potencies (Table 1</w:t>
      </w:r>
      <w:r w:rsidR="001C776F" w:rsidRPr="00392ADF">
        <w:t>)</w:t>
      </w:r>
      <w:r w:rsidRPr="00392ADF">
        <w:t xml:space="preserve">. </w:t>
      </w:r>
      <w:proofErr w:type="spellStart"/>
      <w:r w:rsidRPr="00392ADF">
        <w:t>Pasireotide</w:t>
      </w:r>
      <w:proofErr w:type="spellEnd"/>
      <w:r w:rsidRPr="00392ADF">
        <w:t xml:space="preserve"> binds with high affinity to four of the five </w:t>
      </w:r>
      <w:proofErr w:type="spellStart"/>
      <w:r w:rsidRPr="00392ADF">
        <w:t>hssts</w:t>
      </w:r>
      <w:proofErr w:type="spellEnd"/>
      <w:r w:rsidRPr="00392ADF">
        <w:t>.</w:t>
      </w:r>
    </w:p>
    <w:p w:rsidR="00CA202E" w:rsidRPr="00392ADF" w:rsidRDefault="00CA202E"/>
    <w:p w:rsidR="00E95B85" w:rsidRPr="00392ADF" w:rsidRDefault="001C776F" w:rsidP="00F109AF">
      <w:pPr>
        <w:ind w:left="1134" w:hanging="1134"/>
      </w:pPr>
      <w:r w:rsidRPr="00392ADF">
        <w:t>Table 1</w:t>
      </w:r>
      <w:r w:rsidRPr="00392ADF">
        <w:tab/>
        <w:t xml:space="preserve">Binding affinities of </w:t>
      </w:r>
      <w:proofErr w:type="spellStart"/>
      <w:r w:rsidRPr="00392ADF">
        <w:t>somatostatin</w:t>
      </w:r>
      <w:proofErr w:type="spellEnd"/>
      <w:r w:rsidRPr="00392ADF">
        <w:t xml:space="preserve"> (SRIF-14), </w:t>
      </w:r>
      <w:proofErr w:type="spellStart"/>
      <w:r w:rsidRPr="00392ADF">
        <w:t>pasireotide</w:t>
      </w:r>
      <w:proofErr w:type="spellEnd"/>
      <w:r w:rsidRPr="00392ADF">
        <w:t xml:space="preserve">, </w:t>
      </w:r>
      <w:proofErr w:type="spellStart"/>
      <w:r w:rsidRPr="00392ADF">
        <w:t>octreotide</w:t>
      </w:r>
      <w:proofErr w:type="spellEnd"/>
      <w:r w:rsidRPr="00392ADF">
        <w:t xml:space="preserve"> and </w:t>
      </w:r>
      <w:proofErr w:type="spellStart"/>
      <w:r w:rsidRPr="00392ADF">
        <w:t>lanreotide</w:t>
      </w:r>
      <w:proofErr w:type="spellEnd"/>
      <w:r w:rsidRPr="00392ADF">
        <w:t xml:space="preserve"> to the five human </w:t>
      </w:r>
      <w:proofErr w:type="spellStart"/>
      <w:proofErr w:type="gramStart"/>
      <w:r w:rsidRPr="00392ADF">
        <w:t>sst</w:t>
      </w:r>
      <w:proofErr w:type="spellEnd"/>
      <w:proofErr w:type="gramEnd"/>
      <w:r w:rsidRPr="00392ADF">
        <w:t xml:space="preserve"> receptor subtypes (hsst1-5)</w:t>
      </w:r>
    </w:p>
    <w:tbl>
      <w:tblPr>
        <w:tblW w:w="9072"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701"/>
        <w:gridCol w:w="1620"/>
        <w:gridCol w:w="1620"/>
        <w:gridCol w:w="1620"/>
        <w:gridCol w:w="952"/>
        <w:gridCol w:w="1559"/>
      </w:tblGrid>
      <w:tr w:rsidR="001C776F" w:rsidRPr="00392ADF" w:rsidTr="001C776F">
        <w:tc>
          <w:tcPr>
            <w:tcW w:w="1701" w:type="dxa"/>
          </w:tcPr>
          <w:p w:rsidR="001C776F" w:rsidRPr="00392ADF" w:rsidRDefault="001C776F" w:rsidP="00FB4008">
            <w:r w:rsidRPr="00392ADF">
              <w:t>Compound</w:t>
            </w:r>
          </w:p>
        </w:tc>
        <w:tc>
          <w:tcPr>
            <w:tcW w:w="1620" w:type="dxa"/>
          </w:tcPr>
          <w:p w:rsidR="001C776F" w:rsidRPr="00392ADF" w:rsidRDefault="001C776F">
            <w:r w:rsidRPr="00392ADF">
              <w:t>hsst1</w:t>
            </w:r>
          </w:p>
        </w:tc>
        <w:tc>
          <w:tcPr>
            <w:tcW w:w="1620" w:type="dxa"/>
          </w:tcPr>
          <w:p w:rsidR="001C776F" w:rsidRPr="00392ADF" w:rsidRDefault="001C776F">
            <w:r w:rsidRPr="00392ADF">
              <w:t>hsst2</w:t>
            </w:r>
          </w:p>
        </w:tc>
        <w:tc>
          <w:tcPr>
            <w:tcW w:w="1620" w:type="dxa"/>
          </w:tcPr>
          <w:p w:rsidR="001C776F" w:rsidRPr="00392ADF" w:rsidRDefault="001C776F">
            <w:r w:rsidRPr="00392ADF">
              <w:t>hsst3</w:t>
            </w:r>
          </w:p>
        </w:tc>
        <w:tc>
          <w:tcPr>
            <w:tcW w:w="952" w:type="dxa"/>
          </w:tcPr>
          <w:p w:rsidR="001C776F" w:rsidRPr="00392ADF" w:rsidRDefault="001C776F">
            <w:r w:rsidRPr="00392ADF">
              <w:t>hsst4</w:t>
            </w:r>
          </w:p>
        </w:tc>
        <w:tc>
          <w:tcPr>
            <w:tcW w:w="1559" w:type="dxa"/>
          </w:tcPr>
          <w:p w:rsidR="001C776F" w:rsidRPr="00392ADF" w:rsidRDefault="001C776F">
            <w:r w:rsidRPr="00392ADF">
              <w:t>hsst5</w:t>
            </w:r>
          </w:p>
        </w:tc>
      </w:tr>
      <w:tr w:rsidR="001C776F" w:rsidRPr="00392ADF" w:rsidTr="001C776F">
        <w:tc>
          <w:tcPr>
            <w:tcW w:w="1701" w:type="dxa"/>
            <w:tcBorders>
              <w:bottom w:val="nil"/>
            </w:tcBorders>
          </w:tcPr>
          <w:p w:rsidR="001C776F" w:rsidRPr="00392ADF" w:rsidRDefault="001C776F" w:rsidP="00FB4008">
            <w:proofErr w:type="spellStart"/>
            <w:r w:rsidRPr="00392ADF">
              <w:t>Somatostatin</w:t>
            </w:r>
            <w:proofErr w:type="spellEnd"/>
            <w:r w:rsidRPr="00392ADF">
              <w:t xml:space="preserve"> (SRIF-14)</w:t>
            </w:r>
          </w:p>
        </w:tc>
        <w:tc>
          <w:tcPr>
            <w:tcW w:w="1620" w:type="dxa"/>
            <w:tcBorders>
              <w:bottom w:val="nil"/>
            </w:tcBorders>
          </w:tcPr>
          <w:p w:rsidR="001C776F" w:rsidRPr="00392ADF" w:rsidRDefault="001C776F">
            <w:r w:rsidRPr="00392ADF">
              <w:t>0.93</w:t>
            </w:r>
            <w:r w:rsidRPr="00392ADF">
              <w:sym w:font="Symbol" w:char="F0B1"/>
            </w:r>
            <w:r w:rsidRPr="00392ADF">
              <w:t xml:space="preserve">0.12 </w:t>
            </w:r>
          </w:p>
        </w:tc>
        <w:tc>
          <w:tcPr>
            <w:tcW w:w="1620" w:type="dxa"/>
            <w:tcBorders>
              <w:bottom w:val="nil"/>
            </w:tcBorders>
          </w:tcPr>
          <w:p w:rsidR="001C776F" w:rsidRPr="00392ADF" w:rsidRDefault="001C776F">
            <w:r w:rsidRPr="00392ADF">
              <w:t>0.15</w:t>
            </w:r>
            <w:r w:rsidRPr="00392ADF">
              <w:sym w:font="Symbol" w:char="F0B1"/>
            </w:r>
            <w:r w:rsidRPr="00392ADF">
              <w:t xml:space="preserve">0.02 </w:t>
            </w:r>
          </w:p>
        </w:tc>
        <w:tc>
          <w:tcPr>
            <w:tcW w:w="1620" w:type="dxa"/>
            <w:tcBorders>
              <w:bottom w:val="nil"/>
            </w:tcBorders>
          </w:tcPr>
          <w:p w:rsidR="001C776F" w:rsidRPr="00392ADF" w:rsidRDefault="001C776F">
            <w:r w:rsidRPr="00392ADF">
              <w:t>0.56</w:t>
            </w:r>
            <w:r w:rsidRPr="00392ADF">
              <w:sym w:font="Symbol" w:char="F0B1"/>
            </w:r>
            <w:r w:rsidRPr="00392ADF">
              <w:t xml:space="preserve">0.17 </w:t>
            </w:r>
          </w:p>
        </w:tc>
        <w:tc>
          <w:tcPr>
            <w:tcW w:w="952" w:type="dxa"/>
            <w:tcBorders>
              <w:bottom w:val="nil"/>
            </w:tcBorders>
          </w:tcPr>
          <w:p w:rsidR="001C776F" w:rsidRPr="00392ADF" w:rsidRDefault="001C776F">
            <w:r w:rsidRPr="00392ADF">
              <w:t>1.5</w:t>
            </w:r>
            <w:r w:rsidRPr="00392ADF">
              <w:sym w:font="Symbol" w:char="F0B1"/>
            </w:r>
            <w:r w:rsidRPr="00392ADF">
              <w:t>0.4</w:t>
            </w:r>
          </w:p>
        </w:tc>
        <w:tc>
          <w:tcPr>
            <w:tcW w:w="1559" w:type="dxa"/>
            <w:tcBorders>
              <w:bottom w:val="nil"/>
            </w:tcBorders>
          </w:tcPr>
          <w:p w:rsidR="001C776F" w:rsidRPr="00392ADF" w:rsidRDefault="001C776F">
            <w:r w:rsidRPr="00392ADF">
              <w:t>0.29</w:t>
            </w:r>
            <w:r w:rsidRPr="00392ADF">
              <w:sym w:font="Symbol" w:char="F0B1"/>
            </w:r>
            <w:r w:rsidRPr="00392ADF">
              <w:t xml:space="preserve">0.04 </w:t>
            </w:r>
          </w:p>
        </w:tc>
      </w:tr>
      <w:tr w:rsidR="001C776F" w:rsidRPr="00392ADF" w:rsidTr="001C776F">
        <w:tc>
          <w:tcPr>
            <w:tcW w:w="1701" w:type="dxa"/>
            <w:tcBorders>
              <w:bottom w:val="nil"/>
            </w:tcBorders>
          </w:tcPr>
          <w:p w:rsidR="001C776F" w:rsidRPr="00392ADF" w:rsidRDefault="001C776F" w:rsidP="00FB4008">
            <w:proofErr w:type="spellStart"/>
            <w:r w:rsidRPr="00392ADF">
              <w:t>Pasireotide</w:t>
            </w:r>
            <w:proofErr w:type="spellEnd"/>
          </w:p>
        </w:tc>
        <w:tc>
          <w:tcPr>
            <w:tcW w:w="1620" w:type="dxa"/>
            <w:tcBorders>
              <w:bottom w:val="nil"/>
            </w:tcBorders>
          </w:tcPr>
          <w:p w:rsidR="001C776F" w:rsidRPr="00392ADF" w:rsidRDefault="001C776F">
            <w:r w:rsidRPr="00392ADF">
              <w:t>9.3</w:t>
            </w:r>
            <w:r w:rsidRPr="00392ADF">
              <w:sym w:font="Symbol" w:char="F0B1"/>
            </w:r>
            <w:r w:rsidRPr="00392ADF">
              <w:t>0.1</w:t>
            </w:r>
          </w:p>
        </w:tc>
        <w:tc>
          <w:tcPr>
            <w:tcW w:w="1620" w:type="dxa"/>
            <w:tcBorders>
              <w:bottom w:val="nil"/>
            </w:tcBorders>
          </w:tcPr>
          <w:p w:rsidR="001C776F" w:rsidRPr="00392ADF" w:rsidRDefault="001C776F">
            <w:r w:rsidRPr="00392ADF">
              <w:t>1.0</w:t>
            </w:r>
            <w:r w:rsidRPr="00392ADF">
              <w:sym w:font="Symbol" w:char="F0B1"/>
            </w:r>
            <w:r w:rsidRPr="00392ADF">
              <w:t>0.1</w:t>
            </w:r>
          </w:p>
        </w:tc>
        <w:tc>
          <w:tcPr>
            <w:tcW w:w="1620" w:type="dxa"/>
            <w:tcBorders>
              <w:bottom w:val="nil"/>
            </w:tcBorders>
          </w:tcPr>
          <w:p w:rsidR="001C776F" w:rsidRPr="00392ADF" w:rsidRDefault="001C776F">
            <w:r w:rsidRPr="00392ADF">
              <w:t>1.5</w:t>
            </w:r>
            <w:r w:rsidRPr="00392ADF">
              <w:sym w:font="Symbol" w:char="F0B1"/>
            </w:r>
            <w:r w:rsidRPr="00392ADF">
              <w:t>0.3</w:t>
            </w:r>
          </w:p>
        </w:tc>
        <w:tc>
          <w:tcPr>
            <w:tcW w:w="952" w:type="dxa"/>
            <w:tcBorders>
              <w:bottom w:val="nil"/>
            </w:tcBorders>
          </w:tcPr>
          <w:p w:rsidR="001C776F" w:rsidRPr="00392ADF" w:rsidRDefault="001C776F">
            <w:r w:rsidRPr="00392ADF">
              <w:t>&gt; 100</w:t>
            </w:r>
          </w:p>
        </w:tc>
        <w:tc>
          <w:tcPr>
            <w:tcW w:w="1559" w:type="dxa"/>
            <w:tcBorders>
              <w:bottom w:val="nil"/>
            </w:tcBorders>
          </w:tcPr>
          <w:p w:rsidR="001C776F" w:rsidRPr="00392ADF" w:rsidRDefault="001C776F">
            <w:r w:rsidRPr="00392ADF">
              <w:t>0.16</w:t>
            </w:r>
            <w:r w:rsidRPr="00392ADF">
              <w:sym w:font="Symbol" w:char="F0B1"/>
            </w:r>
            <w:r w:rsidRPr="00392ADF">
              <w:t>0.01</w:t>
            </w:r>
          </w:p>
        </w:tc>
      </w:tr>
      <w:tr w:rsidR="001C776F" w:rsidRPr="00392ADF" w:rsidTr="001C776F">
        <w:tc>
          <w:tcPr>
            <w:tcW w:w="1701" w:type="dxa"/>
            <w:tcBorders>
              <w:bottom w:val="nil"/>
            </w:tcBorders>
          </w:tcPr>
          <w:p w:rsidR="001C776F" w:rsidRPr="00392ADF" w:rsidRDefault="001C776F" w:rsidP="00FB4008">
            <w:proofErr w:type="spellStart"/>
            <w:r w:rsidRPr="00392ADF">
              <w:t>Octreotide</w:t>
            </w:r>
            <w:proofErr w:type="spellEnd"/>
            <w:r w:rsidRPr="00392ADF">
              <w:t xml:space="preserve"> </w:t>
            </w:r>
          </w:p>
        </w:tc>
        <w:tc>
          <w:tcPr>
            <w:tcW w:w="1620" w:type="dxa"/>
            <w:tcBorders>
              <w:bottom w:val="nil"/>
            </w:tcBorders>
          </w:tcPr>
          <w:p w:rsidR="001C776F" w:rsidRPr="00392ADF" w:rsidRDefault="001C776F">
            <w:r w:rsidRPr="00392ADF">
              <w:t>280</w:t>
            </w:r>
            <w:r w:rsidRPr="00392ADF">
              <w:sym w:font="Symbol" w:char="F0B1"/>
            </w:r>
            <w:r w:rsidRPr="00392ADF">
              <w:t>80</w:t>
            </w:r>
          </w:p>
        </w:tc>
        <w:tc>
          <w:tcPr>
            <w:tcW w:w="1620" w:type="dxa"/>
            <w:tcBorders>
              <w:bottom w:val="nil"/>
            </w:tcBorders>
          </w:tcPr>
          <w:p w:rsidR="001C776F" w:rsidRPr="00392ADF" w:rsidRDefault="001C776F">
            <w:r w:rsidRPr="00392ADF">
              <w:t>0.38</w:t>
            </w:r>
            <w:r w:rsidRPr="00392ADF">
              <w:sym w:font="Symbol" w:char="F0B1"/>
            </w:r>
            <w:r w:rsidRPr="00392ADF">
              <w:t>0.08</w:t>
            </w:r>
          </w:p>
        </w:tc>
        <w:tc>
          <w:tcPr>
            <w:tcW w:w="1620" w:type="dxa"/>
            <w:tcBorders>
              <w:bottom w:val="nil"/>
            </w:tcBorders>
          </w:tcPr>
          <w:p w:rsidR="001C776F" w:rsidRPr="00392ADF" w:rsidRDefault="001C776F">
            <w:r w:rsidRPr="00392ADF">
              <w:t>7.1</w:t>
            </w:r>
            <w:r w:rsidRPr="00392ADF">
              <w:sym w:font="Symbol" w:char="F0B1"/>
            </w:r>
            <w:r w:rsidRPr="00392ADF">
              <w:t>1.4</w:t>
            </w:r>
          </w:p>
        </w:tc>
        <w:tc>
          <w:tcPr>
            <w:tcW w:w="952" w:type="dxa"/>
            <w:tcBorders>
              <w:bottom w:val="nil"/>
            </w:tcBorders>
          </w:tcPr>
          <w:p w:rsidR="001C776F" w:rsidRPr="00392ADF" w:rsidRDefault="001C776F">
            <w:r w:rsidRPr="00392ADF">
              <w:t>&gt; 1000</w:t>
            </w:r>
          </w:p>
        </w:tc>
        <w:tc>
          <w:tcPr>
            <w:tcW w:w="1559" w:type="dxa"/>
            <w:tcBorders>
              <w:bottom w:val="nil"/>
            </w:tcBorders>
          </w:tcPr>
          <w:p w:rsidR="001C776F" w:rsidRPr="00392ADF" w:rsidRDefault="001C776F">
            <w:r w:rsidRPr="00392ADF">
              <w:t>6.3</w:t>
            </w:r>
            <w:r w:rsidRPr="00392ADF">
              <w:sym w:font="Symbol" w:char="F0B1"/>
            </w:r>
            <w:r w:rsidRPr="00392ADF">
              <w:t>1.0</w:t>
            </w:r>
          </w:p>
        </w:tc>
      </w:tr>
      <w:tr w:rsidR="001C776F" w:rsidRPr="00392ADF" w:rsidTr="001C776F">
        <w:tc>
          <w:tcPr>
            <w:tcW w:w="1701" w:type="dxa"/>
          </w:tcPr>
          <w:p w:rsidR="001C776F" w:rsidRPr="00392ADF" w:rsidRDefault="001C776F" w:rsidP="00FB4008">
            <w:proofErr w:type="spellStart"/>
            <w:r w:rsidRPr="00392ADF">
              <w:t>Lanreotide</w:t>
            </w:r>
            <w:proofErr w:type="spellEnd"/>
          </w:p>
        </w:tc>
        <w:tc>
          <w:tcPr>
            <w:tcW w:w="1620" w:type="dxa"/>
          </w:tcPr>
          <w:p w:rsidR="001C776F" w:rsidRPr="00392ADF" w:rsidRDefault="001C776F">
            <w:r w:rsidRPr="00392ADF">
              <w:t>180</w:t>
            </w:r>
            <w:r w:rsidRPr="00392ADF">
              <w:sym w:font="Symbol" w:char="F0B1"/>
            </w:r>
            <w:r w:rsidRPr="00392ADF">
              <w:t>20</w:t>
            </w:r>
          </w:p>
        </w:tc>
        <w:tc>
          <w:tcPr>
            <w:tcW w:w="1620" w:type="dxa"/>
          </w:tcPr>
          <w:p w:rsidR="001C776F" w:rsidRPr="00392ADF" w:rsidRDefault="001C776F">
            <w:r w:rsidRPr="00392ADF">
              <w:t>0.54</w:t>
            </w:r>
            <w:r w:rsidRPr="00392ADF">
              <w:sym w:font="Symbol" w:char="F0B1"/>
            </w:r>
            <w:r w:rsidRPr="00392ADF">
              <w:t>0.08</w:t>
            </w:r>
          </w:p>
        </w:tc>
        <w:tc>
          <w:tcPr>
            <w:tcW w:w="1620" w:type="dxa"/>
          </w:tcPr>
          <w:p w:rsidR="001C776F" w:rsidRPr="00392ADF" w:rsidRDefault="001C776F">
            <w:r w:rsidRPr="00392ADF">
              <w:t>14</w:t>
            </w:r>
            <w:r w:rsidRPr="00392ADF">
              <w:sym w:font="Symbol" w:char="F0B1"/>
            </w:r>
            <w:r w:rsidRPr="00392ADF">
              <w:t>9</w:t>
            </w:r>
          </w:p>
        </w:tc>
        <w:tc>
          <w:tcPr>
            <w:tcW w:w="952" w:type="dxa"/>
          </w:tcPr>
          <w:p w:rsidR="001C776F" w:rsidRPr="00392ADF" w:rsidRDefault="001C776F">
            <w:r w:rsidRPr="00392ADF">
              <w:t>230</w:t>
            </w:r>
            <w:r w:rsidRPr="00392ADF">
              <w:sym w:font="Symbol" w:char="F0B1"/>
            </w:r>
            <w:r w:rsidRPr="00392ADF">
              <w:t>40</w:t>
            </w:r>
          </w:p>
        </w:tc>
        <w:tc>
          <w:tcPr>
            <w:tcW w:w="1559" w:type="dxa"/>
          </w:tcPr>
          <w:p w:rsidR="001C776F" w:rsidRPr="00392ADF" w:rsidRDefault="001C776F">
            <w:r w:rsidRPr="00392ADF">
              <w:t>17</w:t>
            </w:r>
            <w:r w:rsidRPr="00392ADF">
              <w:sym w:font="Symbol" w:char="F0B1"/>
            </w:r>
            <w:r w:rsidRPr="00392ADF">
              <w:t xml:space="preserve">5 </w:t>
            </w:r>
          </w:p>
        </w:tc>
      </w:tr>
      <w:tr w:rsidR="001C776F" w:rsidRPr="00392ADF" w:rsidTr="001C776F">
        <w:tc>
          <w:tcPr>
            <w:tcW w:w="9072" w:type="dxa"/>
            <w:gridSpan w:val="6"/>
            <w:tcBorders>
              <w:left w:val="nil"/>
              <w:bottom w:val="nil"/>
              <w:right w:val="nil"/>
            </w:tcBorders>
          </w:tcPr>
          <w:p w:rsidR="001C776F" w:rsidRPr="00392ADF" w:rsidRDefault="001C776F" w:rsidP="00FB4008">
            <w:r w:rsidRPr="00392ADF">
              <w:t xml:space="preserve">Results are the </w:t>
            </w:r>
            <w:proofErr w:type="spellStart"/>
            <w:r w:rsidRPr="00392ADF">
              <w:t>mean</w:t>
            </w:r>
            <w:r w:rsidR="00621BA1">
              <w:t>±</w:t>
            </w:r>
            <w:r w:rsidRPr="00392ADF">
              <w:t>SEM</w:t>
            </w:r>
            <w:proofErr w:type="spellEnd"/>
            <w:r w:rsidRPr="00392ADF">
              <w:t xml:space="preserve"> of IC</w:t>
            </w:r>
            <w:r w:rsidRPr="00392ADF">
              <w:rPr>
                <w:vertAlign w:val="subscript"/>
              </w:rPr>
              <w:t>50</w:t>
            </w:r>
            <w:r w:rsidRPr="00392ADF">
              <w:t xml:space="preserve"> values expressed as </w:t>
            </w:r>
            <w:proofErr w:type="spellStart"/>
            <w:r w:rsidRPr="00392ADF">
              <w:t>nmol</w:t>
            </w:r>
            <w:proofErr w:type="spellEnd"/>
            <w:r w:rsidRPr="00392ADF">
              <w:t>/L.</w:t>
            </w:r>
          </w:p>
        </w:tc>
      </w:tr>
    </w:tbl>
    <w:p w:rsidR="00BF4A8F" w:rsidRPr="00392ADF" w:rsidRDefault="00BF4A8F" w:rsidP="00FB4008"/>
    <w:p w:rsidR="001C776F" w:rsidRPr="00392ADF" w:rsidRDefault="001C776F" w:rsidP="00F109AF">
      <w:pPr>
        <w:pStyle w:val="Heading2"/>
      </w:pPr>
      <w:r w:rsidRPr="00392ADF">
        <w:t>Pharmacodynamics</w:t>
      </w:r>
    </w:p>
    <w:p w:rsidR="001C776F" w:rsidRPr="00392ADF" w:rsidRDefault="001C776F">
      <w:proofErr w:type="spellStart"/>
      <w:r w:rsidRPr="00392ADF">
        <w:t>Somatostatin</w:t>
      </w:r>
      <w:proofErr w:type="spellEnd"/>
      <w:r w:rsidRPr="00392ADF">
        <w:t xml:space="preserve"> receptors are expressed in many tissues, especially in neuroendocrine </w:t>
      </w:r>
      <w:proofErr w:type="spellStart"/>
      <w:r w:rsidRPr="00392ADF">
        <w:t>tumours</w:t>
      </w:r>
      <w:proofErr w:type="spellEnd"/>
      <w:r w:rsidRPr="00392ADF">
        <w:t xml:space="preserve"> where hormones are excessively secreted including adrenocorticotropic hormone (ACTH) in Cushing’s disease. Due to its broad binding profile to </w:t>
      </w:r>
      <w:proofErr w:type="spellStart"/>
      <w:r w:rsidRPr="00392ADF">
        <w:t>somatostatin</w:t>
      </w:r>
      <w:proofErr w:type="spellEnd"/>
      <w:r w:rsidRPr="00392ADF">
        <w:t xml:space="preserve"> receptors, </w:t>
      </w:r>
      <w:proofErr w:type="spellStart"/>
      <w:r w:rsidRPr="00392ADF">
        <w:t>pasireotide</w:t>
      </w:r>
      <w:proofErr w:type="spellEnd"/>
      <w:r w:rsidRPr="00392ADF">
        <w:t xml:space="preserve"> has the potential to treat diseases characterized by expression of those receptors in the target tissues.</w:t>
      </w:r>
    </w:p>
    <w:p w:rsidR="001C776F" w:rsidRPr="00392ADF" w:rsidRDefault="001C776F">
      <w:r w:rsidRPr="00392ADF">
        <w:rPr>
          <w:i/>
        </w:rPr>
        <w:t>In vitro</w:t>
      </w:r>
      <w:r w:rsidRPr="00392ADF">
        <w:t xml:space="preserve"> studies have shown that </w:t>
      </w:r>
      <w:proofErr w:type="spellStart"/>
      <w:r w:rsidRPr="00392ADF">
        <w:t>corticotroph</w:t>
      </w:r>
      <w:proofErr w:type="spellEnd"/>
      <w:r w:rsidRPr="00392ADF">
        <w:t xml:space="preserve"> </w:t>
      </w:r>
      <w:proofErr w:type="spellStart"/>
      <w:r w:rsidRPr="00392ADF">
        <w:t>tumo</w:t>
      </w:r>
      <w:r w:rsidR="00AC4A74" w:rsidRPr="00392ADF">
        <w:t>u</w:t>
      </w:r>
      <w:r w:rsidRPr="00392ADF">
        <w:t>r</w:t>
      </w:r>
      <w:proofErr w:type="spellEnd"/>
      <w:r w:rsidRPr="00392ADF">
        <w:t xml:space="preserve"> cells from Cushing’s disease patients display a high expression of hsst5 whereas the other receptor subtypes are either not expressed or are expressed at lower levels.  </w:t>
      </w:r>
      <w:proofErr w:type="spellStart"/>
      <w:r w:rsidRPr="00392ADF">
        <w:t>Pasireotide</w:t>
      </w:r>
      <w:proofErr w:type="spellEnd"/>
      <w:r w:rsidRPr="00392ADF">
        <w:t xml:space="preserve"> binds and activates the </w:t>
      </w:r>
      <w:proofErr w:type="spellStart"/>
      <w:r w:rsidRPr="00392ADF">
        <w:t>hsst</w:t>
      </w:r>
      <w:proofErr w:type="spellEnd"/>
      <w:r w:rsidRPr="00392ADF">
        <w:t xml:space="preserve"> receptors of the </w:t>
      </w:r>
      <w:proofErr w:type="spellStart"/>
      <w:r w:rsidRPr="00392ADF">
        <w:t>corticotrophs</w:t>
      </w:r>
      <w:proofErr w:type="spellEnd"/>
      <w:r w:rsidRPr="00392ADF">
        <w:t xml:space="preserve"> in ACTH producing adenomas resulting in inhibition of ACTH secretion.  The high affinity of </w:t>
      </w:r>
      <w:proofErr w:type="spellStart"/>
      <w:r w:rsidRPr="00392ADF">
        <w:t>pasireotide</w:t>
      </w:r>
      <w:proofErr w:type="spellEnd"/>
      <w:r w:rsidRPr="00392ADF">
        <w:t xml:space="preserve"> for four of the five </w:t>
      </w:r>
      <w:proofErr w:type="spellStart"/>
      <w:r w:rsidRPr="00392ADF">
        <w:t>hssts</w:t>
      </w:r>
      <w:proofErr w:type="spellEnd"/>
      <w:r w:rsidRPr="00392ADF">
        <w:t xml:space="preserve">, especially to hsst5 (see Table </w:t>
      </w:r>
      <w:r w:rsidR="000929ED" w:rsidRPr="00392ADF">
        <w:t>1</w:t>
      </w:r>
      <w:r w:rsidRPr="00392ADF">
        <w:t xml:space="preserve">), provides the basis for </w:t>
      </w:r>
      <w:proofErr w:type="spellStart"/>
      <w:r w:rsidRPr="00392ADF">
        <w:t>pasireotide</w:t>
      </w:r>
      <w:proofErr w:type="spellEnd"/>
      <w:r w:rsidRPr="00392ADF">
        <w:t xml:space="preserve"> to be an effective treatment for Cushing’s disease patients.</w:t>
      </w:r>
    </w:p>
    <w:p w:rsidR="00BF4A8F" w:rsidRPr="00392ADF" w:rsidRDefault="00BF4A8F"/>
    <w:p w:rsidR="000929ED" w:rsidRPr="00392ADF" w:rsidRDefault="00483739" w:rsidP="00F109AF">
      <w:pPr>
        <w:pStyle w:val="Heading3"/>
      </w:pPr>
      <w:r>
        <w:lastRenderedPageBreak/>
        <w:t>Cardiac e</w:t>
      </w:r>
      <w:r w:rsidR="000929ED" w:rsidRPr="00392ADF">
        <w:t>lectrophysiology</w:t>
      </w:r>
      <w:r>
        <w:t>:</w:t>
      </w:r>
    </w:p>
    <w:p w:rsidR="000929ED" w:rsidRPr="00392ADF" w:rsidRDefault="000929ED">
      <w:r w:rsidRPr="00392ADF">
        <w:t xml:space="preserve">The effect of </w:t>
      </w:r>
      <w:proofErr w:type="spellStart"/>
      <w:r w:rsidRPr="00392ADF">
        <w:t>Signifor</w:t>
      </w:r>
      <w:proofErr w:type="spellEnd"/>
      <w:r w:rsidRPr="00392ADF">
        <w:t xml:space="preserve"> on the QT interval was assessed in two </w:t>
      </w:r>
      <w:proofErr w:type="gramStart"/>
      <w:r w:rsidRPr="00392ADF">
        <w:t>open-label</w:t>
      </w:r>
      <w:proofErr w:type="gramEnd"/>
      <w:r w:rsidRPr="00392ADF">
        <w:t xml:space="preserve">, controlled, cross-over dedicated QT studies.  In both studies, an effect of </w:t>
      </w:r>
      <w:proofErr w:type="spellStart"/>
      <w:r w:rsidRPr="00392ADF">
        <w:t>pasireotide</w:t>
      </w:r>
      <w:proofErr w:type="spellEnd"/>
      <w:r w:rsidRPr="00392ADF">
        <w:t xml:space="preserve"> on the </w:t>
      </w:r>
      <w:proofErr w:type="spellStart"/>
      <w:r w:rsidRPr="00392ADF">
        <w:t>QTc</w:t>
      </w:r>
      <w:proofErr w:type="spellEnd"/>
      <w:r w:rsidRPr="00392ADF">
        <w:t xml:space="preserve"> interval was observed with the maximum placebo-subtracted mean change from baseline occurring at 2</w:t>
      </w:r>
      <w:r w:rsidR="004439F0">
        <w:t> </w:t>
      </w:r>
      <w:r w:rsidRPr="00392ADF">
        <w:t xml:space="preserve">hours post dose.  In one of the studies investigating a 1950 </w:t>
      </w:r>
      <w:proofErr w:type="spellStart"/>
      <w:r w:rsidRPr="00392ADF">
        <w:t>ug</w:t>
      </w:r>
      <w:proofErr w:type="spellEnd"/>
      <w:r w:rsidRPr="00392ADF">
        <w:t xml:space="preserve"> </w:t>
      </w:r>
      <w:proofErr w:type="spellStart"/>
      <w:r w:rsidRPr="00392ADF">
        <w:t>b.i.d</w:t>
      </w:r>
      <w:proofErr w:type="spellEnd"/>
      <w:r w:rsidRPr="00392ADF">
        <w:t xml:space="preserve">. dose, the maximum mean placebo-subtracted </w:t>
      </w:r>
      <w:proofErr w:type="spellStart"/>
      <w:r w:rsidRPr="00392ADF">
        <w:t>QTcF</w:t>
      </w:r>
      <w:proofErr w:type="spellEnd"/>
      <w:r w:rsidRPr="00392ADF">
        <w:t xml:space="preserve"> change from baseline was 17.5 </w:t>
      </w:r>
      <w:proofErr w:type="spellStart"/>
      <w:r w:rsidRPr="00392ADF">
        <w:t>ms</w:t>
      </w:r>
      <w:proofErr w:type="spellEnd"/>
      <w:r w:rsidRPr="00392ADF">
        <w:t xml:space="preserve"> (90% CI: 15.53; 19.38).  In the other study, investigating doses of 600 </w:t>
      </w:r>
      <w:proofErr w:type="spellStart"/>
      <w:r w:rsidRPr="00392ADF">
        <w:t>ug</w:t>
      </w:r>
      <w:proofErr w:type="spellEnd"/>
      <w:r w:rsidRPr="00392ADF">
        <w:t xml:space="preserve"> </w:t>
      </w:r>
      <w:proofErr w:type="spellStart"/>
      <w:r w:rsidRPr="00392ADF">
        <w:t>b.i.d</w:t>
      </w:r>
      <w:proofErr w:type="spellEnd"/>
      <w:r w:rsidRPr="00392ADF">
        <w:t xml:space="preserve">. and 1950 </w:t>
      </w:r>
      <w:proofErr w:type="spellStart"/>
      <w:r w:rsidRPr="00392ADF">
        <w:t>ug</w:t>
      </w:r>
      <w:proofErr w:type="spellEnd"/>
      <w:r w:rsidRPr="00392ADF">
        <w:t xml:space="preserve"> </w:t>
      </w:r>
      <w:proofErr w:type="spellStart"/>
      <w:r w:rsidRPr="00392ADF">
        <w:t>b.i.d</w:t>
      </w:r>
      <w:proofErr w:type="spellEnd"/>
      <w:r w:rsidRPr="00392ADF">
        <w:t xml:space="preserve">., the maximum mean placebo-subtracted </w:t>
      </w:r>
      <w:proofErr w:type="spellStart"/>
      <w:r w:rsidRPr="00392ADF">
        <w:t>QTcI</w:t>
      </w:r>
      <w:proofErr w:type="spellEnd"/>
      <w:r w:rsidRPr="00392ADF">
        <w:t xml:space="preserve"> change from baseline was 13.19 </w:t>
      </w:r>
      <w:proofErr w:type="spellStart"/>
      <w:r w:rsidRPr="00392ADF">
        <w:t>ms</w:t>
      </w:r>
      <w:proofErr w:type="spellEnd"/>
      <w:r w:rsidRPr="00392ADF">
        <w:t xml:space="preserve"> (</w:t>
      </w:r>
      <w:r w:rsidR="004439F0">
        <w:t>90% CI: 11.38; 15.01) and 16.12 </w:t>
      </w:r>
      <w:proofErr w:type="spellStart"/>
      <w:r w:rsidRPr="00392ADF">
        <w:t>ms</w:t>
      </w:r>
      <w:proofErr w:type="spellEnd"/>
      <w:r w:rsidRPr="00392ADF">
        <w:t xml:space="preserve"> (90% CI: 14.30; 17.95 </w:t>
      </w:r>
      <w:proofErr w:type="spellStart"/>
      <w:r w:rsidRPr="00392ADF">
        <w:t>ms</w:t>
      </w:r>
      <w:proofErr w:type="spellEnd"/>
      <w:r w:rsidRPr="00392ADF">
        <w:t xml:space="preserve">), respectively.  Both </w:t>
      </w:r>
      <w:proofErr w:type="spellStart"/>
      <w:r w:rsidRPr="00392ADF">
        <w:t>pasireotide</w:t>
      </w:r>
      <w:proofErr w:type="spellEnd"/>
      <w:r w:rsidRPr="00392ADF">
        <w:t xml:space="preserve"> doses decreased heart rate, with a maximal difference to placebo observed at 1 hour for </w:t>
      </w:r>
      <w:proofErr w:type="spellStart"/>
      <w:r w:rsidRPr="00392ADF">
        <w:t>pasireotide</w:t>
      </w:r>
      <w:proofErr w:type="spellEnd"/>
      <w:r w:rsidRPr="00392ADF">
        <w:t xml:space="preserve"> 600 µg </w:t>
      </w:r>
      <w:proofErr w:type="spellStart"/>
      <w:r w:rsidRPr="00392ADF">
        <w:t>b.i.d</w:t>
      </w:r>
      <w:proofErr w:type="spellEnd"/>
      <w:r w:rsidRPr="00392ADF">
        <w:t>.</w:t>
      </w:r>
      <w:r w:rsidR="000B7EED">
        <w:t xml:space="preserve"> </w:t>
      </w:r>
      <w:r w:rsidRPr="00392ADF">
        <w:t>(</w:t>
      </w:r>
      <w:r w:rsidR="000B7EED">
        <w:noBreakHyphen/>
      </w:r>
      <w:r w:rsidRPr="00392ADF">
        <w:t xml:space="preserve">10.39 bpm) and at 0.5 hours for </w:t>
      </w:r>
      <w:proofErr w:type="spellStart"/>
      <w:r w:rsidRPr="00392ADF">
        <w:t>pasireotide</w:t>
      </w:r>
      <w:proofErr w:type="spellEnd"/>
      <w:r w:rsidRPr="00392ADF">
        <w:t xml:space="preserve"> 1950 µg </w:t>
      </w:r>
      <w:proofErr w:type="spellStart"/>
      <w:r w:rsidRPr="00392ADF">
        <w:t>b.i.d</w:t>
      </w:r>
      <w:proofErr w:type="spellEnd"/>
      <w:r w:rsidRPr="00392ADF">
        <w:t>. (-14.91 bpm).  No episodes of torsade de pointes (transient or sustained) were observed.</w:t>
      </w:r>
    </w:p>
    <w:p w:rsidR="00BF4A8F" w:rsidRPr="00392ADF" w:rsidRDefault="00BF4A8F"/>
    <w:p w:rsidR="000929ED" w:rsidRPr="00392ADF" w:rsidRDefault="00AC4A74" w:rsidP="00F109AF">
      <w:pPr>
        <w:pStyle w:val="Heading2"/>
      </w:pPr>
      <w:r w:rsidRPr="00392ADF">
        <w:t>Pharmacokinetics</w:t>
      </w:r>
    </w:p>
    <w:p w:rsidR="00EC4D87" w:rsidRPr="00EC4D87" w:rsidRDefault="00AC4A74">
      <w:r w:rsidRPr="00392ADF">
        <w:t xml:space="preserve">In healthy volunteers, </w:t>
      </w:r>
      <w:proofErr w:type="spellStart"/>
      <w:r w:rsidRPr="00392ADF">
        <w:t>pasireotide</w:t>
      </w:r>
      <w:proofErr w:type="spellEnd"/>
      <w:r w:rsidRPr="00392ADF">
        <w:t xml:space="preserve"> demonstrates approximately linear pharmacokinetics (PK) for a wide dose range from 2.5 µg to 1500 µg.  In Cushing’s disease patients, </w:t>
      </w:r>
      <w:proofErr w:type="spellStart"/>
      <w:r w:rsidRPr="00392ADF">
        <w:t>pasireotide</w:t>
      </w:r>
      <w:proofErr w:type="spellEnd"/>
      <w:r w:rsidRPr="00392ADF">
        <w:t xml:space="preserve"> demonstrates linear dose-exposure relationship in a dose range from 300 µg to 1200 µg.</w:t>
      </w:r>
    </w:p>
    <w:p w:rsidR="00EC4D87" w:rsidRDefault="00EC4D87"/>
    <w:p w:rsidR="00AC4A74" w:rsidRPr="00392ADF" w:rsidRDefault="00AC4A74" w:rsidP="00F109AF">
      <w:pPr>
        <w:pStyle w:val="Heading3"/>
      </w:pPr>
      <w:r w:rsidRPr="00392ADF">
        <w:t>Absorption</w:t>
      </w:r>
      <w:r w:rsidR="00BF4A8F" w:rsidRPr="00392ADF">
        <w:t>:</w:t>
      </w:r>
    </w:p>
    <w:p w:rsidR="00AC4A74" w:rsidRPr="00392ADF" w:rsidRDefault="00AC4A74">
      <w:r w:rsidRPr="00392ADF">
        <w:t xml:space="preserve">In healthy volunteers, </w:t>
      </w:r>
      <w:proofErr w:type="spellStart"/>
      <w:r w:rsidRPr="00392ADF">
        <w:t>pasireotide</w:t>
      </w:r>
      <w:proofErr w:type="spellEnd"/>
      <w:r w:rsidRPr="00392ADF">
        <w:t xml:space="preserve"> is rapidly absorbed and peak plasma concentration is reached within </w:t>
      </w:r>
      <w:proofErr w:type="spellStart"/>
      <w:r w:rsidRPr="00392ADF">
        <w:t>T</w:t>
      </w:r>
      <w:r w:rsidRPr="00392ADF">
        <w:rPr>
          <w:vertAlign w:val="subscript"/>
        </w:rPr>
        <w:t>max</w:t>
      </w:r>
      <w:proofErr w:type="spellEnd"/>
      <w:r w:rsidRPr="00392ADF">
        <w:t xml:space="preserve"> 0.25-0.5 hour. </w:t>
      </w:r>
      <w:proofErr w:type="spellStart"/>
      <w:r w:rsidRPr="00392ADF">
        <w:t>C</w:t>
      </w:r>
      <w:r w:rsidRPr="00392ADF">
        <w:rPr>
          <w:vertAlign w:val="subscript"/>
        </w:rPr>
        <w:t>max</w:t>
      </w:r>
      <w:proofErr w:type="spellEnd"/>
      <w:r w:rsidRPr="00392ADF">
        <w:t xml:space="preserve"> and AUC are approximately dose-proportional following administration of single and multiple doses.</w:t>
      </w:r>
    </w:p>
    <w:p w:rsidR="00AC4A74" w:rsidRPr="00392ADF" w:rsidRDefault="00AC4A74">
      <w:r w:rsidRPr="00392ADF">
        <w:t xml:space="preserve">No studies have been conducted to evaluate the bioavailability of </w:t>
      </w:r>
      <w:proofErr w:type="spellStart"/>
      <w:r w:rsidRPr="00392ADF">
        <w:t>pasireotide</w:t>
      </w:r>
      <w:proofErr w:type="spellEnd"/>
      <w:r w:rsidRPr="00392ADF">
        <w:t xml:space="preserve"> in humans. Food effect is unlikely to occur since </w:t>
      </w:r>
      <w:proofErr w:type="spellStart"/>
      <w:r w:rsidRPr="00392ADF">
        <w:t>Signifor</w:t>
      </w:r>
      <w:proofErr w:type="spellEnd"/>
      <w:r w:rsidRPr="00392ADF">
        <w:t xml:space="preserve"> is administered via parenteral route.</w:t>
      </w:r>
    </w:p>
    <w:p w:rsidR="00376E90" w:rsidRPr="00392ADF" w:rsidRDefault="00376E90"/>
    <w:p w:rsidR="00AC4A74" w:rsidRPr="00392ADF" w:rsidRDefault="00AC4A74" w:rsidP="00F109AF">
      <w:pPr>
        <w:pStyle w:val="Heading3"/>
      </w:pPr>
      <w:r w:rsidRPr="00392ADF">
        <w:t>Distribution</w:t>
      </w:r>
      <w:r w:rsidR="00376E90" w:rsidRPr="00392ADF">
        <w:t>:</w:t>
      </w:r>
    </w:p>
    <w:p w:rsidR="00C674D2" w:rsidRPr="00392ADF" w:rsidRDefault="00C674D2">
      <w:r w:rsidRPr="00392ADF">
        <w:t xml:space="preserve">In healthy volunteers, </w:t>
      </w:r>
      <w:proofErr w:type="spellStart"/>
      <w:r w:rsidRPr="00392ADF">
        <w:t>pasireotide</w:t>
      </w:r>
      <w:proofErr w:type="spellEnd"/>
      <w:r w:rsidRPr="00392ADF">
        <w:t xml:space="preserve"> is widely distributed with large apparent volume of distribution (</w:t>
      </w:r>
      <w:proofErr w:type="spellStart"/>
      <w:r w:rsidRPr="00392ADF">
        <w:t>V</w:t>
      </w:r>
      <w:r w:rsidRPr="00392ADF">
        <w:rPr>
          <w:vertAlign w:val="subscript"/>
        </w:rPr>
        <w:t>z</w:t>
      </w:r>
      <w:proofErr w:type="spellEnd"/>
      <w:r w:rsidRPr="00392ADF">
        <w:t xml:space="preserve">/F &gt;100 L). Distribution between blood and plasma is concentration independent and shows that </w:t>
      </w:r>
      <w:proofErr w:type="spellStart"/>
      <w:r w:rsidRPr="00392ADF">
        <w:t>pasireotide</w:t>
      </w:r>
      <w:proofErr w:type="spellEnd"/>
      <w:r w:rsidRPr="00392ADF">
        <w:t xml:space="preserve"> is primarily located in the plasma (91%). Plasma protein binding is moderate (88%) and independent of concentration. </w:t>
      </w:r>
    </w:p>
    <w:p w:rsidR="000929ED" w:rsidRPr="00392ADF" w:rsidRDefault="00C674D2">
      <w:proofErr w:type="spellStart"/>
      <w:r w:rsidRPr="00392ADF">
        <w:t>Pasireotide</w:t>
      </w:r>
      <w:proofErr w:type="spellEnd"/>
      <w:r w:rsidRPr="00392ADF">
        <w:t xml:space="preserve"> has low passive permeability and is likely to be a substrate of P-</w:t>
      </w:r>
      <w:proofErr w:type="spellStart"/>
      <w:r w:rsidRPr="00392ADF">
        <w:t>gp</w:t>
      </w:r>
      <w:proofErr w:type="spellEnd"/>
      <w:r w:rsidRPr="00392ADF">
        <w:t>, but the impact of P-</w:t>
      </w:r>
      <w:proofErr w:type="spellStart"/>
      <w:r w:rsidRPr="00392ADF">
        <w:t>gp</w:t>
      </w:r>
      <w:proofErr w:type="spellEnd"/>
      <w:r w:rsidRPr="00392ADF">
        <w:t xml:space="preserve"> on ADME (absorption, distribution, metabolism, excretion) of </w:t>
      </w:r>
      <w:proofErr w:type="spellStart"/>
      <w:r w:rsidRPr="00392ADF">
        <w:t>pasireotide</w:t>
      </w:r>
      <w:proofErr w:type="spellEnd"/>
      <w:r w:rsidRPr="00392ADF">
        <w:t xml:space="preserve"> is expected to be low. </w:t>
      </w:r>
      <w:proofErr w:type="spellStart"/>
      <w:r w:rsidRPr="00392ADF">
        <w:t>Pasireotide</w:t>
      </w:r>
      <w:proofErr w:type="spellEnd"/>
      <w:r w:rsidRPr="00392ADF">
        <w:t xml:space="preserve"> is not a substrate of BCRP (breast cancer resistance protein), OCT1 (organic </w:t>
      </w:r>
      <w:proofErr w:type="spellStart"/>
      <w:r w:rsidRPr="00392ADF">
        <w:t>cation</w:t>
      </w:r>
      <w:proofErr w:type="spellEnd"/>
      <w:r w:rsidRPr="00392ADF">
        <w:t xml:space="preserve"> transporter 1), nor OATP (organic anion-transporting polypeptides) 1B1, 1B3, or 2B1.</w:t>
      </w:r>
    </w:p>
    <w:p w:rsidR="00C674D2" w:rsidRPr="00392ADF" w:rsidRDefault="00C674D2" w:rsidP="00F109AF">
      <w:pPr>
        <w:pStyle w:val="Heading3"/>
      </w:pPr>
      <w:r w:rsidRPr="00392ADF">
        <w:lastRenderedPageBreak/>
        <w:t>Metabolism</w:t>
      </w:r>
      <w:r w:rsidR="007A73D4" w:rsidRPr="00392ADF">
        <w:t>:</w:t>
      </w:r>
    </w:p>
    <w:p w:rsidR="00C674D2" w:rsidRPr="00392ADF" w:rsidRDefault="00C674D2">
      <w:proofErr w:type="spellStart"/>
      <w:r w:rsidRPr="00392ADF">
        <w:t>Pasireotide</w:t>
      </w:r>
      <w:proofErr w:type="spellEnd"/>
      <w:r w:rsidRPr="00392ADF">
        <w:t xml:space="preserve"> was shown to be highly metabolically stable in human liver and kidney </w:t>
      </w:r>
      <w:proofErr w:type="spellStart"/>
      <w:r w:rsidRPr="00392ADF">
        <w:t>microsomes</w:t>
      </w:r>
      <w:proofErr w:type="spellEnd"/>
      <w:r w:rsidRPr="00392ADF">
        <w:t xml:space="preserve">. In healthy volunteers, </w:t>
      </w:r>
      <w:proofErr w:type="spellStart"/>
      <w:r w:rsidRPr="00392ADF">
        <w:t>pasireotide</w:t>
      </w:r>
      <w:proofErr w:type="spellEnd"/>
      <w:r w:rsidRPr="00392ADF">
        <w:t xml:space="preserve"> in its unchanged form is the predominant form found in plasma, urine and </w:t>
      </w:r>
      <w:proofErr w:type="spellStart"/>
      <w:r w:rsidRPr="00392ADF">
        <w:t>faeces</w:t>
      </w:r>
      <w:proofErr w:type="spellEnd"/>
      <w:r w:rsidRPr="00392ADF">
        <w:t>.</w:t>
      </w:r>
    </w:p>
    <w:p w:rsidR="00020CE5" w:rsidRPr="00392ADF" w:rsidRDefault="00020CE5"/>
    <w:p w:rsidR="00C674D2" w:rsidRPr="00392ADF" w:rsidRDefault="00C674D2" w:rsidP="00F109AF">
      <w:pPr>
        <w:pStyle w:val="Heading3"/>
      </w:pPr>
      <w:r w:rsidRPr="00392ADF">
        <w:t>Excretion</w:t>
      </w:r>
      <w:r w:rsidR="00020CE5" w:rsidRPr="00392ADF">
        <w:t>:</w:t>
      </w:r>
    </w:p>
    <w:p w:rsidR="00C674D2" w:rsidRPr="00392ADF" w:rsidRDefault="00C674D2">
      <w:proofErr w:type="spellStart"/>
      <w:r w:rsidRPr="00392ADF">
        <w:t>Pasireotide</w:t>
      </w:r>
      <w:proofErr w:type="spellEnd"/>
      <w:r w:rsidRPr="00392ADF">
        <w:t xml:space="preserve"> is eliminated mainly via hepatic clearance (biliary excretion) with a small contribution of the renal route. In a human ADME study 55.9 ± 6.63% of the radioactivity dose was recovered over the first 10 days post dosing, including 48.3 ± 8.16% of the radioactivity in </w:t>
      </w:r>
      <w:proofErr w:type="spellStart"/>
      <w:r w:rsidRPr="00392ADF">
        <w:t>faeces</w:t>
      </w:r>
      <w:proofErr w:type="spellEnd"/>
      <w:r w:rsidRPr="00392ADF">
        <w:t xml:space="preserve"> and 7.63 ± 2.03% in urine. </w:t>
      </w:r>
    </w:p>
    <w:p w:rsidR="00C674D2" w:rsidRPr="00392ADF" w:rsidRDefault="00C674D2">
      <w:r w:rsidRPr="00392ADF">
        <w:t xml:space="preserve">The clearance (CL/F) of </w:t>
      </w:r>
      <w:proofErr w:type="spellStart"/>
      <w:r w:rsidRPr="00392ADF">
        <w:t>pasireotide</w:t>
      </w:r>
      <w:proofErr w:type="spellEnd"/>
      <w:r w:rsidRPr="00392ADF">
        <w:t xml:space="preserve"> in healthy volunteers and Cushing’s disease patients is ~</w:t>
      </w:r>
      <w:r w:rsidR="003962DF">
        <w:t>7.6</w:t>
      </w:r>
      <w:r w:rsidRPr="00392ADF">
        <w:t xml:space="preserve"> </w:t>
      </w:r>
      <w:proofErr w:type="spellStart"/>
      <w:r w:rsidRPr="00392ADF">
        <w:t>litres</w:t>
      </w:r>
      <w:proofErr w:type="spellEnd"/>
      <w:r w:rsidRPr="00392ADF">
        <w:t xml:space="preserve">/h and ~3.8 </w:t>
      </w:r>
      <w:proofErr w:type="spellStart"/>
      <w:r w:rsidRPr="00392ADF">
        <w:t>litres</w:t>
      </w:r>
      <w:proofErr w:type="spellEnd"/>
      <w:r w:rsidRPr="00392ADF">
        <w:t>/h, respectively.</w:t>
      </w:r>
    </w:p>
    <w:p w:rsidR="00551918" w:rsidRPr="00392ADF" w:rsidRDefault="00551918"/>
    <w:p w:rsidR="00C674D2" w:rsidRPr="00392ADF" w:rsidRDefault="00CF1F7E" w:rsidP="00F109AF">
      <w:pPr>
        <w:pStyle w:val="Heading3"/>
      </w:pPr>
      <w:r w:rsidRPr="00392ADF">
        <w:t>Steady-state pharmacokinetics</w:t>
      </w:r>
      <w:r w:rsidR="00551918" w:rsidRPr="00392ADF">
        <w:t>:</w:t>
      </w:r>
    </w:p>
    <w:p w:rsidR="00CF1F7E" w:rsidRDefault="00CF1F7E">
      <w:r w:rsidRPr="00392ADF">
        <w:t xml:space="preserve">Following multiple </w:t>
      </w:r>
      <w:proofErr w:type="spellStart"/>
      <w:proofErr w:type="gramStart"/>
      <w:r w:rsidRPr="00392ADF">
        <w:t>s.c</w:t>
      </w:r>
      <w:proofErr w:type="gramEnd"/>
      <w:r w:rsidRPr="00392ADF">
        <w:t>.</w:t>
      </w:r>
      <w:proofErr w:type="spellEnd"/>
      <w:r w:rsidRPr="00392ADF">
        <w:t xml:space="preserve"> doses, </w:t>
      </w:r>
      <w:proofErr w:type="spellStart"/>
      <w:r w:rsidRPr="00392ADF">
        <w:t>pasireotide</w:t>
      </w:r>
      <w:proofErr w:type="spellEnd"/>
      <w:r w:rsidRPr="00392ADF">
        <w:t xml:space="preserve"> demonstrates linear and time-independent pharmacokinetics in the dose range of </w:t>
      </w:r>
      <w:r w:rsidR="00F83BAF" w:rsidRPr="00392ADF">
        <w:t>50 µg</w:t>
      </w:r>
      <w:r w:rsidRPr="00392ADF">
        <w:t xml:space="preserve"> to </w:t>
      </w:r>
      <w:r w:rsidR="00F83BAF" w:rsidRPr="00392ADF">
        <w:t>600 µg</w:t>
      </w:r>
      <w:r w:rsidRPr="00392ADF">
        <w:t xml:space="preserve"> once a day (</w:t>
      </w:r>
      <w:proofErr w:type="spellStart"/>
      <w:r w:rsidRPr="00392ADF">
        <w:t>q.d</w:t>
      </w:r>
      <w:proofErr w:type="spellEnd"/>
      <w:r w:rsidRPr="00392ADF">
        <w:t xml:space="preserve">.) in healthy volunteers, and </w:t>
      </w:r>
      <w:r w:rsidR="00F83BAF" w:rsidRPr="00392ADF">
        <w:t>300 µg</w:t>
      </w:r>
      <w:r w:rsidRPr="00392ADF">
        <w:t xml:space="preserve"> to </w:t>
      </w:r>
      <w:r w:rsidR="00F83BAF" w:rsidRPr="00392ADF">
        <w:t>1200 µg</w:t>
      </w:r>
      <w:r w:rsidRPr="00392ADF">
        <w:t xml:space="preserve"> twice a day in Cushing’s disease patients. Based on the accumulation ratios of AUC, the calculated effective half-life (t</w:t>
      </w:r>
      <w:r w:rsidRPr="00392ADF">
        <w:rPr>
          <w:vertAlign w:val="subscript"/>
        </w:rPr>
        <w:t>1/2</w:t>
      </w:r>
      <w:proofErr w:type="gramStart"/>
      <w:r w:rsidRPr="00392ADF">
        <w:rPr>
          <w:vertAlign w:val="subscript"/>
        </w:rPr>
        <w:t>,eff</w:t>
      </w:r>
      <w:proofErr w:type="gramEnd"/>
      <w:r w:rsidRPr="00392ADF">
        <w:t>) in healthy volunteers was</w:t>
      </w:r>
      <w:r w:rsidR="00F83BAF" w:rsidRPr="00392ADF">
        <w:t xml:space="preserve"> </w:t>
      </w:r>
      <w:r w:rsidRPr="00392ADF">
        <w:t xml:space="preserve">approximately 12 hours (on average between 10 and 13 hours for </w:t>
      </w:r>
      <w:r w:rsidR="00F83BAF" w:rsidRPr="00392ADF">
        <w:t>50</w:t>
      </w:r>
      <w:r w:rsidRPr="00392ADF">
        <w:t xml:space="preserve">, </w:t>
      </w:r>
      <w:r w:rsidR="00F83BAF" w:rsidRPr="00392ADF">
        <w:t>200</w:t>
      </w:r>
      <w:r w:rsidRPr="00392ADF">
        <w:t xml:space="preserve"> and </w:t>
      </w:r>
      <w:r w:rsidR="00F83BAF" w:rsidRPr="00392ADF">
        <w:t>600 µg</w:t>
      </w:r>
      <w:r w:rsidRPr="00392ADF">
        <w:t xml:space="preserve"> </w:t>
      </w:r>
      <w:proofErr w:type="spellStart"/>
      <w:r w:rsidRPr="00392ADF">
        <w:t>q.d</w:t>
      </w:r>
      <w:proofErr w:type="spellEnd"/>
      <w:r w:rsidRPr="00392ADF">
        <w:t>. doses)</w:t>
      </w:r>
      <w:r w:rsidR="00F83BAF" w:rsidRPr="00392ADF">
        <w:t>.</w:t>
      </w:r>
    </w:p>
    <w:p w:rsidR="00065922" w:rsidRPr="00392ADF" w:rsidRDefault="00065922"/>
    <w:p w:rsidR="00E83A93" w:rsidRPr="00392ADF" w:rsidRDefault="00E83A93" w:rsidP="00F109AF">
      <w:pPr>
        <w:pStyle w:val="Heading3"/>
      </w:pPr>
      <w:r w:rsidRPr="00392ADF">
        <w:t>Special populations:</w:t>
      </w:r>
    </w:p>
    <w:p w:rsidR="00E83A93" w:rsidRPr="00392ADF" w:rsidRDefault="00E83A93" w:rsidP="00F109AF">
      <w:pPr>
        <w:pStyle w:val="Heading4"/>
      </w:pPr>
      <w:r w:rsidRPr="00392ADF">
        <w:t>Elderly patients</w:t>
      </w:r>
      <w:r w:rsidR="003450F4">
        <w:t xml:space="preserve"> in the target population</w:t>
      </w:r>
      <w:r w:rsidR="00202FFE" w:rsidRPr="00392ADF">
        <w:t>:</w:t>
      </w:r>
    </w:p>
    <w:p w:rsidR="00E83A93" w:rsidRPr="00392ADF" w:rsidRDefault="00E83A93">
      <w:r w:rsidRPr="00392ADF">
        <w:t>Age has been found to be a covariate</w:t>
      </w:r>
      <w:r w:rsidR="003450F4">
        <w:t xml:space="preserve"> </w:t>
      </w:r>
      <w:r w:rsidR="003450F4" w:rsidRPr="003450F4">
        <w:t>contributing to increased exposure</w:t>
      </w:r>
      <w:r w:rsidRPr="00392ADF">
        <w:t xml:space="preserve"> in the population PK analysis of Cushing’s disease patients. Decreased total body clearance and increased PK exposures have been seen with increasing age. In the studied age range 18 to 73 years, the area under the curve at steady state for one dosing interval of 12 hours (</w:t>
      </w:r>
      <w:proofErr w:type="spellStart"/>
      <w:r w:rsidRPr="00392ADF">
        <w:t>AUC</w:t>
      </w:r>
      <w:r w:rsidRPr="00392ADF">
        <w:rPr>
          <w:vertAlign w:val="subscript"/>
        </w:rPr>
        <w:t>ss</w:t>
      </w:r>
      <w:proofErr w:type="spellEnd"/>
      <w:r w:rsidRPr="00392ADF">
        <w:t>) is predicted to range from 86% to 110% of that of the typical patient of 41 years. This variation is moderate and considered of minor</w:t>
      </w:r>
      <w:r w:rsidR="006C5560">
        <w:t xml:space="preserve"> </w:t>
      </w:r>
      <w:r w:rsidRPr="00392ADF">
        <w:t xml:space="preserve">significance considering the wide age range in which the effect was observed. </w:t>
      </w:r>
    </w:p>
    <w:p w:rsidR="00E83A93" w:rsidRPr="00392ADF" w:rsidRDefault="00E83A93">
      <w:r w:rsidRPr="00392ADF">
        <w:t xml:space="preserve">Data on Cushing’s disease patients older than 65 years are limited but do not suggest any clinically significant differences in safety and efficacy in relation to younger patients.  </w:t>
      </w:r>
    </w:p>
    <w:p w:rsidR="001B7D01" w:rsidRPr="00392ADF" w:rsidRDefault="001B7D01"/>
    <w:p w:rsidR="00E83A93" w:rsidRPr="00392ADF" w:rsidRDefault="00B86C70" w:rsidP="00F109AF">
      <w:pPr>
        <w:pStyle w:val="Heading4"/>
      </w:pPr>
      <w:proofErr w:type="spellStart"/>
      <w:r w:rsidRPr="00392ADF">
        <w:t>Paediatric</w:t>
      </w:r>
      <w:proofErr w:type="spellEnd"/>
      <w:r w:rsidR="00E83A93" w:rsidRPr="00392ADF">
        <w:t xml:space="preserve"> patients</w:t>
      </w:r>
      <w:r w:rsidR="001B7D01" w:rsidRPr="00392ADF">
        <w:t>:</w:t>
      </w:r>
    </w:p>
    <w:p w:rsidR="00E83A93" w:rsidRPr="00392ADF" w:rsidRDefault="00E83A93">
      <w:r w:rsidRPr="00392ADF">
        <w:t xml:space="preserve">No studies have been performed in </w:t>
      </w:r>
      <w:proofErr w:type="spellStart"/>
      <w:r w:rsidR="00B86C70" w:rsidRPr="00392ADF">
        <w:t>paediatric</w:t>
      </w:r>
      <w:proofErr w:type="spellEnd"/>
      <w:r w:rsidRPr="00392ADF">
        <w:t xml:space="preserve"> patients.</w:t>
      </w:r>
    </w:p>
    <w:p w:rsidR="001B7D01" w:rsidRPr="00392ADF" w:rsidRDefault="001B7D01"/>
    <w:p w:rsidR="00E83A93" w:rsidRPr="00392ADF" w:rsidRDefault="00E83A93" w:rsidP="00F109AF">
      <w:pPr>
        <w:pStyle w:val="Heading4"/>
      </w:pPr>
      <w:r w:rsidRPr="00392ADF">
        <w:lastRenderedPageBreak/>
        <w:t>Patients with renal impairment</w:t>
      </w:r>
      <w:r w:rsidR="001B7D01" w:rsidRPr="00392ADF">
        <w:t>:</w:t>
      </w:r>
    </w:p>
    <w:p w:rsidR="00E83A93" w:rsidRPr="00392ADF" w:rsidRDefault="00E83A93">
      <w:r w:rsidRPr="00392ADF">
        <w:t xml:space="preserve">Clinical studies have not been performed in patients with impaired renal function. However, renal clearance has a minor contribution to the elimination of </w:t>
      </w:r>
      <w:proofErr w:type="spellStart"/>
      <w:r w:rsidRPr="00392ADF">
        <w:t>pasireotide</w:t>
      </w:r>
      <w:proofErr w:type="spellEnd"/>
      <w:r w:rsidRPr="00392ADF">
        <w:t xml:space="preserve"> in humans. Renal function is not expected to significantly impact the circulating levels of </w:t>
      </w:r>
      <w:proofErr w:type="spellStart"/>
      <w:r w:rsidRPr="00392ADF">
        <w:t>pasireotide</w:t>
      </w:r>
      <w:proofErr w:type="spellEnd"/>
      <w:r w:rsidRPr="00392ADF">
        <w:t>.</w:t>
      </w:r>
    </w:p>
    <w:p w:rsidR="00BD62DA" w:rsidRPr="00392ADF" w:rsidRDefault="00BD62DA"/>
    <w:p w:rsidR="00E83A93" w:rsidRPr="00392ADF" w:rsidRDefault="00E83A93" w:rsidP="00F109AF">
      <w:pPr>
        <w:pStyle w:val="Heading4"/>
      </w:pPr>
      <w:r w:rsidRPr="00392ADF">
        <w:t>Patients with hepatic impairment</w:t>
      </w:r>
      <w:r w:rsidR="00BD62DA" w:rsidRPr="00392ADF">
        <w:t>:</w:t>
      </w:r>
    </w:p>
    <w:p w:rsidR="00E83A93" w:rsidRPr="00392ADF" w:rsidRDefault="00E83A93">
      <w:r w:rsidRPr="00392ADF">
        <w:t xml:space="preserve">In a clinical study in subjects with impaired hepatic function (Child-Pugh A, B and C), subjects with moderate and severe hepatic impairment (Child-Pugh B and C) showed significantly higher exposures than subjects with normal hepatic function.  Upon correction for covariate effect (age, BMI and albumin) </w:t>
      </w:r>
      <w:proofErr w:type="spellStart"/>
      <w:r w:rsidRPr="00392ADF">
        <w:t>AUC</w:t>
      </w:r>
      <w:r w:rsidRPr="00392ADF">
        <w:rPr>
          <w:vertAlign w:val="subscript"/>
        </w:rPr>
        <w:t>inf</w:t>
      </w:r>
      <w:proofErr w:type="spellEnd"/>
      <w:r w:rsidRPr="00392ADF">
        <w:t xml:space="preserve"> was increased by 60% and 79%, </w:t>
      </w:r>
      <w:proofErr w:type="spellStart"/>
      <w:r w:rsidRPr="00392ADF">
        <w:t>C</w:t>
      </w:r>
      <w:r w:rsidRPr="00392ADF">
        <w:rPr>
          <w:vertAlign w:val="subscript"/>
        </w:rPr>
        <w:t>max</w:t>
      </w:r>
      <w:proofErr w:type="spellEnd"/>
      <w:r w:rsidRPr="00392ADF">
        <w:rPr>
          <w:vertAlign w:val="subscript"/>
        </w:rPr>
        <w:t xml:space="preserve"> </w:t>
      </w:r>
      <w:r w:rsidRPr="00392ADF">
        <w:t xml:space="preserve">increased by 67% and 69%, and CL/F decreased by 37% and 44%, respectively, in the moderate and severe hepatic impairment groups relative to the control group. </w:t>
      </w:r>
    </w:p>
    <w:p w:rsidR="00471057" w:rsidRPr="00392ADF" w:rsidRDefault="00471057"/>
    <w:p w:rsidR="00E83A93" w:rsidRPr="00392ADF" w:rsidRDefault="00E83A93" w:rsidP="00F109AF">
      <w:pPr>
        <w:pStyle w:val="Heading4"/>
      </w:pPr>
      <w:r w:rsidRPr="00392ADF">
        <w:t>Demographics</w:t>
      </w:r>
      <w:r w:rsidR="00471057" w:rsidRPr="00392ADF">
        <w:t>:</w:t>
      </w:r>
    </w:p>
    <w:p w:rsidR="00E83A93" w:rsidRPr="00392ADF" w:rsidRDefault="00E83A93">
      <w:r w:rsidRPr="00392ADF">
        <w:t xml:space="preserve">Population PK analyses of </w:t>
      </w:r>
      <w:proofErr w:type="spellStart"/>
      <w:r w:rsidRPr="00392ADF">
        <w:t>Signifor</w:t>
      </w:r>
      <w:proofErr w:type="spellEnd"/>
      <w:r w:rsidRPr="00392ADF">
        <w:t xml:space="preserve"> suggest that race and gender do not influence PK parameters. </w:t>
      </w:r>
    </w:p>
    <w:p w:rsidR="00E83A93" w:rsidRPr="00392ADF" w:rsidRDefault="00E83A93">
      <w:r w:rsidRPr="00392ADF">
        <w:t>Lean body weight, which subtracts the estimated weight of body fat from the total body</w:t>
      </w:r>
      <w:r w:rsidR="00A8371C" w:rsidRPr="00392ADF">
        <w:t xml:space="preserve"> </w:t>
      </w:r>
      <w:r w:rsidRPr="00392ADF">
        <w:t>weight, has been found to be a covariate in the population PK analysis of Cushing’s disease</w:t>
      </w:r>
      <w:r w:rsidR="00A8371C" w:rsidRPr="00392ADF">
        <w:t xml:space="preserve"> </w:t>
      </w:r>
      <w:r w:rsidRPr="00392ADF">
        <w:t>patients. In the studied lean body weight range 33 to 83 kg, the AUC</w:t>
      </w:r>
      <w:r w:rsidRPr="00392ADF">
        <w:rPr>
          <w:vertAlign w:val="subscript"/>
        </w:rPr>
        <w:t>s</w:t>
      </w:r>
      <w:r w:rsidRPr="00392ADF">
        <w:t xml:space="preserve"> is predicted to range</w:t>
      </w:r>
      <w:r w:rsidR="00A8371C" w:rsidRPr="00392ADF">
        <w:t xml:space="preserve"> </w:t>
      </w:r>
      <w:r w:rsidRPr="00392ADF">
        <w:t>from 67% to 134% of that of the typical patient of 49 kg (The corresponding range of total</w:t>
      </w:r>
      <w:r w:rsidR="00A8371C" w:rsidRPr="00392ADF">
        <w:t xml:space="preserve"> </w:t>
      </w:r>
      <w:r w:rsidRPr="00392ADF">
        <w:t>body weight was 43.0 to 175 kg, with a median of 77.4 kg). This variation is considered</w:t>
      </w:r>
      <w:r w:rsidR="00A8371C" w:rsidRPr="00392ADF">
        <w:t xml:space="preserve"> </w:t>
      </w:r>
      <w:r w:rsidRPr="00392ADF">
        <w:t>as moderate and of minor clinical significance.</w:t>
      </w:r>
    </w:p>
    <w:p w:rsidR="008F20B1" w:rsidRDefault="008F20B1"/>
    <w:p w:rsidR="00A8371C" w:rsidRPr="00392ADF" w:rsidRDefault="00654DFF" w:rsidP="00F109AF">
      <w:pPr>
        <w:pStyle w:val="Heading1"/>
      </w:pPr>
      <w:r w:rsidRPr="00392ADF">
        <w:t>CLINICAL TRIALS</w:t>
      </w:r>
    </w:p>
    <w:p w:rsidR="00F109AF" w:rsidRDefault="00F109AF" w:rsidP="00FB4008"/>
    <w:p w:rsidR="006E2B0E" w:rsidRPr="006E2B0E" w:rsidRDefault="006E2B0E">
      <w:r w:rsidRPr="006E2B0E">
        <w:t>A Phase III, multicenter, randomized study was conducted to evaluate the safety and efficacy of two</w:t>
      </w:r>
      <w:r w:rsidR="003B4288">
        <w:t xml:space="preserve"> dose levels of </w:t>
      </w:r>
      <w:proofErr w:type="spellStart"/>
      <w:r w:rsidR="003B4288">
        <w:t>Signifor</w:t>
      </w:r>
      <w:proofErr w:type="spellEnd"/>
      <w:r w:rsidRPr="003B4288">
        <w:t xml:space="preserve"> over a 6-month treatment period in Cushing’s disease patients with persistent or recurrent disease despite pituitary surgery or </w:t>
      </w:r>
      <w:r w:rsidRPr="0087120C">
        <w:t>de novo</w:t>
      </w:r>
      <w:r w:rsidRPr="006E2B0E">
        <w:t xml:space="preserve"> patients for whom surgery was not indicated or who had refused surgery. </w:t>
      </w:r>
    </w:p>
    <w:p w:rsidR="006E2B0E" w:rsidRPr="003B4288" w:rsidRDefault="006E2B0E">
      <w:r w:rsidRPr="003B4288">
        <w:t xml:space="preserve">Patients with a baseline 24-hour urine free cortisol (UFC) &gt;1.5 x upper limit of normal (ULN) were randomized to receive a </w:t>
      </w:r>
      <w:proofErr w:type="spellStart"/>
      <w:r w:rsidR="00A163F4">
        <w:t>Signifor</w:t>
      </w:r>
      <w:proofErr w:type="spellEnd"/>
      <w:r w:rsidRPr="003B4288">
        <w:t xml:space="preserve"> dosage of either </w:t>
      </w:r>
      <w:r w:rsidR="003B4288">
        <w:t>600</w:t>
      </w:r>
      <w:r w:rsidRPr="003B4288">
        <w:t xml:space="preserve"> m</w:t>
      </w:r>
      <w:r w:rsidR="003B4288">
        <w:t>c</w:t>
      </w:r>
      <w:r w:rsidRPr="003B4288">
        <w:t xml:space="preserve">g subcutaneous </w:t>
      </w:r>
      <w:proofErr w:type="spellStart"/>
      <w:r w:rsidRPr="003B4288">
        <w:t>b.i.d</w:t>
      </w:r>
      <w:proofErr w:type="spellEnd"/>
      <w:r w:rsidRPr="003B4288">
        <w:t xml:space="preserve">. or </w:t>
      </w:r>
      <w:r w:rsidR="003B4288">
        <w:t>900</w:t>
      </w:r>
      <w:r w:rsidRPr="003B4288">
        <w:t> m</w:t>
      </w:r>
      <w:r w:rsidR="003B4288">
        <w:t>c</w:t>
      </w:r>
      <w:r w:rsidRPr="003B4288">
        <w:t xml:space="preserve">g subcutaneous </w:t>
      </w:r>
      <w:proofErr w:type="spellStart"/>
      <w:r w:rsidRPr="003B4288">
        <w:t>b.i.d</w:t>
      </w:r>
      <w:proofErr w:type="spellEnd"/>
      <w:r w:rsidRPr="003B4288">
        <w:t>. After three months of treatment, patients with a mean 24</w:t>
      </w:r>
      <w:r w:rsidRPr="003B4288">
        <w:noBreakHyphen/>
        <w:t xml:space="preserve">hour UFC ≤ 2.0 x ULN and below or equal to their baseline values continued blinded treatment at the randomized dose until Month 6. Patients who did not meet these criteria were </w:t>
      </w:r>
      <w:proofErr w:type="spellStart"/>
      <w:r w:rsidRPr="003B4288">
        <w:t>unblinded</w:t>
      </w:r>
      <w:proofErr w:type="spellEnd"/>
      <w:r w:rsidRPr="003B4288">
        <w:t xml:space="preserve"> and the dose was increased by </w:t>
      </w:r>
      <w:r w:rsidR="003B4288">
        <w:t>300</w:t>
      </w:r>
      <w:r w:rsidRPr="003B4288">
        <w:t xml:space="preserve"> m</w:t>
      </w:r>
      <w:r w:rsidR="003B4288">
        <w:t>c</w:t>
      </w:r>
      <w:r w:rsidRPr="003B4288">
        <w:t xml:space="preserve">g </w:t>
      </w:r>
      <w:proofErr w:type="spellStart"/>
      <w:r w:rsidRPr="003B4288">
        <w:t>b.i.d</w:t>
      </w:r>
      <w:proofErr w:type="spellEnd"/>
      <w:r w:rsidRPr="003B4288">
        <w:t xml:space="preserve">. After the initial six months in the study, patients entered an additional 6-month open-label treatment period. The dosage could be reduced by </w:t>
      </w:r>
      <w:r w:rsidR="003B4288">
        <w:t>300</w:t>
      </w:r>
      <w:r w:rsidRPr="003B4288">
        <w:t xml:space="preserve"> m</w:t>
      </w:r>
      <w:r w:rsidR="003B4288">
        <w:t>c</w:t>
      </w:r>
      <w:r w:rsidRPr="003B4288">
        <w:t xml:space="preserve">g </w:t>
      </w:r>
      <w:proofErr w:type="spellStart"/>
      <w:r w:rsidRPr="003B4288">
        <w:t>b.i.d</w:t>
      </w:r>
      <w:proofErr w:type="spellEnd"/>
      <w:r w:rsidRPr="003B4288">
        <w:t xml:space="preserve">. at any time during the study for intolerability. </w:t>
      </w:r>
    </w:p>
    <w:p w:rsidR="006E2B0E" w:rsidRPr="00EE3F3A" w:rsidRDefault="006E2B0E">
      <w:r w:rsidRPr="00F144D1">
        <w:lastRenderedPageBreak/>
        <w:t>A total of 162 patients were enrolled in this study. The majority of patients were female (78%) and had persistent or recurrent Cushing’s disease despite pituitary surgery (83%) with a mean age of 40 years. A few patients (4%) in either treatment group received previous pituitary irradiation. The median value of the baseline 24-hour U</w:t>
      </w:r>
      <w:r w:rsidRPr="00EE3F3A">
        <w:t xml:space="preserve">FC for all patients was 565 </w:t>
      </w:r>
      <w:proofErr w:type="spellStart"/>
      <w:r w:rsidRPr="00EE3F3A">
        <w:t>nmol</w:t>
      </w:r>
      <w:proofErr w:type="spellEnd"/>
      <w:r w:rsidRPr="00EE3F3A">
        <w:t xml:space="preserve">/24 hours (normal range 30 to 145 </w:t>
      </w:r>
      <w:proofErr w:type="spellStart"/>
      <w:r w:rsidRPr="00EE3F3A">
        <w:t>nmol</w:t>
      </w:r>
      <w:proofErr w:type="spellEnd"/>
      <w:r w:rsidRPr="00EE3F3A">
        <w:t>/24 hours). About two-thirds of all randomized patients completed six months of treatment.</w:t>
      </w:r>
    </w:p>
    <w:p w:rsidR="006E2B0E" w:rsidRDefault="006E2B0E">
      <w:r w:rsidRPr="00071264">
        <w:t>The primary efficacy endpoint was the proportion of patients who achieved normalization of mean</w:t>
      </w:r>
      <w:r w:rsidRPr="00481649">
        <w:t xml:space="preserve"> 24-hour UFC levels after six months of treatment and did not dose increase during this period. </w:t>
      </w:r>
    </w:p>
    <w:p w:rsidR="006E2B0E" w:rsidRDefault="006E2B0E">
      <w:r w:rsidRPr="006E2B0E">
        <w:t>At Month 6, the percentages of responders for the primary endpoint were 15</w:t>
      </w:r>
      <w:r w:rsidRPr="003B4288">
        <w:t xml:space="preserve">% and 26% in the </w:t>
      </w:r>
      <w:r w:rsidR="003B4288">
        <w:t>600</w:t>
      </w:r>
      <w:r w:rsidRPr="003B4288">
        <w:t xml:space="preserve"> m</w:t>
      </w:r>
      <w:r w:rsidR="003B4288">
        <w:t>c</w:t>
      </w:r>
      <w:r w:rsidRPr="003B4288">
        <w:t xml:space="preserve">g </w:t>
      </w:r>
      <w:proofErr w:type="spellStart"/>
      <w:r w:rsidRPr="003B4288">
        <w:t>b.i.d</w:t>
      </w:r>
      <w:proofErr w:type="spellEnd"/>
      <w:r w:rsidRPr="003B4288">
        <w:t xml:space="preserve">. and </w:t>
      </w:r>
      <w:r w:rsidR="003B4288">
        <w:t>900</w:t>
      </w:r>
      <w:r w:rsidRPr="003B4288">
        <w:t xml:space="preserve"> m</w:t>
      </w:r>
      <w:r w:rsidR="003B4288">
        <w:t>c</w:t>
      </w:r>
      <w:r w:rsidRPr="003B4288">
        <w:t xml:space="preserve">g </w:t>
      </w:r>
      <w:proofErr w:type="spellStart"/>
      <w:r w:rsidRPr="003B4288">
        <w:t>b.i.d</w:t>
      </w:r>
      <w:proofErr w:type="spellEnd"/>
      <w:r w:rsidRPr="003B4288">
        <w:t xml:space="preserve">. groups, respectively (Table </w:t>
      </w:r>
      <w:r w:rsidR="003B4288">
        <w:t>2</w:t>
      </w:r>
      <w:r w:rsidRPr="003B4288">
        <w:t xml:space="preserve">). The percentages of patients with </w:t>
      </w:r>
      <w:proofErr w:type="spellStart"/>
      <w:r w:rsidRPr="003B4288">
        <w:t>mUFC</w:t>
      </w:r>
      <w:proofErr w:type="spellEnd"/>
      <w:r w:rsidRPr="003B4288">
        <w:t xml:space="preserve"> ≤ ULN or ≥ 50% reduction from baseline, a less stringent endpoint than the primary endpoint, were 34% in the </w:t>
      </w:r>
      <w:r w:rsidR="003B4288">
        <w:t>600</w:t>
      </w:r>
      <w:r w:rsidRPr="003B4288">
        <w:t xml:space="preserve"> m</w:t>
      </w:r>
      <w:r w:rsidR="003B4288">
        <w:t>c</w:t>
      </w:r>
      <w:r w:rsidRPr="003B4288">
        <w:t xml:space="preserve">g bid and 41% in the </w:t>
      </w:r>
      <w:r w:rsidR="003B4288">
        <w:t>900</w:t>
      </w:r>
      <w:r w:rsidRPr="003B4288">
        <w:t xml:space="preserve"> m</w:t>
      </w:r>
      <w:r w:rsidR="003B4288">
        <w:t>c</w:t>
      </w:r>
      <w:r w:rsidRPr="003B4288">
        <w:t xml:space="preserve">g bid groups. Dose increases appeared to have minimal effect on 24-hour UFC response. Mean and median percentage changes in UFC from baseline are presented in Table </w:t>
      </w:r>
      <w:r w:rsidR="003B4288">
        <w:t>2</w:t>
      </w:r>
      <w:r w:rsidRPr="003B4288">
        <w:t>.</w:t>
      </w:r>
    </w:p>
    <w:p w:rsidR="003B4288" w:rsidRPr="003B4288" w:rsidRDefault="003B4288"/>
    <w:p w:rsidR="006E2B0E" w:rsidRPr="006E2B0E" w:rsidRDefault="006E2B0E" w:rsidP="00F109AF">
      <w:pPr>
        <w:pStyle w:val="TableTitle"/>
        <w:keepNext/>
        <w:keepLines/>
        <w:spacing w:after="120"/>
        <w:ind w:left="1440" w:hanging="1440"/>
        <w:jc w:val="left"/>
        <w:rPr>
          <w:b w:val="0"/>
          <w:sz w:val="24"/>
        </w:rPr>
      </w:pPr>
      <w:r w:rsidRPr="006E2B0E">
        <w:rPr>
          <w:b w:val="0"/>
          <w:sz w:val="24"/>
        </w:rPr>
        <w:t>Table 2</w:t>
      </w:r>
      <w:r w:rsidR="008F20B1">
        <w:rPr>
          <w:b w:val="0"/>
          <w:sz w:val="24"/>
        </w:rPr>
        <w:tab/>
      </w:r>
      <w:r w:rsidRPr="006E2B0E">
        <w:rPr>
          <w:b w:val="0"/>
          <w:sz w:val="24"/>
        </w:rPr>
        <w:t xml:space="preserve">24-Hour Urinary Free Cortisol (UFC) Study Results at Month 6 in Patients with </w:t>
      </w:r>
      <w:proofErr w:type="gramStart"/>
      <w:r w:rsidRPr="006E2B0E">
        <w:rPr>
          <w:b w:val="0"/>
          <w:sz w:val="24"/>
        </w:rPr>
        <w:t>Cushing’s Disease</w:t>
      </w:r>
      <w:proofErr w:type="gramEnd"/>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2880"/>
        <w:gridCol w:w="3150"/>
        <w:gridCol w:w="3060"/>
      </w:tblGrid>
      <w:tr w:rsidR="006E2B0E" w:rsidRPr="0087120C" w:rsidTr="006E2B0E">
        <w:tc>
          <w:tcPr>
            <w:tcW w:w="2880" w:type="dxa"/>
            <w:tcBorders>
              <w:left w:val="nil"/>
              <w:bottom w:val="single" w:sz="4" w:space="0" w:color="auto"/>
              <w:right w:val="nil"/>
            </w:tcBorders>
          </w:tcPr>
          <w:p w:rsidR="006E2B0E" w:rsidRPr="008C52E9" w:rsidRDefault="006E2B0E" w:rsidP="00FB4008"/>
        </w:tc>
        <w:tc>
          <w:tcPr>
            <w:tcW w:w="3150" w:type="dxa"/>
            <w:tcBorders>
              <w:left w:val="nil"/>
              <w:bottom w:val="single" w:sz="4" w:space="0" w:color="auto"/>
              <w:right w:val="nil"/>
            </w:tcBorders>
          </w:tcPr>
          <w:p w:rsidR="006E2B0E" w:rsidRPr="008C52E9" w:rsidRDefault="006E2B0E">
            <w:pPr>
              <w:rPr>
                <w:lang w:val="pt-BR"/>
              </w:rPr>
            </w:pPr>
            <w:r w:rsidRPr="008C52E9">
              <w:rPr>
                <w:lang w:val="pt-BR"/>
              </w:rPr>
              <w:t>SIGNIFOR</w:t>
            </w:r>
          </w:p>
          <w:p w:rsidR="006E2B0E" w:rsidRPr="008C52E9" w:rsidRDefault="003B4288">
            <w:pPr>
              <w:rPr>
                <w:lang w:val="pt-BR"/>
              </w:rPr>
            </w:pPr>
            <w:r w:rsidRPr="008C52E9">
              <w:rPr>
                <w:lang w:val="pt-BR"/>
              </w:rPr>
              <w:t>600</w:t>
            </w:r>
            <w:r w:rsidR="006E2B0E" w:rsidRPr="008C52E9">
              <w:rPr>
                <w:lang w:val="pt-BR"/>
              </w:rPr>
              <w:t xml:space="preserve"> m</w:t>
            </w:r>
            <w:r w:rsidRPr="008C52E9">
              <w:rPr>
                <w:lang w:val="pt-BR"/>
              </w:rPr>
              <w:t>c</w:t>
            </w:r>
            <w:r w:rsidR="006E2B0E" w:rsidRPr="008C52E9">
              <w:rPr>
                <w:lang w:val="pt-BR"/>
              </w:rPr>
              <w:t>g b.i.d.</w:t>
            </w:r>
          </w:p>
          <w:p w:rsidR="006E2B0E" w:rsidRPr="004A09CE" w:rsidRDefault="006E2B0E">
            <w:pPr>
              <w:rPr>
                <w:lang w:val="pt-BR"/>
              </w:rPr>
            </w:pPr>
            <w:r w:rsidRPr="004A09CE">
              <w:rPr>
                <w:lang w:val="pt-BR"/>
              </w:rPr>
              <w:t>N=82</w:t>
            </w:r>
          </w:p>
        </w:tc>
        <w:tc>
          <w:tcPr>
            <w:tcW w:w="3060" w:type="dxa"/>
            <w:tcBorders>
              <w:left w:val="nil"/>
              <w:bottom w:val="single" w:sz="4" w:space="0" w:color="auto"/>
              <w:right w:val="nil"/>
            </w:tcBorders>
          </w:tcPr>
          <w:p w:rsidR="006E2B0E" w:rsidRPr="001558F7" w:rsidRDefault="006E2B0E">
            <w:pPr>
              <w:rPr>
                <w:lang w:val="pt-BR"/>
              </w:rPr>
            </w:pPr>
            <w:r w:rsidRPr="001558F7">
              <w:rPr>
                <w:lang w:val="pt-BR"/>
              </w:rPr>
              <w:t>SIGNIFOR</w:t>
            </w:r>
          </w:p>
          <w:p w:rsidR="006E2B0E" w:rsidRPr="000C57CE" w:rsidRDefault="006E2B0E">
            <w:pPr>
              <w:rPr>
                <w:lang w:val="pt-BR"/>
              </w:rPr>
            </w:pPr>
            <w:r w:rsidRPr="001558F7">
              <w:rPr>
                <w:lang w:val="pt-BR"/>
              </w:rPr>
              <w:t>9</w:t>
            </w:r>
            <w:r w:rsidR="003B4288" w:rsidRPr="001558F7">
              <w:rPr>
                <w:lang w:val="pt-BR"/>
              </w:rPr>
              <w:t>00</w:t>
            </w:r>
            <w:r w:rsidRPr="000C57CE">
              <w:rPr>
                <w:lang w:val="pt-BR"/>
              </w:rPr>
              <w:t xml:space="preserve"> m</w:t>
            </w:r>
            <w:r w:rsidR="003B4288" w:rsidRPr="000C57CE">
              <w:rPr>
                <w:lang w:val="pt-BR"/>
              </w:rPr>
              <w:t>c</w:t>
            </w:r>
            <w:r w:rsidRPr="000C57CE">
              <w:rPr>
                <w:lang w:val="pt-BR"/>
              </w:rPr>
              <w:t>g b.i.d.</w:t>
            </w:r>
          </w:p>
          <w:p w:rsidR="006E2B0E" w:rsidRPr="000C57CE" w:rsidRDefault="006E2B0E">
            <w:pPr>
              <w:rPr>
                <w:lang w:val="pt-BR"/>
              </w:rPr>
            </w:pPr>
            <w:r w:rsidRPr="000C57CE">
              <w:rPr>
                <w:lang w:val="pt-BR"/>
              </w:rPr>
              <w:t>N=80</w:t>
            </w:r>
          </w:p>
        </w:tc>
      </w:tr>
      <w:tr w:rsidR="006E2B0E" w:rsidRPr="0087120C" w:rsidTr="006E2B0E">
        <w:tc>
          <w:tcPr>
            <w:tcW w:w="2880" w:type="dxa"/>
            <w:tcBorders>
              <w:left w:val="nil"/>
              <w:bottom w:val="nil"/>
              <w:right w:val="nil"/>
            </w:tcBorders>
          </w:tcPr>
          <w:p w:rsidR="006E2B0E" w:rsidRPr="0087120C" w:rsidRDefault="006E2B0E" w:rsidP="00FB4008">
            <w:pPr>
              <w:rPr>
                <w:lang w:val="pt-BR"/>
              </w:rPr>
            </w:pPr>
            <w:r w:rsidRPr="0087120C">
              <w:rPr>
                <w:lang w:val="pt-BR"/>
              </w:rPr>
              <w:t>UFC Responders</w:t>
            </w:r>
          </w:p>
          <w:p w:rsidR="006E2B0E" w:rsidRPr="0087120C" w:rsidRDefault="006E2B0E">
            <w:pPr>
              <w:rPr>
                <w:lang w:val="pt-BR"/>
              </w:rPr>
            </w:pPr>
            <w:r w:rsidRPr="0087120C">
              <w:rPr>
                <w:lang w:val="pt-BR"/>
              </w:rPr>
              <w:t xml:space="preserve">           n/N</w:t>
            </w:r>
          </w:p>
          <w:p w:rsidR="006E2B0E" w:rsidRPr="0087120C" w:rsidRDefault="006E2B0E">
            <w:pPr>
              <w:rPr>
                <w:lang w:val="pt-BR"/>
              </w:rPr>
            </w:pPr>
            <w:r w:rsidRPr="0087120C">
              <w:rPr>
                <w:lang w:val="pt-BR"/>
              </w:rPr>
              <w:t xml:space="preserve">           % (95% CI)</w:t>
            </w:r>
          </w:p>
        </w:tc>
        <w:tc>
          <w:tcPr>
            <w:tcW w:w="3150" w:type="dxa"/>
            <w:tcBorders>
              <w:left w:val="nil"/>
              <w:bottom w:val="nil"/>
              <w:right w:val="nil"/>
            </w:tcBorders>
          </w:tcPr>
          <w:p w:rsidR="006E2B0E" w:rsidRPr="0087120C" w:rsidRDefault="006E2B0E">
            <w:pPr>
              <w:rPr>
                <w:lang w:val="pt-BR"/>
              </w:rPr>
            </w:pPr>
          </w:p>
          <w:p w:rsidR="006E2B0E" w:rsidRPr="0087120C" w:rsidRDefault="006E2B0E">
            <w:r w:rsidRPr="0087120C">
              <w:t>12/82</w:t>
            </w:r>
          </w:p>
          <w:p w:rsidR="006E2B0E" w:rsidRPr="0087120C" w:rsidRDefault="006E2B0E">
            <w:r w:rsidRPr="0087120C">
              <w:t>15% (7%, 22%)</w:t>
            </w:r>
          </w:p>
        </w:tc>
        <w:tc>
          <w:tcPr>
            <w:tcW w:w="3060" w:type="dxa"/>
            <w:tcBorders>
              <w:left w:val="nil"/>
              <w:bottom w:val="nil"/>
              <w:right w:val="nil"/>
            </w:tcBorders>
          </w:tcPr>
          <w:p w:rsidR="006E2B0E" w:rsidRPr="0087120C" w:rsidRDefault="006E2B0E"/>
          <w:p w:rsidR="006E2B0E" w:rsidRPr="0087120C" w:rsidRDefault="006E2B0E">
            <w:r w:rsidRPr="0087120C">
              <w:t>21/80</w:t>
            </w:r>
          </w:p>
          <w:p w:rsidR="006E2B0E" w:rsidRPr="0087120C" w:rsidRDefault="006E2B0E">
            <w:r w:rsidRPr="0087120C">
              <w:t>26% (17%, 36%)</w:t>
            </w:r>
          </w:p>
        </w:tc>
      </w:tr>
      <w:tr w:rsidR="006E2B0E" w:rsidRPr="0087120C" w:rsidTr="006E2B0E">
        <w:tc>
          <w:tcPr>
            <w:tcW w:w="2880" w:type="dxa"/>
            <w:tcBorders>
              <w:top w:val="nil"/>
              <w:left w:val="nil"/>
              <w:bottom w:val="nil"/>
              <w:right w:val="nil"/>
            </w:tcBorders>
          </w:tcPr>
          <w:p w:rsidR="006E2B0E" w:rsidRPr="0087120C" w:rsidRDefault="006E2B0E" w:rsidP="00FB4008"/>
        </w:tc>
        <w:tc>
          <w:tcPr>
            <w:tcW w:w="3150" w:type="dxa"/>
            <w:tcBorders>
              <w:top w:val="nil"/>
              <w:left w:val="nil"/>
              <w:bottom w:val="nil"/>
              <w:right w:val="nil"/>
            </w:tcBorders>
          </w:tcPr>
          <w:p w:rsidR="006E2B0E" w:rsidRPr="0087120C" w:rsidRDefault="006E2B0E"/>
        </w:tc>
        <w:tc>
          <w:tcPr>
            <w:tcW w:w="3060" w:type="dxa"/>
            <w:tcBorders>
              <w:top w:val="nil"/>
              <w:left w:val="nil"/>
              <w:bottom w:val="nil"/>
              <w:right w:val="nil"/>
            </w:tcBorders>
          </w:tcPr>
          <w:p w:rsidR="006E2B0E" w:rsidRPr="0087120C" w:rsidRDefault="006E2B0E"/>
        </w:tc>
      </w:tr>
      <w:tr w:rsidR="006E2B0E" w:rsidRPr="0087120C" w:rsidTr="006E2B0E">
        <w:tc>
          <w:tcPr>
            <w:tcW w:w="2880" w:type="dxa"/>
            <w:tcBorders>
              <w:top w:val="single" w:sz="4" w:space="0" w:color="auto"/>
              <w:left w:val="nil"/>
              <w:bottom w:val="single" w:sz="4" w:space="0" w:color="auto"/>
              <w:right w:val="nil"/>
            </w:tcBorders>
          </w:tcPr>
          <w:p w:rsidR="006E2B0E" w:rsidRPr="008C52E9" w:rsidRDefault="006E2B0E" w:rsidP="00FB4008">
            <w:r w:rsidRPr="008C52E9">
              <w:t>UFC Levels (</w:t>
            </w:r>
            <w:proofErr w:type="spellStart"/>
            <w:r w:rsidRPr="008C52E9">
              <w:t>nmol</w:t>
            </w:r>
            <w:proofErr w:type="spellEnd"/>
            <w:r w:rsidRPr="008C52E9">
              <w:t xml:space="preserve">/24hr) </w:t>
            </w:r>
          </w:p>
          <w:p w:rsidR="006E2B0E" w:rsidRPr="008C52E9" w:rsidRDefault="006E2B0E">
            <w:r w:rsidRPr="008C52E9">
              <w:t xml:space="preserve">     Baseline </w:t>
            </w:r>
          </w:p>
          <w:p w:rsidR="006E2B0E" w:rsidRPr="008C52E9" w:rsidRDefault="006E2B0E">
            <w:r w:rsidRPr="008C52E9">
              <w:t xml:space="preserve">          Mean (SD)</w:t>
            </w:r>
          </w:p>
          <w:p w:rsidR="006E2B0E" w:rsidRPr="008C52E9" w:rsidRDefault="006E2B0E">
            <w:r w:rsidRPr="008C52E9">
              <w:t xml:space="preserve">          Median</w:t>
            </w:r>
          </w:p>
        </w:tc>
        <w:tc>
          <w:tcPr>
            <w:tcW w:w="3150" w:type="dxa"/>
            <w:tcBorders>
              <w:top w:val="single" w:sz="4" w:space="0" w:color="auto"/>
              <w:left w:val="nil"/>
              <w:bottom w:val="single" w:sz="4" w:space="0" w:color="auto"/>
              <w:right w:val="nil"/>
            </w:tcBorders>
          </w:tcPr>
          <w:p w:rsidR="006E2B0E" w:rsidRPr="008C52E9" w:rsidRDefault="006E2B0E">
            <w:r w:rsidRPr="008C52E9">
              <w:t>N=78</w:t>
            </w:r>
          </w:p>
          <w:p w:rsidR="006E2B0E" w:rsidRPr="008C52E9" w:rsidRDefault="006E2B0E"/>
          <w:p w:rsidR="006E2B0E" w:rsidRPr="008C52E9" w:rsidRDefault="006E2B0E">
            <w:r w:rsidRPr="008C52E9">
              <w:t>868 (764)</w:t>
            </w:r>
          </w:p>
          <w:p w:rsidR="006E2B0E" w:rsidRPr="008C52E9" w:rsidRDefault="006E2B0E">
            <w:r w:rsidRPr="008C52E9">
              <w:t>704</w:t>
            </w:r>
          </w:p>
        </w:tc>
        <w:tc>
          <w:tcPr>
            <w:tcW w:w="3060" w:type="dxa"/>
            <w:tcBorders>
              <w:top w:val="single" w:sz="4" w:space="0" w:color="auto"/>
              <w:left w:val="nil"/>
              <w:bottom w:val="single" w:sz="4" w:space="0" w:color="auto"/>
              <w:right w:val="nil"/>
            </w:tcBorders>
          </w:tcPr>
          <w:p w:rsidR="006E2B0E" w:rsidRPr="008C52E9" w:rsidRDefault="006E2B0E">
            <w:r w:rsidRPr="008C52E9">
              <w:t>N=72</w:t>
            </w:r>
          </w:p>
          <w:p w:rsidR="006E2B0E" w:rsidRPr="008C52E9" w:rsidRDefault="006E2B0E"/>
          <w:p w:rsidR="006E2B0E" w:rsidRPr="008C52E9" w:rsidRDefault="006E2B0E">
            <w:r w:rsidRPr="008C52E9">
              <w:t>750 (930)</w:t>
            </w:r>
          </w:p>
          <w:p w:rsidR="006E2B0E" w:rsidRPr="008C52E9" w:rsidRDefault="006E2B0E">
            <w:r w:rsidRPr="008C52E9">
              <w:t>470</w:t>
            </w:r>
          </w:p>
        </w:tc>
      </w:tr>
      <w:tr w:rsidR="006E2B0E" w:rsidRPr="0087120C" w:rsidTr="006E2B0E">
        <w:tc>
          <w:tcPr>
            <w:tcW w:w="2880" w:type="dxa"/>
            <w:tcBorders>
              <w:top w:val="single" w:sz="4" w:space="0" w:color="auto"/>
              <w:left w:val="nil"/>
              <w:bottom w:val="single" w:sz="4" w:space="0" w:color="auto"/>
              <w:right w:val="nil"/>
            </w:tcBorders>
          </w:tcPr>
          <w:p w:rsidR="006E2B0E" w:rsidRPr="008C52E9" w:rsidRDefault="006E2B0E" w:rsidP="00FB4008">
            <w:r w:rsidRPr="008C52E9">
              <w:t xml:space="preserve">     % Change from baseline</w:t>
            </w:r>
          </w:p>
          <w:p w:rsidR="006E2B0E" w:rsidRPr="008C52E9" w:rsidRDefault="006E2B0E">
            <w:r w:rsidRPr="008C52E9">
              <w:t xml:space="preserve">          Mean (95% CI) </w:t>
            </w:r>
          </w:p>
          <w:p w:rsidR="006E2B0E" w:rsidRPr="008C52E9" w:rsidRDefault="006E2B0E">
            <w:r w:rsidRPr="008C52E9">
              <w:t xml:space="preserve">          Median</w:t>
            </w:r>
          </w:p>
        </w:tc>
        <w:tc>
          <w:tcPr>
            <w:tcW w:w="3150" w:type="dxa"/>
            <w:tcBorders>
              <w:top w:val="single" w:sz="4" w:space="0" w:color="auto"/>
              <w:left w:val="nil"/>
              <w:bottom w:val="single" w:sz="4" w:space="0" w:color="auto"/>
              <w:right w:val="nil"/>
            </w:tcBorders>
          </w:tcPr>
          <w:p w:rsidR="006E2B0E" w:rsidRPr="008C52E9" w:rsidRDefault="006E2B0E"/>
          <w:p w:rsidR="006E2B0E" w:rsidRPr="008C52E9" w:rsidRDefault="006E2B0E">
            <w:r w:rsidRPr="008C52E9">
              <w:t>-22% (-44%, +1%)</w:t>
            </w:r>
          </w:p>
          <w:p w:rsidR="006E2B0E" w:rsidRPr="008C52E9" w:rsidRDefault="006E2B0E">
            <w:r w:rsidRPr="008C52E9">
              <w:t>-47%</w:t>
            </w:r>
          </w:p>
        </w:tc>
        <w:tc>
          <w:tcPr>
            <w:tcW w:w="3060" w:type="dxa"/>
            <w:tcBorders>
              <w:top w:val="single" w:sz="4" w:space="0" w:color="auto"/>
              <w:left w:val="nil"/>
              <w:bottom w:val="single" w:sz="4" w:space="0" w:color="auto"/>
              <w:right w:val="nil"/>
            </w:tcBorders>
          </w:tcPr>
          <w:p w:rsidR="006E2B0E" w:rsidRPr="008C52E9" w:rsidRDefault="006E2B0E"/>
          <w:p w:rsidR="006E2B0E" w:rsidRPr="008C52E9" w:rsidRDefault="006E2B0E">
            <w:r w:rsidRPr="008C52E9">
              <w:t>-42% (-50%, -33%)</w:t>
            </w:r>
          </w:p>
          <w:p w:rsidR="006E2B0E" w:rsidRPr="008C52E9" w:rsidRDefault="006E2B0E">
            <w:r w:rsidRPr="008C52E9">
              <w:t>-46%</w:t>
            </w:r>
          </w:p>
        </w:tc>
      </w:tr>
    </w:tbl>
    <w:p w:rsidR="008F20B1" w:rsidRDefault="008F20B1" w:rsidP="00FB4008"/>
    <w:p w:rsidR="006E2B0E" w:rsidRDefault="003B4288">
      <w:proofErr w:type="spellStart"/>
      <w:r>
        <w:lastRenderedPageBreak/>
        <w:t>Signifor</w:t>
      </w:r>
      <w:proofErr w:type="spellEnd"/>
      <w:r w:rsidR="006E2B0E" w:rsidRPr="00AC6367">
        <w:t xml:space="preserve"> resulted in a decrease in the mean 24-hour UFC after 1 month of treatment (Figure</w:t>
      </w:r>
      <w:r w:rsidR="008F20B1">
        <w:t> </w:t>
      </w:r>
      <w:r w:rsidR="006E2B0E" w:rsidRPr="00AC6367">
        <w:t>1).</w:t>
      </w:r>
      <w:r w:rsidR="006E2B0E">
        <w:t xml:space="preserve"> </w:t>
      </w:r>
      <w:r w:rsidR="006E2B0E" w:rsidRPr="00AC6367">
        <w:t>For patients (n=78) who stayed in the trial, similar UFC lowering was observed at Month 12</w:t>
      </w:r>
      <w:r>
        <w:t>.</w:t>
      </w:r>
    </w:p>
    <w:p w:rsidR="00080FAC" w:rsidRPr="006E2B0E" w:rsidRDefault="00080FAC">
      <w:pPr>
        <w:rPr>
          <w:szCs w:val="24"/>
        </w:rPr>
      </w:pPr>
    </w:p>
    <w:p w:rsidR="007D1978" w:rsidRPr="00392ADF" w:rsidRDefault="007D1978" w:rsidP="00962784">
      <w:pPr>
        <w:ind w:firstLine="1134"/>
      </w:pPr>
      <w:r w:rsidRPr="00392ADF">
        <w:t>Figure 1</w:t>
      </w:r>
      <w:r w:rsidRPr="00392ADF">
        <w:tab/>
        <w:t>Mean (±SE) Urinary Free Cortisol (</w:t>
      </w:r>
      <w:proofErr w:type="spellStart"/>
      <w:r w:rsidRPr="00392ADF">
        <w:t>nmol</w:t>
      </w:r>
      <w:proofErr w:type="spellEnd"/>
      <w:r w:rsidRPr="00392ADF">
        <w:t>/24h) at time points up to Month 12 by</w:t>
      </w:r>
      <w:r w:rsidR="007710A8">
        <w:t xml:space="preserve"> </w:t>
      </w:r>
      <w:r w:rsidRPr="00392ADF">
        <w:t>randomized dose group</w:t>
      </w:r>
    </w:p>
    <w:p w:rsidR="00340E36" w:rsidRDefault="00FB4B63">
      <w:bookmarkStart w:id="0" w:name="_GoBack"/>
      <w:r>
        <w:rPr>
          <w:noProof/>
          <w:lang w:val="en-AU" w:eastAsia="en-AU"/>
        </w:rPr>
        <w:drawing>
          <wp:inline distT="0" distB="0" distL="0" distR="0" wp14:anchorId="50BA3549" wp14:editId="129B0644">
            <wp:extent cx="5753100" cy="3848100"/>
            <wp:effectExtent l="0" t="0" r="0" b="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bookmarkEnd w:id="0"/>
      <w:r w:rsidR="007D1978" w:rsidRPr="008C52E9">
        <w:t xml:space="preserve">Note: Patients were randomized to </w:t>
      </w:r>
      <w:proofErr w:type="spellStart"/>
      <w:r w:rsidR="007D1978" w:rsidRPr="008C52E9">
        <w:t>Signifor</w:t>
      </w:r>
      <w:proofErr w:type="spellEnd"/>
      <w:r w:rsidR="007D1978" w:rsidRPr="008C52E9">
        <w:t xml:space="preserve"> 0.6 mg or 0.9 mg bid at baseline.  At least three 24 hour UFC assays contributed to patient mean results at Months 0 (baseline), 3, 6 and 12. At least two 24 hour UFC assays contributed to patient mean results at other time points. The reference line is the upper limit normal for UFC, which is </w:t>
      </w:r>
      <w:proofErr w:type="gramStart"/>
      <w:r w:rsidR="007D1978" w:rsidRPr="008C52E9">
        <w:t xml:space="preserve">145 </w:t>
      </w:r>
      <w:proofErr w:type="spellStart"/>
      <w:r w:rsidR="007D1978" w:rsidRPr="008C52E9">
        <w:t>nmol</w:t>
      </w:r>
      <w:proofErr w:type="spellEnd"/>
      <w:r w:rsidR="007D1978" w:rsidRPr="008C52E9">
        <w:t>/24h</w:t>
      </w:r>
      <w:proofErr w:type="gramEnd"/>
      <w:r w:rsidR="000C57CE">
        <w:t>;</w:t>
      </w:r>
      <w:r w:rsidR="004A4F16">
        <w:t xml:space="preserve"> ± </w:t>
      </w:r>
      <w:r w:rsidR="007D1978" w:rsidRPr="008C52E9">
        <w:t>Standard errors are displayed.</w:t>
      </w:r>
    </w:p>
    <w:p w:rsidR="004A4F16" w:rsidRDefault="004A09CE">
      <w:r>
        <w:t>Decreases from baseline for blood pressure were observed at Month 6, including patients who did not receive any antihypertensive medication</w:t>
      </w:r>
      <w:r w:rsidR="00F144D1">
        <w:t xml:space="preserve">. </w:t>
      </w:r>
      <w:r w:rsidR="00F144D1" w:rsidRPr="00F144D1">
        <w:t>However, due to the fact that the study</w:t>
      </w:r>
      <w:r w:rsidR="004A4F16">
        <w:t xml:space="preserve"> </w:t>
      </w:r>
      <w:r w:rsidR="00F144D1" w:rsidRPr="00F144D1">
        <w:t>allowed initiation of antihypertensive medication and dose increases in patients already receiving such medications, the ind</w:t>
      </w:r>
      <w:r w:rsidR="00F144D1">
        <w:t xml:space="preserve">ividual contribution of </w:t>
      </w:r>
      <w:proofErr w:type="spellStart"/>
      <w:r w:rsidR="00F144D1">
        <w:t>Signifor</w:t>
      </w:r>
      <w:proofErr w:type="spellEnd"/>
      <w:r w:rsidR="00F144D1" w:rsidRPr="00F144D1">
        <w:t xml:space="preserve"> or of antihypertensive medication adjustments cannot be clearly established.</w:t>
      </w:r>
      <w:r w:rsidR="0081797E" w:rsidRPr="00392ADF">
        <w:t xml:space="preserve"> </w:t>
      </w:r>
    </w:p>
    <w:p w:rsidR="004A4F16" w:rsidRDefault="0081797E">
      <w:r w:rsidRPr="00392ADF">
        <w:t xml:space="preserve">Facial </w:t>
      </w:r>
      <w:proofErr w:type="spellStart"/>
      <w:r w:rsidRPr="00392ADF">
        <w:t>rubor</w:t>
      </w:r>
      <w:proofErr w:type="spellEnd"/>
      <w:r w:rsidRPr="00392ADF">
        <w:t xml:space="preserve"> improved in 36.7% (18/49) and 59.6% (28/47) of patients treated with </w:t>
      </w:r>
      <w:r w:rsidR="00A163F4">
        <w:t>600</w:t>
      </w:r>
      <w:r w:rsidRPr="00392ADF">
        <w:t xml:space="preserve"> and </w:t>
      </w:r>
      <w:r w:rsidR="00A163F4">
        <w:t>900</w:t>
      </w:r>
      <w:r w:rsidRPr="00392ADF">
        <w:t xml:space="preserve"> mg </w:t>
      </w:r>
      <w:proofErr w:type="spellStart"/>
      <w:r w:rsidRPr="00392ADF">
        <w:t>b.i.d</w:t>
      </w:r>
      <w:proofErr w:type="spellEnd"/>
      <w:r w:rsidRPr="00392ADF">
        <w:t>., respectively. More than a third of patients in either treatment group also demonstrated improvement in supraclavicular fat pad and dorsal fat pad. Similar findings were recorded at the Month 12 visit.</w:t>
      </w:r>
      <w:r w:rsidR="004A4F16">
        <w:t xml:space="preserve"> </w:t>
      </w:r>
      <w:r w:rsidRPr="00392ADF">
        <w:t xml:space="preserve">Baseline mean and median global </w:t>
      </w:r>
      <w:proofErr w:type="spellStart"/>
      <w:r w:rsidRPr="00392ADF">
        <w:t>CushingQoL</w:t>
      </w:r>
      <w:proofErr w:type="spellEnd"/>
      <w:r w:rsidRPr="00392ADF">
        <w:t xml:space="preserve"> scores were similar for the two dose groups. </w:t>
      </w:r>
    </w:p>
    <w:p w:rsidR="007710A8" w:rsidRDefault="00F144D1">
      <w:r w:rsidRPr="00F144D1">
        <w:lastRenderedPageBreak/>
        <w:t>Individual patients showed varying degrees of improvement in Cushing's disease</w:t>
      </w:r>
      <w:r w:rsidR="004A4F16">
        <w:t xml:space="preserve"> </w:t>
      </w:r>
      <w:r w:rsidRPr="00F144D1">
        <w:t xml:space="preserve">manifestations but because of the variability in response and the absence of a control group in this trial, it is uncertain whether these changes could be ascribed to the effects of </w:t>
      </w:r>
      <w:proofErr w:type="spellStart"/>
      <w:r w:rsidRPr="00F144D1">
        <w:t>Signifor</w:t>
      </w:r>
      <w:proofErr w:type="spellEnd"/>
      <w:r w:rsidRPr="00AB6278">
        <w:t>.</w:t>
      </w:r>
    </w:p>
    <w:p w:rsidR="0081797E" w:rsidRPr="00392ADF" w:rsidRDefault="0081797E"/>
    <w:p w:rsidR="0081797E" w:rsidRPr="00392ADF" w:rsidRDefault="002660E4" w:rsidP="00340E36">
      <w:pPr>
        <w:pStyle w:val="Heading1"/>
      </w:pPr>
      <w:r w:rsidRPr="00392ADF">
        <w:t>INDICATIONS</w:t>
      </w:r>
    </w:p>
    <w:p w:rsidR="000A7059" w:rsidRDefault="000A7059"/>
    <w:p w:rsidR="00F41814" w:rsidRPr="00392ADF" w:rsidRDefault="00F41814">
      <w:proofErr w:type="gramStart"/>
      <w:r>
        <w:t>T</w:t>
      </w:r>
      <w:r w:rsidRPr="00F41814">
        <w:t>he treatment of adult patients with Cushing’s disease for whom surgery is not an option or for whom surgery has failed.</w:t>
      </w:r>
      <w:proofErr w:type="gramEnd"/>
    </w:p>
    <w:p w:rsidR="00234CA0" w:rsidRPr="00392ADF" w:rsidRDefault="00234CA0"/>
    <w:p w:rsidR="0081797E" w:rsidRPr="00392ADF" w:rsidRDefault="002660E4" w:rsidP="00340E36">
      <w:pPr>
        <w:pStyle w:val="Heading1"/>
      </w:pPr>
      <w:r w:rsidRPr="00392ADF">
        <w:t>CONTRAINDICATIONS</w:t>
      </w:r>
    </w:p>
    <w:p w:rsidR="00234CA0" w:rsidRPr="00392ADF" w:rsidRDefault="00234CA0"/>
    <w:p w:rsidR="0081797E" w:rsidRDefault="0081797E">
      <w:proofErr w:type="gramStart"/>
      <w:r w:rsidRPr="00392ADF">
        <w:t>Severe hepatic impairment (Child Pugh C).</w:t>
      </w:r>
      <w:proofErr w:type="gramEnd"/>
    </w:p>
    <w:p w:rsidR="004A4F16" w:rsidRPr="00392ADF" w:rsidRDefault="004A4F16"/>
    <w:p w:rsidR="0081797E" w:rsidRPr="00392ADF" w:rsidRDefault="002660E4" w:rsidP="00340E36">
      <w:pPr>
        <w:pStyle w:val="Heading1"/>
      </w:pPr>
      <w:r w:rsidRPr="00392ADF">
        <w:t>PRECAUTIONS</w:t>
      </w:r>
    </w:p>
    <w:p w:rsidR="00234CA0" w:rsidRPr="00392ADF" w:rsidRDefault="00234CA0"/>
    <w:p w:rsidR="001479AC" w:rsidRPr="00392ADF" w:rsidRDefault="001479AC" w:rsidP="00340E36">
      <w:pPr>
        <w:pStyle w:val="Heading2"/>
      </w:pPr>
      <w:r w:rsidRPr="00392ADF">
        <w:t>Effects on Fertility</w:t>
      </w:r>
    </w:p>
    <w:p w:rsidR="001479AC" w:rsidRPr="00392ADF" w:rsidRDefault="001479AC">
      <w:r w:rsidRPr="00392ADF">
        <w:t xml:space="preserve">It is unknown whether </w:t>
      </w:r>
      <w:proofErr w:type="spellStart"/>
      <w:r w:rsidRPr="00392ADF">
        <w:t>pasireotide</w:t>
      </w:r>
      <w:proofErr w:type="spellEnd"/>
      <w:r w:rsidRPr="00392ADF">
        <w:t xml:space="preserve"> has an effect on human fertility. Studies in rats have shown effects on female reproductive parameters.</w:t>
      </w:r>
    </w:p>
    <w:p w:rsidR="00C70817" w:rsidRPr="00392ADF" w:rsidRDefault="00C70817">
      <w:proofErr w:type="spellStart"/>
      <w:r w:rsidRPr="00392ADF">
        <w:t>Pasireotide</w:t>
      </w:r>
      <w:proofErr w:type="spellEnd"/>
      <w:r w:rsidRPr="00392ADF">
        <w:t xml:space="preserve"> did not affect fertility in male rats at </w:t>
      </w:r>
      <w:r w:rsidR="004F78AC" w:rsidRPr="004F78AC">
        <w:t xml:space="preserve">subcutaneous </w:t>
      </w:r>
      <w:r w:rsidRPr="00392ADF">
        <w:t xml:space="preserve">doses up to 10 mg/kg/day (a dose </w:t>
      </w:r>
      <w:r w:rsidR="004F78AC">
        <w:t>51</w:t>
      </w:r>
      <w:r w:rsidRPr="00392ADF">
        <w:t xml:space="preserve">-fold higher than the </w:t>
      </w:r>
      <w:r w:rsidR="004F78AC" w:rsidRPr="004F78AC">
        <w:t xml:space="preserve">maximum recommended human dose </w:t>
      </w:r>
      <w:r w:rsidR="004F78AC">
        <w:t xml:space="preserve">(MRHD) </w:t>
      </w:r>
      <w:r w:rsidRPr="00392ADF">
        <w:t>based on surface area, mg/m</w:t>
      </w:r>
      <w:r w:rsidRPr="00392ADF">
        <w:rPr>
          <w:vertAlign w:val="superscript"/>
        </w:rPr>
        <w:t>2</w:t>
      </w:r>
      <w:r w:rsidRPr="00392ADF">
        <w:t>). In female rats, fertility was decreased at daily doses of 0.1 mg/kg/day (</w:t>
      </w:r>
      <w:r w:rsidR="004F78AC">
        <w:t>0.5</w:t>
      </w:r>
      <w:r w:rsidRPr="00392ADF">
        <w:t xml:space="preserve">-fold the </w:t>
      </w:r>
      <w:r w:rsidR="004F78AC">
        <w:t xml:space="preserve">MRHD </w:t>
      </w:r>
      <w:r w:rsidRPr="00392ADF">
        <w:t>based on surface area, mg/m</w:t>
      </w:r>
      <w:r w:rsidRPr="00392ADF">
        <w:rPr>
          <w:vertAlign w:val="superscript"/>
        </w:rPr>
        <w:t>2</w:t>
      </w:r>
      <w:r w:rsidRPr="00392ADF">
        <w:t>) as shown by decreased numbers of implantation sites</w:t>
      </w:r>
      <w:r w:rsidR="004F78AC">
        <w:t xml:space="preserve"> </w:t>
      </w:r>
      <w:r w:rsidR="004F78AC" w:rsidRPr="004F78AC">
        <w:t>and viable fetuses</w:t>
      </w:r>
      <w:r w:rsidRPr="00392ADF">
        <w:t xml:space="preserve">. </w:t>
      </w:r>
      <w:r w:rsidR="004F78AC" w:rsidRPr="004F78AC">
        <w:t xml:space="preserve">Decreased corpora </w:t>
      </w:r>
      <w:proofErr w:type="spellStart"/>
      <w:r w:rsidR="004F78AC" w:rsidRPr="004F78AC">
        <w:t>lutea</w:t>
      </w:r>
      <w:proofErr w:type="spellEnd"/>
      <w:r w:rsidR="004F78AC" w:rsidRPr="004F78AC">
        <w:t xml:space="preserve"> and </w:t>
      </w:r>
      <w:r w:rsidR="004F78AC">
        <w:t>a</w:t>
      </w:r>
      <w:r w:rsidRPr="00392ADF">
        <w:t xml:space="preserve">bnormal cycles or </w:t>
      </w:r>
      <w:proofErr w:type="spellStart"/>
      <w:r w:rsidRPr="00392ADF">
        <w:t>acyclicity</w:t>
      </w:r>
      <w:proofErr w:type="spellEnd"/>
      <w:r w:rsidRPr="00392ADF">
        <w:t xml:space="preserve"> were observed at 1 mg/kg/day (5-fold higher than the </w:t>
      </w:r>
      <w:r w:rsidR="00BF44E0">
        <w:t>MRHD</w:t>
      </w:r>
      <w:r w:rsidRPr="00392ADF">
        <w:t xml:space="preserve"> based on surface area, mg/m</w:t>
      </w:r>
      <w:r w:rsidRPr="00392ADF">
        <w:rPr>
          <w:vertAlign w:val="superscript"/>
        </w:rPr>
        <w:t>2</w:t>
      </w:r>
      <w:r w:rsidRPr="00392ADF">
        <w:t>).</w:t>
      </w:r>
      <w:r w:rsidR="004F78AC">
        <w:t xml:space="preserve"> </w:t>
      </w:r>
      <w:r w:rsidR="004F78AC" w:rsidRPr="004F78AC">
        <w:t xml:space="preserve">This effect is consistent with the pharmacological action of </w:t>
      </w:r>
      <w:proofErr w:type="spellStart"/>
      <w:r w:rsidR="004F78AC" w:rsidRPr="004F78AC">
        <w:t>pasireotide</w:t>
      </w:r>
      <w:proofErr w:type="spellEnd"/>
      <w:r w:rsidR="004F78AC" w:rsidRPr="004F78AC">
        <w:t xml:space="preserve"> to inhibit IGF-1 secretion</w:t>
      </w:r>
      <w:r w:rsidR="004F78AC">
        <w:t>.</w:t>
      </w:r>
    </w:p>
    <w:p w:rsidR="00234CA0" w:rsidRPr="00392ADF" w:rsidRDefault="00234CA0"/>
    <w:p w:rsidR="001479AC" w:rsidRPr="00392ADF" w:rsidRDefault="001479AC" w:rsidP="00BC2062">
      <w:pPr>
        <w:pStyle w:val="Heading2"/>
      </w:pPr>
      <w:r w:rsidRPr="00392ADF">
        <w:t>Use in Pregnancy</w:t>
      </w:r>
      <w:r w:rsidR="0091779D" w:rsidRPr="00392ADF">
        <w:t xml:space="preserve"> – Category B3</w:t>
      </w:r>
    </w:p>
    <w:p w:rsidR="001479AC" w:rsidRDefault="001479AC">
      <w:r w:rsidRPr="00392ADF">
        <w:t>There are no adequate and well-controlled studies in pregnant women</w:t>
      </w:r>
      <w:r w:rsidR="00327F19" w:rsidRPr="00392ADF">
        <w:t xml:space="preserve"> and women of child bearing age</w:t>
      </w:r>
      <w:r w:rsidRPr="00392ADF">
        <w:t xml:space="preserve">. </w:t>
      </w:r>
      <w:r w:rsidR="00327F19" w:rsidRPr="00392ADF">
        <w:t xml:space="preserve">Studies in animals have shown evidence of an increased occurrence of fetal damage. </w:t>
      </w:r>
      <w:r w:rsidRPr="00392ADF">
        <w:t xml:space="preserve">The potential risk for humans is not known.  </w:t>
      </w:r>
    </w:p>
    <w:p w:rsidR="00C70817" w:rsidRDefault="00C70817">
      <w:r w:rsidRPr="00392ADF">
        <w:t xml:space="preserve">In </w:t>
      </w:r>
      <w:proofErr w:type="spellStart"/>
      <w:r w:rsidRPr="00392ADF">
        <w:t>embryofetal</w:t>
      </w:r>
      <w:proofErr w:type="spellEnd"/>
      <w:r w:rsidRPr="00392ADF">
        <w:t xml:space="preserve"> development studies in rats and rabbits, </w:t>
      </w:r>
      <w:r w:rsidR="00A77F16" w:rsidRPr="00A77F16">
        <w:t xml:space="preserve">no direct </w:t>
      </w:r>
      <w:proofErr w:type="spellStart"/>
      <w:r w:rsidR="00A77F16" w:rsidRPr="00A77F16">
        <w:t>teratogenic</w:t>
      </w:r>
      <w:proofErr w:type="spellEnd"/>
      <w:r w:rsidR="00A77F16" w:rsidRPr="00A77F16">
        <w:t xml:space="preserve"> effect of </w:t>
      </w:r>
      <w:proofErr w:type="spellStart"/>
      <w:r w:rsidRPr="00392ADF">
        <w:t>pasireotide</w:t>
      </w:r>
      <w:proofErr w:type="spellEnd"/>
      <w:r w:rsidRPr="00392ADF">
        <w:t xml:space="preserve"> was </w:t>
      </w:r>
      <w:r w:rsidR="00A77F16">
        <w:t>observed</w:t>
      </w:r>
      <w:r w:rsidRPr="00392ADF">
        <w:t xml:space="preserve"> at maternally toxic doses (respectively 10 and 5 mg/kg/day</w:t>
      </w:r>
      <w:r w:rsidR="00A77F16">
        <w:t xml:space="preserve"> </w:t>
      </w:r>
      <w:r w:rsidR="00A77F16" w:rsidRPr="00A77F16">
        <w:t>by subcutaneous injection</w:t>
      </w:r>
      <w:r w:rsidRPr="00392ADF">
        <w:t>) leading to exposures (</w:t>
      </w:r>
      <w:r w:rsidR="00A77F16" w:rsidRPr="00A77F16">
        <w:t xml:space="preserve">plasma </w:t>
      </w:r>
      <w:r w:rsidRPr="00392ADF">
        <w:t xml:space="preserve">AUC 0 to 24 </w:t>
      </w:r>
      <w:proofErr w:type="spellStart"/>
      <w:r w:rsidRPr="00392ADF">
        <w:t>hrs</w:t>
      </w:r>
      <w:proofErr w:type="spellEnd"/>
      <w:r w:rsidRPr="00392ADF">
        <w:t>) respectively 145- and 40-fold higher than</w:t>
      </w:r>
      <w:r w:rsidR="00A77F16">
        <w:t xml:space="preserve"> </w:t>
      </w:r>
      <w:r w:rsidR="00A77F16" w:rsidRPr="00A77F16">
        <w:t>in patients at</w:t>
      </w:r>
      <w:r w:rsidRPr="00392ADF">
        <w:t xml:space="preserve"> the </w:t>
      </w:r>
      <w:r w:rsidR="00A77F16">
        <w:t>MRHD</w:t>
      </w:r>
      <w:r w:rsidRPr="00392ADF">
        <w:t xml:space="preserve">. At 10 mg/kg/day in rats, the frequency of early/total </w:t>
      </w:r>
      <w:proofErr w:type="spellStart"/>
      <w:r w:rsidRPr="00392ADF">
        <w:t>resorptions</w:t>
      </w:r>
      <w:proofErr w:type="spellEnd"/>
      <w:r w:rsidRPr="00392ADF">
        <w:t xml:space="preserve"> and </w:t>
      </w:r>
      <w:proofErr w:type="spellStart"/>
      <w:r w:rsidRPr="00392ADF">
        <w:t>malrotated</w:t>
      </w:r>
      <w:proofErr w:type="spellEnd"/>
      <w:r w:rsidRPr="00392ADF">
        <w:t xml:space="preserve"> limbs was increased</w:t>
      </w:r>
      <w:r w:rsidR="00A77F16">
        <w:t xml:space="preserve">, </w:t>
      </w:r>
      <w:r w:rsidR="00A77F16" w:rsidRPr="00A77F16">
        <w:t xml:space="preserve">fetal weight was decreased and </w:t>
      </w:r>
      <w:r w:rsidR="00A77F16" w:rsidRPr="00A77F16">
        <w:lastRenderedPageBreak/>
        <w:t>ossification was impaired</w:t>
      </w:r>
      <w:r w:rsidRPr="00392ADF">
        <w:t xml:space="preserve">. At 5 mg/kg/day in rabbits, increased abortions, reduced fetal weights and ensuing skeletal variations were observed. Reduced fetal weight and ensuing delayed ossification were </w:t>
      </w:r>
      <w:r w:rsidR="00A77F16">
        <w:t xml:space="preserve">also </w:t>
      </w:r>
      <w:r w:rsidRPr="00392ADF">
        <w:t xml:space="preserve">seen </w:t>
      </w:r>
      <w:r w:rsidR="00A77F16">
        <w:t xml:space="preserve">in rabbits </w:t>
      </w:r>
      <w:r w:rsidRPr="00392ADF">
        <w:t>at 1 mg/kg/day (6.5-fold</w:t>
      </w:r>
      <w:r w:rsidR="00A77F16" w:rsidRPr="00A77F16">
        <w:t xml:space="preserve"> the plasma AUC at the MRHD</w:t>
      </w:r>
      <w:r w:rsidRPr="00392ADF">
        <w:t>).</w:t>
      </w:r>
    </w:p>
    <w:p w:rsidR="00234CA0" w:rsidRPr="00392ADF" w:rsidRDefault="00234CA0"/>
    <w:p w:rsidR="00234CA0" w:rsidRPr="00392ADF" w:rsidRDefault="001479AC" w:rsidP="00BC2062">
      <w:pPr>
        <w:pStyle w:val="Heading3"/>
      </w:pPr>
      <w:proofErr w:type="spellStart"/>
      <w:r w:rsidRPr="00392ADF">
        <w:t>Labour</w:t>
      </w:r>
      <w:proofErr w:type="spellEnd"/>
      <w:r w:rsidRPr="00392ADF">
        <w:t xml:space="preserve"> and delivery:</w:t>
      </w:r>
    </w:p>
    <w:p w:rsidR="001479AC" w:rsidRPr="00392ADF" w:rsidRDefault="001479AC">
      <w:r w:rsidRPr="00392ADF">
        <w:t xml:space="preserve">No data in humans are available. </w:t>
      </w:r>
    </w:p>
    <w:p w:rsidR="00C70817" w:rsidRDefault="00C70817">
      <w:proofErr w:type="spellStart"/>
      <w:r w:rsidRPr="00392ADF">
        <w:t>Pasireotide</w:t>
      </w:r>
      <w:proofErr w:type="spellEnd"/>
      <w:r w:rsidRPr="00392ADF">
        <w:t xml:space="preserve"> had no effects on </w:t>
      </w:r>
      <w:proofErr w:type="spellStart"/>
      <w:r w:rsidRPr="00392ADF">
        <w:t>labour</w:t>
      </w:r>
      <w:proofErr w:type="spellEnd"/>
      <w:r w:rsidRPr="00392ADF">
        <w:t xml:space="preserve"> and delivery in rats administered up to 10 mg/kg/day (52-fold higher than the </w:t>
      </w:r>
      <w:r w:rsidR="00BF44E0">
        <w:t>MRHD</w:t>
      </w:r>
      <w:r w:rsidRPr="00392ADF">
        <w:t xml:space="preserve"> based on surface area, mg/m</w:t>
      </w:r>
      <w:r w:rsidRPr="00392ADF">
        <w:rPr>
          <w:vertAlign w:val="superscript"/>
        </w:rPr>
        <w:t>2</w:t>
      </w:r>
      <w:r w:rsidRPr="00392ADF">
        <w:t>).</w:t>
      </w:r>
    </w:p>
    <w:p w:rsidR="00387AF7" w:rsidRDefault="00387AF7"/>
    <w:p w:rsidR="00387AF7" w:rsidRPr="00392ADF" w:rsidRDefault="00387AF7">
      <w:proofErr w:type="spellStart"/>
      <w:r>
        <w:t>Signifor</w:t>
      </w:r>
      <w:proofErr w:type="spellEnd"/>
      <w:r>
        <w:t xml:space="preserve"> should be used during pregnancy only if the expected benefit outweighs the potential risk to the fetus</w:t>
      </w:r>
      <w:r w:rsidRPr="00392ADF">
        <w:t>.</w:t>
      </w:r>
    </w:p>
    <w:p w:rsidR="00234CA0" w:rsidRPr="00392ADF" w:rsidRDefault="00234CA0"/>
    <w:p w:rsidR="001479AC" w:rsidRPr="00392ADF" w:rsidRDefault="00234CA0" w:rsidP="00BC2062">
      <w:pPr>
        <w:pStyle w:val="Heading2"/>
      </w:pPr>
      <w:r w:rsidRPr="00392ADF">
        <w:t>Use in L</w:t>
      </w:r>
      <w:r w:rsidR="001479AC" w:rsidRPr="00392ADF">
        <w:t>actation</w:t>
      </w:r>
    </w:p>
    <w:p w:rsidR="001479AC" w:rsidRDefault="001479AC">
      <w:r w:rsidRPr="00392ADF">
        <w:t xml:space="preserve">It is not known whether </w:t>
      </w:r>
      <w:proofErr w:type="spellStart"/>
      <w:r w:rsidRPr="00392ADF">
        <w:t>pasireotide</w:t>
      </w:r>
      <w:proofErr w:type="spellEnd"/>
      <w:r w:rsidRPr="00392ADF">
        <w:t xml:space="preserve"> is excreted in human milk. Available data in rats have shown excretion of </w:t>
      </w:r>
      <w:proofErr w:type="spellStart"/>
      <w:r w:rsidRPr="00392ADF">
        <w:t>pasireotide</w:t>
      </w:r>
      <w:proofErr w:type="spellEnd"/>
      <w:r w:rsidRPr="00392ADF">
        <w:t xml:space="preserve"> in milk. As a risk to the breastfed child cannot be excluded, </w:t>
      </w:r>
      <w:proofErr w:type="spellStart"/>
      <w:r w:rsidRPr="00392ADF">
        <w:t>Signifor</w:t>
      </w:r>
      <w:proofErr w:type="spellEnd"/>
      <w:r w:rsidRPr="00392ADF">
        <w:t xml:space="preserve"> should not be used by the nursing mother.</w:t>
      </w:r>
    </w:p>
    <w:p w:rsidR="00C70817" w:rsidRPr="00392ADF" w:rsidRDefault="00C70817">
      <w:r w:rsidRPr="00392ADF">
        <w:t xml:space="preserve">Retardation of physiological growth, attributed to GH inhibition was observed at </w:t>
      </w:r>
      <w:r w:rsidR="007234FD" w:rsidRPr="007234FD">
        <w:t>all doses tested</w:t>
      </w:r>
      <w:r w:rsidR="007234FD">
        <w:t xml:space="preserve"> (≥</w:t>
      </w:r>
      <w:r w:rsidRPr="00392ADF">
        <w:t>2 mg/kg/day</w:t>
      </w:r>
      <w:r w:rsidR="007234FD">
        <w:t xml:space="preserve"> </w:t>
      </w:r>
      <w:r w:rsidR="007234FD" w:rsidRPr="007234FD">
        <w:t>by subcutaneous injection</w:t>
      </w:r>
      <w:r w:rsidR="007234FD">
        <w:t>;</w:t>
      </w:r>
      <w:r w:rsidRPr="00392ADF">
        <w:t xml:space="preserve"> </w:t>
      </w:r>
      <w:r w:rsidR="007234FD">
        <w:t>≥</w:t>
      </w:r>
      <w:r w:rsidRPr="00392ADF">
        <w:t xml:space="preserve">10-fold higher than the </w:t>
      </w:r>
      <w:r w:rsidR="007234FD">
        <w:t>MRHD</w:t>
      </w:r>
      <w:r w:rsidRPr="00392ADF">
        <w:t xml:space="preserve"> based on surface area, mg/m</w:t>
      </w:r>
      <w:r w:rsidRPr="00392ADF">
        <w:rPr>
          <w:vertAlign w:val="superscript"/>
        </w:rPr>
        <w:t>2</w:t>
      </w:r>
      <w:r w:rsidRPr="00392ADF">
        <w:t xml:space="preserve">) </w:t>
      </w:r>
      <w:r w:rsidR="007234FD">
        <w:t>in</w:t>
      </w:r>
      <w:r w:rsidRPr="00392ADF">
        <w:t xml:space="preserve"> a pre- and postnatal study in rats. After weaning, body weight gains in the rat pups exposed to </w:t>
      </w:r>
      <w:proofErr w:type="spellStart"/>
      <w:r w:rsidRPr="00392ADF">
        <w:t>pasireotide</w:t>
      </w:r>
      <w:proofErr w:type="spellEnd"/>
      <w:r w:rsidRPr="00392ADF">
        <w:t xml:space="preserve"> were comparable to controls, showing reversibility.</w:t>
      </w:r>
    </w:p>
    <w:p w:rsidR="004F2F50" w:rsidRDefault="004F2F50"/>
    <w:p w:rsidR="00DE5E7D" w:rsidRPr="00392ADF" w:rsidRDefault="00DE5E7D" w:rsidP="00BC2062">
      <w:pPr>
        <w:pStyle w:val="Heading2"/>
      </w:pPr>
      <w:proofErr w:type="spellStart"/>
      <w:r w:rsidRPr="00392ADF">
        <w:t>P</w:t>
      </w:r>
      <w:r w:rsidR="00B86C70" w:rsidRPr="00392ADF">
        <w:t>a</w:t>
      </w:r>
      <w:r w:rsidRPr="00392ADF">
        <w:t>ediatric</w:t>
      </w:r>
      <w:proofErr w:type="spellEnd"/>
      <w:r w:rsidRPr="00392ADF">
        <w:t xml:space="preserve"> Use</w:t>
      </w:r>
    </w:p>
    <w:p w:rsidR="00DE5E7D" w:rsidRPr="00392ADF" w:rsidRDefault="00DE5E7D">
      <w:proofErr w:type="spellStart"/>
      <w:r w:rsidRPr="00392ADF">
        <w:t>Signifor</w:t>
      </w:r>
      <w:proofErr w:type="spellEnd"/>
      <w:r w:rsidRPr="00392ADF">
        <w:t xml:space="preserve"> is not recommended for use in </w:t>
      </w:r>
      <w:proofErr w:type="spellStart"/>
      <w:r w:rsidR="00B86C70" w:rsidRPr="00392ADF">
        <w:t>paediatric</w:t>
      </w:r>
      <w:proofErr w:type="spellEnd"/>
      <w:r w:rsidRPr="00392ADF">
        <w:t xml:space="preserve"> Cushing’s disease patients as there are no clinical data available in patients under 18 years of age.</w:t>
      </w:r>
    </w:p>
    <w:p w:rsidR="00752663" w:rsidRPr="00392ADF" w:rsidRDefault="00752663"/>
    <w:p w:rsidR="00DE5E7D" w:rsidRPr="00392ADF" w:rsidRDefault="00752663" w:rsidP="00BC2062">
      <w:pPr>
        <w:pStyle w:val="Heading2"/>
      </w:pPr>
      <w:r w:rsidRPr="00392ADF">
        <w:t>Use in the E</w:t>
      </w:r>
      <w:r w:rsidR="00DE5E7D" w:rsidRPr="00392ADF">
        <w:t>lderly</w:t>
      </w:r>
    </w:p>
    <w:p w:rsidR="00DE5E7D" w:rsidRPr="00392ADF" w:rsidRDefault="00DE5E7D">
      <w:r w:rsidRPr="00392ADF">
        <w:t xml:space="preserve">There are limited data on the use of </w:t>
      </w:r>
      <w:proofErr w:type="spellStart"/>
      <w:r w:rsidRPr="00392ADF">
        <w:t>Signifor</w:t>
      </w:r>
      <w:proofErr w:type="spellEnd"/>
      <w:r w:rsidRPr="00392ADF">
        <w:t xml:space="preserve"> in patients older than 65 years but there is no evidence suggesting that a dose adjustment is required in elderly patients (see </w:t>
      </w:r>
      <w:r w:rsidR="0080509B" w:rsidRPr="00392ADF">
        <w:t>P</w:t>
      </w:r>
      <w:r w:rsidRPr="00392ADF">
        <w:t xml:space="preserve">harmacology) </w:t>
      </w:r>
    </w:p>
    <w:p w:rsidR="00147067" w:rsidRPr="00392ADF" w:rsidRDefault="00147067"/>
    <w:p w:rsidR="0081797E" w:rsidRPr="00392ADF" w:rsidRDefault="0081797E" w:rsidP="00BC2062">
      <w:pPr>
        <w:pStyle w:val="Heading2"/>
      </w:pPr>
      <w:proofErr w:type="spellStart"/>
      <w:r w:rsidRPr="00392ADF">
        <w:t>Hypocortisolism</w:t>
      </w:r>
      <w:proofErr w:type="spellEnd"/>
    </w:p>
    <w:p w:rsidR="0081797E" w:rsidRPr="00392ADF" w:rsidRDefault="0081797E">
      <w:r w:rsidRPr="00392ADF">
        <w:t xml:space="preserve">Treatment with </w:t>
      </w:r>
      <w:proofErr w:type="spellStart"/>
      <w:r w:rsidRPr="00392ADF">
        <w:t>Signifor</w:t>
      </w:r>
      <w:proofErr w:type="spellEnd"/>
      <w:r w:rsidRPr="00392ADF">
        <w:t xml:space="preserve"> leads to a rapid suppression of ACTH (adrenocorticotropic hormone) secretion in Cushing’s disease patients. </w:t>
      </w:r>
      <w:r w:rsidR="00EE3F3A" w:rsidRPr="00EE3F3A">
        <w:t xml:space="preserve">Suppression of ACTH may lead to a decrease in circulating levels of cortisol and potentially </w:t>
      </w:r>
      <w:proofErr w:type="spellStart"/>
      <w:r w:rsidR="00EE3F3A" w:rsidRPr="00EE3F3A">
        <w:t>hypocortisolism</w:t>
      </w:r>
      <w:proofErr w:type="spellEnd"/>
      <w:r w:rsidR="00EE3F3A" w:rsidRPr="00EE3F3A">
        <w:t>.</w:t>
      </w:r>
      <w:r w:rsidR="00EE3F3A" w:rsidRPr="00392ADF" w:rsidDel="00EE3F3A">
        <w:t xml:space="preserve"> </w:t>
      </w:r>
      <w:r w:rsidRPr="00392ADF">
        <w:t xml:space="preserve">Cases of </w:t>
      </w:r>
      <w:proofErr w:type="spellStart"/>
      <w:r w:rsidRPr="00392ADF">
        <w:t>hypocortisolism</w:t>
      </w:r>
      <w:proofErr w:type="spellEnd"/>
      <w:r w:rsidRPr="00392ADF">
        <w:t xml:space="preserve"> have been reported in the Phase III study in Cushing’s </w:t>
      </w:r>
      <w:r w:rsidR="00AA5181" w:rsidRPr="00392ADF">
        <w:t xml:space="preserve">disease patients (see </w:t>
      </w:r>
      <w:r w:rsidRPr="00392ADF">
        <w:t xml:space="preserve">Adverse </w:t>
      </w:r>
      <w:r w:rsidR="00AA5181" w:rsidRPr="00392ADF">
        <w:t>effects</w:t>
      </w:r>
      <w:r w:rsidRPr="00392ADF">
        <w:t xml:space="preserve">), </w:t>
      </w:r>
      <w:r w:rsidRPr="00392ADF">
        <w:lastRenderedPageBreak/>
        <w:t xml:space="preserve">generally within the first two months of treatment. It is therefore necessary to monitor and instruct patients on the signs and symptoms associated with </w:t>
      </w:r>
      <w:proofErr w:type="spellStart"/>
      <w:r w:rsidRPr="00392ADF">
        <w:t>hypocortisolism</w:t>
      </w:r>
      <w:proofErr w:type="spellEnd"/>
      <w:r w:rsidRPr="00392ADF">
        <w:t xml:space="preserve"> (e.g. weakness, fatigue, anorexia, nausea, vomiting, hypotension,</w:t>
      </w:r>
      <w:r w:rsidR="00AA5181" w:rsidRPr="00392ADF">
        <w:t xml:space="preserve"> </w:t>
      </w:r>
      <w:proofErr w:type="spellStart"/>
      <w:r w:rsidRPr="00392ADF">
        <w:t>hyponatremia</w:t>
      </w:r>
      <w:proofErr w:type="spellEnd"/>
      <w:r w:rsidRPr="00392ADF">
        <w:t xml:space="preserve"> or hypoglycemia). In case of documented </w:t>
      </w:r>
      <w:proofErr w:type="spellStart"/>
      <w:r w:rsidRPr="00392ADF">
        <w:t>hypocortisolism</w:t>
      </w:r>
      <w:proofErr w:type="spellEnd"/>
      <w:r w:rsidRPr="00392ADF">
        <w:t xml:space="preserve">, temporary exogenous steroid (glucocorticoid) replacement therapy and/or dose reduction or interruption of treatment with </w:t>
      </w:r>
      <w:proofErr w:type="spellStart"/>
      <w:r w:rsidRPr="00392ADF">
        <w:t>Signifor</w:t>
      </w:r>
      <w:proofErr w:type="spellEnd"/>
      <w:r w:rsidRPr="00392ADF">
        <w:t xml:space="preserve"> may be necessary. </w:t>
      </w:r>
    </w:p>
    <w:p w:rsidR="00147067" w:rsidRPr="00392ADF" w:rsidRDefault="00147067"/>
    <w:p w:rsidR="004A4F16" w:rsidRDefault="00EE3F3A" w:rsidP="00ED26E2">
      <w:pPr>
        <w:pStyle w:val="Heading2"/>
      </w:pPr>
      <w:proofErr w:type="spellStart"/>
      <w:r w:rsidRPr="00FB4008">
        <w:t>Hyperglyc</w:t>
      </w:r>
      <w:r w:rsidR="00A163F4" w:rsidRPr="00FB4008">
        <w:t>a</w:t>
      </w:r>
      <w:r w:rsidRPr="00FB4008">
        <w:t>emia</w:t>
      </w:r>
      <w:proofErr w:type="spellEnd"/>
      <w:r w:rsidRPr="00FB4008">
        <w:t>/</w:t>
      </w:r>
      <w:proofErr w:type="spellStart"/>
      <w:r w:rsidRPr="00FB4008">
        <w:t>hypoglyc</w:t>
      </w:r>
      <w:r w:rsidR="00A163F4" w:rsidRPr="00FB4008">
        <w:t>a</w:t>
      </w:r>
      <w:r w:rsidRPr="00FB4008">
        <w:t>emia</w:t>
      </w:r>
      <w:proofErr w:type="spellEnd"/>
      <w:r w:rsidRPr="00FB4008">
        <w:t xml:space="preserve"> and Diabetes</w:t>
      </w:r>
      <w:r w:rsidRPr="00392ADF" w:rsidDel="00EE3F3A">
        <w:t xml:space="preserve"> </w:t>
      </w:r>
    </w:p>
    <w:p w:rsidR="00EE3F3A" w:rsidRPr="00EE3F3A" w:rsidRDefault="00EE3F3A" w:rsidP="00FB4008">
      <w:pPr>
        <w:pStyle w:val="Text"/>
      </w:pPr>
      <w:r w:rsidRPr="00EE3F3A">
        <w:t xml:space="preserve">Elevations in blood glucose levels have been seen in healthy volunteers and patients treated with </w:t>
      </w:r>
      <w:proofErr w:type="spellStart"/>
      <w:r>
        <w:t>Signifor</w:t>
      </w:r>
      <w:proofErr w:type="spellEnd"/>
      <w:r w:rsidRPr="00EE3F3A">
        <w:t xml:space="preserve">. </w:t>
      </w:r>
      <w:r w:rsidR="00071264">
        <w:t>In the Phase 3</w:t>
      </w:r>
      <w:r w:rsidRPr="00EE3F3A">
        <w:t xml:space="preserve"> trial, nearly all patients</w:t>
      </w:r>
      <w:r w:rsidR="00071264">
        <w:t xml:space="preserve"> (</w:t>
      </w:r>
      <w:r w:rsidRPr="00EE3F3A">
        <w:t>including those with normal glucose status at basel</w:t>
      </w:r>
      <w:r w:rsidR="00071264">
        <w:t xml:space="preserve">ine, pre-diabetes, and diabetes) </w:t>
      </w:r>
      <w:r w:rsidRPr="00EE3F3A">
        <w:t>developed worsening glyc</w:t>
      </w:r>
      <w:r w:rsidR="00071264">
        <w:t>a</w:t>
      </w:r>
      <w:r w:rsidRPr="00EE3F3A">
        <w:t xml:space="preserve">emia in the first two weeks of treatment. Cushing’s disease patients with poor </w:t>
      </w:r>
      <w:proofErr w:type="spellStart"/>
      <w:r w:rsidRPr="00EE3F3A">
        <w:t>glyc</w:t>
      </w:r>
      <w:r w:rsidR="00071264">
        <w:t>a</w:t>
      </w:r>
      <w:r w:rsidRPr="00EE3F3A">
        <w:t>emic</w:t>
      </w:r>
      <w:proofErr w:type="spellEnd"/>
      <w:r w:rsidRPr="00EE3F3A">
        <w:t xml:space="preserve"> control (as defined by HbA1c values &gt;8% while receiving anti-diabetic therapy) may be at a higher risk of developing severe </w:t>
      </w:r>
      <w:proofErr w:type="spellStart"/>
      <w:r w:rsidRPr="00EE3F3A">
        <w:t>hyperglyc</w:t>
      </w:r>
      <w:r w:rsidR="00071264">
        <w:t>a</w:t>
      </w:r>
      <w:r w:rsidRPr="00EE3F3A">
        <w:t>emia</w:t>
      </w:r>
      <w:proofErr w:type="spellEnd"/>
      <w:r w:rsidRPr="00EE3F3A">
        <w:t xml:space="preserve"> and associated complications, e.g. ketoacidosis. </w:t>
      </w:r>
      <w:r w:rsidR="00071264" w:rsidRPr="00071264">
        <w:t xml:space="preserve">Because of this predictable adverse reaction, the </w:t>
      </w:r>
      <w:proofErr w:type="spellStart"/>
      <w:r w:rsidR="00071264" w:rsidRPr="00071264">
        <w:t>glyc</w:t>
      </w:r>
      <w:r w:rsidR="00071264">
        <w:t>a</w:t>
      </w:r>
      <w:r w:rsidR="00071264" w:rsidRPr="00071264">
        <w:t>emic</w:t>
      </w:r>
      <w:proofErr w:type="spellEnd"/>
      <w:r w:rsidR="00071264" w:rsidRPr="00071264">
        <w:t xml:space="preserve"> status </w:t>
      </w:r>
      <w:r w:rsidR="004913DA">
        <w:t>must</w:t>
      </w:r>
      <w:r w:rsidR="00071264" w:rsidRPr="00071264">
        <w:t xml:space="preserve"> be assessed prior to starting treatment with </w:t>
      </w:r>
      <w:proofErr w:type="spellStart"/>
      <w:r w:rsidR="00071264" w:rsidRPr="00071264">
        <w:t>Signifor</w:t>
      </w:r>
      <w:proofErr w:type="spellEnd"/>
      <w:r w:rsidR="00414A9E">
        <w:t xml:space="preserve"> and regularly monitored</w:t>
      </w:r>
      <w:r w:rsidR="00071264" w:rsidRPr="00071264">
        <w:t>.</w:t>
      </w:r>
    </w:p>
    <w:p w:rsidR="0081797E" w:rsidRPr="00392ADF" w:rsidRDefault="00B80461" w:rsidP="00A25CE6">
      <w:pPr>
        <w:pStyle w:val="Text"/>
      </w:pPr>
      <w:proofErr w:type="spellStart"/>
      <w:r>
        <w:t>H</w:t>
      </w:r>
      <w:r w:rsidR="0081797E" w:rsidRPr="00392ADF">
        <w:t>ypoglyc</w:t>
      </w:r>
      <w:r w:rsidR="00587034">
        <w:t>a</w:t>
      </w:r>
      <w:r w:rsidR="0081797E" w:rsidRPr="00392ADF">
        <w:t>emia</w:t>
      </w:r>
      <w:proofErr w:type="spellEnd"/>
      <w:r>
        <w:t xml:space="preserve"> was </w:t>
      </w:r>
      <w:r w:rsidR="004913DA">
        <w:t xml:space="preserve">also </w:t>
      </w:r>
      <w:r w:rsidR="0081797E" w:rsidRPr="00392ADF">
        <w:t xml:space="preserve">observed in subjects participating in clinical trials with </w:t>
      </w:r>
      <w:proofErr w:type="spellStart"/>
      <w:r w:rsidR="0081797E" w:rsidRPr="00392ADF">
        <w:t>pasireotide</w:t>
      </w:r>
      <w:proofErr w:type="spellEnd"/>
      <w:r w:rsidR="0081797E" w:rsidRPr="00392ADF">
        <w:t xml:space="preserve"> (see </w:t>
      </w:r>
      <w:proofErr w:type="gramStart"/>
      <w:r w:rsidR="0081797E" w:rsidRPr="00392ADF">
        <w:t>Adverse</w:t>
      </w:r>
      <w:proofErr w:type="gramEnd"/>
      <w:r w:rsidR="0081797E" w:rsidRPr="00392ADF">
        <w:t xml:space="preserve"> </w:t>
      </w:r>
      <w:r w:rsidR="00AA5181" w:rsidRPr="00392ADF">
        <w:t>effects</w:t>
      </w:r>
      <w:r w:rsidR="0081797E" w:rsidRPr="00392ADF">
        <w:t>)</w:t>
      </w:r>
      <w:r>
        <w:t xml:space="preserve"> but less frequently than </w:t>
      </w:r>
      <w:proofErr w:type="spellStart"/>
      <w:r>
        <w:t>hyperglycaemia</w:t>
      </w:r>
      <w:proofErr w:type="spellEnd"/>
      <w:r w:rsidR="0081797E" w:rsidRPr="00392ADF">
        <w:t xml:space="preserve">. </w:t>
      </w:r>
    </w:p>
    <w:p w:rsidR="00B80461" w:rsidRDefault="00907B2D" w:rsidP="00A25CE6">
      <w:pPr>
        <w:pStyle w:val="Text"/>
      </w:pPr>
      <w:r>
        <w:t>In patients with uncontrolled diabetes mellitus in</w:t>
      </w:r>
      <w:r w:rsidR="00B147DA">
        <w:t xml:space="preserve">tensive anti-diabetic therapy should be initiated prior to treatment with </w:t>
      </w:r>
      <w:proofErr w:type="spellStart"/>
      <w:r w:rsidR="00B147DA">
        <w:t>Signifor</w:t>
      </w:r>
      <w:proofErr w:type="spellEnd"/>
      <w:r w:rsidR="00050280">
        <w:t>.</w:t>
      </w:r>
      <w:r w:rsidR="004061E8">
        <w:t xml:space="preserve"> </w:t>
      </w:r>
      <w:r w:rsidR="00050280">
        <w:t>D</w:t>
      </w:r>
      <w:r w:rsidR="00B147DA">
        <w:t xml:space="preserve">uring treatment, additional monitoring and dose adjustments of the anti-diabetic therapy (including insulin) may be necessary.  </w:t>
      </w:r>
    </w:p>
    <w:p w:rsidR="0081797E" w:rsidRPr="00071264" w:rsidRDefault="0081797E" w:rsidP="00A25CE6">
      <w:pPr>
        <w:pStyle w:val="Text"/>
      </w:pPr>
      <w:r w:rsidRPr="00392ADF">
        <w:t xml:space="preserve">FPG/HbA1c monitoring during treatment should follow established guidelines. Self-monitoring of blood glucose and/or FPG assessments should be done every week for the first two to three months and periodically thereafter, as clinically appropriate. After treatment discontinuation, </w:t>
      </w:r>
      <w:proofErr w:type="spellStart"/>
      <w:r w:rsidRPr="00392ADF">
        <w:t>glyc</w:t>
      </w:r>
      <w:r w:rsidR="00A163F4">
        <w:t>a</w:t>
      </w:r>
      <w:r w:rsidRPr="00392ADF">
        <w:t>emic</w:t>
      </w:r>
      <w:proofErr w:type="spellEnd"/>
      <w:r w:rsidRPr="00392ADF">
        <w:t xml:space="preserve"> monitoring (e.g. FPG or HbA1c) should be done acc</w:t>
      </w:r>
      <w:r w:rsidR="003E4B26" w:rsidRPr="00392ADF">
        <w:t>ording to clinical practice</w:t>
      </w:r>
      <w:r w:rsidRPr="00392ADF">
        <w:t xml:space="preserve">. </w:t>
      </w:r>
    </w:p>
    <w:p w:rsidR="0081797E" w:rsidRPr="00392ADF" w:rsidRDefault="0081797E" w:rsidP="00C30302">
      <w:r w:rsidRPr="00392ADF">
        <w:t xml:space="preserve">If </w:t>
      </w:r>
      <w:proofErr w:type="spellStart"/>
      <w:r w:rsidRPr="00392ADF">
        <w:t>hyperglyc</w:t>
      </w:r>
      <w:r w:rsidR="00A163F4">
        <w:t>a</w:t>
      </w:r>
      <w:r w:rsidRPr="00392ADF">
        <w:t>emia</w:t>
      </w:r>
      <w:proofErr w:type="spellEnd"/>
      <w:r w:rsidRPr="00392ADF">
        <w:t xml:space="preserve"> develops in a patient treated with </w:t>
      </w:r>
      <w:proofErr w:type="spellStart"/>
      <w:r w:rsidRPr="00392ADF">
        <w:t>Signifor</w:t>
      </w:r>
      <w:proofErr w:type="spellEnd"/>
      <w:r w:rsidR="003E4B26" w:rsidRPr="00392ADF">
        <w:t>,</w:t>
      </w:r>
      <w:r w:rsidRPr="00392ADF">
        <w:t xml:space="preserve"> the initiation or adjustment of anti-diabetic treatment is recommended, following the established treatment guidelines for the management of </w:t>
      </w:r>
      <w:proofErr w:type="spellStart"/>
      <w:r w:rsidRPr="00392ADF">
        <w:t>hyperglycaemia</w:t>
      </w:r>
      <w:proofErr w:type="spellEnd"/>
      <w:r w:rsidRPr="00392ADF">
        <w:t xml:space="preserve">. </w:t>
      </w:r>
      <w:r w:rsidR="00071264" w:rsidRPr="00071264">
        <w:t>The optimal treatmen</w:t>
      </w:r>
      <w:r w:rsidR="00A163F4">
        <w:t xml:space="preserve">t for the management of </w:t>
      </w:r>
      <w:proofErr w:type="spellStart"/>
      <w:r w:rsidR="00A163F4">
        <w:t>Signifor</w:t>
      </w:r>
      <w:proofErr w:type="spellEnd"/>
      <w:r w:rsidR="00071264" w:rsidRPr="00071264">
        <w:t xml:space="preserve">-induced </w:t>
      </w:r>
      <w:proofErr w:type="spellStart"/>
      <w:r w:rsidR="00071264" w:rsidRPr="00071264">
        <w:t>hyperglyc</w:t>
      </w:r>
      <w:r w:rsidR="00A163F4">
        <w:t>a</w:t>
      </w:r>
      <w:r w:rsidR="00071264" w:rsidRPr="00071264">
        <w:t>emia</w:t>
      </w:r>
      <w:proofErr w:type="spellEnd"/>
      <w:r w:rsidR="00071264" w:rsidRPr="00071264">
        <w:t xml:space="preserve"> is not known</w:t>
      </w:r>
      <w:r w:rsidR="00071264">
        <w:t>.</w:t>
      </w:r>
      <w:r w:rsidR="00071264" w:rsidRPr="00392ADF">
        <w:t xml:space="preserve"> </w:t>
      </w:r>
      <w:r w:rsidRPr="00392ADF">
        <w:t xml:space="preserve">If uncontrolled </w:t>
      </w:r>
      <w:proofErr w:type="spellStart"/>
      <w:r w:rsidRPr="00392ADF">
        <w:t>hyperglyc</w:t>
      </w:r>
      <w:r w:rsidR="00A163F4">
        <w:t>a</w:t>
      </w:r>
      <w:r w:rsidRPr="00392ADF">
        <w:t>emia</w:t>
      </w:r>
      <w:proofErr w:type="spellEnd"/>
      <w:r w:rsidRPr="00392ADF">
        <w:t xml:space="preserve"> persists despite appropriate medical management the dose of </w:t>
      </w:r>
      <w:proofErr w:type="spellStart"/>
      <w:r w:rsidRPr="00392ADF">
        <w:t>Signifor</w:t>
      </w:r>
      <w:proofErr w:type="spellEnd"/>
      <w:r w:rsidRPr="00392ADF">
        <w:t xml:space="preserve"> should be reduced or the treatment discontinued.</w:t>
      </w:r>
    </w:p>
    <w:p w:rsidR="004061E8" w:rsidRPr="00392ADF" w:rsidRDefault="004061E8" w:rsidP="00FB4008">
      <w:r w:rsidRPr="007B09E5">
        <w:t xml:space="preserve">In patients with poor </w:t>
      </w:r>
      <w:proofErr w:type="spellStart"/>
      <w:r w:rsidRPr="007B09E5">
        <w:t>glyc</w:t>
      </w:r>
      <w:r w:rsidR="00A163F4">
        <w:t>a</w:t>
      </w:r>
      <w:r w:rsidRPr="007B09E5">
        <w:t>emic</w:t>
      </w:r>
      <w:proofErr w:type="spellEnd"/>
      <w:r w:rsidRPr="007B09E5">
        <w:t xml:space="preserve"> control, diabetes management and monitoring should be intensified prior to initiation and during </w:t>
      </w:r>
      <w:proofErr w:type="spellStart"/>
      <w:r w:rsidRPr="007B09E5">
        <w:t>pasireotide</w:t>
      </w:r>
      <w:proofErr w:type="spellEnd"/>
      <w:r w:rsidRPr="007B09E5">
        <w:t xml:space="preserve"> therapy</w:t>
      </w:r>
      <w:r w:rsidRPr="00392ADF">
        <w:t>.</w:t>
      </w:r>
    </w:p>
    <w:p w:rsidR="002D1BF2" w:rsidRPr="00392ADF" w:rsidRDefault="002D1BF2"/>
    <w:p w:rsidR="0081797E" w:rsidRPr="00392ADF" w:rsidRDefault="002D1BF2" w:rsidP="00ED26E2">
      <w:pPr>
        <w:pStyle w:val="Heading2"/>
      </w:pPr>
      <w:r w:rsidRPr="00392ADF">
        <w:t>Cardiovascular Related E</w:t>
      </w:r>
      <w:r w:rsidR="0081797E" w:rsidRPr="00392ADF">
        <w:t>vents</w:t>
      </w:r>
    </w:p>
    <w:p w:rsidR="0081797E" w:rsidRPr="00392ADF" w:rsidRDefault="0081797E">
      <w:r w:rsidRPr="00392ADF">
        <w:t xml:space="preserve">Bradycardia has been reported with the use of </w:t>
      </w:r>
      <w:proofErr w:type="spellStart"/>
      <w:r w:rsidRPr="00392ADF">
        <w:t>pasireotide</w:t>
      </w:r>
      <w:proofErr w:type="spellEnd"/>
      <w:r w:rsidRPr="00392ADF">
        <w:t xml:space="preserve"> (see </w:t>
      </w:r>
      <w:proofErr w:type="gramStart"/>
      <w:r w:rsidRPr="00392ADF">
        <w:t>Adverse</w:t>
      </w:r>
      <w:proofErr w:type="gramEnd"/>
      <w:r w:rsidRPr="00392ADF">
        <w:t xml:space="preserve"> </w:t>
      </w:r>
      <w:r w:rsidR="003E4B26" w:rsidRPr="00392ADF">
        <w:t>effects</w:t>
      </w:r>
      <w:r w:rsidRPr="00392ADF">
        <w:t xml:space="preserve">). Patients with cardiac disease and/or risk factors for bradycardia, such as: history of clinically significant bradycardia or acute myocardial infarction, high-grade heart block, congestive heart failure </w:t>
      </w:r>
      <w:r w:rsidRPr="00392ADF">
        <w:lastRenderedPageBreak/>
        <w:t xml:space="preserve">(NYHA Class III or IV), unstable angina, sustained ventricular tachycardia, ventricular fibrillation, should be carefully monitored. Dose adjustments of drugs such as beta-blockers, calcium channel blockers, or agents to control electrolyte balance, may be necessary. </w:t>
      </w:r>
    </w:p>
    <w:p w:rsidR="0081797E" w:rsidRPr="00392ADF" w:rsidRDefault="0081797E">
      <w:proofErr w:type="spellStart"/>
      <w:r w:rsidRPr="00392ADF">
        <w:t>Pasireotide</w:t>
      </w:r>
      <w:proofErr w:type="spellEnd"/>
      <w:r w:rsidRPr="00392ADF">
        <w:t xml:space="preserve"> has been shown to prolong the QT interval on the ECG in two healthy voluntee</w:t>
      </w:r>
      <w:r w:rsidR="00CC6AAC" w:rsidRPr="00392ADF">
        <w:t>r studies (see P</w:t>
      </w:r>
      <w:r w:rsidRPr="00392ADF">
        <w:t>harmacology). The clinical significance of this prolongation is unknown.</w:t>
      </w:r>
    </w:p>
    <w:p w:rsidR="0081797E" w:rsidRPr="00392ADF" w:rsidRDefault="0081797E">
      <w:r w:rsidRPr="00392ADF">
        <w:t xml:space="preserve">In clinical studies in Cushing’s disease patients, </w:t>
      </w:r>
      <w:proofErr w:type="spellStart"/>
      <w:r w:rsidRPr="00392ADF">
        <w:t>QTcF</w:t>
      </w:r>
      <w:proofErr w:type="spellEnd"/>
      <w:r w:rsidRPr="00392ADF">
        <w:t xml:space="preserve"> of &gt;500 </w:t>
      </w:r>
      <w:proofErr w:type="spellStart"/>
      <w:r w:rsidRPr="00392ADF">
        <w:t>msec</w:t>
      </w:r>
      <w:proofErr w:type="spellEnd"/>
      <w:r w:rsidRPr="00392ADF">
        <w:t xml:space="preserve"> was observed in two out of 201 patients. These episodes were sporadic and of single occurrence with no clinical consequence observed. Episodes of torsade de pointes were not observed either in those studies or in clinical studies in other patient populations.</w:t>
      </w:r>
    </w:p>
    <w:p w:rsidR="0081797E" w:rsidRPr="00392ADF" w:rsidRDefault="0081797E">
      <w:proofErr w:type="spellStart"/>
      <w:r w:rsidRPr="00392ADF">
        <w:t>Pasireotide</w:t>
      </w:r>
      <w:proofErr w:type="spellEnd"/>
      <w:r w:rsidRPr="00392ADF">
        <w:t xml:space="preserve"> should be used with caution in patients who are at significant risk of developing prolongation of QT, such as those:</w:t>
      </w:r>
    </w:p>
    <w:p w:rsidR="0081797E" w:rsidRPr="00392ADF" w:rsidRDefault="0081797E" w:rsidP="00ED26E2">
      <w:pPr>
        <w:pStyle w:val="ListParagraph"/>
        <w:numPr>
          <w:ilvl w:val="0"/>
          <w:numId w:val="1"/>
        </w:numPr>
      </w:pPr>
      <w:r w:rsidRPr="00392ADF">
        <w:t>with congenital long QT s</w:t>
      </w:r>
      <w:r w:rsidR="000F411D" w:rsidRPr="00392ADF">
        <w:t>yndrome</w:t>
      </w:r>
    </w:p>
    <w:p w:rsidR="0081797E" w:rsidRPr="00392ADF" w:rsidRDefault="0081797E" w:rsidP="00ED26E2">
      <w:pPr>
        <w:pStyle w:val="ListParagraph"/>
        <w:numPr>
          <w:ilvl w:val="0"/>
          <w:numId w:val="1"/>
        </w:numPr>
      </w:pPr>
      <w:r w:rsidRPr="00392ADF">
        <w:t>with uncontrolled or significant cardiac disease including recent myocardial infarction, congestive heart failure, unstable angina or cli</w:t>
      </w:r>
      <w:r w:rsidR="000F411D" w:rsidRPr="00392ADF">
        <w:t>nically significant bradycardia</w:t>
      </w:r>
    </w:p>
    <w:p w:rsidR="0081797E" w:rsidRPr="00392ADF" w:rsidRDefault="0081797E" w:rsidP="00ED26E2">
      <w:pPr>
        <w:pStyle w:val="ListParagraph"/>
        <w:numPr>
          <w:ilvl w:val="0"/>
          <w:numId w:val="1"/>
        </w:numPr>
      </w:pPr>
      <w:r w:rsidRPr="00392ADF">
        <w:t>taking anti-arrhythmic medicinal products or other substances that are know</w:t>
      </w:r>
      <w:r w:rsidR="000F411D" w:rsidRPr="00392ADF">
        <w:t>n to lead to QT prolongation</w:t>
      </w:r>
    </w:p>
    <w:p w:rsidR="0081797E" w:rsidRPr="00392ADF" w:rsidRDefault="0081797E" w:rsidP="00ED26E2">
      <w:pPr>
        <w:pStyle w:val="ListParagraph"/>
        <w:numPr>
          <w:ilvl w:val="0"/>
          <w:numId w:val="1"/>
        </w:numPr>
      </w:pPr>
      <w:r w:rsidRPr="00392ADF">
        <w:t>with hyp</w:t>
      </w:r>
      <w:r w:rsidR="000F411D" w:rsidRPr="00392ADF">
        <w:t xml:space="preserve">okalemia and/or </w:t>
      </w:r>
      <w:proofErr w:type="spellStart"/>
      <w:r w:rsidR="000F411D" w:rsidRPr="00392ADF">
        <w:t>hypomagnesemia</w:t>
      </w:r>
      <w:proofErr w:type="spellEnd"/>
    </w:p>
    <w:p w:rsidR="0081797E" w:rsidRPr="00392ADF" w:rsidRDefault="0081797E">
      <w:r w:rsidRPr="00392ADF">
        <w:t xml:space="preserve">Monitoring for an effect on the </w:t>
      </w:r>
      <w:proofErr w:type="spellStart"/>
      <w:r w:rsidRPr="00392ADF">
        <w:t>QTc</w:t>
      </w:r>
      <w:proofErr w:type="spellEnd"/>
      <w:r w:rsidRPr="00392ADF">
        <w:t xml:space="preserve"> interval is advisable and a baseline ECG is recommended prior to initiating therapy with </w:t>
      </w:r>
      <w:proofErr w:type="spellStart"/>
      <w:r w:rsidRPr="00392ADF">
        <w:t>Signifor</w:t>
      </w:r>
      <w:proofErr w:type="spellEnd"/>
      <w:r w:rsidRPr="00392ADF">
        <w:t xml:space="preserve"> and as clinically indicated. Hypokalemia or </w:t>
      </w:r>
      <w:proofErr w:type="spellStart"/>
      <w:r w:rsidRPr="00392ADF">
        <w:t>hypomagnesemia</w:t>
      </w:r>
      <w:proofErr w:type="spellEnd"/>
      <w:r w:rsidRPr="00392ADF">
        <w:t xml:space="preserve"> must be corrected prior to </w:t>
      </w:r>
      <w:proofErr w:type="spellStart"/>
      <w:r w:rsidRPr="00392ADF">
        <w:t>Signifor</w:t>
      </w:r>
      <w:proofErr w:type="spellEnd"/>
      <w:r w:rsidRPr="00392ADF">
        <w:t xml:space="preserve"> administration and should be monitored periodically during therapy.</w:t>
      </w:r>
    </w:p>
    <w:p w:rsidR="00EA6127" w:rsidRPr="00392ADF" w:rsidRDefault="00EA6127"/>
    <w:p w:rsidR="0081797E" w:rsidRPr="00392ADF" w:rsidRDefault="00EA6127" w:rsidP="00ED26E2">
      <w:pPr>
        <w:pStyle w:val="Heading2"/>
      </w:pPr>
      <w:r w:rsidRPr="00392ADF">
        <w:t>Liver T</w:t>
      </w:r>
      <w:r w:rsidR="0081797E" w:rsidRPr="00392ADF">
        <w:t>ests</w:t>
      </w:r>
    </w:p>
    <w:p w:rsidR="0081797E" w:rsidRPr="00392ADF" w:rsidRDefault="0081797E">
      <w:r w:rsidRPr="00392ADF">
        <w:t xml:space="preserve">Mild transient elevations in aminotransferases have been commonly observed in healthy subjects and patients treated with </w:t>
      </w:r>
      <w:proofErr w:type="spellStart"/>
      <w:r w:rsidRPr="00392ADF">
        <w:t>pasireotide</w:t>
      </w:r>
      <w:proofErr w:type="spellEnd"/>
      <w:r w:rsidRPr="00392ADF">
        <w:t xml:space="preserve">. A few cases of concurrent elevations in ALT (alanine aminotransferase) greater than 3 x ULN (upper limit normal) and bilirubin greater than 2 </w:t>
      </w:r>
      <w:proofErr w:type="gramStart"/>
      <w:r w:rsidRPr="00392ADF">
        <w:t>x</w:t>
      </w:r>
      <w:proofErr w:type="gramEnd"/>
      <w:r w:rsidRPr="00392ADF">
        <w:t xml:space="preserve"> ULN have also been observed (see Adverse </w:t>
      </w:r>
      <w:r w:rsidR="000F411D" w:rsidRPr="00392ADF">
        <w:t>effects)</w:t>
      </w:r>
      <w:r w:rsidRPr="00392ADF">
        <w:t xml:space="preserve">. Monitoring of liver function is recommended prior to treatment with </w:t>
      </w:r>
      <w:proofErr w:type="spellStart"/>
      <w:r w:rsidRPr="00392ADF">
        <w:t>Signifor</w:t>
      </w:r>
      <w:proofErr w:type="spellEnd"/>
      <w:r w:rsidRPr="00392ADF">
        <w:t xml:space="preserve"> and after the first 1 to 2 weeks and </w:t>
      </w:r>
      <w:r w:rsidR="007B09E5">
        <w:t>then monthly for 3 months</w:t>
      </w:r>
      <w:r w:rsidRPr="00392ADF">
        <w:t>. Thereafter liver function should be monitored as clinically indicated.</w:t>
      </w:r>
    </w:p>
    <w:p w:rsidR="0081797E" w:rsidRPr="00392ADF" w:rsidRDefault="0081797E">
      <w:r w:rsidRPr="00392ADF">
        <w:t>Patients who develop increased transaminase levels should be monitored with a second liver function evaluation to confirm the finding. If the finding is confirmed, the patient should be followed with frequent liver function monitoring until values return to pre</w:t>
      </w:r>
      <w:r w:rsidR="003A00DF">
        <w:t>-</w:t>
      </w:r>
      <w:r w:rsidRPr="00392ADF">
        <w:t xml:space="preserve">treatment levels. Therapy with </w:t>
      </w:r>
      <w:proofErr w:type="spellStart"/>
      <w:r w:rsidRPr="00392ADF">
        <w:t>pasireotide</w:t>
      </w:r>
      <w:proofErr w:type="spellEnd"/>
      <w:r w:rsidRPr="00392ADF">
        <w:t xml:space="preserve"> should be discontinued if the patient develops jaundice or other signs suggestive of clinically significant liver impairment, in the event of a sustained increase in AST (aspartate aminotransferase) or ALT of 5 x ULN or greater, or if ALT or AST elevations greater than 3 x ULN occur concurrently with bilirubin elevations greater than 2 x ULN. Following discontinuation of treatment with </w:t>
      </w:r>
      <w:proofErr w:type="spellStart"/>
      <w:r w:rsidRPr="00392ADF">
        <w:t>pasireotide</w:t>
      </w:r>
      <w:proofErr w:type="spellEnd"/>
      <w:r w:rsidRPr="00392ADF">
        <w:t>, patients should be monitored until resolution. Treatm</w:t>
      </w:r>
      <w:r w:rsidR="000F411D" w:rsidRPr="00392ADF">
        <w:t>ent should not be restarted</w:t>
      </w:r>
      <w:r w:rsidRPr="00392ADF">
        <w:t>.</w:t>
      </w:r>
    </w:p>
    <w:p w:rsidR="002430E9" w:rsidRPr="00392ADF" w:rsidRDefault="002430E9"/>
    <w:p w:rsidR="0081797E" w:rsidRPr="00392ADF" w:rsidRDefault="0081797E" w:rsidP="00ED26E2">
      <w:pPr>
        <w:pStyle w:val="Heading2"/>
      </w:pPr>
      <w:r w:rsidRPr="00392ADF">
        <w:lastRenderedPageBreak/>
        <w:t>Gallbla</w:t>
      </w:r>
      <w:r w:rsidR="002430E9" w:rsidRPr="00392ADF">
        <w:t>dder and Related E</w:t>
      </w:r>
      <w:r w:rsidRPr="00392ADF">
        <w:t>vents</w:t>
      </w:r>
    </w:p>
    <w:p w:rsidR="0081797E" w:rsidRPr="00392ADF" w:rsidRDefault="0081797E">
      <w:proofErr w:type="spellStart"/>
      <w:r w:rsidRPr="00392ADF">
        <w:t>Cholelithiasis</w:t>
      </w:r>
      <w:proofErr w:type="spellEnd"/>
      <w:r w:rsidRPr="00392ADF">
        <w:t xml:space="preserve"> is a recognized adverse drug reaction associated with long-term use of </w:t>
      </w:r>
      <w:proofErr w:type="spellStart"/>
      <w:r w:rsidRPr="00392ADF">
        <w:t>somatostatin</w:t>
      </w:r>
      <w:proofErr w:type="spellEnd"/>
      <w:r w:rsidRPr="00392ADF">
        <w:t xml:space="preserve"> analogues and has been frequently reported in clinical studies </w:t>
      </w:r>
      <w:r w:rsidR="00DE5E7D" w:rsidRPr="00392ADF">
        <w:t xml:space="preserve">with </w:t>
      </w:r>
      <w:proofErr w:type="spellStart"/>
      <w:r w:rsidR="00DE5E7D" w:rsidRPr="00392ADF">
        <w:t>pasireotide</w:t>
      </w:r>
      <w:proofErr w:type="spellEnd"/>
      <w:r w:rsidR="00DE5E7D" w:rsidRPr="00392ADF">
        <w:t xml:space="preserve"> (see </w:t>
      </w:r>
      <w:proofErr w:type="gramStart"/>
      <w:r w:rsidRPr="00392ADF">
        <w:t>Adverse</w:t>
      </w:r>
      <w:proofErr w:type="gramEnd"/>
      <w:r w:rsidRPr="00392ADF">
        <w:t xml:space="preserve"> </w:t>
      </w:r>
      <w:r w:rsidR="00DE5E7D" w:rsidRPr="00392ADF">
        <w:t>effects</w:t>
      </w:r>
      <w:r w:rsidRPr="00392ADF">
        <w:t xml:space="preserve">). Ultrasonic examination of the gallbladder before, and at 6- to 12-month intervals during </w:t>
      </w:r>
      <w:proofErr w:type="spellStart"/>
      <w:r w:rsidRPr="00392ADF">
        <w:t>Signifor</w:t>
      </w:r>
      <w:proofErr w:type="spellEnd"/>
      <w:r w:rsidRPr="00392ADF">
        <w:t xml:space="preserve"> therapy is therefore recommended. The presence of gallstones in </w:t>
      </w:r>
      <w:proofErr w:type="spellStart"/>
      <w:r w:rsidRPr="00392ADF">
        <w:t>Signifor</w:t>
      </w:r>
      <w:proofErr w:type="spellEnd"/>
      <w:r w:rsidRPr="00392ADF">
        <w:t>-treated patients is largely asymptomatic; symptomatic stones should be managed according to clinical practice.</w:t>
      </w:r>
    </w:p>
    <w:p w:rsidR="008E4CA5" w:rsidRPr="00392ADF" w:rsidRDefault="008E4CA5"/>
    <w:p w:rsidR="0081797E" w:rsidRPr="00392ADF" w:rsidRDefault="0081797E" w:rsidP="00ED26E2">
      <w:pPr>
        <w:pStyle w:val="Heading2"/>
      </w:pPr>
      <w:r w:rsidRPr="00392ADF">
        <w:t>P</w:t>
      </w:r>
      <w:r w:rsidR="008E4CA5" w:rsidRPr="00392ADF">
        <w:t>ituitary H</w:t>
      </w:r>
      <w:r w:rsidRPr="00392ADF">
        <w:t>ormones</w:t>
      </w:r>
    </w:p>
    <w:p w:rsidR="0081797E" w:rsidRPr="00392ADF" w:rsidRDefault="0081797E">
      <w:r w:rsidRPr="00392ADF">
        <w:t>Deficiency of pituitary secreted hormones is common after trans-</w:t>
      </w:r>
      <w:proofErr w:type="spellStart"/>
      <w:r w:rsidRPr="00392ADF">
        <w:t>sphenoidal</w:t>
      </w:r>
      <w:proofErr w:type="spellEnd"/>
      <w:r w:rsidRPr="00392ADF">
        <w:t xml:space="preserve"> surgery and even more frequently observed post-radiation therapy of the pituitary gland. Cushing’s disease patients with persistent or recurrent disease might therefore present with deficiency of one or more pituitary hormones. As the pharmacological activity of </w:t>
      </w:r>
      <w:proofErr w:type="spellStart"/>
      <w:r w:rsidRPr="00392ADF">
        <w:t>pasireotide</w:t>
      </w:r>
      <w:proofErr w:type="spellEnd"/>
      <w:r w:rsidRPr="00392ADF">
        <w:t xml:space="preserve"> mimics that of </w:t>
      </w:r>
      <w:proofErr w:type="spellStart"/>
      <w:r w:rsidRPr="00392ADF">
        <w:t>somatostatin</w:t>
      </w:r>
      <w:proofErr w:type="spellEnd"/>
      <w:r w:rsidRPr="00392ADF">
        <w:t>, inhibition of pituitary hormones, other than ACTH, cannot be ruled out. Therefore, monitoring of pituitary function (e.g. TSH/free T</w:t>
      </w:r>
      <w:r w:rsidRPr="00392ADF">
        <w:rPr>
          <w:vertAlign w:val="subscript"/>
        </w:rPr>
        <w:t>4</w:t>
      </w:r>
      <w:r w:rsidRPr="00392ADF">
        <w:t xml:space="preserve">, GH/IGF-1) prior to initiation of therapy with </w:t>
      </w:r>
      <w:proofErr w:type="spellStart"/>
      <w:r w:rsidRPr="00392ADF">
        <w:t>Signifor</w:t>
      </w:r>
      <w:proofErr w:type="spellEnd"/>
      <w:r w:rsidRPr="00392ADF">
        <w:t xml:space="preserve"> and periodically during treatment should be conducted as clinically appropriate.</w:t>
      </w:r>
    </w:p>
    <w:p w:rsidR="00DF4CF8" w:rsidRPr="00392ADF" w:rsidRDefault="00DF4CF8"/>
    <w:p w:rsidR="0080509B" w:rsidRPr="00392ADF" w:rsidRDefault="0080509B" w:rsidP="00ED26E2">
      <w:pPr>
        <w:pStyle w:val="Heading2"/>
      </w:pPr>
      <w:proofErr w:type="spellStart"/>
      <w:r w:rsidRPr="00392ADF">
        <w:t>Genotoxicity</w:t>
      </w:r>
      <w:proofErr w:type="spellEnd"/>
    </w:p>
    <w:p w:rsidR="00C04063" w:rsidRPr="00392ADF" w:rsidRDefault="00C04063">
      <w:proofErr w:type="spellStart"/>
      <w:r w:rsidRPr="00392ADF">
        <w:t>Pasireotide</w:t>
      </w:r>
      <w:proofErr w:type="spellEnd"/>
      <w:r w:rsidRPr="00392ADF">
        <w:t xml:space="preserve"> was not </w:t>
      </w:r>
      <w:proofErr w:type="spellStart"/>
      <w:r w:rsidRPr="00392ADF">
        <w:t>genotoxic</w:t>
      </w:r>
      <w:proofErr w:type="spellEnd"/>
      <w:r w:rsidRPr="00392ADF">
        <w:t xml:space="preserve"> in a battery of </w:t>
      </w:r>
      <w:r w:rsidRPr="00392ADF">
        <w:rPr>
          <w:i/>
        </w:rPr>
        <w:t>in vitro</w:t>
      </w:r>
      <w:r w:rsidRPr="00392ADF">
        <w:t xml:space="preserve"> assays (Ames mutation test in </w:t>
      </w:r>
      <w:r w:rsidR="006E347F">
        <w:t>bacteria</w:t>
      </w:r>
      <w:r w:rsidRPr="00392ADF">
        <w:t xml:space="preserve"> and </w:t>
      </w:r>
      <w:r w:rsidR="006E347F">
        <w:t>a</w:t>
      </w:r>
      <w:r w:rsidRPr="00392ADF">
        <w:t xml:space="preserve"> test</w:t>
      </w:r>
      <w:r w:rsidR="006E347F">
        <w:t xml:space="preserve"> </w:t>
      </w:r>
      <w:r w:rsidR="006E347F" w:rsidRPr="006E347F">
        <w:t xml:space="preserve">for </w:t>
      </w:r>
      <w:proofErr w:type="spellStart"/>
      <w:r w:rsidR="006E347F" w:rsidRPr="006E347F">
        <w:t>clastogenicity</w:t>
      </w:r>
      <w:proofErr w:type="spellEnd"/>
      <w:r w:rsidRPr="00392ADF">
        <w:t xml:space="preserve"> in human peripheral lymphocytes). </w:t>
      </w:r>
      <w:proofErr w:type="spellStart"/>
      <w:r w:rsidRPr="00392ADF">
        <w:t>Pasireotide</w:t>
      </w:r>
      <w:proofErr w:type="spellEnd"/>
      <w:r w:rsidRPr="00392ADF">
        <w:t xml:space="preserve"> was not </w:t>
      </w:r>
      <w:proofErr w:type="spellStart"/>
      <w:r w:rsidRPr="00392ADF">
        <w:t>genotoxic</w:t>
      </w:r>
      <w:proofErr w:type="spellEnd"/>
      <w:r w:rsidRPr="00392ADF">
        <w:t xml:space="preserve"> in an </w:t>
      </w:r>
      <w:r w:rsidRPr="00392ADF">
        <w:rPr>
          <w:i/>
        </w:rPr>
        <w:t>in vivo</w:t>
      </w:r>
      <w:r w:rsidRPr="00392ADF">
        <w:t xml:space="preserve"> rat bone marrow nucleus test at </w:t>
      </w:r>
      <w:r w:rsidR="006E347F" w:rsidRPr="006E347F">
        <w:t>subcutaneous</w:t>
      </w:r>
      <w:r w:rsidR="006E347F">
        <w:t xml:space="preserve"> </w:t>
      </w:r>
      <w:r w:rsidRPr="00392ADF">
        <w:t>doses up to 50 mg/kg,</w:t>
      </w:r>
      <w:r w:rsidR="00C70817" w:rsidRPr="00392ADF">
        <w:t xml:space="preserve"> </w:t>
      </w:r>
      <w:r w:rsidRPr="00392ADF">
        <w:t>approximately 250 fold the maximum recommended human dose (</w:t>
      </w:r>
      <w:r w:rsidR="006E347F">
        <w:t>MRHD</w:t>
      </w:r>
      <w:r w:rsidRPr="00392ADF">
        <w:t>) based on surface area, mg/m</w:t>
      </w:r>
      <w:r w:rsidRPr="00392ADF">
        <w:rPr>
          <w:vertAlign w:val="superscript"/>
        </w:rPr>
        <w:t>2</w:t>
      </w:r>
      <w:r w:rsidRPr="00392ADF">
        <w:t>.</w:t>
      </w:r>
    </w:p>
    <w:p w:rsidR="009926D5" w:rsidRPr="00392ADF" w:rsidRDefault="009926D5"/>
    <w:p w:rsidR="00C04063" w:rsidRPr="00392ADF" w:rsidRDefault="00C04063" w:rsidP="00ED26E2">
      <w:pPr>
        <w:pStyle w:val="Heading2"/>
      </w:pPr>
      <w:r w:rsidRPr="00392ADF">
        <w:t>Carcinogenicity</w:t>
      </w:r>
    </w:p>
    <w:p w:rsidR="00C04063" w:rsidRPr="00392ADF" w:rsidRDefault="00C04063">
      <w:r w:rsidRPr="00392ADF">
        <w:t xml:space="preserve">Carcinogenicity studies </w:t>
      </w:r>
      <w:r w:rsidR="00F31B53" w:rsidRPr="00F31B53">
        <w:t>by the subcutaneous route were</w:t>
      </w:r>
      <w:r w:rsidR="00F31B53">
        <w:t xml:space="preserve"> </w:t>
      </w:r>
      <w:r w:rsidR="00F31B53" w:rsidRPr="00F31B53">
        <w:t>(2 years duration)</w:t>
      </w:r>
      <w:r w:rsidR="00F31B53">
        <w:t xml:space="preserve"> </w:t>
      </w:r>
      <w:r w:rsidRPr="00392ADF">
        <w:t xml:space="preserve">conducted in rats and transgenic mice </w:t>
      </w:r>
      <w:r w:rsidR="00F31B53" w:rsidRPr="00F31B53">
        <w:t>(6 months)</w:t>
      </w:r>
      <w:r w:rsidRPr="00392ADF">
        <w:t xml:space="preserve">. </w:t>
      </w:r>
      <w:r w:rsidR="00F31B53" w:rsidRPr="00F31B53">
        <w:t xml:space="preserve">No carcinogenic activity was observed with </w:t>
      </w:r>
      <w:proofErr w:type="spellStart"/>
      <w:r w:rsidR="00F31B53" w:rsidRPr="00F31B53">
        <w:t>pasireotide</w:t>
      </w:r>
      <w:proofErr w:type="spellEnd"/>
      <w:r w:rsidR="00F31B53" w:rsidRPr="00F31B53">
        <w:t xml:space="preserve"> in transgenic mice, involving administration of doses up to 2.5 mg/kg/day (yielding plasma AUC values 10–13 times higher than in patients at the maximum recommended human dose [MRHD]. Injection site </w:t>
      </w:r>
      <w:proofErr w:type="spellStart"/>
      <w:r w:rsidR="00F31B53" w:rsidRPr="00F31B53">
        <w:t>tumours</w:t>
      </w:r>
      <w:proofErr w:type="spellEnd"/>
      <w:r w:rsidR="00F31B53" w:rsidRPr="00F31B53">
        <w:t xml:space="preserve"> (fibromas) were increased in incidence in male rats at a dose of 0.3 mg/kg/day (&gt;16 times the maximum recommended human dose on </w:t>
      </w:r>
      <w:proofErr w:type="gramStart"/>
      <w:r w:rsidR="00F31B53" w:rsidRPr="00F31B53">
        <w:t>a</w:t>
      </w:r>
      <w:proofErr w:type="gramEnd"/>
      <w:r w:rsidR="00F31B53" w:rsidRPr="00F31B53">
        <w:t xml:space="preserve"> mg/kg basis). This finding is consistent with a response to continuous irritation/inflammation at the repeatedly injected site and is not considered to indicate a carcinogenic potential in humans. No treatment-related increase in systemic </w:t>
      </w:r>
      <w:proofErr w:type="spellStart"/>
      <w:r w:rsidR="00F31B53" w:rsidRPr="00F31B53">
        <w:t>tumours</w:t>
      </w:r>
      <w:proofErr w:type="spellEnd"/>
      <w:r w:rsidR="00F31B53" w:rsidRPr="00F31B53">
        <w:t xml:space="preserve"> in male rats or </w:t>
      </w:r>
      <w:proofErr w:type="spellStart"/>
      <w:r w:rsidR="00F31B53" w:rsidRPr="00F31B53">
        <w:t>tumours</w:t>
      </w:r>
      <w:proofErr w:type="spellEnd"/>
      <w:r w:rsidR="00F31B53" w:rsidRPr="00F31B53">
        <w:t xml:space="preserve"> in female rats was seen up to the highest dose tested (0.3 mg/kg/day; yielding 14 times [males] and 7 times [females] the plasma AUC in patients at the MRHD</w:t>
      </w:r>
      <w:r w:rsidR="00F31B53">
        <w:t>.</w:t>
      </w:r>
    </w:p>
    <w:p w:rsidR="007710A8" w:rsidRDefault="007710A8">
      <w:pPr>
        <w:tabs>
          <w:tab w:val="clear" w:pos="0"/>
          <w:tab w:val="clear" w:pos="1134"/>
          <w:tab w:val="clear" w:pos="5245"/>
        </w:tabs>
        <w:autoSpaceDE/>
        <w:autoSpaceDN/>
        <w:adjustRightInd/>
        <w:spacing w:after="0" w:line="240" w:lineRule="auto"/>
      </w:pPr>
      <w:r>
        <w:br w:type="page"/>
      </w:r>
    </w:p>
    <w:p w:rsidR="004361FC" w:rsidRPr="00392ADF" w:rsidRDefault="002660E4" w:rsidP="00ED26E2">
      <w:pPr>
        <w:pStyle w:val="Heading1"/>
      </w:pPr>
      <w:r w:rsidRPr="00392ADF">
        <w:lastRenderedPageBreak/>
        <w:t>INTERACTIONS WITH OTHER MEDICINES</w:t>
      </w:r>
    </w:p>
    <w:p w:rsidR="00C14B7F" w:rsidRPr="00392ADF" w:rsidRDefault="00C14B7F"/>
    <w:p w:rsidR="004361FC" w:rsidRPr="00392ADF" w:rsidRDefault="004361FC">
      <w:r w:rsidRPr="00392ADF">
        <w:t>No clinical studies have been performed to assess drug-drug interaction potential.</w:t>
      </w:r>
    </w:p>
    <w:p w:rsidR="004361FC" w:rsidRPr="00392ADF" w:rsidRDefault="004361FC">
      <w:proofErr w:type="spellStart"/>
      <w:r w:rsidRPr="00392ADF">
        <w:t>Pasireotide</w:t>
      </w:r>
      <w:proofErr w:type="spellEnd"/>
      <w:r w:rsidRPr="00392ADF">
        <w:t xml:space="preserve"> has moderate protein binding and is metabolically highly stable. </w:t>
      </w:r>
      <w:proofErr w:type="spellStart"/>
      <w:r w:rsidRPr="00392ADF">
        <w:t>Pasireotide</w:t>
      </w:r>
      <w:proofErr w:type="spellEnd"/>
      <w:r w:rsidRPr="00392ADF">
        <w:t xml:space="preserve"> appears to be a substrate of efflux transporter P-</w:t>
      </w:r>
      <w:proofErr w:type="spellStart"/>
      <w:r w:rsidRPr="00392ADF">
        <w:t>gp</w:t>
      </w:r>
      <w:proofErr w:type="spellEnd"/>
      <w:r w:rsidRPr="00392ADF">
        <w:t xml:space="preserve"> (P-glycoprotein) but is not an inducer of P-</w:t>
      </w:r>
      <w:proofErr w:type="spellStart"/>
      <w:r w:rsidRPr="00392ADF">
        <w:t>gp</w:t>
      </w:r>
      <w:proofErr w:type="spellEnd"/>
      <w:r w:rsidRPr="00392ADF">
        <w:t xml:space="preserve">. In addition, at therapeutic dose levels, </w:t>
      </w:r>
      <w:proofErr w:type="spellStart"/>
      <w:r w:rsidRPr="00392ADF">
        <w:t>pasireotide</w:t>
      </w:r>
      <w:proofErr w:type="spellEnd"/>
      <w:r w:rsidRPr="00392ADF">
        <w:t xml:space="preserve"> is not expected to be:</w:t>
      </w:r>
    </w:p>
    <w:p w:rsidR="004361FC" w:rsidRPr="00392ADF" w:rsidRDefault="004361FC" w:rsidP="00ED26E2">
      <w:pPr>
        <w:pStyle w:val="ListParagraph"/>
        <w:numPr>
          <w:ilvl w:val="0"/>
          <w:numId w:val="2"/>
        </w:numPr>
      </w:pPr>
      <w:r w:rsidRPr="00392ADF">
        <w:t>a substrate, inhibitor or inducer of CYP450;</w:t>
      </w:r>
    </w:p>
    <w:p w:rsidR="004361FC" w:rsidRPr="00392ADF" w:rsidRDefault="004361FC" w:rsidP="00ED26E2">
      <w:pPr>
        <w:pStyle w:val="ListParagraph"/>
        <w:numPr>
          <w:ilvl w:val="0"/>
          <w:numId w:val="2"/>
        </w:numPr>
      </w:pPr>
      <w:r w:rsidRPr="00392ADF">
        <w:t xml:space="preserve">a substrate of the efflux transporter BCRP (breast cancer resistance protein) nor of the influx transporters OCT1 (organic </w:t>
      </w:r>
      <w:proofErr w:type="spellStart"/>
      <w:r w:rsidRPr="00392ADF">
        <w:t>cation</w:t>
      </w:r>
      <w:proofErr w:type="spellEnd"/>
      <w:r w:rsidRPr="00392ADF">
        <w:t xml:space="preserve"> transporter 1) and OATP (organic anion-transporting </w:t>
      </w:r>
      <w:r w:rsidR="00A9247A" w:rsidRPr="00392ADF">
        <w:t>polypeptide) 1B1, 1B3 or 2B1</w:t>
      </w:r>
      <w:r w:rsidRPr="00392ADF">
        <w:t>;</w:t>
      </w:r>
    </w:p>
    <w:p w:rsidR="004361FC" w:rsidRPr="00392ADF" w:rsidRDefault="004361FC" w:rsidP="00ED26E2">
      <w:pPr>
        <w:pStyle w:val="ListParagraph"/>
        <w:numPr>
          <w:ilvl w:val="0"/>
          <w:numId w:val="2"/>
        </w:numPr>
      </w:pPr>
      <w:r w:rsidRPr="00392ADF">
        <w:t>an inhibitor of UGT1A1 (</w:t>
      </w:r>
      <w:proofErr w:type="spellStart"/>
      <w:r w:rsidRPr="00392ADF">
        <w:t>uridine</w:t>
      </w:r>
      <w:proofErr w:type="spellEnd"/>
      <w:r w:rsidRPr="00392ADF">
        <w:t xml:space="preserve"> </w:t>
      </w:r>
      <w:proofErr w:type="spellStart"/>
      <w:r w:rsidRPr="00392ADF">
        <w:t>diphosphate</w:t>
      </w:r>
      <w:proofErr w:type="spellEnd"/>
      <w:r w:rsidRPr="00392ADF">
        <w:t xml:space="preserve"> </w:t>
      </w:r>
      <w:proofErr w:type="spellStart"/>
      <w:r w:rsidRPr="00392ADF">
        <w:t>glucuronosyltransferase</w:t>
      </w:r>
      <w:proofErr w:type="spellEnd"/>
      <w:r w:rsidRPr="00392ADF">
        <w:t xml:space="preserve"> 1A1, influx transporter OATP 1B1 or 1B3, efflux transporter</w:t>
      </w:r>
      <w:r w:rsidR="003962DF">
        <w:t xml:space="preserve"> P-</w:t>
      </w:r>
      <w:proofErr w:type="spellStart"/>
      <w:r w:rsidR="003962DF">
        <w:t>gp</w:t>
      </w:r>
      <w:proofErr w:type="spellEnd"/>
      <w:r w:rsidR="003962DF">
        <w:t>, BCRP,</w:t>
      </w:r>
      <w:r w:rsidRPr="00392ADF">
        <w:t xml:space="preserve"> MRP2 (</w:t>
      </w:r>
      <w:proofErr w:type="spellStart"/>
      <w:r w:rsidRPr="00392ADF">
        <w:t>multiresistance</w:t>
      </w:r>
      <w:proofErr w:type="spellEnd"/>
      <w:r w:rsidRPr="00392ADF">
        <w:t xml:space="preserve"> protein 2) or BSEP (bile salt export pump) </w:t>
      </w:r>
    </w:p>
    <w:p w:rsidR="004361FC" w:rsidRPr="00392ADF" w:rsidRDefault="004361FC">
      <w:r w:rsidRPr="00392ADF">
        <w:t xml:space="preserve">Based on all these </w:t>
      </w:r>
      <w:r w:rsidRPr="00392ADF">
        <w:rPr>
          <w:i/>
        </w:rPr>
        <w:t>in vitro</w:t>
      </w:r>
      <w:r w:rsidRPr="00392ADF">
        <w:t xml:space="preserve"> data, the potential for protein binding, metabolism and/or transporter mediated DDI is low between </w:t>
      </w:r>
      <w:proofErr w:type="spellStart"/>
      <w:r w:rsidRPr="00392ADF">
        <w:t>pasireotide</w:t>
      </w:r>
      <w:proofErr w:type="spellEnd"/>
      <w:r w:rsidRPr="00392ADF">
        <w:t xml:space="preserve"> and co-medications </w:t>
      </w:r>
      <w:r w:rsidRPr="00392ADF">
        <w:rPr>
          <w:i/>
        </w:rPr>
        <w:t>in vivo</w:t>
      </w:r>
      <w:r w:rsidRPr="00392ADF">
        <w:t xml:space="preserve">. </w:t>
      </w:r>
    </w:p>
    <w:p w:rsidR="00C14B7F" w:rsidRPr="00392ADF" w:rsidRDefault="00C14B7F"/>
    <w:p w:rsidR="004361FC" w:rsidRPr="00392ADF" w:rsidRDefault="00C14B7F" w:rsidP="00ED26E2">
      <w:pPr>
        <w:pStyle w:val="Heading2"/>
      </w:pPr>
      <w:r w:rsidRPr="00392ADF">
        <w:t>Anticipated Interactions Resulting in Effects on Other D</w:t>
      </w:r>
      <w:r w:rsidR="004361FC" w:rsidRPr="00392ADF">
        <w:t>rugs</w:t>
      </w:r>
    </w:p>
    <w:p w:rsidR="004361FC" w:rsidRDefault="004361FC">
      <w:r w:rsidRPr="00392ADF">
        <w:t xml:space="preserve">Limited published data suggest that </w:t>
      </w:r>
      <w:proofErr w:type="spellStart"/>
      <w:r w:rsidRPr="00392ADF">
        <w:t>somatostatin</w:t>
      </w:r>
      <w:proofErr w:type="spellEnd"/>
      <w:r w:rsidRPr="00392ADF">
        <w:t xml:space="preserve"> analogs might have an indirect effect in decreasing the metabolic clearance of compounds metabolized by CYP450 enzymes, via suppression of growth hormone secretion. The possibility that </w:t>
      </w:r>
      <w:proofErr w:type="spellStart"/>
      <w:r w:rsidRPr="00392ADF">
        <w:t>pasireotide</w:t>
      </w:r>
      <w:proofErr w:type="spellEnd"/>
      <w:r w:rsidRPr="00392ADF">
        <w:t xml:space="preserve"> may exert such an indirect effect cannot be excluded based on available data. Caution should be exerci</w:t>
      </w:r>
      <w:r w:rsidR="00E11AC6" w:rsidRPr="00392ADF">
        <w:t>s</w:t>
      </w:r>
      <w:r w:rsidRPr="00392ADF">
        <w:t xml:space="preserve">ed when administering </w:t>
      </w:r>
      <w:proofErr w:type="spellStart"/>
      <w:r w:rsidRPr="00392ADF">
        <w:t>pasireotide</w:t>
      </w:r>
      <w:proofErr w:type="spellEnd"/>
      <w:r w:rsidRPr="00392ADF">
        <w:t xml:space="preserve"> concomitantly with drugs possessing a low therapeutic index and which are metabolized mainly by CYP3A4 (e.g. quinidine, </w:t>
      </w:r>
      <w:proofErr w:type="spellStart"/>
      <w:r w:rsidRPr="00392ADF">
        <w:t>terfenadine</w:t>
      </w:r>
      <w:proofErr w:type="spellEnd"/>
      <w:r w:rsidRPr="00392ADF">
        <w:t>).</w:t>
      </w:r>
    </w:p>
    <w:p w:rsidR="00A54C90" w:rsidRPr="00392ADF" w:rsidRDefault="004361FC">
      <w:r w:rsidRPr="00392ADF">
        <w:t xml:space="preserve">In dogs, </w:t>
      </w:r>
      <w:proofErr w:type="spellStart"/>
      <w:r w:rsidRPr="00392ADF">
        <w:t>pasireotide</w:t>
      </w:r>
      <w:proofErr w:type="spellEnd"/>
      <w:r w:rsidRPr="00392ADF">
        <w:t xml:space="preserve"> has been found to decrease blood level of </w:t>
      </w:r>
      <w:proofErr w:type="spellStart"/>
      <w:r w:rsidRPr="00392ADF">
        <w:t>cyclosporin</w:t>
      </w:r>
      <w:proofErr w:type="spellEnd"/>
      <w:r w:rsidRPr="00392ADF">
        <w:t xml:space="preserve"> by reducing its intestinal absorption. It is unknown whether such interaction occurs in humans. Therefore dose adjustments of </w:t>
      </w:r>
      <w:proofErr w:type="spellStart"/>
      <w:r w:rsidRPr="00392ADF">
        <w:t>cyclosporin</w:t>
      </w:r>
      <w:proofErr w:type="spellEnd"/>
      <w:r w:rsidRPr="00392ADF">
        <w:t xml:space="preserve"> may be required when co-administering </w:t>
      </w:r>
      <w:proofErr w:type="spellStart"/>
      <w:r w:rsidRPr="00392ADF">
        <w:t>pasireotide</w:t>
      </w:r>
      <w:proofErr w:type="spellEnd"/>
      <w:r w:rsidRPr="00392ADF">
        <w:t xml:space="preserve"> and </w:t>
      </w:r>
      <w:proofErr w:type="spellStart"/>
      <w:r w:rsidRPr="00392ADF">
        <w:t>cyclosporin</w:t>
      </w:r>
      <w:proofErr w:type="spellEnd"/>
      <w:r w:rsidRPr="00392ADF">
        <w:t xml:space="preserve"> (see </w:t>
      </w:r>
      <w:r w:rsidR="00E11AC6" w:rsidRPr="00392ADF">
        <w:t>P</w:t>
      </w:r>
      <w:r w:rsidRPr="00392ADF">
        <w:t>recautions).</w:t>
      </w:r>
    </w:p>
    <w:p w:rsidR="0079746C" w:rsidRPr="0079746C" w:rsidRDefault="004361FC">
      <w:r w:rsidRPr="0079746C">
        <w:t xml:space="preserve">Limited data with other </w:t>
      </w:r>
      <w:proofErr w:type="spellStart"/>
      <w:r w:rsidRPr="0079746C">
        <w:t>somatostatin</w:t>
      </w:r>
      <w:proofErr w:type="spellEnd"/>
      <w:r w:rsidRPr="0079746C">
        <w:t xml:space="preserve"> analogues suggest that co-administration with </w:t>
      </w:r>
      <w:proofErr w:type="spellStart"/>
      <w:r w:rsidRPr="0079746C">
        <w:t>bromocriptine</w:t>
      </w:r>
      <w:proofErr w:type="spellEnd"/>
      <w:r w:rsidRPr="0079746C">
        <w:t xml:space="preserve"> may increase the availability of </w:t>
      </w:r>
      <w:proofErr w:type="spellStart"/>
      <w:r w:rsidRPr="0079746C">
        <w:t>bromocriptine</w:t>
      </w:r>
      <w:proofErr w:type="spellEnd"/>
      <w:r w:rsidRPr="0079746C">
        <w:t xml:space="preserve">. Available data cannot exclude the possibility that </w:t>
      </w:r>
      <w:proofErr w:type="spellStart"/>
      <w:r w:rsidRPr="0079746C">
        <w:t>pasir</w:t>
      </w:r>
      <w:r w:rsidR="00E11AC6" w:rsidRPr="0079746C">
        <w:t>eotide</w:t>
      </w:r>
      <w:proofErr w:type="spellEnd"/>
      <w:r w:rsidR="00E11AC6" w:rsidRPr="0079746C">
        <w:t xml:space="preserve"> may exert such an effect</w:t>
      </w:r>
      <w:r w:rsidRPr="0079746C">
        <w:t>.</w:t>
      </w:r>
    </w:p>
    <w:p w:rsidR="0079746C" w:rsidRDefault="0079746C"/>
    <w:p w:rsidR="00A54C90" w:rsidRPr="0031305C" w:rsidRDefault="00A54C90" w:rsidP="00ED26E2">
      <w:pPr>
        <w:pStyle w:val="Heading2"/>
      </w:pPr>
      <w:r w:rsidRPr="0031305C">
        <w:t xml:space="preserve">Anticipated pharmacokinetic interactions resulting in effects on </w:t>
      </w:r>
      <w:proofErr w:type="spellStart"/>
      <w:r w:rsidRPr="0031305C">
        <w:t>pasireotide</w:t>
      </w:r>
      <w:proofErr w:type="spellEnd"/>
    </w:p>
    <w:p w:rsidR="00A54C90" w:rsidRDefault="00A54C90">
      <w:r w:rsidRPr="0031305C">
        <w:rPr>
          <w:i/>
        </w:rPr>
        <w:t>In vitro</w:t>
      </w:r>
      <w:r w:rsidRPr="0031305C">
        <w:t xml:space="preserve">, </w:t>
      </w:r>
      <w:proofErr w:type="spellStart"/>
      <w:r w:rsidRPr="0031305C">
        <w:t>pasireotide</w:t>
      </w:r>
      <w:proofErr w:type="spellEnd"/>
      <w:r w:rsidRPr="0031305C">
        <w:t xml:space="preserve"> has been shown to be a P-</w:t>
      </w:r>
      <w:proofErr w:type="spellStart"/>
      <w:r w:rsidRPr="0031305C">
        <w:t>gp</w:t>
      </w:r>
      <w:proofErr w:type="spellEnd"/>
      <w:r w:rsidRPr="0031305C">
        <w:t xml:space="preserve"> substrate. There is potential for strong P-</w:t>
      </w:r>
      <w:proofErr w:type="spellStart"/>
      <w:r w:rsidRPr="0031305C">
        <w:t>gp</w:t>
      </w:r>
      <w:proofErr w:type="spellEnd"/>
      <w:r w:rsidRPr="0031305C">
        <w:t xml:space="preserve"> inhibitors, e.g. ketoconazole, </w:t>
      </w:r>
      <w:proofErr w:type="spellStart"/>
      <w:r w:rsidRPr="0031305C">
        <w:t>ciclosporin</w:t>
      </w:r>
      <w:proofErr w:type="spellEnd"/>
      <w:r w:rsidRPr="0031305C">
        <w:t>, verapamil, clarithromycin, to increase</w:t>
      </w:r>
      <w:r>
        <w:t xml:space="preserve"> </w:t>
      </w:r>
      <w:r w:rsidRPr="0031305C">
        <w:t xml:space="preserve">concentrations of </w:t>
      </w:r>
      <w:proofErr w:type="spellStart"/>
      <w:r w:rsidRPr="0031305C">
        <w:t>pasireotide</w:t>
      </w:r>
      <w:proofErr w:type="spellEnd"/>
      <w:r w:rsidRPr="0031305C">
        <w:t xml:space="preserve"> but the clinical implications of this potential effect are not known.</w:t>
      </w:r>
    </w:p>
    <w:p w:rsidR="00C318FE" w:rsidRPr="00392ADF" w:rsidRDefault="00C318FE"/>
    <w:p w:rsidR="004D3038" w:rsidRPr="00DB570A" w:rsidRDefault="004D3038" w:rsidP="00ED26E2">
      <w:pPr>
        <w:pStyle w:val="Heading2"/>
      </w:pPr>
      <w:r w:rsidRPr="00DB570A">
        <w:lastRenderedPageBreak/>
        <w:t>Medicinal products that prolong the QT interval</w:t>
      </w:r>
    </w:p>
    <w:p w:rsidR="004D3038" w:rsidRPr="004D3038" w:rsidRDefault="004D3038">
      <w:proofErr w:type="spellStart"/>
      <w:r w:rsidRPr="004D3038">
        <w:t>Pasireotide</w:t>
      </w:r>
      <w:proofErr w:type="spellEnd"/>
      <w:r w:rsidRPr="004D3038">
        <w:t xml:space="preserve"> should be used with caution in patients who are concomitantly receiving medicinal products that prolong the QT interval, such as class </w:t>
      </w:r>
      <w:proofErr w:type="spellStart"/>
      <w:r w:rsidRPr="004D3038">
        <w:t>Ia</w:t>
      </w:r>
      <w:proofErr w:type="spellEnd"/>
      <w:r w:rsidRPr="004D3038">
        <w:t xml:space="preserve"> </w:t>
      </w:r>
      <w:proofErr w:type="spellStart"/>
      <w:r w:rsidRPr="004D3038">
        <w:t>antiarrhythmics</w:t>
      </w:r>
      <w:proofErr w:type="spellEnd"/>
      <w:r w:rsidRPr="004D3038">
        <w:t xml:space="preserve"> (e.g. quinidine, procainamide, </w:t>
      </w:r>
      <w:proofErr w:type="spellStart"/>
      <w:r w:rsidRPr="004D3038">
        <w:t>disopyramide</w:t>
      </w:r>
      <w:proofErr w:type="spellEnd"/>
      <w:r w:rsidRPr="004D3038">
        <w:t xml:space="preserve">), class III </w:t>
      </w:r>
      <w:proofErr w:type="spellStart"/>
      <w:r w:rsidRPr="004D3038">
        <w:t>antiarrhythmics</w:t>
      </w:r>
      <w:proofErr w:type="spellEnd"/>
      <w:r w:rsidRPr="004D3038">
        <w:t xml:space="preserve"> (e.g. </w:t>
      </w:r>
      <w:proofErr w:type="spellStart"/>
      <w:r w:rsidRPr="004D3038">
        <w:t>amiodarone</w:t>
      </w:r>
      <w:proofErr w:type="spellEnd"/>
      <w:r w:rsidRPr="004D3038">
        <w:t xml:space="preserve">, </w:t>
      </w:r>
      <w:proofErr w:type="spellStart"/>
      <w:r w:rsidRPr="004D3038">
        <w:t>dronedarone</w:t>
      </w:r>
      <w:proofErr w:type="spellEnd"/>
      <w:r w:rsidRPr="004D3038">
        <w:t xml:space="preserve">, </w:t>
      </w:r>
      <w:proofErr w:type="spellStart"/>
      <w:r w:rsidRPr="004D3038">
        <w:t>sotalol</w:t>
      </w:r>
      <w:proofErr w:type="spellEnd"/>
      <w:r w:rsidRPr="004D3038">
        <w:t xml:space="preserve">, </w:t>
      </w:r>
      <w:proofErr w:type="spellStart"/>
      <w:r w:rsidRPr="004D3038">
        <w:t>dofetilide</w:t>
      </w:r>
      <w:proofErr w:type="spellEnd"/>
      <w:r w:rsidRPr="004D3038">
        <w:t xml:space="preserve">, </w:t>
      </w:r>
      <w:proofErr w:type="spellStart"/>
      <w:r w:rsidRPr="004D3038">
        <w:t>ibutilide</w:t>
      </w:r>
      <w:proofErr w:type="spellEnd"/>
      <w:r w:rsidRPr="004D3038">
        <w:t xml:space="preserve">), certain </w:t>
      </w:r>
      <w:proofErr w:type="spellStart"/>
      <w:r w:rsidRPr="004D3038">
        <w:t>antibacterials</w:t>
      </w:r>
      <w:proofErr w:type="spellEnd"/>
      <w:r w:rsidRPr="004D3038">
        <w:t xml:space="preserve"> (intravenous erythromycin, </w:t>
      </w:r>
      <w:proofErr w:type="spellStart"/>
      <w:r w:rsidRPr="004D3038">
        <w:t>pentamidine</w:t>
      </w:r>
      <w:proofErr w:type="spellEnd"/>
      <w:r w:rsidRPr="004D3038">
        <w:t xml:space="preserve"> injection, clarithromycin, </w:t>
      </w:r>
      <w:proofErr w:type="spellStart"/>
      <w:r w:rsidRPr="004D3038">
        <w:t>moxifloxacin</w:t>
      </w:r>
      <w:proofErr w:type="spellEnd"/>
      <w:r w:rsidRPr="004D3038">
        <w:t xml:space="preserve">), certain antipsychotics (e.g. chlorpromazine, </w:t>
      </w:r>
      <w:proofErr w:type="spellStart"/>
      <w:r w:rsidRPr="004D3038">
        <w:t>thioridazine</w:t>
      </w:r>
      <w:proofErr w:type="spellEnd"/>
      <w:r w:rsidRPr="004D3038">
        <w:t xml:space="preserve">, </w:t>
      </w:r>
      <w:proofErr w:type="spellStart"/>
      <w:r w:rsidRPr="004D3038">
        <w:t>fluphenazine</w:t>
      </w:r>
      <w:proofErr w:type="spellEnd"/>
      <w:r w:rsidRPr="004D3038">
        <w:t xml:space="preserve">, </w:t>
      </w:r>
      <w:proofErr w:type="spellStart"/>
      <w:r w:rsidRPr="004D3038">
        <w:t>pimozide</w:t>
      </w:r>
      <w:proofErr w:type="spellEnd"/>
      <w:r w:rsidRPr="004D3038">
        <w:t xml:space="preserve">, haloperidol, </w:t>
      </w:r>
      <w:proofErr w:type="spellStart"/>
      <w:r w:rsidRPr="004D3038">
        <w:t>tiapride</w:t>
      </w:r>
      <w:proofErr w:type="spellEnd"/>
      <w:r w:rsidRPr="004D3038">
        <w:t xml:space="preserve">, </w:t>
      </w:r>
      <w:proofErr w:type="spellStart"/>
      <w:r w:rsidRPr="004D3038">
        <w:t>amisulpride</w:t>
      </w:r>
      <w:proofErr w:type="spellEnd"/>
      <w:r w:rsidRPr="004D3038">
        <w:t xml:space="preserve">, </w:t>
      </w:r>
      <w:proofErr w:type="spellStart"/>
      <w:r w:rsidRPr="004D3038">
        <w:t>sertindole</w:t>
      </w:r>
      <w:proofErr w:type="spellEnd"/>
      <w:r w:rsidRPr="004D3038">
        <w:t xml:space="preserve">, methadone), certain antihistamines (e.g. </w:t>
      </w:r>
      <w:proofErr w:type="spellStart"/>
      <w:r w:rsidRPr="004D3038">
        <w:t>terfenadine</w:t>
      </w:r>
      <w:proofErr w:type="spellEnd"/>
      <w:r w:rsidRPr="004D3038">
        <w:t xml:space="preserve">, </w:t>
      </w:r>
      <w:proofErr w:type="spellStart"/>
      <w:r w:rsidRPr="004D3038">
        <w:t>astemizole</w:t>
      </w:r>
      <w:proofErr w:type="spellEnd"/>
      <w:r w:rsidRPr="004D3038">
        <w:t xml:space="preserve">, </w:t>
      </w:r>
      <w:proofErr w:type="spellStart"/>
      <w:r w:rsidRPr="004D3038">
        <w:t>mizolastine</w:t>
      </w:r>
      <w:proofErr w:type="spellEnd"/>
      <w:r w:rsidRPr="004D3038">
        <w:t xml:space="preserve">), </w:t>
      </w:r>
      <w:proofErr w:type="spellStart"/>
      <w:r w:rsidRPr="004D3038">
        <w:t>antimalarials</w:t>
      </w:r>
      <w:proofErr w:type="spellEnd"/>
      <w:r w:rsidRPr="004D3038">
        <w:t xml:space="preserve"> (e.g. </w:t>
      </w:r>
      <w:proofErr w:type="spellStart"/>
      <w:r w:rsidRPr="004D3038">
        <w:t>chloroquine</w:t>
      </w:r>
      <w:proofErr w:type="spellEnd"/>
      <w:r w:rsidRPr="004D3038">
        <w:t xml:space="preserve">, </w:t>
      </w:r>
      <w:proofErr w:type="spellStart"/>
      <w:r w:rsidRPr="004D3038">
        <w:t>halofantrine</w:t>
      </w:r>
      <w:proofErr w:type="spellEnd"/>
      <w:r w:rsidRPr="004D3038">
        <w:t xml:space="preserve">, </w:t>
      </w:r>
      <w:proofErr w:type="spellStart"/>
      <w:r w:rsidRPr="004D3038">
        <w:t>lumefantrine</w:t>
      </w:r>
      <w:proofErr w:type="spellEnd"/>
      <w:r w:rsidRPr="004D3038">
        <w:t>), certain antifungals (ketoconazole, except in shampoo) (see also section Precautions).</w:t>
      </w:r>
    </w:p>
    <w:p w:rsidR="004D3038" w:rsidRPr="004D3038" w:rsidRDefault="004D3038"/>
    <w:p w:rsidR="004D3038" w:rsidRPr="00DB570A" w:rsidRDefault="004D3038" w:rsidP="00ED26E2">
      <w:pPr>
        <w:pStyle w:val="Heading2"/>
      </w:pPr>
      <w:proofErr w:type="spellStart"/>
      <w:r w:rsidRPr="00DB570A">
        <w:t>Bradycardic</w:t>
      </w:r>
      <w:proofErr w:type="spellEnd"/>
      <w:r w:rsidRPr="00DB570A">
        <w:t xml:space="preserve"> medicinal products</w:t>
      </w:r>
    </w:p>
    <w:p w:rsidR="004D3038" w:rsidRPr="004D3038" w:rsidRDefault="004D3038">
      <w:r w:rsidRPr="004D3038">
        <w:t xml:space="preserve">Clinical monitoring of heart rate, notably at the beginning of treatment, is recommended in patients receiving </w:t>
      </w:r>
      <w:proofErr w:type="spellStart"/>
      <w:r w:rsidRPr="004D3038">
        <w:t>pasireotide</w:t>
      </w:r>
      <w:proofErr w:type="spellEnd"/>
      <w:r w:rsidRPr="004D3038">
        <w:t xml:space="preserve"> concomitantly with </w:t>
      </w:r>
      <w:proofErr w:type="spellStart"/>
      <w:r w:rsidRPr="004D3038">
        <w:t>bradycardic</w:t>
      </w:r>
      <w:proofErr w:type="spellEnd"/>
      <w:r w:rsidRPr="004D3038">
        <w:t xml:space="preserve"> medicinal products, such as beta blockers (e.g. </w:t>
      </w:r>
      <w:proofErr w:type="spellStart"/>
      <w:r w:rsidRPr="004D3038">
        <w:t>metoprolol</w:t>
      </w:r>
      <w:proofErr w:type="spellEnd"/>
      <w:r w:rsidRPr="004D3038">
        <w:t xml:space="preserve">, </w:t>
      </w:r>
      <w:proofErr w:type="spellStart"/>
      <w:r w:rsidRPr="004D3038">
        <w:t>carteolol</w:t>
      </w:r>
      <w:proofErr w:type="spellEnd"/>
      <w:r w:rsidRPr="004D3038">
        <w:t xml:space="preserve">, propranolol, </w:t>
      </w:r>
      <w:proofErr w:type="spellStart"/>
      <w:r w:rsidRPr="004D3038">
        <w:t>sotalol</w:t>
      </w:r>
      <w:proofErr w:type="spellEnd"/>
      <w:r w:rsidRPr="004D3038">
        <w:t xml:space="preserve">), </w:t>
      </w:r>
      <w:proofErr w:type="spellStart"/>
      <w:r w:rsidRPr="004D3038">
        <w:t>anticholinergics</w:t>
      </w:r>
      <w:proofErr w:type="spellEnd"/>
      <w:r w:rsidRPr="004D3038">
        <w:t xml:space="preserve"> (e.g. ipratropium bromide, oxybutynin), certain calcium channel blockers (e.g. verapamil, </w:t>
      </w:r>
      <w:proofErr w:type="spellStart"/>
      <w:r w:rsidRPr="004D3038">
        <w:t>diltiazem</w:t>
      </w:r>
      <w:proofErr w:type="spellEnd"/>
      <w:r w:rsidRPr="004D3038">
        <w:t xml:space="preserve">, </w:t>
      </w:r>
      <w:proofErr w:type="spellStart"/>
      <w:r w:rsidRPr="004D3038">
        <w:t>bepridil</w:t>
      </w:r>
      <w:proofErr w:type="spellEnd"/>
      <w:r w:rsidRPr="004D3038">
        <w:t xml:space="preserve">), certain </w:t>
      </w:r>
      <w:proofErr w:type="spellStart"/>
      <w:r w:rsidRPr="004D3038">
        <w:t>antiarrhythmics</w:t>
      </w:r>
      <w:proofErr w:type="spellEnd"/>
      <w:r w:rsidRPr="004D3038">
        <w:t xml:space="preserve"> (see also section Precautions).</w:t>
      </w:r>
    </w:p>
    <w:p w:rsidR="004D3038" w:rsidRPr="004D3038" w:rsidRDefault="004D3038"/>
    <w:p w:rsidR="004D3038" w:rsidRPr="00DB570A" w:rsidRDefault="004D3038" w:rsidP="00ED26E2">
      <w:pPr>
        <w:pStyle w:val="Heading2"/>
      </w:pPr>
      <w:r w:rsidRPr="00DB570A">
        <w:t>Insulin and anti</w:t>
      </w:r>
      <w:r w:rsidR="00C318FE">
        <w:t>-</w:t>
      </w:r>
      <w:r w:rsidRPr="00DB570A">
        <w:t>diabetic medicinal products</w:t>
      </w:r>
    </w:p>
    <w:p w:rsidR="004D3038" w:rsidRDefault="004D3038">
      <w:r w:rsidRPr="004D3038">
        <w:t xml:space="preserve">Dose adjustments (decrease or increase) of insulin and </w:t>
      </w:r>
      <w:proofErr w:type="spellStart"/>
      <w:r w:rsidRPr="004D3038">
        <w:t>antidiabetic</w:t>
      </w:r>
      <w:proofErr w:type="spellEnd"/>
      <w:r w:rsidRPr="004D3038">
        <w:t xml:space="preserve"> medicinal products (e.g. metformin, </w:t>
      </w:r>
      <w:proofErr w:type="spellStart"/>
      <w:r w:rsidRPr="004D3038">
        <w:t>liraglutide</w:t>
      </w:r>
      <w:proofErr w:type="spellEnd"/>
      <w:r w:rsidRPr="004D3038">
        <w:t xml:space="preserve">, </w:t>
      </w:r>
      <w:proofErr w:type="spellStart"/>
      <w:r w:rsidRPr="004D3038">
        <w:t>vildagliptin</w:t>
      </w:r>
      <w:proofErr w:type="spellEnd"/>
      <w:r w:rsidRPr="004D3038">
        <w:t xml:space="preserve">, </w:t>
      </w:r>
      <w:proofErr w:type="spellStart"/>
      <w:r w:rsidRPr="004D3038">
        <w:t>nateglinide</w:t>
      </w:r>
      <w:proofErr w:type="spellEnd"/>
      <w:r w:rsidRPr="004D3038">
        <w:t xml:space="preserve">) may be required when administered concomitantly with </w:t>
      </w:r>
      <w:proofErr w:type="spellStart"/>
      <w:r w:rsidRPr="004D3038">
        <w:t>pasireotide</w:t>
      </w:r>
      <w:proofErr w:type="spellEnd"/>
      <w:r w:rsidRPr="004D3038">
        <w:t xml:space="preserve"> (see also section Precautions).</w:t>
      </w:r>
    </w:p>
    <w:p w:rsidR="00566696" w:rsidRPr="00392ADF" w:rsidRDefault="00566696"/>
    <w:p w:rsidR="00A9247A" w:rsidRPr="00392ADF" w:rsidRDefault="002660E4" w:rsidP="00ED26E2">
      <w:pPr>
        <w:pStyle w:val="Heading1"/>
      </w:pPr>
      <w:r w:rsidRPr="00392ADF">
        <w:t>ADVERSE EFFECTS</w:t>
      </w:r>
    </w:p>
    <w:p w:rsidR="00566696" w:rsidRPr="00392ADF" w:rsidRDefault="00566696"/>
    <w:p w:rsidR="00E11AC6" w:rsidRPr="00392ADF" w:rsidRDefault="00E11AC6">
      <w:r w:rsidRPr="00392ADF">
        <w:t xml:space="preserve">A total of 201 Cushing’s disease patients received </w:t>
      </w:r>
      <w:proofErr w:type="spellStart"/>
      <w:r w:rsidRPr="00392ADF">
        <w:t>Signifor</w:t>
      </w:r>
      <w:proofErr w:type="spellEnd"/>
      <w:r w:rsidRPr="00392ADF">
        <w:t xml:space="preserve"> in Phase II and Phase III studies. The safety profile of </w:t>
      </w:r>
      <w:proofErr w:type="spellStart"/>
      <w:r w:rsidRPr="00392ADF">
        <w:t>Signifor</w:t>
      </w:r>
      <w:proofErr w:type="spellEnd"/>
      <w:r w:rsidRPr="00392ADF">
        <w:t xml:space="preserve"> was consistent with the </w:t>
      </w:r>
      <w:proofErr w:type="spellStart"/>
      <w:r w:rsidRPr="00392ADF">
        <w:t>somatostatin</w:t>
      </w:r>
      <w:proofErr w:type="spellEnd"/>
      <w:r w:rsidRPr="00392ADF">
        <w:t xml:space="preserve"> analogue class, except for the occurrence of </w:t>
      </w:r>
      <w:proofErr w:type="spellStart"/>
      <w:r w:rsidRPr="00392ADF">
        <w:t>hypocortisolism</w:t>
      </w:r>
      <w:proofErr w:type="spellEnd"/>
      <w:r w:rsidR="007B09E5">
        <w:t xml:space="preserve"> and degree of </w:t>
      </w:r>
      <w:proofErr w:type="spellStart"/>
      <w:r w:rsidR="007B09E5">
        <w:t>hyperglyc</w:t>
      </w:r>
      <w:r w:rsidR="002F072B">
        <w:t>a</w:t>
      </w:r>
      <w:r w:rsidR="007B09E5">
        <w:t>emia</w:t>
      </w:r>
      <w:proofErr w:type="spellEnd"/>
      <w:r w:rsidRPr="00392ADF">
        <w:t>.</w:t>
      </w:r>
    </w:p>
    <w:p w:rsidR="00E11AC6" w:rsidRPr="00392ADF" w:rsidRDefault="00E11AC6">
      <w:r w:rsidRPr="00392ADF">
        <w:t xml:space="preserve">The data described below reflect exposure of 162 Cushing’s disease patients to </w:t>
      </w:r>
      <w:proofErr w:type="spellStart"/>
      <w:r w:rsidRPr="00392ADF">
        <w:t>Signifor</w:t>
      </w:r>
      <w:proofErr w:type="spellEnd"/>
      <w:r w:rsidRPr="00392ADF">
        <w:t xml:space="preserve"> in the Phase III study. At study entry patients were randomized to receive twice a day (</w:t>
      </w:r>
      <w:proofErr w:type="spellStart"/>
      <w:r w:rsidRPr="00392ADF">
        <w:t>b.i.d</w:t>
      </w:r>
      <w:proofErr w:type="spellEnd"/>
      <w:r w:rsidRPr="00392ADF">
        <w:t xml:space="preserve">.) doses of either </w:t>
      </w:r>
      <w:r w:rsidR="003A00DF">
        <w:t>600 mc</w:t>
      </w:r>
      <w:r w:rsidR="00932534">
        <w:t>g</w:t>
      </w:r>
      <w:r w:rsidRPr="00392ADF">
        <w:t xml:space="preserve"> or </w:t>
      </w:r>
      <w:r w:rsidR="003A00DF">
        <w:t>900 mc</w:t>
      </w:r>
      <w:r w:rsidR="00932534">
        <w:t>g</w:t>
      </w:r>
      <w:r w:rsidRPr="00392ADF">
        <w:t xml:space="preserve"> of </w:t>
      </w:r>
      <w:proofErr w:type="spellStart"/>
      <w:r w:rsidRPr="00392ADF">
        <w:t>Signifor</w:t>
      </w:r>
      <w:proofErr w:type="spellEnd"/>
      <w:r w:rsidRPr="00392ADF">
        <w:t xml:space="preserve">. The mean age of patients was approximately 40 years old with a predominance of female patients (77.8%). The majority of the patients had persistent or recurrent Cushing’s disease (83.3%) and few patients (≤5%) in either treatment group had received previous pituitary irradiation. The median exposure to the treatment up to the cut-off date of the primary efficacy and safety analysis was 10.37 months (0.03 to 37.8) with 67.9% of patients having at least </w:t>
      </w:r>
      <w:proofErr w:type="gramStart"/>
      <w:r w:rsidRPr="00392ADF">
        <w:t>six-months</w:t>
      </w:r>
      <w:proofErr w:type="gramEnd"/>
      <w:r w:rsidRPr="00392ADF">
        <w:t xml:space="preserve"> exposure.</w:t>
      </w:r>
    </w:p>
    <w:p w:rsidR="00F93BEE" w:rsidRDefault="00E11AC6">
      <w:r w:rsidRPr="00392ADF">
        <w:lastRenderedPageBreak/>
        <w:t xml:space="preserve">The frequency and severity of adverse drug reactions (ADRs) was comparable between the two dose groups. Grade 1 and 2 ADRs were reported in 57.4% of patients. Grade 3 ADRs were observed in 35.8% of patients and Grade 4 ADRs were observed in 2.5% of patients. Grade 3 and 4 ADRs were mostly related to hyperglycemia. The most common ADRs (incidence ≥10%) were </w:t>
      </w:r>
      <w:proofErr w:type="spellStart"/>
      <w:r w:rsidRPr="00392ADF">
        <w:t>diarrhoea</w:t>
      </w:r>
      <w:proofErr w:type="spellEnd"/>
      <w:r w:rsidRPr="00392ADF">
        <w:t xml:space="preserve">, nausea, abdominal pain, </w:t>
      </w:r>
      <w:proofErr w:type="spellStart"/>
      <w:r w:rsidRPr="00392ADF">
        <w:t>cholelithiasis</w:t>
      </w:r>
      <w:proofErr w:type="spellEnd"/>
      <w:r w:rsidRPr="00392ADF">
        <w:t xml:space="preserve">, hyperglycemia, diabetes mellitus, fatigue and glycosylated </w:t>
      </w:r>
      <w:proofErr w:type="spellStart"/>
      <w:r w:rsidRPr="00392ADF">
        <w:t>haemoglobin</w:t>
      </w:r>
      <w:proofErr w:type="spellEnd"/>
      <w:r w:rsidRPr="00392ADF">
        <w:t xml:space="preserve"> increased. There were no deaths during the study. </w:t>
      </w:r>
    </w:p>
    <w:p w:rsidR="00E11AC6" w:rsidRPr="00392ADF" w:rsidRDefault="00E11AC6">
      <w:r w:rsidRPr="00392ADF">
        <w:t xml:space="preserve">Adverse </w:t>
      </w:r>
      <w:r w:rsidR="00C430D6">
        <w:t>events</w:t>
      </w:r>
      <w:r w:rsidR="00C430D6" w:rsidRPr="00392ADF">
        <w:t xml:space="preserve"> </w:t>
      </w:r>
      <w:r w:rsidRPr="00392ADF">
        <w:t>reported up to the cut-off date of the analysis, with an overall frequency higher th</w:t>
      </w:r>
      <w:r w:rsidR="00A7062A" w:rsidRPr="00392ADF">
        <w:t xml:space="preserve">an 5% are presented in Table </w:t>
      </w:r>
      <w:r w:rsidR="00C430D6">
        <w:t>3</w:t>
      </w:r>
      <w:r w:rsidR="00C430D6" w:rsidRPr="00392ADF">
        <w:t xml:space="preserve"> </w:t>
      </w:r>
      <w:r w:rsidRPr="00392ADF">
        <w:t xml:space="preserve">by randomized dose group and overall. </w:t>
      </w:r>
      <w:r w:rsidR="00C430D6" w:rsidRPr="00FB4008">
        <w:t>Adverse events</w:t>
      </w:r>
      <w:r w:rsidR="00C430D6" w:rsidRPr="00A163F4">
        <w:t xml:space="preserve"> are ranked by frequency, with the most frequent reactions </w:t>
      </w:r>
      <w:r w:rsidR="00C430D6" w:rsidRPr="0087120C">
        <w:t>listed first.</w:t>
      </w:r>
    </w:p>
    <w:p w:rsidR="00A7062A" w:rsidRPr="00392ADF" w:rsidRDefault="00A7062A" w:rsidP="00EC70F0">
      <w:pPr>
        <w:ind w:left="1134" w:hanging="1134"/>
      </w:pPr>
    </w:p>
    <w:p w:rsidR="00EC70F0" w:rsidRPr="00EC70F0" w:rsidRDefault="00EC70F0" w:rsidP="0057438F">
      <w:pPr>
        <w:ind w:left="1134" w:hanging="1134"/>
        <w:rPr>
          <w:lang w:val="en-GB"/>
        </w:rPr>
      </w:pPr>
      <w:r>
        <w:rPr>
          <w:lang w:val="en-GB"/>
        </w:rPr>
        <w:t>Table 3</w:t>
      </w:r>
      <w:r>
        <w:rPr>
          <w:lang w:val="en-GB"/>
        </w:rPr>
        <w:tab/>
        <w:t xml:space="preserve">Adverse events </w:t>
      </w:r>
      <w:r w:rsidR="00ED4554">
        <w:rPr>
          <w:lang w:val="en-GB"/>
        </w:rPr>
        <w:t>[</w:t>
      </w:r>
      <w:proofErr w:type="gramStart"/>
      <w:r w:rsidR="00ED4554">
        <w:rPr>
          <w:lang w:val="en-GB"/>
        </w:rPr>
        <w:t>n(</w:t>
      </w:r>
      <w:proofErr w:type="gramEnd"/>
      <w:r w:rsidR="00ED4554">
        <w:rPr>
          <w:lang w:val="en-GB"/>
        </w:rPr>
        <w:t xml:space="preserve">%)] </w:t>
      </w:r>
      <w:r>
        <w:rPr>
          <w:lang w:val="en-GB"/>
        </w:rPr>
        <w:t>with an overall frequency of more than 5% in the combine</w:t>
      </w:r>
      <w:r w:rsidR="00ED4554">
        <w:rPr>
          <w:lang w:val="en-GB"/>
        </w:rPr>
        <w:t>d</w:t>
      </w:r>
      <w:r>
        <w:rPr>
          <w:lang w:val="en-GB"/>
        </w:rPr>
        <w:t xml:space="preserve"> dose group in the Phase III study in Cushing’s Disease patients</w:t>
      </w:r>
    </w:p>
    <w:tbl>
      <w:tblPr>
        <w:tblW w:w="0" w:type="auto"/>
        <w:jc w:val="center"/>
        <w:tblLayout w:type="fixed"/>
        <w:tblCellMar>
          <w:left w:w="0" w:type="dxa"/>
          <w:right w:w="0" w:type="dxa"/>
        </w:tblCellMar>
        <w:tblLook w:val="0000" w:firstRow="0" w:lastRow="0" w:firstColumn="0" w:lastColumn="0" w:noHBand="0" w:noVBand="0"/>
      </w:tblPr>
      <w:tblGrid>
        <w:gridCol w:w="3001"/>
        <w:gridCol w:w="2202"/>
        <w:gridCol w:w="2250"/>
        <w:gridCol w:w="1672"/>
      </w:tblGrid>
      <w:tr w:rsidR="00481649" w:rsidRPr="00481649" w:rsidTr="0087120C">
        <w:trPr>
          <w:cantSplit/>
          <w:jc w:val="center"/>
        </w:trPr>
        <w:tc>
          <w:tcPr>
            <w:tcW w:w="3001" w:type="dxa"/>
            <w:tcBorders>
              <w:top w:val="single" w:sz="6" w:space="0" w:color="000000"/>
              <w:left w:val="nil"/>
              <w:bottom w:val="single" w:sz="4" w:space="0" w:color="auto"/>
              <w:right w:val="nil"/>
            </w:tcBorders>
            <w:shd w:val="clear" w:color="auto" w:fill="FFFFFF"/>
            <w:tcMar>
              <w:left w:w="60" w:type="dxa"/>
              <w:right w:w="60" w:type="dxa"/>
            </w:tcMar>
            <w:vAlign w:val="bottom"/>
          </w:tcPr>
          <w:p w:rsidR="00481649" w:rsidRPr="00481649" w:rsidRDefault="00481649" w:rsidP="00EC70F0"/>
        </w:tc>
        <w:tc>
          <w:tcPr>
            <w:tcW w:w="2202" w:type="dxa"/>
            <w:tcBorders>
              <w:top w:val="single" w:sz="6" w:space="0" w:color="000000"/>
              <w:left w:val="nil"/>
              <w:bottom w:val="single" w:sz="4" w:space="0" w:color="auto"/>
              <w:right w:val="nil"/>
            </w:tcBorders>
            <w:shd w:val="clear" w:color="auto" w:fill="FFFFFF"/>
            <w:tcMar>
              <w:left w:w="60" w:type="dxa"/>
              <w:right w:w="60" w:type="dxa"/>
            </w:tcMar>
          </w:tcPr>
          <w:p w:rsidR="00481649" w:rsidRPr="00481649" w:rsidRDefault="00481649" w:rsidP="00EC70F0">
            <w:r w:rsidRPr="00481649">
              <w:t>SIGNIFOR</w:t>
            </w:r>
            <w:r w:rsidRPr="00481649">
              <w:br/>
              <w:t>600 mcg bid</w:t>
            </w:r>
            <w:r w:rsidRPr="00481649">
              <w:br/>
              <w:t>N=82</w:t>
            </w:r>
          </w:p>
        </w:tc>
        <w:tc>
          <w:tcPr>
            <w:tcW w:w="2250" w:type="dxa"/>
            <w:tcBorders>
              <w:top w:val="single" w:sz="6" w:space="0" w:color="000000"/>
              <w:left w:val="nil"/>
              <w:bottom w:val="single" w:sz="4" w:space="0" w:color="auto"/>
              <w:right w:val="nil"/>
            </w:tcBorders>
            <w:shd w:val="clear" w:color="auto" w:fill="FFFFFF"/>
            <w:tcMar>
              <w:left w:w="60" w:type="dxa"/>
              <w:right w:w="60" w:type="dxa"/>
            </w:tcMar>
          </w:tcPr>
          <w:p w:rsidR="00481649" w:rsidRPr="00481649" w:rsidRDefault="00481649" w:rsidP="00EC70F0">
            <w:r w:rsidRPr="00481649">
              <w:t>SIGNIFOR</w:t>
            </w:r>
            <w:r w:rsidRPr="00481649">
              <w:br/>
              <w:t>900 mcg bid</w:t>
            </w:r>
            <w:r w:rsidRPr="00481649">
              <w:br/>
              <w:t>N=80</w:t>
            </w:r>
          </w:p>
        </w:tc>
        <w:tc>
          <w:tcPr>
            <w:tcW w:w="1672" w:type="dxa"/>
            <w:tcBorders>
              <w:top w:val="single" w:sz="6" w:space="0" w:color="000000"/>
              <w:left w:val="nil"/>
              <w:bottom w:val="single" w:sz="4" w:space="0" w:color="auto"/>
              <w:right w:val="nil"/>
            </w:tcBorders>
            <w:shd w:val="clear" w:color="auto" w:fill="FFFFFF"/>
            <w:tcMar>
              <w:left w:w="60" w:type="dxa"/>
              <w:right w:w="60" w:type="dxa"/>
            </w:tcMar>
          </w:tcPr>
          <w:p w:rsidR="00481649" w:rsidRPr="00481649" w:rsidRDefault="00481649" w:rsidP="00EC70F0">
            <w:r w:rsidRPr="00481649">
              <w:t>Overall</w:t>
            </w:r>
            <w:r w:rsidRPr="00481649">
              <w:br/>
              <w:t>N=162</w:t>
            </w:r>
          </w:p>
        </w:tc>
      </w:tr>
      <w:tr w:rsidR="00481649" w:rsidRPr="00481649" w:rsidTr="0087120C">
        <w:trPr>
          <w:cantSplit/>
          <w:jc w:val="center"/>
        </w:trPr>
        <w:tc>
          <w:tcPr>
            <w:tcW w:w="3001" w:type="dxa"/>
            <w:tcBorders>
              <w:top w:val="single" w:sz="4" w:space="0" w:color="auto"/>
              <w:left w:val="nil"/>
              <w:bottom w:val="nil"/>
              <w:right w:val="nil"/>
            </w:tcBorders>
            <w:shd w:val="clear" w:color="auto" w:fill="FFFFFF"/>
            <w:tcMar>
              <w:left w:w="60" w:type="dxa"/>
              <w:right w:w="60" w:type="dxa"/>
            </w:tcMar>
          </w:tcPr>
          <w:p w:rsidR="00481649" w:rsidRPr="00481649" w:rsidRDefault="00481649" w:rsidP="00EC70F0">
            <w:r w:rsidRPr="00481649">
              <w:t>Diarrhea</w:t>
            </w:r>
          </w:p>
        </w:tc>
        <w:tc>
          <w:tcPr>
            <w:tcW w:w="2202" w:type="dxa"/>
            <w:tcBorders>
              <w:top w:val="single" w:sz="4" w:space="0" w:color="auto"/>
              <w:left w:val="nil"/>
              <w:bottom w:val="nil"/>
              <w:right w:val="nil"/>
            </w:tcBorders>
            <w:shd w:val="clear" w:color="auto" w:fill="FFFFFF"/>
            <w:tcMar>
              <w:left w:w="60" w:type="dxa"/>
              <w:right w:w="60" w:type="dxa"/>
            </w:tcMar>
          </w:tcPr>
          <w:p w:rsidR="00481649" w:rsidRPr="00481649" w:rsidRDefault="00481649" w:rsidP="00EC70F0">
            <w:r w:rsidRPr="00481649">
              <w:t>48 (59)</w:t>
            </w:r>
          </w:p>
        </w:tc>
        <w:tc>
          <w:tcPr>
            <w:tcW w:w="2250" w:type="dxa"/>
            <w:tcBorders>
              <w:top w:val="single" w:sz="4" w:space="0" w:color="auto"/>
              <w:left w:val="nil"/>
              <w:bottom w:val="nil"/>
              <w:right w:val="nil"/>
            </w:tcBorders>
            <w:shd w:val="clear" w:color="auto" w:fill="FFFFFF"/>
            <w:tcMar>
              <w:left w:w="60" w:type="dxa"/>
              <w:right w:w="60" w:type="dxa"/>
            </w:tcMar>
          </w:tcPr>
          <w:p w:rsidR="00481649" w:rsidRPr="00481649" w:rsidRDefault="00481649" w:rsidP="00EC70F0">
            <w:r w:rsidRPr="00481649">
              <w:t>46 (58)</w:t>
            </w:r>
          </w:p>
        </w:tc>
        <w:tc>
          <w:tcPr>
            <w:tcW w:w="1672" w:type="dxa"/>
            <w:tcBorders>
              <w:top w:val="single" w:sz="4" w:space="0" w:color="auto"/>
              <w:left w:val="nil"/>
              <w:bottom w:val="nil"/>
              <w:right w:val="nil"/>
            </w:tcBorders>
            <w:shd w:val="clear" w:color="auto" w:fill="FFFFFF"/>
            <w:tcMar>
              <w:left w:w="60" w:type="dxa"/>
              <w:right w:w="60" w:type="dxa"/>
            </w:tcMar>
          </w:tcPr>
          <w:p w:rsidR="00481649" w:rsidRPr="00481649" w:rsidRDefault="00481649" w:rsidP="00EC70F0">
            <w:r w:rsidRPr="00481649">
              <w:t>94 (58)</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Nausea</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38 (46)</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46 (58)</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84 (52)</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proofErr w:type="spellStart"/>
            <w:r w:rsidRPr="00481649">
              <w:t>Hyperglyc</w:t>
            </w:r>
            <w:r w:rsidR="00C430D6">
              <w:t>a</w:t>
            </w:r>
            <w:r w:rsidRPr="00481649">
              <w:t>emia</w:t>
            </w:r>
            <w:proofErr w:type="spellEnd"/>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31 (38)</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34 (43)</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65 (40)</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proofErr w:type="spellStart"/>
            <w:r w:rsidRPr="00481649">
              <w:t>Cholelithiasis</w:t>
            </w:r>
            <w:proofErr w:type="spellEnd"/>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25 (30)</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24 (30)</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49 (30)</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Headache</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23 (28)</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23 (29)</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46 (28)</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Abdominal pain</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19 (23)</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20 (25)</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39 (24)</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Fatigue</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12 (15)</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19(24)</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31 (19)</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Diabetes mellitus</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13 (16)</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16 (20)</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29 (18)</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Injection site reactions</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14 (17)</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14 (18)</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28 (17)</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proofErr w:type="spellStart"/>
            <w:r w:rsidRPr="00481649">
              <w:t>Nasopharyngitis</w:t>
            </w:r>
            <w:proofErr w:type="spellEnd"/>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10 (12)</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11 (14)</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21 (13)</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Alopecia</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10 (12)</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10 (13)</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20 (12)</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Asthenia</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13 (16)</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5 (6)</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18 (11)</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Glycosylated hemoglobin increased</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10 (12)</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8 (10)</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18 (11)</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Alanine aminotransferase increased</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11 (13)</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6 (8)</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17 (10)</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Gamma-</w:t>
            </w:r>
            <w:proofErr w:type="spellStart"/>
            <w:r w:rsidRPr="00481649">
              <w:t>glutamyl</w:t>
            </w:r>
            <w:proofErr w:type="spellEnd"/>
            <w:r w:rsidRPr="00481649">
              <w:t xml:space="preserve"> </w:t>
            </w:r>
            <w:proofErr w:type="spellStart"/>
            <w:r w:rsidRPr="00481649">
              <w:t>transferase</w:t>
            </w:r>
            <w:proofErr w:type="spellEnd"/>
            <w:r w:rsidRPr="00481649">
              <w:t xml:space="preserve"> increased</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10 (12)</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7 (9)</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17 (10)</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lastRenderedPageBreak/>
              <w:t>Edema peripheral</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9 (11)</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8 (10)</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17 (10)</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Abdominal pain upper</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10 (12)</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6 (8)</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16 (10)</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Decreased appetite</w:t>
            </w:r>
          </w:p>
        </w:tc>
        <w:tc>
          <w:tcPr>
            <w:tcW w:w="220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7 (9)</w:t>
            </w:r>
          </w:p>
        </w:tc>
        <w:tc>
          <w:tcPr>
            <w:tcW w:w="2250"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9 (11)</w:t>
            </w:r>
          </w:p>
        </w:tc>
        <w:tc>
          <w:tcPr>
            <w:tcW w:w="1672" w:type="dxa"/>
            <w:tcBorders>
              <w:top w:val="nil"/>
              <w:left w:val="nil"/>
              <w:bottom w:val="nil"/>
              <w:right w:val="nil"/>
            </w:tcBorders>
            <w:shd w:val="clear" w:color="auto" w:fill="FFFFFF"/>
            <w:tcMar>
              <w:left w:w="60" w:type="dxa"/>
              <w:right w:w="60" w:type="dxa"/>
            </w:tcMar>
          </w:tcPr>
          <w:p w:rsidR="00481649" w:rsidRPr="00481649" w:rsidRDefault="00481649" w:rsidP="00EC70F0">
            <w:r w:rsidRPr="00481649">
              <w:t>16 (10)</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Hypercholesterolemia</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7 (9)</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9 (11)</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16 (10)</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Hypertension</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8 (10)</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8 (10)</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16 (10)</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Dizziness</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8 (10)</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7 (9)</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15 (9)</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proofErr w:type="spellStart"/>
            <w:r w:rsidRPr="00C430D6">
              <w:t>Hypoglyc</w:t>
            </w:r>
            <w:r w:rsidR="00C430D6">
              <w:t>a</w:t>
            </w:r>
            <w:r w:rsidRPr="00C430D6">
              <w:t>emia</w:t>
            </w:r>
            <w:proofErr w:type="spellEnd"/>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12 (15)</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3 (4)</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15 (9)</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Type 2 diabetes mellitus</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10 (12)</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15 (9)</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Anxiety</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9 (11)</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14 (9)</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Influenza</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9 (11)</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14 (9)</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Insomnia</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3 (4)</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11 (14)</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14 (9)</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Myalgia</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10 (12)</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4 (5)</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14 (9)</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Arthralgia</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8 (10)</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13 (8)</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Pruritus</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6 (7)</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7 (9)</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13 (8)</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Lipase increased</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7 (9)</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12 (7)</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Constipation</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7 (9)</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4 (5)</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11 (7)</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Hypotension</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6 (8)</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11 (7)</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Vomiting</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3 (4)</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8 (10)</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11 (7)</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Back pain</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4 (5)</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6 (8)</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10 (6)</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Dry skin</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10 (6)</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Electrocardiogram QT prolonged</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10 (6)</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Hypokalemia</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6 (7)</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4 (5)</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10 (6)</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Pain in extremity</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6 (7)</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4 (5)</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10 (6)</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Sinus bradycardia</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8 (10)</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2 (3)</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10 (6)</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Vertigo</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4 (5)</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6 (8)</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10 (6)</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Abdominal distension</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4 (5)</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9 (6)</w:t>
            </w:r>
          </w:p>
        </w:tc>
      </w:tr>
      <w:tr w:rsidR="00481649" w:rsidRPr="00481649" w:rsidTr="0087120C">
        <w:trPr>
          <w:cantSplit/>
          <w:jc w:val="center"/>
        </w:trPr>
        <w:tc>
          <w:tcPr>
            <w:tcW w:w="3001"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Adrenal insufficiency</w:t>
            </w:r>
          </w:p>
        </w:tc>
        <w:tc>
          <w:tcPr>
            <w:tcW w:w="220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4 (5)</w:t>
            </w:r>
          </w:p>
        </w:tc>
        <w:tc>
          <w:tcPr>
            <w:tcW w:w="2250"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5 (6)</w:t>
            </w:r>
          </w:p>
        </w:tc>
        <w:tc>
          <w:tcPr>
            <w:tcW w:w="1672" w:type="dxa"/>
            <w:tcBorders>
              <w:top w:val="nil"/>
              <w:left w:val="nil"/>
              <w:bottom w:val="nil"/>
              <w:right w:val="nil"/>
            </w:tcBorders>
            <w:shd w:val="clear" w:color="auto" w:fill="FFFFFF"/>
            <w:tcMar>
              <w:left w:w="60" w:type="dxa"/>
              <w:right w:w="60" w:type="dxa"/>
            </w:tcMar>
          </w:tcPr>
          <w:p w:rsidR="00481649" w:rsidRPr="00C430D6" w:rsidRDefault="00481649" w:rsidP="00EC70F0">
            <w:r w:rsidRPr="00C430D6">
              <w:t>9 (6)</w:t>
            </w:r>
          </w:p>
        </w:tc>
      </w:tr>
      <w:tr w:rsidR="00481649" w:rsidRPr="00481649" w:rsidTr="0087120C">
        <w:trPr>
          <w:cantSplit/>
          <w:jc w:val="center"/>
        </w:trPr>
        <w:tc>
          <w:tcPr>
            <w:tcW w:w="3001" w:type="dxa"/>
            <w:tcBorders>
              <w:top w:val="nil"/>
              <w:left w:val="nil"/>
              <w:right w:val="nil"/>
            </w:tcBorders>
            <w:shd w:val="clear" w:color="auto" w:fill="FFFFFF"/>
            <w:tcMar>
              <w:left w:w="60" w:type="dxa"/>
              <w:right w:w="60" w:type="dxa"/>
            </w:tcMar>
          </w:tcPr>
          <w:p w:rsidR="00481649" w:rsidRPr="00C430D6" w:rsidRDefault="00481649" w:rsidP="00EC70F0">
            <w:r w:rsidRPr="00C430D6">
              <w:t>Aspartate aminotransferase increased</w:t>
            </w:r>
          </w:p>
        </w:tc>
        <w:tc>
          <w:tcPr>
            <w:tcW w:w="2202" w:type="dxa"/>
            <w:tcBorders>
              <w:top w:val="nil"/>
              <w:left w:val="nil"/>
              <w:right w:val="nil"/>
            </w:tcBorders>
            <w:shd w:val="clear" w:color="auto" w:fill="FFFFFF"/>
            <w:tcMar>
              <w:left w:w="60" w:type="dxa"/>
              <w:right w:w="60" w:type="dxa"/>
            </w:tcMar>
          </w:tcPr>
          <w:p w:rsidR="00481649" w:rsidRPr="00C430D6" w:rsidRDefault="00481649" w:rsidP="00EC70F0">
            <w:r w:rsidRPr="00C430D6">
              <w:t>6 (7)</w:t>
            </w:r>
          </w:p>
        </w:tc>
        <w:tc>
          <w:tcPr>
            <w:tcW w:w="2250" w:type="dxa"/>
            <w:tcBorders>
              <w:top w:val="nil"/>
              <w:left w:val="nil"/>
              <w:right w:val="nil"/>
            </w:tcBorders>
            <w:shd w:val="clear" w:color="auto" w:fill="FFFFFF"/>
            <w:tcMar>
              <w:left w:w="60" w:type="dxa"/>
              <w:right w:w="60" w:type="dxa"/>
            </w:tcMar>
          </w:tcPr>
          <w:p w:rsidR="00481649" w:rsidRPr="00C430D6" w:rsidRDefault="00481649" w:rsidP="00EC70F0">
            <w:r w:rsidRPr="00C430D6">
              <w:t>3 (4)</w:t>
            </w:r>
          </w:p>
        </w:tc>
        <w:tc>
          <w:tcPr>
            <w:tcW w:w="1672" w:type="dxa"/>
            <w:tcBorders>
              <w:top w:val="nil"/>
              <w:left w:val="nil"/>
              <w:right w:val="nil"/>
            </w:tcBorders>
            <w:shd w:val="clear" w:color="auto" w:fill="FFFFFF"/>
            <w:tcMar>
              <w:left w:w="60" w:type="dxa"/>
              <w:right w:w="60" w:type="dxa"/>
            </w:tcMar>
          </w:tcPr>
          <w:p w:rsidR="00481649" w:rsidRPr="00C430D6" w:rsidRDefault="00481649" w:rsidP="00EC70F0">
            <w:r w:rsidRPr="00C430D6">
              <w:t>9 (6)</w:t>
            </w:r>
          </w:p>
        </w:tc>
      </w:tr>
      <w:tr w:rsidR="00481649" w:rsidRPr="00481649" w:rsidTr="0087120C">
        <w:trPr>
          <w:cantSplit/>
          <w:jc w:val="center"/>
        </w:trPr>
        <w:tc>
          <w:tcPr>
            <w:tcW w:w="3001" w:type="dxa"/>
            <w:tcBorders>
              <w:top w:val="nil"/>
              <w:left w:val="nil"/>
              <w:bottom w:val="single" w:sz="4" w:space="0" w:color="auto"/>
              <w:right w:val="nil"/>
            </w:tcBorders>
            <w:shd w:val="clear" w:color="auto" w:fill="FFFFFF"/>
            <w:tcMar>
              <w:left w:w="60" w:type="dxa"/>
              <w:right w:w="60" w:type="dxa"/>
            </w:tcMar>
          </w:tcPr>
          <w:p w:rsidR="00481649" w:rsidRPr="00C430D6" w:rsidRDefault="00481649" w:rsidP="00EC70F0">
            <w:r w:rsidRPr="00C430D6">
              <w:t>Blood glucose increased</w:t>
            </w:r>
          </w:p>
        </w:tc>
        <w:tc>
          <w:tcPr>
            <w:tcW w:w="2202" w:type="dxa"/>
            <w:tcBorders>
              <w:top w:val="nil"/>
              <w:left w:val="nil"/>
              <w:bottom w:val="single" w:sz="4" w:space="0" w:color="auto"/>
              <w:right w:val="nil"/>
            </w:tcBorders>
            <w:shd w:val="clear" w:color="auto" w:fill="FFFFFF"/>
            <w:tcMar>
              <w:left w:w="60" w:type="dxa"/>
              <w:right w:w="60" w:type="dxa"/>
            </w:tcMar>
          </w:tcPr>
          <w:p w:rsidR="00481649" w:rsidRPr="00C430D6" w:rsidRDefault="00481649" w:rsidP="00EC70F0">
            <w:r w:rsidRPr="00C430D6">
              <w:t>6 (7)</w:t>
            </w:r>
          </w:p>
        </w:tc>
        <w:tc>
          <w:tcPr>
            <w:tcW w:w="2250" w:type="dxa"/>
            <w:tcBorders>
              <w:top w:val="nil"/>
              <w:left w:val="nil"/>
              <w:bottom w:val="single" w:sz="4" w:space="0" w:color="auto"/>
              <w:right w:val="nil"/>
            </w:tcBorders>
            <w:shd w:val="clear" w:color="auto" w:fill="FFFFFF"/>
            <w:tcMar>
              <w:left w:w="60" w:type="dxa"/>
              <w:right w:w="60" w:type="dxa"/>
            </w:tcMar>
          </w:tcPr>
          <w:p w:rsidR="00481649" w:rsidRPr="00C430D6" w:rsidRDefault="00481649" w:rsidP="00EC70F0">
            <w:r w:rsidRPr="00C430D6">
              <w:t>3 (4)</w:t>
            </w:r>
          </w:p>
        </w:tc>
        <w:tc>
          <w:tcPr>
            <w:tcW w:w="1672" w:type="dxa"/>
            <w:tcBorders>
              <w:top w:val="nil"/>
              <w:left w:val="nil"/>
              <w:bottom w:val="single" w:sz="4" w:space="0" w:color="auto"/>
              <w:right w:val="nil"/>
            </w:tcBorders>
            <w:shd w:val="clear" w:color="auto" w:fill="FFFFFF"/>
            <w:tcMar>
              <w:left w:w="60" w:type="dxa"/>
              <w:right w:w="60" w:type="dxa"/>
            </w:tcMar>
          </w:tcPr>
          <w:p w:rsidR="00481649" w:rsidRPr="00C430D6" w:rsidRDefault="00481649" w:rsidP="00EC70F0">
            <w:r w:rsidRPr="00C430D6">
              <w:t>9 (6)</w:t>
            </w:r>
          </w:p>
        </w:tc>
      </w:tr>
    </w:tbl>
    <w:p w:rsidR="00A7062A" w:rsidRPr="00392ADF" w:rsidRDefault="00A7062A" w:rsidP="00EC70F0"/>
    <w:p w:rsidR="00C430D6" w:rsidRPr="00C430D6" w:rsidRDefault="00C430D6" w:rsidP="00FB4008">
      <w:r w:rsidRPr="00C430D6">
        <w:t xml:space="preserve">Other notable adverse </w:t>
      </w:r>
      <w:r w:rsidR="008F20B1">
        <w:t>events</w:t>
      </w:r>
      <w:r w:rsidRPr="00C430D6">
        <w:t xml:space="preserve"> which occurred with a frequency less than 5% were: anemia (4%); blood amylase increased (2%) and </w:t>
      </w:r>
      <w:proofErr w:type="spellStart"/>
      <w:r w:rsidRPr="00C430D6">
        <w:t>prothrombin</w:t>
      </w:r>
      <w:proofErr w:type="spellEnd"/>
      <w:r w:rsidRPr="00C430D6">
        <w:t xml:space="preserve"> time prolonged (2%). </w:t>
      </w:r>
    </w:p>
    <w:p w:rsidR="006C5560" w:rsidRPr="00392ADF" w:rsidRDefault="006C5560"/>
    <w:p w:rsidR="00A7062A" w:rsidRDefault="00566696" w:rsidP="00EC70F0">
      <w:pPr>
        <w:pStyle w:val="Heading2"/>
      </w:pPr>
      <w:r w:rsidRPr="00392ADF">
        <w:t>Description of S</w:t>
      </w:r>
      <w:r w:rsidR="00A7062A" w:rsidRPr="00392ADF">
        <w:t>elected A</w:t>
      </w:r>
      <w:r w:rsidR="0057438F">
        <w:t xml:space="preserve">dverse </w:t>
      </w:r>
      <w:r w:rsidR="00A7062A" w:rsidRPr="00392ADF">
        <w:t>D</w:t>
      </w:r>
      <w:r w:rsidR="0057438F">
        <w:t xml:space="preserve">rug </w:t>
      </w:r>
      <w:r w:rsidR="00A7062A" w:rsidRPr="00392ADF">
        <w:t>R</w:t>
      </w:r>
      <w:r w:rsidR="0057438F">
        <w:t>eaction</w:t>
      </w:r>
      <w:r w:rsidR="00A7062A" w:rsidRPr="00392ADF">
        <w:t>s</w:t>
      </w:r>
    </w:p>
    <w:p w:rsidR="00A7062A" w:rsidRPr="00392ADF" w:rsidRDefault="00A7062A" w:rsidP="00EC70F0">
      <w:pPr>
        <w:pStyle w:val="Heading3"/>
      </w:pPr>
      <w:r w:rsidRPr="00392ADF">
        <w:t>Glucose metabolism disorders</w:t>
      </w:r>
      <w:r w:rsidR="00566696" w:rsidRPr="00392ADF">
        <w:t>:</w:t>
      </w:r>
    </w:p>
    <w:p w:rsidR="00A7062A" w:rsidRDefault="00A7062A">
      <w:r w:rsidRPr="00392ADF">
        <w:t xml:space="preserve">Elevated glucose was the most frequently reported Grade 3 laboratory abnormality (23.2% of patients) in the Phase III study in Cushing’s disease patients. </w:t>
      </w:r>
      <w:r w:rsidR="00B86C70" w:rsidRPr="00392ADF">
        <w:t>Mean HbA1c increases were less pronounced in patients with normal glyc</w:t>
      </w:r>
      <w:r w:rsidR="002F072B">
        <w:t>a</w:t>
      </w:r>
      <w:r w:rsidR="00B86C70" w:rsidRPr="00392ADF">
        <w:t xml:space="preserve">emia at study entry in comparison to pre-diabetic patients or diabetic patients (Table </w:t>
      </w:r>
      <w:r w:rsidR="007710A8">
        <w:t>4</w:t>
      </w:r>
      <w:r w:rsidR="00B86C70" w:rsidRPr="00392ADF">
        <w:t>).</w:t>
      </w:r>
    </w:p>
    <w:p w:rsidR="00F93BEE" w:rsidRDefault="00F93BEE">
      <w:pPr>
        <w:tabs>
          <w:tab w:val="clear" w:pos="0"/>
          <w:tab w:val="clear" w:pos="1134"/>
          <w:tab w:val="clear" w:pos="5245"/>
        </w:tabs>
        <w:autoSpaceDE/>
        <w:autoSpaceDN/>
        <w:adjustRightInd/>
        <w:spacing w:after="0" w:line="240" w:lineRule="auto"/>
      </w:pPr>
    </w:p>
    <w:p w:rsidR="00A7062A" w:rsidRPr="00392ADF" w:rsidRDefault="00A7062A" w:rsidP="002D614C">
      <w:r w:rsidRPr="00392ADF">
        <w:t xml:space="preserve">Table </w:t>
      </w:r>
      <w:r w:rsidR="007710A8">
        <w:t>4</w:t>
      </w:r>
      <w:r w:rsidRPr="00392ADF">
        <w:tab/>
        <w:t xml:space="preserve">Changes in mean HbA1c at month 6 according to </w:t>
      </w:r>
      <w:proofErr w:type="spellStart"/>
      <w:r w:rsidRPr="00392ADF">
        <w:t>glyc</w:t>
      </w:r>
      <w:r w:rsidR="002F072B">
        <w:t>a</w:t>
      </w:r>
      <w:r w:rsidRPr="00392ADF">
        <w:t>emic</w:t>
      </w:r>
      <w:proofErr w:type="spellEnd"/>
      <w:r w:rsidRPr="00392ADF">
        <w:t xml:space="preserve"> status at study entry</w:t>
      </w:r>
    </w:p>
    <w:tbl>
      <w:tblPr>
        <w:tblW w:w="0" w:type="auto"/>
        <w:tblLook w:val="04A0" w:firstRow="1" w:lastRow="0" w:firstColumn="1" w:lastColumn="0" w:noHBand="0" w:noVBand="1"/>
      </w:tblPr>
      <w:tblGrid>
        <w:gridCol w:w="4925"/>
        <w:gridCol w:w="1070"/>
        <w:gridCol w:w="1127"/>
        <w:gridCol w:w="1070"/>
        <w:gridCol w:w="1097"/>
      </w:tblGrid>
      <w:tr w:rsidR="00A7062A" w:rsidRPr="00392ADF" w:rsidTr="00552596">
        <w:tc>
          <w:tcPr>
            <w:tcW w:w="4925" w:type="dxa"/>
            <w:vMerge w:val="restart"/>
            <w:tcBorders>
              <w:top w:val="single" w:sz="4" w:space="0" w:color="auto"/>
              <w:bottom w:val="single" w:sz="4" w:space="0" w:color="auto"/>
            </w:tcBorders>
          </w:tcPr>
          <w:p w:rsidR="00A7062A" w:rsidRPr="005A7CDD" w:rsidRDefault="00A7062A" w:rsidP="002D614C">
            <w:pPr>
              <w:pStyle w:val="Text"/>
            </w:pPr>
            <w:r w:rsidRPr="00392ADF">
              <w:t>Glycemic status at study entry</w:t>
            </w:r>
          </w:p>
          <w:p w:rsidR="00A7062A" w:rsidRPr="005A7CDD" w:rsidRDefault="00A7062A">
            <w:pPr>
              <w:pStyle w:val="Text"/>
            </w:pPr>
            <w:r w:rsidRPr="00392ADF">
              <w:t>(n = overall number of patients)</w:t>
            </w:r>
          </w:p>
        </w:tc>
        <w:tc>
          <w:tcPr>
            <w:tcW w:w="2197" w:type="dxa"/>
            <w:gridSpan w:val="2"/>
            <w:tcBorders>
              <w:top w:val="single" w:sz="4" w:space="0" w:color="auto"/>
            </w:tcBorders>
          </w:tcPr>
          <w:p w:rsidR="00A7062A" w:rsidRPr="005A7CDD" w:rsidRDefault="00A7062A">
            <w:pPr>
              <w:pStyle w:val="Text"/>
            </w:pPr>
            <w:r w:rsidRPr="00392ADF">
              <w:t xml:space="preserve">600 </w:t>
            </w:r>
            <w:r w:rsidR="003A00DF">
              <w:t>mcg</w:t>
            </w:r>
            <w:r w:rsidRPr="00392ADF">
              <w:t xml:space="preserve"> </w:t>
            </w:r>
            <w:proofErr w:type="spellStart"/>
            <w:r w:rsidRPr="00392ADF">
              <w:t>b.i.d</w:t>
            </w:r>
            <w:proofErr w:type="spellEnd"/>
            <w:r w:rsidRPr="00392ADF">
              <w:t>.</w:t>
            </w:r>
          </w:p>
        </w:tc>
        <w:tc>
          <w:tcPr>
            <w:tcW w:w="2167" w:type="dxa"/>
            <w:gridSpan w:val="2"/>
            <w:tcBorders>
              <w:top w:val="single" w:sz="4" w:space="0" w:color="auto"/>
            </w:tcBorders>
          </w:tcPr>
          <w:p w:rsidR="00A7062A" w:rsidRPr="005A7CDD" w:rsidRDefault="00A7062A">
            <w:pPr>
              <w:pStyle w:val="Text"/>
            </w:pPr>
            <w:r w:rsidRPr="00392ADF">
              <w:t xml:space="preserve">900 </w:t>
            </w:r>
            <w:r w:rsidR="003A00DF">
              <w:t>mcg</w:t>
            </w:r>
            <w:r w:rsidRPr="00392ADF">
              <w:t xml:space="preserve"> </w:t>
            </w:r>
            <w:proofErr w:type="spellStart"/>
            <w:r w:rsidRPr="00392ADF">
              <w:t>b.i.d</w:t>
            </w:r>
            <w:proofErr w:type="spellEnd"/>
            <w:r w:rsidRPr="00392ADF">
              <w:t>.</w:t>
            </w:r>
          </w:p>
        </w:tc>
      </w:tr>
      <w:tr w:rsidR="00A7062A" w:rsidRPr="00392ADF" w:rsidTr="00552596">
        <w:tc>
          <w:tcPr>
            <w:tcW w:w="4925" w:type="dxa"/>
            <w:vMerge/>
            <w:tcBorders>
              <w:bottom w:val="single" w:sz="4" w:space="0" w:color="auto"/>
            </w:tcBorders>
          </w:tcPr>
          <w:p w:rsidR="00A7062A" w:rsidRPr="005A7CDD" w:rsidRDefault="00A7062A">
            <w:pPr>
              <w:pStyle w:val="Text"/>
            </w:pPr>
          </w:p>
        </w:tc>
        <w:tc>
          <w:tcPr>
            <w:tcW w:w="1070" w:type="dxa"/>
            <w:tcBorders>
              <w:bottom w:val="single" w:sz="4" w:space="0" w:color="auto"/>
            </w:tcBorders>
          </w:tcPr>
          <w:p w:rsidR="00A7062A" w:rsidRPr="005A7CDD" w:rsidRDefault="00A7062A">
            <w:pPr>
              <w:pStyle w:val="Text"/>
            </w:pPr>
            <w:r w:rsidRPr="00392ADF">
              <w:t>Baseline</w:t>
            </w:r>
          </w:p>
        </w:tc>
        <w:tc>
          <w:tcPr>
            <w:tcW w:w="1127" w:type="dxa"/>
            <w:tcBorders>
              <w:bottom w:val="single" w:sz="4" w:space="0" w:color="auto"/>
            </w:tcBorders>
          </w:tcPr>
          <w:p w:rsidR="00A7062A" w:rsidRPr="005A7CDD" w:rsidRDefault="00A7062A">
            <w:pPr>
              <w:pStyle w:val="Text"/>
            </w:pPr>
            <w:r w:rsidRPr="00392ADF">
              <w:t>Month 6</w:t>
            </w:r>
          </w:p>
        </w:tc>
        <w:tc>
          <w:tcPr>
            <w:tcW w:w="1070" w:type="dxa"/>
            <w:tcBorders>
              <w:bottom w:val="single" w:sz="4" w:space="0" w:color="auto"/>
            </w:tcBorders>
          </w:tcPr>
          <w:p w:rsidR="00A7062A" w:rsidRPr="005A7CDD" w:rsidRDefault="00A7062A">
            <w:pPr>
              <w:pStyle w:val="Text"/>
            </w:pPr>
            <w:r w:rsidRPr="00392ADF">
              <w:t>Baseline</w:t>
            </w:r>
          </w:p>
        </w:tc>
        <w:tc>
          <w:tcPr>
            <w:tcW w:w="1097" w:type="dxa"/>
            <w:tcBorders>
              <w:bottom w:val="single" w:sz="4" w:space="0" w:color="auto"/>
            </w:tcBorders>
          </w:tcPr>
          <w:p w:rsidR="00A7062A" w:rsidRPr="005A7CDD" w:rsidRDefault="00A7062A">
            <w:pPr>
              <w:pStyle w:val="Text"/>
            </w:pPr>
            <w:r w:rsidRPr="00392ADF">
              <w:t>Month 6</w:t>
            </w:r>
          </w:p>
        </w:tc>
      </w:tr>
      <w:tr w:rsidR="00A7062A" w:rsidRPr="00392ADF" w:rsidTr="00552596">
        <w:tc>
          <w:tcPr>
            <w:tcW w:w="4925" w:type="dxa"/>
            <w:tcBorders>
              <w:top w:val="single" w:sz="4" w:space="0" w:color="auto"/>
            </w:tcBorders>
          </w:tcPr>
          <w:p w:rsidR="00A7062A" w:rsidRPr="005A7CDD" w:rsidRDefault="00A7062A">
            <w:pPr>
              <w:pStyle w:val="Text"/>
            </w:pPr>
            <w:proofErr w:type="spellStart"/>
            <w:r w:rsidRPr="00392ADF">
              <w:t>Normoglycemic</w:t>
            </w:r>
            <w:proofErr w:type="spellEnd"/>
            <w:r w:rsidRPr="00392ADF">
              <w:t xml:space="preserve"> patients (n= 62)</w:t>
            </w:r>
          </w:p>
        </w:tc>
        <w:tc>
          <w:tcPr>
            <w:tcW w:w="1070" w:type="dxa"/>
            <w:tcBorders>
              <w:top w:val="single" w:sz="4" w:space="0" w:color="auto"/>
            </w:tcBorders>
          </w:tcPr>
          <w:p w:rsidR="00A7062A" w:rsidRPr="005A7CDD" w:rsidRDefault="00A7062A">
            <w:pPr>
              <w:pStyle w:val="Text"/>
            </w:pPr>
            <w:r w:rsidRPr="00392ADF">
              <w:t>5.29</w:t>
            </w:r>
          </w:p>
        </w:tc>
        <w:tc>
          <w:tcPr>
            <w:tcW w:w="1127" w:type="dxa"/>
            <w:tcBorders>
              <w:top w:val="single" w:sz="4" w:space="0" w:color="auto"/>
            </w:tcBorders>
          </w:tcPr>
          <w:p w:rsidR="00A7062A" w:rsidRPr="005A7CDD" w:rsidRDefault="00A7062A">
            <w:pPr>
              <w:pStyle w:val="Text"/>
            </w:pPr>
            <w:r w:rsidRPr="00392ADF">
              <w:t>6.50</w:t>
            </w:r>
          </w:p>
        </w:tc>
        <w:tc>
          <w:tcPr>
            <w:tcW w:w="1070" w:type="dxa"/>
            <w:tcBorders>
              <w:top w:val="single" w:sz="4" w:space="0" w:color="auto"/>
            </w:tcBorders>
          </w:tcPr>
          <w:p w:rsidR="00A7062A" w:rsidRPr="005A7CDD" w:rsidRDefault="00A7062A">
            <w:pPr>
              <w:pStyle w:val="Text"/>
            </w:pPr>
            <w:r w:rsidRPr="00392ADF">
              <w:t>5.22</w:t>
            </w:r>
          </w:p>
        </w:tc>
        <w:tc>
          <w:tcPr>
            <w:tcW w:w="1097" w:type="dxa"/>
            <w:tcBorders>
              <w:top w:val="single" w:sz="4" w:space="0" w:color="auto"/>
            </w:tcBorders>
          </w:tcPr>
          <w:p w:rsidR="00A7062A" w:rsidRPr="005A7CDD" w:rsidRDefault="00A7062A">
            <w:pPr>
              <w:pStyle w:val="Text"/>
            </w:pPr>
            <w:r w:rsidRPr="00392ADF">
              <w:t>6.75</w:t>
            </w:r>
          </w:p>
        </w:tc>
      </w:tr>
      <w:tr w:rsidR="00A7062A" w:rsidRPr="00392ADF" w:rsidTr="00552596">
        <w:tc>
          <w:tcPr>
            <w:tcW w:w="4925" w:type="dxa"/>
          </w:tcPr>
          <w:p w:rsidR="00A7062A" w:rsidRPr="005A7CDD" w:rsidRDefault="00A7062A">
            <w:pPr>
              <w:pStyle w:val="Text"/>
            </w:pPr>
            <w:r w:rsidRPr="00392ADF">
              <w:t>Pre-diabetic patients (n= 38)</w:t>
            </w:r>
          </w:p>
        </w:tc>
        <w:tc>
          <w:tcPr>
            <w:tcW w:w="1070" w:type="dxa"/>
          </w:tcPr>
          <w:p w:rsidR="00A7062A" w:rsidRPr="005A7CDD" w:rsidRDefault="00A7062A">
            <w:pPr>
              <w:pStyle w:val="Text"/>
            </w:pPr>
            <w:r w:rsidRPr="00392ADF">
              <w:t>5.77</w:t>
            </w:r>
          </w:p>
        </w:tc>
        <w:tc>
          <w:tcPr>
            <w:tcW w:w="1127" w:type="dxa"/>
          </w:tcPr>
          <w:p w:rsidR="00A7062A" w:rsidRPr="005A7CDD" w:rsidRDefault="00A7062A">
            <w:pPr>
              <w:pStyle w:val="Text"/>
            </w:pPr>
            <w:r w:rsidRPr="00392ADF">
              <w:t>7.45</w:t>
            </w:r>
          </w:p>
        </w:tc>
        <w:tc>
          <w:tcPr>
            <w:tcW w:w="1070" w:type="dxa"/>
          </w:tcPr>
          <w:p w:rsidR="00A7062A" w:rsidRPr="005A7CDD" w:rsidRDefault="00A7062A">
            <w:pPr>
              <w:pStyle w:val="Text"/>
            </w:pPr>
            <w:r w:rsidRPr="00392ADF">
              <w:t>5.71</w:t>
            </w:r>
          </w:p>
        </w:tc>
        <w:tc>
          <w:tcPr>
            <w:tcW w:w="1097" w:type="dxa"/>
          </w:tcPr>
          <w:p w:rsidR="00A7062A" w:rsidRPr="005A7CDD" w:rsidRDefault="00A7062A">
            <w:pPr>
              <w:pStyle w:val="Text"/>
            </w:pPr>
            <w:r w:rsidRPr="00392ADF">
              <w:t>7.13</w:t>
            </w:r>
          </w:p>
        </w:tc>
      </w:tr>
      <w:tr w:rsidR="00A7062A" w:rsidRPr="00392ADF" w:rsidTr="00552596">
        <w:tc>
          <w:tcPr>
            <w:tcW w:w="4925" w:type="dxa"/>
            <w:tcBorders>
              <w:bottom w:val="single" w:sz="4" w:space="0" w:color="auto"/>
            </w:tcBorders>
          </w:tcPr>
          <w:p w:rsidR="00A7062A" w:rsidRPr="005A7CDD" w:rsidRDefault="00A7062A">
            <w:pPr>
              <w:pStyle w:val="Text"/>
            </w:pPr>
            <w:r w:rsidRPr="00392ADF">
              <w:t>Diabetic patients (n= 54)</w:t>
            </w:r>
          </w:p>
        </w:tc>
        <w:tc>
          <w:tcPr>
            <w:tcW w:w="1070" w:type="dxa"/>
            <w:tcBorders>
              <w:bottom w:val="single" w:sz="4" w:space="0" w:color="auto"/>
            </w:tcBorders>
          </w:tcPr>
          <w:p w:rsidR="00A7062A" w:rsidRPr="005A7CDD" w:rsidRDefault="00A7062A">
            <w:pPr>
              <w:pStyle w:val="Text"/>
            </w:pPr>
            <w:r w:rsidRPr="00392ADF">
              <w:t>6.50</w:t>
            </w:r>
          </w:p>
        </w:tc>
        <w:tc>
          <w:tcPr>
            <w:tcW w:w="1127" w:type="dxa"/>
            <w:tcBorders>
              <w:bottom w:val="single" w:sz="4" w:space="0" w:color="auto"/>
            </w:tcBorders>
          </w:tcPr>
          <w:p w:rsidR="00A7062A" w:rsidRPr="005A7CDD" w:rsidRDefault="00A7062A">
            <w:pPr>
              <w:pStyle w:val="Text"/>
            </w:pPr>
            <w:r w:rsidRPr="00392ADF">
              <w:t>7.95</w:t>
            </w:r>
          </w:p>
        </w:tc>
        <w:tc>
          <w:tcPr>
            <w:tcW w:w="1070" w:type="dxa"/>
            <w:tcBorders>
              <w:bottom w:val="single" w:sz="4" w:space="0" w:color="auto"/>
            </w:tcBorders>
          </w:tcPr>
          <w:p w:rsidR="00A7062A" w:rsidRPr="005A7CDD" w:rsidRDefault="00A7062A">
            <w:pPr>
              <w:pStyle w:val="Text"/>
            </w:pPr>
            <w:r w:rsidRPr="00392ADF">
              <w:t>6.42</w:t>
            </w:r>
          </w:p>
        </w:tc>
        <w:tc>
          <w:tcPr>
            <w:tcW w:w="1097" w:type="dxa"/>
            <w:tcBorders>
              <w:bottom w:val="single" w:sz="4" w:space="0" w:color="auto"/>
            </w:tcBorders>
          </w:tcPr>
          <w:p w:rsidR="00A7062A" w:rsidRPr="005A7CDD" w:rsidRDefault="00A7062A">
            <w:pPr>
              <w:pStyle w:val="Text"/>
            </w:pPr>
            <w:r w:rsidRPr="00392ADF">
              <w:t>8.30</w:t>
            </w:r>
          </w:p>
        </w:tc>
      </w:tr>
    </w:tbl>
    <w:p w:rsidR="00A7062A" w:rsidRPr="00392ADF" w:rsidRDefault="00A7062A" w:rsidP="002D614C"/>
    <w:p w:rsidR="00A7062A" w:rsidRPr="00392ADF" w:rsidRDefault="00A7062A" w:rsidP="00FB4008">
      <w:r w:rsidRPr="00392ADF">
        <w:t xml:space="preserve">Mean fasting plasma glucose (FPG) levels commonly increased within the first month of treatment with decreases and stabilization observed in subsequent months. Fasting plasma glucose and HbA1c values generally decreased over the 28 days following </w:t>
      </w:r>
      <w:proofErr w:type="spellStart"/>
      <w:r w:rsidRPr="00392ADF">
        <w:t>pasireotide</w:t>
      </w:r>
      <w:proofErr w:type="spellEnd"/>
      <w:r w:rsidRPr="00392ADF">
        <w:t xml:space="preserve"> discontinuation but remained above baseline values. Long-term follow-up data are not available. Adverse reactions of </w:t>
      </w:r>
      <w:proofErr w:type="spellStart"/>
      <w:r w:rsidRPr="00392ADF">
        <w:t>hyperglyc</w:t>
      </w:r>
      <w:r w:rsidR="002F072B">
        <w:t>a</w:t>
      </w:r>
      <w:r w:rsidRPr="00392ADF">
        <w:t>emia</w:t>
      </w:r>
      <w:proofErr w:type="spellEnd"/>
      <w:r w:rsidRPr="00392ADF">
        <w:t xml:space="preserve"> and diabetes mellitus led to study discontinuation in 5 (3.1%) and 4 patients (2.5%), respectively. </w:t>
      </w:r>
    </w:p>
    <w:p w:rsidR="00A7062A" w:rsidRPr="00392ADF" w:rsidRDefault="00A7062A">
      <w:r w:rsidRPr="00392ADF">
        <w:t xml:space="preserve">Monitoring of blood glucose levels in patients treated with </w:t>
      </w:r>
      <w:proofErr w:type="spellStart"/>
      <w:r w:rsidRPr="00392ADF">
        <w:t>Signifor</w:t>
      </w:r>
      <w:proofErr w:type="spellEnd"/>
      <w:r w:rsidRPr="00392ADF">
        <w:t xml:space="preserve"> is recommended (see </w:t>
      </w:r>
      <w:r w:rsidR="005357C3" w:rsidRPr="00392ADF">
        <w:t>P</w:t>
      </w:r>
      <w:r w:rsidRPr="00392ADF">
        <w:t>recautions).</w:t>
      </w:r>
    </w:p>
    <w:p w:rsidR="004673D7" w:rsidRPr="00392ADF" w:rsidRDefault="004673D7"/>
    <w:p w:rsidR="005357C3" w:rsidRPr="00392ADF" w:rsidRDefault="005357C3" w:rsidP="002D614C">
      <w:pPr>
        <w:pStyle w:val="Heading3"/>
      </w:pPr>
      <w:r w:rsidRPr="00392ADF">
        <w:t>Gastrointestinal disorders</w:t>
      </w:r>
      <w:r w:rsidR="004673D7" w:rsidRPr="00392ADF">
        <w:t>:</w:t>
      </w:r>
    </w:p>
    <w:p w:rsidR="005357C3" w:rsidRPr="00392ADF" w:rsidRDefault="005357C3">
      <w:r w:rsidRPr="00392ADF">
        <w:t xml:space="preserve">As with other </w:t>
      </w:r>
      <w:proofErr w:type="spellStart"/>
      <w:r w:rsidRPr="00392ADF">
        <w:t>somatostatin</w:t>
      </w:r>
      <w:proofErr w:type="spellEnd"/>
      <w:r w:rsidRPr="00392ADF">
        <w:t xml:space="preserve"> analogues, gastrointestinal disorders were frequently reported with the use of </w:t>
      </w:r>
      <w:proofErr w:type="spellStart"/>
      <w:r w:rsidRPr="00392ADF">
        <w:t>Signifor</w:t>
      </w:r>
      <w:proofErr w:type="spellEnd"/>
      <w:r w:rsidRPr="00392ADF">
        <w:t>. These events were usually of low grade, required no intervention and improved with continued treatment.</w:t>
      </w:r>
    </w:p>
    <w:p w:rsidR="004673D7" w:rsidRPr="00392ADF" w:rsidRDefault="004673D7"/>
    <w:p w:rsidR="005357C3" w:rsidRPr="00392ADF" w:rsidRDefault="005357C3" w:rsidP="002D614C">
      <w:pPr>
        <w:pStyle w:val="Heading3"/>
      </w:pPr>
      <w:r w:rsidRPr="00392ADF">
        <w:lastRenderedPageBreak/>
        <w:t>Injection site reactions</w:t>
      </w:r>
      <w:r w:rsidR="004673D7" w:rsidRPr="00392ADF">
        <w:t>:</w:t>
      </w:r>
    </w:p>
    <w:p w:rsidR="005357C3" w:rsidRPr="00392ADF" w:rsidRDefault="005357C3">
      <w:r w:rsidRPr="00392ADF">
        <w:t xml:space="preserve">Injection site reactions were reported in 13.6% of patients enrolled in the Phase III trial in Cushing’s disease. Injection site reactions have also been reported in clinical trials in other populations. The events were most frequently reported as local pain, erythema, hematoma, </w:t>
      </w:r>
      <w:proofErr w:type="spellStart"/>
      <w:r w:rsidR="00B86C70" w:rsidRPr="00392ADF">
        <w:t>haemorrhage</w:t>
      </w:r>
      <w:proofErr w:type="spellEnd"/>
      <w:r w:rsidRPr="00392ADF">
        <w:t xml:space="preserve"> and pruritus. These events resolved spontaneously and required no intervention.</w:t>
      </w:r>
    </w:p>
    <w:p w:rsidR="00295A08" w:rsidRPr="00392ADF" w:rsidRDefault="00295A08"/>
    <w:p w:rsidR="005357C3" w:rsidRPr="00392ADF" w:rsidRDefault="005357C3" w:rsidP="002D614C">
      <w:pPr>
        <w:pStyle w:val="Heading3"/>
      </w:pPr>
      <w:r w:rsidRPr="00392ADF">
        <w:t>Thyroid function</w:t>
      </w:r>
      <w:r w:rsidR="00295A08" w:rsidRPr="00392ADF">
        <w:t>:</w:t>
      </w:r>
    </w:p>
    <w:p w:rsidR="005357C3" w:rsidRPr="00392ADF" w:rsidRDefault="005357C3">
      <w:r w:rsidRPr="00392ADF">
        <w:t xml:space="preserve">Central hypothyroidism is a commonly described co-morbidity in Cushing’s disease. Thyroid dysfunction is also a common adverse reaction associated with the use </w:t>
      </w:r>
      <w:proofErr w:type="spellStart"/>
      <w:r w:rsidRPr="00392ADF">
        <w:t>somatostatin</w:t>
      </w:r>
      <w:proofErr w:type="spellEnd"/>
      <w:r w:rsidRPr="00392ADF">
        <w:t xml:space="preserve"> analogs. </w:t>
      </w:r>
    </w:p>
    <w:p w:rsidR="005357C3" w:rsidRPr="00392ADF" w:rsidRDefault="005357C3">
      <w:r w:rsidRPr="00392ADF">
        <w:t xml:space="preserve">Hypothyroidism with the use of </w:t>
      </w:r>
      <w:proofErr w:type="spellStart"/>
      <w:r w:rsidRPr="00392ADF">
        <w:t>Signifor</w:t>
      </w:r>
      <w:proofErr w:type="spellEnd"/>
      <w:r w:rsidRPr="00392ADF">
        <w:t xml:space="preserve"> was reported for seven patients participating in the Phase III study in Cushing’s disease, two of which were considered to be drug-related by the investigator. However, all seven patients presented with a TSH close to or below the lower limit of normal at study entry, which precludes establishing a conclusive relationship between the adverse event and the use of </w:t>
      </w:r>
      <w:proofErr w:type="spellStart"/>
      <w:r w:rsidRPr="00392ADF">
        <w:t>Signifor</w:t>
      </w:r>
      <w:proofErr w:type="spellEnd"/>
      <w:r w:rsidRPr="00392ADF">
        <w:t>.</w:t>
      </w:r>
    </w:p>
    <w:p w:rsidR="005357C3" w:rsidRPr="00392ADF" w:rsidRDefault="005357C3" w:rsidP="002D614C">
      <w:pPr>
        <w:pStyle w:val="Heading3"/>
      </w:pPr>
      <w:r w:rsidRPr="00392ADF">
        <w:t>Liver enzymes</w:t>
      </w:r>
      <w:r w:rsidR="00FA6D48" w:rsidRPr="00392ADF">
        <w:t>:</w:t>
      </w:r>
    </w:p>
    <w:p w:rsidR="005357C3" w:rsidRPr="00392ADF" w:rsidRDefault="005357C3">
      <w:r w:rsidRPr="00392ADF">
        <w:t xml:space="preserve">Transient elevations in liver enzymes have been reported with the use of </w:t>
      </w:r>
      <w:proofErr w:type="spellStart"/>
      <w:r w:rsidRPr="00392ADF">
        <w:t>somatostatin</w:t>
      </w:r>
      <w:proofErr w:type="spellEnd"/>
      <w:r w:rsidRPr="00392ADF">
        <w:t xml:space="preserve"> analogs and were also observed in healthy subjects and patients receiving </w:t>
      </w:r>
      <w:proofErr w:type="spellStart"/>
      <w:r w:rsidRPr="00392ADF">
        <w:t>pasireotide</w:t>
      </w:r>
      <w:proofErr w:type="spellEnd"/>
      <w:r w:rsidRPr="00392ADF">
        <w:t xml:space="preserve"> in clinical studies. The elevations were mostly asymptomatic, of low grade and reversible with continued treatment. A few cases of concurrent elevations in ALT greater than 3 x ULN and bilirubin greater than 2 x ULN </w:t>
      </w:r>
      <w:proofErr w:type="gramStart"/>
      <w:r w:rsidRPr="00392ADF">
        <w:t>have</w:t>
      </w:r>
      <w:proofErr w:type="gramEnd"/>
      <w:r w:rsidRPr="00392ADF">
        <w:t xml:space="preserve"> been observed. All cases of concurrent elevations were identified within ten days of initiation of treatment with </w:t>
      </w:r>
      <w:proofErr w:type="spellStart"/>
      <w:r w:rsidRPr="00392ADF">
        <w:t>Signifor</w:t>
      </w:r>
      <w:proofErr w:type="spellEnd"/>
      <w:r w:rsidRPr="00392ADF">
        <w:t xml:space="preserve">. The individuals recovered without clinical </w:t>
      </w:r>
      <w:proofErr w:type="spellStart"/>
      <w:r w:rsidRPr="00392ADF">
        <w:t>sequelae</w:t>
      </w:r>
      <w:proofErr w:type="spellEnd"/>
      <w:r w:rsidRPr="00392ADF">
        <w:t xml:space="preserve"> and liver function test results returned to baseline values after discontinuation of treatment.</w:t>
      </w:r>
    </w:p>
    <w:p w:rsidR="005357C3" w:rsidRPr="00392ADF" w:rsidRDefault="005357C3">
      <w:r w:rsidRPr="00392ADF">
        <w:t xml:space="preserve">Monitoring of liver enzymes is recommended prior and during treatment with </w:t>
      </w:r>
      <w:proofErr w:type="spellStart"/>
      <w:r w:rsidRPr="00392ADF">
        <w:t>Signifor</w:t>
      </w:r>
      <w:proofErr w:type="spellEnd"/>
      <w:r w:rsidRPr="00392ADF">
        <w:t xml:space="preserve"> (see Precautions), as clinically appropriate. </w:t>
      </w:r>
    </w:p>
    <w:p w:rsidR="001C2224" w:rsidRPr="00392ADF" w:rsidRDefault="001C2224"/>
    <w:p w:rsidR="005357C3" w:rsidRPr="00392ADF" w:rsidRDefault="005357C3" w:rsidP="002D614C">
      <w:pPr>
        <w:pStyle w:val="Heading3"/>
      </w:pPr>
      <w:r w:rsidRPr="00392ADF">
        <w:t>Pancreatic enzymes</w:t>
      </w:r>
      <w:r w:rsidR="001C2224" w:rsidRPr="00392ADF">
        <w:t>:</w:t>
      </w:r>
    </w:p>
    <w:p w:rsidR="005357C3" w:rsidRPr="00392ADF" w:rsidRDefault="005357C3">
      <w:r w:rsidRPr="00392ADF">
        <w:t xml:space="preserve">Asymptomatic elevations in lipase and amylase have been observed in patients receiving </w:t>
      </w:r>
      <w:proofErr w:type="spellStart"/>
      <w:r w:rsidRPr="00392ADF">
        <w:t>pasireotide</w:t>
      </w:r>
      <w:proofErr w:type="spellEnd"/>
      <w:r w:rsidRPr="00392ADF">
        <w:t xml:space="preserve"> in clinical studies. The elevations were mostly low grade and reversible while continuing treatment. Pancreatitis is a potential adverse reaction associated with the use of </w:t>
      </w:r>
      <w:proofErr w:type="spellStart"/>
      <w:r w:rsidRPr="00392ADF">
        <w:t>somatostatin</w:t>
      </w:r>
      <w:proofErr w:type="spellEnd"/>
      <w:r w:rsidRPr="00392ADF">
        <w:t xml:space="preserve"> analogs due to the association between </w:t>
      </w:r>
      <w:proofErr w:type="spellStart"/>
      <w:r w:rsidRPr="00392ADF">
        <w:t>choletithiasis</w:t>
      </w:r>
      <w:proofErr w:type="spellEnd"/>
      <w:r w:rsidRPr="00392ADF">
        <w:t xml:space="preserve"> and acute pancreatitis.</w:t>
      </w:r>
    </w:p>
    <w:p w:rsidR="005D2D49" w:rsidRPr="00392ADF" w:rsidRDefault="005D2D49" w:rsidP="00F109AF"/>
    <w:p w:rsidR="005357C3" w:rsidRPr="00392ADF" w:rsidRDefault="002660E4" w:rsidP="002D614C">
      <w:pPr>
        <w:pStyle w:val="Heading1"/>
      </w:pPr>
      <w:r w:rsidRPr="00392ADF">
        <w:t>DOSAGE AND ADMINISTRATION</w:t>
      </w:r>
    </w:p>
    <w:p w:rsidR="005D2D49" w:rsidRPr="00392ADF" w:rsidRDefault="005D2D49"/>
    <w:p w:rsidR="0048760E" w:rsidRPr="00392ADF" w:rsidRDefault="00A348FA" w:rsidP="002D614C">
      <w:pPr>
        <w:pStyle w:val="Heading2"/>
      </w:pPr>
      <w:r w:rsidRPr="00392ADF">
        <w:lastRenderedPageBreak/>
        <w:t xml:space="preserve">Dose </w:t>
      </w:r>
    </w:p>
    <w:p w:rsidR="00217B98" w:rsidRDefault="00A71346">
      <w:r w:rsidRPr="00157213">
        <w:t>The recommended dosage range of SIGNIFOR is 300 mcg to 900 mcg by subcutaneous</w:t>
      </w:r>
      <w:r w:rsidR="00217B98" w:rsidRPr="00157213">
        <w:t xml:space="preserve"> </w:t>
      </w:r>
      <w:r w:rsidRPr="00157213">
        <w:t>injection, twice a day. The recommended initial dose is 600 mcg or 900 mcg twice a day</w:t>
      </w:r>
      <w:r w:rsidR="0048760E" w:rsidRPr="00157213">
        <w:t>.</w:t>
      </w:r>
      <w:r w:rsidR="00217B98">
        <w:rPr>
          <w:highlight w:val="yellow"/>
        </w:rPr>
        <w:t xml:space="preserve"> </w:t>
      </w:r>
      <w:proofErr w:type="gramStart"/>
      <w:r w:rsidR="009D7CAB" w:rsidRPr="007B09E5">
        <w:t>Titrate</w:t>
      </w:r>
      <w:proofErr w:type="gramEnd"/>
      <w:r w:rsidR="009D7CAB" w:rsidRPr="007B09E5">
        <w:t xml:space="preserve"> dose based on response and tolerability. </w:t>
      </w:r>
    </w:p>
    <w:p w:rsidR="007B09E5" w:rsidRDefault="009D7CAB">
      <w:r w:rsidRPr="007B09E5">
        <w:t xml:space="preserve">For patients who are started on </w:t>
      </w:r>
      <w:r>
        <w:t xml:space="preserve">600 </w:t>
      </w:r>
      <w:r w:rsidRPr="007B09E5">
        <w:t>m</w:t>
      </w:r>
      <w:r>
        <w:t>c</w:t>
      </w:r>
      <w:r w:rsidRPr="007B09E5">
        <w:t>g twice a day, a dosage increase to</w:t>
      </w:r>
      <w:r>
        <w:t xml:space="preserve"> 900 </w:t>
      </w:r>
      <w:r w:rsidRPr="007B09E5">
        <w:t>m</w:t>
      </w:r>
      <w:r>
        <w:t>c</w:t>
      </w:r>
      <w:r w:rsidRPr="007B09E5">
        <w:t>g twice a day may be considered based on the response to the treatment as long as the 6</w:t>
      </w:r>
      <w:r>
        <w:t>00 </w:t>
      </w:r>
      <w:r w:rsidRPr="007B09E5">
        <w:t>m</w:t>
      </w:r>
      <w:r>
        <w:t>c</w:t>
      </w:r>
      <w:r w:rsidRPr="007B09E5">
        <w:t xml:space="preserve">g dosage is well tolerated by the patient.  </w:t>
      </w:r>
      <w:r w:rsidRPr="00392ADF">
        <w:t>Individualized dose reduction may be considered for patients with a stable response at the discretion of the treating physician.</w:t>
      </w:r>
      <w:r>
        <w:t xml:space="preserve"> </w:t>
      </w:r>
    </w:p>
    <w:p w:rsidR="0048760E" w:rsidRPr="00392ADF" w:rsidRDefault="007B09E5">
      <w:r w:rsidRPr="007B09E5">
        <w:t xml:space="preserve">Patients should be evaluated for treatment response (clinically meaningful reduction in Urinary Free Cortisol (UFC) levels and/or improvement in signs or symptoms of the disease) and should continue receiving therapy with </w:t>
      </w:r>
      <w:proofErr w:type="spellStart"/>
      <w:r w:rsidRPr="007B09E5">
        <w:t>Signifor</w:t>
      </w:r>
      <w:proofErr w:type="spellEnd"/>
      <w:r w:rsidRPr="007B09E5">
        <w:t xml:space="preserve"> as long as benefit is derived.  Maximum urinary free cortisol reduction is typically seen by two months of treatment.</w:t>
      </w:r>
      <w:r>
        <w:t xml:space="preserve">  </w:t>
      </w:r>
      <w:r w:rsidR="0048760E" w:rsidRPr="00392ADF">
        <w:t xml:space="preserve">Patients who do not experience clinical benefit from </w:t>
      </w:r>
      <w:proofErr w:type="spellStart"/>
      <w:r w:rsidR="0048760E" w:rsidRPr="00392ADF">
        <w:t>Signifor</w:t>
      </w:r>
      <w:proofErr w:type="spellEnd"/>
      <w:r w:rsidR="0048760E" w:rsidRPr="00392ADF">
        <w:t xml:space="preserve"> should be considered for discontinuation.</w:t>
      </w:r>
    </w:p>
    <w:p w:rsidR="00A348FA" w:rsidRPr="00392ADF" w:rsidRDefault="00A348FA">
      <w:r w:rsidRPr="00392ADF">
        <w:t xml:space="preserve">Management of suspected adverse reactions may require temporary dose reduction of </w:t>
      </w:r>
      <w:proofErr w:type="spellStart"/>
      <w:r w:rsidRPr="00392ADF">
        <w:t>Signifor</w:t>
      </w:r>
      <w:proofErr w:type="spellEnd"/>
      <w:r w:rsidRPr="00392ADF">
        <w:t xml:space="preserve">. Dose reduction by decrements of </w:t>
      </w:r>
      <w:r w:rsidR="003A00DF">
        <w:t>300 mc</w:t>
      </w:r>
      <w:r w:rsidR="00FA1DDC">
        <w:t>g</w:t>
      </w:r>
      <w:r w:rsidRPr="00392ADF">
        <w:t xml:space="preserve"> twice a day is suggested.</w:t>
      </w:r>
    </w:p>
    <w:p w:rsidR="005D2D49" w:rsidRPr="00392ADF" w:rsidRDefault="005D2D49"/>
    <w:p w:rsidR="0048760E" w:rsidRPr="00392ADF" w:rsidRDefault="005D2D49" w:rsidP="001E4AE5">
      <w:pPr>
        <w:pStyle w:val="Heading3"/>
      </w:pPr>
      <w:r w:rsidRPr="00392ADF">
        <w:t>Dose adjustment in:</w:t>
      </w:r>
    </w:p>
    <w:p w:rsidR="0048760E" w:rsidRPr="00392ADF" w:rsidRDefault="00A348FA" w:rsidP="001E4AE5">
      <w:pPr>
        <w:pStyle w:val="Heading4"/>
      </w:pPr>
      <w:r w:rsidRPr="00392ADF">
        <w:t>R</w:t>
      </w:r>
      <w:r w:rsidR="0048760E" w:rsidRPr="00392ADF">
        <w:t xml:space="preserve">enal </w:t>
      </w:r>
      <w:r w:rsidRPr="00392ADF">
        <w:t>insufficiency</w:t>
      </w:r>
      <w:r w:rsidR="00F54540" w:rsidRPr="00392ADF">
        <w:t>:</w:t>
      </w:r>
    </w:p>
    <w:p w:rsidR="0048760E" w:rsidRDefault="0048760E">
      <w:r w:rsidRPr="00392ADF">
        <w:t>No dosage adjustment is required in patients with impaired renal function (see Pharmacology).</w:t>
      </w:r>
    </w:p>
    <w:p w:rsidR="00350392" w:rsidRPr="00392ADF" w:rsidRDefault="00350392"/>
    <w:p w:rsidR="0048760E" w:rsidRPr="00392ADF" w:rsidRDefault="00A348FA" w:rsidP="001E4AE5">
      <w:pPr>
        <w:pStyle w:val="Heading4"/>
      </w:pPr>
      <w:r w:rsidRPr="00392ADF">
        <w:t>H</w:t>
      </w:r>
      <w:r w:rsidR="0048760E" w:rsidRPr="00392ADF">
        <w:t xml:space="preserve">epatic </w:t>
      </w:r>
      <w:r w:rsidRPr="00392ADF">
        <w:t>insufficiency</w:t>
      </w:r>
      <w:r w:rsidR="00FD7E98" w:rsidRPr="00392ADF">
        <w:t>:</w:t>
      </w:r>
    </w:p>
    <w:p w:rsidR="0048760E" w:rsidRPr="00392ADF" w:rsidRDefault="0048760E">
      <w:r w:rsidRPr="00392ADF">
        <w:t xml:space="preserve">Dose adjustment is not required in patients with mildly impaired hepatic function (Child-Pugh A). The recommended initial dose for patients with moderately impaired hepatic function (Child-Pugh B) is </w:t>
      </w:r>
      <w:r w:rsidR="003A00DF">
        <w:t>300 mc</w:t>
      </w:r>
      <w:r w:rsidR="00FA1DDC">
        <w:t>g</w:t>
      </w:r>
      <w:r w:rsidRPr="00392ADF">
        <w:t xml:space="preserve"> twice a day (see Pharmacology). The maximum recommended dose for patients with moderate hepatic impairment is </w:t>
      </w:r>
      <w:r w:rsidR="003A00DF">
        <w:t>600 mc</w:t>
      </w:r>
      <w:r w:rsidR="00FA1DDC">
        <w:t>g</w:t>
      </w:r>
      <w:r w:rsidRPr="00392ADF">
        <w:t xml:space="preserve"> twice a day</w:t>
      </w:r>
      <w:r w:rsidR="002C0678">
        <w:t xml:space="preserve"> </w:t>
      </w:r>
      <w:r w:rsidR="002C0678" w:rsidRPr="002C0678">
        <w:t>only following careful consideration of the perceived risks and benefits to the individual, and with frequent clinical review and monitoring of liver function</w:t>
      </w:r>
      <w:r w:rsidRPr="00392ADF">
        <w:t xml:space="preserve">. </w:t>
      </w:r>
      <w:proofErr w:type="spellStart"/>
      <w:r w:rsidRPr="00392ADF">
        <w:t>Signifor</w:t>
      </w:r>
      <w:proofErr w:type="spellEnd"/>
      <w:r w:rsidRPr="00392ADF">
        <w:t xml:space="preserve"> should not be used in patients with severe hepatic impairment (Child Pugh C) (see </w:t>
      </w:r>
      <w:r w:rsidR="00766F22" w:rsidRPr="00392ADF">
        <w:t>Contraindications and Precautions</w:t>
      </w:r>
      <w:r w:rsidRPr="00392ADF">
        <w:t>).</w:t>
      </w:r>
    </w:p>
    <w:p w:rsidR="00ED4EEB" w:rsidRPr="00392ADF" w:rsidRDefault="00ED4EEB"/>
    <w:p w:rsidR="00A348FA" w:rsidRPr="00392ADF" w:rsidRDefault="00A348FA" w:rsidP="001E4AE5">
      <w:pPr>
        <w:pStyle w:val="Heading4"/>
      </w:pPr>
      <w:r w:rsidRPr="00392ADF">
        <w:t>Diabetes</w:t>
      </w:r>
      <w:r w:rsidR="00ED4EEB" w:rsidRPr="00392ADF">
        <w:t>:</w:t>
      </w:r>
    </w:p>
    <w:p w:rsidR="00A348FA" w:rsidRPr="00392ADF" w:rsidRDefault="00A348FA">
      <w:r w:rsidRPr="00392ADF">
        <w:t xml:space="preserve">For patients with pre-diabetes or diabetes mellitus an initial dose of </w:t>
      </w:r>
      <w:r w:rsidR="003A00DF">
        <w:t>600 mc</w:t>
      </w:r>
      <w:r w:rsidR="00FA1DDC">
        <w:t>g</w:t>
      </w:r>
      <w:r w:rsidRPr="00392ADF">
        <w:t xml:space="preserve"> twice a day may be considered (see Precautions).</w:t>
      </w:r>
    </w:p>
    <w:p w:rsidR="000A368C" w:rsidRPr="00392ADF" w:rsidRDefault="000A368C"/>
    <w:p w:rsidR="0048760E" w:rsidRPr="00392ADF" w:rsidRDefault="00B86C70" w:rsidP="001E4AE5">
      <w:pPr>
        <w:pStyle w:val="Heading4"/>
      </w:pPr>
      <w:proofErr w:type="spellStart"/>
      <w:r w:rsidRPr="00392ADF">
        <w:lastRenderedPageBreak/>
        <w:t>Paediatric</w:t>
      </w:r>
      <w:proofErr w:type="spellEnd"/>
      <w:r w:rsidR="0048760E" w:rsidRPr="00392ADF">
        <w:t xml:space="preserve"> patients</w:t>
      </w:r>
      <w:r w:rsidR="0031036B" w:rsidRPr="00392ADF">
        <w:t>:</w:t>
      </w:r>
    </w:p>
    <w:p w:rsidR="0048760E" w:rsidRPr="00392ADF" w:rsidRDefault="0048760E">
      <w:proofErr w:type="spellStart"/>
      <w:r w:rsidRPr="00392ADF">
        <w:t>Signifor</w:t>
      </w:r>
      <w:proofErr w:type="spellEnd"/>
      <w:r w:rsidRPr="00392ADF">
        <w:t xml:space="preserve"> is not recommended for use in </w:t>
      </w:r>
      <w:proofErr w:type="spellStart"/>
      <w:r w:rsidR="00B86C70" w:rsidRPr="00392ADF">
        <w:t>paediatric</w:t>
      </w:r>
      <w:proofErr w:type="spellEnd"/>
      <w:r w:rsidRPr="00392ADF">
        <w:t xml:space="preserve"> Cushing’s disease patients as there are no clinical data available in patients under 18 years of age.</w:t>
      </w:r>
    </w:p>
    <w:p w:rsidR="000A368C" w:rsidRPr="00392ADF" w:rsidRDefault="000A368C"/>
    <w:p w:rsidR="0048760E" w:rsidRPr="00392ADF" w:rsidRDefault="0048760E" w:rsidP="001E4AE5">
      <w:pPr>
        <w:pStyle w:val="Heading4"/>
      </w:pPr>
      <w:r w:rsidRPr="00392ADF">
        <w:t>Elderly patients</w:t>
      </w:r>
      <w:r w:rsidR="0031036B" w:rsidRPr="00392ADF">
        <w:t>:</w:t>
      </w:r>
    </w:p>
    <w:p w:rsidR="0048760E" w:rsidRPr="00392ADF" w:rsidRDefault="0048760E">
      <w:r w:rsidRPr="00392ADF">
        <w:t xml:space="preserve">There are limited data on the use of </w:t>
      </w:r>
      <w:proofErr w:type="spellStart"/>
      <w:r w:rsidRPr="00392ADF">
        <w:t>Signifor</w:t>
      </w:r>
      <w:proofErr w:type="spellEnd"/>
      <w:r w:rsidRPr="00392ADF">
        <w:t xml:space="preserve"> in patients older than 65 years but there is no evidence suggesting that a dose adjustment is required in elderly patients (see Pharmacology).</w:t>
      </w:r>
    </w:p>
    <w:p w:rsidR="005D2D49" w:rsidRPr="00392ADF" w:rsidRDefault="005D2D49"/>
    <w:p w:rsidR="0048760E" w:rsidRPr="00392ADF" w:rsidRDefault="000A368C" w:rsidP="001E4AE5">
      <w:pPr>
        <w:pStyle w:val="Heading2"/>
      </w:pPr>
      <w:r w:rsidRPr="00392ADF">
        <w:t>Method of A</w:t>
      </w:r>
      <w:r w:rsidR="0048760E" w:rsidRPr="00392ADF">
        <w:t>dministration</w:t>
      </w:r>
    </w:p>
    <w:p w:rsidR="0048760E" w:rsidRPr="00392ADF" w:rsidRDefault="0048760E">
      <w:proofErr w:type="spellStart"/>
      <w:r w:rsidRPr="00392ADF">
        <w:t>Signifor</w:t>
      </w:r>
      <w:proofErr w:type="spellEnd"/>
      <w:r w:rsidRPr="00392ADF">
        <w:t xml:space="preserve"> is to be administered subcutaneously by self</w:t>
      </w:r>
      <w:r w:rsidR="003A00DF">
        <w:t>-</w:t>
      </w:r>
      <w:r w:rsidRPr="00392ADF">
        <w:t xml:space="preserve">injection. Patients should receive instructions from the physician or a health care professional on how to inject </w:t>
      </w:r>
      <w:proofErr w:type="spellStart"/>
      <w:r w:rsidRPr="00392ADF">
        <w:t>Signifor</w:t>
      </w:r>
      <w:proofErr w:type="spellEnd"/>
      <w:r w:rsidRPr="00392ADF">
        <w:t xml:space="preserve"> subcutaneously.</w:t>
      </w:r>
    </w:p>
    <w:p w:rsidR="0048760E" w:rsidRPr="00392ADF" w:rsidRDefault="0048760E">
      <w:r w:rsidRPr="00392ADF">
        <w:t xml:space="preserve">Use of the same injection site for two consecutive injections is not recommended. Sites showing signs of inflammation or irritation should be avoided. Preferred injection sites for subcutaneous injections are the top of the thighs and the abdomen (excluding the navel and waistline).  </w:t>
      </w:r>
    </w:p>
    <w:p w:rsidR="00A348FA" w:rsidRPr="00392ADF" w:rsidRDefault="00A348FA">
      <w:r w:rsidRPr="00392ADF">
        <w:t xml:space="preserve">No compatibility data with other products have been generated. </w:t>
      </w:r>
      <w:proofErr w:type="spellStart"/>
      <w:r w:rsidRPr="00392ADF">
        <w:t>Pasireotide</w:t>
      </w:r>
      <w:proofErr w:type="spellEnd"/>
      <w:r w:rsidRPr="00392ADF">
        <w:t xml:space="preserve"> solution for injection is to be used without any dilution and must not to be mixed with other medicinal products.</w:t>
      </w:r>
    </w:p>
    <w:p w:rsidR="009E7B35" w:rsidRPr="00392ADF" w:rsidRDefault="00FA1DDC">
      <w:r>
        <w:t>Product is for single use in one patient only. Discard any residue.</w:t>
      </w:r>
    </w:p>
    <w:p w:rsidR="00703297" w:rsidRPr="00392ADF" w:rsidRDefault="00703297"/>
    <w:p w:rsidR="005357C3" w:rsidRPr="00392ADF" w:rsidRDefault="002660E4" w:rsidP="001E4AE5">
      <w:pPr>
        <w:pStyle w:val="Heading1"/>
      </w:pPr>
      <w:r w:rsidRPr="00392ADF">
        <w:t>OVERDOSAGE</w:t>
      </w:r>
    </w:p>
    <w:p w:rsidR="00703297" w:rsidRPr="00392ADF" w:rsidRDefault="00703297"/>
    <w:p w:rsidR="00766F22" w:rsidRPr="00392ADF" w:rsidRDefault="00766F22">
      <w:r w:rsidRPr="00392ADF">
        <w:t xml:space="preserve">No cases of </w:t>
      </w:r>
      <w:proofErr w:type="spellStart"/>
      <w:r w:rsidRPr="00392ADF">
        <w:t>overdosage</w:t>
      </w:r>
      <w:proofErr w:type="spellEnd"/>
      <w:r w:rsidRPr="00392ADF">
        <w:t xml:space="preserve"> have been reported in patients receiving </w:t>
      </w:r>
      <w:proofErr w:type="spellStart"/>
      <w:r w:rsidRPr="00392ADF">
        <w:t>pasireotide</w:t>
      </w:r>
      <w:proofErr w:type="spellEnd"/>
      <w:r w:rsidRPr="00392ADF">
        <w:t xml:space="preserve"> subcutaneously. Doses up to 2.1 mg twice a day have been used in healthy volunteers with adverse reactions of </w:t>
      </w:r>
      <w:proofErr w:type="spellStart"/>
      <w:r w:rsidR="00B86C70" w:rsidRPr="00392ADF">
        <w:t>diarrhoea</w:t>
      </w:r>
      <w:proofErr w:type="spellEnd"/>
      <w:r w:rsidRPr="00392ADF">
        <w:t xml:space="preserve"> being observed at a high frequency. </w:t>
      </w:r>
    </w:p>
    <w:p w:rsidR="00766F22" w:rsidRPr="00392ADF" w:rsidRDefault="00766F22">
      <w:r w:rsidRPr="00392ADF">
        <w:t xml:space="preserve">In the event of </w:t>
      </w:r>
      <w:proofErr w:type="spellStart"/>
      <w:r w:rsidRPr="00392ADF">
        <w:t>overdosage</w:t>
      </w:r>
      <w:proofErr w:type="spellEnd"/>
      <w:r w:rsidRPr="00392ADF">
        <w:t>, it is recommended that appropriate supportive treatment be initiated, as dictated by the patient’s clinical status, until resolution of the symptoms.</w:t>
      </w:r>
    </w:p>
    <w:p w:rsidR="00531264" w:rsidRDefault="00531264">
      <w:r w:rsidRPr="00392ADF">
        <w:t>For information on the management of overdose, contact the Poison Information Centre on 131126 (Australia).</w:t>
      </w:r>
    </w:p>
    <w:p w:rsidR="00350392" w:rsidRPr="00392ADF" w:rsidRDefault="00350392"/>
    <w:p w:rsidR="00531264" w:rsidRPr="00392ADF" w:rsidRDefault="002660E4" w:rsidP="001E4AE5">
      <w:pPr>
        <w:pStyle w:val="Heading1"/>
      </w:pPr>
      <w:r w:rsidRPr="00392ADF">
        <w:t>PRESENTATION AND STORAGE CONDITIONS</w:t>
      </w:r>
    </w:p>
    <w:p w:rsidR="00703297" w:rsidRPr="00392ADF" w:rsidRDefault="00703297"/>
    <w:p w:rsidR="007A2950" w:rsidRPr="00392ADF" w:rsidRDefault="00703297" w:rsidP="001E4AE5">
      <w:pPr>
        <w:pStyle w:val="Heading2"/>
      </w:pPr>
      <w:r w:rsidRPr="00392ADF">
        <w:lastRenderedPageBreak/>
        <w:t>Dosage F</w:t>
      </w:r>
      <w:r w:rsidR="007A2950" w:rsidRPr="00392ADF">
        <w:t>orm</w:t>
      </w:r>
    </w:p>
    <w:p w:rsidR="007A2950" w:rsidRPr="00392ADF" w:rsidRDefault="007A2950">
      <w:r w:rsidRPr="00392ADF">
        <w:t>Injection, solution</w:t>
      </w:r>
    </w:p>
    <w:p w:rsidR="007574D3" w:rsidRPr="00392ADF" w:rsidRDefault="007574D3"/>
    <w:p w:rsidR="007A2950" w:rsidRPr="00392ADF" w:rsidRDefault="007A2950" w:rsidP="001E4AE5">
      <w:pPr>
        <w:pStyle w:val="Heading3"/>
      </w:pPr>
      <w:r w:rsidRPr="00392ADF">
        <w:t>Quantity of active ingredient</w:t>
      </w:r>
      <w:r w:rsidR="007574D3" w:rsidRPr="00392ADF">
        <w:t>:</w:t>
      </w:r>
    </w:p>
    <w:p w:rsidR="00531264" w:rsidRPr="00392ADF" w:rsidRDefault="00531264">
      <w:r w:rsidRPr="00392ADF">
        <w:t>Each ampoule of 1 mL contains:</w:t>
      </w:r>
    </w:p>
    <w:p w:rsidR="00531264" w:rsidRPr="00392ADF" w:rsidRDefault="00531264" w:rsidP="001E4AE5">
      <w:pPr>
        <w:pStyle w:val="ListParagraph"/>
        <w:numPr>
          <w:ilvl w:val="0"/>
          <w:numId w:val="3"/>
        </w:numPr>
      </w:pPr>
      <w:r w:rsidRPr="00392ADF">
        <w:t xml:space="preserve">300 </w:t>
      </w:r>
      <w:r w:rsidR="00763064">
        <w:t>microgram</w:t>
      </w:r>
      <w:r w:rsidRPr="00392ADF">
        <w:t xml:space="preserve"> </w:t>
      </w:r>
      <w:proofErr w:type="spellStart"/>
      <w:r w:rsidRPr="00392ADF">
        <w:t>pasireotide</w:t>
      </w:r>
      <w:proofErr w:type="spellEnd"/>
      <w:r w:rsidRPr="00392ADF">
        <w:t xml:space="preserve"> (as </w:t>
      </w:r>
      <w:proofErr w:type="spellStart"/>
      <w:r w:rsidRPr="00392ADF">
        <w:t>diaspartate</w:t>
      </w:r>
      <w:proofErr w:type="spellEnd"/>
      <w:r w:rsidRPr="00392ADF">
        <w:t>)</w:t>
      </w:r>
    </w:p>
    <w:p w:rsidR="00531264" w:rsidRPr="00392ADF" w:rsidRDefault="00763064" w:rsidP="001E4AE5">
      <w:pPr>
        <w:pStyle w:val="ListParagraph"/>
        <w:numPr>
          <w:ilvl w:val="0"/>
          <w:numId w:val="3"/>
        </w:numPr>
      </w:pPr>
      <w:r>
        <w:t>600 microgram</w:t>
      </w:r>
      <w:r w:rsidR="00531264" w:rsidRPr="00392ADF">
        <w:t xml:space="preserve"> </w:t>
      </w:r>
      <w:proofErr w:type="spellStart"/>
      <w:r w:rsidR="00531264" w:rsidRPr="00392ADF">
        <w:t>pasireotide</w:t>
      </w:r>
      <w:proofErr w:type="spellEnd"/>
      <w:r w:rsidR="00531264" w:rsidRPr="00392ADF">
        <w:t xml:space="preserve"> (as </w:t>
      </w:r>
      <w:proofErr w:type="spellStart"/>
      <w:r w:rsidR="00531264" w:rsidRPr="00392ADF">
        <w:t>diaspartate</w:t>
      </w:r>
      <w:proofErr w:type="spellEnd"/>
      <w:r w:rsidR="00531264" w:rsidRPr="00392ADF">
        <w:t>)</w:t>
      </w:r>
    </w:p>
    <w:p w:rsidR="00531264" w:rsidRPr="00392ADF" w:rsidRDefault="00763064" w:rsidP="001E4AE5">
      <w:pPr>
        <w:pStyle w:val="ListParagraph"/>
        <w:numPr>
          <w:ilvl w:val="0"/>
          <w:numId w:val="3"/>
        </w:numPr>
      </w:pPr>
      <w:r>
        <w:t>900 microgram</w:t>
      </w:r>
      <w:r w:rsidR="00531264" w:rsidRPr="00392ADF">
        <w:t xml:space="preserve"> </w:t>
      </w:r>
      <w:proofErr w:type="spellStart"/>
      <w:r w:rsidR="00531264" w:rsidRPr="00392ADF">
        <w:t>pasireotide</w:t>
      </w:r>
      <w:proofErr w:type="spellEnd"/>
      <w:r w:rsidR="00531264" w:rsidRPr="00392ADF">
        <w:t xml:space="preserve"> (as </w:t>
      </w:r>
      <w:proofErr w:type="spellStart"/>
      <w:r w:rsidR="00531264" w:rsidRPr="00392ADF">
        <w:t>diaspartate</w:t>
      </w:r>
      <w:proofErr w:type="spellEnd"/>
      <w:r w:rsidR="00531264" w:rsidRPr="00392ADF">
        <w:t>)</w:t>
      </w:r>
    </w:p>
    <w:p w:rsidR="00D37DFF" w:rsidRPr="00392ADF" w:rsidRDefault="00D37DFF"/>
    <w:p w:rsidR="007A2950" w:rsidRPr="00392ADF" w:rsidRDefault="007A2950" w:rsidP="001E4AE5">
      <w:pPr>
        <w:pStyle w:val="Heading3"/>
      </w:pPr>
      <w:r w:rsidRPr="00392ADF">
        <w:t>Container type</w:t>
      </w:r>
      <w:r w:rsidR="00D37DFF" w:rsidRPr="00392ADF">
        <w:t>:</w:t>
      </w:r>
    </w:p>
    <w:p w:rsidR="007A2950" w:rsidRPr="00392ADF" w:rsidRDefault="007A2950">
      <w:pPr>
        <w:rPr>
          <w:b/>
        </w:rPr>
      </w:pPr>
      <w:proofErr w:type="spellStart"/>
      <w:proofErr w:type="gramStart"/>
      <w:r w:rsidRPr="00392ADF">
        <w:t>Colourless</w:t>
      </w:r>
      <w:proofErr w:type="spellEnd"/>
      <w:r w:rsidRPr="00392ADF">
        <w:t xml:space="preserve"> glass ampoule.</w:t>
      </w:r>
      <w:proofErr w:type="gramEnd"/>
      <w:r w:rsidRPr="00392ADF">
        <w:t xml:space="preserve"> </w:t>
      </w:r>
    </w:p>
    <w:p w:rsidR="003301DE" w:rsidRPr="00392ADF" w:rsidRDefault="003301DE"/>
    <w:p w:rsidR="007D13E4" w:rsidRPr="007D13E4" w:rsidRDefault="009E7B35" w:rsidP="001E4AE5">
      <w:pPr>
        <w:pStyle w:val="Heading3"/>
      </w:pPr>
      <w:r w:rsidRPr="00392ADF">
        <w:rPr>
          <w:szCs w:val="24"/>
        </w:rPr>
        <w:t>Pack sizes</w:t>
      </w:r>
      <w:r w:rsidR="007D13E4">
        <w:rPr>
          <w:szCs w:val="24"/>
        </w:rPr>
        <w:t xml:space="preserve"> </w:t>
      </w:r>
      <w:r w:rsidR="003A00DF">
        <w:t>300 micrograms/ 1</w:t>
      </w:r>
      <w:r w:rsidR="007D13E4">
        <w:t>mL, 600 microgram</w:t>
      </w:r>
      <w:r w:rsidR="003A00DF">
        <w:t>s/ 1mL and 900 micrograms/ 1</w:t>
      </w:r>
      <w:r w:rsidR="007D13E4">
        <w:t>mL:</w:t>
      </w:r>
    </w:p>
    <w:p w:rsidR="005309D2" w:rsidRPr="00392ADF" w:rsidRDefault="005309D2">
      <w:proofErr w:type="gramStart"/>
      <w:r w:rsidRPr="00392ADF">
        <w:t xml:space="preserve">Packs containing </w:t>
      </w:r>
      <w:r w:rsidR="000C57CE">
        <w:t>*</w:t>
      </w:r>
      <w:r w:rsidR="009E7B35" w:rsidRPr="00392ADF">
        <w:t>6 ampoules</w:t>
      </w:r>
      <w:r w:rsidRPr="00392ADF">
        <w:t xml:space="preserve"> or multipacks containing </w:t>
      </w:r>
      <w:r w:rsidR="000C57CE">
        <w:t>*</w:t>
      </w:r>
      <w:r w:rsidRPr="00392ADF">
        <w:t>30</w:t>
      </w:r>
      <w:r w:rsidR="009E7B35" w:rsidRPr="00392ADF">
        <w:t xml:space="preserve"> x (</w:t>
      </w:r>
      <w:r w:rsidRPr="00392ADF">
        <w:t>5 packs of 6</w:t>
      </w:r>
      <w:r w:rsidR="009E7B35" w:rsidRPr="00392ADF">
        <w:t>)</w:t>
      </w:r>
      <w:r w:rsidRPr="00392ADF">
        <w:t xml:space="preserve"> or 60</w:t>
      </w:r>
      <w:r w:rsidR="009E7B35" w:rsidRPr="00392ADF">
        <w:t xml:space="preserve"> x (</w:t>
      </w:r>
      <w:r w:rsidRPr="00392ADF">
        <w:t xml:space="preserve">10 packs of </w:t>
      </w:r>
      <w:r w:rsidR="009E7B35" w:rsidRPr="00392ADF">
        <w:t>6)</w:t>
      </w:r>
      <w:r w:rsidRPr="00392ADF">
        <w:t xml:space="preserve"> ampoules.</w:t>
      </w:r>
      <w:proofErr w:type="gramEnd"/>
      <w:r w:rsidRPr="00392ADF">
        <w:t xml:space="preserve"> </w:t>
      </w:r>
      <w:r w:rsidR="000C57CE">
        <w:t>*</w:t>
      </w:r>
      <w:r w:rsidRPr="00392ADF">
        <w:t>Not all pack sizes may be marketed.</w:t>
      </w:r>
    </w:p>
    <w:p w:rsidR="009C40FC" w:rsidRPr="00392ADF" w:rsidRDefault="009C40FC"/>
    <w:p w:rsidR="007A2950" w:rsidRPr="00392ADF" w:rsidRDefault="007A2950" w:rsidP="001E4AE5">
      <w:pPr>
        <w:pStyle w:val="Heading3"/>
      </w:pPr>
      <w:r w:rsidRPr="00392ADF">
        <w:t>Appearance</w:t>
      </w:r>
      <w:r w:rsidR="009C40FC" w:rsidRPr="00392ADF">
        <w:t>:</w:t>
      </w:r>
    </w:p>
    <w:p w:rsidR="007A2950" w:rsidRPr="00392ADF" w:rsidRDefault="007A2950">
      <w:proofErr w:type="spellStart"/>
      <w:r w:rsidRPr="00392ADF">
        <w:t>Pasireotide</w:t>
      </w:r>
      <w:proofErr w:type="spellEnd"/>
      <w:r w:rsidRPr="00392ADF">
        <w:t xml:space="preserve"> solution for injection is a clear, </w:t>
      </w:r>
      <w:proofErr w:type="spellStart"/>
      <w:r w:rsidRPr="00392ADF">
        <w:t>colourless</w:t>
      </w:r>
      <w:proofErr w:type="spellEnd"/>
      <w:r w:rsidRPr="00392ADF">
        <w:t xml:space="preserve"> solution in a 1 mL one poi</w:t>
      </w:r>
      <w:r w:rsidR="00C411A9" w:rsidRPr="00392ADF">
        <w:t xml:space="preserve">nt cut </w:t>
      </w:r>
      <w:proofErr w:type="spellStart"/>
      <w:r w:rsidR="00C411A9" w:rsidRPr="00392ADF">
        <w:t>colourless</w:t>
      </w:r>
      <w:proofErr w:type="spellEnd"/>
      <w:r w:rsidR="00C411A9" w:rsidRPr="00392ADF">
        <w:t xml:space="preserve"> glass ampoule. </w:t>
      </w:r>
    </w:p>
    <w:p w:rsidR="009C40FC" w:rsidRPr="00392ADF" w:rsidRDefault="009C40FC"/>
    <w:p w:rsidR="002C78D7" w:rsidRPr="00392ADF" w:rsidRDefault="009C40FC" w:rsidP="001E4AE5">
      <w:pPr>
        <w:pStyle w:val="Heading2"/>
      </w:pPr>
      <w:r w:rsidRPr="00392ADF">
        <w:t>Storage C</w:t>
      </w:r>
      <w:r w:rsidR="002C78D7" w:rsidRPr="00392ADF">
        <w:t>onditions</w:t>
      </w:r>
    </w:p>
    <w:p w:rsidR="002C78D7" w:rsidRPr="00392ADF" w:rsidRDefault="002C78D7">
      <w:r w:rsidRPr="00392ADF">
        <w:t xml:space="preserve">Store below 25 °C.  </w:t>
      </w:r>
      <w:proofErr w:type="gramStart"/>
      <w:r w:rsidRPr="00392ADF">
        <w:t xml:space="preserve">Store in original package (in order to protect </w:t>
      </w:r>
      <w:r w:rsidR="00BE4466">
        <w:t xml:space="preserve">it </w:t>
      </w:r>
      <w:r w:rsidRPr="00392ADF">
        <w:t>from light).</w:t>
      </w:r>
      <w:proofErr w:type="gramEnd"/>
      <w:r w:rsidRPr="00392ADF">
        <w:t xml:space="preserve">  </w:t>
      </w:r>
      <w:proofErr w:type="spellStart"/>
      <w:r w:rsidRPr="00392ADF">
        <w:t>Signifor</w:t>
      </w:r>
      <w:proofErr w:type="spellEnd"/>
      <w:r w:rsidRPr="00392ADF">
        <w:t xml:space="preserve"> must be kept out of the reach and sight of children.  </w:t>
      </w:r>
    </w:p>
    <w:p w:rsidR="009C40FC" w:rsidRPr="00392ADF" w:rsidRDefault="009C40FC"/>
    <w:p w:rsidR="009E7B35" w:rsidRPr="00392ADF" w:rsidRDefault="002660E4" w:rsidP="001E4AE5">
      <w:pPr>
        <w:pStyle w:val="Heading1"/>
      </w:pPr>
      <w:r w:rsidRPr="00392ADF">
        <w:t>NAME AND ADDRESS OF THE SPONSOR</w:t>
      </w:r>
    </w:p>
    <w:p w:rsidR="009C40FC" w:rsidRPr="00392ADF" w:rsidRDefault="009C40FC"/>
    <w:p w:rsidR="007A2950" w:rsidRPr="00392ADF" w:rsidRDefault="009E7B35">
      <w:r w:rsidRPr="00392ADF">
        <w:t>Novartis Pharmaceuticals Australia Pty Ltd</w:t>
      </w:r>
    </w:p>
    <w:p w:rsidR="009E7B35" w:rsidRPr="00392ADF" w:rsidRDefault="009E7B35">
      <w:r w:rsidRPr="00392ADF">
        <w:t>54 Waterloo Road</w:t>
      </w:r>
    </w:p>
    <w:p w:rsidR="009E7B35" w:rsidRPr="00392ADF" w:rsidRDefault="009E7B35">
      <w:r w:rsidRPr="00392ADF">
        <w:t xml:space="preserve">North </w:t>
      </w:r>
      <w:proofErr w:type="spellStart"/>
      <w:r w:rsidRPr="00392ADF">
        <w:t>Ryde</w:t>
      </w:r>
      <w:proofErr w:type="spellEnd"/>
      <w:r w:rsidRPr="00392ADF">
        <w:t xml:space="preserve"> 2113</w:t>
      </w:r>
    </w:p>
    <w:p w:rsidR="009E7B35" w:rsidRDefault="009E7B35">
      <w:r w:rsidRPr="00392ADF">
        <w:t>Australia</w:t>
      </w:r>
    </w:p>
    <w:p w:rsidR="00201562" w:rsidRPr="00392ADF" w:rsidRDefault="00201562"/>
    <w:p w:rsidR="007A2950" w:rsidRPr="00201562" w:rsidRDefault="002660E4" w:rsidP="001E4AE5">
      <w:pPr>
        <w:pStyle w:val="Heading1"/>
      </w:pPr>
      <w:r w:rsidRPr="00201562">
        <w:lastRenderedPageBreak/>
        <w:t>POISON SCHEDULE OF THE MEDICINE</w:t>
      </w:r>
    </w:p>
    <w:p w:rsidR="000B2340" w:rsidRPr="00392ADF" w:rsidRDefault="000B2340">
      <w:r w:rsidRPr="00392ADF">
        <w:t xml:space="preserve">Prescription </w:t>
      </w:r>
      <w:r w:rsidR="007D13E4">
        <w:t>O</w:t>
      </w:r>
      <w:r w:rsidRPr="00392ADF">
        <w:t xml:space="preserve">nly </w:t>
      </w:r>
      <w:r w:rsidR="007D13E4">
        <w:t>M</w:t>
      </w:r>
      <w:r w:rsidRPr="00392ADF">
        <w:t>edicine</w:t>
      </w:r>
      <w:r w:rsidR="007D13E4">
        <w:t xml:space="preserve"> (Schedule 4)</w:t>
      </w:r>
    </w:p>
    <w:p w:rsidR="00201562" w:rsidRDefault="00201562"/>
    <w:p w:rsidR="007A2950" w:rsidRDefault="002660E4" w:rsidP="001E4AE5">
      <w:pPr>
        <w:pStyle w:val="Heading1"/>
      </w:pPr>
      <w:r w:rsidRPr="00392ADF">
        <w:t>DATE OF FIRST INCLUSION IN THE AUSTRALIAN REGISTER OF THERAPEUTIC GOODS (THE ARTG)</w:t>
      </w:r>
    </w:p>
    <w:p w:rsidR="007A2950" w:rsidRDefault="00490A9C">
      <w:r w:rsidRPr="00411A0F">
        <w:t>01</w:t>
      </w:r>
      <w:r w:rsidR="002D382D" w:rsidRPr="00411A0F">
        <w:t xml:space="preserve"> November 2013</w:t>
      </w:r>
    </w:p>
    <w:p w:rsidR="007710A8" w:rsidRPr="00392ADF" w:rsidRDefault="007710A8"/>
    <w:p w:rsidR="007A2950" w:rsidRDefault="002660E4" w:rsidP="001E4AE5">
      <w:pPr>
        <w:pStyle w:val="Heading1"/>
      </w:pPr>
      <w:r w:rsidRPr="00392ADF">
        <w:t>DATE OF MOST RECENT AMENDMENT</w:t>
      </w:r>
    </w:p>
    <w:p w:rsidR="007A2950" w:rsidRDefault="007A2950">
      <w:r w:rsidRPr="00392ADF">
        <w:t>Not applicable.</w:t>
      </w:r>
    </w:p>
    <w:p w:rsidR="00490A9C" w:rsidRPr="00392ADF" w:rsidRDefault="00490A9C"/>
    <w:p w:rsidR="009E7B35" w:rsidRDefault="007A2950">
      <w:proofErr w:type="spellStart"/>
      <w:r w:rsidRPr="00392ADF">
        <w:t>Signifor</w:t>
      </w:r>
      <w:proofErr w:type="spellEnd"/>
      <w:r w:rsidRPr="00392ADF">
        <w:t xml:space="preserve"> is a registered trademark. </w:t>
      </w:r>
    </w:p>
    <w:p w:rsidR="00350392" w:rsidRDefault="00350392"/>
    <w:p w:rsidR="00350392" w:rsidRPr="000F1C42" w:rsidRDefault="00350392" w:rsidP="00A25CE6">
      <w:pPr>
        <w:pBdr>
          <w:top w:val="single" w:sz="4" w:space="1" w:color="auto"/>
        </w:pBdr>
      </w:pPr>
      <w:r w:rsidRPr="000F1C42">
        <w:t>For internal use only:</w:t>
      </w:r>
      <w:r w:rsidR="002D382D">
        <w:t xml:space="preserve"> (som</w:t>
      </w:r>
      <w:r w:rsidR="00166D6C">
        <w:t>01111</w:t>
      </w:r>
      <w:r w:rsidR="002D382D">
        <w:t>3i) based on CDS 31-Jan-13</w:t>
      </w:r>
    </w:p>
    <w:p w:rsidR="00350392" w:rsidRPr="00392ADF" w:rsidRDefault="00350392" w:rsidP="00962784">
      <w:pPr>
        <w:pBdr>
          <w:top w:val="single" w:sz="4" w:space="1" w:color="auto"/>
        </w:pBdr>
      </w:pPr>
    </w:p>
    <w:sectPr w:rsidR="00350392" w:rsidRPr="00392ADF" w:rsidSect="00990DFE">
      <w:headerReference w:type="even" r:id="rId12"/>
      <w:headerReference w:type="default" r:id="rId13"/>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72" w:rsidRDefault="00B86C72" w:rsidP="008F20B1">
      <w:r>
        <w:separator/>
      </w:r>
    </w:p>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p w:rsidR="00B86C72" w:rsidRDefault="00B86C72"/>
    <w:p w:rsidR="00B86C72" w:rsidRDefault="00B86C72" w:rsidP="00223B6B"/>
    <w:p w:rsidR="00B86C72" w:rsidRDefault="00B86C72" w:rsidP="00223B6B"/>
  </w:endnote>
  <w:endnote w:type="continuationSeparator" w:id="0">
    <w:p w:rsidR="00B86C72" w:rsidRDefault="00B86C72" w:rsidP="008F20B1">
      <w:r>
        <w:continuationSeparator/>
      </w:r>
    </w:p>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p w:rsidR="00B86C72" w:rsidRDefault="00B86C72"/>
    <w:p w:rsidR="00B86C72" w:rsidRDefault="00B86C72" w:rsidP="00223B6B"/>
    <w:p w:rsidR="00B86C72" w:rsidRDefault="00B86C72" w:rsidP="00223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72" w:rsidRDefault="00B86C72" w:rsidP="008F20B1">
      <w:r>
        <w:separator/>
      </w:r>
    </w:p>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p w:rsidR="00B86C72" w:rsidRDefault="00B86C72"/>
    <w:p w:rsidR="00B86C72" w:rsidRDefault="00B86C72" w:rsidP="00223B6B"/>
    <w:p w:rsidR="00B86C72" w:rsidRDefault="00B86C72" w:rsidP="00223B6B"/>
  </w:footnote>
  <w:footnote w:type="continuationSeparator" w:id="0">
    <w:p w:rsidR="00B86C72" w:rsidRDefault="00B86C72" w:rsidP="008F20B1">
      <w:r>
        <w:continuationSeparator/>
      </w:r>
    </w:p>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rsidP="008F20B1"/>
    <w:p w:rsidR="00B86C72" w:rsidRDefault="00B86C72"/>
    <w:p w:rsidR="00B86C72" w:rsidRDefault="00B86C72"/>
    <w:p w:rsidR="00B86C72" w:rsidRDefault="00B86C72" w:rsidP="00223B6B"/>
    <w:p w:rsidR="00B86C72" w:rsidRDefault="00B86C72" w:rsidP="00223B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6B" w:rsidRDefault="00223B6B">
    <w:pPr>
      <w:pStyle w:val="Header"/>
    </w:pPr>
  </w:p>
  <w:p w:rsidR="00000000" w:rsidRDefault="00B86C72"/>
  <w:p w:rsidR="00000000" w:rsidRDefault="00B86C72" w:rsidP="00223B6B"/>
  <w:p w:rsidR="00000000" w:rsidRDefault="00B86C72" w:rsidP="00223B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104867"/>
      <w:docPartObj>
        <w:docPartGallery w:val="Page Numbers (Top of Page)"/>
        <w:docPartUnique/>
      </w:docPartObj>
    </w:sdtPr>
    <w:sdtEndPr>
      <w:rPr>
        <w:noProof/>
      </w:rPr>
    </w:sdtEndPr>
    <w:sdtContent>
      <w:p w:rsidR="00223B6B" w:rsidRPr="00D361CA" w:rsidRDefault="00223B6B" w:rsidP="00223B6B">
        <w:pPr>
          <w:pBdr>
            <w:top w:val="single" w:sz="4" w:space="1" w:color="auto"/>
            <w:left w:val="single" w:sz="4" w:space="4" w:color="auto"/>
            <w:bottom w:val="single" w:sz="4" w:space="1" w:color="auto"/>
            <w:right w:val="single" w:sz="4" w:space="4" w:color="auto"/>
          </w:pBdr>
          <w:shd w:val="clear" w:color="auto" w:fill="E4F2E0"/>
          <w:spacing w:before="40" w:after="40" w:line="240" w:lineRule="auto"/>
          <w:rPr>
            <w:b/>
            <w:sz w:val="20"/>
          </w:rPr>
        </w:pPr>
        <w:r w:rsidRPr="00D361CA">
          <w:rPr>
            <w:b/>
            <w:sz w:val="20"/>
          </w:rPr>
          <w:t xml:space="preserve">Attachment 1: Product information for </w:t>
        </w:r>
        <w:proofErr w:type="spellStart"/>
        <w:r w:rsidRPr="00223B6B">
          <w:rPr>
            <w:b/>
            <w:sz w:val="20"/>
          </w:rPr>
          <w:t>AusPAR</w:t>
        </w:r>
        <w:proofErr w:type="spellEnd"/>
        <w:r w:rsidRPr="00223B6B">
          <w:rPr>
            <w:b/>
            <w:sz w:val="20"/>
          </w:rPr>
          <w:t xml:space="preserve"> </w:t>
        </w:r>
        <w:proofErr w:type="spellStart"/>
        <w:r w:rsidRPr="00223B6B">
          <w:rPr>
            <w:b/>
            <w:sz w:val="20"/>
          </w:rPr>
          <w:t>Signifor</w:t>
        </w:r>
        <w:proofErr w:type="spellEnd"/>
        <w:r w:rsidRPr="00223B6B">
          <w:rPr>
            <w:b/>
            <w:sz w:val="20"/>
          </w:rPr>
          <w:t xml:space="preserve"> </w:t>
        </w:r>
        <w:proofErr w:type="spellStart"/>
        <w:r w:rsidRPr="00223B6B">
          <w:rPr>
            <w:b/>
            <w:sz w:val="20"/>
          </w:rPr>
          <w:t>Pasireotide</w:t>
        </w:r>
        <w:proofErr w:type="spellEnd"/>
        <w:r w:rsidRPr="00223B6B">
          <w:rPr>
            <w:b/>
            <w:sz w:val="20"/>
          </w:rPr>
          <w:t xml:space="preserve"> (as </w:t>
        </w:r>
        <w:proofErr w:type="spellStart"/>
        <w:r w:rsidRPr="00223B6B">
          <w:rPr>
            <w:b/>
            <w:sz w:val="20"/>
          </w:rPr>
          <w:t>diaspartate</w:t>
        </w:r>
        <w:proofErr w:type="spellEnd"/>
        <w:r w:rsidRPr="00223B6B">
          <w:rPr>
            <w:b/>
            <w:sz w:val="20"/>
          </w:rPr>
          <w:t>) Novartis Pharmaceuticals Australia Pty Ltd</w:t>
        </w:r>
        <w:r>
          <w:rPr>
            <w:b/>
            <w:sz w:val="20"/>
          </w:rPr>
          <w:t xml:space="preserve"> </w:t>
        </w:r>
        <w:r w:rsidRPr="00223B6B">
          <w:rPr>
            <w:b/>
            <w:sz w:val="20"/>
          </w:rPr>
          <w:t>PM-2012-02743-3-5 Final 27 March 2014</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p w:rsidR="00490A9C" w:rsidRDefault="00490A9C">
        <w:pPr>
          <w:pStyle w:val="Header"/>
          <w:jc w:val="right"/>
        </w:pPr>
        <w:r>
          <w:fldChar w:fldCharType="begin"/>
        </w:r>
        <w:r>
          <w:instrText xml:space="preserve"> PAGE   \* MERGEFORMAT </w:instrText>
        </w:r>
        <w:r>
          <w:fldChar w:fldCharType="separate"/>
        </w:r>
        <w:r w:rsidR="00223B6B">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F60"/>
    <w:multiLevelType w:val="hybridMultilevel"/>
    <w:tmpl w:val="EDF4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D0D0A"/>
    <w:multiLevelType w:val="hybridMultilevel"/>
    <w:tmpl w:val="FB7E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679FD"/>
    <w:multiLevelType w:val="hybridMultilevel"/>
    <w:tmpl w:val="56E6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DF783F"/>
    <w:multiLevelType w:val="hybridMultilevel"/>
    <w:tmpl w:val="282A4DE4"/>
    <w:lvl w:ilvl="0" w:tplc="1158C1E6">
      <w:start w:val="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85"/>
    <w:rsid w:val="00012AD5"/>
    <w:rsid w:val="0002003A"/>
    <w:rsid w:val="00020CE5"/>
    <w:rsid w:val="000231E9"/>
    <w:rsid w:val="000324A7"/>
    <w:rsid w:val="00037C3A"/>
    <w:rsid w:val="0004515C"/>
    <w:rsid w:val="00050280"/>
    <w:rsid w:val="000620DB"/>
    <w:rsid w:val="00065922"/>
    <w:rsid w:val="00071264"/>
    <w:rsid w:val="00072EDB"/>
    <w:rsid w:val="00073257"/>
    <w:rsid w:val="000774EB"/>
    <w:rsid w:val="00080FAC"/>
    <w:rsid w:val="000923E1"/>
    <w:rsid w:val="000929ED"/>
    <w:rsid w:val="00096733"/>
    <w:rsid w:val="000A368C"/>
    <w:rsid w:val="000A7059"/>
    <w:rsid w:val="000A7ED9"/>
    <w:rsid w:val="000B2340"/>
    <w:rsid w:val="000B7EED"/>
    <w:rsid w:val="000C1F89"/>
    <w:rsid w:val="000C3E2D"/>
    <w:rsid w:val="000C54DD"/>
    <w:rsid w:val="000C57CE"/>
    <w:rsid w:val="000D7F7F"/>
    <w:rsid w:val="000E5A66"/>
    <w:rsid w:val="000F03B2"/>
    <w:rsid w:val="000F411D"/>
    <w:rsid w:val="001261A0"/>
    <w:rsid w:val="001266CF"/>
    <w:rsid w:val="0012680C"/>
    <w:rsid w:val="00130405"/>
    <w:rsid w:val="001374E6"/>
    <w:rsid w:val="00147067"/>
    <w:rsid w:val="001479AC"/>
    <w:rsid w:val="001558F7"/>
    <w:rsid w:val="00157213"/>
    <w:rsid w:val="00163D44"/>
    <w:rsid w:val="00165D20"/>
    <w:rsid w:val="00166D6C"/>
    <w:rsid w:val="00177383"/>
    <w:rsid w:val="00187FE6"/>
    <w:rsid w:val="001B0D54"/>
    <w:rsid w:val="001B7D01"/>
    <w:rsid w:val="001C0E33"/>
    <w:rsid w:val="001C2224"/>
    <w:rsid w:val="001C776F"/>
    <w:rsid w:val="001D221E"/>
    <w:rsid w:val="001D7206"/>
    <w:rsid w:val="001E0B86"/>
    <w:rsid w:val="001E475E"/>
    <w:rsid w:val="001E4AE5"/>
    <w:rsid w:val="001E57C0"/>
    <w:rsid w:val="001E5CEA"/>
    <w:rsid w:val="001F18BA"/>
    <w:rsid w:val="00201562"/>
    <w:rsid w:val="00202FFE"/>
    <w:rsid w:val="00205E9B"/>
    <w:rsid w:val="002069ED"/>
    <w:rsid w:val="002165D7"/>
    <w:rsid w:val="002174CF"/>
    <w:rsid w:val="00217B98"/>
    <w:rsid w:val="00223B6B"/>
    <w:rsid w:val="0022677B"/>
    <w:rsid w:val="002339C1"/>
    <w:rsid w:val="002344FF"/>
    <w:rsid w:val="00234CA0"/>
    <w:rsid w:val="00237628"/>
    <w:rsid w:val="002430E9"/>
    <w:rsid w:val="00252399"/>
    <w:rsid w:val="00255910"/>
    <w:rsid w:val="0026475B"/>
    <w:rsid w:val="00264B17"/>
    <w:rsid w:val="002660E4"/>
    <w:rsid w:val="00291367"/>
    <w:rsid w:val="0029207C"/>
    <w:rsid w:val="00292F2C"/>
    <w:rsid w:val="00295A08"/>
    <w:rsid w:val="002974F4"/>
    <w:rsid w:val="002A36ED"/>
    <w:rsid w:val="002A47C1"/>
    <w:rsid w:val="002A7826"/>
    <w:rsid w:val="002C0320"/>
    <w:rsid w:val="002C0678"/>
    <w:rsid w:val="002C78D7"/>
    <w:rsid w:val="002D1BF2"/>
    <w:rsid w:val="002D382D"/>
    <w:rsid w:val="002D614C"/>
    <w:rsid w:val="002F072B"/>
    <w:rsid w:val="003057D3"/>
    <w:rsid w:val="0031036B"/>
    <w:rsid w:val="0031244F"/>
    <w:rsid w:val="0031305C"/>
    <w:rsid w:val="003238AA"/>
    <w:rsid w:val="00327C24"/>
    <w:rsid w:val="00327F19"/>
    <w:rsid w:val="003301DE"/>
    <w:rsid w:val="00335B87"/>
    <w:rsid w:val="00340E36"/>
    <w:rsid w:val="00342010"/>
    <w:rsid w:val="003450F4"/>
    <w:rsid w:val="00347C41"/>
    <w:rsid w:val="00350392"/>
    <w:rsid w:val="00362E98"/>
    <w:rsid w:val="00371931"/>
    <w:rsid w:val="00376E90"/>
    <w:rsid w:val="00383F80"/>
    <w:rsid w:val="00387AF7"/>
    <w:rsid w:val="00390CC0"/>
    <w:rsid w:val="00392ADF"/>
    <w:rsid w:val="003962DF"/>
    <w:rsid w:val="003A00DF"/>
    <w:rsid w:val="003A1FB6"/>
    <w:rsid w:val="003A74DD"/>
    <w:rsid w:val="003B031C"/>
    <w:rsid w:val="003B201D"/>
    <w:rsid w:val="003B4288"/>
    <w:rsid w:val="003B5A33"/>
    <w:rsid w:val="003C1085"/>
    <w:rsid w:val="003D328D"/>
    <w:rsid w:val="003D3CBF"/>
    <w:rsid w:val="003D44E9"/>
    <w:rsid w:val="003E0146"/>
    <w:rsid w:val="003E4778"/>
    <w:rsid w:val="003E4B26"/>
    <w:rsid w:val="003E69EA"/>
    <w:rsid w:val="004051A3"/>
    <w:rsid w:val="004061E8"/>
    <w:rsid w:val="00411A0F"/>
    <w:rsid w:val="00414A9E"/>
    <w:rsid w:val="004330D6"/>
    <w:rsid w:val="00433EF2"/>
    <w:rsid w:val="004361FC"/>
    <w:rsid w:val="004439F0"/>
    <w:rsid w:val="00451E1C"/>
    <w:rsid w:val="00453505"/>
    <w:rsid w:val="004549EC"/>
    <w:rsid w:val="00461209"/>
    <w:rsid w:val="00464E90"/>
    <w:rsid w:val="004673D7"/>
    <w:rsid w:val="00471057"/>
    <w:rsid w:val="00471099"/>
    <w:rsid w:val="004753BC"/>
    <w:rsid w:val="00481649"/>
    <w:rsid w:val="00482620"/>
    <w:rsid w:val="00483739"/>
    <w:rsid w:val="00486F8A"/>
    <w:rsid w:val="0048760E"/>
    <w:rsid w:val="00490A9C"/>
    <w:rsid w:val="004913DA"/>
    <w:rsid w:val="004965AE"/>
    <w:rsid w:val="004A09CE"/>
    <w:rsid w:val="004A4F16"/>
    <w:rsid w:val="004B200B"/>
    <w:rsid w:val="004B2910"/>
    <w:rsid w:val="004C3754"/>
    <w:rsid w:val="004C53A3"/>
    <w:rsid w:val="004D3038"/>
    <w:rsid w:val="004F2533"/>
    <w:rsid w:val="004F2F50"/>
    <w:rsid w:val="004F78AC"/>
    <w:rsid w:val="005074FD"/>
    <w:rsid w:val="005309D2"/>
    <w:rsid w:val="00531264"/>
    <w:rsid w:val="00533B26"/>
    <w:rsid w:val="005353DD"/>
    <w:rsid w:val="005357C3"/>
    <w:rsid w:val="005363B1"/>
    <w:rsid w:val="0053706B"/>
    <w:rsid w:val="005505B2"/>
    <w:rsid w:val="00551918"/>
    <w:rsid w:val="00552596"/>
    <w:rsid w:val="00555ABD"/>
    <w:rsid w:val="00557100"/>
    <w:rsid w:val="005577E4"/>
    <w:rsid w:val="00566696"/>
    <w:rsid w:val="0057438F"/>
    <w:rsid w:val="0058269D"/>
    <w:rsid w:val="00587034"/>
    <w:rsid w:val="005A52B8"/>
    <w:rsid w:val="005A5658"/>
    <w:rsid w:val="005A7CDD"/>
    <w:rsid w:val="005B43CE"/>
    <w:rsid w:val="005B6510"/>
    <w:rsid w:val="005B749D"/>
    <w:rsid w:val="005C0213"/>
    <w:rsid w:val="005C101A"/>
    <w:rsid w:val="005D04A4"/>
    <w:rsid w:val="005D0669"/>
    <w:rsid w:val="005D119E"/>
    <w:rsid w:val="005D2203"/>
    <w:rsid w:val="005D2D49"/>
    <w:rsid w:val="005E55AA"/>
    <w:rsid w:val="005E610B"/>
    <w:rsid w:val="0061203E"/>
    <w:rsid w:val="00620E40"/>
    <w:rsid w:val="00621BA1"/>
    <w:rsid w:val="0062222B"/>
    <w:rsid w:val="006239F1"/>
    <w:rsid w:val="00641BF9"/>
    <w:rsid w:val="00646926"/>
    <w:rsid w:val="0065190B"/>
    <w:rsid w:val="00654DFF"/>
    <w:rsid w:val="00660E49"/>
    <w:rsid w:val="00667182"/>
    <w:rsid w:val="006A0857"/>
    <w:rsid w:val="006A3516"/>
    <w:rsid w:val="006A5383"/>
    <w:rsid w:val="006C5560"/>
    <w:rsid w:val="006E0153"/>
    <w:rsid w:val="006E2B0E"/>
    <w:rsid w:val="006E347F"/>
    <w:rsid w:val="006F327B"/>
    <w:rsid w:val="006F7934"/>
    <w:rsid w:val="00703297"/>
    <w:rsid w:val="007234FD"/>
    <w:rsid w:val="007337B8"/>
    <w:rsid w:val="0074308D"/>
    <w:rsid w:val="00752663"/>
    <w:rsid w:val="007574D3"/>
    <w:rsid w:val="00763064"/>
    <w:rsid w:val="007663F9"/>
    <w:rsid w:val="00766F22"/>
    <w:rsid w:val="0077024E"/>
    <w:rsid w:val="007710A8"/>
    <w:rsid w:val="00772D55"/>
    <w:rsid w:val="00780CEA"/>
    <w:rsid w:val="007842B1"/>
    <w:rsid w:val="007847FA"/>
    <w:rsid w:val="007959A4"/>
    <w:rsid w:val="0079746C"/>
    <w:rsid w:val="007A1609"/>
    <w:rsid w:val="007A2950"/>
    <w:rsid w:val="007A3318"/>
    <w:rsid w:val="007A4AA1"/>
    <w:rsid w:val="007A73D4"/>
    <w:rsid w:val="007B09E5"/>
    <w:rsid w:val="007B788C"/>
    <w:rsid w:val="007C1AE7"/>
    <w:rsid w:val="007C36BE"/>
    <w:rsid w:val="007C5F96"/>
    <w:rsid w:val="007D13E4"/>
    <w:rsid w:val="007D1978"/>
    <w:rsid w:val="007D5448"/>
    <w:rsid w:val="007E0C72"/>
    <w:rsid w:val="007E3544"/>
    <w:rsid w:val="007F064B"/>
    <w:rsid w:val="007F4455"/>
    <w:rsid w:val="007F4623"/>
    <w:rsid w:val="0080509B"/>
    <w:rsid w:val="0080798E"/>
    <w:rsid w:val="008159CB"/>
    <w:rsid w:val="00815C64"/>
    <w:rsid w:val="0081797E"/>
    <w:rsid w:val="00825D54"/>
    <w:rsid w:val="008346D8"/>
    <w:rsid w:val="008363A4"/>
    <w:rsid w:val="00840A22"/>
    <w:rsid w:val="008434CF"/>
    <w:rsid w:val="0084432E"/>
    <w:rsid w:val="00855F64"/>
    <w:rsid w:val="008664B9"/>
    <w:rsid w:val="0087120C"/>
    <w:rsid w:val="008718A9"/>
    <w:rsid w:val="00890574"/>
    <w:rsid w:val="00890FE5"/>
    <w:rsid w:val="008939F3"/>
    <w:rsid w:val="008B4F53"/>
    <w:rsid w:val="008C52E9"/>
    <w:rsid w:val="008D1408"/>
    <w:rsid w:val="008E0161"/>
    <w:rsid w:val="008E4CA5"/>
    <w:rsid w:val="008F20B1"/>
    <w:rsid w:val="008F3A03"/>
    <w:rsid w:val="009006E0"/>
    <w:rsid w:val="00901D1C"/>
    <w:rsid w:val="00906A9A"/>
    <w:rsid w:val="00907B2D"/>
    <w:rsid w:val="0091771B"/>
    <w:rsid w:val="00917782"/>
    <w:rsid w:val="0091779D"/>
    <w:rsid w:val="00920D0D"/>
    <w:rsid w:val="009228A6"/>
    <w:rsid w:val="00932534"/>
    <w:rsid w:val="00937CCD"/>
    <w:rsid w:val="0094390D"/>
    <w:rsid w:val="00962784"/>
    <w:rsid w:val="00965AB6"/>
    <w:rsid w:val="00973804"/>
    <w:rsid w:val="00981B30"/>
    <w:rsid w:val="009858C6"/>
    <w:rsid w:val="00986FC0"/>
    <w:rsid w:val="00990DFE"/>
    <w:rsid w:val="009926D5"/>
    <w:rsid w:val="0099273B"/>
    <w:rsid w:val="009A7C65"/>
    <w:rsid w:val="009B4C9F"/>
    <w:rsid w:val="009B67BA"/>
    <w:rsid w:val="009C40FC"/>
    <w:rsid w:val="009C7603"/>
    <w:rsid w:val="009D7CAB"/>
    <w:rsid w:val="009E3D60"/>
    <w:rsid w:val="009E7B35"/>
    <w:rsid w:val="00A02C08"/>
    <w:rsid w:val="00A11ED5"/>
    <w:rsid w:val="00A163F4"/>
    <w:rsid w:val="00A2449A"/>
    <w:rsid w:val="00A25CE6"/>
    <w:rsid w:val="00A26364"/>
    <w:rsid w:val="00A31142"/>
    <w:rsid w:val="00A348FA"/>
    <w:rsid w:val="00A35D15"/>
    <w:rsid w:val="00A4111D"/>
    <w:rsid w:val="00A537C4"/>
    <w:rsid w:val="00A54C90"/>
    <w:rsid w:val="00A7062A"/>
    <w:rsid w:val="00A71346"/>
    <w:rsid w:val="00A77F16"/>
    <w:rsid w:val="00A8371C"/>
    <w:rsid w:val="00A8773A"/>
    <w:rsid w:val="00A9247A"/>
    <w:rsid w:val="00A93747"/>
    <w:rsid w:val="00A97508"/>
    <w:rsid w:val="00AA5181"/>
    <w:rsid w:val="00AA5B99"/>
    <w:rsid w:val="00AC4A74"/>
    <w:rsid w:val="00AD3AD6"/>
    <w:rsid w:val="00AE3D53"/>
    <w:rsid w:val="00AE503B"/>
    <w:rsid w:val="00AF2E98"/>
    <w:rsid w:val="00B05376"/>
    <w:rsid w:val="00B0647E"/>
    <w:rsid w:val="00B147DA"/>
    <w:rsid w:val="00B2160C"/>
    <w:rsid w:val="00B27395"/>
    <w:rsid w:val="00B4040B"/>
    <w:rsid w:val="00B52E7F"/>
    <w:rsid w:val="00B77575"/>
    <w:rsid w:val="00B80461"/>
    <w:rsid w:val="00B80808"/>
    <w:rsid w:val="00B84289"/>
    <w:rsid w:val="00B86C70"/>
    <w:rsid w:val="00B86C72"/>
    <w:rsid w:val="00BA4F79"/>
    <w:rsid w:val="00BB1D2F"/>
    <w:rsid w:val="00BC2062"/>
    <w:rsid w:val="00BD0CF6"/>
    <w:rsid w:val="00BD62DA"/>
    <w:rsid w:val="00BE122C"/>
    <w:rsid w:val="00BE35FB"/>
    <w:rsid w:val="00BE4466"/>
    <w:rsid w:val="00BF44E0"/>
    <w:rsid w:val="00BF4A8F"/>
    <w:rsid w:val="00BF5041"/>
    <w:rsid w:val="00BF6930"/>
    <w:rsid w:val="00C0123A"/>
    <w:rsid w:val="00C030D4"/>
    <w:rsid w:val="00C04063"/>
    <w:rsid w:val="00C14B7F"/>
    <w:rsid w:val="00C17E5D"/>
    <w:rsid w:val="00C23B90"/>
    <w:rsid w:val="00C27C96"/>
    <w:rsid w:val="00C30302"/>
    <w:rsid w:val="00C318FE"/>
    <w:rsid w:val="00C352CE"/>
    <w:rsid w:val="00C35F33"/>
    <w:rsid w:val="00C4075F"/>
    <w:rsid w:val="00C411A9"/>
    <w:rsid w:val="00C414CE"/>
    <w:rsid w:val="00C430D6"/>
    <w:rsid w:val="00C63B0D"/>
    <w:rsid w:val="00C64921"/>
    <w:rsid w:val="00C674D2"/>
    <w:rsid w:val="00C678CC"/>
    <w:rsid w:val="00C70817"/>
    <w:rsid w:val="00C80C27"/>
    <w:rsid w:val="00C819C0"/>
    <w:rsid w:val="00C8335F"/>
    <w:rsid w:val="00C8786B"/>
    <w:rsid w:val="00CA202E"/>
    <w:rsid w:val="00CB136F"/>
    <w:rsid w:val="00CB7CEC"/>
    <w:rsid w:val="00CC3B28"/>
    <w:rsid w:val="00CC6AAC"/>
    <w:rsid w:val="00CD3E5F"/>
    <w:rsid w:val="00CD55FF"/>
    <w:rsid w:val="00CE20D9"/>
    <w:rsid w:val="00CE7068"/>
    <w:rsid w:val="00CE72F3"/>
    <w:rsid w:val="00CF1F7E"/>
    <w:rsid w:val="00CF40BA"/>
    <w:rsid w:val="00D0094D"/>
    <w:rsid w:val="00D00D4A"/>
    <w:rsid w:val="00D07955"/>
    <w:rsid w:val="00D10CDC"/>
    <w:rsid w:val="00D37DFF"/>
    <w:rsid w:val="00D4133B"/>
    <w:rsid w:val="00D528F3"/>
    <w:rsid w:val="00D62411"/>
    <w:rsid w:val="00D62B53"/>
    <w:rsid w:val="00D65F9F"/>
    <w:rsid w:val="00D740CA"/>
    <w:rsid w:val="00D824D4"/>
    <w:rsid w:val="00D8303C"/>
    <w:rsid w:val="00D8429C"/>
    <w:rsid w:val="00D871D7"/>
    <w:rsid w:val="00D94120"/>
    <w:rsid w:val="00D94125"/>
    <w:rsid w:val="00D94BCC"/>
    <w:rsid w:val="00D960D8"/>
    <w:rsid w:val="00D97980"/>
    <w:rsid w:val="00DB3079"/>
    <w:rsid w:val="00DB570A"/>
    <w:rsid w:val="00DB6720"/>
    <w:rsid w:val="00DC413E"/>
    <w:rsid w:val="00DC69D1"/>
    <w:rsid w:val="00DD2E27"/>
    <w:rsid w:val="00DD5E8F"/>
    <w:rsid w:val="00DE5E7D"/>
    <w:rsid w:val="00DF4CF8"/>
    <w:rsid w:val="00E11AC6"/>
    <w:rsid w:val="00E12132"/>
    <w:rsid w:val="00E131B9"/>
    <w:rsid w:val="00E221C8"/>
    <w:rsid w:val="00E318CE"/>
    <w:rsid w:val="00E357D3"/>
    <w:rsid w:val="00E36E75"/>
    <w:rsid w:val="00E715E9"/>
    <w:rsid w:val="00E74A09"/>
    <w:rsid w:val="00E83A93"/>
    <w:rsid w:val="00E841C1"/>
    <w:rsid w:val="00E9018D"/>
    <w:rsid w:val="00E95B85"/>
    <w:rsid w:val="00EA6127"/>
    <w:rsid w:val="00EB28B0"/>
    <w:rsid w:val="00EC2DF1"/>
    <w:rsid w:val="00EC4D87"/>
    <w:rsid w:val="00EC67CF"/>
    <w:rsid w:val="00EC70F0"/>
    <w:rsid w:val="00ED26E2"/>
    <w:rsid w:val="00ED4554"/>
    <w:rsid w:val="00ED4EEB"/>
    <w:rsid w:val="00EE3F3A"/>
    <w:rsid w:val="00EE675B"/>
    <w:rsid w:val="00F03006"/>
    <w:rsid w:val="00F109AF"/>
    <w:rsid w:val="00F10BBF"/>
    <w:rsid w:val="00F144D1"/>
    <w:rsid w:val="00F17A12"/>
    <w:rsid w:val="00F24401"/>
    <w:rsid w:val="00F24C04"/>
    <w:rsid w:val="00F31B53"/>
    <w:rsid w:val="00F41814"/>
    <w:rsid w:val="00F427AF"/>
    <w:rsid w:val="00F54540"/>
    <w:rsid w:val="00F66DCE"/>
    <w:rsid w:val="00F75EBD"/>
    <w:rsid w:val="00F76287"/>
    <w:rsid w:val="00F769BF"/>
    <w:rsid w:val="00F83BAF"/>
    <w:rsid w:val="00F846D7"/>
    <w:rsid w:val="00F93BEE"/>
    <w:rsid w:val="00FA1DDC"/>
    <w:rsid w:val="00FA4C10"/>
    <w:rsid w:val="00FA6D48"/>
    <w:rsid w:val="00FB4008"/>
    <w:rsid w:val="00FB4592"/>
    <w:rsid w:val="00FB4B63"/>
    <w:rsid w:val="00FB5D43"/>
    <w:rsid w:val="00FC28D8"/>
    <w:rsid w:val="00FC6BA3"/>
    <w:rsid w:val="00FC74DD"/>
    <w:rsid w:val="00FD7E98"/>
    <w:rsid w:val="00FF15EF"/>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8F20B1"/>
    <w:pPr>
      <w:tabs>
        <w:tab w:val="left" w:pos="0"/>
        <w:tab w:val="left" w:pos="1134"/>
        <w:tab w:val="left" w:pos="5245"/>
      </w:tabs>
      <w:autoSpaceDE w:val="0"/>
      <w:autoSpaceDN w:val="0"/>
      <w:adjustRightInd w:val="0"/>
      <w:spacing w:after="120" w:line="320" w:lineRule="atLeast"/>
    </w:pPr>
    <w:rPr>
      <w:sz w:val="24"/>
    </w:rPr>
  </w:style>
  <w:style w:type="paragraph" w:styleId="Heading1">
    <w:name w:val="heading 1"/>
    <w:basedOn w:val="Normal"/>
    <w:next w:val="Normal"/>
    <w:link w:val="Heading1Char"/>
    <w:autoRedefine/>
    <w:qFormat/>
    <w:rsid w:val="00201562"/>
    <w:pPr>
      <w:keepNext/>
      <w:keepLines/>
      <w:tabs>
        <w:tab w:val="right" w:pos="9073"/>
      </w:tabs>
      <w:outlineLvl w:val="0"/>
    </w:pPr>
    <w:rPr>
      <w:b/>
      <w:color w:val="000000"/>
      <w:sz w:val="30"/>
      <w:szCs w:val="24"/>
      <w:u w:val="single"/>
    </w:rPr>
  </w:style>
  <w:style w:type="paragraph" w:styleId="Heading2">
    <w:name w:val="heading 2"/>
    <w:basedOn w:val="Normal"/>
    <w:next w:val="Normal"/>
    <w:link w:val="Heading2Char"/>
    <w:autoRedefine/>
    <w:qFormat/>
    <w:rsid w:val="000A368C"/>
    <w:pPr>
      <w:keepNext/>
      <w:keepLines/>
      <w:outlineLvl w:val="1"/>
    </w:pPr>
    <w:rPr>
      <w:b/>
      <w:color w:val="000000"/>
      <w:u w:val="single"/>
    </w:rPr>
  </w:style>
  <w:style w:type="paragraph" w:styleId="Heading3">
    <w:name w:val="heading 3"/>
    <w:basedOn w:val="Normal"/>
    <w:next w:val="Normal"/>
    <w:link w:val="Heading3Char"/>
    <w:autoRedefine/>
    <w:qFormat/>
    <w:rsid w:val="003301DE"/>
    <w:pPr>
      <w:keepNext/>
      <w:keepLines/>
      <w:outlineLvl w:val="2"/>
    </w:pPr>
    <w:rPr>
      <w:b/>
      <w:szCs w:val="28"/>
    </w:rPr>
  </w:style>
  <w:style w:type="paragraph" w:styleId="Heading4">
    <w:name w:val="heading 4"/>
    <w:basedOn w:val="Normal"/>
    <w:next w:val="Normal"/>
    <w:link w:val="Heading4Char"/>
    <w:autoRedefine/>
    <w:qFormat/>
    <w:rsid w:val="001B7D01"/>
    <w:pPr>
      <w:keepNext/>
      <w:keepLines/>
      <w:outlineLvl w:val="3"/>
    </w:pPr>
    <w:rPr>
      <w:u w:val="single"/>
    </w:rPr>
  </w:style>
  <w:style w:type="paragraph" w:styleId="Heading5">
    <w:name w:val="heading 5"/>
    <w:basedOn w:val="Heading4"/>
    <w:next w:val="Normal"/>
    <w:link w:val="Heading5Char"/>
    <w:qFormat/>
    <w:rsid w:val="00F03006"/>
    <w:pPr>
      <w:outlineLvl w:val="4"/>
    </w:pPr>
  </w:style>
  <w:style w:type="paragraph" w:styleId="Heading6">
    <w:name w:val="heading 6"/>
    <w:basedOn w:val="Normal"/>
    <w:next w:val="Normal"/>
    <w:link w:val="Heading6Char"/>
    <w:qFormat/>
    <w:rsid w:val="00F03006"/>
    <w:pPr>
      <w:keepNext/>
      <w:keepLines/>
      <w:spacing w:before="240"/>
      <w:ind w:left="1701" w:hanging="1701"/>
      <w:outlineLvl w:val="5"/>
    </w:pPr>
    <w:rPr>
      <w:rFonts w:ascii="Arial" w:hAnsi="Arial"/>
      <w:b/>
    </w:rPr>
  </w:style>
  <w:style w:type="paragraph" w:styleId="Heading7">
    <w:name w:val="heading 7"/>
    <w:basedOn w:val="Normal"/>
    <w:next w:val="Normal"/>
    <w:link w:val="Heading7Char"/>
    <w:qFormat/>
    <w:rsid w:val="00F03006"/>
    <w:pPr>
      <w:keepNext/>
      <w:keepLines/>
      <w:spacing w:before="240"/>
      <w:ind w:left="1701" w:hanging="1701"/>
      <w:outlineLvl w:val="6"/>
    </w:pPr>
    <w:rPr>
      <w:rFonts w:ascii="Arial" w:hAnsi="Arial"/>
      <w:b/>
    </w:rPr>
  </w:style>
  <w:style w:type="paragraph" w:styleId="Heading8">
    <w:name w:val="heading 8"/>
    <w:basedOn w:val="Normal"/>
    <w:link w:val="Heading8Char"/>
    <w:qFormat/>
    <w:rsid w:val="00F03006"/>
    <w:pPr>
      <w:ind w:left="720"/>
      <w:outlineLvl w:val="7"/>
    </w:pPr>
    <w:rPr>
      <w:i/>
      <w:sz w:val="20"/>
    </w:rPr>
  </w:style>
  <w:style w:type="paragraph" w:styleId="Heading9">
    <w:name w:val="heading 9"/>
    <w:basedOn w:val="Normal"/>
    <w:next w:val="Normal"/>
    <w:link w:val="Heading9Char"/>
    <w:qFormat/>
    <w:rsid w:val="00F03006"/>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B85"/>
    <w:rPr>
      <w:rFonts w:ascii="Tahoma" w:hAnsi="Tahoma" w:cs="Tahoma"/>
      <w:sz w:val="16"/>
      <w:szCs w:val="16"/>
    </w:rPr>
  </w:style>
  <w:style w:type="character" w:customStyle="1" w:styleId="BalloonTextChar">
    <w:name w:val="Balloon Text Char"/>
    <w:basedOn w:val="DefaultParagraphFont"/>
    <w:link w:val="BalloonText"/>
    <w:uiPriority w:val="99"/>
    <w:semiHidden/>
    <w:rsid w:val="00E95B85"/>
    <w:rPr>
      <w:rFonts w:ascii="Tahoma" w:hAnsi="Tahoma" w:cs="Tahoma"/>
      <w:sz w:val="16"/>
      <w:szCs w:val="16"/>
      <w:lang w:val="en-AU"/>
    </w:rPr>
  </w:style>
  <w:style w:type="character" w:styleId="CommentReference">
    <w:name w:val="annotation reference"/>
    <w:basedOn w:val="DefaultParagraphFont"/>
    <w:uiPriority w:val="99"/>
    <w:semiHidden/>
    <w:unhideWhenUsed/>
    <w:rsid w:val="00433EF2"/>
    <w:rPr>
      <w:sz w:val="16"/>
      <w:szCs w:val="16"/>
    </w:rPr>
  </w:style>
  <w:style w:type="paragraph" w:styleId="CommentText">
    <w:name w:val="annotation text"/>
    <w:basedOn w:val="Normal"/>
    <w:link w:val="CommentTextChar"/>
    <w:uiPriority w:val="99"/>
    <w:unhideWhenUsed/>
    <w:rsid w:val="00433EF2"/>
    <w:rPr>
      <w:sz w:val="20"/>
    </w:rPr>
  </w:style>
  <w:style w:type="character" w:customStyle="1" w:styleId="CommentTextChar">
    <w:name w:val="Comment Text Char"/>
    <w:basedOn w:val="DefaultParagraphFont"/>
    <w:link w:val="CommentText"/>
    <w:uiPriority w:val="99"/>
    <w:rsid w:val="00433EF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433EF2"/>
    <w:rPr>
      <w:b/>
      <w:bCs/>
    </w:rPr>
  </w:style>
  <w:style w:type="character" w:customStyle="1" w:styleId="CommentSubjectChar">
    <w:name w:val="Comment Subject Char"/>
    <w:basedOn w:val="CommentTextChar"/>
    <w:link w:val="CommentSubject"/>
    <w:uiPriority w:val="99"/>
    <w:semiHidden/>
    <w:rsid w:val="00433EF2"/>
    <w:rPr>
      <w:rFonts w:ascii="Arial" w:hAnsi="Arial"/>
      <w:b/>
      <w:bCs/>
      <w:sz w:val="20"/>
      <w:szCs w:val="20"/>
      <w:lang w:val="en-AU"/>
    </w:rPr>
  </w:style>
  <w:style w:type="paragraph" w:customStyle="1" w:styleId="Table">
    <w:name w:val="Table"/>
    <w:aliases w:val="10 pt  Bold,9 pt,10 pt"/>
    <w:basedOn w:val="Normal"/>
    <w:link w:val="TableChar"/>
    <w:rsid w:val="001C776F"/>
    <w:pPr>
      <w:keepLines/>
      <w:tabs>
        <w:tab w:val="left" w:pos="284"/>
      </w:tabs>
      <w:spacing w:before="40" w:after="20"/>
    </w:pPr>
    <w:rPr>
      <w:rFonts w:ascii="Arial" w:eastAsia="MS Mincho" w:hAnsi="Arial"/>
      <w:b/>
    </w:rPr>
  </w:style>
  <w:style w:type="character" w:customStyle="1" w:styleId="TableChar">
    <w:name w:val="Table Char"/>
    <w:aliases w:val="10 pt Char,10 pt  Bold Char,9 pt Char"/>
    <w:link w:val="Table"/>
    <w:rsid w:val="001C776F"/>
    <w:rPr>
      <w:rFonts w:ascii="Arial" w:eastAsia="MS Mincho" w:hAnsi="Arial"/>
      <w:b/>
      <w:sz w:val="24"/>
    </w:rPr>
  </w:style>
  <w:style w:type="character" w:customStyle="1" w:styleId="Heading1Char">
    <w:name w:val="Heading 1 Char"/>
    <w:basedOn w:val="DefaultParagraphFont"/>
    <w:link w:val="Heading1"/>
    <w:rsid w:val="00201562"/>
    <w:rPr>
      <w:b/>
      <w:color w:val="000000"/>
      <w:sz w:val="30"/>
      <w:szCs w:val="24"/>
      <w:u w:val="single"/>
    </w:rPr>
  </w:style>
  <w:style w:type="character" w:customStyle="1" w:styleId="Heading2Char">
    <w:name w:val="Heading 2 Char"/>
    <w:basedOn w:val="DefaultParagraphFont"/>
    <w:link w:val="Heading2"/>
    <w:rsid w:val="000A368C"/>
    <w:rPr>
      <w:b/>
      <w:color w:val="000000"/>
      <w:sz w:val="24"/>
      <w:u w:val="single"/>
    </w:rPr>
  </w:style>
  <w:style w:type="character" w:customStyle="1" w:styleId="Heading3Char">
    <w:name w:val="Heading 3 Char"/>
    <w:basedOn w:val="DefaultParagraphFont"/>
    <w:link w:val="Heading3"/>
    <w:rsid w:val="003301DE"/>
    <w:rPr>
      <w:b/>
      <w:sz w:val="24"/>
      <w:szCs w:val="28"/>
    </w:rPr>
  </w:style>
  <w:style w:type="character" w:customStyle="1" w:styleId="Heading4Char">
    <w:name w:val="Heading 4 Char"/>
    <w:basedOn w:val="DefaultParagraphFont"/>
    <w:link w:val="Heading4"/>
    <w:rsid w:val="001B7D01"/>
    <w:rPr>
      <w:sz w:val="24"/>
      <w:u w:val="single"/>
    </w:rPr>
  </w:style>
  <w:style w:type="paragraph" w:customStyle="1" w:styleId="Text">
    <w:name w:val="Text"/>
    <w:basedOn w:val="Normal"/>
    <w:link w:val="TextChar"/>
    <w:uiPriority w:val="99"/>
    <w:rsid w:val="00A7062A"/>
    <w:pPr>
      <w:spacing w:before="120"/>
    </w:pPr>
    <w:rPr>
      <w:rFonts w:eastAsia="MS Mincho"/>
    </w:rPr>
  </w:style>
  <w:style w:type="character" w:customStyle="1" w:styleId="TextChar">
    <w:name w:val="Text Char"/>
    <w:link w:val="Text"/>
    <w:uiPriority w:val="99"/>
    <w:rsid w:val="00A7062A"/>
    <w:rPr>
      <w:rFonts w:ascii="Times New Roman" w:eastAsia="MS Mincho" w:hAnsi="Times New Roman"/>
      <w:sz w:val="24"/>
    </w:rPr>
  </w:style>
  <w:style w:type="paragraph" w:customStyle="1" w:styleId="Reference">
    <w:name w:val="Reference"/>
    <w:basedOn w:val="Normal"/>
    <w:link w:val="ReferenceChar"/>
    <w:rsid w:val="00FC6BA3"/>
    <w:pPr>
      <w:spacing w:before="80" w:after="60"/>
    </w:pPr>
    <w:rPr>
      <w:rFonts w:eastAsia="MS Mincho"/>
    </w:rPr>
  </w:style>
  <w:style w:type="character" w:customStyle="1" w:styleId="ReferenceChar">
    <w:name w:val="Reference Char"/>
    <w:link w:val="Reference"/>
    <w:rsid w:val="00FC6BA3"/>
    <w:rPr>
      <w:rFonts w:ascii="Times New Roman" w:eastAsia="MS Mincho" w:hAnsi="Times New Roman"/>
      <w:sz w:val="24"/>
    </w:rPr>
  </w:style>
  <w:style w:type="paragraph" w:styleId="Revision">
    <w:name w:val="Revision"/>
    <w:hidden/>
    <w:uiPriority w:val="99"/>
    <w:semiHidden/>
    <w:rsid w:val="00FC6BA3"/>
    <w:rPr>
      <w:rFonts w:ascii="Arial" w:hAnsi="Arial"/>
      <w:sz w:val="22"/>
      <w:szCs w:val="22"/>
      <w:lang w:val="en-AU"/>
    </w:rPr>
  </w:style>
  <w:style w:type="paragraph" w:styleId="Header">
    <w:name w:val="header"/>
    <w:basedOn w:val="Normal"/>
    <w:link w:val="HeaderChar"/>
    <w:uiPriority w:val="99"/>
    <w:unhideWhenUsed/>
    <w:rsid w:val="009E3D60"/>
    <w:pPr>
      <w:tabs>
        <w:tab w:val="center" w:pos="4513"/>
        <w:tab w:val="right" w:pos="9026"/>
      </w:tabs>
    </w:pPr>
  </w:style>
  <w:style w:type="character" w:customStyle="1" w:styleId="HeaderChar">
    <w:name w:val="Header Char"/>
    <w:basedOn w:val="DefaultParagraphFont"/>
    <w:link w:val="Header"/>
    <w:uiPriority w:val="99"/>
    <w:rsid w:val="009E3D60"/>
    <w:rPr>
      <w:rFonts w:ascii="Arial" w:hAnsi="Arial"/>
      <w:sz w:val="22"/>
      <w:szCs w:val="22"/>
      <w:lang w:val="en-AU"/>
    </w:rPr>
  </w:style>
  <w:style w:type="paragraph" w:styleId="Footer">
    <w:name w:val="footer"/>
    <w:basedOn w:val="Normal"/>
    <w:link w:val="FooterChar"/>
    <w:uiPriority w:val="99"/>
    <w:unhideWhenUsed/>
    <w:rsid w:val="009E3D60"/>
    <w:pPr>
      <w:tabs>
        <w:tab w:val="center" w:pos="4513"/>
        <w:tab w:val="right" w:pos="9026"/>
      </w:tabs>
    </w:pPr>
  </w:style>
  <w:style w:type="character" w:customStyle="1" w:styleId="FooterChar">
    <w:name w:val="Footer Char"/>
    <w:basedOn w:val="DefaultParagraphFont"/>
    <w:link w:val="Footer"/>
    <w:uiPriority w:val="99"/>
    <w:rsid w:val="009E3D60"/>
    <w:rPr>
      <w:rFonts w:ascii="Arial" w:hAnsi="Arial"/>
      <w:sz w:val="22"/>
      <w:szCs w:val="22"/>
      <w:lang w:val="en-AU"/>
    </w:rPr>
  </w:style>
  <w:style w:type="character" w:customStyle="1" w:styleId="Heading5Char">
    <w:name w:val="Heading 5 Char"/>
    <w:basedOn w:val="DefaultParagraphFont"/>
    <w:link w:val="Heading5"/>
    <w:rsid w:val="00F03006"/>
    <w:rPr>
      <w:sz w:val="24"/>
      <w:u w:val="single"/>
    </w:rPr>
  </w:style>
  <w:style w:type="character" w:customStyle="1" w:styleId="Heading6Char">
    <w:name w:val="Heading 6 Char"/>
    <w:basedOn w:val="DefaultParagraphFont"/>
    <w:link w:val="Heading6"/>
    <w:rsid w:val="00F03006"/>
    <w:rPr>
      <w:rFonts w:ascii="Arial" w:hAnsi="Arial"/>
      <w:b/>
      <w:sz w:val="24"/>
    </w:rPr>
  </w:style>
  <w:style w:type="character" w:customStyle="1" w:styleId="Heading7Char">
    <w:name w:val="Heading 7 Char"/>
    <w:basedOn w:val="DefaultParagraphFont"/>
    <w:link w:val="Heading7"/>
    <w:rsid w:val="00F03006"/>
    <w:rPr>
      <w:rFonts w:ascii="Arial" w:hAnsi="Arial"/>
      <w:b/>
      <w:sz w:val="24"/>
    </w:rPr>
  </w:style>
  <w:style w:type="character" w:customStyle="1" w:styleId="Heading8Char">
    <w:name w:val="Heading 8 Char"/>
    <w:basedOn w:val="DefaultParagraphFont"/>
    <w:link w:val="Heading8"/>
    <w:rsid w:val="00F03006"/>
    <w:rPr>
      <w:i/>
    </w:rPr>
  </w:style>
  <w:style w:type="character" w:customStyle="1" w:styleId="Heading9Char">
    <w:name w:val="Heading 9 Char"/>
    <w:basedOn w:val="DefaultParagraphFont"/>
    <w:link w:val="Heading9"/>
    <w:rsid w:val="00F03006"/>
    <w:rPr>
      <w:i/>
    </w:rPr>
  </w:style>
  <w:style w:type="paragraph" w:styleId="Title">
    <w:name w:val="Title"/>
    <w:basedOn w:val="Normal"/>
    <w:link w:val="TitleChar"/>
    <w:autoRedefine/>
    <w:qFormat/>
    <w:rsid w:val="00F03006"/>
    <w:pPr>
      <w:spacing w:line="240" w:lineRule="auto"/>
      <w:outlineLvl w:val="0"/>
    </w:pPr>
    <w:rPr>
      <w:rFonts w:cs="Arial"/>
      <w:b/>
      <w:bCs/>
      <w:kern w:val="28"/>
      <w:sz w:val="34"/>
      <w:szCs w:val="32"/>
    </w:rPr>
  </w:style>
  <w:style w:type="character" w:customStyle="1" w:styleId="TitleChar">
    <w:name w:val="Title Char"/>
    <w:basedOn w:val="DefaultParagraphFont"/>
    <w:link w:val="Title"/>
    <w:rsid w:val="00F03006"/>
    <w:rPr>
      <w:rFonts w:cs="Arial"/>
      <w:b/>
      <w:bCs/>
      <w:kern w:val="28"/>
      <w:sz w:val="34"/>
      <w:szCs w:val="32"/>
    </w:rPr>
  </w:style>
  <w:style w:type="paragraph" w:styleId="Subtitle">
    <w:name w:val="Subtitle"/>
    <w:basedOn w:val="Normal"/>
    <w:link w:val="SubtitleChar"/>
    <w:autoRedefine/>
    <w:qFormat/>
    <w:rsid w:val="00F03006"/>
    <w:pPr>
      <w:outlineLvl w:val="1"/>
    </w:pPr>
    <w:rPr>
      <w:rFonts w:cs="Arial"/>
      <w:b/>
      <w:sz w:val="28"/>
      <w:szCs w:val="24"/>
    </w:rPr>
  </w:style>
  <w:style w:type="character" w:customStyle="1" w:styleId="SubtitleChar">
    <w:name w:val="Subtitle Char"/>
    <w:basedOn w:val="DefaultParagraphFont"/>
    <w:link w:val="Subtitle"/>
    <w:rsid w:val="00F03006"/>
    <w:rPr>
      <w:rFonts w:cs="Arial"/>
      <w:b/>
      <w:sz w:val="28"/>
      <w:szCs w:val="24"/>
    </w:rPr>
  </w:style>
  <w:style w:type="paragraph" w:customStyle="1" w:styleId="Default">
    <w:name w:val="Default"/>
    <w:rsid w:val="009D7CAB"/>
    <w:pPr>
      <w:autoSpaceDE w:val="0"/>
      <w:autoSpaceDN w:val="0"/>
      <w:adjustRightInd w:val="0"/>
    </w:pPr>
    <w:rPr>
      <w:color w:val="000000"/>
      <w:sz w:val="24"/>
      <w:szCs w:val="24"/>
    </w:rPr>
  </w:style>
  <w:style w:type="paragraph" w:customStyle="1" w:styleId="Style12ptFirstline0">
    <w:name w:val="Style 12 pt First line:  0&quot;"/>
    <w:basedOn w:val="Normal"/>
    <w:rsid w:val="006E2B0E"/>
    <w:pPr>
      <w:tabs>
        <w:tab w:val="clear" w:pos="0"/>
        <w:tab w:val="clear" w:pos="1134"/>
        <w:tab w:val="clear" w:pos="5245"/>
      </w:tabs>
      <w:autoSpaceDE/>
      <w:autoSpaceDN/>
      <w:adjustRightInd/>
      <w:spacing w:before="120" w:line="240" w:lineRule="auto"/>
    </w:pPr>
    <w:rPr>
      <w:sz w:val="22"/>
      <w:szCs w:val="22"/>
    </w:rPr>
  </w:style>
  <w:style w:type="paragraph" w:customStyle="1" w:styleId="TableTitle">
    <w:name w:val="TableTitle"/>
    <w:next w:val="Normal"/>
    <w:rsid w:val="006E2B0E"/>
    <w:pPr>
      <w:spacing w:before="60" w:after="60"/>
      <w:jc w:val="center"/>
    </w:pPr>
    <w:rPr>
      <w:b/>
      <w:sz w:val="16"/>
      <w:szCs w:val="24"/>
    </w:rPr>
  </w:style>
  <w:style w:type="paragraph" w:customStyle="1" w:styleId="SPLHEADING2CONTRAINDICATIONS">
    <w:name w:val="SPLHEADING2CONTRAINDICATIONS"/>
    <w:basedOn w:val="Heading2"/>
    <w:next w:val="Normal"/>
    <w:autoRedefine/>
    <w:semiHidden/>
    <w:rsid w:val="006E2B0E"/>
    <w:pPr>
      <w:keepLines w:val="0"/>
      <w:tabs>
        <w:tab w:val="clear" w:pos="0"/>
        <w:tab w:val="clear" w:pos="1134"/>
        <w:tab w:val="clear" w:pos="5245"/>
      </w:tabs>
      <w:autoSpaceDE/>
      <w:autoSpaceDN/>
      <w:adjustRightInd/>
      <w:spacing w:before="120" w:line="240" w:lineRule="auto"/>
    </w:pPr>
    <w:rPr>
      <w:rFonts w:cs="Arial"/>
      <w:bCs/>
      <w:iCs/>
      <w:color w:val="auto"/>
      <w:sz w:val="22"/>
      <w:szCs w:val="22"/>
      <w:u w:val="none"/>
    </w:rPr>
  </w:style>
  <w:style w:type="paragraph" w:styleId="ListParagraph">
    <w:name w:val="List Paragraph"/>
    <w:basedOn w:val="Normal"/>
    <w:uiPriority w:val="34"/>
    <w:qFormat/>
    <w:rsid w:val="0087120C"/>
    <w:pPr>
      <w:ind w:left="720"/>
      <w:contextualSpacing/>
    </w:pPr>
  </w:style>
  <w:style w:type="table" w:styleId="TableGrid">
    <w:name w:val="Table Grid"/>
    <w:basedOn w:val="TableNormal"/>
    <w:uiPriority w:val="59"/>
    <w:rsid w:val="00223B6B"/>
    <w:rPr>
      <w:rFonts w:asciiTheme="minorHAnsi" w:eastAsia="Cambria" w:hAnsiTheme="minorHAnsi" w:cstheme="minorBidi"/>
      <w:sz w:val="22"/>
      <w:szCs w:val="22"/>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8F20B1"/>
    <w:pPr>
      <w:tabs>
        <w:tab w:val="left" w:pos="0"/>
        <w:tab w:val="left" w:pos="1134"/>
        <w:tab w:val="left" w:pos="5245"/>
      </w:tabs>
      <w:autoSpaceDE w:val="0"/>
      <w:autoSpaceDN w:val="0"/>
      <w:adjustRightInd w:val="0"/>
      <w:spacing w:after="120" w:line="320" w:lineRule="atLeast"/>
    </w:pPr>
    <w:rPr>
      <w:sz w:val="24"/>
    </w:rPr>
  </w:style>
  <w:style w:type="paragraph" w:styleId="Heading1">
    <w:name w:val="heading 1"/>
    <w:basedOn w:val="Normal"/>
    <w:next w:val="Normal"/>
    <w:link w:val="Heading1Char"/>
    <w:autoRedefine/>
    <w:qFormat/>
    <w:rsid w:val="00201562"/>
    <w:pPr>
      <w:keepNext/>
      <w:keepLines/>
      <w:tabs>
        <w:tab w:val="right" w:pos="9073"/>
      </w:tabs>
      <w:outlineLvl w:val="0"/>
    </w:pPr>
    <w:rPr>
      <w:b/>
      <w:color w:val="000000"/>
      <w:sz w:val="30"/>
      <w:szCs w:val="24"/>
      <w:u w:val="single"/>
    </w:rPr>
  </w:style>
  <w:style w:type="paragraph" w:styleId="Heading2">
    <w:name w:val="heading 2"/>
    <w:basedOn w:val="Normal"/>
    <w:next w:val="Normal"/>
    <w:link w:val="Heading2Char"/>
    <w:autoRedefine/>
    <w:qFormat/>
    <w:rsid w:val="000A368C"/>
    <w:pPr>
      <w:keepNext/>
      <w:keepLines/>
      <w:outlineLvl w:val="1"/>
    </w:pPr>
    <w:rPr>
      <w:b/>
      <w:color w:val="000000"/>
      <w:u w:val="single"/>
    </w:rPr>
  </w:style>
  <w:style w:type="paragraph" w:styleId="Heading3">
    <w:name w:val="heading 3"/>
    <w:basedOn w:val="Normal"/>
    <w:next w:val="Normal"/>
    <w:link w:val="Heading3Char"/>
    <w:autoRedefine/>
    <w:qFormat/>
    <w:rsid w:val="003301DE"/>
    <w:pPr>
      <w:keepNext/>
      <w:keepLines/>
      <w:outlineLvl w:val="2"/>
    </w:pPr>
    <w:rPr>
      <w:b/>
      <w:szCs w:val="28"/>
    </w:rPr>
  </w:style>
  <w:style w:type="paragraph" w:styleId="Heading4">
    <w:name w:val="heading 4"/>
    <w:basedOn w:val="Normal"/>
    <w:next w:val="Normal"/>
    <w:link w:val="Heading4Char"/>
    <w:autoRedefine/>
    <w:qFormat/>
    <w:rsid w:val="001B7D01"/>
    <w:pPr>
      <w:keepNext/>
      <w:keepLines/>
      <w:outlineLvl w:val="3"/>
    </w:pPr>
    <w:rPr>
      <w:u w:val="single"/>
    </w:rPr>
  </w:style>
  <w:style w:type="paragraph" w:styleId="Heading5">
    <w:name w:val="heading 5"/>
    <w:basedOn w:val="Heading4"/>
    <w:next w:val="Normal"/>
    <w:link w:val="Heading5Char"/>
    <w:qFormat/>
    <w:rsid w:val="00F03006"/>
    <w:pPr>
      <w:outlineLvl w:val="4"/>
    </w:pPr>
  </w:style>
  <w:style w:type="paragraph" w:styleId="Heading6">
    <w:name w:val="heading 6"/>
    <w:basedOn w:val="Normal"/>
    <w:next w:val="Normal"/>
    <w:link w:val="Heading6Char"/>
    <w:qFormat/>
    <w:rsid w:val="00F03006"/>
    <w:pPr>
      <w:keepNext/>
      <w:keepLines/>
      <w:spacing w:before="240"/>
      <w:ind w:left="1701" w:hanging="1701"/>
      <w:outlineLvl w:val="5"/>
    </w:pPr>
    <w:rPr>
      <w:rFonts w:ascii="Arial" w:hAnsi="Arial"/>
      <w:b/>
    </w:rPr>
  </w:style>
  <w:style w:type="paragraph" w:styleId="Heading7">
    <w:name w:val="heading 7"/>
    <w:basedOn w:val="Normal"/>
    <w:next w:val="Normal"/>
    <w:link w:val="Heading7Char"/>
    <w:qFormat/>
    <w:rsid w:val="00F03006"/>
    <w:pPr>
      <w:keepNext/>
      <w:keepLines/>
      <w:spacing w:before="240"/>
      <w:ind w:left="1701" w:hanging="1701"/>
      <w:outlineLvl w:val="6"/>
    </w:pPr>
    <w:rPr>
      <w:rFonts w:ascii="Arial" w:hAnsi="Arial"/>
      <w:b/>
    </w:rPr>
  </w:style>
  <w:style w:type="paragraph" w:styleId="Heading8">
    <w:name w:val="heading 8"/>
    <w:basedOn w:val="Normal"/>
    <w:link w:val="Heading8Char"/>
    <w:qFormat/>
    <w:rsid w:val="00F03006"/>
    <w:pPr>
      <w:ind w:left="720"/>
      <w:outlineLvl w:val="7"/>
    </w:pPr>
    <w:rPr>
      <w:i/>
      <w:sz w:val="20"/>
    </w:rPr>
  </w:style>
  <w:style w:type="paragraph" w:styleId="Heading9">
    <w:name w:val="heading 9"/>
    <w:basedOn w:val="Normal"/>
    <w:next w:val="Normal"/>
    <w:link w:val="Heading9Char"/>
    <w:qFormat/>
    <w:rsid w:val="00F03006"/>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B85"/>
    <w:rPr>
      <w:rFonts w:ascii="Tahoma" w:hAnsi="Tahoma" w:cs="Tahoma"/>
      <w:sz w:val="16"/>
      <w:szCs w:val="16"/>
    </w:rPr>
  </w:style>
  <w:style w:type="character" w:customStyle="1" w:styleId="BalloonTextChar">
    <w:name w:val="Balloon Text Char"/>
    <w:basedOn w:val="DefaultParagraphFont"/>
    <w:link w:val="BalloonText"/>
    <w:uiPriority w:val="99"/>
    <w:semiHidden/>
    <w:rsid w:val="00E95B85"/>
    <w:rPr>
      <w:rFonts w:ascii="Tahoma" w:hAnsi="Tahoma" w:cs="Tahoma"/>
      <w:sz w:val="16"/>
      <w:szCs w:val="16"/>
      <w:lang w:val="en-AU"/>
    </w:rPr>
  </w:style>
  <w:style w:type="character" w:styleId="CommentReference">
    <w:name w:val="annotation reference"/>
    <w:basedOn w:val="DefaultParagraphFont"/>
    <w:uiPriority w:val="99"/>
    <w:semiHidden/>
    <w:unhideWhenUsed/>
    <w:rsid w:val="00433EF2"/>
    <w:rPr>
      <w:sz w:val="16"/>
      <w:szCs w:val="16"/>
    </w:rPr>
  </w:style>
  <w:style w:type="paragraph" w:styleId="CommentText">
    <w:name w:val="annotation text"/>
    <w:basedOn w:val="Normal"/>
    <w:link w:val="CommentTextChar"/>
    <w:uiPriority w:val="99"/>
    <w:unhideWhenUsed/>
    <w:rsid w:val="00433EF2"/>
    <w:rPr>
      <w:sz w:val="20"/>
    </w:rPr>
  </w:style>
  <w:style w:type="character" w:customStyle="1" w:styleId="CommentTextChar">
    <w:name w:val="Comment Text Char"/>
    <w:basedOn w:val="DefaultParagraphFont"/>
    <w:link w:val="CommentText"/>
    <w:uiPriority w:val="99"/>
    <w:rsid w:val="00433EF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433EF2"/>
    <w:rPr>
      <w:b/>
      <w:bCs/>
    </w:rPr>
  </w:style>
  <w:style w:type="character" w:customStyle="1" w:styleId="CommentSubjectChar">
    <w:name w:val="Comment Subject Char"/>
    <w:basedOn w:val="CommentTextChar"/>
    <w:link w:val="CommentSubject"/>
    <w:uiPriority w:val="99"/>
    <w:semiHidden/>
    <w:rsid w:val="00433EF2"/>
    <w:rPr>
      <w:rFonts w:ascii="Arial" w:hAnsi="Arial"/>
      <w:b/>
      <w:bCs/>
      <w:sz w:val="20"/>
      <w:szCs w:val="20"/>
      <w:lang w:val="en-AU"/>
    </w:rPr>
  </w:style>
  <w:style w:type="paragraph" w:customStyle="1" w:styleId="Table">
    <w:name w:val="Table"/>
    <w:aliases w:val="10 pt  Bold,9 pt,10 pt"/>
    <w:basedOn w:val="Normal"/>
    <w:link w:val="TableChar"/>
    <w:rsid w:val="001C776F"/>
    <w:pPr>
      <w:keepLines/>
      <w:tabs>
        <w:tab w:val="left" w:pos="284"/>
      </w:tabs>
      <w:spacing w:before="40" w:after="20"/>
    </w:pPr>
    <w:rPr>
      <w:rFonts w:ascii="Arial" w:eastAsia="MS Mincho" w:hAnsi="Arial"/>
      <w:b/>
    </w:rPr>
  </w:style>
  <w:style w:type="character" w:customStyle="1" w:styleId="TableChar">
    <w:name w:val="Table Char"/>
    <w:aliases w:val="10 pt Char,10 pt  Bold Char,9 pt Char"/>
    <w:link w:val="Table"/>
    <w:rsid w:val="001C776F"/>
    <w:rPr>
      <w:rFonts w:ascii="Arial" w:eastAsia="MS Mincho" w:hAnsi="Arial"/>
      <w:b/>
      <w:sz w:val="24"/>
    </w:rPr>
  </w:style>
  <w:style w:type="character" w:customStyle="1" w:styleId="Heading1Char">
    <w:name w:val="Heading 1 Char"/>
    <w:basedOn w:val="DefaultParagraphFont"/>
    <w:link w:val="Heading1"/>
    <w:rsid w:val="00201562"/>
    <w:rPr>
      <w:b/>
      <w:color w:val="000000"/>
      <w:sz w:val="30"/>
      <w:szCs w:val="24"/>
      <w:u w:val="single"/>
    </w:rPr>
  </w:style>
  <w:style w:type="character" w:customStyle="1" w:styleId="Heading2Char">
    <w:name w:val="Heading 2 Char"/>
    <w:basedOn w:val="DefaultParagraphFont"/>
    <w:link w:val="Heading2"/>
    <w:rsid w:val="000A368C"/>
    <w:rPr>
      <w:b/>
      <w:color w:val="000000"/>
      <w:sz w:val="24"/>
      <w:u w:val="single"/>
    </w:rPr>
  </w:style>
  <w:style w:type="character" w:customStyle="1" w:styleId="Heading3Char">
    <w:name w:val="Heading 3 Char"/>
    <w:basedOn w:val="DefaultParagraphFont"/>
    <w:link w:val="Heading3"/>
    <w:rsid w:val="003301DE"/>
    <w:rPr>
      <w:b/>
      <w:sz w:val="24"/>
      <w:szCs w:val="28"/>
    </w:rPr>
  </w:style>
  <w:style w:type="character" w:customStyle="1" w:styleId="Heading4Char">
    <w:name w:val="Heading 4 Char"/>
    <w:basedOn w:val="DefaultParagraphFont"/>
    <w:link w:val="Heading4"/>
    <w:rsid w:val="001B7D01"/>
    <w:rPr>
      <w:sz w:val="24"/>
      <w:u w:val="single"/>
    </w:rPr>
  </w:style>
  <w:style w:type="paragraph" w:customStyle="1" w:styleId="Text">
    <w:name w:val="Text"/>
    <w:basedOn w:val="Normal"/>
    <w:link w:val="TextChar"/>
    <w:uiPriority w:val="99"/>
    <w:rsid w:val="00A7062A"/>
    <w:pPr>
      <w:spacing w:before="120"/>
    </w:pPr>
    <w:rPr>
      <w:rFonts w:eastAsia="MS Mincho"/>
    </w:rPr>
  </w:style>
  <w:style w:type="character" w:customStyle="1" w:styleId="TextChar">
    <w:name w:val="Text Char"/>
    <w:link w:val="Text"/>
    <w:uiPriority w:val="99"/>
    <w:rsid w:val="00A7062A"/>
    <w:rPr>
      <w:rFonts w:ascii="Times New Roman" w:eastAsia="MS Mincho" w:hAnsi="Times New Roman"/>
      <w:sz w:val="24"/>
    </w:rPr>
  </w:style>
  <w:style w:type="paragraph" w:customStyle="1" w:styleId="Reference">
    <w:name w:val="Reference"/>
    <w:basedOn w:val="Normal"/>
    <w:link w:val="ReferenceChar"/>
    <w:rsid w:val="00FC6BA3"/>
    <w:pPr>
      <w:spacing w:before="80" w:after="60"/>
    </w:pPr>
    <w:rPr>
      <w:rFonts w:eastAsia="MS Mincho"/>
    </w:rPr>
  </w:style>
  <w:style w:type="character" w:customStyle="1" w:styleId="ReferenceChar">
    <w:name w:val="Reference Char"/>
    <w:link w:val="Reference"/>
    <w:rsid w:val="00FC6BA3"/>
    <w:rPr>
      <w:rFonts w:ascii="Times New Roman" w:eastAsia="MS Mincho" w:hAnsi="Times New Roman"/>
      <w:sz w:val="24"/>
    </w:rPr>
  </w:style>
  <w:style w:type="paragraph" w:styleId="Revision">
    <w:name w:val="Revision"/>
    <w:hidden/>
    <w:uiPriority w:val="99"/>
    <w:semiHidden/>
    <w:rsid w:val="00FC6BA3"/>
    <w:rPr>
      <w:rFonts w:ascii="Arial" w:hAnsi="Arial"/>
      <w:sz w:val="22"/>
      <w:szCs w:val="22"/>
      <w:lang w:val="en-AU"/>
    </w:rPr>
  </w:style>
  <w:style w:type="paragraph" w:styleId="Header">
    <w:name w:val="header"/>
    <w:basedOn w:val="Normal"/>
    <w:link w:val="HeaderChar"/>
    <w:uiPriority w:val="99"/>
    <w:unhideWhenUsed/>
    <w:rsid w:val="009E3D60"/>
    <w:pPr>
      <w:tabs>
        <w:tab w:val="center" w:pos="4513"/>
        <w:tab w:val="right" w:pos="9026"/>
      </w:tabs>
    </w:pPr>
  </w:style>
  <w:style w:type="character" w:customStyle="1" w:styleId="HeaderChar">
    <w:name w:val="Header Char"/>
    <w:basedOn w:val="DefaultParagraphFont"/>
    <w:link w:val="Header"/>
    <w:uiPriority w:val="99"/>
    <w:rsid w:val="009E3D60"/>
    <w:rPr>
      <w:rFonts w:ascii="Arial" w:hAnsi="Arial"/>
      <w:sz w:val="22"/>
      <w:szCs w:val="22"/>
      <w:lang w:val="en-AU"/>
    </w:rPr>
  </w:style>
  <w:style w:type="paragraph" w:styleId="Footer">
    <w:name w:val="footer"/>
    <w:basedOn w:val="Normal"/>
    <w:link w:val="FooterChar"/>
    <w:uiPriority w:val="99"/>
    <w:unhideWhenUsed/>
    <w:rsid w:val="009E3D60"/>
    <w:pPr>
      <w:tabs>
        <w:tab w:val="center" w:pos="4513"/>
        <w:tab w:val="right" w:pos="9026"/>
      </w:tabs>
    </w:pPr>
  </w:style>
  <w:style w:type="character" w:customStyle="1" w:styleId="FooterChar">
    <w:name w:val="Footer Char"/>
    <w:basedOn w:val="DefaultParagraphFont"/>
    <w:link w:val="Footer"/>
    <w:uiPriority w:val="99"/>
    <w:rsid w:val="009E3D60"/>
    <w:rPr>
      <w:rFonts w:ascii="Arial" w:hAnsi="Arial"/>
      <w:sz w:val="22"/>
      <w:szCs w:val="22"/>
      <w:lang w:val="en-AU"/>
    </w:rPr>
  </w:style>
  <w:style w:type="character" w:customStyle="1" w:styleId="Heading5Char">
    <w:name w:val="Heading 5 Char"/>
    <w:basedOn w:val="DefaultParagraphFont"/>
    <w:link w:val="Heading5"/>
    <w:rsid w:val="00F03006"/>
    <w:rPr>
      <w:sz w:val="24"/>
      <w:u w:val="single"/>
    </w:rPr>
  </w:style>
  <w:style w:type="character" w:customStyle="1" w:styleId="Heading6Char">
    <w:name w:val="Heading 6 Char"/>
    <w:basedOn w:val="DefaultParagraphFont"/>
    <w:link w:val="Heading6"/>
    <w:rsid w:val="00F03006"/>
    <w:rPr>
      <w:rFonts w:ascii="Arial" w:hAnsi="Arial"/>
      <w:b/>
      <w:sz w:val="24"/>
    </w:rPr>
  </w:style>
  <w:style w:type="character" w:customStyle="1" w:styleId="Heading7Char">
    <w:name w:val="Heading 7 Char"/>
    <w:basedOn w:val="DefaultParagraphFont"/>
    <w:link w:val="Heading7"/>
    <w:rsid w:val="00F03006"/>
    <w:rPr>
      <w:rFonts w:ascii="Arial" w:hAnsi="Arial"/>
      <w:b/>
      <w:sz w:val="24"/>
    </w:rPr>
  </w:style>
  <w:style w:type="character" w:customStyle="1" w:styleId="Heading8Char">
    <w:name w:val="Heading 8 Char"/>
    <w:basedOn w:val="DefaultParagraphFont"/>
    <w:link w:val="Heading8"/>
    <w:rsid w:val="00F03006"/>
    <w:rPr>
      <w:i/>
    </w:rPr>
  </w:style>
  <w:style w:type="character" w:customStyle="1" w:styleId="Heading9Char">
    <w:name w:val="Heading 9 Char"/>
    <w:basedOn w:val="DefaultParagraphFont"/>
    <w:link w:val="Heading9"/>
    <w:rsid w:val="00F03006"/>
    <w:rPr>
      <w:i/>
    </w:rPr>
  </w:style>
  <w:style w:type="paragraph" w:styleId="Title">
    <w:name w:val="Title"/>
    <w:basedOn w:val="Normal"/>
    <w:link w:val="TitleChar"/>
    <w:autoRedefine/>
    <w:qFormat/>
    <w:rsid w:val="00F03006"/>
    <w:pPr>
      <w:spacing w:line="240" w:lineRule="auto"/>
      <w:outlineLvl w:val="0"/>
    </w:pPr>
    <w:rPr>
      <w:rFonts w:cs="Arial"/>
      <w:b/>
      <w:bCs/>
      <w:kern w:val="28"/>
      <w:sz w:val="34"/>
      <w:szCs w:val="32"/>
    </w:rPr>
  </w:style>
  <w:style w:type="character" w:customStyle="1" w:styleId="TitleChar">
    <w:name w:val="Title Char"/>
    <w:basedOn w:val="DefaultParagraphFont"/>
    <w:link w:val="Title"/>
    <w:rsid w:val="00F03006"/>
    <w:rPr>
      <w:rFonts w:cs="Arial"/>
      <w:b/>
      <w:bCs/>
      <w:kern w:val="28"/>
      <w:sz w:val="34"/>
      <w:szCs w:val="32"/>
    </w:rPr>
  </w:style>
  <w:style w:type="paragraph" w:styleId="Subtitle">
    <w:name w:val="Subtitle"/>
    <w:basedOn w:val="Normal"/>
    <w:link w:val="SubtitleChar"/>
    <w:autoRedefine/>
    <w:qFormat/>
    <w:rsid w:val="00F03006"/>
    <w:pPr>
      <w:outlineLvl w:val="1"/>
    </w:pPr>
    <w:rPr>
      <w:rFonts w:cs="Arial"/>
      <w:b/>
      <w:sz w:val="28"/>
      <w:szCs w:val="24"/>
    </w:rPr>
  </w:style>
  <w:style w:type="character" w:customStyle="1" w:styleId="SubtitleChar">
    <w:name w:val="Subtitle Char"/>
    <w:basedOn w:val="DefaultParagraphFont"/>
    <w:link w:val="Subtitle"/>
    <w:rsid w:val="00F03006"/>
    <w:rPr>
      <w:rFonts w:cs="Arial"/>
      <w:b/>
      <w:sz w:val="28"/>
      <w:szCs w:val="24"/>
    </w:rPr>
  </w:style>
  <w:style w:type="paragraph" w:customStyle="1" w:styleId="Default">
    <w:name w:val="Default"/>
    <w:rsid w:val="009D7CAB"/>
    <w:pPr>
      <w:autoSpaceDE w:val="0"/>
      <w:autoSpaceDN w:val="0"/>
      <w:adjustRightInd w:val="0"/>
    </w:pPr>
    <w:rPr>
      <w:color w:val="000000"/>
      <w:sz w:val="24"/>
      <w:szCs w:val="24"/>
    </w:rPr>
  </w:style>
  <w:style w:type="paragraph" w:customStyle="1" w:styleId="Style12ptFirstline0">
    <w:name w:val="Style 12 pt First line:  0&quot;"/>
    <w:basedOn w:val="Normal"/>
    <w:rsid w:val="006E2B0E"/>
    <w:pPr>
      <w:tabs>
        <w:tab w:val="clear" w:pos="0"/>
        <w:tab w:val="clear" w:pos="1134"/>
        <w:tab w:val="clear" w:pos="5245"/>
      </w:tabs>
      <w:autoSpaceDE/>
      <w:autoSpaceDN/>
      <w:adjustRightInd/>
      <w:spacing w:before="120" w:line="240" w:lineRule="auto"/>
    </w:pPr>
    <w:rPr>
      <w:sz w:val="22"/>
      <w:szCs w:val="22"/>
    </w:rPr>
  </w:style>
  <w:style w:type="paragraph" w:customStyle="1" w:styleId="TableTitle">
    <w:name w:val="TableTitle"/>
    <w:next w:val="Normal"/>
    <w:rsid w:val="006E2B0E"/>
    <w:pPr>
      <w:spacing w:before="60" w:after="60"/>
      <w:jc w:val="center"/>
    </w:pPr>
    <w:rPr>
      <w:b/>
      <w:sz w:val="16"/>
      <w:szCs w:val="24"/>
    </w:rPr>
  </w:style>
  <w:style w:type="paragraph" w:customStyle="1" w:styleId="SPLHEADING2CONTRAINDICATIONS">
    <w:name w:val="SPLHEADING2CONTRAINDICATIONS"/>
    <w:basedOn w:val="Heading2"/>
    <w:next w:val="Normal"/>
    <w:autoRedefine/>
    <w:semiHidden/>
    <w:rsid w:val="006E2B0E"/>
    <w:pPr>
      <w:keepLines w:val="0"/>
      <w:tabs>
        <w:tab w:val="clear" w:pos="0"/>
        <w:tab w:val="clear" w:pos="1134"/>
        <w:tab w:val="clear" w:pos="5245"/>
      </w:tabs>
      <w:autoSpaceDE/>
      <w:autoSpaceDN/>
      <w:adjustRightInd/>
      <w:spacing w:before="120" w:line="240" w:lineRule="auto"/>
    </w:pPr>
    <w:rPr>
      <w:rFonts w:cs="Arial"/>
      <w:bCs/>
      <w:iCs/>
      <w:color w:val="auto"/>
      <w:sz w:val="22"/>
      <w:szCs w:val="22"/>
      <w:u w:val="none"/>
    </w:rPr>
  </w:style>
  <w:style w:type="paragraph" w:styleId="ListParagraph">
    <w:name w:val="List Paragraph"/>
    <w:basedOn w:val="Normal"/>
    <w:uiPriority w:val="34"/>
    <w:qFormat/>
    <w:rsid w:val="0087120C"/>
    <w:pPr>
      <w:ind w:left="720"/>
      <w:contextualSpacing/>
    </w:pPr>
  </w:style>
  <w:style w:type="table" w:styleId="TableGrid">
    <w:name w:val="Table Grid"/>
    <w:basedOn w:val="TableNormal"/>
    <w:uiPriority w:val="59"/>
    <w:rsid w:val="00223B6B"/>
    <w:rPr>
      <w:rFonts w:asciiTheme="minorHAnsi" w:eastAsia="Cambria" w:hAnsiTheme="minorHAnsi" w:cstheme="minorBidi"/>
      <w:sz w:val="22"/>
      <w:szCs w:val="22"/>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69665">
      <w:bodyDiv w:val="1"/>
      <w:marLeft w:val="0"/>
      <w:marRight w:val="0"/>
      <w:marTop w:val="0"/>
      <w:marBottom w:val="0"/>
      <w:divBdr>
        <w:top w:val="none" w:sz="0" w:space="0" w:color="auto"/>
        <w:left w:val="none" w:sz="0" w:space="0" w:color="auto"/>
        <w:bottom w:val="none" w:sz="0" w:space="0" w:color="auto"/>
        <w:right w:val="none" w:sz="0" w:space="0" w:color="auto"/>
      </w:divBdr>
    </w:div>
    <w:div w:id="1602838303">
      <w:bodyDiv w:val="1"/>
      <w:marLeft w:val="0"/>
      <w:marRight w:val="0"/>
      <w:marTop w:val="0"/>
      <w:marBottom w:val="0"/>
      <w:divBdr>
        <w:top w:val="none" w:sz="0" w:space="0" w:color="auto"/>
        <w:left w:val="none" w:sz="0" w:space="0" w:color="auto"/>
        <w:bottom w:val="none" w:sz="0" w:space="0" w:color="auto"/>
        <w:right w:val="none" w:sz="0" w:space="0" w:color="auto"/>
      </w:divBdr>
    </w:div>
    <w:div w:id="192283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2BB39-42B4-4B3D-937F-6BD180B439EE}">
  <ds:schemaRefs>
    <ds:schemaRef ds:uri="http://schemas.microsoft.com/office/2006/customDocumentInformationPanel"/>
  </ds:schemaRefs>
</ds:datastoreItem>
</file>

<file path=customXml/itemProps2.xml><?xml version="1.0" encoding="utf-8"?>
<ds:datastoreItem xmlns:ds="http://schemas.openxmlformats.org/officeDocument/2006/customXml" ds:itemID="{4DAF483B-FD31-4E0B-A2D6-071986FE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6371</Words>
  <Characters>35680</Characters>
  <Application>Microsoft Office Word</Application>
  <DocSecurity>0</DocSecurity>
  <Lines>870</Lines>
  <Paragraphs>438</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41613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Signifor (pasireotide diaspartate)</dc:title>
  <dc:creator>Novartis Pharmaceuticals Australia Pty Ltd</dc:creator>
  <cp:lastModifiedBy>Bird, Gail</cp:lastModifiedBy>
  <cp:revision>4</cp:revision>
  <cp:lastPrinted>2012-08-24T02:56:00Z</cp:lastPrinted>
  <dcterms:created xsi:type="dcterms:W3CDTF">2014-05-31T04:49:00Z</dcterms:created>
  <dcterms:modified xsi:type="dcterms:W3CDTF">2014-05-31T04:52:00Z</dcterms:modified>
</cp:coreProperties>
</file>