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BA90" w14:textId="77777777" w:rsidR="00DA417B" w:rsidRPr="00E914FB" w:rsidRDefault="00356BCD">
      <w:pPr>
        <w:pStyle w:val="Title"/>
        <w:ind w:right="-46"/>
      </w:pPr>
      <w:bookmarkStart w:id="0" w:name="_Toc383787382"/>
      <w:r w:rsidRPr="00E914FB">
        <w:t>PRODUCT INFORMATION</w:t>
      </w:r>
      <w:bookmarkEnd w:id="0"/>
    </w:p>
    <w:p w14:paraId="43DD4D76" w14:textId="1BF18947" w:rsidR="005900D6" w:rsidRPr="00E914FB" w:rsidRDefault="005900D6" w:rsidP="005900D6">
      <w:pPr>
        <w:pStyle w:val="Title"/>
        <w:rPr>
          <w:rStyle w:val="SubtleEmphasis"/>
          <w:i w:val="0"/>
          <w:color w:val="auto"/>
        </w:rPr>
      </w:pPr>
      <w:r w:rsidRPr="00E914FB">
        <w:rPr>
          <w:rStyle w:val="SubtleEmphasis"/>
          <w:i w:val="0"/>
          <w:color w:val="auto"/>
        </w:rPr>
        <w:t>VIEKIRA PAK combination therapy pack</w:t>
      </w:r>
    </w:p>
    <w:p w14:paraId="2F9ABA94" w14:textId="77777777" w:rsidR="00DA417B" w:rsidRPr="00E914FB" w:rsidRDefault="00356BCD" w:rsidP="005900D6">
      <w:pPr>
        <w:pStyle w:val="Heading1"/>
      </w:pPr>
      <w:bookmarkStart w:id="1" w:name="_Toc383787385"/>
      <w:r w:rsidRPr="00E914FB">
        <w:t>NAME OF THE MEDICINE</w:t>
      </w:r>
      <w:bookmarkEnd w:id="1"/>
    </w:p>
    <w:p w14:paraId="2F9ABA96" w14:textId="76983761" w:rsidR="00DA417B" w:rsidRPr="00E914FB" w:rsidRDefault="00356BCD" w:rsidP="00CD0524">
      <w:pPr>
        <w:jc w:val="both"/>
        <w:rPr>
          <w:rFonts w:cs="Arial"/>
        </w:rPr>
      </w:pPr>
      <w:r w:rsidRPr="00E914FB">
        <w:rPr>
          <w:rFonts w:cs="Arial"/>
        </w:rPr>
        <w:t>VIEKIRA PAK is a composite pack containing paritaprevir/ritonavir/ombitasvir 75/50/12.5</w:t>
      </w:r>
      <w:r w:rsidR="006847A0" w:rsidRPr="00E914FB">
        <w:rPr>
          <w:rFonts w:cs="Arial"/>
        </w:rPr>
        <w:t xml:space="preserve"> </w:t>
      </w:r>
      <w:r w:rsidRPr="00E914FB">
        <w:rPr>
          <w:rFonts w:cs="Arial"/>
        </w:rPr>
        <w:t xml:space="preserve">mg </w:t>
      </w:r>
      <w:r w:rsidR="00DB49B6" w:rsidRPr="00E914FB">
        <w:rPr>
          <w:rFonts w:cs="Arial"/>
        </w:rPr>
        <w:t>tablets, and</w:t>
      </w:r>
      <w:r w:rsidRPr="00E914FB">
        <w:rPr>
          <w:rFonts w:cs="Arial"/>
        </w:rPr>
        <w:t xml:space="preserve"> dasabuvir </w:t>
      </w:r>
      <w:r w:rsidR="006847A0" w:rsidRPr="00E914FB">
        <w:rPr>
          <w:rFonts w:cs="Arial"/>
        </w:rPr>
        <w:t xml:space="preserve">250 mg </w:t>
      </w:r>
      <w:r w:rsidRPr="00E914FB">
        <w:rPr>
          <w:rFonts w:cs="Arial"/>
        </w:rPr>
        <w:t>tablets</w:t>
      </w:r>
      <w:r w:rsidR="00714993" w:rsidRPr="00E914FB">
        <w:rPr>
          <w:rFonts w:cs="Arial"/>
        </w:rPr>
        <w:t>.</w:t>
      </w:r>
    </w:p>
    <w:p w14:paraId="792A8BCB" w14:textId="77777777" w:rsidR="00574760" w:rsidRPr="00E914FB" w:rsidRDefault="00356BCD" w:rsidP="00574760">
      <w:pPr>
        <w:pStyle w:val="Heading6"/>
        <w:ind w:left="426"/>
        <w:rPr>
          <w:lang w:val="en-AU"/>
        </w:rPr>
      </w:pPr>
      <w:bookmarkStart w:id="2" w:name="_Toc383787386"/>
      <w:r w:rsidRPr="00E914FB">
        <w:rPr>
          <w:lang w:val="en-AU"/>
        </w:rPr>
        <w:t>Chemical Structure</w:t>
      </w:r>
      <w:bookmarkEnd w:id="2"/>
      <w:r w:rsidRPr="00E914FB">
        <w:rPr>
          <w:lang w:val="en-AU"/>
        </w:rPr>
        <w:t xml:space="preserve"> and Description of each Active Pharmaceutical Ingredient</w:t>
      </w:r>
    </w:p>
    <w:p w14:paraId="5B5AFEE7" w14:textId="160EE50E" w:rsidR="005900D6" w:rsidRPr="00E914FB" w:rsidRDefault="00574760" w:rsidP="003D3ED1">
      <w:pPr>
        <w:pStyle w:val="Heading2Unnumbered"/>
        <w:rPr>
          <w:rFonts w:eastAsia="Times New Roman" w:cs="Times New Roman"/>
          <w:sz w:val="22"/>
          <w:szCs w:val="20"/>
          <w:lang w:val="en-AU"/>
        </w:rPr>
      </w:pPr>
      <w:r w:rsidRPr="00E914FB">
        <w:rPr>
          <w:sz w:val="22"/>
          <w:szCs w:val="22"/>
          <w:lang w:val="en-AU"/>
        </w:rPr>
        <w:t>Paritaprevir</w:t>
      </w:r>
    </w:p>
    <w:p w14:paraId="3659FACC" w14:textId="732DB9E2" w:rsidR="00EB0FF0" w:rsidRPr="00E914FB" w:rsidRDefault="00EB0FF0" w:rsidP="00CD0524">
      <w:pPr>
        <w:autoSpaceDE w:val="0"/>
        <w:autoSpaceDN w:val="0"/>
        <w:adjustRightInd w:val="0"/>
        <w:spacing w:after="120" w:line="240" w:lineRule="auto"/>
        <w:jc w:val="both"/>
        <w:rPr>
          <w:rFonts w:cs="Arial"/>
        </w:rPr>
      </w:pPr>
      <w:bookmarkStart w:id="3" w:name="_Toc383787388"/>
      <w:r w:rsidRPr="00E914FB">
        <w:rPr>
          <w:rFonts w:cstheme="minorHAnsi"/>
        </w:rPr>
        <w:t>Paritaprevir drug substance is manufactured as a dihydrate, however is dehydrated during the drug product manufacturing process and is amorphous and anhydrous in the final product.  Paritaprevir dihydrate is chemically designated (2</w:t>
      </w:r>
      <w:r w:rsidRPr="00E914FB">
        <w:rPr>
          <w:rFonts w:cstheme="minorHAnsi"/>
          <w:i/>
          <w:iCs/>
        </w:rPr>
        <w:t>R</w:t>
      </w:r>
      <w:r w:rsidRPr="00E914FB">
        <w:rPr>
          <w:rFonts w:cstheme="minorHAnsi"/>
        </w:rPr>
        <w:t>,6</w:t>
      </w:r>
      <w:r w:rsidRPr="00E914FB">
        <w:rPr>
          <w:rFonts w:cstheme="minorHAnsi"/>
          <w:i/>
          <w:iCs/>
        </w:rPr>
        <w:t>S</w:t>
      </w:r>
      <w:r w:rsidRPr="00E914FB">
        <w:rPr>
          <w:rFonts w:cstheme="minorHAnsi"/>
        </w:rPr>
        <w:t>,12</w:t>
      </w:r>
      <w:r w:rsidRPr="00E914FB">
        <w:rPr>
          <w:rFonts w:cstheme="minorHAnsi"/>
          <w:i/>
          <w:iCs/>
        </w:rPr>
        <w:t>Z</w:t>
      </w:r>
      <w:r w:rsidRPr="00E914FB">
        <w:rPr>
          <w:rFonts w:cstheme="minorHAnsi"/>
        </w:rPr>
        <w:t>,13a</w:t>
      </w:r>
      <w:r w:rsidRPr="00E914FB">
        <w:rPr>
          <w:rFonts w:cstheme="minorHAnsi"/>
          <w:i/>
          <w:iCs/>
        </w:rPr>
        <w:t>S</w:t>
      </w:r>
      <w:r w:rsidRPr="00E914FB">
        <w:rPr>
          <w:rFonts w:cstheme="minorHAnsi"/>
        </w:rPr>
        <w:t>,14a</w:t>
      </w:r>
      <w:r w:rsidRPr="00E914FB">
        <w:rPr>
          <w:rFonts w:cstheme="minorHAnsi"/>
          <w:i/>
          <w:iCs/>
        </w:rPr>
        <w:t>R</w:t>
      </w:r>
      <w:r w:rsidRPr="00E914FB">
        <w:rPr>
          <w:rFonts w:cstheme="minorHAnsi"/>
        </w:rPr>
        <w:t>,16a</w:t>
      </w:r>
      <w:r w:rsidRPr="00E914FB">
        <w:rPr>
          <w:rFonts w:cstheme="minorHAnsi"/>
          <w:i/>
          <w:iCs/>
        </w:rPr>
        <w:t>S</w:t>
      </w:r>
      <w:r w:rsidRPr="00E914FB">
        <w:rPr>
          <w:rFonts w:cstheme="minorHAnsi"/>
        </w:rPr>
        <w:t>)-</w:t>
      </w:r>
      <w:r w:rsidRPr="00E914FB">
        <w:rPr>
          <w:rFonts w:cstheme="minorHAnsi"/>
          <w:i/>
          <w:iCs/>
        </w:rPr>
        <w:t>N</w:t>
      </w:r>
      <w:r w:rsidRPr="00E914FB">
        <w:rPr>
          <w:rFonts w:cstheme="minorHAnsi"/>
        </w:rPr>
        <w:t>- (Cyclopropylsulfonyl)-6-{[(5-methylpyrazin-2-yl)carbonyl]amino}-5,16-dioxo-2-(phenanthridin-6-yloxy)-1,2,3,6,7,8,9,10,11,13a,14,15,16,16atetradecahydrocyclopropa[</w:t>
      </w:r>
      <w:r w:rsidRPr="00E914FB">
        <w:rPr>
          <w:rFonts w:cstheme="minorHAnsi"/>
          <w:i/>
          <w:iCs/>
        </w:rPr>
        <w:t>e</w:t>
      </w:r>
      <w:r w:rsidRPr="00E914FB">
        <w:rPr>
          <w:rFonts w:cstheme="minorHAnsi"/>
        </w:rPr>
        <w:t>]pyrrolo[1,2-</w:t>
      </w:r>
      <w:r w:rsidRPr="00E914FB">
        <w:rPr>
          <w:rFonts w:cstheme="minorHAnsi"/>
          <w:i/>
          <w:iCs/>
        </w:rPr>
        <w:t>a</w:t>
      </w:r>
      <w:r w:rsidRPr="00E914FB">
        <w:rPr>
          <w:rFonts w:cstheme="minorHAnsi"/>
        </w:rPr>
        <w:t>][1,4] diazacyclopentadecine-14a(5</w:t>
      </w:r>
      <w:r w:rsidRPr="00E914FB">
        <w:rPr>
          <w:rFonts w:cstheme="minorHAnsi"/>
          <w:i/>
          <w:iCs/>
        </w:rPr>
        <w:t>H</w:t>
      </w:r>
      <w:r w:rsidRPr="00E914FB">
        <w:rPr>
          <w:rFonts w:cstheme="minorHAnsi"/>
        </w:rPr>
        <w:t>)-carboxamide dihydrate.  The molecular formula is C</w:t>
      </w:r>
      <w:r w:rsidRPr="00E914FB">
        <w:rPr>
          <w:rFonts w:cstheme="minorHAnsi"/>
          <w:vertAlign w:val="subscript"/>
        </w:rPr>
        <w:t>40</w:t>
      </w:r>
      <w:r w:rsidRPr="00E914FB">
        <w:rPr>
          <w:rFonts w:cstheme="minorHAnsi"/>
        </w:rPr>
        <w:t>H</w:t>
      </w:r>
      <w:r w:rsidRPr="00E914FB">
        <w:rPr>
          <w:rFonts w:cstheme="minorHAnsi"/>
          <w:vertAlign w:val="subscript"/>
        </w:rPr>
        <w:t>43</w:t>
      </w:r>
      <w:r w:rsidRPr="00E914FB">
        <w:rPr>
          <w:rFonts w:cstheme="minorHAnsi"/>
        </w:rPr>
        <w:t>N</w:t>
      </w:r>
      <w:r w:rsidRPr="00E914FB">
        <w:rPr>
          <w:rFonts w:cstheme="minorHAnsi"/>
          <w:vertAlign w:val="subscript"/>
        </w:rPr>
        <w:t>7</w:t>
      </w:r>
      <w:r w:rsidRPr="00E914FB">
        <w:rPr>
          <w:rFonts w:cstheme="minorHAnsi"/>
        </w:rPr>
        <w:t>O</w:t>
      </w:r>
      <w:r w:rsidRPr="00E914FB">
        <w:rPr>
          <w:rFonts w:cstheme="minorHAnsi"/>
          <w:vertAlign w:val="subscript"/>
        </w:rPr>
        <w:t>7</w:t>
      </w:r>
      <w:r w:rsidRPr="00E914FB">
        <w:rPr>
          <w:rFonts w:cstheme="minorHAnsi"/>
        </w:rPr>
        <w:t>S•2H</w:t>
      </w:r>
      <w:r w:rsidRPr="00E914FB">
        <w:rPr>
          <w:rFonts w:cstheme="minorHAnsi"/>
          <w:vertAlign w:val="subscript"/>
        </w:rPr>
        <w:t>2</w:t>
      </w:r>
      <w:r w:rsidRPr="00E914FB">
        <w:rPr>
          <w:rFonts w:cstheme="minorHAnsi"/>
        </w:rPr>
        <w:t>O (dihydrate) and the molecular weight for the drug substance is 801.91 (dihydrate).  Paritaprevir dihydrate has the following structural formula</w:t>
      </w:r>
      <w:r w:rsidRPr="00E914FB">
        <w:rPr>
          <w:rFonts w:cs="Arial"/>
        </w:rPr>
        <w:t>:</w:t>
      </w:r>
    </w:p>
    <w:p w14:paraId="34F72273" w14:textId="77777777" w:rsidR="00EB0FF0" w:rsidRPr="00E914FB" w:rsidRDefault="00EB0FF0" w:rsidP="00EB0FF0">
      <w:pPr>
        <w:jc w:val="center"/>
      </w:pPr>
      <w:r w:rsidRPr="00E914FB">
        <w:rPr>
          <w:rFonts w:cs="Arial"/>
          <w:noProof/>
          <w:lang w:eastAsia="en-AU"/>
        </w:rPr>
        <w:drawing>
          <wp:inline distT="0" distB="0" distL="0" distR="0" wp14:anchorId="1595D620" wp14:editId="30444CB0">
            <wp:extent cx="2600325" cy="1647825"/>
            <wp:effectExtent l="0" t="0" r="9525" b="9525"/>
            <wp:docPr id="4" name="Picture 4" descr="cid:image002.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CE7D4B.E5E54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00325" cy="1647825"/>
                    </a:xfrm>
                    <a:prstGeom prst="rect">
                      <a:avLst/>
                    </a:prstGeom>
                    <a:noFill/>
                    <a:ln>
                      <a:noFill/>
                    </a:ln>
                  </pic:spPr>
                </pic:pic>
              </a:graphicData>
            </a:graphic>
          </wp:inline>
        </w:drawing>
      </w:r>
    </w:p>
    <w:p w14:paraId="07F1746A" w14:textId="77777777" w:rsidR="00EB0FF0" w:rsidRPr="00E914FB" w:rsidRDefault="00EB0FF0" w:rsidP="00CD0524">
      <w:pPr>
        <w:spacing w:line="240" w:lineRule="auto"/>
        <w:jc w:val="both"/>
      </w:pPr>
      <w:r w:rsidRPr="00E914FB">
        <w:t>CAS Number: 1456607-71-8</w:t>
      </w:r>
    </w:p>
    <w:p w14:paraId="4CF1C865" w14:textId="59B66515" w:rsidR="005900D6" w:rsidRPr="00E914FB" w:rsidRDefault="00EB0FF0" w:rsidP="00CD0524">
      <w:pPr>
        <w:spacing w:line="240" w:lineRule="auto"/>
        <w:jc w:val="both"/>
        <w:rPr>
          <w:rFonts w:cstheme="minorHAnsi"/>
        </w:rPr>
      </w:pPr>
      <w:r w:rsidRPr="00E914FB">
        <w:rPr>
          <w:rFonts w:cstheme="minorHAnsi"/>
        </w:rPr>
        <w:t>Paritaprevir dihydrate is white to off-white powder with very low water solubility. Paritaprevir dihydrate has pKa of 4.6 at 25°C.</w:t>
      </w:r>
    </w:p>
    <w:p w14:paraId="51BC9A45" w14:textId="77777777" w:rsidR="005900D6" w:rsidRPr="00E914FB" w:rsidRDefault="005900D6" w:rsidP="00CD0524">
      <w:pPr>
        <w:pStyle w:val="Heading2Unnumbered"/>
        <w:rPr>
          <w:sz w:val="22"/>
          <w:szCs w:val="22"/>
          <w:lang w:val="en-AU"/>
        </w:rPr>
      </w:pPr>
      <w:r w:rsidRPr="00E914FB">
        <w:rPr>
          <w:sz w:val="22"/>
          <w:szCs w:val="22"/>
          <w:lang w:val="en-AU"/>
        </w:rPr>
        <w:t>Ritonavir</w:t>
      </w:r>
    </w:p>
    <w:p w14:paraId="40494EEE" w14:textId="77777777" w:rsidR="00EB0FF0" w:rsidRPr="00E914FB" w:rsidRDefault="00EB0FF0" w:rsidP="00CD0524">
      <w:pPr>
        <w:spacing w:line="240" w:lineRule="auto"/>
        <w:jc w:val="both"/>
        <w:rPr>
          <w:rFonts w:cs="Arial"/>
        </w:rPr>
      </w:pPr>
      <w:r w:rsidRPr="00E914FB">
        <w:rPr>
          <w:rFonts w:cs="Arial"/>
        </w:rPr>
        <w:t xml:space="preserve">Ritonavir is chemically designated as </w:t>
      </w:r>
      <w:r w:rsidRPr="00E914FB">
        <w:t>[5</w:t>
      </w:r>
      <w:r w:rsidRPr="00E914FB">
        <w:rPr>
          <w:i/>
        </w:rPr>
        <w:t>S</w:t>
      </w:r>
      <w:r w:rsidRPr="00E914FB">
        <w:t>-(5</w:t>
      </w:r>
      <w:r w:rsidRPr="00E914FB">
        <w:rPr>
          <w:i/>
        </w:rPr>
        <w:t>R</w:t>
      </w:r>
      <w:r w:rsidRPr="00E914FB">
        <w:t>*,8</w:t>
      </w:r>
      <w:r w:rsidRPr="00E914FB">
        <w:rPr>
          <w:i/>
        </w:rPr>
        <w:t>R</w:t>
      </w:r>
      <w:r w:rsidRPr="00E914FB">
        <w:t>*,10</w:t>
      </w:r>
      <w:r w:rsidRPr="00E914FB">
        <w:rPr>
          <w:i/>
        </w:rPr>
        <w:t>R</w:t>
      </w:r>
      <w:r w:rsidRPr="00E914FB">
        <w:t>*,11</w:t>
      </w:r>
      <w:r w:rsidRPr="00E914FB">
        <w:rPr>
          <w:i/>
        </w:rPr>
        <w:t>R</w:t>
      </w:r>
      <w:r w:rsidRPr="00E914FB">
        <w:t>*)]10-Hydroxy-2-methyl-5-(1-methyethyl)-1-[2-(1-methylethyl)-4-thiazolyl]-3,6-dioxo-8,11-bis(phenylmehyl)-2,4,7,12-tetraazatridecan-13-oic acid,5-thiazolylmethyl ester</w:t>
      </w:r>
      <w:r w:rsidRPr="00E914FB">
        <w:rPr>
          <w:rFonts w:cs="Arial"/>
        </w:rPr>
        <w:t>. The molecular formula is C</w:t>
      </w:r>
      <w:r w:rsidRPr="00E914FB">
        <w:rPr>
          <w:rFonts w:cs="Arial"/>
          <w:vertAlign w:val="subscript"/>
        </w:rPr>
        <w:t>37</w:t>
      </w:r>
      <w:r w:rsidRPr="00E914FB">
        <w:rPr>
          <w:rFonts w:cs="Arial"/>
        </w:rPr>
        <w:t>H</w:t>
      </w:r>
      <w:r w:rsidRPr="00E914FB">
        <w:rPr>
          <w:rFonts w:cs="Arial"/>
          <w:vertAlign w:val="subscript"/>
        </w:rPr>
        <w:t>48</w:t>
      </w:r>
      <w:r w:rsidRPr="00E914FB">
        <w:rPr>
          <w:rFonts w:cs="Arial"/>
        </w:rPr>
        <w:t>N</w:t>
      </w:r>
      <w:r w:rsidRPr="00E914FB">
        <w:rPr>
          <w:rFonts w:cs="Arial"/>
          <w:vertAlign w:val="subscript"/>
        </w:rPr>
        <w:t>6</w:t>
      </w:r>
      <w:r w:rsidRPr="00E914FB">
        <w:rPr>
          <w:rFonts w:cs="Arial"/>
        </w:rPr>
        <w:t>O</w:t>
      </w:r>
      <w:r w:rsidRPr="00E914FB">
        <w:rPr>
          <w:rFonts w:cs="Arial"/>
          <w:vertAlign w:val="subscript"/>
        </w:rPr>
        <w:t>5</w:t>
      </w:r>
      <w:r w:rsidRPr="00E914FB">
        <w:rPr>
          <w:rFonts w:cs="Arial"/>
        </w:rPr>
        <w:t>S</w:t>
      </w:r>
      <w:r w:rsidRPr="00E914FB">
        <w:rPr>
          <w:rFonts w:cs="Arial"/>
          <w:vertAlign w:val="subscript"/>
        </w:rPr>
        <w:t>2</w:t>
      </w:r>
      <w:r w:rsidRPr="00E914FB">
        <w:rPr>
          <w:rFonts w:cs="Arial"/>
        </w:rPr>
        <w:t xml:space="preserve"> and the molecular weight is 720.95. Ritonavir has the following structural formula:</w:t>
      </w:r>
    </w:p>
    <w:p w14:paraId="5765E6A9" w14:textId="77777777" w:rsidR="00EB0FF0" w:rsidRPr="00E914FB" w:rsidRDefault="00EB0FF0" w:rsidP="00EB0FF0">
      <w:pPr>
        <w:jc w:val="center"/>
      </w:pPr>
      <w:r w:rsidRPr="00E914FB">
        <w:rPr>
          <w:rFonts w:cs="Arial"/>
          <w:noProof/>
          <w:lang w:eastAsia="en-AU"/>
        </w:rPr>
        <w:lastRenderedPageBreak/>
        <w:drawing>
          <wp:inline distT="0" distB="0" distL="0" distR="0" wp14:anchorId="473EC538" wp14:editId="4E20C18C">
            <wp:extent cx="3981450" cy="1695450"/>
            <wp:effectExtent l="0" t="0" r="0" b="0"/>
            <wp:docPr id="6" name="Picture 6" descr="cid:image004.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E7D4B.E5E544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981450" cy="1695450"/>
                    </a:xfrm>
                    <a:prstGeom prst="rect">
                      <a:avLst/>
                    </a:prstGeom>
                    <a:noFill/>
                    <a:ln>
                      <a:noFill/>
                    </a:ln>
                  </pic:spPr>
                </pic:pic>
              </a:graphicData>
            </a:graphic>
          </wp:inline>
        </w:drawing>
      </w:r>
    </w:p>
    <w:p w14:paraId="7B4ED84D" w14:textId="77777777" w:rsidR="00EB0FF0" w:rsidRPr="00E914FB" w:rsidRDefault="00EB0FF0" w:rsidP="00CD0524">
      <w:pPr>
        <w:spacing w:line="240" w:lineRule="auto"/>
      </w:pPr>
      <w:r w:rsidRPr="00E914FB">
        <w:t xml:space="preserve">CAS Number: </w:t>
      </w:r>
      <w:r w:rsidRPr="00E914FB">
        <w:rPr>
          <w:rFonts w:cs="Arial"/>
        </w:rPr>
        <w:t xml:space="preserve">155214-67-5 </w:t>
      </w:r>
    </w:p>
    <w:p w14:paraId="1ACD0C4B" w14:textId="5898703F" w:rsidR="00EB0FF0" w:rsidRPr="00E914FB" w:rsidRDefault="00EB0FF0" w:rsidP="00CD0524">
      <w:pPr>
        <w:spacing w:line="240" w:lineRule="auto"/>
        <w:jc w:val="both"/>
        <w:rPr>
          <w:rFonts w:cs="Arial"/>
          <w:bCs/>
        </w:rPr>
      </w:pPr>
      <w:r w:rsidRPr="00E914FB">
        <w:rPr>
          <w:rFonts w:cs="Arial"/>
        </w:rPr>
        <w:t xml:space="preserve">Ritonavir is a white to </w:t>
      </w:r>
      <w:r w:rsidRPr="00E914FB">
        <w:rPr>
          <w:rFonts w:cs="Arial"/>
          <w:bCs/>
        </w:rPr>
        <w:t>off</w:t>
      </w:r>
      <w:r w:rsidR="007D470C">
        <w:rPr>
          <w:rFonts w:cs="Arial"/>
          <w:bCs/>
        </w:rPr>
        <w:t>-</w:t>
      </w:r>
      <w:r w:rsidRPr="00E914FB">
        <w:rPr>
          <w:rFonts w:cs="Arial"/>
          <w:bCs/>
        </w:rPr>
        <w:t xml:space="preserve"> white to light tan </w:t>
      </w:r>
      <w:r w:rsidRPr="00E914FB">
        <w:rPr>
          <w:rFonts w:cs="Arial"/>
        </w:rPr>
        <w:t xml:space="preserve">powder </w:t>
      </w:r>
      <w:r w:rsidRPr="00E914FB">
        <w:rPr>
          <w:rFonts w:cs="Arial"/>
          <w:bCs/>
        </w:rPr>
        <w:t>practically insoluble in water and freely soluble in methanol and ethanol. Ritonavir has a pKa of 2.8.</w:t>
      </w:r>
    </w:p>
    <w:p w14:paraId="640AA959" w14:textId="77777777" w:rsidR="005900D6" w:rsidRPr="00E914FB" w:rsidRDefault="005900D6" w:rsidP="00CD0524">
      <w:pPr>
        <w:pStyle w:val="Heading2Unnumbered"/>
        <w:rPr>
          <w:sz w:val="22"/>
          <w:szCs w:val="22"/>
          <w:lang w:val="en-AU"/>
        </w:rPr>
      </w:pPr>
      <w:r w:rsidRPr="00E914FB">
        <w:rPr>
          <w:sz w:val="22"/>
          <w:szCs w:val="22"/>
          <w:lang w:val="en-AU"/>
        </w:rPr>
        <w:t>Ombitasvir</w:t>
      </w:r>
    </w:p>
    <w:p w14:paraId="475D588F" w14:textId="3C40FA47" w:rsidR="00EB0FF0" w:rsidRPr="00E914FB" w:rsidRDefault="00EB0FF0" w:rsidP="00CD0524">
      <w:pPr>
        <w:spacing w:line="240" w:lineRule="auto"/>
        <w:jc w:val="both"/>
        <w:rPr>
          <w:rFonts w:cs="Arial"/>
        </w:rPr>
      </w:pPr>
      <w:r w:rsidRPr="00E914FB">
        <w:rPr>
          <w:rFonts w:cs="Arial"/>
        </w:rPr>
        <w:t xml:space="preserve">Ombitasvir </w:t>
      </w:r>
      <w:r w:rsidRPr="00E914FB">
        <w:rPr>
          <w:rFonts w:cstheme="minorHAnsi"/>
        </w:rPr>
        <w:t xml:space="preserve">drug substance is manufactured as a hydrate, however is dehydrated during the drug product manufacturing process and is amorphous and anhydrous in the final product.  </w:t>
      </w:r>
      <w:r w:rsidRPr="00E914FB">
        <w:rPr>
          <w:rFonts w:cs="Arial"/>
        </w:rPr>
        <w:t xml:space="preserve">Ombitasvir hydrate is chemically designated as </w:t>
      </w:r>
      <w:r w:rsidR="002312D2" w:rsidRPr="00E914FB">
        <w:rPr>
          <w:rFonts w:cs="Arial"/>
        </w:rPr>
        <w:t>D</w:t>
      </w:r>
      <w:r w:rsidRPr="00E914FB">
        <w:rPr>
          <w:rFonts w:cs="Arial"/>
        </w:rPr>
        <w:t>imethyl ([(2</w:t>
      </w:r>
      <w:r w:rsidRPr="00E914FB">
        <w:rPr>
          <w:rFonts w:cs="Arial"/>
          <w:i/>
        </w:rPr>
        <w:t>S</w:t>
      </w:r>
      <w:r w:rsidRPr="00E914FB">
        <w:rPr>
          <w:rFonts w:cs="Arial"/>
        </w:rPr>
        <w:t>,5</w:t>
      </w:r>
      <w:r w:rsidRPr="00E914FB">
        <w:rPr>
          <w:rFonts w:cs="Arial"/>
          <w:i/>
        </w:rPr>
        <w:t>S</w:t>
      </w:r>
      <w:r w:rsidRPr="00E914FB">
        <w:rPr>
          <w:rFonts w:cs="Arial"/>
        </w:rPr>
        <w:t>)-1-(4-</w:t>
      </w:r>
      <w:r w:rsidRPr="00E914FB">
        <w:rPr>
          <w:rFonts w:cs="Arial"/>
          <w:i/>
        </w:rPr>
        <w:t>tert</w:t>
      </w:r>
      <w:r w:rsidRPr="00E914FB">
        <w:rPr>
          <w:rFonts w:cs="Arial"/>
        </w:rPr>
        <w:t>-butylphenyl) pyrrolidine-2,5-diyl]bis{benzene-4,1-diylcarbamoyl(2</w:t>
      </w:r>
      <w:r w:rsidRPr="00E914FB">
        <w:rPr>
          <w:rFonts w:cs="Arial"/>
          <w:i/>
        </w:rPr>
        <w:t>S</w:t>
      </w:r>
      <w:r w:rsidRPr="00E914FB">
        <w:rPr>
          <w:rFonts w:cs="Arial"/>
        </w:rPr>
        <w:t>)pyrrolidine-2,1-diyl[(2</w:t>
      </w:r>
      <w:r w:rsidRPr="00E914FB">
        <w:rPr>
          <w:rFonts w:cs="Arial"/>
          <w:i/>
        </w:rPr>
        <w:t>S</w:t>
      </w:r>
      <w:r w:rsidRPr="00E914FB">
        <w:rPr>
          <w:rFonts w:cs="Arial"/>
        </w:rPr>
        <w:t>)-3-methyl-1-oxobutane-1,2-diyl]})biscarbamate hydrate. The molecular formula is C</w:t>
      </w:r>
      <w:r w:rsidRPr="00E914FB">
        <w:rPr>
          <w:rFonts w:cs="Arial"/>
          <w:vertAlign w:val="subscript"/>
        </w:rPr>
        <w:t>50</w:t>
      </w:r>
      <w:r w:rsidRPr="00E914FB">
        <w:rPr>
          <w:rFonts w:cs="Arial"/>
        </w:rPr>
        <w:t>H</w:t>
      </w:r>
      <w:r w:rsidRPr="00E914FB">
        <w:rPr>
          <w:rFonts w:cs="Arial"/>
          <w:vertAlign w:val="subscript"/>
        </w:rPr>
        <w:t>67</w:t>
      </w:r>
      <w:r w:rsidRPr="00E914FB">
        <w:rPr>
          <w:rFonts w:cs="Arial"/>
        </w:rPr>
        <w:t>N</w:t>
      </w:r>
      <w:r w:rsidRPr="00E914FB">
        <w:rPr>
          <w:rFonts w:cs="Arial"/>
          <w:vertAlign w:val="subscript"/>
        </w:rPr>
        <w:t>7</w:t>
      </w:r>
      <w:r w:rsidRPr="00E914FB">
        <w:rPr>
          <w:rFonts w:cs="Arial"/>
        </w:rPr>
        <w:t>O</w:t>
      </w:r>
      <w:r w:rsidRPr="00E914FB">
        <w:rPr>
          <w:rFonts w:cs="Arial"/>
          <w:vertAlign w:val="subscript"/>
        </w:rPr>
        <w:t>8</w:t>
      </w:r>
      <w:r w:rsidRPr="00E914FB">
        <w:rPr>
          <w:rFonts w:cs="Arial"/>
        </w:rPr>
        <w:t xml:space="preserve"> • 4.5H</w:t>
      </w:r>
      <w:r w:rsidRPr="00E914FB">
        <w:rPr>
          <w:rFonts w:cs="Arial"/>
          <w:vertAlign w:val="subscript"/>
        </w:rPr>
        <w:t>2</w:t>
      </w:r>
      <w:r w:rsidRPr="00E914FB">
        <w:rPr>
          <w:rFonts w:cs="Arial"/>
        </w:rPr>
        <w:t>O (hydrate) and the molecular weight for the drug substance is 975.20 (hydrate). Ombitasvir hydrate has the following structural formula:</w:t>
      </w:r>
    </w:p>
    <w:p w14:paraId="631B5272" w14:textId="77777777" w:rsidR="00EB0FF0" w:rsidRPr="00E914FB" w:rsidRDefault="00EB0FF0" w:rsidP="00EB0FF0">
      <w:pPr>
        <w:jc w:val="center"/>
      </w:pPr>
      <w:r w:rsidRPr="00E914FB">
        <w:rPr>
          <w:rFonts w:cs="Arial"/>
          <w:noProof/>
          <w:lang w:eastAsia="en-AU"/>
        </w:rPr>
        <w:drawing>
          <wp:inline distT="0" distB="0" distL="0" distR="0" wp14:anchorId="59ADE748" wp14:editId="7F8EA3AC">
            <wp:extent cx="3295650" cy="1428750"/>
            <wp:effectExtent l="0" t="0" r="0" b="0"/>
            <wp:docPr id="7" name="Picture 7" descr="cid:image003.png@01CE7D4B.E5E5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E7D4B.E5E544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295650" cy="1428750"/>
                    </a:xfrm>
                    <a:prstGeom prst="rect">
                      <a:avLst/>
                    </a:prstGeom>
                    <a:noFill/>
                    <a:ln>
                      <a:noFill/>
                    </a:ln>
                  </pic:spPr>
                </pic:pic>
              </a:graphicData>
            </a:graphic>
          </wp:inline>
        </w:drawing>
      </w:r>
    </w:p>
    <w:p w14:paraId="2A36B9DB" w14:textId="77777777" w:rsidR="00EB0FF0" w:rsidRPr="00E914FB" w:rsidRDefault="00EB0FF0" w:rsidP="00CD0524">
      <w:pPr>
        <w:spacing w:line="240" w:lineRule="auto"/>
        <w:jc w:val="both"/>
      </w:pPr>
      <w:r w:rsidRPr="00E914FB">
        <w:t xml:space="preserve">CAS Number: </w:t>
      </w:r>
      <w:r w:rsidRPr="00E914FB">
        <w:rPr>
          <w:rFonts w:cs="Arial"/>
        </w:rPr>
        <w:t xml:space="preserve">1456607-70-7 </w:t>
      </w:r>
    </w:p>
    <w:p w14:paraId="1084C341" w14:textId="77777777" w:rsidR="00EB0FF0" w:rsidRPr="00E914FB" w:rsidRDefault="00EB0FF0" w:rsidP="00CD0524">
      <w:pPr>
        <w:spacing w:line="240" w:lineRule="auto"/>
        <w:jc w:val="both"/>
        <w:rPr>
          <w:rFonts w:cs="Arial"/>
        </w:rPr>
      </w:pPr>
      <w:r w:rsidRPr="00E914FB">
        <w:rPr>
          <w:rFonts w:cs="Arial"/>
        </w:rPr>
        <w:t>Ombitasvir hydrate is white to light pink powder, and is practically insoluble in aqueous buffers but is soluble in ethanol.</w:t>
      </w:r>
      <w:r w:rsidRPr="00E914FB">
        <w:rPr>
          <w:rFonts w:ascii="Arial" w:eastAsia="Times New Roman" w:hAnsi="Arial" w:cs="Arial"/>
          <w:szCs w:val="20"/>
        </w:rPr>
        <w:t xml:space="preserve"> </w:t>
      </w:r>
      <w:r w:rsidRPr="00E914FB">
        <w:rPr>
          <w:rFonts w:cs="Arial"/>
        </w:rPr>
        <w:t xml:space="preserve">Ombitasvir hydrate has a pKa of 2.5 at 25°C. </w:t>
      </w:r>
    </w:p>
    <w:p w14:paraId="0497E5AC" w14:textId="77777777" w:rsidR="00EC3CFA" w:rsidRPr="00E914FB" w:rsidRDefault="00EC3CFA" w:rsidP="00CD0524">
      <w:pPr>
        <w:pStyle w:val="Heading2Unnumbered"/>
        <w:rPr>
          <w:sz w:val="22"/>
          <w:szCs w:val="22"/>
          <w:lang w:val="en-AU"/>
        </w:rPr>
      </w:pPr>
      <w:r w:rsidRPr="00E914FB">
        <w:rPr>
          <w:sz w:val="22"/>
          <w:szCs w:val="22"/>
          <w:lang w:val="en-AU"/>
        </w:rPr>
        <w:t>Dasabuvir</w:t>
      </w:r>
    </w:p>
    <w:p w14:paraId="50434D09" w14:textId="683EAD6E" w:rsidR="00EB0FF0" w:rsidRPr="00E914FB" w:rsidRDefault="00EB0FF0" w:rsidP="00CD0524">
      <w:pPr>
        <w:spacing w:line="240" w:lineRule="auto"/>
        <w:jc w:val="both"/>
        <w:rPr>
          <w:rFonts w:cs="Arial"/>
        </w:rPr>
      </w:pPr>
      <w:r w:rsidRPr="00E914FB">
        <w:rPr>
          <w:rFonts w:cs="Arial"/>
        </w:rPr>
        <w:t xml:space="preserve">Dasabuvir drug substance is manufactured as a sodium salt monohydrate, and is present in the product as the sodium salt monohydrate.  Dasabuvir sodium monohydrate is chemically designated as </w:t>
      </w:r>
      <w:r w:rsidR="00FA014F" w:rsidRPr="00E914FB">
        <w:rPr>
          <w:rFonts w:cs="Arial"/>
        </w:rPr>
        <w:t>Sodium 3-(3-</w:t>
      </w:r>
      <w:r w:rsidR="00FA014F" w:rsidRPr="00E914FB">
        <w:rPr>
          <w:rFonts w:cs="Arial"/>
          <w:i/>
          <w:iCs/>
        </w:rPr>
        <w:t>tert</w:t>
      </w:r>
      <w:r w:rsidR="00FA014F" w:rsidRPr="00E914FB">
        <w:rPr>
          <w:rFonts w:cs="Arial"/>
        </w:rPr>
        <w:t>-butyl-4-methoxy-5-{6-[(methylsulfonyl)amino]naphthalen-2-yl}phenyl)-2,6-dioxo-3,6-dihydro-2H-pyrimidin-1-ide hydrate (1:1:1)</w:t>
      </w:r>
      <w:r w:rsidRPr="00E914FB">
        <w:rPr>
          <w:rFonts w:cs="Arial"/>
        </w:rPr>
        <w:t>The molecular formula is C</w:t>
      </w:r>
      <w:r w:rsidRPr="00E914FB">
        <w:rPr>
          <w:rFonts w:cs="Arial"/>
          <w:sz w:val="16"/>
          <w:szCs w:val="16"/>
        </w:rPr>
        <w:t>26</w:t>
      </w:r>
      <w:r w:rsidRPr="00E914FB">
        <w:rPr>
          <w:rFonts w:cs="Arial"/>
        </w:rPr>
        <w:t>H</w:t>
      </w:r>
      <w:r w:rsidRPr="00E914FB">
        <w:rPr>
          <w:rFonts w:cs="Arial"/>
          <w:sz w:val="16"/>
          <w:szCs w:val="16"/>
        </w:rPr>
        <w:t>26</w:t>
      </w:r>
      <w:r w:rsidRPr="00E914FB">
        <w:rPr>
          <w:rFonts w:cs="Arial"/>
        </w:rPr>
        <w:t>N</w:t>
      </w:r>
      <w:r w:rsidRPr="00E914FB">
        <w:rPr>
          <w:rFonts w:cs="Arial"/>
          <w:sz w:val="16"/>
          <w:szCs w:val="16"/>
        </w:rPr>
        <w:t>3</w:t>
      </w:r>
      <w:r w:rsidRPr="00E914FB">
        <w:rPr>
          <w:rFonts w:cs="Arial"/>
        </w:rPr>
        <w:t>O</w:t>
      </w:r>
      <w:r w:rsidRPr="00E914FB">
        <w:rPr>
          <w:rFonts w:cs="Arial"/>
          <w:sz w:val="16"/>
          <w:szCs w:val="16"/>
        </w:rPr>
        <w:t>5</w:t>
      </w:r>
      <w:r w:rsidRPr="00E914FB">
        <w:rPr>
          <w:rFonts w:cs="Arial"/>
        </w:rPr>
        <w:t>S•Na</w:t>
      </w:r>
      <w:r w:rsidRPr="00E914FB">
        <w:rPr>
          <w:rFonts w:cs="Arial"/>
          <w:sz w:val="20"/>
        </w:rPr>
        <w:t>•</w:t>
      </w:r>
      <w:r w:rsidRPr="00E914FB">
        <w:rPr>
          <w:rFonts w:cs="Arial"/>
        </w:rPr>
        <w:t>H</w:t>
      </w:r>
      <w:r w:rsidRPr="00E914FB">
        <w:rPr>
          <w:rFonts w:cs="Arial"/>
          <w:sz w:val="16"/>
          <w:szCs w:val="16"/>
        </w:rPr>
        <w:t>2</w:t>
      </w:r>
      <w:r w:rsidRPr="00E914FB">
        <w:rPr>
          <w:rFonts w:cs="Arial"/>
        </w:rPr>
        <w:t>O (salt, hydrate) and the molecular weight of the drug substance is 533.57 (salt, hydrate). Dasabuvir hydrate has the following molecular structure:</w:t>
      </w:r>
    </w:p>
    <w:p w14:paraId="40EF237E" w14:textId="77777777" w:rsidR="00EB0FF0" w:rsidRPr="00E914FB" w:rsidRDefault="00EB0FF0" w:rsidP="00EB0FF0">
      <w:pPr>
        <w:rPr>
          <w:rFonts w:cs="Arial"/>
        </w:rPr>
      </w:pPr>
    </w:p>
    <w:p w14:paraId="31316EB8" w14:textId="77777777" w:rsidR="00EB0FF0" w:rsidRPr="00E914FB" w:rsidRDefault="00EB0FF0" w:rsidP="00EB0FF0">
      <w:pPr>
        <w:jc w:val="center"/>
      </w:pPr>
      <w:r w:rsidRPr="00E914FB">
        <w:rPr>
          <w:rFonts w:cs="Arial"/>
          <w:noProof/>
          <w:lang w:eastAsia="en-AU"/>
        </w:rPr>
        <w:lastRenderedPageBreak/>
        <w:drawing>
          <wp:inline distT="0" distB="0" distL="0" distR="0" wp14:anchorId="1E29FA9E" wp14:editId="4B803FE9">
            <wp:extent cx="2209800" cy="1504950"/>
            <wp:effectExtent l="0" t="0" r="0" b="0"/>
            <wp:docPr id="8" name="Picture 8" descr="cid:image010.png@01CF2E3A.F398E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0.png@01CF2E3A.F398EC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1504950"/>
                    </a:xfrm>
                    <a:prstGeom prst="rect">
                      <a:avLst/>
                    </a:prstGeom>
                    <a:noFill/>
                    <a:ln>
                      <a:noFill/>
                    </a:ln>
                  </pic:spPr>
                </pic:pic>
              </a:graphicData>
            </a:graphic>
          </wp:inline>
        </w:drawing>
      </w:r>
    </w:p>
    <w:p w14:paraId="5071496E" w14:textId="77777777" w:rsidR="00EB0FF0" w:rsidRPr="00E914FB" w:rsidRDefault="00EB0FF0" w:rsidP="00CD0524">
      <w:pPr>
        <w:spacing w:line="240" w:lineRule="auto"/>
        <w:rPr>
          <w:rFonts w:cstheme="minorHAnsi"/>
        </w:rPr>
      </w:pPr>
      <w:r w:rsidRPr="00E914FB">
        <w:rPr>
          <w:rFonts w:cstheme="minorHAnsi"/>
        </w:rPr>
        <w:t xml:space="preserve">CAS Number: 1456607-55-8 </w:t>
      </w:r>
    </w:p>
    <w:p w14:paraId="251AF0D5" w14:textId="47903F5C" w:rsidR="00EB0FF0" w:rsidRPr="00E914FB" w:rsidRDefault="00EB0FF0" w:rsidP="00CD0524">
      <w:pPr>
        <w:spacing w:line="240" w:lineRule="auto"/>
        <w:jc w:val="both"/>
        <w:rPr>
          <w:rFonts w:cs="Arial"/>
        </w:rPr>
      </w:pPr>
      <w:r w:rsidRPr="00E914FB">
        <w:rPr>
          <w:rFonts w:cs="Arial"/>
        </w:rPr>
        <w:t xml:space="preserve">Dasabuvir sodium monohydrate is white to </w:t>
      </w:r>
      <w:r w:rsidR="006248EB">
        <w:rPr>
          <w:rFonts w:cs="Arial"/>
        </w:rPr>
        <w:t>off-white</w:t>
      </w:r>
      <w:r w:rsidRPr="00E914FB">
        <w:rPr>
          <w:rFonts w:cs="Arial"/>
        </w:rPr>
        <w:t xml:space="preserve"> to pink powder, slightly soluble in water and very slightly soluble in methanol and isopropyl alcohol. The pKa values of dasabuvir are 8.2 (pK</w:t>
      </w:r>
      <w:r w:rsidRPr="00E914FB">
        <w:rPr>
          <w:rFonts w:cs="Arial"/>
          <w:vertAlign w:val="subscript"/>
        </w:rPr>
        <w:t>1</w:t>
      </w:r>
      <w:r w:rsidRPr="00E914FB">
        <w:rPr>
          <w:rFonts w:cs="Arial"/>
        </w:rPr>
        <w:t>) and 9.2 (pK</w:t>
      </w:r>
      <w:r w:rsidRPr="00E914FB">
        <w:rPr>
          <w:rFonts w:cs="Arial"/>
          <w:vertAlign w:val="subscript"/>
        </w:rPr>
        <w:t>2</w:t>
      </w:r>
      <w:r w:rsidRPr="00E914FB">
        <w:rPr>
          <w:rFonts w:cs="Arial"/>
        </w:rPr>
        <w:t>).</w:t>
      </w:r>
    </w:p>
    <w:p w14:paraId="2F9ABAB5" w14:textId="77777777" w:rsidR="00DA417B" w:rsidRPr="00E914FB" w:rsidRDefault="00356BCD" w:rsidP="00CD0524">
      <w:pPr>
        <w:pStyle w:val="Heading1"/>
      </w:pPr>
      <w:r w:rsidRPr="00E914FB">
        <w:t>Description</w:t>
      </w:r>
      <w:bookmarkEnd w:id="3"/>
    </w:p>
    <w:p w14:paraId="44A7CF7B" w14:textId="17530EAC" w:rsidR="00211D2D" w:rsidRPr="00E914FB" w:rsidRDefault="00211D2D" w:rsidP="00CD0524">
      <w:pPr>
        <w:spacing w:line="240" w:lineRule="auto"/>
        <w:jc w:val="both"/>
        <w:rPr>
          <w:rFonts w:cs="Arial"/>
        </w:rPr>
      </w:pPr>
      <w:r w:rsidRPr="00E914FB">
        <w:rPr>
          <w:rFonts w:cs="Arial"/>
        </w:rPr>
        <w:t>Paritaprevir, ritonavir, and ombitasvir are co-formulated as film-coated immediate release tablets.  The tablets also contain copovidone,</w:t>
      </w:r>
      <w:r w:rsidRPr="00E914FB">
        <w:rPr>
          <w:rFonts w:cs="Arial"/>
          <w:lang w:eastAsia="en-AU"/>
        </w:rPr>
        <w:t xml:space="preserve"> tocofersolan</w:t>
      </w:r>
      <w:r w:rsidRPr="00E914FB">
        <w:rPr>
          <w:rFonts w:cs="Arial"/>
        </w:rPr>
        <w:t xml:space="preserve">, propylene glycol monolaurate, sorbitan monolaurate, silicon dioxide, sodium stearyl fumarate and Opadry II pink 85F140088 </w:t>
      </w:r>
      <w:r w:rsidR="00D83AA6" w:rsidRPr="00314EB7">
        <w:rPr>
          <w:rFonts w:cs="Arial"/>
        </w:rPr>
        <w:t>(polyvinyl alcohol, titanium dioxide, macrogol, purified talc, and iron oxide red)</w:t>
      </w:r>
      <w:r w:rsidR="006248EB">
        <w:rPr>
          <w:rFonts w:cs="Arial"/>
        </w:rPr>
        <w:t>.</w:t>
      </w:r>
      <w:r w:rsidRPr="00E914FB">
        <w:rPr>
          <w:rFonts w:cs="Arial"/>
        </w:rPr>
        <w:t xml:space="preserve"> The tablets do not contain gluten. The strength for the fixed dose combination tablet is 75 mg paritaprevir/50 mg ritonavir/12.5 mg ombitasvir.</w:t>
      </w:r>
    </w:p>
    <w:p w14:paraId="2F9ABAB7" w14:textId="0887D8D3" w:rsidR="00DA417B" w:rsidRPr="00E914FB" w:rsidRDefault="00211D2D" w:rsidP="00CD0524">
      <w:pPr>
        <w:spacing w:line="240" w:lineRule="auto"/>
        <w:jc w:val="both"/>
        <w:rPr>
          <w:rFonts w:cs="Arial"/>
        </w:rPr>
      </w:pPr>
      <w:r w:rsidRPr="00E914FB">
        <w:rPr>
          <w:rFonts w:cs="Arial"/>
        </w:rPr>
        <w:t>Dasabuvir is formulated as a 250 mg film-coated, immediate release tablet containing microcrystalline cellulose, lactose, copovidone, croscarmellose sodium, colloidal anhydrous silica, magnesium stearate, and Opadry II Beige 85F97497 (polyvinyl alcohol, titanium dioxide, macrogol, purified talc, and iron oxide yellow, iron oxide red and iron oxide black.). The tablets do not contain gluten.</w:t>
      </w:r>
    </w:p>
    <w:p w14:paraId="2F9ABAB9" w14:textId="77777777" w:rsidR="00DA417B" w:rsidRPr="00E914FB" w:rsidRDefault="00356BCD" w:rsidP="00CD0524">
      <w:pPr>
        <w:pStyle w:val="Heading1"/>
        <w:jc w:val="left"/>
        <w:rPr>
          <w:rFonts w:cs="Arial"/>
        </w:rPr>
      </w:pPr>
      <w:bookmarkStart w:id="4" w:name="_Toc383787389"/>
      <w:r w:rsidRPr="00E914FB">
        <w:rPr>
          <w:rFonts w:cs="Arial"/>
        </w:rPr>
        <w:t>Pharmacology</w:t>
      </w:r>
      <w:bookmarkEnd w:id="4"/>
    </w:p>
    <w:p w14:paraId="2F9ABABA" w14:textId="77777777" w:rsidR="00DA417B" w:rsidRPr="00E914FB" w:rsidRDefault="00356BCD" w:rsidP="00CD0524">
      <w:pPr>
        <w:pStyle w:val="Heading2Unnumbered"/>
        <w:rPr>
          <w:sz w:val="22"/>
          <w:szCs w:val="22"/>
          <w:lang w:val="en-AU"/>
        </w:rPr>
      </w:pPr>
      <w:bookmarkStart w:id="5" w:name="_Toc383787390"/>
      <w:r w:rsidRPr="00E914FB">
        <w:rPr>
          <w:sz w:val="22"/>
          <w:szCs w:val="22"/>
          <w:lang w:val="en-AU"/>
        </w:rPr>
        <w:t>Pharmacodynamics</w:t>
      </w:r>
      <w:bookmarkEnd w:id="5"/>
    </w:p>
    <w:p w14:paraId="2F9ABABB" w14:textId="68668A6A" w:rsidR="00DA417B" w:rsidRPr="00E914FB" w:rsidRDefault="00356BCD" w:rsidP="00CD0524">
      <w:pPr>
        <w:spacing w:line="240" w:lineRule="auto"/>
        <w:jc w:val="both"/>
        <w:outlineLvl w:val="0"/>
        <w:rPr>
          <w:rFonts w:cs="Arial"/>
          <w:noProof/>
        </w:rPr>
      </w:pPr>
      <w:bookmarkStart w:id="6" w:name="_Toc383787391"/>
      <w:r w:rsidRPr="00E914FB">
        <w:rPr>
          <w:rFonts w:cs="Arial"/>
        </w:rPr>
        <w:t xml:space="preserve">Pharmacotherapeutic group: </w:t>
      </w:r>
      <w:r w:rsidRPr="00E914FB">
        <w:rPr>
          <w:rFonts w:eastAsia="TimesNewRoman" w:cs="Arial"/>
        </w:rPr>
        <w:t>Direct-acting antiviral</w:t>
      </w:r>
      <w:r w:rsidRPr="00E914FB">
        <w:rPr>
          <w:rFonts w:cs="Arial"/>
        </w:rPr>
        <w:t>,</w:t>
      </w:r>
      <w:r w:rsidRPr="00E914FB">
        <w:rPr>
          <w:rFonts w:cs="Arial"/>
          <w:noProof/>
        </w:rPr>
        <w:t xml:space="preserve"> ATC code: </w:t>
      </w:r>
      <w:r w:rsidR="002E70CC" w:rsidRPr="002E70CC">
        <w:rPr>
          <w:rFonts w:cs="Arial"/>
          <w:noProof/>
        </w:rPr>
        <w:t>J05AX66</w:t>
      </w:r>
      <w:bookmarkEnd w:id="6"/>
    </w:p>
    <w:p w14:paraId="2F9ABABC" w14:textId="77777777" w:rsidR="00DA417B" w:rsidRPr="00E914FB" w:rsidRDefault="00356BCD" w:rsidP="00CD0524">
      <w:pPr>
        <w:spacing w:line="240" w:lineRule="auto"/>
        <w:jc w:val="both"/>
        <w:rPr>
          <w:rFonts w:cs="Arial"/>
          <w:u w:val="single"/>
        </w:rPr>
      </w:pPr>
      <w:r w:rsidRPr="00E914FB">
        <w:rPr>
          <w:rFonts w:cs="Arial"/>
          <w:u w:val="single"/>
        </w:rPr>
        <w:t>Mechanism of Action</w:t>
      </w:r>
    </w:p>
    <w:p w14:paraId="2F9ABABD" w14:textId="5B3FAA99" w:rsidR="00DA417B" w:rsidRPr="00E914FB" w:rsidRDefault="00714993" w:rsidP="00CD0524">
      <w:pPr>
        <w:spacing w:line="240" w:lineRule="auto"/>
        <w:jc w:val="both"/>
        <w:rPr>
          <w:rFonts w:cs="Arial"/>
        </w:rPr>
      </w:pPr>
      <w:r w:rsidRPr="00E914FB">
        <w:rPr>
          <w:rFonts w:cs="Arial"/>
        </w:rPr>
        <w:t>VIEKIRA PAK</w:t>
      </w:r>
      <w:r w:rsidR="00356BCD" w:rsidRPr="00E914FB">
        <w:rPr>
          <w:rFonts w:cs="Arial"/>
        </w:rPr>
        <w:t xml:space="preserve"> combines three direct-acting hepatitis C virus antiviral agents with distinct mechanisms of action and non-overlapping resistance profiles to target HCV at multiple steps in the viral lifecycle. </w:t>
      </w:r>
    </w:p>
    <w:p w14:paraId="408C55B5" w14:textId="3FE7D9D6" w:rsidR="00211D2D" w:rsidRPr="00E914FB" w:rsidRDefault="00211D2D" w:rsidP="00CD0524">
      <w:pPr>
        <w:spacing w:line="240" w:lineRule="auto"/>
        <w:jc w:val="both"/>
        <w:rPr>
          <w:rFonts w:eastAsia="MS Mincho" w:cs="Arial"/>
          <w:i/>
          <w:lang w:eastAsia="ja-JP"/>
        </w:rPr>
      </w:pPr>
      <w:r w:rsidRPr="00E914FB">
        <w:rPr>
          <w:rFonts w:eastAsia="MS Mincho" w:cs="Arial"/>
          <w:i/>
          <w:lang w:eastAsia="ja-JP"/>
        </w:rPr>
        <w:t>Paritaprevir</w:t>
      </w:r>
    </w:p>
    <w:p w14:paraId="62C0E23C" w14:textId="77777777" w:rsidR="00211D2D" w:rsidRPr="00E914FB" w:rsidRDefault="00211D2D" w:rsidP="00CD0524">
      <w:pPr>
        <w:spacing w:line="240" w:lineRule="auto"/>
        <w:jc w:val="both"/>
        <w:rPr>
          <w:rFonts w:cs="Arial"/>
        </w:rPr>
      </w:pPr>
      <w:r w:rsidRPr="00E914FB">
        <w:rPr>
          <w:rFonts w:cs="Arial"/>
        </w:rPr>
        <w:t xml:space="preserve">Paritaprevir is an inhibitor of HCV NS3/4A protease which is necessary for the proteolytic cleavage of the HCV encoded polyproteins </w:t>
      </w:r>
      <w:r w:rsidRPr="00E914FB">
        <w:t>(into mature forms of the NS3, NS4A, NS4B, NS5A, and NS5B proteins)</w:t>
      </w:r>
      <w:r w:rsidRPr="00E914FB">
        <w:rPr>
          <w:sz w:val="20"/>
          <w:szCs w:val="20"/>
        </w:rPr>
        <w:t xml:space="preserve"> </w:t>
      </w:r>
      <w:r w:rsidRPr="00E914FB">
        <w:rPr>
          <w:rFonts w:cs="Arial"/>
        </w:rPr>
        <w:t xml:space="preserve">and is essential for viral replication. </w:t>
      </w:r>
    </w:p>
    <w:p w14:paraId="1CB3FDB4" w14:textId="77777777" w:rsidR="00211D2D" w:rsidRPr="00E914FB" w:rsidRDefault="00211D2D" w:rsidP="00CD0524">
      <w:pPr>
        <w:spacing w:line="240" w:lineRule="auto"/>
        <w:jc w:val="both"/>
        <w:rPr>
          <w:rFonts w:cs="Arial"/>
        </w:rPr>
      </w:pPr>
      <w:r w:rsidRPr="00E914FB">
        <w:rPr>
          <w:rFonts w:cs="Arial"/>
        </w:rPr>
        <w:t>Ritonavir is not active against HCV. Ritonavir is a pharmacokinetic enhancer that increases peak and trough plasma drug concentrations of paritaprevir and overall drug exposure (i.e. area under the curve).</w:t>
      </w:r>
    </w:p>
    <w:p w14:paraId="40189711" w14:textId="3C9CCE5E" w:rsidR="00211D2D" w:rsidRPr="00E914FB" w:rsidRDefault="00211D2D" w:rsidP="00CD0524">
      <w:pPr>
        <w:spacing w:line="240" w:lineRule="auto"/>
        <w:jc w:val="both"/>
        <w:rPr>
          <w:rFonts w:eastAsia="MS Mincho" w:cs="Arial"/>
          <w:i/>
          <w:lang w:eastAsia="ja-JP"/>
        </w:rPr>
      </w:pPr>
      <w:r w:rsidRPr="00E914FB">
        <w:rPr>
          <w:rFonts w:eastAsia="MS Mincho" w:cs="Arial"/>
          <w:i/>
          <w:lang w:eastAsia="ja-JP"/>
        </w:rPr>
        <w:t>Ombitasvir</w:t>
      </w:r>
    </w:p>
    <w:p w14:paraId="0A683541" w14:textId="77777777" w:rsidR="00211D2D" w:rsidRPr="00E914FB" w:rsidRDefault="00211D2D" w:rsidP="00CD0524">
      <w:pPr>
        <w:spacing w:line="240" w:lineRule="auto"/>
        <w:jc w:val="both"/>
        <w:rPr>
          <w:rFonts w:cs="Arial"/>
        </w:rPr>
      </w:pPr>
      <w:r w:rsidRPr="00E914FB">
        <w:rPr>
          <w:rFonts w:cs="Arial"/>
        </w:rPr>
        <w:t xml:space="preserve">Ombitasvir is an inhibitor of HCV NS5A which is necessary for viral replication. </w:t>
      </w:r>
    </w:p>
    <w:p w14:paraId="5ACFBC6E" w14:textId="66A5CE01" w:rsidR="00211D2D" w:rsidRPr="00E914FB" w:rsidRDefault="00211D2D" w:rsidP="00CD0524">
      <w:pPr>
        <w:spacing w:line="240" w:lineRule="auto"/>
        <w:jc w:val="both"/>
        <w:rPr>
          <w:rFonts w:eastAsia="MS Mincho" w:cs="Arial"/>
          <w:i/>
          <w:lang w:eastAsia="ja-JP"/>
        </w:rPr>
      </w:pPr>
      <w:r w:rsidRPr="00E914FB">
        <w:rPr>
          <w:rFonts w:eastAsia="MS Mincho" w:cs="Arial"/>
          <w:i/>
          <w:lang w:eastAsia="ja-JP"/>
        </w:rPr>
        <w:lastRenderedPageBreak/>
        <w:t>Dasabuvir</w:t>
      </w:r>
    </w:p>
    <w:p w14:paraId="6E7C9C2E" w14:textId="77777777" w:rsidR="00211D2D" w:rsidRPr="00E914FB" w:rsidRDefault="00211D2D" w:rsidP="00CD0524">
      <w:pPr>
        <w:spacing w:line="240" w:lineRule="auto"/>
        <w:jc w:val="both"/>
        <w:rPr>
          <w:rFonts w:eastAsia="MS Mincho" w:cs="Arial"/>
          <w:lang w:eastAsia="ja-JP"/>
        </w:rPr>
      </w:pPr>
      <w:r w:rsidRPr="00E914FB">
        <w:rPr>
          <w:rFonts w:eastAsia="MS Mincho" w:cs="Arial"/>
          <w:lang w:eastAsia="ja-JP"/>
        </w:rPr>
        <w:t xml:space="preserve">Dasabuvir is a non-nucleoside inhibitor of the HCV RNA-dependent RNA polymerase encoded by the NS5B gene.  </w:t>
      </w:r>
    </w:p>
    <w:p w14:paraId="2F9ABAC9" w14:textId="77777777" w:rsidR="00DA417B" w:rsidRPr="00E914FB" w:rsidRDefault="00356BCD" w:rsidP="00CD0524">
      <w:pPr>
        <w:spacing w:line="240" w:lineRule="auto"/>
        <w:jc w:val="both"/>
        <w:rPr>
          <w:rFonts w:cs="Arial"/>
        </w:rPr>
      </w:pPr>
      <w:r w:rsidRPr="00E914FB">
        <w:rPr>
          <w:rFonts w:cs="Arial"/>
          <w:u w:val="single"/>
        </w:rPr>
        <w:t>Activity in Cell Culture and/or Biochemical Studies</w:t>
      </w:r>
    </w:p>
    <w:p w14:paraId="347ABE6B" w14:textId="4684473D" w:rsidR="00211D2D" w:rsidRPr="00E914FB" w:rsidRDefault="00211D2D" w:rsidP="00CD0524">
      <w:pPr>
        <w:spacing w:line="240" w:lineRule="auto"/>
        <w:jc w:val="both"/>
        <w:rPr>
          <w:rFonts w:cs="Arial"/>
        </w:rPr>
      </w:pPr>
      <w:r w:rsidRPr="00E914FB">
        <w:rPr>
          <w:rFonts w:cs="Arial"/>
          <w:i/>
        </w:rPr>
        <w:t>Paritaprevir</w:t>
      </w:r>
    </w:p>
    <w:p w14:paraId="63E7DB5F" w14:textId="77777777" w:rsidR="00211D2D" w:rsidRPr="00E914FB" w:rsidRDefault="00211D2D" w:rsidP="00CD0524">
      <w:pPr>
        <w:spacing w:line="240" w:lineRule="auto"/>
        <w:jc w:val="both"/>
        <w:rPr>
          <w:rFonts w:cs="Arial"/>
        </w:rPr>
      </w:pPr>
      <w:r w:rsidRPr="00E914FB">
        <w:rPr>
          <w:rFonts w:cs="Arial"/>
        </w:rPr>
        <w:t>In a biochemical assay, paritaprevir inhibited the proteolytic activity of the recombinant HCV genotype 1a and 1b NS3/4A protease enzymes with IC</w:t>
      </w:r>
      <w:r w:rsidRPr="00E914FB">
        <w:rPr>
          <w:rFonts w:cs="Arial"/>
          <w:vertAlign w:val="subscript"/>
        </w:rPr>
        <w:t>50</w:t>
      </w:r>
      <w:r w:rsidRPr="00E914FB">
        <w:rPr>
          <w:rFonts w:cs="Arial"/>
        </w:rPr>
        <w:t xml:space="preserve"> values of 0.18 nM and 0.43 nM, respectively.  The EC</w:t>
      </w:r>
      <w:r w:rsidRPr="00E914FB">
        <w:rPr>
          <w:rFonts w:cs="Arial"/>
          <w:vertAlign w:val="subscript"/>
        </w:rPr>
        <w:t>50</w:t>
      </w:r>
      <w:r w:rsidRPr="00E914FB">
        <w:rPr>
          <w:rFonts w:cs="Arial"/>
        </w:rPr>
        <w:t xml:space="preserve"> of paritaprevir against genotype 1a-H77 and 1b-Con1 strains in the HCV replicon cell culture assay was 1.0 and 0.21 nM, respectively. The activity of paritaprevir was attenuated 24- to 27-fold in the presence of 40% human plasma. The mean EC</w:t>
      </w:r>
      <w:r w:rsidRPr="00E914FB">
        <w:rPr>
          <w:rFonts w:cs="Arial"/>
          <w:vertAlign w:val="subscript"/>
        </w:rPr>
        <w:t>50</w:t>
      </w:r>
      <w:r w:rsidRPr="00E914FB">
        <w:rPr>
          <w:rFonts w:cs="Arial"/>
        </w:rPr>
        <w:t xml:space="preserve"> of paritaprevir against replicons containing NS3 from a panel of treatment-naïve genotype 1a and 1b isolates in the HCV replicon cell culture assay was 0.86 nM (range 0.43 to 1.87 nM; n = 11) and 0.06 nM (range 0.03 to 0.09 nM; n = 9), respectively. Paritaprevir had an EC</w:t>
      </w:r>
      <w:r w:rsidRPr="00E914FB">
        <w:rPr>
          <w:rFonts w:cs="Arial"/>
          <w:vertAlign w:val="subscript"/>
        </w:rPr>
        <w:t>50</w:t>
      </w:r>
      <w:r w:rsidRPr="00E914FB">
        <w:rPr>
          <w:rFonts w:cs="Arial"/>
        </w:rPr>
        <w:t xml:space="preserve"> value of 5.3 nM against the 2a-JFH-1 replicon cell line, and EC</w:t>
      </w:r>
      <w:r w:rsidRPr="00E914FB">
        <w:rPr>
          <w:rFonts w:cs="Arial"/>
          <w:vertAlign w:val="subscript"/>
        </w:rPr>
        <w:t>50</w:t>
      </w:r>
      <w:r w:rsidRPr="00E914FB">
        <w:rPr>
          <w:rFonts w:cs="Arial"/>
        </w:rPr>
        <w:t xml:space="preserve"> values of 19, 0.09, and 0.68 nM against replicon cell lines containing NS3 from a single isolate each of genotype 3a, 4a, and 6a, respectively. In a biochemical assay, paritaprevir inhibited the activity of NS3/4A enzymes from single isolates of genotypes 2a, 2b, 3a, and 4a with IC</w:t>
      </w:r>
      <w:r w:rsidRPr="00E914FB">
        <w:rPr>
          <w:rFonts w:cs="Arial"/>
          <w:vertAlign w:val="subscript"/>
        </w:rPr>
        <w:t>50</w:t>
      </w:r>
      <w:r w:rsidRPr="00E914FB">
        <w:rPr>
          <w:rFonts w:cs="Arial"/>
        </w:rPr>
        <w:t xml:space="preserve"> values of 2.4, 6.3, 14.5, and 0.16 nM, respectively.</w:t>
      </w:r>
    </w:p>
    <w:p w14:paraId="50D7B6CF" w14:textId="77777777" w:rsidR="00211D2D" w:rsidRPr="00E914FB" w:rsidRDefault="00211D2D" w:rsidP="00CD0524">
      <w:pPr>
        <w:spacing w:line="240" w:lineRule="auto"/>
        <w:jc w:val="both"/>
        <w:rPr>
          <w:rFonts w:cs="Arial"/>
        </w:rPr>
      </w:pPr>
      <w:r w:rsidRPr="00E914FB">
        <w:rPr>
          <w:rFonts w:cs="Arial"/>
        </w:rPr>
        <w:t xml:space="preserve">Ritonavir did not exhibit a direct antiviral effect on the replication of HCV subgenomic replicons, and the presence of ritonavir did not affect the </w:t>
      </w:r>
      <w:r w:rsidRPr="00E914FB">
        <w:rPr>
          <w:rFonts w:cs="Arial"/>
          <w:i/>
        </w:rPr>
        <w:t>in vitro</w:t>
      </w:r>
      <w:r w:rsidRPr="00E914FB">
        <w:rPr>
          <w:rFonts w:cs="Arial"/>
        </w:rPr>
        <w:t xml:space="preserve"> antiviral activity of paritaprevir.</w:t>
      </w:r>
    </w:p>
    <w:p w14:paraId="7E8D013B" w14:textId="37607B84" w:rsidR="00211D2D" w:rsidRPr="00E914FB" w:rsidRDefault="00211D2D" w:rsidP="00CD0524">
      <w:pPr>
        <w:spacing w:line="240" w:lineRule="auto"/>
        <w:jc w:val="both"/>
        <w:rPr>
          <w:rFonts w:cs="Arial"/>
        </w:rPr>
      </w:pPr>
      <w:r w:rsidRPr="00E914FB">
        <w:rPr>
          <w:rFonts w:cs="Arial"/>
          <w:i/>
        </w:rPr>
        <w:t>Ombitasvir</w:t>
      </w:r>
    </w:p>
    <w:p w14:paraId="02753311" w14:textId="77777777" w:rsidR="00211D2D" w:rsidRDefault="00211D2D" w:rsidP="00CD0524">
      <w:pPr>
        <w:spacing w:line="240" w:lineRule="auto"/>
        <w:jc w:val="both"/>
        <w:rPr>
          <w:iCs/>
        </w:rPr>
      </w:pPr>
      <w:r w:rsidRPr="00E914FB">
        <w:rPr>
          <w:rFonts w:cs="Arial"/>
        </w:rPr>
        <w:t>In replicon cell culture assays, ombitasvir has EC</w:t>
      </w:r>
      <w:r w:rsidRPr="00E914FB">
        <w:rPr>
          <w:rFonts w:cs="Arial"/>
          <w:vertAlign w:val="subscript"/>
        </w:rPr>
        <w:t>50</w:t>
      </w:r>
      <w:r w:rsidRPr="00E914FB">
        <w:rPr>
          <w:rFonts w:cs="Arial"/>
        </w:rPr>
        <w:t xml:space="preserve"> values of 14.1 pM and 5.0 pM against HCV genotypes 1a-H77 and 1b-Con1, respectively. The activity of ombitasvir was attenuated 11- to 13-fold in the presence of 40% human plasma. The mean EC</w:t>
      </w:r>
      <w:r w:rsidRPr="00E914FB">
        <w:rPr>
          <w:rFonts w:cs="Arial"/>
          <w:vertAlign w:val="subscript"/>
        </w:rPr>
        <w:t>50</w:t>
      </w:r>
      <w:r w:rsidRPr="00E914FB">
        <w:rPr>
          <w:rFonts w:cs="Arial"/>
        </w:rPr>
        <w:t xml:space="preserve"> of ombitasvir against replicons containing NS5A from a panel of treatment-naïve genotype 1a and 1b isolates in the HCV replicon cell culture assay was 0.66 pM (range 0.35 to 0.88 pM; n = 11) and 1.0 pM (range 0.74 to 1.5 pM; n = 11), respectively. Ombitasvir has EC</w:t>
      </w:r>
      <w:r w:rsidRPr="00E914FB">
        <w:rPr>
          <w:rFonts w:cs="Arial"/>
          <w:vertAlign w:val="subscript"/>
        </w:rPr>
        <w:t>50</w:t>
      </w:r>
      <w:r w:rsidRPr="00E914FB">
        <w:rPr>
          <w:rFonts w:cs="Arial"/>
        </w:rPr>
        <w:t xml:space="preserve"> values of 12, 4.3, 19, 1.7, 3.2, and 366 pM against replicon cell lines constructed with NS5A from single isolates representing genotypes 2a, 2b, 3a, 4a, 5a, and 6a, respectively. </w:t>
      </w:r>
      <w:r w:rsidRPr="00E914FB">
        <w:rPr>
          <w:iCs/>
        </w:rPr>
        <w:t>Negligible anti-viral activity against genotypes 1a-H77 and 1b-Con1 was noted by the human major metabolites of ombitasvir, M29 and M36 in the HCV replicon assay; M29 and M36 do not contribute to antiviral activity of ombitasvir.</w:t>
      </w:r>
    </w:p>
    <w:p w14:paraId="6534C59A" w14:textId="7DC0A634" w:rsidR="00211D2D" w:rsidRPr="00E914FB" w:rsidRDefault="00211D2D" w:rsidP="00CD0524">
      <w:pPr>
        <w:spacing w:line="240" w:lineRule="auto"/>
        <w:jc w:val="both"/>
        <w:rPr>
          <w:rFonts w:cs="Arial"/>
        </w:rPr>
      </w:pPr>
      <w:r w:rsidRPr="00E914FB">
        <w:rPr>
          <w:rFonts w:cs="Arial"/>
          <w:i/>
        </w:rPr>
        <w:t>Dasabuvir</w:t>
      </w:r>
    </w:p>
    <w:p w14:paraId="348D8827" w14:textId="77777777" w:rsidR="00211D2D" w:rsidRPr="00E914FB" w:rsidRDefault="00211D2D" w:rsidP="00CD0524">
      <w:pPr>
        <w:spacing w:line="240" w:lineRule="auto"/>
        <w:jc w:val="both"/>
        <w:rPr>
          <w:rFonts w:cs="Arial"/>
        </w:rPr>
      </w:pPr>
      <w:r w:rsidRPr="00E914FB">
        <w:rPr>
          <w:rFonts w:eastAsia="MS Mincho" w:cs="Arial"/>
          <w:lang w:eastAsia="ja-JP"/>
        </w:rPr>
        <w:t>In a biochemical assay, dasabuvir inhibited the polymerase activity of the recombinant HCV genotype 1a and 1b HCV NS5B enzymes with IC</w:t>
      </w:r>
      <w:r w:rsidRPr="00E914FB">
        <w:rPr>
          <w:rFonts w:eastAsia="MS Mincho" w:cs="Arial"/>
          <w:vertAlign w:val="subscript"/>
          <w:lang w:eastAsia="ja-JP"/>
        </w:rPr>
        <w:t>50</w:t>
      </w:r>
      <w:r w:rsidRPr="00E914FB">
        <w:rPr>
          <w:rFonts w:eastAsia="MS Mincho" w:cs="Arial"/>
          <w:lang w:eastAsia="ja-JP"/>
        </w:rPr>
        <w:t xml:space="preserve"> values of 2.8 nM and 10.7 nM, respectively. </w:t>
      </w:r>
      <w:r w:rsidRPr="00E914FB">
        <w:rPr>
          <w:rFonts w:cs="Arial"/>
        </w:rPr>
        <w:t>The EC</w:t>
      </w:r>
      <w:r w:rsidRPr="00E914FB">
        <w:rPr>
          <w:rFonts w:cs="Arial"/>
          <w:vertAlign w:val="subscript"/>
        </w:rPr>
        <w:t>50</w:t>
      </w:r>
      <w:r w:rsidRPr="00E914FB">
        <w:rPr>
          <w:rFonts w:cs="Arial"/>
        </w:rPr>
        <w:t xml:space="preserve"> of dasabuvir against genotype 1a-H77 and 1b-Con1 strains in HCV replicon cell culture assays was 7.7 and 1.8 nM, respectively. The replicon activity of dasabuvir was attenuated 12- to 13-fold in the presence of 40% human plasma. The mean EC</w:t>
      </w:r>
      <w:r w:rsidRPr="00E914FB">
        <w:rPr>
          <w:rFonts w:cs="Arial"/>
          <w:vertAlign w:val="subscript"/>
        </w:rPr>
        <w:t>50</w:t>
      </w:r>
      <w:r w:rsidRPr="00E914FB">
        <w:rPr>
          <w:rFonts w:cs="Arial"/>
        </w:rPr>
        <w:t xml:space="preserve"> of dasabuvir against replicons containing NS5B from a panel of treatment-naïve genotype 1a and 1b isolates in the HCV replicon cell culture assay was 0.77 nM (range 0.4 to 2.1 nM; n = 11) and 0.46 nM (range 0.2 to 2 nM; n = 10), respectively. In biochemical assays, dasabuvir inhibited a panel of genotype 1a and 1b polymerases with a mean IC</w:t>
      </w:r>
      <w:r w:rsidRPr="00E914FB">
        <w:rPr>
          <w:rFonts w:cs="Arial"/>
          <w:vertAlign w:val="subscript"/>
        </w:rPr>
        <w:t xml:space="preserve">50 </w:t>
      </w:r>
      <w:r w:rsidRPr="00E914FB">
        <w:rPr>
          <w:rFonts w:cs="Arial"/>
        </w:rPr>
        <w:t xml:space="preserve">value of 4.2 nM (range 2.2 to 10.7 nM; n = 7). </w:t>
      </w:r>
      <w:r w:rsidRPr="00E914FB">
        <w:rPr>
          <w:iCs/>
        </w:rPr>
        <w:t>Dasabuvir had lower potency (&gt;200 times) against polymerases from other HCV genotypes (2a, 2b, 3a and 4a). The M1 metabolite of dasabuvir had 30‒40% lower potency than dasabuvir against genotypes 1a-H77 and 1b-Con1 in the HCV replicon assay.</w:t>
      </w:r>
    </w:p>
    <w:p w14:paraId="34AD1D88" w14:textId="77777777" w:rsidR="00211D2D" w:rsidRPr="00E914FB" w:rsidRDefault="00211D2D" w:rsidP="008B54FF">
      <w:pPr>
        <w:pageBreakBefore/>
        <w:spacing w:line="240" w:lineRule="auto"/>
        <w:jc w:val="both"/>
        <w:rPr>
          <w:rFonts w:cs="Arial"/>
        </w:rPr>
      </w:pPr>
      <w:r w:rsidRPr="00E914FB">
        <w:rPr>
          <w:rFonts w:cs="Arial"/>
          <w:u w:val="single"/>
        </w:rPr>
        <w:lastRenderedPageBreak/>
        <w:t>Combination Activity</w:t>
      </w:r>
      <w:r w:rsidRPr="00E914FB">
        <w:rPr>
          <w:rFonts w:cs="Arial"/>
          <w:i/>
          <w:u w:val="single"/>
        </w:rPr>
        <w:t xml:space="preserve"> in vitro</w:t>
      </w:r>
    </w:p>
    <w:p w14:paraId="7052AA51" w14:textId="77777777" w:rsidR="00211D2D" w:rsidRPr="00E914FB" w:rsidRDefault="00211D2D" w:rsidP="00CD0524">
      <w:pPr>
        <w:spacing w:line="240" w:lineRule="auto"/>
        <w:jc w:val="both"/>
        <w:rPr>
          <w:rFonts w:cs="Arial"/>
        </w:rPr>
      </w:pPr>
      <w:r w:rsidRPr="00E914FB">
        <w:rPr>
          <w:rFonts w:cs="Arial"/>
        </w:rPr>
        <w:t>All two-drug combinations of paritaprevir, ombitasvir, dasabuvir and ribavirin demonstrated additive to synergistic inhibition of HCV genotype 1 replicon at the majority of drug concentrations studied in short term cell culture assays. In long term replicon survival assays, the ability of drug-resistant cells to form colonies in the presence of a single drug or drugs in combination was evaluated. In pair-wise combinations of paritaprevir, ombitasvir, and dasabuvir at concentrations 10-fold over their respective EC</w:t>
      </w:r>
      <w:r w:rsidRPr="00E914FB">
        <w:rPr>
          <w:rFonts w:cs="Arial"/>
          <w:vertAlign w:val="subscript"/>
        </w:rPr>
        <w:t>50</w:t>
      </w:r>
      <w:r w:rsidRPr="00E914FB">
        <w:rPr>
          <w:rFonts w:cs="Arial"/>
        </w:rPr>
        <w:t>, colony survival was reduced by more than 100-fold by two drugs as compared to each drug alone.  When all three drugs were combined at concentrations of 5-fold above their respective EC</w:t>
      </w:r>
      <w:r w:rsidRPr="00E914FB">
        <w:rPr>
          <w:rFonts w:cs="Arial"/>
          <w:vertAlign w:val="subscript"/>
        </w:rPr>
        <w:t>50</w:t>
      </w:r>
      <w:r w:rsidRPr="00E914FB">
        <w:rPr>
          <w:rFonts w:cs="Arial"/>
        </w:rPr>
        <w:t>, no drug-resistant colonies survived.</w:t>
      </w:r>
    </w:p>
    <w:p w14:paraId="2E5CE34F" w14:textId="77777777" w:rsidR="00211D2D" w:rsidRPr="00E914FB" w:rsidRDefault="00211D2D" w:rsidP="00CD0524">
      <w:pPr>
        <w:spacing w:line="240" w:lineRule="auto"/>
        <w:jc w:val="both"/>
        <w:rPr>
          <w:rFonts w:cs="Arial"/>
        </w:rPr>
      </w:pPr>
      <w:r w:rsidRPr="00E914FB">
        <w:rPr>
          <w:rFonts w:cs="Arial"/>
          <w:u w:val="single"/>
        </w:rPr>
        <w:t>Resistance in Cell Culture</w:t>
      </w:r>
    </w:p>
    <w:p w14:paraId="3C89072B" w14:textId="77777777" w:rsidR="00211D2D" w:rsidRPr="00E914FB" w:rsidRDefault="00211D2D" w:rsidP="00CD0524">
      <w:pPr>
        <w:spacing w:line="240" w:lineRule="auto"/>
        <w:jc w:val="both"/>
        <w:rPr>
          <w:rFonts w:cs="Arial"/>
        </w:rPr>
      </w:pPr>
      <w:r w:rsidRPr="00E914FB">
        <w:rPr>
          <w:rFonts w:cs="Arial"/>
        </w:rPr>
        <w:t>Resistance to paritaprevir, ombitasvir, or dasabuvir conferred by variants in NS3, NS5A, or NS5B, respectively, selected in cell culture or identified in Phase 2b and 3 clinical trials were phenotypically characterized in the appropriate genotype 1a or 1b replicons.</w:t>
      </w:r>
    </w:p>
    <w:p w14:paraId="6FE4E2AC" w14:textId="40433D4B" w:rsidR="00211D2D" w:rsidRPr="00E914FB" w:rsidRDefault="00211D2D" w:rsidP="00CD0524">
      <w:pPr>
        <w:spacing w:line="240" w:lineRule="auto"/>
        <w:jc w:val="both"/>
        <w:rPr>
          <w:rFonts w:cs="Arial"/>
        </w:rPr>
      </w:pPr>
      <w:r w:rsidRPr="00E914FB">
        <w:rPr>
          <w:rFonts w:cs="Arial"/>
        </w:rPr>
        <w:t>In genotype 1a, substitutions F43L, R155</w:t>
      </w:r>
      <w:r w:rsidRPr="00E914FB">
        <w:rPr>
          <w:iCs/>
        </w:rPr>
        <w:t xml:space="preserve"> G</w:t>
      </w:r>
      <w:r w:rsidRPr="00E914FB">
        <w:rPr>
          <w:rFonts w:cs="Arial"/>
        </w:rPr>
        <w:t>/K</w:t>
      </w:r>
      <w:r w:rsidRPr="00E914FB">
        <w:rPr>
          <w:iCs/>
        </w:rPr>
        <w:t>/S</w:t>
      </w:r>
      <w:r w:rsidRPr="00E914FB">
        <w:rPr>
          <w:rFonts w:cs="Arial"/>
        </w:rPr>
        <w:t xml:space="preserve">, A156T, and D168A/E/F/H/N/V/Y in HCV NS3 reduced susceptibility to </w:t>
      </w:r>
      <w:r w:rsidR="00955993">
        <w:rPr>
          <w:rFonts w:cs="Arial"/>
        </w:rPr>
        <w:t>paritaprevir by 7- to 219-fold</w:t>
      </w:r>
      <w:r w:rsidRPr="00E914FB">
        <w:rPr>
          <w:rFonts w:cs="Arial"/>
        </w:rPr>
        <w:t xml:space="preserve">. The activity of paritaprevir in genotype 1a was not significantly affected (less than or equal to 3-fold) by single substitutions V23A (in NS4A), V36A/M, V55I, Y56H, Q80K or E357K. Double variants including combinations of V36M, F43L, Y56H, or E357K with R155K or with a D168 substitution reduced the activity of paritaprevir by an additional 2- to 7-fold relative to the single R155K or D168 substitution. In genotype 1b, substitutions A156T, D168A/H/V/Y, and Y56H in combination with D168A/V/Y in HCV NS3 reduced susceptibility to paritaprevir. In the genotype 1b replicon, the activity of paritaprevir was reduced 27- to 337-fold by D168A/H/V/Y substitutions. The combination of Y56H and D168A, D168V or D168Y reduced the activity of paritaprevir by an additional 12- to 26-fold relative to the single D168 substitution in genotype 1b replicons. </w:t>
      </w:r>
    </w:p>
    <w:p w14:paraId="3AD8C976" w14:textId="0BAFFF1E" w:rsidR="00211D2D" w:rsidRPr="00E914FB" w:rsidRDefault="00211D2D" w:rsidP="00CD0524">
      <w:pPr>
        <w:spacing w:line="240" w:lineRule="auto"/>
        <w:jc w:val="both"/>
        <w:rPr>
          <w:rFonts w:cs="Arial"/>
        </w:rPr>
      </w:pPr>
      <w:r w:rsidRPr="00E914FB">
        <w:rPr>
          <w:rFonts w:cs="Arial"/>
        </w:rPr>
        <w:t>In genotype 1a, substitutions M28T/V, Q30E/R, H58D, Y93C/H/L/N</w:t>
      </w:r>
      <w:r w:rsidRPr="00E914FB">
        <w:rPr>
          <w:i/>
          <w:iCs/>
        </w:rPr>
        <w:t xml:space="preserve"> </w:t>
      </w:r>
      <w:r w:rsidRPr="00E914FB">
        <w:rPr>
          <w:rFonts w:cs="Arial"/>
        </w:rPr>
        <w:t>in HCV NS5A reduced susceptibility to ombitasvir by 58- to 67,000 fold. In genotype 1b, substitutions L28T, L31F/V, and Y93H in HCV NS5A reduced susceptibility to ombitasvir 8- to 661 fold.  In general, combinations of ombitasvir resistance-associated substitutions in HCV genotype 1a or 1b replicons further reduced ombitasvir antiviral activity.</w:t>
      </w:r>
    </w:p>
    <w:p w14:paraId="29B579C7" w14:textId="77777777" w:rsidR="00211D2D" w:rsidRPr="00E914FB" w:rsidRDefault="00211D2D" w:rsidP="00CD0524">
      <w:pPr>
        <w:spacing w:line="240" w:lineRule="auto"/>
        <w:jc w:val="both"/>
        <w:rPr>
          <w:rFonts w:cs="Arial"/>
        </w:rPr>
      </w:pPr>
      <w:r w:rsidRPr="00E914FB">
        <w:rPr>
          <w:rFonts w:cs="Arial"/>
        </w:rPr>
        <w:t xml:space="preserve">In genotype 1a, substitutions C316Y, M4141/T, </w:t>
      </w:r>
      <w:r w:rsidRPr="00E914FB">
        <w:rPr>
          <w:iCs/>
        </w:rPr>
        <w:t>N444K, E446K/Q, Y448C/H</w:t>
      </w:r>
      <w:r w:rsidRPr="00E914FB">
        <w:rPr>
          <w:rFonts w:cs="Arial"/>
        </w:rPr>
        <w:t xml:space="preserve">, A553T, G554S, S556G/R, and Y561H in HCV NS5B reduced susceptibility to dasabuvir by 5- to 1472 fold. G558R and D559G/N were observed as treatment-emergent substitutions but the activity of dasabuvir against these variants could not be evaluated due to poor replication capacity. In genotype 1b, substitutions </w:t>
      </w:r>
      <w:r w:rsidRPr="00E914FB">
        <w:rPr>
          <w:iCs/>
        </w:rPr>
        <w:t>C316H/N/Y, S368T, N411S, M414I/T/V</w:t>
      </w:r>
      <w:r w:rsidRPr="00E914FB">
        <w:rPr>
          <w:rFonts w:cs="Arial"/>
        </w:rPr>
        <w:t xml:space="preserve">, </w:t>
      </w:r>
      <w:r w:rsidRPr="00E914FB">
        <w:rPr>
          <w:iCs/>
        </w:rPr>
        <w:t>Y448C/H</w:t>
      </w:r>
      <w:r w:rsidRPr="00E914FB">
        <w:rPr>
          <w:rFonts w:cs="Arial"/>
        </w:rPr>
        <w:t xml:space="preserve">, </w:t>
      </w:r>
      <w:r w:rsidRPr="00E914FB">
        <w:rPr>
          <w:iCs/>
        </w:rPr>
        <w:t xml:space="preserve">A553V </w:t>
      </w:r>
      <w:r w:rsidRPr="00E914FB">
        <w:rPr>
          <w:rFonts w:cs="Arial"/>
        </w:rPr>
        <w:t xml:space="preserve">,S556G </w:t>
      </w:r>
      <w:r w:rsidRPr="00E914FB">
        <w:rPr>
          <w:iCs/>
        </w:rPr>
        <w:t xml:space="preserve">and D559G </w:t>
      </w:r>
      <w:r w:rsidRPr="00E914FB">
        <w:rPr>
          <w:rFonts w:cs="Arial"/>
        </w:rPr>
        <w:t>in HCV NS5B reduced susceptibility to dasabuvir by 5- to 1569 fold.. Dasabuvir retained full activity against replicons containing substitutions S282T in the nucleoside binding site, M423T in the lower thumb site, and P495A/S, P496S or V499A in the upper thumb site.</w:t>
      </w:r>
    </w:p>
    <w:p w14:paraId="320D8CD4" w14:textId="77777777" w:rsidR="00211D2D" w:rsidRPr="00E914FB" w:rsidRDefault="00211D2D" w:rsidP="00CD0524">
      <w:pPr>
        <w:spacing w:line="240" w:lineRule="auto"/>
        <w:jc w:val="both"/>
        <w:rPr>
          <w:rFonts w:cs="Arial"/>
        </w:rPr>
      </w:pPr>
      <w:r w:rsidRPr="00E914FB">
        <w:rPr>
          <w:rFonts w:cs="Arial"/>
          <w:u w:val="single"/>
        </w:rPr>
        <w:t>Effect of Baseline HCV Substitutions/Polymorphisms on Treatment Response</w:t>
      </w:r>
    </w:p>
    <w:p w14:paraId="4CE06A12" w14:textId="77777777" w:rsidR="00211D2D" w:rsidRPr="00E914FB" w:rsidRDefault="00211D2D" w:rsidP="00CD0524">
      <w:pPr>
        <w:spacing w:line="240" w:lineRule="auto"/>
        <w:jc w:val="both"/>
        <w:rPr>
          <w:rFonts w:cs="Arial"/>
        </w:rPr>
      </w:pPr>
      <w:r w:rsidRPr="00E914FB">
        <w:rPr>
          <w:rFonts w:cs="Arial"/>
        </w:rPr>
        <w:t>A pooled analysis of subjects in the Phase 2b and 3 clinical trials treated with paritaprevir, ombitasvir, and dasabuvir with or without ribavirin was conducted to explore the association between the baseline NS3/4A, NS5A or NS5B substitutions/polymorphisms and treatment outcome in recommended regimens.</w:t>
      </w:r>
    </w:p>
    <w:p w14:paraId="58521233" w14:textId="77777777" w:rsidR="00211D2D" w:rsidRPr="00E914FB" w:rsidRDefault="00211D2D" w:rsidP="00CD0524">
      <w:pPr>
        <w:spacing w:line="240" w:lineRule="auto"/>
        <w:jc w:val="both"/>
        <w:rPr>
          <w:rFonts w:cs="Arial"/>
        </w:rPr>
      </w:pPr>
      <w:r w:rsidRPr="00E914FB">
        <w:rPr>
          <w:rFonts w:cs="Arial"/>
        </w:rPr>
        <w:t xml:space="preserve">In the greater than 500 genotype 1a baseline samples in this analysis, the most frequently observed resistance-associated variants were M28V (7.4%) in NS5A and S556G (2.9%) in NS5B. Q80K, although </w:t>
      </w:r>
      <w:r w:rsidRPr="00E914FB">
        <w:rPr>
          <w:rFonts w:cs="Arial"/>
        </w:rPr>
        <w:lastRenderedPageBreak/>
        <w:t>a highly prevalent polymorphism in NS3 (41.2% of samples), confers minimal resistance to paritaprevir. Resistance-associated variants at amino acid positions R155 and D168 in NS3 were rarely observed (less than 1%) at baseline. In the greater than 200 genotype 1b baseline samples in this analysis, the most frequently observed resistance-associated variants observed were Y93H (7.5%) in NS5A, and C316N (17.0%) and S556G (15%) in NS5B. Given the low virologic failure rates observed with recommended treatment regimens for HCV genotype 1a- and 1b-infected subjects, the presence of baseline variants appears to have little impact on the likelihood of achieving SVR.</w:t>
      </w:r>
    </w:p>
    <w:p w14:paraId="5F910A50" w14:textId="77777777" w:rsidR="00211D2D" w:rsidRPr="00E914FB" w:rsidRDefault="00211D2D" w:rsidP="00CD0524">
      <w:pPr>
        <w:spacing w:line="240" w:lineRule="auto"/>
        <w:jc w:val="both"/>
        <w:rPr>
          <w:rFonts w:cs="Arial"/>
        </w:rPr>
      </w:pPr>
      <w:r w:rsidRPr="00E914FB">
        <w:rPr>
          <w:rFonts w:cs="Arial"/>
          <w:u w:val="single"/>
        </w:rPr>
        <w:t>Resistance in Clinical Studies</w:t>
      </w:r>
    </w:p>
    <w:p w14:paraId="5A458C75" w14:textId="77777777" w:rsidR="00211D2D" w:rsidRPr="00E914FB" w:rsidRDefault="00211D2D" w:rsidP="00CD0524">
      <w:pPr>
        <w:spacing w:line="240" w:lineRule="auto"/>
        <w:jc w:val="both"/>
        <w:rPr>
          <w:rFonts w:cs="Arial"/>
        </w:rPr>
      </w:pPr>
      <w:r w:rsidRPr="00E914FB">
        <w:rPr>
          <w:rFonts w:cs="Arial"/>
        </w:rPr>
        <w:t>Of the 2,510 HCV genotype 1 infected subjects in the Phase 2b and 3 clinical trials treated with regimens containing paritaprevir, ombitasvir, and dasabuvir with or without ribavirin (for 8, 12, or 24 weeks), a total of 74 subjects (3%) experienced virologic failure (primarily post-treatment relapse). Treatment-emergent variants and their prevalence in these virologic failure populations are shown in Table 1. In the 67 genotype 1a infected subjects, NS3 variants were observed in 50 subjects, NS5A variants were observed in 46 subjects, NS5B variants were observed in 37 subjects, and treatment-emergent variants were seen in all 3 drug targets in 30 subjects. In the 7 genotype 1b infected subjects, treatment-emergent variants were observed in NS3 in 4 subjects, in NS5A in 2 subjects, and in both NS3 and NS5A in 1 subject. No genotype 1b infected subjects had treatment-emergent variants in all 3 drug targets.</w:t>
      </w:r>
    </w:p>
    <w:p w14:paraId="392A45D6" w14:textId="56CD33B2" w:rsidR="00211D2D" w:rsidRPr="00E914FB" w:rsidRDefault="00211D2D" w:rsidP="00CD0524">
      <w:pPr>
        <w:spacing w:line="240" w:lineRule="auto"/>
        <w:jc w:val="both"/>
        <w:rPr>
          <w:rFonts w:cs="Arial"/>
          <w:b/>
          <w:bCs/>
        </w:rPr>
      </w:pPr>
      <w:r w:rsidRPr="00E914FB">
        <w:rPr>
          <w:rFonts w:cs="Arial"/>
          <w:b/>
          <w:bCs/>
        </w:rPr>
        <w:t xml:space="preserve">Table 1. Treatment-Emergent Amino Acid Substitutions in the Pooled Analysis of </w:t>
      </w:r>
      <w:r w:rsidRPr="00E914FB">
        <w:rPr>
          <w:rFonts w:cs="Arial"/>
          <w:b/>
        </w:rPr>
        <w:t xml:space="preserve">VIEKIRA PAK </w:t>
      </w:r>
      <w:r w:rsidRPr="00E914FB">
        <w:rPr>
          <w:rFonts w:cs="Arial"/>
          <w:b/>
          <w:bCs/>
        </w:rPr>
        <w:t>with and without Ribavirin Regimens in Phase 2b and Phase 3 Clinical Trials (N = 2510)</w:t>
      </w:r>
    </w:p>
    <w:tbl>
      <w:tblPr>
        <w:tblW w:w="5000" w:type="pct"/>
        <w:jc w:val="center"/>
        <w:tblCellMar>
          <w:top w:w="15" w:type="dxa"/>
          <w:left w:w="15" w:type="dxa"/>
          <w:bottom w:w="15" w:type="dxa"/>
          <w:right w:w="15" w:type="dxa"/>
        </w:tblCellMar>
        <w:tblLook w:val="04A0" w:firstRow="1" w:lastRow="0" w:firstColumn="1" w:lastColumn="0" w:noHBand="0" w:noVBand="1"/>
      </w:tblPr>
      <w:tblGrid>
        <w:gridCol w:w="907"/>
        <w:gridCol w:w="5018"/>
        <w:gridCol w:w="1562"/>
        <w:gridCol w:w="1569"/>
      </w:tblGrid>
      <w:tr w:rsidR="00211D2D" w:rsidRPr="00E914FB" w14:paraId="4F026F1E" w14:textId="77777777" w:rsidTr="00211D2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5FAB6"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b/>
                <w:sz w:val="20"/>
                <w:szCs w:val="20"/>
              </w:rPr>
              <w:t>Target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FD50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b/>
                <w:sz w:val="20"/>
                <w:szCs w:val="20"/>
              </w:rPr>
              <w:t>Emergent Amino Acid Substitutions</w:t>
            </w:r>
            <w:r w:rsidRPr="00E914FB">
              <w:rPr>
                <w:rFonts w:eastAsia="Times New Roman" w:cstheme="minorHAnsi"/>
                <w:b/>
                <w:sz w:val="20"/>
                <w:szCs w:val="20"/>
                <w:vertAlign w:val="superscript"/>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C879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b/>
                <w:sz w:val="20"/>
                <w:szCs w:val="20"/>
              </w:rPr>
              <w:t>Genotype 1a</w:t>
            </w:r>
            <w:r w:rsidRPr="00E914FB">
              <w:rPr>
                <w:rFonts w:eastAsia="Times New Roman" w:cstheme="minorHAnsi"/>
                <w:b/>
                <w:sz w:val="20"/>
                <w:szCs w:val="20"/>
              </w:rPr>
              <w:br/>
              <w:t>N = 67</w:t>
            </w:r>
            <w:r w:rsidRPr="00E914FB">
              <w:rPr>
                <w:rFonts w:eastAsia="Times New Roman" w:cstheme="minorHAnsi"/>
                <w:b/>
                <w:sz w:val="20"/>
                <w:szCs w:val="20"/>
                <w:vertAlign w:val="superscript"/>
              </w:rPr>
              <w:t>b</w:t>
            </w:r>
            <w:r w:rsidRPr="00E914FB">
              <w:rPr>
                <w:rFonts w:eastAsia="Times New Roman" w:cstheme="minorHAnsi"/>
                <w:b/>
                <w:sz w:val="20"/>
                <w:szCs w:val="20"/>
              </w:rPr>
              <w:br/>
              <w:t>% (n)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BD72"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b/>
                <w:sz w:val="20"/>
                <w:szCs w:val="20"/>
              </w:rPr>
              <w:t>Genotype 1b</w:t>
            </w:r>
            <w:r w:rsidRPr="00E914FB">
              <w:rPr>
                <w:rFonts w:eastAsia="Times New Roman" w:cstheme="minorHAnsi"/>
                <w:b/>
                <w:sz w:val="20"/>
                <w:szCs w:val="20"/>
              </w:rPr>
              <w:br/>
              <w:t>N = 7</w:t>
            </w:r>
            <w:r w:rsidRPr="00E914FB">
              <w:rPr>
                <w:rFonts w:eastAsia="Times New Roman" w:cstheme="minorHAnsi"/>
                <w:b/>
                <w:sz w:val="20"/>
                <w:szCs w:val="20"/>
              </w:rPr>
              <w:br/>
              <w:t>% (n)</w:t>
            </w:r>
          </w:p>
        </w:tc>
      </w:tr>
      <w:tr w:rsidR="00211D2D" w:rsidRPr="00E914FB" w14:paraId="2473298C"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B6DAE4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NS3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FEF0"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V55I</w:t>
            </w:r>
            <w:r w:rsidRPr="00E914FB">
              <w:rPr>
                <w:rFonts w:eastAsia="Times New Roman" w:cstheme="minorHAnsi"/>
                <w:sz w:val="20"/>
                <w:szCs w:val="20"/>
                <w:vertAlign w:val="superscript"/>
              </w:rPr>
              <w:t xml:space="preserve">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7FD8D"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6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E530"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75F9FA03"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DA1CB"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4E2F5"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Y56H</w:t>
            </w:r>
            <w:r w:rsidRPr="00E914FB">
              <w:rPr>
                <w:rFonts w:eastAsia="Times New Roman" w:cstheme="minorHAnsi"/>
                <w:sz w:val="20"/>
                <w:szCs w:val="20"/>
                <w:vertAlign w:val="superscript"/>
              </w:rPr>
              <w:t>c</w:t>
            </w:r>
            <w:r w:rsidRPr="00E914FB">
              <w:rPr>
                <w:rFonts w:eastAsia="Times New Roman" w:cstheme="minorHAns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38E5E"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9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9A34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42.9 (3)</w:t>
            </w:r>
            <w:r w:rsidRPr="00E914FB">
              <w:rPr>
                <w:rFonts w:eastAsia="Times New Roman" w:cstheme="minorHAnsi"/>
                <w:sz w:val="20"/>
                <w:szCs w:val="20"/>
                <w:vertAlign w:val="superscript"/>
              </w:rPr>
              <w:t>d</w:t>
            </w:r>
          </w:p>
        </w:tc>
      </w:tr>
      <w:tr w:rsidR="00211D2D" w:rsidRPr="00E914FB" w14:paraId="40312A58"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944C5"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00D3"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I132V</w:t>
            </w:r>
            <w:r w:rsidRPr="00E914FB">
              <w:rPr>
                <w:rFonts w:eastAsia="Times New Roman" w:cstheme="minorHAnsi"/>
                <w:sz w:val="20"/>
                <w:szCs w:val="20"/>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C6E87"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6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8FCA4"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20701AF9"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25B18"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D7B7D"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R155K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74718"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13.4 (9)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F5803"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3FFC31CF"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7788F"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8BEF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D168A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312B2"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6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385E"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538109EC"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FACDD"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76BE1"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D168V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8F87"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50.7 (34)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8DA06"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42.9 (3)</w:t>
            </w:r>
            <w:r w:rsidRPr="00E914FB">
              <w:rPr>
                <w:rFonts w:eastAsia="Times New Roman" w:cstheme="minorHAnsi"/>
                <w:sz w:val="20"/>
                <w:szCs w:val="20"/>
                <w:vertAlign w:val="superscript"/>
              </w:rPr>
              <w:t>d</w:t>
            </w:r>
          </w:p>
        </w:tc>
      </w:tr>
      <w:tr w:rsidR="00211D2D" w:rsidRPr="00E914FB" w14:paraId="594B0EC9"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6723C"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936EC"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D168Y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CE62"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7.5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467E"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213536D9" w14:textId="77777777" w:rsidTr="00211D2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32C02"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C0D49" w14:textId="77777777" w:rsidR="00211D2D" w:rsidRPr="00E914FB" w:rsidRDefault="00211D2D" w:rsidP="00211D2D">
            <w:pPr>
              <w:spacing w:after="0" w:line="240" w:lineRule="auto"/>
              <w:jc w:val="center"/>
              <w:rPr>
                <w:rFonts w:cstheme="minorHAnsi"/>
                <w:sz w:val="20"/>
                <w:szCs w:val="20"/>
              </w:rPr>
            </w:pPr>
            <w:r w:rsidRPr="00E914FB">
              <w:rPr>
                <w:rFonts w:cstheme="minorHAnsi"/>
                <w:sz w:val="20"/>
                <w:szCs w:val="20"/>
              </w:rPr>
              <w:t>V36A</w:t>
            </w:r>
            <w:r w:rsidRPr="00E914FB">
              <w:rPr>
                <w:rFonts w:cstheme="minorHAnsi"/>
                <w:sz w:val="20"/>
                <w:szCs w:val="20"/>
                <w:vertAlign w:val="superscript"/>
              </w:rPr>
              <w:t>c</w:t>
            </w:r>
            <w:r w:rsidRPr="00E914FB">
              <w:rPr>
                <w:rFonts w:cstheme="minorHAnsi"/>
                <w:sz w:val="20"/>
                <w:szCs w:val="20"/>
              </w:rPr>
              <w:t>, V36M</w:t>
            </w:r>
            <w:r w:rsidRPr="00E914FB">
              <w:rPr>
                <w:rFonts w:cstheme="minorHAnsi"/>
                <w:sz w:val="20"/>
                <w:szCs w:val="20"/>
                <w:vertAlign w:val="superscript"/>
              </w:rPr>
              <w:t>c</w:t>
            </w:r>
            <w:r w:rsidRPr="00E914FB">
              <w:rPr>
                <w:rFonts w:cstheme="minorHAnsi"/>
                <w:sz w:val="20"/>
                <w:szCs w:val="20"/>
              </w:rPr>
              <w:t>, F43L</w:t>
            </w:r>
            <w:r w:rsidRPr="00E914FB">
              <w:rPr>
                <w:rFonts w:cstheme="minorHAnsi"/>
                <w:sz w:val="20"/>
                <w:szCs w:val="20"/>
                <w:vertAlign w:val="superscript"/>
              </w:rPr>
              <w:t>c</w:t>
            </w:r>
            <w:r w:rsidRPr="00E914FB">
              <w:rPr>
                <w:rFonts w:cstheme="minorHAnsi"/>
                <w:sz w:val="20"/>
                <w:szCs w:val="20"/>
              </w:rPr>
              <w:t>, D168H, E357K</w:t>
            </w:r>
            <w:r w:rsidRPr="00E914FB">
              <w:rPr>
                <w:rFonts w:cstheme="minorHAnsi"/>
                <w:sz w:val="20"/>
                <w:szCs w:val="20"/>
                <w:vertAlign w:val="superscript"/>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8B13"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&lt;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44C6"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7360EB08" w14:textId="77777777" w:rsidTr="00211D2D">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14:paraId="1185F14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NS5A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37D0"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M28T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0C8A"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20.9 (14)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EC24"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28737AB6" w14:textId="77777777" w:rsidTr="00211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57675"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5D92"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M28V</w:t>
            </w:r>
            <w:r w:rsidRPr="00E914FB">
              <w:rPr>
                <w:rFonts w:eastAsia="Times New Roman" w:cstheme="minorHAnsi"/>
                <w:sz w:val="20"/>
                <w:szCs w:val="20"/>
                <w:vertAlign w:val="superscript"/>
              </w:rPr>
              <w:t>e</w:t>
            </w:r>
            <w:r w:rsidRPr="00E914FB">
              <w:rPr>
                <w:rFonts w:eastAsia="Times New Roman" w:cstheme="minorHAns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4F33"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9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5B54" w14:textId="77777777" w:rsidR="00211D2D" w:rsidRPr="00E914FB" w:rsidRDefault="00211D2D" w:rsidP="00211D2D">
            <w:pPr>
              <w:spacing w:after="0" w:line="240" w:lineRule="auto"/>
              <w:jc w:val="center"/>
              <w:rPr>
                <w:rFonts w:eastAsia="Times New Roman" w:cstheme="minorHAnsi"/>
                <w:sz w:val="20"/>
                <w:szCs w:val="20"/>
              </w:rPr>
            </w:pPr>
          </w:p>
        </w:tc>
      </w:tr>
      <w:tr w:rsidR="00211D2D" w:rsidRPr="00E914FB" w14:paraId="322EC5D0" w14:textId="77777777" w:rsidTr="00211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375FBF"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11519"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Q30R</w:t>
            </w:r>
            <w:r w:rsidRPr="00E914FB">
              <w:rPr>
                <w:rFonts w:eastAsia="Times New Roman" w:cstheme="minorHAnsi"/>
                <w:sz w:val="20"/>
                <w:szCs w:val="20"/>
                <w:vertAlign w:val="superscript"/>
              </w:rPr>
              <w:t>e</w:t>
            </w:r>
            <w:r w:rsidRPr="00E914FB">
              <w:rPr>
                <w:rFonts w:eastAsia="Times New Roman" w:cstheme="minorHAns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363E1"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40.3 (27)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B9C10"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08A5A6BB" w14:textId="77777777" w:rsidTr="00211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6798A6"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7FB35"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Y93H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D1778"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A09C5"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28.6 (2)</w:t>
            </w:r>
          </w:p>
        </w:tc>
      </w:tr>
      <w:tr w:rsidR="00211D2D" w:rsidRPr="00E914FB" w14:paraId="6E868341" w14:textId="77777777" w:rsidTr="00211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FA1771"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23D23"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H58D, H58P, Y93N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67EB"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&lt;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F741F"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56FB490A" w14:textId="77777777" w:rsidTr="00211D2D">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14:paraId="39664515"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NS5B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502D5"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A553T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74CD"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6.1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CAFE"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71F3CCF9" w14:textId="77777777" w:rsidTr="00211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2DEB83"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C320"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S556G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A87DA"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 xml:space="preserve">33.3 (22)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AAB5"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19AE0A98" w14:textId="77777777" w:rsidTr="00211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0B69F7" w14:textId="77777777" w:rsidR="00211D2D" w:rsidRPr="00E914FB" w:rsidRDefault="00211D2D" w:rsidP="00211D2D">
            <w:pPr>
              <w:spacing w:after="0" w:line="240" w:lineRule="auto"/>
              <w:rPr>
                <w:rFonts w:eastAsia="Times New Roman" w:cstheme="minorHAnsi"/>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E5CD"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C316Y, M414T, G554S, S556R, G558R, D559G, D559N, Y561H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89E60"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&lt;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0857E" w14:textId="77777777" w:rsidR="00211D2D" w:rsidRPr="00E914FB" w:rsidRDefault="00211D2D" w:rsidP="00211D2D">
            <w:pPr>
              <w:spacing w:after="0" w:line="240" w:lineRule="auto"/>
              <w:jc w:val="center"/>
              <w:rPr>
                <w:rFonts w:eastAsia="Times New Roman" w:cstheme="minorHAnsi"/>
                <w:sz w:val="20"/>
                <w:szCs w:val="20"/>
              </w:rPr>
            </w:pPr>
            <w:r w:rsidRPr="00E914FB">
              <w:rPr>
                <w:rFonts w:eastAsia="Times New Roman" w:cstheme="minorHAnsi"/>
                <w:sz w:val="20"/>
                <w:szCs w:val="20"/>
              </w:rPr>
              <w:t>-</w:t>
            </w:r>
          </w:p>
        </w:tc>
      </w:tr>
      <w:tr w:rsidR="00211D2D" w:rsidRPr="00E914FB" w14:paraId="3CE82480" w14:textId="77777777" w:rsidTr="00211D2D">
        <w:trPr>
          <w:jc w:val="center"/>
        </w:trPr>
        <w:tc>
          <w:tcPr>
            <w:tcW w:w="0" w:type="auto"/>
            <w:gridSpan w:val="4"/>
            <w:tcBorders>
              <w:top w:val="single" w:sz="6" w:space="0" w:color="000000"/>
              <w:left w:val="single" w:sz="6" w:space="0" w:color="000000"/>
              <w:bottom w:val="single" w:sz="6" w:space="0" w:color="000000"/>
              <w:right w:val="single" w:sz="6" w:space="0" w:color="000000"/>
            </w:tcBorders>
            <w:hideMark/>
          </w:tcPr>
          <w:p w14:paraId="44D91833" w14:textId="77777777" w:rsidR="00211D2D" w:rsidRPr="00E914FB" w:rsidRDefault="00211D2D" w:rsidP="00737043">
            <w:pPr>
              <w:numPr>
                <w:ilvl w:val="0"/>
                <w:numId w:val="12"/>
              </w:numPr>
              <w:spacing w:after="0" w:line="240" w:lineRule="auto"/>
              <w:ind w:left="360" w:hanging="210"/>
              <w:rPr>
                <w:rFonts w:eastAsia="Times New Roman" w:cstheme="minorHAnsi"/>
                <w:sz w:val="20"/>
                <w:szCs w:val="20"/>
              </w:rPr>
            </w:pPr>
            <w:r w:rsidRPr="00E914FB">
              <w:rPr>
                <w:rFonts w:eastAsia="Times New Roman" w:cstheme="minorHAnsi"/>
                <w:sz w:val="20"/>
                <w:szCs w:val="20"/>
              </w:rPr>
              <w:t>Observed in at least 2 subjects of the same subtype.</w:t>
            </w:r>
          </w:p>
          <w:p w14:paraId="57823218" w14:textId="77777777" w:rsidR="00211D2D" w:rsidRPr="00E914FB" w:rsidRDefault="00211D2D" w:rsidP="00737043">
            <w:pPr>
              <w:numPr>
                <w:ilvl w:val="0"/>
                <w:numId w:val="12"/>
              </w:numPr>
              <w:spacing w:after="0" w:line="240" w:lineRule="auto"/>
              <w:ind w:left="360" w:hanging="210"/>
              <w:rPr>
                <w:rFonts w:eastAsia="Times New Roman" w:cstheme="minorHAnsi"/>
                <w:sz w:val="20"/>
                <w:szCs w:val="20"/>
              </w:rPr>
            </w:pPr>
            <w:r w:rsidRPr="00E914FB">
              <w:rPr>
                <w:rFonts w:eastAsia="Times New Roman" w:cstheme="minorHAnsi"/>
                <w:sz w:val="20"/>
                <w:szCs w:val="20"/>
              </w:rPr>
              <w:t>N = 66 for the NS5B target.</w:t>
            </w:r>
          </w:p>
          <w:p w14:paraId="38C8AD31" w14:textId="77777777" w:rsidR="00211D2D" w:rsidRPr="00E914FB" w:rsidRDefault="00211D2D" w:rsidP="00737043">
            <w:pPr>
              <w:numPr>
                <w:ilvl w:val="0"/>
                <w:numId w:val="12"/>
              </w:numPr>
              <w:spacing w:after="0" w:line="240" w:lineRule="auto"/>
              <w:ind w:left="360" w:hanging="210"/>
              <w:rPr>
                <w:rFonts w:eastAsia="Times New Roman" w:cstheme="minorHAnsi"/>
                <w:sz w:val="20"/>
                <w:szCs w:val="20"/>
              </w:rPr>
            </w:pPr>
            <w:r w:rsidRPr="00E914FB">
              <w:rPr>
                <w:rFonts w:eastAsia="Times New Roman" w:cstheme="minorHAnsi"/>
                <w:sz w:val="20"/>
                <w:szCs w:val="20"/>
              </w:rPr>
              <w:t>Substitutions were observed in combination with other emergent substitutions at NS3 position R155 or D168.</w:t>
            </w:r>
          </w:p>
          <w:p w14:paraId="05A90EEA" w14:textId="77777777" w:rsidR="00211D2D" w:rsidRPr="00E914FB" w:rsidRDefault="00211D2D" w:rsidP="00737043">
            <w:pPr>
              <w:numPr>
                <w:ilvl w:val="0"/>
                <w:numId w:val="12"/>
              </w:numPr>
              <w:spacing w:after="0" w:line="240" w:lineRule="auto"/>
              <w:ind w:left="360" w:hanging="210"/>
              <w:rPr>
                <w:rFonts w:eastAsia="Times New Roman" w:cstheme="minorHAnsi"/>
                <w:sz w:val="20"/>
                <w:szCs w:val="20"/>
              </w:rPr>
            </w:pPr>
            <w:r w:rsidRPr="00E914FB">
              <w:rPr>
                <w:rFonts w:eastAsia="Times New Roman" w:cstheme="minorHAnsi"/>
                <w:sz w:val="20"/>
                <w:szCs w:val="20"/>
              </w:rPr>
              <w:t>Observed in combination in genotype 1b-infected subjects.</w:t>
            </w:r>
          </w:p>
          <w:p w14:paraId="46728F68" w14:textId="0E29A678" w:rsidR="00211D2D" w:rsidRPr="00E914FB" w:rsidRDefault="00211D2D" w:rsidP="003D3ED1">
            <w:pPr>
              <w:numPr>
                <w:ilvl w:val="0"/>
                <w:numId w:val="12"/>
              </w:numPr>
              <w:spacing w:after="0" w:line="240" w:lineRule="auto"/>
              <w:ind w:left="360" w:hanging="210"/>
              <w:rPr>
                <w:rFonts w:eastAsia="Times New Roman" w:cstheme="minorHAnsi"/>
                <w:sz w:val="20"/>
                <w:szCs w:val="20"/>
              </w:rPr>
            </w:pPr>
            <w:r w:rsidRPr="00E914FB">
              <w:rPr>
                <w:rFonts w:eastAsia="Times New Roman" w:cstheme="minorHAnsi"/>
                <w:sz w:val="20"/>
                <w:szCs w:val="20"/>
              </w:rPr>
              <w:t>Observed in combination in 6% (4/67) of the subjects.</w:t>
            </w:r>
          </w:p>
          <w:p w14:paraId="42EDEE9F" w14:textId="6EE41412" w:rsidR="00211D2D" w:rsidRPr="00E914FB" w:rsidRDefault="00211D2D" w:rsidP="003D3ED1">
            <w:pPr>
              <w:numPr>
                <w:ilvl w:val="0"/>
                <w:numId w:val="13"/>
              </w:numPr>
              <w:spacing w:after="0" w:line="240" w:lineRule="auto"/>
              <w:ind w:left="360"/>
              <w:rPr>
                <w:rFonts w:eastAsia="MS Mincho" w:cstheme="minorHAnsi"/>
                <w:sz w:val="20"/>
                <w:szCs w:val="20"/>
              </w:rPr>
            </w:pPr>
            <w:r w:rsidRPr="00E914FB">
              <w:rPr>
                <w:rFonts w:eastAsia="Times New Roman" w:cstheme="minorHAnsi"/>
                <w:sz w:val="20"/>
                <w:szCs w:val="20"/>
              </w:rPr>
              <w:t xml:space="preserve">Note: The following variants were selected in cell culture but were not treatment-emergent: NS3 variants A156T in genotype 1a, and R155Q and D168H in genotype 1b; NS5A variants Y93C/H in genotype 1a, and L31F/V or Y93H in combination with L28M, L31F/V or P58S in genotype 1b; and NS5B variants Y448H in </w:t>
            </w:r>
            <w:r w:rsidRPr="00E914FB">
              <w:rPr>
                <w:rFonts w:eastAsia="Times New Roman" w:cstheme="minorHAnsi"/>
                <w:sz w:val="20"/>
                <w:szCs w:val="20"/>
              </w:rPr>
              <w:lastRenderedPageBreak/>
              <w:t>genotype 1a, and M414T and Y448H in genotype 1b.</w:t>
            </w:r>
          </w:p>
        </w:tc>
      </w:tr>
    </w:tbl>
    <w:p w14:paraId="24EC2F78" w14:textId="77777777" w:rsidR="00DE71D4" w:rsidRPr="00E914FB" w:rsidRDefault="00DE71D4" w:rsidP="00211D2D">
      <w:pPr>
        <w:jc w:val="both"/>
        <w:rPr>
          <w:rFonts w:cs="Arial"/>
          <w:u w:val="single"/>
        </w:rPr>
      </w:pPr>
    </w:p>
    <w:p w14:paraId="4794297A" w14:textId="77777777" w:rsidR="00211D2D" w:rsidRPr="00E914FB" w:rsidRDefault="00211D2D" w:rsidP="00CD0524">
      <w:pPr>
        <w:spacing w:line="240" w:lineRule="auto"/>
        <w:jc w:val="both"/>
        <w:rPr>
          <w:rFonts w:cs="Arial"/>
        </w:rPr>
      </w:pPr>
      <w:r w:rsidRPr="00E914FB">
        <w:rPr>
          <w:rFonts w:cs="Arial"/>
          <w:u w:val="single"/>
        </w:rPr>
        <w:t>Persistence of Resistance-Associated Substitutions</w:t>
      </w:r>
    </w:p>
    <w:p w14:paraId="1A08000B" w14:textId="77777777" w:rsidR="00211D2D" w:rsidRPr="00E914FB" w:rsidRDefault="00211D2D" w:rsidP="00CD0524">
      <w:pPr>
        <w:spacing w:line="240" w:lineRule="auto"/>
        <w:jc w:val="both"/>
        <w:rPr>
          <w:rFonts w:cs="Arial"/>
        </w:rPr>
      </w:pPr>
      <w:r w:rsidRPr="00E914FB">
        <w:rPr>
          <w:rFonts w:cs="Arial"/>
        </w:rPr>
        <w:t>The persistence of paritaprevir, ombitasvir, and dasabuvir resistance-associated amino acid substitutions in NS3, NS5A, and NS5B, respectively, was assessed in genotype 1a-infected subjects in Phase 2b trials. Paritaprevir treatment-emergent variants V36A/M, R155K or D168V were observed in NS3 in 47 subjects. Ombitasvir treatment-emergent variants M28T, M28V or Q30R in NS5A were observed in 32 subjects. Dasabuvir treatment-emergent variants M414T, G554S, S556G, G558R or D559G/N in NS5B were observed in 34 subjects.</w:t>
      </w:r>
    </w:p>
    <w:p w14:paraId="3FF66DDA" w14:textId="77777777" w:rsidR="00211D2D" w:rsidRPr="00E914FB" w:rsidRDefault="00211D2D" w:rsidP="00CD0524">
      <w:pPr>
        <w:spacing w:line="240" w:lineRule="auto"/>
        <w:jc w:val="both"/>
        <w:rPr>
          <w:rFonts w:cs="Arial"/>
        </w:rPr>
      </w:pPr>
      <w:r w:rsidRPr="00E914FB">
        <w:rPr>
          <w:rFonts w:cs="Arial"/>
        </w:rPr>
        <w:t>NS3 variants V36A/M and R155K and NS5B variants M414T and S556G remained detectable at post-treatment Week 48, whereas NS3 variant D168V and all other NS5B variants were not observed at post-treatment Week 48. All treatment-emergent variants in NS5A remained detectable at post-treatment Week 48. Due to high SVR rates in genotype 1b, trends in persistence of treatment-emergent variants in this genotype could not be established.</w:t>
      </w:r>
    </w:p>
    <w:p w14:paraId="6BE12573" w14:textId="30D6A73E" w:rsidR="00211D2D" w:rsidRPr="00E914FB" w:rsidRDefault="00211D2D" w:rsidP="00CD0524">
      <w:pPr>
        <w:spacing w:line="240" w:lineRule="auto"/>
        <w:jc w:val="both"/>
        <w:rPr>
          <w:rFonts w:cs="Arial"/>
        </w:rPr>
      </w:pPr>
      <w:r w:rsidRPr="00E914FB">
        <w:rPr>
          <w:rFonts w:cs="Arial"/>
        </w:rPr>
        <w:t>The lack of detection of virus containing a resistance-associated substitution does not indicate that the resistant virus is no longer present at clinically significant levels. The long-term clinical impact of the emergence or persistence of virus containing VIEKIRA PAK</w:t>
      </w:r>
      <w:r w:rsidR="00C24FEE" w:rsidRPr="00E914FB">
        <w:rPr>
          <w:rFonts w:cs="Arial"/>
        </w:rPr>
        <w:t xml:space="preserve"> </w:t>
      </w:r>
      <w:r w:rsidRPr="00E914FB">
        <w:rPr>
          <w:rFonts w:cs="Arial"/>
        </w:rPr>
        <w:t>-resistance-associated substitutions is unknown.</w:t>
      </w:r>
    </w:p>
    <w:p w14:paraId="3766A424" w14:textId="77777777" w:rsidR="00211D2D" w:rsidRPr="00E914FB" w:rsidRDefault="00211D2D" w:rsidP="00CD0524">
      <w:pPr>
        <w:spacing w:line="240" w:lineRule="auto"/>
        <w:jc w:val="both"/>
        <w:rPr>
          <w:rFonts w:cs="Arial"/>
        </w:rPr>
      </w:pPr>
      <w:r w:rsidRPr="00E914FB">
        <w:rPr>
          <w:rFonts w:cs="Arial"/>
          <w:u w:val="single"/>
        </w:rPr>
        <w:t>Cross-resistance</w:t>
      </w:r>
    </w:p>
    <w:p w14:paraId="77B3BA30" w14:textId="77777777" w:rsidR="00211D2D" w:rsidRPr="00E914FB" w:rsidRDefault="00211D2D" w:rsidP="00CD0524">
      <w:pPr>
        <w:spacing w:line="240" w:lineRule="auto"/>
        <w:jc w:val="both"/>
        <w:rPr>
          <w:rFonts w:cs="Arial"/>
        </w:rPr>
      </w:pPr>
      <w:r w:rsidRPr="00E914FB">
        <w:rPr>
          <w:rFonts w:cs="Arial"/>
        </w:rPr>
        <w:t>Cross-resistance is expected among NS5A inhibitors, NS3/4A protease inhibitors, and non-nucleoside NS5B inhibitors by class. The impact of prior ombitasvir, paritaprevir or dasabuvir treatment experience on the efficacy of other NS5A inhibitors, NS3/4A protease inhibitors, or NS5B inhibitors has not been studied.</w:t>
      </w:r>
    </w:p>
    <w:p w14:paraId="0D39CD07" w14:textId="77777777" w:rsidR="001726F4" w:rsidRPr="00955993" w:rsidRDefault="001726F4" w:rsidP="00CD0524">
      <w:pPr>
        <w:spacing w:line="240" w:lineRule="auto"/>
        <w:jc w:val="both"/>
        <w:rPr>
          <w:rFonts w:cs="Arial"/>
          <w:u w:val="single"/>
        </w:rPr>
      </w:pPr>
      <w:r w:rsidRPr="00955993">
        <w:rPr>
          <w:rFonts w:cs="Arial"/>
          <w:u w:val="single"/>
        </w:rPr>
        <w:t xml:space="preserve">Pharmacodynamic interactions </w:t>
      </w:r>
    </w:p>
    <w:p w14:paraId="7D7B30C6" w14:textId="40D8EB9C" w:rsidR="001726F4" w:rsidRPr="00E914FB" w:rsidRDefault="001726F4" w:rsidP="00CD0524">
      <w:pPr>
        <w:spacing w:line="240" w:lineRule="auto"/>
        <w:jc w:val="both"/>
        <w:rPr>
          <w:rFonts w:cs="Arial"/>
        </w:rPr>
      </w:pPr>
      <w:r w:rsidRPr="00E914FB">
        <w:rPr>
          <w:rFonts w:cs="Arial"/>
        </w:rPr>
        <w:t xml:space="preserve">Coadministration with enzyme inducers may increase the risk of adverse events and ALT elevations. Coadministration with ethinylestradiol may increase the risk of ALT elevations (see </w:t>
      </w:r>
      <w:r w:rsidR="006248EB">
        <w:rPr>
          <w:rFonts w:cs="Arial"/>
        </w:rPr>
        <w:t>INTERACTIONS WITH OTHER MEDICINES</w:t>
      </w:r>
      <w:r w:rsidRPr="00E914FB">
        <w:rPr>
          <w:rFonts w:cs="Arial"/>
        </w:rPr>
        <w:t>).</w:t>
      </w:r>
    </w:p>
    <w:p w14:paraId="2F9ABB45" w14:textId="77777777" w:rsidR="00DA417B" w:rsidRPr="00E914FB" w:rsidRDefault="00356BCD" w:rsidP="00CD0524">
      <w:pPr>
        <w:pStyle w:val="Heading2Unnumbered"/>
        <w:rPr>
          <w:sz w:val="22"/>
          <w:szCs w:val="22"/>
          <w:lang w:val="en-AU"/>
        </w:rPr>
      </w:pPr>
      <w:bookmarkStart w:id="7" w:name="_Toc383787392"/>
      <w:r w:rsidRPr="00E914FB">
        <w:rPr>
          <w:sz w:val="22"/>
          <w:szCs w:val="22"/>
          <w:lang w:val="en-AU"/>
        </w:rPr>
        <w:t>Pharmacokinetics</w:t>
      </w:r>
      <w:bookmarkEnd w:id="7"/>
    </w:p>
    <w:p w14:paraId="60565C7B" w14:textId="77777777" w:rsidR="001726F4" w:rsidRPr="00E914FB" w:rsidRDefault="001726F4" w:rsidP="00CD0524">
      <w:pPr>
        <w:spacing w:line="240" w:lineRule="auto"/>
        <w:jc w:val="both"/>
        <w:rPr>
          <w:rFonts w:cs="Arial"/>
        </w:rPr>
      </w:pPr>
      <w:r w:rsidRPr="00E914FB">
        <w:rPr>
          <w:rFonts w:cs="Arial"/>
        </w:rPr>
        <w:t>The pharmacokinetic properties of the combination of paritaprevir, ombitasvir, ritonavir, and dasabuvir have been evaluated in healthy adult subjects and in subjects with chronic hepatitis C. Table 2 shows mean C</w:t>
      </w:r>
      <w:r w:rsidRPr="00E914FB">
        <w:rPr>
          <w:rFonts w:cs="Arial"/>
          <w:vertAlign w:val="subscript"/>
        </w:rPr>
        <w:t>max</w:t>
      </w:r>
      <w:r w:rsidRPr="00E914FB">
        <w:rPr>
          <w:rFonts w:cs="Arial"/>
        </w:rPr>
        <w:t xml:space="preserve"> and AUC</w:t>
      </w:r>
      <w:r w:rsidRPr="00E914FB">
        <w:rPr>
          <w:rFonts w:cs="Arial"/>
          <w:vertAlign w:val="subscript"/>
        </w:rPr>
        <w:t xml:space="preserve">0-24 </w:t>
      </w:r>
      <w:r w:rsidRPr="00E914FB">
        <w:rPr>
          <w:rFonts w:cs="Arial"/>
        </w:rPr>
        <w:t xml:space="preserve">of </w:t>
      </w:r>
      <w:r w:rsidRPr="00E914FB">
        <w:rPr>
          <w:rFonts w:eastAsia="TimesNewRoman" w:cs="Arial"/>
          <w:lang w:eastAsia="ja-JP"/>
        </w:rPr>
        <w:t>paritaprevir/ritonavir/ombitasvir</w:t>
      </w:r>
      <w:r w:rsidRPr="00E914FB">
        <w:rPr>
          <w:rFonts w:cs="Arial"/>
        </w:rPr>
        <w:t xml:space="preserve"> 150/100/25 mg once daily with dasabuvir 250 mg twice daily following multiple doses with food in healthy volunteers.</w:t>
      </w:r>
    </w:p>
    <w:p w14:paraId="2F9ABB47" w14:textId="20890ED4" w:rsidR="00DA417B" w:rsidRPr="00E914FB" w:rsidRDefault="00356BCD" w:rsidP="00CD0524">
      <w:pPr>
        <w:spacing w:line="240" w:lineRule="auto"/>
        <w:ind w:left="993" w:hanging="993"/>
        <w:jc w:val="both"/>
        <w:rPr>
          <w:rFonts w:cs="Arial"/>
        </w:rPr>
      </w:pPr>
      <w:r w:rsidRPr="00E914FB">
        <w:rPr>
          <w:rFonts w:cs="Arial"/>
          <w:b/>
          <w:bCs/>
        </w:rPr>
        <w:t xml:space="preserve">Table </w:t>
      </w:r>
      <w:r w:rsidR="0057222F" w:rsidRPr="00E914FB">
        <w:rPr>
          <w:rFonts w:cs="Arial"/>
          <w:b/>
          <w:bCs/>
        </w:rPr>
        <w:t>2</w:t>
      </w:r>
      <w:r w:rsidRPr="00E914FB">
        <w:rPr>
          <w:rFonts w:cs="Arial"/>
          <w:b/>
          <w:bCs/>
        </w:rPr>
        <w:t xml:space="preserve">:  </w:t>
      </w:r>
      <w:r w:rsidRPr="00E914FB">
        <w:rPr>
          <w:b/>
        </w:rPr>
        <w:t>Geometric Mean C</w:t>
      </w:r>
      <w:r w:rsidRPr="00E914FB">
        <w:rPr>
          <w:b/>
          <w:vertAlign w:val="subscript"/>
        </w:rPr>
        <w:t>max</w:t>
      </w:r>
      <w:r w:rsidRPr="00E914FB">
        <w:rPr>
          <w:b/>
        </w:rPr>
        <w:t xml:space="preserve"> and</w:t>
      </w:r>
      <w:r w:rsidR="001D1242" w:rsidRPr="00E914FB">
        <w:rPr>
          <w:b/>
        </w:rPr>
        <w:t xml:space="preserve"> </w:t>
      </w:r>
      <w:r w:rsidRPr="00E914FB">
        <w:rPr>
          <w:b/>
        </w:rPr>
        <w:t>AUC</w:t>
      </w:r>
      <w:r w:rsidRPr="00E914FB">
        <w:rPr>
          <w:b/>
          <w:vertAlign w:val="subscript"/>
        </w:rPr>
        <w:t xml:space="preserve">0-24 </w:t>
      </w:r>
      <w:r w:rsidRPr="00E914FB">
        <w:rPr>
          <w:b/>
        </w:rPr>
        <w:t>of Multiple Doses of paritaprevir/ritonavir/ombitasvir 150/100/25</w:t>
      </w:r>
      <w:r w:rsidRPr="00E914FB">
        <w:t xml:space="preserve"> </w:t>
      </w:r>
      <w:r w:rsidRPr="00E914FB">
        <w:rPr>
          <w:b/>
        </w:rPr>
        <w:t>mg Once Daily with dasabuvir 250 mg Twice Daily with Food in Healthy Volunteers</w:t>
      </w:r>
    </w:p>
    <w:tbl>
      <w:tblPr>
        <w:tblW w:w="6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80"/>
        <w:gridCol w:w="2988"/>
      </w:tblGrid>
      <w:tr w:rsidR="00DA417B" w:rsidRPr="00E914FB" w14:paraId="2F9ABB4B" w14:textId="77777777">
        <w:trPr>
          <w:trHeight w:val="386"/>
          <w:jc w:val="center"/>
        </w:trPr>
        <w:tc>
          <w:tcPr>
            <w:tcW w:w="1867" w:type="dxa"/>
            <w:shd w:val="clear" w:color="auto" w:fill="auto"/>
          </w:tcPr>
          <w:p w14:paraId="2F9ABB48" w14:textId="77777777" w:rsidR="00DA417B" w:rsidRPr="00E914FB" w:rsidRDefault="00DA417B" w:rsidP="00CD0524">
            <w:pPr>
              <w:autoSpaceDE w:val="0"/>
              <w:autoSpaceDN w:val="0"/>
              <w:adjustRightInd w:val="0"/>
              <w:spacing w:line="240" w:lineRule="auto"/>
              <w:jc w:val="center"/>
              <w:rPr>
                <w:rFonts w:cs="Arial"/>
                <w:b/>
                <w:bCs/>
                <w:sz w:val="20"/>
                <w:szCs w:val="20"/>
              </w:rPr>
            </w:pPr>
          </w:p>
        </w:tc>
        <w:tc>
          <w:tcPr>
            <w:tcW w:w="1980" w:type="dxa"/>
            <w:shd w:val="clear" w:color="auto" w:fill="auto"/>
            <w:vAlign w:val="center"/>
          </w:tcPr>
          <w:p w14:paraId="2F9ABB49" w14:textId="77777777" w:rsidR="00DA417B" w:rsidRPr="00E914FB" w:rsidRDefault="00356BCD" w:rsidP="00CD0524">
            <w:pPr>
              <w:autoSpaceDE w:val="0"/>
              <w:autoSpaceDN w:val="0"/>
              <w:adjustRightInd w:val="0"/>
              <w:spacing w:line="240" w:lineRule="auto"/>
              <w:jc w:val="center"/>
              <w:rPr>
                <w:rFonts w:cs="Arial"/>
                <w:b/>
                <w:bCs/>
                <w:sz w:val="20"/>
                <w:szCs w:val="20"/>
              </w:rPr>
            </w:pPr>
            <w:r w:rsidRPr="00E914FB">
              <w:rPr>
                <w:rFonts w:cs="Arial"/>
                <w:b/>
                <w:bCs/>
                <w:sz w:val="20"/>
                <w:szCs w:val="20"/>
              </w:rPr>
              <w:t>C</w:t>
            </w:r>
            <w:r w:rsidRPr="00E914FB">
              <w:rPr>
                <w:rFonts w:cs="Arial"/>
                <w:b/>
                <w:bCs/>
                <w:sz w:val="20"/>
                <w:szCs w:val="20"/>
                <w:vertAlign w:val="subscript"/>
              </w:rPr>
              <w:t xml:space="preserve">max </w:t>
            </w:r>
            <w:r w:rsidRPr="00E914FB">
              <w:rPr>
                <w:rFonts w:cs="Arial"/>
                <w:b/>
                <w:bCs/>
                <w:sz w:val="20"/>
                <w:szCs w:val="20"/>
              </w:rPr>
              <w:t>(ng/mL)</w:t>
            </w:r>
          </w:p>
        </w:tc>
        <w:tc>
          <w:tcPr>
            <w:tcW w:w="2988" w:type="dxa"/>
            <w:shd w:val="clear" w:color="auto" w:fill="auto"/>
            <w:vAlign w:val="center"/>
          </w:tcPr>
          <w:p w14:paraId="2F9ABB4A" w14:textId="450A965C" w:rsidR="00DA417B" w:rsidRPr="00E914FB" w:rsidRDefault="00356BCD" w:rsidP="00CD0524">
            <w:pPr>
              <w:autoSpaceDE w:val="0"/>
              <w:autoSpaceDN w:val="0"/>
              <w:adjustRightInd w:val="0"/>
              <w:spacing w:line="240" w:lineRule="auto"/>
              <w:jc w:val="center"/>
              <w:rPr>
                <w:rFonts w:cs="Arial"/>
                <w:b/>
                <w:bCs/>
                <w:sz w:val="20"/>
                <w:szCs w:val="20"/>
              </w:rPr>
            </w:pPr>
            <w:r w:rsidRPr="00E914FB">
              <w:rPr>
                <w:rFonts w:cs="Arial"/>
                <w:b/>
                <w:bCs/>
                <w:sz w:val="20"/>
                <w:szCs w:val="20"/>
              </w:rPr>
              <w:t>AUC</w:t>
            </w:r>
            <w:r w:rsidRPr="00E914FB">
              <w:rPr>
                <w:rFonts w:cs="Arial"/>
                <w:b/>
                <w:bCs/>
                <w:sz w:val="20"/>
                <w:szCs w:val="20"/>
                <w:vertAlign w:val="subscript"/>
              </w:rPr>
              <w:t>0-24</w:t>
            </w:r>
            <w:r w:rsidRPr="00E914FB">
              <w:rPr>
                <w:rFonts w:cs="Arial"/>
                <w:b/>
                <w:bCs/>
                <w:sz w:val="20"/>
                <w:szCs w:val="20"/>
              </w:rPr>
              <w:t xml:space="preserve">  (ng*hr/mL)</w:t>
            </w:r>
          </w:p>
        </w:tc>
      </w:tr>
      <w:tr w:rsidR="00DA417B" w:rsidRPr="00E914FB" w14:paraId="2F9ABB4F" w14:textId="77777777">
        <w:trPr>
          <w:trHeight w:val="386"/>
          <w:jc w:val="center"/>
        </w:trPr>
        <w:tc>
          <w:tcPr>
            <w:tcW w:w="1867" w:type="dxa"/>
            <w:shd w:val="clear" w:color="auto" w:fill="auto"/>
          </w:tcPr>
          <w:p w14:paraId="2F9ABB4C" w14:textId="77777777" w:rsidR="00DA417B" w:rsidRPr="00E914FB" w:rsidRDefault="00356BCD" w:rsidP="00CD0524">
            <w:pPr>
              <w:spacing w:line="240" w:lineRule="auto"/>
              <w:rPr>
                <w:rFonts w:cs="Arial"/>
                <w:sz w:val="20"/>
                <w:szCs w:val="20"/>
              </w:rPr>
            </w:pPr>
            <w:r w:rsidRPr="00E914FB">
              <w:rPr>
                <w:rFonts w:eastAsia="TimesNewRoman" w:cs="Arial"/>
                <w:sz w:val="20"/>
                <w:szCs w:val="20"/>
              </w:rPr>
              <w:t>paritaprevir</w:t>
            </w:r>
            <w:r w:rsidRPr="00E914FB">
              <w:rPr>
                <w:rFonts w:cs="Arial"/>
                <w:sz w:val="20"/>
                <w:szCs w:val="20"/>
              </w:rPr>
              <w:t xml:space="preserve"> </w:t>
            </w:r>
          </w:p>
        </w:tc>
        <w:tc>
          <w:tcPr>
            <w:tcW w:w="1980" w:type="dxa"/>
            <w:shd w:val="clear" w:color="auto" w:fill="auto"/>
          </w:tcPr>
          <w:p w14:paraId="2F9ABB4D" w14:textId="77777777" w:rsidR="00DA417B" w:rsidRPr="00E914FB" w:rsidRDefault="00356BCD" w:rsidP="00CD0524">
            <w:pPr>
              <w:spacing w:line="240" w:lineRule="auto"/>
              <w:jc w:val="center"/>
              <w:rPr>
                <w:rFonts w:cs="Arial"/>
                <w:sz w:val="20"/>
                <w:szCs w:val="20"/>
              </w:rPr>
            </w:pPr>
            <w:r w:rsidRPr="00E914FB">
              <w:rPr>
                <w:rFonts w:cs="Arial"/>
                <w:sz w:val="20"/>
                <w:szCs w:val="20"/>
              </w:rPr>
              <w:t>1470</w:t>
            </w:r>
          </w:p>
        </w:tc>
        <w:tc>
          <w:tcPr>
            <w:tcW w:w="2988" w:type="dxa"/>
            <w:shd w:val="clear" w:color="auto" w:fill="auto"/>
          </w:tcPr>
          <w:p w14:paraId="2F9ABB4E" w14:textId="77777777" w:rsidR="00DA417B" w:rsidRPr="00E914FB" w:rsidRDefault="00356BCD" w:rsidP="00CD0524">
            <w:pPr>
              <w:spacing w:line="240" w:lineRule="auto"/>
              <w:jc w:val="center"/>
              <w:rPr>
                <w:rFonts w:cs="Arial"/>
                <w:sz w:val="20"/>
                <w:szCs w:val="20"/>
              </w:rPr>
            </w:pPr>
            <w:r w:rsidRPr="00E914FB">
              <w:rPr>
                <w:rFonts w:cs="Arial"/>
                <w:sz w:val="20"/>
                <w:szCs w:val="20"/>
              </w:rPr>
              <w:t>6990</w:t>
            </w:r>
          </w:p>
        </w:tc>
      </w:tr>
      <w:tr w:rsidR="00DA417B" w:rsidRPr="00E914FB" w14:paraId="2F9ABB53" w14:textId="77777777">
        <w:trPr>
          <w:trHeight w:val="386"/>
          <w:jc w:val="center"/>
        </w:trPr>
        <w:tc>
          <w:tcPr>
            <w:tcW w:w="1867" w:type="dxa"/>
            <w:shd w:val="clear" w:color="auto" w:fill="auto"/>
          </w:tcPr>
          <w:p w14:paraId="2F9ABB50" w14:textId="77777777" w:rsidR="00DA417B" w:rsidRPr="00E914FB" w:rsidRDefault="00356BCD" w:rsidP="00CD0524">
            <w:pPr>
              <w:spacing w:line="240" w:lineRule="auto"/>
              <w:rPr>
                <w:rFonts w:cs="Arial"/>
                <w:sz w:val="20"/>
                <w:szCs w:val="20"/>
              </w:rPr>
            </w:pPr>
            <w:r w:rsidRPr="00E914FB">
              <w:rPr>
                <w:rFonts w:cs="Arial"/>
                <w:sz w:val="20"/>
                <w:szCs w:val="20"/>
              </w:rPr>
              <w:lastRenderedPageBreak/>
              <w:t>ombitasvir</w:t>
            </w:r>
          </w:p>
        </w:tc>
        <w:tc>
          <w:tcPr>
            <w:tcW w:w="1980" w:type="dxa"/>
            <w:shd w:val="clear" w:color="auto" w:fill="auto"/>
          </w:tcPr>
          <w:p w14:paraId="2F9ABB51" w14:textId="77777777" w:rsidR="00DA417B" w:rsidRPr="00E914FB" w:rsidRDefault="00356BCD" w:rsidP="00CD0524">
            <w:pPr>
              <w:spacing w:line="240" w:lineRule="auto"/>
              <w:jc w:val="center"/>
              <w:rPr>
                <w:rFonts w:cs="Arial"/>
                <w:sz w:val="20"/>
                <w:szCs w:val="20"/>
              </w:rPr>
            </w:pPr>
            <w:r w:rsidRPr="00E914FB">
              <w:rPr>
                <w:rFonts w:cs="Arial"/>
                <w:sz w:val="20"/>
                <w:szCs w:val="20"/>
              </w:rPr>
              <w:t>127</w:t>
            </w:r>
          </w:p>
        </w:tc>
        <w:tc>
          <w:tcPr>
            <w:tcW w:w="2988" w:type="dxa"/>
            <w:shd w:val="clear" w:color="auto" w:fill="auto"/>
          </w:tcPr>
          <w:p w14:paraId="2F9ABB52" w14:textId="77777777" w:rsidR="00DA417B" w:rsidRPr="00E914FB" w:rsidRDefault="00356BCD" w:rsidP="00CD0524">
            <w:pPr>
              <w:spacing w:line="240" w:lineRule="auto"/>
              <w:jc w:val="center"/>
              <w:rPr>
                <w:rFonts w:cs="Arial"/>
                <w:sz w:val="20"/>
                <w:szCs w:val="20"/>
              </w:rPr>
            </w:pPr>
            <w:r w:rsidRPr="00E914FB">
              <w:rPr>
                <w:rFonts w:cs="Arial"/>
                <w:sz w:val="20"/>
                <w:szCs w:val="20"/>
              </w:rPr>
              <w:t>1420</w:t>
            </w:r>
          </w:p>
        </w:tc>
      </w:tr>
      <w:tr w:rsidR="00DA417B" w:rsidRPr="00E914FB" w14:paraId="2F9ABB57" w14:textId="77777777">
        <w:trPr>
          <w:trHeight w:val="386"/>
          <w:jc w:val="center"/>
        </w:trPr>
        <w:tc>
          <w:tcPr>
            <w:tcW w:w="1867" w:type="dxa"/>
            <w:shd w:val="clear" w:color="auto" w:fill="auto"/>
          </w:tcPr>
          <w:p w14:paraId="2F9ABB54" w14:textId="77777777" w:rsidR="00DA417B" w:rsidRPr="00E914FB" w:rsidRDefault="00356BCD" w:rsidP="00CD0524">
            <w:pPr>
              <w:spacing w:line="240" w:lineRule="auto"/>
              <w:rPr>
                <w:rFonts w:cs="Arial"/>
                <w:sz w:val="20"/>
                <w:szCs w:val="20"/>
              </w:rPr>
            </w:pPr>
            <w:r w:rsidRPr="00E914FB">
              <w:rPr>
                <w:rFonts w:cs="Arial"/>
                <w:sz w:val="20"/>
                <w:szCs w:val="20"/>
              </w:rPr>
              <w:t>dasabuvir</w:t>
            </w:r>
          </w:p>
        </w:tc>
        <w:tc>
          <w:tcPr>
            <w:tcW w:w="1980" w:type="dxa"/>
            <w:shd w:val="clear" w:color="auto" w:fill="auto"/>
          </w:tcPr>
          <w:p w14:paraId="2F9ABB55" w14:textId="77777777" w:rsidR="00DA417B" w:rsidRPr="00E914FB" w:rsidRDefault="00356BCD" w:rsidP="00CD0524">
            <w:pPr>
              <w:spacing w:line="240" w:lineRule="auto"/>
              <w:jc w:val="center"/>
              <w:rPr>
                <w:rFonts w:cs="Arial"/>
                <w:sz w:val="20"/>
                <w:szCs w:val="20"/>
              </w:rPr>
            </w:pPr>
            <w:r w:rsidRPr="00E914FB">
              <w:rPr>
                <w:rFonts w:cs="Arial"/>
                <w:sz w:val="20"/>
                <w:szCs w:val="20"/>
              </w:rPr>
              <w:t>1030</w:t>
            </w:r>
          </w:p>
        </w:tc>
        <w:tc>
          <w:tcPr>
            <w:tcW w:w="2988" w:type="dxa"/>
            <w:shd w:val="clear" w:color="auto" w:fill="auto"/>
          </w:tcPr>
          <w:p w14:paraId="2F9ABB56" w14:textId="127758FD" w:rsidR="00DA417B" w:rsidRPr="00E914FB" w:rsidRDefault="00356BCD" w:rsidP="00CD0524">
            <w:pPr>
              <w:spacing w:line="240" w:lineRule="auto"/>
              <w:jc w:val="center"/>
              <w:rPr>
                <w:rFonts w:cs="Arial"/>
                <w:sz w:val="20"/>
                <w:szCs w:val="20"/>
              </w:rPr>
            </w:pPr>
            <w:r w:rsidRPr="00E914FB">
              <w:rPr>
                <w:rFonts w:cs="Arial"/>
                <w:sz w:val="20"/>
                <w:szCs w:val="20"/>
              </w:rPr>
              <w:t>13680</w:t>
            </w:r>
          </w:p>
        </w:tc>
      </w:tr>
      <w:tr w:rsidR="00DA417B" w:rsidRPr="00E914FB" w14:paraId="2F9ABB5B" w14:textId="77777777">
        <w:trPr>
          <w:trHeight w:val="386"/>
          <w:jc w:val="center"/>
        </w:trPr>
        <w:tc>
          <w:tcPr>
            <w:tcW w:w="1867" w:type="dxa"/>
            <w:shd w:val="clear" w:color="auto" w:fill="auto"/>
          </w:tcPr>
          <w:p w14:paraId="2F9ABB58" w14:textId="77777777" w:rsidR="00DA417B" w:rsidRPr="00E914FB" w:rsidRDefault="00356BCD" w:rsidP="00CD0524">
            <w:pPr>
              <w:spacing w:line="240" w:lineRule="auto"/>
              <w:rPr>
                <w:rFonts w:cs="Arial"/>
                <w:sz w:val="20"/>
                <w:szCs w:val="20"/>
              </w:rPr>
            </w:pPr>
            <w:r w:rsidRPr="00E914FB">
              <w:rPr>
                <w:rFonts w:cs="Arial"/>
                <w:sz w:val="20"/>
                <w:szCs w:val="20"/>
              </w:rPr>
              <w:t>ritonavir</w:t>
            </w:r>
          </w:p>
        </w:tc>
        <w:tc>
          <w:tcPr>
            <w:tcW w:w="1980" w:type="dxa"/>
            <w:shd w:val="clear" w:color="auto" w:fill="auto"/>
          </w:tcPr>
          <w:p w14:paraId="2F9ABB59" w14:textId="77777777" w:rsidR="00DA417B" w:rsidRPr="00E914FB" w:rsidRDefault="00356BCD" w:rsidP="00CD0524">
            <w:pPr>
              <w:spacing w:line="240" w:lineRule="auto"/>
              <w:jc w:val="center"/>
              <w:rPr>
                <w:rFonts w:cs="Arial"/>
                <w:sz w:val="20"/>
                <w:szCs w:val="20"/>
              </w:rPr>
            </w:pPr>
            <w:r w:rsidRPr="00E914FB">
              <w:rPr>
                <w:rFonts w:cs="Arial"/>
                <w:sz w:val="20"/>
                <w:szCs w:val="20"/>
              </w:rPr>
              <w:t>1600</w:t>
            </w:r>
          </w:p>
        </w:tc>
        <w:tc>
          <w:tcPr>
            <w:tcW w:w="2988" w:type="dxa"/>
            <w:shd w:val="clear" w:color="auto" w:fill="auto"/>
          </w:tcPr>
          <w:p w14:paraId="2F9ABB5A" w14:textId="77777777" w:rsidR="00DA417B" w:rsidRPr="00E914FB" w:rsidRDefault="00356BCD" w:rsidP="00CD0524">
            <w:pPr>
              <w:spacing w:line="240" w:lineRule="auto"/>
              <w:jc w:val="center"/>
              <w:rPr>
                <w:rFonts w:cs="Arial"/>
                <w:sz w:val="20"/>
                <w:szCs w:val="20"/>
              </w:rPr>
            </w:pPr>
            <w:r w:rsidRPr="00E914FB">
              <w:rPr>
                <w:rFonts w:cs="Arial"/>
                <w:sz w:val="20"/>
                <w:szCs w:val="20"/>
              </w:rPr>
              <w:t>9470</w:t>
            </w:r>
          </w:p>
        </w:tc>
      </w:tr>
    </w:tbl>
    <w:p w14:paraId="2F9ABB5C" w14:textId="77777777" w:rsidR="00DA417B" w:rsidRPr="00E914FB" w:rsidRDefault="00DA417B" w:rsidP="00CD0524">
      <w:pPr>
        <w:spacing w:line="240" w:lineRule="auto"/>
      </w:pPr>
    </w:p>
    <w:p w14:paraId="2F9ABB5D" w14:textId="77777777" w:rsidR="00DA417B" w:rsidRPr="00E914FB" w:rsidRDefault="00356BCD" w:rsidP="00CD0524">
      <w:pPr>
        <w:spacing w:line="240" w:lineRule="auto"/>
        <w:rPr>
          <w:rFonts w:cs="Arial"/>
          <w:u w:val="single"/>
        </w:rPr>
      </w:pPr>
      <w:r w:rsidRPr="00E914FB">
        <w:rPr>
          <w:rFonts w:cs="Arial"/>
          <w:u w:val="single"/>
        </w:rPr>
        <w:t>Absorption</w:t>
      </w:r>
    </w:p>
    <w:p w14:paraId="0A842C5A" w14:textId="455682D1" w:rsidR="001726F4" w:rsidRPr="00E914FB" w:rsidRDefault="00C24FEE" w:rsidP="00CD0524">
      <w:pPr>
        <w:spacing w:line="240" w:lineRule="auto"/>
        <w:jc w:val="both"/>
        <w:rPr>
          <w:rFonts w:cs="Arial"/>
        </w:rPr>
      </w:pPr>
      <w:r w:rsidRPr="00E914FB">
        <w:rPr>
          <w:rFonts w:cs="Arial"/>
        </w:rPr>
        <w:t>Paritaprevir/ritonavir/ombitasvir and dasabuvir were absorbed after oral administration with mean T</w:t>
      </w:r>
      <w:r w:rsidRPr="00E914FB">
        <w:rPr>
          <w:rFonts w:cs="Arial"/>
          <w:vertAlign w:val="subscript"/>
        </w:rPr>
        <w:t>max</w:t>
      </w:r>
      <w:r w:rsidRPr="00E914FB">
        <w:rPr>
          <w:rFonts w:cs="Arial"/>
        </w:rPr>
        <w:t xml:space="preserve"> of approximately 4 to 5 hours. While ombitasvir and dasabuvir exposures increased in a dose proportional manner, paritaprevir and ritonavir exposures increased in a more than dose proportional manner.  Accumulation is minimal for ombitasvir and dasabuvir and approximately 1.5- to 2-fold for ritonavir and paritaprevir. Pharmacokinetic steady state for the combination is achieved after approximately 12 days of dosing.</w:t>
      </w:r>
    </w:p>
    <w:p w14:paraId="2F9ABB62" w14:textId="084C493D" w:rsidR="00DA417B" w:rsidRPr="00E914FB" w:rsidRDefault="00356BCD" w:rsidP="00CD0524">
      <w:pPr>
        <w:spacing w:line="240" w:lineRule="auto"/>
        <w:jc w:val="both"/>
        <w:rPr>
          <w:rFonts w:cs="Arial"/>
          <w:bCs/>
          <w:i/>
          <w:iCs/>
          <w:u w:val="single"/>
        </w:rPr>
      </w:pPr>
      <w:r w:rsidRPr="00E914FB">
        <w:rPr>
          <w:rFonts w:cs="Arial"/>
          <w:bCs/>
          <w:i/>
          <w:iCs/>
          <w:u w:val="single"/>
        </w:rPr>
        <w:t>Effects of Food on Oral Absorption</w:t>
      </w:r>
    </w:p>
    <w:p w14:paraId="3AFBEBDB" w14:textId="3C590C67" w:rsidR="001726F4" w:rsidRPr="00E914FB" w:rsidRDefault="001726F4" w:rsidP="00CD0524">
      <w:pPr>
        <w:spacing w:line="240" w:lineRule="auto"/>
        <w:jc w:val="both"/>
        <w:rPr>
          <w:rFonts w:cs="Arial"/>
        </w:rPr>
      </w:pPr>
      <w:r w:rsidRPr="00E914FB">
        <w:rPr>
          <w:rFonts w:cs="Arial"/>
        </w:rPr>
        <w:t xml:space="preserve">Paritaprevir, ritonavir, ombitasvir and dasabuvir should be administered with food. All clinical trials with paritaprevir, ritonavir, ombitasvir and dasabuvir have been conducted following administration with food. </w:t>
      </w:r>
    </w:p>
    <w:p w14:paraId="6D93FD5C" w14:textId="74742781" w:rsidR="001726F4" w:rsidRPr="00E914FB" w:rsidRDefault="001726F4" w:rsidP="00CD0524">
      <w:pPr>
        <w:spacing w:line="240" w:lineRule="auto"/>
        <w:jc w:val="both"/>
        <w:rPr>
          <w:rFonts w:cs="Arial"/>
        </w:rPr>
      </w:pPr>
      <w:r w:rsidRPr="00E914FB">
        <w:rPr>
          <w:rFonts w:cs="Arial"/>
        </w:rPr>
        <w:t>Food increased the exposure (AUC) of paritaprevir, ombitasvir, ritonavir, and dasabuvir by up to 211%, 82%, 49%, and 30% respectively relative to the fasting state. The increase in exposure was similar regardless of meal type (e.g., high-fat versus moderate-fat) or calorie content (approximately 600 Kcal versus approximately 1000 Kcal). To maximise absorption, VIEKIRA PAK should be taken with food without regard to fat or calorie content.</w:t>
      </w:r>
    </w:p>
    <w:p w14:paraId="2F9ABB69" w14:textId="77777777" w:rsidR="00DA417B" w:rsidRPr="00E914FB" w:rsidRDefault="00356BCD" w:rsidP="00CD0524">
      <w:pPr>
        <w:spacing w:line="240" w:lineRule="auto"/>
        <w:rPr>
          <w:rFonts w:cs="Arial"/>
          <w:u w:val="single"/>
        </w:rPr>
      </w:pPr>
      <w:r w:rsidRPr="00E914FB">
        <w:rPr>
          <w:rFonts w:cs="Arial"/>
          <w:u w:val="single"/>
        </w:rPr>
        <w:t>Distribution</w:t>
      </w:r>
    </w:p>
    <w:p w14:paraId="5640733E" w14:textId="4550B377" w:rsidR="001726F4" w:rsidRPr="00E914FB" w:rsidRDefault="001726F4" w:rsidP="00CD0524">
      <w:pPr>
        <w:spacing w:line="240" w:lineRule="auto"/>
        <w:jc w:val="both"/>
        <w:rPr>
          <w:rFonts w:cs="Arial"/>
          <w:bCs/>
        </w:rPr>
      </w:pPr>
      <w:r w:rsidRPr="00E914FB">
        <w:rPr>
          <w:rFonts w:cs="Arial"/>
          <w:bCs/>
        </w:rPr>
        <w:t xml:space="preserve">Paritaprevir, ombitasvir, ritonavir and dasabuvir are highly bound to plasma proteins. Plasma protein binding is not meaningfully altered in patients with renal or hepatic impairment. The blood to plasma concentration ratios in humans ranged from 0.5 to 0.7, indicating that paritaprevir, ombitasvir, and dasabuvir were preferentially distributed in the plasma compartment of whole blood. Paritaprevir was approximately 97 to 98.6% bound to human plasma proteins over a concentration range of 0.08 to 8 </w:t>
      </w:r>
      <w:r w:rsidRPr="00E914FB">
        <w:rPr>
          <w:rFonts w:cs="Arial"/>
        </w:rPr>
        <w:t>microgram</w:t>
      </w:r>
      <w:r w:rsidRPr="00E914FB">
        <w:rPr>
          <w:rFonts w:cs="Arial"/>
          <w:bCs/>
        </w:rPr>
        <w:t>/mL. Ritonavir was greater than 99% bound to human plasma proteins over a concentration range of 0.0</w:t>
      </w:r>
      <w:r w:rsidR="000E22D4">
        <w:rPr>
          <w:rFonts w:cs="Arial"/>
          <w:bCs/>
        </w:rPr>
        <w:t>7</w:t>
      </w:r>
      <w:r w:rsidRPr="00E914FB">
        <w:rPr>
          <w:rFonts w:cs="Arial"/>
          <w:bCs/>
        </w:rPr>
        <w:t>-</w:t>
      </w:r>
      <w:r w:rsidR="000E22D4">
        <w:rPr>
          <w:rFonts w:cs="Arial"/>
          <w:bCs/>
        </w:rPr>
        <w:t>2</w:t>
      </w:r>
      <w:r w:rsidR="002F22D4">
        <w:rPr>
          <w:rFonts w:cs="Arial"/>
          <w:bCs/>
        </w:rPr>
        <w:t>2</w:t>
      </w:r>
      <w:r w:rsidRPr="00E914FB">
        <w:rPr>
          <w:rFonts w:cs="Arial"/>
        </w:rPr>
        <w:t xml:space="preserve"> microgram</w:t>
      </w:r>
      <w:r w:rsidRPr="00E914FB">
        <w:rPr>
          <w:rFonts w:cs="Arial"/>
          <w:bCs/>
        </w:rPr>
        <w:t xml:space="preserve">/mL. Ombitasvir was approximately 99.9% bound to human plasma proteins over a concentration range of 0.09 to 9 </w:t>
      </w:r>
      <w:r w:rsidRPr="00E914FB">
        <w:rPr>
          <w:rFonts w:cs="Arial"/>
        </w:rPr>
        <w:t>microgram</w:t>
      </w:r>
      <w:r w:rsidRPr="00E914FB" w:rsidDel="003C42DA">
        <w:rPr>
          <w:rFonts w:cs="Arial"/>
        </w:rPr>
        <w:t xml:space="preserve"> </w:t>
      </w:r>
      <w:r w:rsidRPr="00E914FB">
        <w:rPr>
          <w:rFonts w:cs="Arial"/>
          <w:bCs/>
        </w:rPr>
        <w:t>/mL. Dasabuvir was &gt; 99</w:t>
      </w:r>
      <w:r w:rsidR="000E22D4">
        <w:rPr>
          <w:rFonts w:cs="Arial"/>
          <w:bCs/>
        </w:rPr>
        <w:t>.5</w:t>
      </w:r>
      <w:r w:rsidRPr="00E914FB">
        <w:rPr>
          <w:rFonts w:cs="Arial"/>
          <w:bCs/>
        </w:rPr>
        <w:t xml:space="preserve">% bound to human plasma proteins over a concentration range of 0.15 to 5 </w:t>
      </w:r>
      <w:r w:rsidRPr="00E914FB">
        <w:rPr>
          <w:rFonts w:cs="Arial"/>
        </w:rPr>
        <w:t>microgram</w:t>
      </w:r>
      <w:r w:rsidRPr="00E914FB">
        <w:rPr>
          <w:rFonts w:cs="Arial"/>
          <w:bCs/>
        </w:rPr>
        <w:t>/mL.</w:t>
      </w:r>
    </w:p>
    <w:p w14:paraId="2F9ABB6C" w14:textId="0191FEEC" w:rsidR="00DA417B" w:rsidRPr="00E914FB" w:rsidRDefault="001726F4" w:rsidP="00CD0524">
      <w:pPr>
        <w:spacing w:line="240" w:lineRule="auto"/>
        <w:jc w:val="both"/>
        <w:rPr>
          <w:rFonts w:cs="Arial"/>
          <w:bCs/>
        </w:rPr>
      </w:pPr>
      <w:r w:rsidRPr="00E914FB">
        <w:rPr>
          <w:rFonts w:cs="Arial"/>
          <w:bCs/>
        </w:rPr>
        <w:t xml:space="preserve">In animals, paritaprevir liver levels are significantly higher than plasma levels (e.g. liver: plasma ratio of &gt;300:1 in mouse).  </w:t>
      </w:r>
      <w:r w:rsidRPr="00E914FB">
        <w:rPr>
          <w:rFonts w:cs="Arial"/>
          <w:bCs/>
          <w:i/>
        </w:rPr>
        <w:t>In vitro</w:t>
      </w:r>
      <w:r w:rsidRPr="00E914FB">
        <w:rPr>
          <w:rFonts w:cs="Arial"/>
          <w:bCs/>
        </w:rPr>
        <w:t xml:space="preserve"> data indicate that paritaprevir is a substrate for the human hepatic uptake transporters, OATP1B1 and OATP1B3.</w:t>
      </w:r>
    </w:p>
    <w:p w14:paraId="2F9ABB70" w14:textId="77777777" w:rsidR="00DA417B" w:rsidRPr="00E914FB" w:rsidRDefault="00356BCD" w:rsidP="00CD0524">
      <w:pPr>
        <w:spacing w:line="240" w:lineRule="auto"/>
        <w:rPr>
          <w:rFonts w:cs="Arial"/>
          <w:u w:val="single"/>
        </w:rPr>
      </w:pPr>
      <w:r w:rsidRPr="00E914FB">
        <w:rPr>
          <w:rFonts w:cs="Arial"/>
          <w:u w:val="single"/>
        </w:rPr>
        <w:t>Metabolism</w:t>
      </w:r>
    </w:p>
    <w:p w14:paraId="2F9ABB71" w14:textId="7604DB99" w:rsidR="00DA417B" w:rsidRPr="00E914FB" w:rsidRDefault="00356BCD" w:rsidP="00CD0524">
      <w:pPr>
        <w:spacing w:line="240" w:lineRule="auto"/>
        <w:rPr>
          <w:rFonts w:cs="Arial"/>
          <w:i/>
        </w:rPr>
      </w:pPr>
      <w:r w:rsidRPr="00E914FB">
        <w:rPr>
          <w:rFonts w:cs="Arial"/>
          <w:i/>
        </w:rPr>
        <w:t>Paritaprevir</w:t>
      </w:r>
    </w:p>
    <w:p w14:paraId="39C31D93" w14:textId="77777777" w:rsidR="001726F4" w:rsidRPr="00E914FB" w:rsidRDefault="001726F4" w:rsidP="00CD0524">
      <w:pPr>
        <w:spacing w:line="240" w:lineRule="auto"/>
        <w:jc w:val="both"/>
        <w:rPr>
          <w:rFonts w:cs="Arial"/>
        </w:rPr>
      </w:pPr>
      <w:r w:rsidRPr="00E914FB">
        <w:rPr>
          <w:rFonts w:cs="Arial"/>
        </w:rPr>
        <w:t xml:space="preserve">Paritaprevir is metabolised predominantly by CYP3A4 and to a lesser extent CYP3A5.  Following administration of a single 200/100 mg oral dose of </w:t>
      </w:r>
      <w:r w:rsidRPr="00E914FB">
        <w:rPr>
          <w:rFonts w:cs="Arial"/>
          <w:vertAlign w:val="superscript"/>
        </w:rPr>
        <w:t>14</w:t>
      </w:r>
      <w:r w:rsidRPr="00E914FB">
        <w:rPr>
          <w:rFonts w:cs="Arial"/>
        </w:rPr>
        <w:t xml:space="preserve">C paritaprevir/ritonavir to humans, the parent drug was the major circulating component accounting for approximately 90% of the plasma radioactivity. At least 5 minor metabolites of paritaprevir have been identified in circulation that </w:t>
      </w:r>
      <w:r w:rsidRPr="00E914FB">
        <w:rPr>
          <w:rFonts w:cs="Arial"/>
        </w:rPr>
        <w:lastRenderedPageBreak/>
        <w:t xml:space="preserve">accounted for approximately 10% of plasma radioactivity. These metabolites are not expected to have antiviral activity. </w:t>
      </w:r>
    </w:p>
    <w:p w14:paraId="0D5274F6" w14:textId="336972E5" w:rsidR="001726F4" w:rsidRPr="00E914FB" w:rsidRDefault="001726F4" w:rsidP="00CD0524">
      <w:pPr>
        <w:spacing w:line="240" w:lineRule="auto"/>
        <w:rPr>
          <w:rFonts w:cs="Arial"/>
          <w:i/>
        </w:rPr>
      </w:pPr>
      <w:r w:rsidRPr="00E914FB">
        <w:rPr>
          <w:rFonts w:cs="Arial"/>
          <w:i/>
        </w:rPr>
        <w:t>Ombitasvir</w:t>
      </w:r>
    </w:p>
    <w:p w14:paraId="2F5DABB4" w14:textId="77777777" w:rsidR="001726F4" w:rsidRPr="00E914FB" w:rsidRDefault="001726F4" w:rsidP="00CD0524">
      <w:pPr>
        <w:spacing w:line="240" w:lineRule="auto"/>
        <w:jc w:val="both"/>
        <w:rPr>
          <w:rFonts w:cs="Arial"/>
        </w:rPr>
      </w:pPr>
      <w:r w:rsidRPr="00E914FB">
        <w:rPr>
          <w:rStyle w:val="gtcbold2"/>
          <w:rFonts w:cs="Arial"/>
          <w:b w:val="0"/>
        </w:rPr>
        <w:t>Ombitasvir is metabolised via amide hydrolysis followed by oxidative metabolism.</w:t>
      </w:r>
      <w:r w:rsidRPr="00E914FB">
        <w:rPr>
          <w:rFonts w:cs="Arial"/>
        </w:rPr>
        <w:t xml:space="preserve"> Following a 25 mg single dose of </w:t>
      </w:r>
      <w:r w:rsidRPr="00E914FB">
        <w:rPr>
          <w:rFonts w:cs="Arial"/>
          <w:vertAlign w:val="superscript"/>
        </w:rPr>
        <w:t>14</w:t>
      </w:r>
      <w:r w:rsidRPr="00E914FB">
        <w:rPr>
          <w:rFonts w:cs="Arial"/>
        </w:rPr>
        <w:t>C-ombitasvir given alone, unchanged parent drug accounted for 8.9% of total radioactivity in human plasma; a total of 13 metabolites were identified in human plasma. These metabolites are not expected to have antiviral activity or off-target pharmacological activity.</w:t>
      </w:r>
    </w:p>
    <w:p w14:paraId="3790E3EB" w14:textId="6F698DD6" w:rsidR="001726F4" w:rsidRPr="00E914FB" w:rsidRDefault="001726F4" w:rsidP="00CD0524">
      <w:pPr>
        <w:spacing w:line="240" w:lineRule="auto"/>
        <w:rPr>
          <w:rFonts w:cs="Arial"/>
          <w:i/>
        </w:rPr>
      </w:pPr>
      <w:r w:rsidRPr="00E914FB">
        <w:rPr>
          <w:rFonts w:cs="Arial"/>
          <w:i/>
        </w:rPr>
        <w:t>Dasabuvir</w:t>
      </w:r>
    </w:p>
    <w:p w14:paraId="2F9ABB76" w14:textId="4C848BCE" w:rsidR="00DA417B" w:rsidRPr="00E914FB" w:rsidRDefault="001726F4" w:rsidP="00CD0524">
      <w:pPr>
        <w:spacing w:line="240" w:lineRule="auto"/>
        <w:jc w:val="both"/>
        <w:rPr>
          <w:rFonts w:cs="Arial"/>
        </w:rPr>
      </w:pPr>
      <w:r w:rsidRPr="00E914FB">
        <w:rPr>
          <w:rFonts w:cs="Arial"/>
        </w:rPr>
        <w:t xml:space="preserve">Dasabuvir is predominantly metabolised by CYP2C8 and to a lesser extent by CYP3A. Following a 400 mg </w:t>
      </w:r>
      <w:r w:rsidRPr="00E914FB">
        <w:rPr>
          <w:rFonts w:cs="Arial"/>
          <w:vertAlign w:val="superscript"/>
        </w:rPr>
        <w:t>14</w:t>
      </w:r>
      <w:r w:rsidRPr="00E914FB">
        <w:rPr>
          <w:rFonts w:cs="Arial"/>
        </w:rPr>
        <w:t>C-dasabuvir dose in humans, unchanged dasabuvir was the major component (approximately 60%) of drug related radioactivity in plasma; seven metabolites were identified in plasma. The most abundant plasma metabolite was M1, which represented 21% of drug-related radioactivity (AUC) in circulation and has similar contribution to activity against genotype 1 as the parent drug after accounting for difference in protein binding.</w:t>
      </w:r>
    </w:p>
    <w:p w14:paraId="2F9ABB77" w14:textId="4151C2A7" w:rsidR="00DA417B" w:rsidRPr="00E914FB" w:rsidRDefault="00356BCD" w:rsidP="00CD0524">
      <w:pPr>
        <w:spacing w:line="240" w:lineRule="auto"/>
        <w:rPr>
          <w:rFonts w:cs="Arial"/>
          <w:i/>
          <w:iCs/>
        </w:rPr>
      </w:pPr>
      <w:r w:rsidRPr="00E914FB">
        <w:rPr>
          <w:rFonts w:cs="Arial"/>
          <w:i/>
          <w:iCs/>
        </w:rPr>
        <w:t xml:space="preserve">Ritonavir </w:t>
      </w:r>
    </w:p>
    <w:p w14:paraId="2F9ABB78" w14:textId="77777777" w:rsidR="00DA417B" w:rsidRPr="00E914FB" w:rsidRDefault="00356BCD" w:rsidP="00CD0524">
      <w:pPr>
        <w:spacing w:line="240" w:lineRule="auto"/>
        <w:rPr>
          <w:rFonts w:cs="Arial"/>
          <w:iCs/>
        </w:rPr>
      </w:pPr>
      <w:r w:rsidRPr="00E914FB">
        <w:rPr>
          <w:rFonts w:cs="Arial"/>
          <w:iCs/>
        </w:rPr>
        <w:t xml:space="preserve">Ritonavir is predominantly metabolised by CYP3A and to a lesser extent, by CYP2D6. Nearly the entire plasma radioactivity after a single 600 mg dose of </w:t>
      </w:r>
      <w:r w:rsidRPr="00E914FB">
        <w:rPr>
          <w:rFonts w:cs="Arial"/>
          <w:iCs/>
          <w:vertAlign w:val="superscript"/>
        </w:rPr>
        <w:t>14</w:t>
      </w:r>
      <w:r w:rsidRPr="00E914FB">
        <w:rPr>
          <w:rFonts w:cs="Arial"/>
          <w:iCs/>
        </w:rPr>
        <w:t xml:space="preserve">C-ritonavir oral solution in humans was attributed to unchanged ritonavir. </w:t>
      </w:r>
    </w:p>
    <w:p w14:paraId="2F9ABB7B" w14:textId="77777777" w:rsidR="00DA417B" w:rsidRPr="00E914FB" w:rsidRDefault="00356BCD" w:rsidP="00CD0524">
      <w:pPr>
        <w:spacing w:line="240" w:lineRule="auto"/>
        <w:rPr>
          <w:rFonts w:cs="Arial"/>
          <w:u w:val="single"/>
        </w:rPr>
      </w:pPr>
      <w:r w:rsidRPr="00E914FB">
        <w:rPr>
          <w:rFonts w:cs="Arial"/>
          <w:u w:val="single"/>
        </w:rPr>
        <w:t>Elimination</w:t>
      </w:r>
    </w:p>
    <w:p w14:paraId="741DEF1A" w14:textId="78A5514A" w:rsidR="001726F4" w:rsidRPr="00E914FB" w:rsidRDefault="001726F4" w:rsidP="00CD0524">
      <w:pPr>
        <w:spacing w:line="240" w:lineRule="auto"/>
        <w:rPr>
          <w:rFonts w:cs="Arial"/>
          <w:i/>
        </w:rPr>
      </w:pPr>
      <w:r w:rsidRPr="00E914FB">
        <w:rPr>
          <w:rFonts w:cs="Arial"/>
          <w:i/>
        </w:rPr>
        <w:t>Paritaprevir</w:t>
      </w:r>
    </w:p>
    <w:p w14:paraId="3B6AB98C" w14:textId="77777777" w:rsidR="001726F4" w:rsidRPr="00E914FB" w:rsidRDefault="001726F4" w:rsidP="00CD0524">
      <w:pPr>
        <w:spacing w:line="240" w:lineRule="auto"/>
        <w:jc w:val="both"/>
        <w:rPr>
          <w:rFonts w:cs="Arial"/>
        </w:rPr>
      </w:pPr>
      <w:r w:rsidRPr="00E914FB">
        <w:rPr>
          <w:rFonts w:cs="Arial"/>
        </w:rPr>
        <w:t xml:space="preserve">Following dosing of paritaprevir/ritonavir/ombitasvir with or without dasabuvir, mean plasma half-life of paritaprevir was approximately 5.5 hours.  Following a 200 mg </w:t>
      </w:r>
      <w:r w:rsidRPr="00E914FB">
        <w:rPr>
          <w:rFonts w:cs="Arial"/>
          <w:vertAlign w:val="superscript"/>
        </w:rPr>
        <w:t>14</w:t>
      </w:r>
      <w:r w:rsidRPr="00E914FB">
        <w:rPr>
          <w:rFonts w:cs="Arial"/>
        </w:rPr>
        <w:t xml:space="preserve">C-paritaprevir dose with 100 mg ritonavir, approximately 88% of the radioactivity was recovered in faeces with limited radioactivity (8.8%) in urine. </w:t>
      </w:r>
    </w:p>
    <w:p w14:paraId="085D0881" w14:textId="792C6ECD" w:rsidR="001726F4" w:rsidRPr="00E914FB" w:rsidRDefault="001726F4" w:rsidP="00CD0524">
      <w:pPr>
        <w:spacing w:line="240" w:lineRule="auto"/>
        <w:rPr>
          <w:rFonts w:cs="Arial"/>
          <w:i/>
        </w:rPr>
      </w:pPr>
      <w:r w:rsidRPr="00E914FB">
        <w:rPr>
          <w:rFonts w:cs="Arial"/>
          <w:i/>
        </w:rPr>
        <w:t>Ombitasvir</w:t>
      </w:r>
    </w:p>
    <w:p w14:paraId="741BEBC4" w14:textId="77777777" w:rsidR="001726F4" w:rsidRPr="00E914FB" w:rsidRDefault="001726F4" w:rsidP="00CD0524">
      <w:pPr>
        <w:spacing w:line="240" w:lineRule="auto"/>
        <w:jc w:val="both"/>
        <w:rPr>
          <w:rFonts w:cs="Arial"/>
        </w:rPr>
      </w:pPr>
      <w:r w:rsidRPr="00E914FB">
        <w:rPr>
          <w:rFonts w:cs="Arial"/>
        </w:rPr>
        <w:t xml:space="preserve">Following dosing of paritaprevir/ritonavir/ombitasvir with or without dasabuvir, mean plasma half-life of ombitasvir was approximately 21-25 hours. Following a 25 mg </w:t>
      </w:r>
      <w:r w:rsidRPr="00E914FB">
        <w:rPr>
          <w:rFonts w:cs="Arial"/>
          <w:vertAlign w:val="superscript"/>
        </w:rPr>
        <w:t>14</w:t>
      </w:r>
      <w:r w:rsidRPr="00E914FB">
        <w:rPr>
          <w:rFonts w:cs="Arial"/>
        </w:rPr>
        <w:t xml:space="preserve">C-ombitasvir dose, approximately 90.2% of the radioactivity was recovered in faeces with limited radioactivity (1.91%) in urine. </w:t>
      </w:r>
    </w:p>
    <w:p w14:paraId="6E30B32A" w14:textId="38A3B678" w:rsidR="001726F4" w:rsidRPr="00E914FB" w:rsidRDefault="001726F4" w:rsidP="00CD0524">
      <w:pPr>
        <w:spacing w:line="240" w:lineRule="auto"/>
        <w:rPr>
          <w:rFonts w:cs="Arial"/>
          <w:i/>
        </w:rPr>
      </w:pPr>
      <w:r w:rsidRPr="00E914FB">
        <w:rPr>
          <w:rFonts w:cs="Arial"/>
          <w:i/>
        </w:rPr>
        <w:t>Dasabuvir</w:t>
      </w:r>
    </w:p>
    <w:p w14:paraId="5D5640ED" w14:textId="77777777" w:rsidR="001726F4" w:rsidRPr="00E914FB" w:rsidRDefault="001726F4" w:rsidP="00CD0524">
      <w:pPr>
        <w:spacing w:line="240" w:lineRule="auto"/>
        <w:jc w:val="both"/>
        <w:rPr>
          <w:rFonts w:cs="Arial"/>
        </w:rPr>
      </w:pPr>
      <w:r w:rsidRPr="00E914FB">
        <w:rPr>
          <w:rFonts w:cs="Arial"/>
        </w:rPr>
        <w:t xml:space="preserve">Following dosing of dasabuvir with paritaprevir/ritonavir/ombitasvir, mean plasma half-life of dasabuvir was approximately 5.5 to 6 hours. Following a 400 mg </w:t>
      </w:r>
      <w:r w:rsidRPr="00E914FB">
        <w:rPr>
          <w:rFonts w:cs="Arial"/>
          <w:vertAlign w:val="superscript"/>
        </w:rPr>
        <w:t>14</w:t>
      </w:r>
      <w:r w:rsidRPr="00E914FB">
        <w:rPr>
          <w:rFonts w:cs="Arial"/>
        </w:rPr>
        <w:t>C-dasabuvir dose, approximately 94.4% of the radioactivity was recovered in faeces with limited radioactivity (approximately 2%) in urine.</w:t>
      </w:r>
    </w:p>
    <w:p w14:paraId="5105A8E0" w14:textId="7B9BE724" w:rsidR="001726F4" w:rsidRPr="00E914FB" w:rsidRDefault="001726F4" w:rsidP="00CD0524">
      <w:pPr>
        <w:spacing w:line="240" w:lineRule="auto"/>
        <w:rPr>
          <w:rFonts w:cs="Arial"/>
          <w:i/>
        </w:rPr>
      </w:pPr>
      <w:r w:rsidRPr="00E914FB">
        <w:rPr>
          <w:rFonts w:cs="Arial"/>
          <w:i/>
        </w:rPr>
        <w:t>Ritonavir</w:t>
      </w:r>
    </w:p>
    <w:p w14:paraId="21A4236B" w14:textId="25740E69" w:rsidR="00CC2E40" w:rsidRDefault="001726F4" w:rsidP="00CD0524">
      <w:pPr>
        <w:spacing w:line="240" w:lineRule="auto"/>
        <w:jc w:val="both"/>
        <w:rPr>
          <w:rFonts w:cs="Arial"/>
          <w:u w:val="single"/>
        </w:rPr>
      </w:pPr>
      <w:r w:rsidRPr="00E914FB">
        <w:rPr>
          <w:rFonts w:cs="Arial"/>
        </w:rPr>
        <w:t xml:space="preserve">Following dosing of paritaprevir/ritonavir/ombitasvir, mean plasma half-life of ritonavir was approximately 4 hours.  Following a 600 mg dose of </w:t>
      </w:r>
      <w:r w:rsidRPr="00E914FB">
        <w:rPr>
          <w:rFonts w:cs="Arial"/>
          <w:vertAlign w:val="superscript"/>
        </w:rPr>
        <w:t>14</w:t>
      </w:r>
      <w:r w:rsidRPr="00E914FB">
        <w:rPr>
          <w:rFonts w:cs="Arial"/>
        </w:rPr>
        <w:t>C -ritonavir oral solution, 86.4% of the radioactivity was recovered in the faeces and 11.3% of the dose was excreted in the urine.</w:t>
      </w:r>
    </w:p>
    <w:p w14:paraId="2A462CE6" w14:textId="7D0AC7E9" w:rsidR="001726F4" w:rsidRPr="00E914FB" w:rsidRDefault="001726F4" w:rsidP="008B54FF">
      <w:pPr>
        <w:pageBreakBefore/>
        <w:spacing w:line="240" w:lineRule="auto"/>
        <w:jc w:val="both"/>
        <w:rPr>
          <w:rFonts w:cs="Arial"/>
          <w:u w:val="single"/>
        </w:rPr>
      </w:pPr>
      <w:r w:rsidRPr="00E914FB">
        <w:rPr>
          <w:rFonts w:cs="Arial"/>
          <w:u w:val="single"/>
        </w:rPr>
        <w:lastRenderedPageBreak/>
        <w:t>Implications for Drug Interactions</w:t>
      </w:r>
    </w:p>
    <w:p w14:paraId="61352F32" w14:textId="2CFB64B4" w:rsidR="001726F4" w:rsidRPr="00C36213" w:rsidRDefault="001726F4" w:rsidP="00CD0524">
      <w:pPr>
        <w:spacing w:line="240" w:lineRule="auto"/>
        <w:jc w:val="both"/>
        <w:rPr>
          <w:rFonts w:cs="Arial"/>
          <w:i/>
          <w:iCs/>
          <w:u w:val="single"/>
        </w:rPr>
      </w:pPr>
      <w:r w:rsidRPr="00C36213">
        <w:rPr>
          <w:rFonts w:cs="Arial"/>
          <w:i/>
          <w:iCs/>
          <w:u w:val="single"/>
        </w:rPr>
        <w:t xml:space="preserve">Potential for </w:t>
      </w:r>
      <w:r w:rsidR="00C24FEE" w:rsidRPr="00C36213">
        <w:rPr>
          <w:rFonts w:cs="Arial"/>
          <w:i/>
          <w:iCs/>
          <w:u w:val="single"/>
        </w:rPr>
        <w:t>VIEKIRA PAK</w:t>
      </w:r>
      <w:r w:rsidRPr="00C36213">
        <w:rPr>
          <w:rFonts w:cs="Arial"/>
          <w:i/>
          <w:iCs/>
          <w:u w:val="single"/>
        </w:rPr>
        <w:t xml:space="preserve"> to affect the pharmacokinetics of other medicinal product</w:t>
      </w:r>
      <w:r w:rsidR="00C36213" w:rsidRPr="00C36213">
        <w:rPr>
          <w:rFonts w:cs="Arial"/>
          <w:i/>
          <w:iCs/>
          <w:u w:val="single"/>
        </w:rPr>
        <w:t>s</w:t>
      </w:r>
    </w:p>
    <w:p w14:paraId="5060817B" w14:textId="77777777" w:rsidR="001726F4" w:rsidRPr="00E914FB" w:rsidRDefault="001726F4" w:rsidP="00CD0524">
      <w:pPr>
        <w:spacing w:line="240" w:lineRule="auto"/>
        <w:jc w:val="both"/>
        <w:rPr>
          <w:rFonts w:cs="Arial"/>
        </w:rPr>
      </w:pPr>
      <w:r w:rsidRPr="00E914FB">
        <w:rPr>
          <w:rFonts w:cs="Arial"/>
          <w:i/>
          <w:iCs/>
        </w:rPr>
        <w:t xml:space="preserve">In vivo </w:t>
      </w:r>
      <w:r w:rsidRPr="00E914FB">
        <w:rPr>
          <w:rFonts w:cs="Arial"/>
        </w:rPr>
        <w:t xml:space="preserve">drug interaction studies evaluated the net effect of the combination treatment, including ritonavir. </w:t>
      </w:r>
    </w:p>
    <w:p w14:paraId="2154303D" w14:textId="3A549A22" w:rsidR="001726F4" w:rsidRPr="00E914FB" w:rsidRDefault="001726F4" w:rsidP="00CD0524">
      <w:pPr>
        <w:spacing w:line="240" w:lineRule="auto"/>
        <w:jc w:val="both"/>
        <w:rPr>
          <w:rFonts w:cs="Arial"/>
        </w:rPr>
      </w:pPr>
      <w:r w:rsidRPr="00E914FB">
        <w:rPr>
          <w:rFonts w:cs="Arial"/>
        </w:rPr>
        <w:t xml:space="preserve">The following section describes the specific transporters and metabolizing enzymes that are affected by </w:t>
      </w:r>
      <w:r w:rsidR="00C24FEE" w:rsidRPr="00E914FB">
        <w:rPr>
          <w:rFonts w:cs="Arial"/>
        </w:rPr>
        <w:t>VIEKIRA PAK</w:t>
      </w:r>
      <w:r w:rsidRPr="00E914FB">
        <w:rPr>
          <w:rFonts w:cs="Arial"/>
        </w:rPr>
        <w:t xml:space="preserve">. See INTERACTIONS WITH OTHER MEDICINES for guidance regarding potential interactions with other medicinal products and dosing recommendations. </w:t>
      </w:r>
    </w:p>
    <w:p w14:paraId="35CB64DC" w14:textId="77777777" w:rsidR="001726F4" w:rsidRPr="00E914FB" w:rsidRDefault="001726F4" w:rsidP="00CD0524">
      <w:pPr>
        <w:spacing w:line="240" w:lineRule="auto"/>
        <w:jc w:val="both"/>
        <w:rPr>
          <w:rFonts w:cs="Arial"/>
          <w:i/>
          <w:iCs/>
        </w:rPr>
      </w:pPr>
      <w:r w:rsidRPr="00E914FB">
        <w:rPr>
          <w:rFonts w:cs="Arial"/>
          <w:i/>
          <w:iCs/>
        </w:rPr>
        <w:t xml:space="preserve">Medicinal products metabolised by CYP3A4 </w:t>
      </w:r>
    </w:p>
    <w:p w14:paraId="56E91773" w14:textId="3F3EEA47" w:rsidR="001726F4" w:rsidRPr="00E914FB" w:rsidRDefault="001726F4" w:rsidP="00CD0524">
      <w:pPr>
        <w:spacing w:line="240" w:lineRule="auto"/>
        <w:jc w:val="both"/>
        <w:rPr>
          <w:rFonts w:cs="Arial"/>
        </w:rPr>
      </w:pPr>
      <w:r w:rsidRPr="00E914FB">
        <w:rPr>
          <w:rFonts w:cs="Arial"/>
        </w:rPr>
        <w:t xml:space="preserve">Ritonavir is a strong inhibitor of CYP3A. Co-administration of </w:t>
      </w:r>
      <w:r w:rsidR="00C24FEE" w:rsidRPr="00E914FB">
        <w:rPr>
          <w:rFonts w:cs="Arial"/>
        </w:rPr>
        <w:t>VIEKIRA PAK</w:t>
      </w:r>
      <w:r w:rsidRPr="00E914FB">
        <w:rPr>
          <w:rFonts w:cs="Arial"/>
        </w:rPr>
        <w:t xml:space="preserve"> with medicinal products primarily </w:t>
      </w:r>
      <w:r w:rsidR="000E22D4">
        <w:rPr>
          <w:rFonts w:cs="Arial"/>
        </w:rPr>
        <w:t>metabolised</w:t>
      </w:r>
      <w:r w:rsidRPr="00E914FB">
        <w:rPr>
          <w:rFonts w:cs="Arial"/>
        </w:rPr>
        <w:t xml:space="preserve"> by CYP3A may result in increased plasma concentrations of these medicinal products. Medicinal products that are highly dependent on CYP3A for clearance and for which elevated plasma levels are associated with serious events are contraindicated (see CONTRAINDICATIONS and INTERACTIONS WITH OTHER MEDICINES). </w:t>
      </w:r>
    </w:p>
    <w:p w14:paraId="47357436" w14:textId="42ED5707" w:rsidR="001726F4" w:rsidRPr="00E914FB" w:rsidRDefault="001726F4" w:rsidP="00CD0524">
      <w:pPr>
        <w:spacing w:line="240" w:lineRule="auto"/>
        <w:jc w:val="both"/>
        <w:rPr>
          <w:rFonts w:cs="Arial"/>
        </w:rPr>
      </w:pPr>
      <w:r w:rsidRPr="00E914FB">
        <w:rPr>
          <w:rFonts w:cs="Arial"/>
        </w:rPr>
        <w:t xml:space="preserve">CYP3A substrates evaluated in drug interaction studies which may require dose adjustment and/or clinical monitoring include (see </w:t>
      </w:r>
      <w:r w:rsidR="00121436">
        <w:rPr>
          <w:rFonts w:cs="Arial"/>
        </w:rPr>
        <w:t>Table 13</w:t>
      </w:r>
      <w:r w:rsidRPr="00E914FB">
        <w:rPr>
          <w:rFonts w:cs="Arial"/>
        </w:rPr>
        <w:t xml:space="preserve">) cyclosporine, tacrolimus, amlodipine, rilpivirine and alprazolam. Examples of other CYP3A4 substrates which may require dose adjustment and/or clinical monitoring include calcium channel blockers (e.g. nifedipine), and trazodone. Although buprenorphine and zolpidem are also </w:t>
      </w:r>
      <w:r w:rsidR="000E22D4">
        <w:rPr>
          <w:rFonts w:cs="Arial"/>
        </w:rPr>
        <w:t>metabolised</w:t>
      </w:r>
      <w:r w:rsidRPr="00E914FB">
        <w:rPr>
          <w:rFonts w:cs="Arial"/>
        </w:rPr>
        <w:t xml:space="preserve"> by CYP3A, drug interaction studies indicate that no dose adjustment is needed when co-administering these medicinal products with </w:t>
      </w:r>
      <w:r w:rsidR="00C24FEE" w:rsidRPr="00E914FB">
        <w:rPr>
          <w:rFonts w:cs="Arial"/>
        </w:rPr>
        <w:t>VIEKIRA PAK</w:t>
      </w:r>
      <w:r w:rsidRPr="00E914FB">
        <w:rPr>
          <w:rFonts w:cs="Arial"/>
        </w:rPr>
        <w:t xml:space="preserve"> (see </w:t>
      </w:r>
      <w:r w:rsidR="00121436">
        <w:rPr>
          <w:rFonts w:cs="Arial"/>
        </w:rPr>
        <w:t>Table 13</w:t>
      </w:r>
      <w:r w:rsidRPr="00E914FB">
        <w:rPr>
          <w:rFonts w:cs="Arial"/>
        </w:rPr>
        <w:t>).</w:t>
      </w:r>
    </w:p>
    <w:p w14:paraId="68B828DC" w14:textId="77777777" w:rsidR="001726F4" w:rsidRPr="00E914FB" w:rsidRDefault="001726F4" w:rsidP="00CD0524">
      <w:pPr>
        <w:spacing w:line="240" w:lineRule="auto"/>
        <w:jc w:val="both"/>
        <w:rPr>
          <w:rFonts w:cs="Arial"/>
        </w:rPr>
      </w:pPr>
      <w:r w:rsidRPr="00E914FB">
        <w:rPr>
          <w:rFonts w:cs="Arial"/>
          <w:i/>
          <w:iCs/>
        </w:rPr>
        <w:t>Medicinal products transported by the OATP family and OCT1</w:t>
      </w:r>
    </w:p>
    <w:p w14:paraId="7C0479AD" w14:textId="0D9A966B" w:rsidR="001726F4" w:rsidRPr="00E914FB" w:rsidRDefault="001726F4" w:rsidP="00CD0524">
      <w:pPr>
        <w:spacing w:line="240" w:lineRule="auto"/>
        <w:jc w:val="both"/>
        <w:rPr>
          <w:rFonts w:cs="Arial"/>
        </w:rPr>
      </w:pPr>
      <w:r w:rsidRPr="00E914FB">
        <w:rPr>
          <w:rFonts w:cs="Arial"/>
        </w:rPr>
        <w:t xml:space="preserve">Paritaprevir is an inhibitor of the hepatic uptake transporters OATP1B1 and OATP1B3, and paritaprevir and ritonavir are inhibitors of OATP2B1. Ritonavir is an </w:t>
      </w:r>
      <w:r w:rsidRPr="00E914FB">
        <w:rPr>
          <w:rFonts w:cs="Arial"/>
          <w:i/>
          <w:iCs/>
        </w:rPr>
        <w:t xml:space="preserve">in vitro </w:t>
      </w:r>
      <w:r w:rsidRPr="00E914FB">
        <w:rPr>
          <w:rFonts w:cs="Arial"/>
        </w:rPr>
        <w:t xml:space="preserve">inhibitor of OCT1, but the clinical relevance is unknown. Co-administration of </w:t>
      </w:r>
      <w:r w:rsidR="00C24FEE" w:rsidRPr="00E914FB">
        <w:rPr>
          <w:rFonts w:cs="Arial"/>
        </w:rPr>
        <w:t>VIEKIRA PAK</w:t>
      </w:r>
      <w:r w:rsidRPr="00E914FB">
        <w:rPr>
          <w:rFonts w:cs="Arial"/>
        </w:rPr>
        <w:t xml:space="preserve"> with medicinal products that are substrates of OATP1B1, OATP1B3, OATP2B1 or OCT1 may increase plasma concentrations of these transporter substrates, potentially requiring dose adjustment/clinical monitoring. Such medicinal products include some statins (see </w:t>
      </w:r>
      <w:r w:rsidR="00121436">
        <w:rPr>
          <w:rFonts w:cs="Arial"/>
        </w:rPr>
        <w:t>Table 13</w:t>
      </w:r>
      <w:r w:rsidRPr="00E914FB">
        <w:rPr>
          <w:rFonts w:cs="Arial"/>
        </w:rPr>
        <w:t xml:space="preserve">), fexofenadine, repaglinide and angiotensin II receptor antagonists (e.g., valsartan). </w:t>
      </w:r>
    </w:p>
    <w:p w14:paraId="52BCE86B" w14:textId="7E8936F9" w:rsidR="001726F4" w:rsidRPr="00E914FB" w:rsidRDefault="001726F4" w:rsidP="00CD0524">
      <w:pPr>
        <w:spacing w:line="240" w:lineRule="auto"/>
        <w:jc w:val="both"/>
        <w:rPr>
          <w:rFonts w:cs="Arial"/>
        </w:rPr>
      </w:pPr>
      <w:r w:rsidRPr="00E914FB">
        <w:rPr>
          <w:rFonts w:cs="Arial"/>
        </w:rPr>
        <w:t xml:space="preserve">OATP1B1/3 substrates evaluated in drug interaction studies include pravastatin and rosuvastatin (see </w:t>
      </w:r>
      <w:r w:rsidR="00121436">
        <w:rPr>
          <w:rFonts w:cs="Arial"/>
        </w:rPr>
        <w:t>Table 13</w:t>
      </w:r>
      <w:r w:rsidRPr="00E914FB">
        <w:rPr>
          <w:rFonts w:cs="Arial"/>
        </w:rPr>
        <w:t xml:space="preserve">). </w:t>
      </w:r>
    </w:p>
    <w:p w14:paraId="342D3367" w14:textId="77777777" w:rsidR="001726F4" w:rsidRPr="00E914FB" w:rsidRDefault="001726F4" w:rsidP="00CD0524">
      <w:pPr>
        <w:spacing w:line="240" w:lineRule="auto"/>
        <w:jc w:val="both"/>
        <w:rPr>
          <w:rFonts w:cs="Arial"/>
        </w:rPr>
      </w:pPr>
      <w:r w:rsidRPr="00E914FB">
        <w:rPr>
          <w:rFonts w:cs="Arial"/>
          <w:i/>
          <w:iCs/>
        </w:rPr>
        <w:t xml:space="preserve">Medicinal products transported by BCRP </w:t>
      </w:r>
    </w:p>
    <w:p w14:paraId="4519CACA" w14:textId="710EDFD2" w:rsidR="001726F4" w:rsidRPr="00E914FB" w:rsidRDefault="001726F4" w:rsidP="00CD0524">
      <w:pPr>
        <w:spacing w:line="240" w:lineRule="auto"/>
        <w:jc w:val="both"/>
        <w:rPr>
          <w:rFonts w:cs="Arial"/>
        </w:rPr>
      </w:pPr>
      <w:r w:rsidRPr="00E914FB">
        <w:rPr>
          <w:rFonts w:cs="Arial"/>
        </w:rPr>
        <w:t xml:space="preserve">Paritaprevir, ritonavir and dasabuvir are inhibitors of BCRP </w:t>
      </w:r>
      <w:r w:rsidRPr="00E914FB">
        <w:rPr>
          <w:rFonts w:cs="Arial"/>
          <w:i/>
          <w:iCs/>
        </w:rPr>
        <w:t>in vivo</w:t>
      </w:r>
      <w:r w:rsidRPr="00E914FB">
        <w:rPr>
          <w:rFonts w:cs="Arial"/>
        </w:rPr>
        <w:t xml:space="preserve">. Co-administration of </w:t>
      </w:r>
      <w:r w:rsidR="00C24FEE" w:rsidRPr="00E914FB">
        <w:rPr>
          <w:rFonts w:cs="Arial"/>
        </w:rPr>
        <w:t>VIEKIRA PAK</w:t>
      </w:r>
      <w:r w:rsidRPr="00E914FB">
        <w:rPr>
          <w:rFonts w:cs="Arial"/>
        </w:rPr>
        <w:t xml:space="preserve"> together with medicinal products that are substrates of BCRP may increase plasma concentrations of these transporter substrates, potentially requiring dose adjustment/clinical monitoring. Such medicinal products include sulfasalazine, imatinib and some of the statins (see</w:t>
      </w:r>
      <w:r w:rsidR="004E7BBE">
        <w:rPr>
          <w:rFonts w:cs="Arial"/>
        </w:rPr>
        <w:t xml:space="preserve"> </w:t>
      </w:r>
      <w:r w:rsidR="00121436">
        <w:rPr>
          <w:rFonts w:cs="Arial"/>
        </w:rPr>
        <w:t>Table 13</w:t>
      </w:r>
      <w:r w:rsidRPr="00E914FB">
        <w:rPr>
          <w:rFonts w:cs="Arial"/>
        </w:rPr>
        <w:t xml:space="preserve">). </w:t>
      </w:r>
    </w:p>
    <w:p w14:paraId="6DC42805" w14:textId="3C1683C2" w:rsidR="00CC2E40" w:rsidRDefault="001726F4" w:rsidP="00CD0524">
      <w:pPr>
        <w:spacing w:line="240" w:lineRule="auto"/>
        <w:jc w:val="both"/>
        <w:rPr>
          <w:rFonts w:cs="Arial"/>
          <w:i/>
          <w:iCs/>
        </w:rPr>
      </w:pPr>
      <w:r w:rsidRPr="00E914FB">
        <w:rPr>
          <w:rFonts w:cs="Arial"/>
        </w:rPr>
        <w:t>BCRP substrates evaluated in drug interaction stu</w:t>
      </w:r>
      <w:r w:rsidR="004E7BBE">
        <w:rPr>
          <w:rFonts w:cs="Arial"/>
        </w:rPr>
        <w:t xml:space="preserve">dies include rosuvastatin (see </w:t>
      </w:r>
      <w:r w:rsidR="00121436">
        <w:rPr>
          <w:rFonts w:cs="Arial"/>
        </w:rPr>
        <w:t>Table 13</w:t>
      </w:r>
      <w:r w:rsidRPr="00E914FB">
        <w:rPr>
          <w:rFonts w:cs="Arial"/>
        </w:rPr>
        <w:t xml:space="preserve">). </w:t>
      </w:r>
    </w:p>
    <w:p w14:paraId="5F0398AD" w14:textId="30EF7765" w:rsidR="001726F4" w:rsidRPr="00E914FB" w:rsidRDefault="001726F4" w:rsidP="00CD0524">
      <w:pPr>
        <w:spacing w:line="240" w:lineRule="auto"/>
        <w:jc w:val="both"/>
        <w:rPr>
          <w:rFonts w:cs="Arial"/>
        </w:rPr>
      </w:pPr>
      <w:r w:rsidRPr="00E914FB">
        <w:rPr>
          <w:rFonts w:cs="Arial"/>
          <w:i/>
          <w:iCs/>
        </w:rPr>
        <w:t xml:space="preserve">Medicinal products transported by P-gp in the intestine </w:t>
      </w:r>
    </w:p>
    <w:p w14:paraId="2804FE17" w14:textId="3364AE29" w:rsidR="001726F4" w:rsidRPr="00E914FB" w:rsidRDefault="001726F4" w:rsidP="00CD0524">
      <w:pPr>
        <w:spacing w:line="240" w:lineRule="auto"/>
        <w:jc w:val="both"/>
        <w:rPr>
          <w:rFonts w:cs="Arial"/>
        </w:rPr>
      </w:pPr>
      <w:r w:rsidRPr="00E914FB">
        <w:rPr>
          <w:rFonts w:cs="Arial"/>
        </w:rPr>
        <w:t xml:space="preserve">While paritaprevir, ritonavir and dasabuvir are </w:t>
      </w:r>
      <w:r w:rsidRPr="00E914FB">
        <w:rPr>
          <w:rFonts w:cs="Arial"/>
          <w:i/>
          <w:iCs/>
        </w:rPr>
        <w:t xml:space="preserve">in vitro </w:t>
      </w:r>
      <w:r w:rsidRPr="00E914FB">
        <w:rPr>
          <w:rFonts w:cs="Arial"/>
        </w:rPr>
        <w:t xml:space="preserve">inhibitors of P-gp, no significant change was observed in the exposure of the P-gp substrate digoxin when administered with </w:t>
      </w:r>
      <w:r w:rsidR="00C24FEE" w:rsidRPr="00E914FB">
        <w:rPr>
          <w:rFonts w:cs="Arial"/>
        </w:rPr>
        <w:t>VIEKIRA PAK</w:t>
      </w:r>
      <w:r w:rsidRPr="00E914FB">
        <w:rPr>
          <w:rFonts w:cs="Arial"/>
        </w:rPr>
        <w:t xml:space="preserve"> and dasabuvir</w:t>
      </w:r>
      <w:r w:rsidR="004E7BBE">
        <w:rPr>
          <w:rFonts w:cs="Arial"/>
        </w:rPr>
        <w:t xml:space="preserve"> (see </w:t>
      </w:r>
      <w:r w:rsidR="00121436">
        <w:rPr>
          <w:rFonts w:cs="Arial"/>
        </w:rPr>
        <w:t>Table 13</w:t>
      </w:r>
      <w:r w:rsidR="004E7BBE">
        <w:rPr>
          <w:rFonts w:cs="Arial"/>
        </w:rPr>
        <w:t>)</w:t>
      </w:r>
      <w:r w:rsidRPr="00E914FB">
        <w:rPr>
          <w:rFonts w:cs="Arial"/>
        </w:rPr>
        <w:t xml:space="preserve">. </w:t>
      </w:r>
      <w:r w:rsidR="00C24FEE" w:rsidRPr="00E914FB">
        <w:rPr>
          <w:rFonts w:cs="Arial"/>
        </w:rPr>
        <w:t>VIEKIRA PAK</w:t>
      </w:r>
      <w:r w:rsidRPr="00E914FB">
        <w:rPr>
          <w:rFonts w:cs="Arial"/>
        </w:rPr>
        <w:t xml:space="preserve"> may increase the plasma exposure to medicinal products that are sensitive for changed intestinal P-gp activity (such as dabigatran etexilate). </w:t>
      </w:r>
    </w:p>
    <w:p w14:paraId="629478A4" w14:textId="77777777" w:rsidR="001726F4" w:rsidRPr="00E914FB" w:rsidRDefault="001726F4" w:rsidP="00CD0524">
      <w:pPr>
        <w:spacing w:line="240" w:lineRule="auto"/>
        <w:jc w:val="both"/>
        <w:rPr>
          <w:rFonts w:cs="Arial"/>
        </w:rPr>
      </w:pPr>
      <w:r w:rsidRPr="00E914FB">
        <w:rPr>
          <w:rFonts w:cs="Arial"/>
          <w:i/>
          <w:iCs/>
        </w:rPr>
        <w:lastRenderedPageBreak/>
        <w:t xml:space="preserve">Medicinal products metabolised by glucuronidation (UGT1A1) </w:t>
      </w:r>
    </w:p>
    <w:p w14:paraId="74E525EF" w14:textId="1901811B" w:rsidR="001726F4" w:rsidRPr="00E914FB" w:rsidRDefault="001726F4" w:rsidP="00CD0524">
      <w:pPr>
        <w:spacing w:line="240" w:lineRule="auto"/>
        <w:jc w:val="both"/>
        <w:rPr>
          <w:rFonts w:cs="Arial"/>
        </w:rPr>
      </w:pPr>
      <w:r w:rsidRPr="00E914FB">
        <w:rPr>
          <w:rFonts w:cs="Arial"/>
        </w:rPr>
        <w:t xml:space="preserve">Paritaprevir, ombitasvir and dasabuvir are inhibitors of UGT1A1. Co-administration of </w:t>
      </w:r>
      <w:r w:rsidR="00C24FEE" w:rsidRPr="00E914FB">
        <w:rPr>
          <w:rFonts w:cs="Arial"/>
        </w:rPr>
        <w:t>VIEKIRA PAK</w:t>
      </w:r>
      <w:r w:rsidRPr="00E914FB">
        <w:rPr>
          <w:rFonts w:cs="Arial"/>
        </w:rPr>
        <w:t xml:space="preserve"> with medicinal products that are primarily </w:t>
      </w:r>
      <w:r w:rsidR="000E22D4">
        <w:rPr>
          <w:rFonts w:cs="Arial"/>
        </w:rPr>
        <w:t>metabolised</w:t>
      </w:r>
      <w:r w:rsidRPr="00E914FB">
        <w:rPr>
          <w:rFonts w:cs="Arial"/>
        </w:rPr>
        <w:t xml:space="preserve"> by UGT1A1 result in increased plasma concentrations of such medicinal products; routine clinical monitoring is recommended for narrow therapeutic index medicinal products (i.e. levothyroxine). See also INTERACTIONS WITH OTHER MEDICINES for specific advice on raltegravir and buprenorphine, which have been evaluated in drug interaction studies. </w:t>
      </w:r>
    </w:p>
    <w:p w14:paraId="15ED336B" w14:textId="77777777" w:rsidR="001726F4" w:rsidRPr="00E914FB" w:rsidRDefault="001726F4" w:rsidP="00CD0524">
      <w:pPr>
        <w:spacing w:line="240" w:lineRule="auto"/>
        <w:jc w:val="both"/>
        <w:rPr>
          <w:rFonts w:cs="Arial"/>
        </w:rPr>
      </w:pPr>
      <w:r w:rsidRPr="00E914FB">
        <w:rPr>
          <w:rFonts w:cs="Arial"/>
          <w:i/>
          <w:iCs/>
        </w:rPr>
        <w:t xml:space="preserve">Medicinal products metabolised by CYP2C19 </w:t>
      </w:r>
    </w:p>
    <w:p w14:paraId="47DA516F" w14:textId="387A2E84" w:rsidR="001726F4" w:rsidRPr="00E914FB" w:rsidRDefault="001726F4" w:rsidP="00CD0524">
      <w:pPr>
        <w:spacing w:line="240" w:lineRule="auto"/>
        <w:jc w:val="both"/>
        <w:rPr>
          <w:rFonts w:cs="Arial"/>
        </w:rPr>
      </w:pPr>
      <w:r w:rsidRPr="00E914FB">
        <w:rPr>
          <w:rFonts w:cs="Arial"/>
        </w:rPr>
        <w:t xml:space="preserve">Co-administration of </w:t>
      </w:r>
      <w:r w:rsidR="00C24FEE" w:rsidRPr="00E914FB">
        <w:rPr>
          <w:rFonts w:cs="Arial"/>
        </w:rPr>
        <w:t>VIEKIRA PAK</w:t>
      </w:r>
      <w:r w:rsidRPr="00E914FB">
        <w:rPr>
          <w:rFonts w:cs="Arial"/>
        </w:rPr>
        <w:t xml:space="preserve"> can decrease exposures of medicinal products that are </w:t>
      </w:r>
      <w:r w:rsidR="000E22D4">
        <w:rPr>
          <w:rFonts w:cs="Arial"/>
        </w:rPr>
        <w:t>metabolised</w:t>
      </w:r>
      <w:r w:rsidRPr="00E914FB">
        <w:rPr>
          <w:rFonts w:cs="Arial"/>
        </w:rPr>
        <w:t xml:space="preserve"> by CYP2C19 (e.g. lansoprazole, esomeprazole, s-mephenytoin), which may require dose adjustment/clinical monitoring. CYP2C19 substrates evaluated in drug interaction studies include omeprazole and escitalopram (see </w:t>
      </w:r>
      <w:r w:rsidR="00121436">
        <w:rPr>
          <w:rFonts w:cs="Arial"/>
        </w:rPr>
        <w:t>Table 13</w:t>
      </w:r>
      <w:r w:rsidRPr="00E914FB">
        <w:rPr>
          <w:rFonts w:cs="Arial"/>
        </w:rPr>
        <w:t xml:space="preserve">). </w:t>
      </w:r>
    </w:p>
    <w:p w14:paraId="5C4DBDC2" w14:textId="77777777" w:rsidR="00CD0524" w:rsidRDefault="00CD0524" w:rsidP="00CD0524">
      <w:pPr>
        <w:spacing w:line="240" w:lineRule="auto"/>
        <w:jc w:val="both"/>
        <w:rPr>
          <w:rFonts w:cs="Arial"/>
          <w:i/>
          <w:iCs/>
        </w:rPr>
      </w:pPr>
    </w:p>
    <w:p w14:paraId="2D75B0F7" w14:textId="77777777" w:rsidR="00CD0524" w:rsidRDefault="00CD0524" w:rsidP="00CD0524">
      <w:pPr>
        <w:spacing w:line="240" w:lineRule="auto"/>
        <w:jc w:val="both"/>
        <w:rPr>
          <w:rFonts w:cs="Arial"/>
          <w:i/>
          <w:iCs/>
        </w:rPr>
      </w:pPr>
    </w:p>
    <w:p w14:paraId="1D72E6B1" w14:textId="77777777" w:rsidR="001726F4" w:rsidRPr="00E914FB" w:rsidRDefault="001726F4" w:rsidP="00CD0524">
      <w:pPr>
        <w:spacing w:line="240" w:lineRule="auto"/>
        <w:jc w:val="both"/>
        <w:rPr>
          <w:rFonts w:cs="Arial"/>
        </w:rPr>
      </w:pPr>
      <w:r w:rsidRPr="00E914FB">
        <w:rPr>
          <w:rFonts w:cs="Arial"/>
          <w:i/>
          <w:iCs/>
        </w:rPr>
        <w:t xml:space="preserve">Medicinal products metabolised by CYP2C9 </w:t>
      </w:r>
    </w:p>
    <w:p w14:paraId="5C08E632" w14:textId="69659487" w:rsidR="001726F4" w:rsidRPr="00E914FB" w:rsidRDefault="00C24FEE" w:rsidP="00CD0524">
      <w:pPr>
        <w:spacing w:line="240" w:lineRule="auto"/>
        <w:jc w:val="both"/>
        <w:rPr>
          <w:rFonts w:cs="Arial"/>
        </w:rPr>
      </w:pPr>
      <w:r w:rsidRPr="00E914FB">
        <w:rPr>
          <w:rFonts w:cs="Arial"/>
        </w:rPr>
        <w:t>VIEKIRA PAK</w:t>
      </w:r>
      <w:r w:rsidR="001726F4" w:rsidRPr="00E914FB">
        <w:rPr>
          <w:rFonts w:cs="Arial"/>
        </w:rPr>
        <w:t xml:space="preserve"> did not affect the exposures of the CYP2C9 substrate, warfarin. Other CYP2C9 substrates (NSAIDs (e.g. ibuprofen), antidiabetics (e.g. glimepiride, glipizide) are not expected to require dose adjustments. </w:t>
      </w:r>
    </w:p>
    <w:p w14:paraId="5C73FA75" w14:textId="77777777" w:rsidR="001726F4" w:rsidRPr="00E914FB" w:rsidRDefault="001726F4" w:rsidP="00CD0524">
      <w:pPr>
        <w:spacing w:line="240" w:lineRule="auto"/>
        <w:jc w:val="both"/>
        <w:rPr>
          <w:rFonts w:cs="Arial"/>
        </w:rPr>
      </w:pPr>
      <w:r w:rsidRPr="00E914FB">
        <w:rPr>
          <w:rFonts w:cs="Arial"/>
          <w:i/>
          <w:iCs/>
        </w:rPr>
        <w:t xml:space="preserve">Medicinal products metabolised by CYP2D6 or CYP1A2 </w:t>
      </w:r>
    </w:p>
    <w:p w14:paraId="685C42BA" w14:textId="00213B44" w:rsidR="001726F4" w:rsidRPr="00E914FB" w:rsidRDefault="00C24FEE" w:rsidP="00CD0524">
      <w:pPr>
        <w:spacing w:line="240" w:lineRule="auto"/>
        <w:jc w:val="both"/>
        <w:rPr>
          <w:rFonts w:cs="Arial"/>
        </w:rPr>
      </w:pPr>
      <w:r w:rsidRPr="00E914FB">
        <w:rPr>
          <w:rFonts w:cs="Arial"/>
        </w:rPr>
        <w:t>VIEKIRA PAK</w:t>
      </w:r>
      <w:r w:rsidR="001726F4" w:rsidRPr="00E914FB">
        <w:rPr>
          <w:rFonts w:cs="Arial"/>
        </w:rPr>
        <w:t xml:space="preserve"> did not affect the exposures of the CYP2D6/CYP1A2 substrate, duloxetine. Other CYP1A2 substrates (e.g. ciprofloxacin, theophylline and caffeine) and CYP2D6 substrates (e.g. desipramine, metoprolol and dextromethorphan) are not expected to require dose adjustments. </w:t>
      </w:r>
    </w:p>
    <w:p w14:paraId="3678CCD0" w14:textId="77777777" w:rsidR="001726F4" w:rsidRPr="00E914FB" w:rsidRDefault="001726F4" w:rsidP="00CD0524">
      <w:pPr>
        <w:spacing w:line="240" w:lineRule="auto"/>
        <w:jc w:val="both"/>
        <w:rPr>
          <w:rFonts w:cs="Arial"/>
        </w:rPr>
      </w:pPr>
      <w:r w:rsidRPr="00E914FB">
        <w:rPr>
          <w:rFonts w:cs="Arial"/>
          <w:i/>
          <w:iCs/>
        </w:rPr>
        <w:t xml:space="preserve">Medicinal products renally excreted via transport proteins </w:t>
      </w:r>
    </w:p>
    <w:p w14:paraId="535608F9" w14:textId="77777777" w:rsidR="001726F4" w:rsidRPr="00E914FB" w:rsidRDefault="001726F4" w:rsidP="00CD0524">
      <w:pPr>
        <w:spacing w:line="240" w:lineRule="auto"/>
        <w:jc w:val="both"/>
        <w:rPr>
          <w:rFonts w:cs="Arial"/>
        </w:rPr>
      </w:pPr>
      <w:r w:rsidRPr="00E914FB">
        <w:rPr>
          <w:rFonts w:cs="Arial"/>
        </w:rPr>
        <w:t xml:space="preserve">Ombitasvir, paritaprevir, and ritonavir do not inhibit organic anion transporter (OAT1) </w:t>
      </w:r>
      <w:r w:rsidRPr="00E914FB">
        <w:rPr>
          <w:rFonts w:cs="Arial"/>
          <w:i/>
          <w:iCs/>
        </w:rPr>
        <w:t xml:space="preserve">in vivo </w:t>
      </w:r>
      <w:r w:rsidRPr="00E914FB">
        <w:rPr>
          <w:rFonts w:cs="Arial"/>
        </w:rPr>
        <w:t xml:space="preserve">as shown by the lack of interaction with tenofovir (OAT1 substrate). </w:t>
      </w:r>
      <w:r w:rsidRPr="00E914FB">
        <w:rPr>
          <w:rFonts w:cs="Arial"/>
          <w:i/>
          <w:iCs/>
        </w:rPr>
        <w:t xml:space="preserve">In vitro </w:t>
      </w:r>
      <w:r w:rsidRPr="00E914FB">
        <w:rPr>
          <w:rFonts w:cs="Arial"/>
        </w:rPr>
        <w:t xml:space="preserve">studies show that ombitasvir, paritaprevir, and ritonavir are not inhibitors of organic cation transporters (OCT2), organic anion transporters (OAT3), or multidrug and toxin extrusion proteins (MATE1 and MATE2K) at clinically relevant concentrations. </w:t>
      </w:r>
    </w:p>
    <w:p w14:paraId="26A32840" w14:textId="15EB5727" w:rsidR="001726F4" w:rsidRPr="00E914FB" w:rsidRDefault="001726F4" w:rsidP="00CD0524">
      <w:pPr>
        <w:spacing w:line="240" w:lineRule="auto"/>
        <w:jc w:val="both"/>
        <w:rPr>
          <w:rFonts w:cs="Arial"/>
        </w:rPr>
      </w:pPr>
      <w:r w:rsidRPr="00E914FB">
        <w:rPr>
          <w:rFonts w:cs="Arial"/>
        </w:rPr>
        <w:t xml:space="preserve">Therefore, </w:t>
      </w:r>
      <w:r w:rsidR="00C24FEE" w:rsidRPr="00E914FB">
        <w:rPr>
          <w:rFonts w:cs="Arial"/>
        </w:rPr>
        <w:t>VIEKIRA PAK</w:t>
      </w:r>
      <w:r w:rsidRPr="00E914FB">
        <w:rPr>
          <w:rFonts w:cs="Arial"/>
        </w:rPr>
        <w:t xml:space="preserve"> is not expected to affect medicinal products which are primarily excreted by the renal route via these transporters. </w:t>
      </w:r>
    </w:p>
    <w:p w14:paraId="5C4BF963" w14:textId="194028DA" w:rsidR="001726F4" w:rsidRPr="00E914FB" w:rsidRDefault="001726F4" w:rsidP="00CD0524">
      <w:pPr>
        <w:spacing w:line="240" w:lineRule="auto"/>
        <w:jc w:val="both"/>
        <w:rPr>
          <w:rFonts w:cs="Arial"/>
          <w:i/>
          <w:u w:val="single"/>
        </w:rPr>
      </w:pPr>
      <w:r w:rsidRPr="00E914FB">
        <w:rPr>
          <w:rFonts w:cs="Arial"/>
          <w:i/>
          <w:u w:val="single"/>
        </w:rPr>
        <w:t xml:space="preserve">Potential for other medicinal products to affect the pharmacokinetics of ombitasvir, paritaprevir, and dasabuvir </w:t>
      </w:r>
    </w:p>
    <w:p w14:paraId="69AB3882" w14:textId="77777777" w:rsidR="001726F4" w:rsidRPr="00E914FB" w:rsidRDefault="001726F4" w:rsidP="00CD0524">
      <w:pPr>
        <w:spacing w:line="240" w:lineRule="auto"/>
        <w:jc w:val="both"/>
        <w:rPr>
          <w:rFonts w:cs="Arial"/>
        </w:rPr>
      </w:pPr>
      <w:r w:rsidRPr="00E914FB">
        <w:rPr>
          <w:rFonts w:cs="Arial"/>
          <w:i/>
          <w:iCs/>
        </w:rPr>
        <w:t xml:space="preserve">Medicinal products that inhibit CYP3A4 </w:t>
      </w:r>
    </w:p>
    <w:p w14:paraId="68A3C27E" w14:textId="42574CB4" w:rsidR="001726F4" w:rsidRPr="00E914FB" w:rsidRDefault="001726F4" w:rsidP="00CD0524">
      <w:pPr>
        <w:spacing w:line="240" w:lineRule="auto"/>
        <w:jc w:val="both"/>
        <w:rPr>
          <w:rFonts w:cs="Arial"/>
        </w:rPr>
      </w:pPr>
      <w:r w:rsidRPr="00E914FB">
        <w:rPr>
          <w:rFonts w:cs="Arial"/>
        </w:rPr>
        <w:t xml:space="preserve">Co-administration of </w:t>
      </w:r>
      <w:r w:rsidR="00C24FEE" w:rsidRPr="00E914FB">
        <w:rPr>
          <w:rFonts w:cs="Arial"/>
        </w:rPr>
        <w:t>VIEKIRA PAK</w:t>
      </w:r>
      <w:r w:rsidRPr="00E914FB">
        <w:rPr>
          <w:rFonts w:cs="Arial"/>
        </w:rPr>
        <w:t xml:space="preserve"> with strong inhibitors of CYP3A may increase paritaprevir concentrations (see </w:t>
      </w:r>
      <w:r w:rsidR="00121436">
        <w:rPr>
          <w:rFonts w:cs="Arial"/>
        </w:rPr>
        <w:t>Table 13</w:t>
      </w:r>
      <w:r w:rsidRPr="00E914FB">
        <w:rPr>
          <w:rFonts w:cs="Arial"/>
        </w:rPr>
        <w:t xml:space="preserve">). </w:t>
      </w:r>
    </w:p>
    <w:p w14:paraId="6D6951DC" w14:textId="77777777" w:rsidR="001726F4" w:rsidRPr="00E914FB" w:rsidRDefault="001726F4" w:rsidP="00CD0524">
      <w:pPr>
        <w:spacing w:line="240" w:lineRule="auto"/>
        <w:jc w:val="both"/>
        <w:rPr>
          <w:rFonts w:cs="Arial"/>
        </w:rPr>
      </w:pPr>
      <w:r w:rsidRPr="00E914FB">
        <w:rPr>
          <w:rFonts w:cs="Arial"/>
          <w:i/>
          <w:iCs/>
        </w:rPr>
        <w:t xml:space="preserve">Enzyme inducers </w:t>
      </w:r>
    </w:p>
    <w:p w14:paraId="7C7648F3" w14:textId="78FFE28B" w:rsidR="001726F4" w:rsidRPr="00E914FB" w:rsidRDefault="001726F4" w:rsidP="00CD0524">
      <w:pPr>
        <w:spacing w:line="240" w:lineRule="auto"/>
        <w:jc w:val="both"/>
        <w:rPr>
          <w:rFonts w:cs="Arial"/>
        </w:rPr>
      </w:pPr>
      <w:r w:rsidRPr="00E914FB">
        <w:rPr>
          <w:rFonts w:cs="Arial"/>
        </w:rPr>
        <w:t xml:space="preserve">Co-administration of </w:t>
      </w:r>
      <w:r w:rsidR="00C24FEE" w:rsidRPr="00E914FB">
        <w:rPr>
          <w:rFonts w:cs="Arial"/>
        </w:rPr>
        <w:t>VIEKIRA PAK</w:t>
      </w:r>
      <w:r w:rsidRPr="00E914FB">
        <w:rPr>
          <w:rFonts w:cs="Arial"/>
        </w:rPr>
        <w:t xml:space="preserve"> with medicinal products that are moderate or strong enzyme inducers is expected to decrease ombitasvir, paritaprevir, ritonavir and dasabuvir plasma </w:t>
      </w:r>
      <w:r w:rsidRPr="00E914FB">
        <w:rPr>
          <w:rFonts w:cs="Arial"/>
        </w:rPr>
        <w:lastRenderedPageBreak/>
        <w:t xml:space="preserve">concentrations and reduce their therapeutic effect. Contraindicated enzyme inducers are provided </w:t>
      </w:r>
      <w:r w:rsidR="00532153">
        <w:rPr>
          <w:rFonts w:cs="Arial"/>
        </w:rPr>
        <w:t>under</w:t>
      </w:r>
      <w:r w:rsidR="00532153" w:rsidRPr="00E914FB">
        <w:rPr>
          <w:rFonts w:cs="Arial"/>
        </w:rPr>
        <w:t xml:space="preserve"> </w:t>
      </w:r>
      <w:r w:rsidRPr="00E914FB">
        <w:rPr>
          <w:rFonts w:cs="Arial"/>
        </w:rPr>
        <w:t xml:space="preserve">CONTRAINDICATIONS and INTERACTIONS WITH OTHER MEDICINES. </w:t>
      </w:r>
    </w:p>
    <w:p w14:paraId="60D97EFF" w14:textId="77777777" w:rsidR="001726F4" w:rsidRPr="00E914FB" w:rsidRDefault="001726F4" w:rsidP="00CD0524">
      <w:pPr>
        <w:spacing w:line="240" w:lineRule="auto"/>
        <w:jc w:val="both"/>
        <w:rPr>
          <w:rFonts w:cs="Arial"/>
        </w:rPr>
      </w:pPr>
      <w:r w:rsidRPr="00E914FB">
        <w:rPr>
          <w:rFonts w:cs="Arial"/>
          <w:i/>
          <w:iCs/>
        </w:rPr>
        <w:t xml:space="preserve">Medicinal products that inhibit CYP3A4 and transport proteins </w:t>
      </w:r>
    </w:p>
    <w:p w14:paraId="12E9EC0F" w14:textId="75C4A55A" w:rsidR="001726F4" w:rsidRPr="00E914FB" w:rsidRDefault="001726F4" w:rsidP="00CD0524">
      <w:pPr>
        <w:spacing w:line="240" w:lineRule="auto"/>
        <w:jc w:val="both"/>
        <w:rPr>
          <w:rFonts w:cs="Arial"/>
        </w:rPr>
      </w:pPr>
      <w:r w:rsidRPr="00E914FB">
        <w:rPr>
          <w:rFonts w:cs="Arial"/>
        </w:rPr>
        <w:t xml:space="preserve">Paritaprevir is eliminated via CYP3A4 mediated metabolism and biliary excretion (substrate of the hepatic transporters OATP1B1, P-gp and BCRP). Caution is advised if co-administering </w:t>
      </w:r>
      <w:r w:rsidR="00C24FEE" w:rsidRPr="00E914FB">
        <w:rPr>
          <w:rFonts w:cs="Arial"/>
        </w:rPr>
        <w:t>VIEKIRA PAK</w:t>
      </w:r>
      <w:r w:rsidRPr="00E914FB">
        <w:rPr>
          <w:rFonts w:cs="Arial"/>
        </w:rPr>
        <w:t xml:space="preserve"> with medicinal products that are both moderate inhibitors of CYP3A4 and inhibitors of multiple transporters (P-gp, BCRP and/or OATP1B1/ OATP1B3). These medicinal products may show clinically relevant increases in exposures of paritaprevir (e.g., ritonavir with atazanavir, erythromycin, diltiazem or verapamil). </w:t>
      </w:r>
    </w:p>
    <w:p w14:paraId="3311B2BF" w14:textId="77777777" w:rsidR="001726F4" w:rsidRPr="00E914FB" w:rsidRDefault="001726F4" w:rsidP="00CD0524">
      <w:pPr>
        <w:spacing w:line="240" w:lineRule="auto"/>
        <w:jc w:val="both"/>
        <w:rPr>
          <w:rFonts w:cs="Arial"/>
        </w:rPr>
      </w:pPr>
      <w:r w:rsidRPr="00E914FB">
        <w:rPr>
          <w:rFonts w:cs="Arial"/>
          <w:i/>
          <w:iCs/>
        </w:rPr>
        <w:t xml:space="preserve">Medicinal products that inhibit transport proteins </w:t>
      </w:r>
    </w:p>
    <w:p w14:paraId="0994BDE8" w14:textId="4903252C" w:rsidR="001726F4" w:rsidRPr="00E914FB" w:rsidRDefault="001726F4" w:rsidP="00CD0524">
      <w:pPr>
        <w:spacing w:line="240" w:lineRule="auto"/>
        <w:jc w:val="both"/>
        <w:rPr>
          <w:rFonts w:cs="Arial"/>
          <w:i/>
        </w:rPr>
      </w:pPr>
      <w:r w:rsidRPr="00E914FB">
        <w:rPr>
          <w:rFonts w:cs="Arial"/>
        </w:rPr>
        <w:t>Potent inhibitors of P-gp, BCRP, OATP1B1 and/or OATP1B3 have the potential to increase the exposure to paritaprevir. Inhibition of these transporters is not expected to show clinically relevant increases in exposures of ombitasvir and dasabuvir.</w:t>
      </w:r>
      <w:r w:rsidRPr="00E914FB">
        <w:rPr>
          <w:rFonts w:cs="Arial"/>
          <w:u w:val="single"/>
        </w:rPr>
        <w:t xml:space="preserve">  </w:t>
      </w:r>
    </w:p>
    <w:p w14:paraId="2F9ABB8A" w14:textId="77777777" w:rsidR="00DA417B" w:rsidRPr="00E914FB" w:rsidRDefault="00356BCD" w:rsidP="00CD0524">
      <w:pPr>
        <w:widowControl w:val="0"/>
        <w:autoSpaceDE w:val="0"/>
        <w:autoSpaceDN w:val="0"/>
        <w:adjustRightInd w:val="0"/>
        <w:spacing w:line="240" w:lineRule="auto"/>
        <w:ind w:right="74"/>
        <w:jc w:val="both"/>
        <w:rPr>
          <w:rFonts w:cs="Arial"/>
          <w:u w:val="single"/>
        </w:rPr>
      </w:pPr>
      <w:r w:rsidRPr="00E914FB">
        <w:rPr>
          <w:rFonts w:cs="Arial"/>
          <w:u w:val="single"/>
        </w:rPr>
        <w:t>Special Populations</w:t>
      </w:r>
    </w:p>
    <w:p w14:paraId="2F9ABB8B" w14:textId="77777777" w:rsidR="00DA417B" w:rsidRPr="00E914FB" w:rsidRDefault="00356BCD" w:rsidP="00CD0524">
      <w:pPr>
        <w:spacing w:line="240" w:lineRule="auto"/>
        <w:jc w:val="both"/>
        <w:rPr>
          <w:rFonts w:cs="Arial"/>
          <w:i/>
        </w:rPr>
      </w:pPr>
      <w:r w:rsidRPr="00E914FB">
        <w:rPr>
          <w:rFonts w:cs="Arial"/>
          <w:i/>
        </w:rPr>
        <w:t>Renal Impairment</w:t>
      </w:r>
    </w:p>
    <w:p w14:paraId="2F9ABB8C" w14:textId="48026584" w:rsidR="00DA417B" w:rsidRPr="00E914FB" w:rsidRDefault="00356BCD" w:rsidP="00CD0524">
      <w:pPr>
        <w:spacing w:line="240" w:lineRule="auto"/>
        <w:jc w:val="both"/>
        <w:rPr>
          <w:rFonts w:cs="Arial"/>
          <w:bCs/>
          <w:i/>
          <w:color w:val="000000"/>
        </w:rPr>
      </w:pPr>
      <w:r w:rsidRPr="00E914FB">
        <w:rPr>
          <w:rFonts w:cs="Arial"/>
          <w:bCs/>
          <w:i/>
          <w:color w:val="000000"/>
        </w:rPr>
        <w:t xml:space="preserve">Paritaprevir/ritonavir/ombitasvir and dasabuvir </w:t>
      </w:r>
    </w:p>
    <w:p w14:paraId="661F0BF0" w14:textId="22B9F8E6" w:rsidR="001726F4" w:rsidRPr="00E914FB" w:rsidRDefault="001726F4" w:rsidP="00CD0524">
      <w:pPr>
        <w:spacing w:line="240" w:lineRule="auto"/>
        <w:jc w:val="both"/>
        <w:rPr>
          <w:rFonts w:cs="Arial"/>
        </w:rPr>
      </w:pPr>
      <w:r w:rsidRPr="00E914FB">
        <w:t>Based on the pharmacokinetic data in HCV uninfected subjects</w:t>
      </w:r>
      <w:r w:rsidR="009C59D4" w:rsidRPr="00E914FB">
        <w:t xml:space="preserve"> (</w:t>
      </w:r>
      <w:r w:rsidR="004F043E" w:rsidRPr="00E914FB">
        <w:t>n=</w:t>
      </w:r>
      <w:r w:rsidR="009C59D4" w:rsidRPr="00E914FB">
        <w:t>24)</w:t>
      </w:r>
      <w:r w:rsidRPr="00E914FB">
        <w:t xml:space="preserve">, no dose adjustment of </w:t>
      </w:r>
      <w:r w:rsidR="00C24FEE" w:rsidRPr="00E914FB">
        <w:t>VIEKIRA PAK</w:t>
      </w:r>
      <w:r w:rsidRPr="00E914FB">
        <w:t xml:space="preserve"> is recommended in subjects with mild, moderate or severe renal impairment. The efficacy and safety of </w:t>
      </w:r>
      <w:r w:rsidR="00C24FEE" w:rsidRPr="00E914FB">
        <w:t>VIEKIRA PAK</w:t>
      </w:r>
      <w:r w:rsidRPr="00E914FB">
        <w:t xml:space="preserve"> have not been evaluated in HCV-infected subjects with moderate or severe renal impairment. </w:t>
      </w:r>
      <w:r w:rsidRPr="00E914FB">
        <w:rPr>
          <w:rFonts w:cs="Arial"/>
        </w:rPr>
        <w:t xml:space="preserve">Pharmacokinetics of the combination of paritaprevir 150 mg, ombitasvir 25 mg, and ritonavir 100 mg, with or without dasabuvir 400 mg were evaluated in subjects with mild (CrCl: 60 to 89 mL/min), moderate (CrCl: 30 to 59 mL/min) and severe (CrCl: 15 to 29 mL/min) renal impairment. </w:t>
      </w:r>
    </w:p>
    <w:p w14:paraId="5019E8AD" w14:textId="673FD7AA" w:rsidR="001726F4" w:rsidRPr="00E914FB" w:rsidRDefault="001726F4" w:rsidP="00CD0524">
      <w:pPr>
        <w:spacing w:line="240" w:lineRule="auto"/>
        <w:jc w:val="both"/>
        <w:rPr>
          <w:rFonts w:cs="Arial"/>
        </w:rPr>
      </w:pPr>
      <w:r w:rsidRPr="00E914FB">
        <w:rPr>
          <w:rFonts w:cs="Arial"/>
        </w:rPr>
        <w:t>In subjects with mild renal impairment</w:t>
      </w:r>
      <w:r w:rsidR="009C59D4" w:rsidRPr="00E914FB">
        <w:rPr>
          <w:rFonts w:cs="Arial"/>
        </w:rPr>
        <w:t xml:space="preserve"> (n=6)</w:t>
      </w:r>
      <w:r w:rsidRPr="00E914FB">
        <w:rPr>
          <w:rFonts w:cs="Arial"/>
        </w:rPr>
        <w:t>, paritaprevir mean C</w:t>
      </w:r>
      <w:r w:rsidRPr="00E914FB">
        <w:rPr>
          <w:rFonts w:cs="Arial"/>
          <w:vertAlign w:val="subscript"/>
        </w:rPr>
        <w:t>max</w:t>
      </w:r>
      <w:r w:rsidRPr="00E914FB">
        <w:rPr>
          <w:rFonts w:cs="Arial"/>
        </w:rPr>
        <w:t xml:space="preserve"> and AUC values were comparable (up to 19% higher), ombitasvir mean C</w:t>
      </w:r>
      <w:r w:rsidRPr="00E914FB">
        <w:rPr>
          <w:rFonts w:cs="Arial"/>
          <w:vertAlign w:val="subscript"/>
        </w:rPr>
        <w:t>max</w:t>
      </w:r>
      <w:r w:rsidRPr="00E914FB">
        <w:rPr>
          <w:rFonts w:cs="Arial"/>
        </w:rPr>
        <w:t xml:space="preserve"> and AUC values were comparable (up to 7% lower), and ritonavir mean C</w:t>
      </w:r>
      <w:r w:rsidRPr="00E914FB">
        <w:rPr>
          <w:rFonts w:cs="Arial"/>
          <w:vertAlign w:val="subscript"/>
        </w:rPr>
        <w:t>max</w:t>
      </w:r>
      <w:r w:rsidRPr="00E914FB">
        <w:rPr>
          <w:rFonts w:cs="Arial"/>
        </w:rPr>
        <w:t xml:space="preserve"> and AUC values were 26% to 42% higher and dasabuvir mean C</w:t>
      </w:r>
      <w:r w:rsidRPr="00E914FB">
        <w:rPr>
          <w:rFonts w:cs="Arial"/>
          <w:vertAlign w:val="subscript"/>
        </w:rPr>
        <w:t>max</w:t>
      </w:r>
      <w:r w:rsidRPr="00E914FB">
        <w:rPr>
          <w:rFonts w:cs="Arial"/>
        </w:rPr>
        <w:t xml:space="preserve"> and AUC values were 5% to 21% higher compared to subjects with normal renal function. </w:t>
      </w:r>
    </w:p>
    <w:p w14:paraId="0D0023AC" w14:textId="597AF87C" w:rsidR="001726F4" w:rsidRPr="00E914FB" w:rsidRDefault="001726F4" w:rsidP="00CD0524">
      <w:pPr>
        <w:spacing w:line="240" w:lineRule="auto"/>
        <w:jc w:val="both"/>
        <w:rPr>
          <w:rFonts w:cs="Arial"/>
        </w:rPr>
      </w:pPr>
      <w:r w:rsidRPr="00E914FB">
        <w:rPr>
          <w:rFonts w:cs="Arial"/>
        </w:rPr>
        <w:t>In subjects with moderate renal impairment</w:t>
      </w:r>
      <w:r w:rsidR="009C59D4" w:rsidRPr="00E914FB">
        <w:rPr>
          <w:rFonts w:cs="Arial"/>
        </w:rPr>
        <w:t xml:space="preserve"> (n=6)</w:t>
      </w:r>
      <w:r w:rsidRPr="00E914FB">
        <w:rPr>
          <w:rFonts w:cs="Arial"/>
        </w:rPr>
        <w:t>, paritaprevir mean C</w:t>
      </w:r>
      <w:r w:rsidRPr="00E914FB">
        <w:rPr>
          <w:rFonts w:cs="Arial"/>
          <w:vertAlign w:val="subscript"/>
        </w:rPr>
        <w:t>max</w:t>
      </w:r>
      <w:r w:rsidRPr="00E914FB">
        <w:rPr>
          <w:rFonts w:cs="Arial"/>
        </w:rPr>
        <w:t xml:space="preserve"> values were comparable (&lt; 1% increase) and AUC values were 33% higher, ombitasvir mean C</w:t>
      </w:r>
      <w:r w:rsidRPr="00E914FB">
        <w:rPr>
          <w:rFonts w:cs="Arial"/>
          <w:vertAlign w:val="subscript"/>
        </w:rPr>
        <w:t xml:space="preserve">max </w:t>
      </w:r>
      <w:r w:rsidRPr="00E914FB">
        <w:rPr>
          <w:rFonts w:cs="Arial"/>
        </w:rPr>
        <w:t>and AUC values were comparable (up to 12% lower), and ritonavir mean C</w:t>
      </w:r>
      <w:r w:rsidRPr="00E914FB">
        <w:rPr>
          <w:rFonts w:cs="Arial"/>
          <w:vertAlign w:val="subscript"/>
        </w:rPr>
        <w:t>max</w:t>
      </w:r>
      <w:r w:rsidRPr="00E914FB">
        <w:rPr>
          <w:rFonts w:cs="Arial"/>
        </w:rPr>
        <w:t xml:space="preserve"> and AUC value were 48% to 80% and dasabuvir mean C</w:t>
      </w:r>
      <w:r w:rsidRPr="00E914FB">
        <w:rPr>
          <w:rFonts w:cs="Arial"/>
          <w:vertAlign w:val="subscript"/>
        </w:rPr>
        <w:t>max</w:t>
      </w:r>
      <w:r w:rsidRPr="00E914FB">
        <w:rPr>
          <w:rFonts w:cs="Arial"/>
        </w:rPr>
        <w:t xml:space="preserve"> and AUC values were 9% to 37% higher compared to subjects with normal renal function. </w:t>
      </w:r>
    </w:p>
    <w:p w14:paraId="59652366" w14:textId="35EDFD78" w:rsidR="001726F4" w:rsidRPr="00E914FB" w:rsidRDefault="001726F4" w:rsidP="00CD0524">
      <w:pPr>
        <w:spacing w:line="240" w:lineRule="auto"/>
        <w:jc w:val="both"/>
        <w:rPr>
          <w:rFonts w:cs="Arial"/>
        </w:rPr>
      </w:pPr>
      <w:r w:rsidRPr="00E914FB">
        <w:rPr>
          <w:rFonts w:cs="Arial"/>
        </w:rPr>
        <w:t>In subjects with severe renal impairment</w:t>
      </w:r>
      <w:r w:rsidR="009C59D4" w:rsidRPr="00E914FB">
        <w:rPr>
          <w:rFonts w:cs="Arial"/>
        </w:rPr>
        <w:t xml:space="preserve"> (n=6)</w:t>
      </w:r>
      <w:r w:rsidRPr="00E914FB">
        <w:rPr>
          <w:rFonts w:cs="Arial"/>
        </w:rPr>
        <w:t>, paritaprevir mean C</w:t>
      </w:r>
      <w:r w:rsidRPr="00E914FB">
        <w:rPr>
          <w:rFonts w:cs="Arial"/>
          <w:vertAlign w:val="subscript"/>
        </w:rPr>
        <w:t>max</w:t>
      </w:r>
      <w:r w:rsidRPr="00E914FB">
        <w:rPr>
          <w:rFonts w:cs="Arial"/>
        </w:rPr>
        <w:t xml:space="preserve"> values were comparable (&lt; 1% increase) and AUC values were 45% higher, ombitasvir mean C</w:t>
      </w:r>
      <w:r w:rsidRPr="00E914FB">
        <w:rPr>
          <w:rFonts w:cs="Arial"/>
          <w:vertAlign w:val="subscript"/>
        </w:rPr>
        <w:t>max</w:t>
      </w:r>
      <w:r w:rsidRPr="00E914FB">
        <w:rPr>
          <w:rFonts w:cs="Arial"/>
        </w:rPr>
        <w:t xml:space="preserve"> and AUC values were comparable (up to 15% lower), and ritonavir mean C</w:t>
      </w:r>
      <w:r w:rsidRPr="00E914FB">
        <w:rPr>
          <w:rFonts w:cs="Arial"/>
          <w:vertAlign w:val="subscript"/>
        </w:rPr>
        <w:t>max</w:t>
      </w:r>
      <w:r w:rsidRPr="00E914FB">
        <w:rPr>
          <w:rFonts w:cs="Arial"/>
        </w:rPr>
        <w:t xml:space="preserve"> and AUC value were 66% to 114% higher and dasabuvir mean C</w:t>
      </w:r>
      <w:r w:rsidRPr="00E914FB">
        <w:rPr>
          <w:rFonts w:cs="Arial"/>
          <w:vertAlign w:val="subscript"/>
        </w:rPr>
        <w:t>max</w:t>
      </w:r>
      <w:r w:rsidRPr="00E914FB">
        <w:rPr>
          <w:rFonts w:cs="Arial"/>
        </w:rPr>
        <w:t xml:space="preserve"> and AUC values were 12% to 50% higher compared to subjects with normal renal function.</w:t>
      </w:r>
    </w:p>
    <w:p w14:paraId="3134ABB5" w14:textId="77777777" w:rsidR="001726F4" w:rsidRPr="00E914FB" w:rsidRDefault="001726F4" w:rsidP="00CD0524">
      <w:pPr>
        <w:spacing w:line="240" w:lineRule="auto"/>
        <w:jc w:val="both"/>
        <w:rPr>
          <w:rFonts w:cs="Arial"/>
          <w:i/>
        </w:rPr>
      </w:pPr>
      <w:r w:rsidRPr="00E914FB">
        <w:rPr>
          <w:rFonts w:cs="Arial"/>
          <w:i/>
        </w:rPr>
        <w:t>Hepatic Impairment</w:t>
      </w:r>
    </w:p>
    <w:p w14:paraId="4CABFBBF" w14:textId="4F8F1ADD" w:rsidR="001726F4" w:rsidRPr="00E914FB" w:rsidRDefault="001726F4" w:rsidP="00CD0524">
      <w:pPr>
        <w:spacing w:line="240" w:lineRule="auto"/>
        <w:jc w:val="both"/>
        <w:rPr>
          <w:rFonts w:cs="Arial"/>
        </w:rPr>
      </w:pPr>
      <w:r w:rsidRPr="00E914FB">
        <w:rPr>
          <w:rFonts w:cs="Arial"/>
        </w:rPr>
        <w:t xml:space="preserve">The changes in paritaprevir, ombitasvir, dasabuvir and ritonavir exposures in subjects with mild and moderate hepatic impairment are not considered clinically significant.  No dose adjustment for </w:t>
      </w:r>
      <w:r w:rsidR="00C24FEE" w:rsidRPr="00E914FB">
        <w:rPr>
          <w:rFonts w:cs="Arial"/>
        </w:rPr>
        <w:t>VIEKIRA PAK</w:t>
      </w:r>
      <w:r w:rsidRPr="00E914FB">
        <w:rPr>
          <w:rFonts w:cs="Arial"/>
        </w:rPr>
        <w:t xml:space="preserve"> is recommended in HCV-infected subjects with mild and moderate hepatic impairment.  </w:t>
      </w:r>
      <w:r w:rsidR="00C24FEE" w:rsidRPr="00E914FB">
        <w:rPr>
          <w:rFonts w:cs="Arial"/>
        </w:rPr>
        <w:t>VIEKIRA PAK</w:t>
      </w:r>
      <w:r w:rsidRPr="00E914FB">
        <w:rPr>
          <w:rFonts w:cs="Arial"/>
        </w:rPr>
        <w:t xml:space="preserve"> is contraindicated in patients with severe hepatic impairment.</w:t>
      </w:r>
    </w:p>
    <w:p w14:paraId="7CE5A2AD" w14:textId="58D5BA0A" w:rsidR="001726F4" w:rsidRPr="00E914FB" w:rsidRDefault="001726F4" w:rsidP="00CD0524">
      <w:pPr>
        <w:spacing w:line="240" w:lineRule="auto"/>
        <w:jc w:val="both"/>
        <w:rPr>
          <w:rFonts w:cs="Arial"/>
        </w:rPr>
      </w:pPr>
      <w:r w:rsidRPr="00E914FB">
        <w:rPr>
          <w:rFonts w:cs="Arial"/>
        </w:rPr>
        <w:lastRenderedPageBreak/>
        <w:t>Pharmacokinetics of the combination of paritaprevir 200 mg, and ritonavir 100 mg, ombitasvir 25 mg, and dasabuvir 400 mg were evaluated in subjects</w:t>
      </w:r>
      <w:r w:rsidR="000E22D4">
        <w:rPr>
          <w:rFonts w:cs="Arial"/>
        </w:rPr>
        <w:t xml:space="preserve"> (n=17)</w:t>
      </w:r>
      <w:r w:rsidRPr="00E914FB">
        <w:rPr>
          <w:rFonts w:cs="Arial"/>
        </w:rPr>
        <w:t xml:space="preserve"> with mild (Child-Pugh A), moderate (Child-Pugh B) and severe (Child-Pugh C) hepatic impairment.</w:t>
      </w:r>
    </w:p>
    <w:p w14:paraId="109ED451" w14:textId="7E2422E7" w:rsidR="001726F4" w:rsidRPr="00E914FB" w:rsidRDefault="001726F4" w:rsidP="00CD0524">
      <w:pPr>
        <w:spacing w:line="240" w:lineRule="auto"/>
        <w:jc w:val="both"/>
        <w:rPr>
          <w:rFonts w:cs="Arial"/>
        </w:rPr>
      </w:pPr>
      <w:r w:rsidRPr="00E914FB">
        <w:rPr>
          <w:rFonts w:cs="Arial"/>
        </w:rPr>
        <w:t>In subjects with mild hepatic impairment</w:t>
      </w:r>
      <w:r w:rsidR="009C59D4" w:rsidRPr="00E914FB">
        <w:rPr>
          <w:rFonts w:cs="Arial"/>
        </w:rPr>
        <w:t xml:space="preserve"> (n=6)</w:t>
      </w:r>
      <w:r w:rsidRPr="00E914FB">
        <w:rPr>
          <w:rFonts w:cs="Arial"/>
        </w:rPr>
        <w:t>, paritaprevir, ritonavir and ombitasvir mean C</w:t>
      </w:r>
      <w:r w:rsidRPr="00E914FB">
        <w:rPr>
          <w:rFonts w:cs="Arial"/>
          <w:vertAlign w:val="subscript"/>
        </w:rPr>
        <w:t>max</w:t>
      </w:r>
      <w:r w:rsidRPr="00E914FB">
        <w:rPr>
          <w:rFonts w:cs="Arial"/>
        </w:rPr>
        <w:t xml:space="preserve"> and AUC values decreased by 29% to 48%, 34% to 40% and up to 8%, respectively, and dasabuvir mean C</w:t>
      </w:r>
      <w:r w:rsidRPr="00E914FB">
        <w:rPr>
          <w:rFonts w:cs="Arial"/>
          <w:vertAlign w:val="subscript"/>
        </w:rPr>
        <w:t>max</w:t>
      </w:r>
      <w:r w:rsidRPr="00E914FB">
        <w:rPr>
          <w:rFonts w:cs="Arial"/>
        </w:rPr>
        <w:t xml:space="preserve"> and AUC values were 17% to 24% higher compared to subjects with normal hepatic function.</w:t>
      </w:r>
    </w:p>
    <w:p w14:paraId="3843D881" w14:textId="0F168850" w:rsidR="001726F4" w:rsidRPr="00E914FB" w:rsidRDefault="001726F4" w:rsidP="00CD0524">
      <w:pPr>
        <w:spacing w:line="240" w:lineRule="auto"/>
        <w:jc w:val="both"/>
        <w:rPr>
          <w:rFonts w:cs="Arial"/>
        </w:rPr>
      </w:pPr>
      <w:r w:rsidRPr="00E914FB">
        <w:rPr>
          <w:rFonts w:cs="Arial"/>
        </w:rPr>
        <w:t>In subjects with moderate hepatic impairment</w:t>
      </w:r>
      <w:r w:rsidR="009C59D4" w:rsidRPr="00E914FB">
        <w:rPr>
          <w:rFonts w:cs="Arial"/>
        </w:rPr>
        <w:t xml:space="preserve"> (n=6)</w:t>
      </w:r>
      <w:r w:rsidRPr="00E914FB">
        <w:rPr>
          <w:rFonts w:cs="Arial"/>
        </w:rPr>
        <w:t>, paritaprevir mean C</w:t>
      </w:r>
      <w:r w:rsidRPr="00E914FB">
        <w:rPr>
          <w:rFonts w:cs="Arial"/>
          <w:vertAlign w:val="subscript"/>
        </w:rPr>
        <w:t>max</w:t>
      </w:r>
      <w:r w:rsidRPr="00E914FB">
        <w:rPr>
          <w:rFonts w:cs="Arial"/>
        </w:rPr>
        <w:t xml:space="preserve"> and AUC value increased by 26% to 62%, ombitasvir and ritonavir mean C</w:t>
      </w:r>
      <w:r w:rsidRPr="00E914FB">
        <w:rPr>
          <w:rFonts w:cs="Arial"/>
          <w:vertAlign w:val="subscript"/>
        </w:rPr>
        <w:t>max</w:t>
      </w:r>
      <w:r w:rsidRPr="00E914FB">
        <w:rPr>
          <w:rFonts w:cs="Arial"/>
        </w:rPr>
        <w:t xml:space="preserve"> and AUC values decreased by 29% to 30% and 30</w:t>
      </w:r>
      <w:r w:rsidRPr="00E914FB">
        <w:rPr>
          <w:rStyle w:val="CommentReference"/>
          <w:rFonts w:ascii="Times New Roman" w:hAnsi="Times New Roman"/>
        </w:rPr>
        <w:t xml:space="preserve"> </w:t>
      </w:r>
      <w:r w:rsidRPr="00E914FB">
        <w:rPr>
          <w:rStyle w:val="CommentReference"/>
          <w:rFonts w:cs="Arial"/>
        </w:rPr>
        <w:t>t</w:t>
      </w:r>
      <w:r w:rsidRPr="00E914FB">
        <w:rPr>
          <w:rFonts w:cs="Arial"/>
        </w:rPr>
        <w:t>o 33%, respectively, and dasabuvir mean C</w:t>
      </w:r>
      <w:r w:rsidRPr="00E914FB">
        <w:rPr>
          <w:rFonts w:cs="Arial"/>
          <w:vertAlign w:val="subscript"/>
        </w:rPr>
        <w:t>max</w:t>
      </w:r>
      <w:r w:rsidRPr="00E914FB">
        <w:rPr>
          <w:rFonts w:cs="Arial"/>
        </w:rPr>
        <w:t xml:space="preserve"> and AUC values were 16% to 39% lower compared to subjects with normal hepatic function. The safety and efficacy of </w:t>
      </w:r>
      <w:r w:rsidR="00C24FEE" w:rsidRPr="00E914FB">
        <w:rPr>
          <w:rFonts w:cs="Arial"/>
        </w:rPr>
        <w:t>VIEKIRA PAK</w:t>
      </w:r>
      <w:r w:rsidRPr="00E914FB">
        <w:rPr>
          <w:rFonts w:cs="Arial"/>
        </w:rPr>
        <w:t xml:space="preserve"> have not been established in HCV-infected patients with moderate hepatic impairment (Child-Pugh B); however, no dose adjustment is expected to be required based on pharmacokinetic studies.</w:t>
      </w:r>
    </w:p>
    <w:p w14:paraId="1DD5A5BB" w14:textId="36C8E110" w:rsidR="001726F4" w:rsidRDefault="001726F4" w:rsidP="00CD0524">
      <w:pPr>
        <w:spacing w:line="240" w:lineRule="auto"/>
        <w:jc w:val="both"/>
        <w:rPr>
          <w:rFonts w:cs="Arial"/>
        </w:rPr>
      </w:pPr>
      <w:r w:rsidRPr="00E914FB">
        <w:rPr>
          <w:rFonts w:cs="Arial"/>
        </w:rPr>
        <w:t>In subjects with severe hepatic impairment</w:t>
      </w:r>
      <w:r w:rsidR="009C59D4" w:rsidRPr="00E914FB">
        <w:rPr>
          <w:rFonts w:cs="Arial"/>
        </w:rPr>
        <w:t xml:space="preserve"> (n=5)</w:t>
      </w:r>
      <w:r w:rsidRPr="00E914FB">
        <w:rPr>
          <w:rFonts w:cs="Arial"/>
        </w:rPr>
        <w:t>, paritaprevir and dasabuvir mean C</w:t>
      </w:r>
      <w:r w:rsidRPr="00E914FB">
        <w:rPr>
          <w:rFonts w:cs="Arial"/>
          <w:vertAlign w:val="subscript"/>
        </w:rPr>
        <w:t>max</w:t>
      </w:r>
      <w:r w:rsidRPr="00E914FB">
        <w:rPr>
          <w:rFonts w:cs="Arial"/>
        </w:rPr>
        <w:t xml:space="preserve"> and AUC values increased by 3.2 to 9.5-fold and 0.3- to 3.3-fold respectively; ritonavir mean C</w:t>
      </w:r>
      <w:r w:rsidRPr="00E914FB">
        <w:rPr>
          <w:rFonts w:cs="Arial"/>
          <w:vertAlign w:val="subscript"/>
        </w:rPr>
        <w:t>max</w:t>
      </w:r>
      <w:r w:rsidRPr="00E914FB">
        <w:rPr>
          <w:rFonts w:cs="Arial"/>
        </w:rPr>
        <w:t xml:space="preserve"> values were 35% lower and AUC values were 13% higher and ombitasvir mean C</w:t>
      </w:r>
      <w:r w:rsidRPr="00E914FB">
        <w:rPr>
          <w:rFonts w:cs="Arial"/>
          <w:vertAlign w:val="subscript"/>
        </w:rPr>
        <w:t>max</w:t>
      </w:r>
      <w:r w:rsidRPr="00E914FB">
        <w:rPr>
          <w:rFonts w:cs="Arial"/>
        </w:rPr>
        <w:t xml:space="preserve"> and AUC values decreased by 68% and 54% respectively compared to subjects with normal hepatic function. </w:t>
      </w:r>
    </w:p>
    <w:p w14:paraId="495FF3A0" w14:textId="7E52F735" w:rsidR="001726F4" w:rsidRPr="00E914FB" w:rsidRDefault="001726F4" w:rsidP="001726F4">
      <w:pPr>
        <w:rPr>
          <w:rFonts w:cs="Arial"/>
          <w:i/>
        </w:rPr>
      </w:pPr>
      <w:r w:rsidRPr="00E914FB">
        <w:rPr>
          <w:rFonts w:cs="Arial"/>
          <w:i/>
        </w:rPr>
        <w:t>Elderly</w:t>
      </w:r>
    </w:p>
    <w:p w14:paraId="01120A7C" w14:textId="77777777" w:rsidR="001726F4" w:rsidRPr="00E914FB" w:rsidRDefault="001726F4" w:rsidP="00CD0524">
      <w:pPr>
        <w:spacing w:line="240" w:lineRule="auto"/>
        <w:jc w:val="both"/>
        <w:rPr>
          <w:rFonts w:cs="Arial"/>
          <w:i/>
        </w:rPr>
      </w:pPr>
      <w:r w:rsidRPr="00E914FB">
        <w:rPr>
          <w:rFonts w:cs="Arial"/>
        </w:rPr>
        <w:t>No dose adjustment is necessary for paritaprevir/ritonavir/ombitasvir or dasabuvir in elderly patients.</w:t>
      </w:r>
    </w:p>
    <w:p w14:paraId="2C28E3DB" w14:textId="77777777" w:rsidR="001726F4" w:rsidRDefault="001726F4" w:rsidP="00CD0524">
      <w:pPr>
        <w:spacing w:line="240" w:lineRule="auto"/>
      </w:pPr>
      <w:r w:rsidRPr="00E914FB">
        <w:t>Based on population pharmacokinetic analysis of data from Phase 3 clinical studies, a 10 year increase or decrease in age from 54 years (median age in the Phase 3 studies) would result in approximately 10% change in ombitasvir exposures, less than 10% change in dasabuvir exposures and ≤20% change in paritaprevir exposures.  There is no pharmacokinetic information in patients &gt;75 years.</w:t>
      </w:r>
    </w:p>
    <w:p w14:paraId="7898D950" w14:textId="4ED6773E" w:rsidR="001726F4" w:rsidRPr="00E914FB" w:rsidRDefault="001726F4" w:rsidP="00CD0524">
      <w:pPr>
        <w:spacing w:line="240" w:lineRule="auto"/>
        <w:jc w:val="both"/>
        <w:rPr>
          <w:rFonts w:cs="Arial"/>
          <w:i/>
        </w:rPr>
      </w:pPr>
      <w:r w:rsidRPr="00E914FB">
        <w:rPr>
          <w:rFonts w:cs="Arial"/>
          <w:i/>
        </w:rPr>
        <w:t>Paediatric Population (&lt;18 years)</w:t>
      </w:r>
    </w:p>
    <w:p w14:paraId="1AD5DA5C" w14:textId="14A9533A" w:rsidR="001726F4" w:rsidRPr="00E914FB" w:rsidRDefault="001726F4" w:rsidP="00CD0524">
      <w:pPr>
        <w:keepNext/>
        <w:spacing w:line="240" w:lineRule="auto"/>
        <w:rPr>
          <w:rFonts w:eastAsia="TimesNewRoman"/>
          <w:lang w:eastAsia="ja-JP"/>
        </w:rPr>
      </w:pPr>
      <w:r w:rsidRPr="00E914FB">
        <w:rPr>
          <w:rFonts w:cs="Arial"/>
        </w:rPr>
        <w:t xml:space="preserve">The pharmacokinetics, safety and efficacy of </w:t>
      </w:r>
      <w:r w:rsidR="00C24FEE" w:rsidRPr="00E914FB">
        <w:rPr>
          <w:rFonts w:cs="Arial"/>
        </w:rPr>
        <w:t>VIEKIRA PAK</w:t>
      </w:r>
      <w:r w:rsidRPr="00E914FB">
        <w:rPr>
          <w:rFonts w:cs="Arial"/>
        </w:rPr>
        <w:t xml:space="preserve"> in paediatric patients </w:t>
      </w:r>
      <w:r w:rsidR="00A45431">
        <w:rPr>
          <w:rFonts w:cs="Arial"/>
        </w:rPr>
        <w:t>have</w:t>
      </w:r>
      <w:r w:rsidR="00A45431" w:rsidRPr="00E914FB">
        <w:rPr>
          <w:rFonts w:cs="Arial"/>
        </w:rPr>
        <w:t xml:space="preserve"> </w:t>
      </w:r>
      <w:r w:rsidRPr="00E914FB">
        <w:rPr>
          <w:rFonts w:cs="Arial"/>
        </w:rPr>
        <w:t>not been established.</w:t>
      </w:r>
    </w:p>
    <w:p w14:paraId="1926BE7C" w14:textId="77777777" w:rsidR="001726F4" w:rsidRPr="00E914FB" w:rsidRDefault="001726F4" w:rsidP="00CD0524">
      <w:pPr>
        <w:spacing w:line="240" w:lineRule="auto"/>
        <w:rPr>
          <w:rFonts w:cs="Arial"/>
          <w:i/>
        </w:rPr>
      </w:pPr>
      <w:r w:rsidRPr="00E914FB">
        <w:rPr>
          <w:rFonts w:cs="Arial"/>
          <w:i/>
        </w:rPr>
        <w:t>Race or Ethnicity</w:t>
      </w:r>
    </w:p>
    <w:p w14:paraId="6136A5DF" w14:textId="50097972" w:rsidR="00F5616E" w:rsidRPr="00E914FB" w:rsidRDefault="00F5616E" w:rsidP="00CD0524">
      <w:pPr>
        <w:spacing w:line="240" w:lineRule="auto"/>
        <w:jc w:val="both"/>
        <w:rPr>
          <w:rFonts w:cs="Arial"/>
        </w:rPr>
      </w:pPr>
      <w:r w:rsidRPr="00E914FB">
        <w:rPr>
          <w:rFonts w:cs="Arial"/>
        </w:rPr>
        <w:t>No dose adjustment is necessary for paritaprevir/ritonavir/ombitasvir or dasabuvir based on race or ethnicity. Based on population pharmacokinetic analysis of data from Phase 3 clinical studies, Asian subjects had 18% to 21%, 37% to 39% and 29% to 39% higher ombitasvir, paritaprevir   and dasabuvir exposures, respectively, than non-Asian subjects. The ritonavir exposures were comparable between Asians and non-Asians. However, patient numbers in the clinical trials were not sufficient to definitively address possible differences in pharmacokinetics and toxicity profiles in specific ethnic groups such as Asian patients.</w:t>
      </w:r>
    </w:p>
    <w:p w14:paraId="2F9ABBA6" w14:textId="77777777" w:rsidR="00DA417B" w:rsidRPr="00E914FB" w:rsidRDefault="00356BCD" w:rsidP="00CD0524">
      <w:pPr>
        <w:spacing w:line="240" w:lineRule="auto"/>
        <w:jc w:val="both"/>
        <w:rPr>
          <w:rFonts w:cs="Arial"/>
          <w:i/>
        </w:rPr>
      </w:pPr>
      <w:r w:rsidRPr="00E914FB">
        <w:rPr>
          <w:rFonts w:cs="Arial"/>
          <w:i/>
        </w:rPr>
        <w:t>Sex or Body weight</w:t>
      </w:r>
    </w:p>
    <w:p w14:paraId="7B77A38F" w14:textId="77777777" w:rsidR="00D14CBE" w:rsidRPr="00E914FB" w:rsidRDefault="00282066" w:rsidP="00CD0524">
      <w:pPr>
        <w:spacing w:line="240" w:lineRule="auto"/>
        <w:jc w:val="both"/>
      </w:pPr>
      <w:r w:rsidRPr="00E914FB">
        <w:t xml:space="preserve">No dose adjustment is necessary for paritaprevir/ritonavir/ombitasvir or dasabuvir based on gender or body weight. </w:t>
      </w:r>
    </w:p>
    <w:p w14:paraId="37DF749A" w14:textId="3EEA9968" w:rsidR="00282066" w:rsidRPr="00E914FB" w:rsidRDefault="00282066" w:rsidP="00CD0524">
      <w:pPr>
        <w:spacing w:line="240" w:lineRule="auto"/>
        <w:jc w:val="both"/>
      </w:pPr>
      <w:r w:rsidRPr="00E914FB">
        <w:t>Based on population pharmacokinetic analysis of data from Phase 3 clinical studies, female subjects would have approximately 55%, 100%, 15% and 21% higher ombitasvir, paritaprevir,</w:t>
      </w:r>
      <w:r w:rsidR="00D14CBE" w:rsidRPr="00E914FB">
        <w:t xml:space="preserve"> </w:t>
      </w:r>
      <w:r w:rsidRPr="00E914FB">
        <w:rPr>
          <w:rFonts w:cs="Arial"/>
        </w:rPr>
        <w:t>ritonavir</w:t>
      </w:r>
      <w:r w:rsidRPr="00E914FB">
        <w:t xml:space="preserve"> and dasabuvir exposures (AUC), respectively, than male subjects. A 10 kg change in body weight from </w:t>
      </w:r>
      <w:r w:rsidRPr="00E914FB">
        <w:lastRenderedPageBreak/>
        <w:t xml:space="preserve">76 kg (median weight in the Phase 3 studies) would results in &lt;10% change in ombitasvir and dasabuvir exposures, and no change in paritaprevir exposures. Body weight is not a significant predictor of ritonavir exposures. </w:t>
      </w:r>
    </w:p>
    <w:p w14:paraId="02B3F521" w14:textId="77777777" w:rsidR="0026770B" w:rsidRPr="00E914FB" w:rsidRDefault="0026770B" w:rsidP="00CD0524">
      <w:pPr>
        <w:pStyle w:val="Heading1"/>
      </w:pPr>
      <w:bookmarkStart w:id="8" w:name="_Toc383787393"/>
      <w:r w:rsidRPr="00E914FB">
        <w:t>Clinical Trials</w:t>
      </w:r>
      <w:bookmarkEnd w:id="8"/>
    </w:p>
    <w:p w14:paraId="4CCF9C20" w14:textId="07E5C182" w:rsidR="0026770B" w:rsidRPr="00E914FB" w:rsidRDefault="0026770B" w:rsidP="00CD0524">
      <w:pPr>
        <w:spacing w:line="240" w:lineRule="auto"/>
        <w:jc w:val="both"/>
        <w:rPr>
          <w:rFonts w:cs="Arial"/>
        </w:rPr>
      </w:pPr>
      <w:r w:rsidRPr="00E914FB">
        <w:rPr>
          <w:rFonts w:cs="Arial"/>
        </w:rPr>
        <w:t xml:space="preserve">The efficacy and safety of </w:t>
      </w:r>
      <w:r w:rsidR="00C24FEE" w:rsidRPr="00E914FB">
        <w:rPr>
          <w:rFonts w:cs="Arial"/>
        </w:rPr>
        <w:t>VIEKIRA PAK</w:t>
      </w:r>
      <w:r w:rsidRPr="00E914FB">
        <w:rPr>
          <w:rFonts w:cs="Arial"/>
        </w:rPr>
        <w:t xml:space="preserve"> w</w:t>
      </w:r>
      <w:r w:rsidR="00B60A6C">
        <w:rPr>
          <w:rFonts w:cs="Arial"/>
        </w:rPr>
        <w:t>ere</w:t>
      </w:r>
      <w:r w:rsidRPr="00E914FB">
        <w:rPr>
          <w:rFonts w:cs="Arial"/>
        </w:rPr>
        <w:t xml:space="preserve"> evaluated in six randomised Phase 3 clinical trials, </w:t>
      </w:r>
      <w:r w:rsidR="00C52126" w:rsidRPr="00E914FB">
        <w:rPr>
          <w:rFonts w:cs="Arial"/>
        </w:rPr>
        <w:t>in over 2,300 subjects with genotype 1 chronic hepatitis C infection.  Included in the Phase 3 program was</w:t>
      </w:r>
      <w:r w:rsidRPr="00E914FB">
        <w:rPr>
          <w:rFonts w:cs="Arial"/>
        </w:rPr>
        <w:t xml:space="preserve"> one trial exclusively in subjects with cirrhosis (Child-Pugh A)</w:t>
      </w:r>
      <w:r w:rsidR="00C52126" w:rsidRPr="00E914FB">
        <w:rPr>
          <w:rFonts w:cs="Arial"/>
        </w:rPr>
        <w:t>.  Phase 3 trials are</w:t>
      </w:r>
      <w:r w:rsidRPr="00E914FB">
        <w:rPr>
          <w:rFonts w:cs="Arial"/>
        </w:rPr>
        <w:t xml:space="preserve"> summarised in Table 3. </w:t>
      </w:r>
    </w:p>
    <w:p w14:paraId="3715A13D" w14:textId="77777777" w:rsidR="00CC2E40" w:rsidRDefault="00CC2E40">
      <w:pPr>
        <w:rPr>
          <w:rFonts w:cs="Arial"/>
          <w:b/>
          <w:bCs/>
          <w:lang w:eastAsia="ja-JP"/>
        </w:rPr>
      </w:pPr>
      <w:r>
        <w:rPr>
          <w:rFonts w:cs="Arial"/>
          <w:b/>
          <w:bCs/>
          <w:lang w:eastAsia="ja-JP"/>
        </w:rPr>
        <w:br w:type="page"/>
      </w:r>
    </w:p>
    <w:p w14:paraId="53A546C0" w14:textId="40CA9728" w:rsidR="0026770B" w:rsidRPr="00E914FB" w:rsidRDefault="0026770B" w:rsidP="0026770B">
      <w:pPr>
        <w:rPr>
          <w:rFonts w:cs="Arial"/>
          <w:b/>
          <w:bCs/>
          <w:lang w:eastAsia="ja-JP"/>
        </w:rPr>
      </w:pPr>
      <w:r w:rsidRPr="00E914FB">
        <w:rPr>
          <w:rFonts w:cs="Arial"/>
          <w:b/>
          <w:bCs/>
          <w:lang w:eastAsia="ja-JP"/>
        </w:rPr>
        <w:lastRenderedPageBreak/>
        <w:t>Table 3:  Phase 3 Randomised, Global Multicentre Trials Conducted with VIEKIRA PAK with or without ribavirin (RBV).</w:t>
      </w:r>
    </w:p>
    <w:tbl>
      <w:tblPr>
        <w:tblW w:w="8982" w:type="dxa"/>
        <w:tblInd w:w="198" w:type="dxa"/>
        <w:tblLayout w:type="fixed"/>
        <w:tblCellMar>
          <w:left w:w="0" w:type="dxa"/>
          <w:right w:w="0" w:type="dxa"/>
        </w:tblCellMar>
        <w:tblLook w:val="04A0" w:firstRow="1" w:lastRow="0" w:firstColumn="1" w:lastColumn="0" w:noHBand="0" w:noVBand="1"/>
      </w:tblPr>
      <w:tblGrid>
        <w:gridCol w:w="2042"/>
        <w:gridCol w:w="1554"/>
        <w:gridCol w:w="1559"/>
        <w:gridCol w:w="3827"/>
      </w:tblGrid>
      <w:tr w:rsidR="0026770B" w:rsidRPr="00E914FB" w14:paraId="4CE0AAD5" w14:textId="77777777" w:rsidTr="00890582">
        <w:trPr>
          <w:trHeight w:val="494"/>
        </w:trPr>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06981D67" w14:textId="77777777" w:rsidR="0026770B" w:rsidRPr="00E914FB" w:rsidRDefault="0026770B" w:rsidP="00890582">
            <w:pPr>
              <w:keepNext/>
              <w:spacing w:after="0" w:line="360" w:lineRule="auto"/>
              <w:rPr>
                <w:rFonts w:cstheme="minorHAnsi"/>
                <w:b/>
                <w:bCs/>
                <w:sz w:val="20"/>
                <w:szCs w:val="20"/>
                <w:lang w:eastAsia="ja-JP"/>
              </w:rPr>
            </w:pPr>
            <w:r w:rsidRPr="00E914FB">
              <w:rPr>
                <w:rFonts w:cstheme="minorHAnsi"/>
                <w:b/>
                <w:bCs/>
                <w:sz w:val="20"/>
                <w:szCs w:val="20"/>
                <w:lang w:eastAsia="ja-JP"/>
              </w:rPr>
              <w:t>Trial</w:t>
            </w:r>
            <w:r w:rsidRPr="00E914FB">
              <w:rPr>
                <w:rFonts w:cstheme="minorHAnsi"/>
                <w:b/>
                <w:bCs/>
                <w:sz w:val="20"/>
                <w:szCs w:val="20"/>
                <w:vertAlign w:val="superscript"/>
                <w:lang w:eastAsia="ja-JP"/>
              </w:rPr>
              <w:t>1</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14ACB03E" w14:textId="77777777" w:rsidR="0026770B" w:rsidRPr="00E914FB" w:rsidRDefault="0026770B" w:rsidP="00890582">
            <w:pPr>
              <w:keepNext/>
              <w:spacing w:after="0" w:line="360" w:lineRule="auto"/>
              <w:jc w:val="center"/>
              <w:rPr>
                <w:rFonts w:cstheme="minorHAnsi"/>
                <w:b/>
                <w:bCs/>
                <w:sz w:val="20"/>
                <w:szCs w:val="20"/>
                <w:lang w:eastAsia="ja-JP"/>
              </w:rPr>
            </w:pPr>
            <w:r w:rsidRPr="00E914FB">
              <w:rPr>
                <w:rFonts w:cstheme="minorHAnsi"/>
                <w:b/>
                <w:bCs/>
                <w:sz w:val="20"/>
                <w:szCs w:val="20"/>
                <w:lang w:eastAsia="ja-JP"/>
              </w:rPr>
              <w:t>Number of subjects (treated</w:t>
            </w:r>
            <w:r w:rsidRPr="00E914FB">
              <w:rPr>
                <w:rFonts w:cstheme="minorHAnsi"/>
                <w:b/>
                <w:bCs/>
                <w:sz w:val="20"/>
                <w:szCs w:val="20"/>
                <w:vertAlign w:val="superscript"/>
                <w:lang w:eastAsia="ja-JP"/>
              </w:rPr>
              <w:t>2</w:t>
            </w:r>
            <w:r w:rsidRPr="00E914FB">
              <w:rPr>
                <w:rFonts w:cstheme="minorHAnsi"/>
                <w:b/>
                <w:bCs/>
                <w:sz w:val="20"/>
                <w:szCs w:val="20"/>
                <w:lang w:eastAsia="ja-JP"/>
              </w:rPr>
              <w:t>)</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3FF1FA5D" w14:textId="77777777" w:rsidR="0026770B" w:rsidRPr="00E914FB" w:rsidRDefault="0026770B" w:rsidP="00890582">
            <w:pPr>
              <w:keepNext/>
              <w:spacing w:after="0" w:line="360" w:lineRule="auto"/>
              <w:jc w:val="center"/>
              <w:rPr>
                <w:rFonts w:cstheme="minorHAnsi"/>
                <w:b/>
                <w:bCs/>
                <w:sz w:val="20"/>
                <w:szCs w:val="20"/>
                <w:lang w:eastAsia="ja-JP"/>
              </w:rPr>
            </w:pPr>
            <w:r w:rsidRPr="00E914FB">
              <w:rPr>
                <w:rFonts w:cstheme="minorHAnsi"/>
                <w:b/>
                <w:bCs/>
                <w:sz w:val="20"/>
                <w:szCs w:val="20"/>
                <w:lang w:eastAsia="ja-JP"/>
              </w:rPr>
              <w:t xml:space="preserve">HCV </w:t>
            </w:r>
            <w:r w:rsidRPr="00E914FB">
              <w:rPr>
                <w:rFonts w:eastAsia="MS Mincho" w:cstheme="minorHAnsi"/>
                <w:b/>
                <w:sz w:val="20"/>
                <w:szCs w:val="20"/>
                <w:lang w:eastAsia="ja-JP"/>
              </w:rPr>
              <w:t>Genotype (GT)</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411E9255" w14:textId="77777777" w:rsidR="0026770B" w:rsidRPr="00E914FB" w:rsidRDefault="0026770B" w:rsidP="00890582">
            <w:pPr>
              <w:keepNext/>
              <w:spacing w:after="0" w:line="360" w:lineRule="auto"/>
              <w:rPr>
                <w:rFonts w:cstheme="minorHAnsi"/>
                <w:b/>
                <w:bCs/>
                <w:sz w:val="20"/>
                <w:szCs w:val="20"/>
                <w:lang w:eastAsia="ja-JP"/>
              </w:rPr>
            </w:pPr>
            <w:r w:rsidRPr="00E914FB">
              <w:rPr>
                <w:rFonts w:cstheme="minorHAnsi"/>
                <w:b/>
                <w:bCs/>
                <w:sz w:val="20"/>
                <w:szCs w:val="20"/>
                <w:lang w:eastAsia="ja-JP"/>
              </w:rPr>
              <w:t>Summary of Study Design</w:t>
            </w:r>
            <w:r w:rsidRPr="00E914FB">
              <w:rPr>
                <w:rFonts w:cstheme="minorHAnsi"/>
                <w:b/>
                <w:bCs/>
                <w:sz w:val="20"/>
                <w:szCs w:val="20"/>
                <w:vertAlign w:val="superscript"/>
                <w:lang w:eastAsia="ja-JP"/>
              </w:rPr>
              <w:t>3</w:t>
            </w:r>
            <w:r w:rsidRPr="00E914FB">
              <w:rPr>
                <w:rFonts w:cstheme="minorHAnsi"/>
                <w:b/>
                <w:bCs/>
                <w:sz w:val="20"/>
                <w:szCs w:val="20"/>
                <w:lang w:eastAsia="ja-JP"/>
              </w:rPr>
              <w:t xml:space="preserve"> </w:t>
            </w:r>
          </w:p>
        </w:tc>
      </w:tr>
      <w:tr w:rsidR="0026770B" w:rsidRPr="00E914FB" w14:paraId="31446C95" w14:textId="77777777" w:rsidTr="00890582">
        <w:trPr>
          <w:trHeight w:val="58"/>
        </w:trPr>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06930E" w14:textId="77777777" w:rsidR="0026770B" w:rsidRPr="00E914FB" w:rsidRDefault="0026770B" w:rsidP="00890582">
            <w:pPr>
              <w:keepNext/>
              <w:spacing w:after="0" w:line="360" w:lineRule="auto"/>
              <w:rPr>
                <w:rFonts w:cstheme="minorHAnsi"/>
                <w:b/>
                <w:bCs/>
                <w:sz w:val="20"/>
                <w:szCs w:val="20"/>
                <w:lang w:eastAsia="ja-JP"/>
              </w:rPr>
            </w:pPr>
            <w:r w:rsidRPr="00E914FB">
              <w:rPr>
                <w:rFonts w:cstheme="minorHAnsi"/>
                <w:b/>
                <w:bCs/>
                <w:sz w:val="20"/>
                <w:szCs w:val="20"/>
                <w:lang w:eastAsia="ja-JP"/>
              </w:rPr>
              <w:t>Treatment-naïve</w:t>
            </w:r>
            <w:r w:rsidRPr="00E914FB">
              <w:rPr>
                <w:rFonts w:cstheme="minorHAnsi"/>
                <w:b/>
                <w:bCs/>
                <w:sz w:val="20"/>
                <w:szCs w:val="20"/>
                <w:vertAlign w:val="superscript"/>
                <w:lang w:eastAsia="ja-JP"/>
              </w:rPr>
              <w:t>4</w:t>
            </w:r>
            <w:r w:rsidRPr="00E914FB">
              <w:rPr>
                <w:rFonts w:cstheme="minorHAnsi"/>
                <w:b/>
                <w:bCs/>
                <w:sz w:val="20"/>
                <w:szCs w:val="20"/>
                <w:lang w:eastAsia="ja-JP"/>
              </w:rPr>
              <w:t>, without cirrhosis</w:t>
            </w:r>
          </w:p>
        </w:tc>
      </w:tr>
      <w:tr w:rsidR="0026770B" w:rsidRPr="00E914FB" w14:paraId="3E26B0BE" w14:textId="77777777" w:rsidTr="00890582">
        <w:trPr>
          <w:trHeight w:val="125"/>
        </w:trPr>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29066A92" w14:textId="77777777" w:rsidR="0026770B" w:rsidRPr="00E914FB" w:rsidRDefault="0026770B" w:rsidP="00890582">
            <w:pPr>
              <w:keepNext/>
              <w:spacing w:after="0" w:line="360" w:lineRule="auto"/>
              <w:rPr>
                <w:rFonts w:cstheme="minorHAnsi"/>
                <w:sz w:val="20"/>
                <w:szCs w:val="20"/>
              </w:rPr>
            </w:pPr>
            <w:r w:rsidRPr="00E914FB">
              <w:rPr>
                <w:rFonts w:cstheme="minorHAnsi"/>
                <w:sz w:val="20"/>
                <w:szCs w:val="20"/>
                <w:lang w:eastAsia="ja-JP"/>
              </w:rPr>
              <w:t>SAPPHIRE I</w:t>
            </w:r>
            <w:r w:rsidRPr="00E914FB">
              <w:rPr>
                <w:rFonts w:cstheme="minorHAnsi"/>
                <w:sz w:val="20"/>
                <w:szCs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76331FBA"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lang w:eastAsia="ja-JP"/>
              </w:rPr>
              <w:t>631</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225527B8"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lang w:eastAsia="ja-JP"/>
              </w:rPr>
              <w:t>GT1</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37E18F24"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 xml:space="preserve">Arm A: VIEKIRA PAK + RBV </w:t>
            </w:r>
          </w:p>
          <w:p w14:paraId="633D34FD"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Arm B: Placebo</w:t>
            </w:r>
          </w:p>
        </w:tc>
      </w:tr>
      <w:tr w:rsidR="0026770B" w:rsidRPr="00E914FB" w14:paraId="01ABCCBD" w14:textId="77777777" w:rsidTr="00890582">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6D5732E6" w14:textId="77777777" w:rsidR="0026770B" w:rsidRPr="00E914FB" w:rsidRDefault="0026770B" w:rsidP="00890582">
            <w:pPr>
              <w:keepNext/>
              <w:spacing w:after="0" w:line="360" w:lineRule="auto"/>
              <w:rPr>
                <w:rFonts w:cstheme="minorHAnsi"/>
                <w:sz w:val="20"/>
                <w:szCs w:val="20"/>
              </w:rPr>
            </w:pPr>
            <w:r w:rsidRPr="00E914FB">
              <w:rPr>
                <w:rFonts w:cstheme="minorHAnsi"/>
                <w:sz w:val="20"/>
                <w:szCs w:val="20"/>
                <w:lang w:eastAsia="ja-JP"/>
              </w:rPr>
              <w:t>PEARL III</w:t>
            </w:r>
            <w:r w:rsidRPr="00E914FB">
              <w:rPr>
                <w:rFonts w:cstheme="minorHAnsi"/>
                <w:sz w:val="20"/>
                <w:szCs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4548A581"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rPr>
              <w:t>419</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0F021AC3" w14:textId="77777777" w:rsidR="0026770B" w:rsidRPr="00E914FB" w:rsidRDefault="0026770B" w:rsidP="00890582">
            <w:pPr>
              <w:keepNext/>
              <w:spacing w:after="0" w:line="360" w:lineRule="auto"/>
              <w:jc w:val="center"/>
              <w:rPr>
                <w:rFonts w:cstheme="minorHAnsi"/>
                <w:sz w:val="20"/>
                <w:szCs w:val="20"/>
              </w:rPr>
            </w:pPr>
            <w:r w:rsidRPr="00E914FB">
              <w:rPr>
                <w:rFonts w:cstheme="minorHAnsi"/>
                <w:sz w:val="20"/>
                <w:szCs w:val="20"/>
              </w:rPr>
              <w:t>GT1b</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5EC95699"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Arm A: VIEKIRA PAK+ RBV</w:t>
            </w:r>
          </w:p>
          <w:p w14:paraId="6D0C086A"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 xml:space="preserve">Arm B: VIEKIRA PAK </w:t>
            </w:r>
          </w:p>
        </w:tc>
      </w:tr>
      <w:tr w:rsidR="0026770B" w:rsidRPr="00E914FB" w14:paraId="32902671" w14:textId="77777777" w:rsidTr="00890582">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36DA164C" w14:textId="77777777" w:rsidR="0026770B" w:rsidRPr="00E914FB" w:rsidRDefault="0026770B" w:rsidP="00890582">
            <w:pPr>
              <w:keepNext/>
              <w:spacing w:after="0" w:line="360" w:lineRule="auto"/>
              <w:rPr>
                <w:rFonts w:cstheme="minorHAnsi"/>
                <w:sz w:val="20"/>
                <w:szCs w:val="20"/>
              </w:rPr>
            </w:pPr>
            <w:r w:rsidRPr="00E914FB">
              <w:rPr>
                <w:rFonts w:cstheme="minorHAnsi"/>
                <w:sz w:val="20"/>
                <w:szCs w:val="20"/>
                <w:lang w:eastAsia="ja-JP"/>
              </w:rPr>
              <w:t>PEARL IV</w:t>
            </w:r>
            <w:r w:rsidRPr="00E914FB">
              <w:rPr>
                <w:rFonts w:cstheme="minorHAnsi"/>
                <w:sz w:val="20"/>
                <w:szCs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67963ED2"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rPr>
              <w:t>305</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09F4EDA3" w14:textId="77777777" w:rsidR="0026770B" w:rsidRPr="00E914FB" w:rsidRDefault="0026770B" w:rsidP="00890582">
            <w:pPr>
              <w:keepNext/>
              <w:spacing w:after="0" w:line="360" w:lineRule="auto"/>
              <w:jc w:val="center"/>
              <w:rPr>
                <w:rFonts w:cstheme="minorHAnsi"/>
                <w:sz w:val="20"/>
                <w:szCs w:val="20"/>
              </w:rPr>
            </w:pPr>
            <w:r w:rsidRPr="00E914FB">
              <w:rPr>
                <w:rFonts w:cstheme="minorHAnsi"/>
                <w:sz w:val="20"/>
                <w:szCs w:val="20"/>
              </w:rPr>
              <w:t>GT1a</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144D368C"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Arm A: VIEKIRA PAK+ RBV</w:t>
            </w:r>
          </w:p>
          <w:p w14:paraId="71325267"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 xml:space="preserve">Arm B: VIEKIRA PAK </w:t>
            </w:r>
          </w:p>
        </w:tc>
      </w:tr>
      <w:tr w:rsidR="0026770B" w:rsidRPr="00E914FB" w14:paraId="55D62993" w14:textId="77777777" w:rsidTr="00890582">
        <w:trPr>
          <w:trHeight w:val="58"/>
        </w:trPr>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1F7B9D" w14:textId="77777777" w:rsidR="0026770B" w:rsidRPr="00E914FB" w:rsidRDefault="0026770B" w:rsidP="00890582">
            <w:pPr>
              <w:keepNext/>
              <w:spacing w:after="0" w:line="360" w:lineRule="auto"/>
              <w:ind w:left="360" w:hanging="360"/>
              <w:rPr>
                <w:rFonts w:cstheme="minorHAnsi"/>
                <w:sz w:val="20"/>
                <w:szCs w:val="20"/>
              </w:rPr>
            </w:pPr>
            <w:r w:rsidRPr="00E914FB">
              <w:rPr>
                <w:rFonts w:cstheme="minorHAnsi"/>
                <w:b/>
                <w:bCs/>
                <w:sz w:val="20"/>
                <w:szCs w:val="20"/>
                <w:lang w:eastAsia="ja-JP"/>
              </w:rPr>
              <w:t>Treatment-experienced</w:t>
            </w:r>
            <w:r w:rsidRPr="00E914FB">
              <w:rPr>
                <w:rFonts w:cstheme="minorHAnsi"/>
                <w:b/>
                <w:bCs/>
                <w:sz w:val="20"/>
                <w:szCs w:val="20"/>
                <w:vertAlign w:val="superscript"/>
                <w:lang w:eastAsia="ja-JP"/>
              </w:rPr>
              <w:t>5</w:t>
            </w:r>
            <w:r w:rsidRPr="00E914FB">
              <w:rPr>
                <w:rFonts w:cstheme="minorHAnsi"/>
                <w:b/>
                <w:bCs/>
                <w:sz w:val="20"/>
                <w:szCs w:val="20"/>
                <w:lang w:eastAsia="ja-JP"/>
              </w:rPr>
              <w:t>, without cirrhosis</w:t>
            </w:r>
          </w:p>
        </w:tc>
      </w:tr>
      <w:tr w:rsidR="0026770B" w:rsidRPr="00E914FB" w14:paraId="22CE0A1A" w14:textId="77777777" w:rsidTr="00890582">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1405C9B1" w14:textId="77777777" w:rsidR="0026770B" w:rsidRPr="00E914FB" w:rsidRDefault="0026770B" w:rsidP="00890582">
            <w:pPr>
              <w:keepNext/>
              <w:spacing w:after="0" w:line="360" w:lineRule="auto"/>
              <w:rPr>
                <w:rFonts w:cstheme="minorHAnsi"/>
                <w:sz w:val="20"/>
                <w:szCs w:val="20"/>
              </w:rPr>
            </w:pPr>
            <w:r w:rsidRPr="00E914FB">
              <w:rPr>
                <w:rFonts w:cstheme="minorHAnsi"/>
                <w:sz w:val="20"/>
                <w:szCs w:val="20"/>
                <w:lang w:eastAsia="ja-JP"/>
              </w:rPr>
              <w:t>SAPPHIRE II</w:t>
            </w:r>
            <w:r w:rsidRPr="00E914FB">
              <w:rPr>
                <w:rFonts w:cstheme="minorHAnsi"/>
                <w:sz w:val="20"/>
                <w:szCs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3D17443F"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rPr>
              <w:t>394</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40A20086" w14:textId="77777777" w:rsidR="0026770B" w:rsidRPr="00E914FB" w:rsidRDefault="0026770B" w:rsidP="00890582">
            <w:pPr>
              <w:keepNext/>
              <w:spacing w:after="0" w:line="360" w:lineRule="auto"/>
              <w:jc w:val="center"/>
              <w:rPr>
                <w:rFonts w:cstheme="minorHAnsi"/>
                <w:sz w:val="20"/>
                <w:szCs w:val="20"/>
              </w:rPr>
            </w:pPr>
            <w:r w:rsidRPr="00E914FB">
              <w:rPr>
                <w:rFonts w:cstheme="minorHAnsi"/>
                <w:sz w:val="20"/>
                <w:szCs w:val="20"/>
              </w:rPr>
              <w:t>GT1</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1FAF424"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 xml:space="preserve">Arm A: VIEKIRA PAK + RBV </w:t>
            </w:r>
          </w:p>
          <w:p w14:paraId="3374CC4A"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Arm B: Placebo</w:t>
            </w:r>
          </w:p>
        </w:tc>
      </w:tr>
      <w:tr w:rsidR="0026770B" w:rsidRPr="00E914FB" w14:paraId="308F50E8" w14:textId="77777777" w:rsidTr="00890582">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55664B67"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PEARL II (open-label)</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5067A4F4"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rPr>
              <w:t>180</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33300C1E" w14:textId="77777777" w:rsidR="0026770B" w:rsidRPr="00E914FB" w:rsidRDefault="0026770B" w:rsidP="00890582">
            <w:pPr>
              <w:keepNext/>
              <w:spacing w:after="0" w:line="360" w:lineRule="auto"/>
              <w:jc w:val="center"/>
              <w:rPr>
                <w:rFonts w:cstheme="minorHAnsi"/>
                <w:sz w:val="20"/>
                <w:szCs w:val="20"/>
              </w:rPr>
            </w:pPr>
            <w:r w:rsidRPr="00E914FB">
              <w:rPr>
                <w:rFonts w:cstheme="minorHAnsi"/>
                <w:sz w:val="20"/>
                <w:szCs w:val="20"/>
              </w:rPr>
              <w:t>GT1b</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554DAED1"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Arm A: VIEKIRA PAK+ RBV</w:t>
            </w:r>
          </w:p>
          <w:p w14:paraId="2038728D" w14:textId="77777777" w:rsidR="0026770B" w:rsidRPr="00E914FB" w:rsidRDefault="0026770B" w:rsidP="00890582">
            <w:pPr>
              <w:keepNext/>
              <w:spacing w:after="0" w:line="360" w:lineRule="auto"/>
              <w:ind w:left="360" w:hanging="360"/>
              <w:rPr>
                <w:rFonts w:cstheme="minorHAnsi"/>
                <w:sz w:val="20"/>
                <w:szCs w:val="20"/>
                <w:lang w:eastAsia="ja-JP"/>
              </w:rPr>
            </w:pPr>
            <w:r w:rsidRPr="00E914FB">
              <w:rPr>
                <w:rFonts w:cstheme="minorHAnsi"/>
                <w:sz w:val="20"/>
                <w:szCs w:val="20"/>
                <w:lang w:eastAsia="ja-JP"/>
              </w:rPr>
              <w:t xml:space="preserve">Arm B: VIEKIRA PAK </w:t>
            </w:r>
          </w:p>
        </w:tc>
      </w:tr>
      <w:tr w:rsidR="0026770B" w:rsidRPr="00E914FB" w14:paraId="2AFA71D9" w14:textId="77777777" w:rsidTr="00890582">
        <w:trPr>
          <w:trHeight w:val="58"/>
        </w:trPr>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FAB47" w14:textId="77777777" w:rsidR="0026770B" w:rsidRPr="00E914FB" w:rsidRDefault="0026770B" w:rsidP="00890582">
            <w:pPr>
              <w:keepNext/>
              <w:spacing w:after="0" w:line="360" w:lineRule="auto"/>
              <w:ind w:left="360" w:hanging="293"/>
              <w:rPr>
                <w:rFonts w:cstheme="minorHAnsi"/>
                <w:sz w:val="20"/>
                <w:szCs w:val="20"/>
              </w:rPr>
            </w:pPr>
            <w:r w:rsidRPr="00E914FB">
              <w:rPr>
                <w:rFonts w:cstheme="minorHAnsi"/>
                <w:b/>
                <w:bCs/>
                <w:sz w:val="20"/>
                <w:szCs w:val="20"/>
                <w:lang w:eastAsia="ja-JP"/>
              </w:rPr>
              <w:t>Treatment-naïve and treatment-experienced</w:t>
            </w:r>
            <w:r w:rsidRPr="00E914FB">
              <w:rPr>
                <w:rFonts w:cstheme="minorHAnsi"/>
                <w:b/>
                <w:bCs/>
                <w:sz w:val="20"/>
                <w:szCs w:val="20"/>
                <w:vertAlign w:val="superscript"/>
                <w:lang w:eastAsia="ja-JP"/>
              </w:rPr>
              <w:t>5</w:t>
            </w:r>
            <w:r w:rsidRPr="00E914FB">
              <w:rPr>
                <w:rFonts w:cstheme="minorHAnsi"/>
                <w:b/>
                <w:bCs/>
                <w:sz w:val="20"/>
                <w:szCs w:val="20"/>
                <w:lang w:eastAsia="ja-JP"/>
              </w:rPr>
              <w:t>, with compensated cirrhosis</w:t>
            </w:r>
          </w:p>
        </w:tc>
      </w:tr>
      <w:tr w:rsidR="0026770B" w:rsidRPr="00E914FB" w14:paraId="0DDE519B" w14:textId="77777777" w:rsidTr="00890582">
        <w:tc>
          <w:tcPr>
            <w:tcW w:w="204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64EE6E5E"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 xml:space="preserve">TURQUOISE II </w:t>
            </w:r>
          </w:p>
          <w:p w14:paraId="2A0CF281"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 xml:space="preserve">(open-label) </w:t>
            </w:r>
            <w:r w:rsidRPr="00E914FB">
              <w:rPr>
                <w:rFonts w:cstheme="minorHAnsi"/>
                <w:sz w:val="20"/>
                <w:szCs w:val="20"/>
              </w:rPr>
              <w:t xml:space="preserve"> </w:t>
            </w:r>
          </w:p>
        </w:tc>
        <w:tc>
          <w:tcPr>
            <w:tcW w:w="1554" w:type="dxa"/>
            <w:tcBorders>
              <w:top w:val="single" w:sz="4" w:space="0" w:color="auto"/>
              <w:bottom w:val="single" w:sz="4" w:space="0" w:color="auto"/>
            </w:tcBorders>
            <w:tcMar>
              <w:top w:w="0" w:type="dxa"/>
              <w:left w:w="108" w:type="dxa"/>
              <w:bottom w:w="0" w:type="dxa"/>
              <w:right w:w="108" w:type="dxa"/>
            </w:tcMar>
            <w:vAlign w:val="center"/>
            <w:hideMark/>
          </w:tcPr>
          <w:p w14:paraId="4DBFF6FC" w14:textId="77777777" w:rsidR="0026770B" w:rsidRPr="00E914FB" w:rsidRDefault="0026770B" w:rsidP="00890582">
            <w:pPr>
              <w:keepNext/>
              <w:spacing w:after="0" w:line="360" w:lineRule="auto"/>
              <w:jc w:val="center"/>
              <w:rPr>
                <w:rFonts w:cstheme="minorHAnsi"/>
                <w:sz w:val="20"/>
                <w:szCs w:val="20"/>
                <w:lang w:eastAsia="ja-JP"/>
              </w:rPr>
            </w:pPr>
            <w:r w:rsidRPr="00E914FB">
              <w:rPr>
                <w:rFonts w:cstheme="minorHAnsi"/>
                <w:sz w:val="20"/>
                <w:szCs w:val="20"/>
              </w:rPr>
              <w:t>380</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872FD42" w14:textId="77777777" w:rsidR="0026770B" w:rsidRPr="00E914FB" w:rsidRDefault="0026770B" w:rsidP="00890582">
            <w:pPr>
              <w:keepNext/>
              <w:spacing w:after="0" w:line="360" w:lineRule="auto"/>
              <w:jc w:val="center"/>
              <w:rPr>
                <w:rFonts w:cstheme="minorHAnsi"/>
                <w:sz w:val="20"/>
                <w:szCs w:val="20"/>
              </w:rPr>
            </w:pPr>
            <w:r w:rsidRPr="00E914FB">
              <w:rPr>
                <w:rFonts w:cstheme="minorHAnsi"/>
                <w:sz w:val="20"/>
                <w:szCs w:val="20"/>
              </w:rPr>
              <w:t>GT1</w:t>
            </w:r>
          </w:p>
        </w:tc>
        <w:tc>
          <w:tcPr>
            <w:tcW w:w="382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4E6AB367"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Arm A: VIEKIRA PAK + RBV (12 weeks)</w:t>
            </w:r>
          </w:p>
          <w:p w14:paraId="6E715BDE" w14:textId="77777777" w:rsidR="0026770B" w:rsidRPr="00E914FB" w:rsidRDefault="0026770B" w:rsidP="00890582">
            <w:pPr>
              <w:keepNext/>
              <w:spacing w:after="0" w:line="360" w:lineRule="auto"/>
              <w:rPr>
                <w:rFonts w:cstheme="minorHAnsi"/>
                <w:sz w:val="20"/>
                <w:szCs w:val="20"/>
                <w:lang w:eastAsia="ja-JP"/>
              </w:rPr>
            </w:pPr>
            <w:r w:rsidRPr="00E914FB">
              <w:rPr>
                <w:rFonts w:cstheme="minorHAnsi"/>
                <w:sz w:val="20"/>
                <w:szCs w:val="20"/>
                <w:lang w:eastAsia="ja-JP"/>
              </w:rPr>
              <w:t>Arm B: VIEKIRA PAK + RBV (24 weeks)</w:t>
            </w:r>
          </w:p>
        </w:tc>
      </w:tr>
      <w:tr w:rsidR="0026770B" w:rsidRPr="00E914FB" w14:paraId="4EE416E2" w14:textId="77777777" w:rsidTr="00890582">
        <w:tc>
          <w:tcPr>
            <w:tcW w:w="89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D67D3" w14:textId="77777777" w:rsidR="0026770B" w:rsidRPr="00E914FB" w:rsidRDefault="0026770B" w:rsidP="00890582">
            <w:pPr>
              <w:keepNext/>
              <w:spacing w:line="260" w:lineRule="exact"/>
              <w:ind w:left="134" w:hanging="134"/>
              <w:rPr>
                <w:rFonts w:cstheme="minorHAnsi"/>
                <w:sz w:val="20"/>
                <w:szCs w:val="20"/>
              </w:rPr>
            </w:pPr>
            <w:r w:rsidRPr="00E914FB">
              <w:rPr>
                <w:rFonts w:cstheme="minorHAnsi"/>
                <w:sz w:val="20"/>
                <w:szCs w:val="20"/>
              </w:rPr>
              <w:t xml:space="preserve">1 Double-blind unless otherwise noted </w:t>
            </w:r>
          </w:p>
          <w:p w14:paraId="42B4CC30" w14:textId="77777777" w:rsidR="0026770B" w:rsidRPr="00E914FB" w:rsidRDefault="0026770B" w:rsidP="00890582">
            <w:pPr>
              <w:keepNext/>
              <w:spacing w:line="260" w:lineRule="exact"/>
              <w:ind w:left="134" w:hanging="134"/>
              <w:rPr>
                <w:rFonts w:cstheme="minorHAnsi"/>
                <w:sz w:val="20"/>
                <w:szCs w:val="20"/>
              </w:rPr>
            </w:pPr>
            <w:r w:rsidRPr="00E914FB">
              <w:rPr>
                <w:rFonts w:cstheme="minorHAnsi"/>
                <w:sz w:val="20"/>
                <w:szCs w:val="20"/>
              </w:rPr>
              <w:t>2 Treated is defined as subjects who were randomised and received at least one dose of VIEKIRA PAK.</w:t>
            </w:r>
          </w:p>
          <w:p w14:paraId="2D0A32AB" w14:textId="77777777" w:rsidR="0026770B" w:rsidRPr="00E914FB" w:rsidRDefault="0026770B" w:rsidP="00890582">
            <w:pPr>
              <w:keepNext/>
              <w:spacing w:line="260" w:lineRule="exact"/>
              <w:ind w:left="134" w:hanging="134"/>
              <w:rPr>
                <w:rFonts w:cstheme="minorHAnsi"/>
                <w:sz w:val="20"/>
                <w:szCs w:val="20"/>
              </w:rPr>
            </w:pPr>
            <w:r w:rsidRPr="00E914FB">
              <w:rPr>
                <w:rFonts w:cstheme="minorHAnsi"/>
                <w:sz w:val="20"/>
                <w:szCs w:val="20"/>
              </w:rPr>
              <w:t>3 Treatment duration was 12 weeks for all arms, except for TURQUOISE II which included a 24 week arm.</w:t>
            </w:r>
          </w:p>
          <w:p w14:paraId="7B468CCE" w14:textId="77777777" w:rsidR="0026770B" w:rsidRPr="00E914FB" w:rsidRDefault="0026770B" w:rsidP="00890582">
            <w:pPr>
              <w:keepNext/>
              <w:spacing w:line="260" w:lineRule="exact"/>
              <w:ind w:left="134" w:hanging="134"/>
              <w:rPr>
                <w:rFonts w:cstheme="minorHAnsi"/>
                <w:sz w:val="20"/>
                <w:szCs w:val="20"/>
              </w:rPr>
            </w:pPr>
            <w:r w:rsidRPr="00E914FB">
              <w:rPr>
                <w:rFonts w:cstheme="minorHAnsi"/>
                <w:sz w:val="20"/>
                <w:szCs w:val="20"/>
              </w:rPr>
              <w:t>4 Treatment naïve was defined as not having received any prior therapy for HCV infection.</w:t>
            </w:r>
          </w:p>
          <w:p w14:paraId="5C94AE00" w14:textId="77777777" w:rsidR="0026770B" w:rsidRPr="00E914FB" w:rsidRDefault="0026770B" w:rsidP="00890582">
            <w:pPr>
              <w:keepNext/>
              <w:spacing w:line="260" w:lineRule="exact"/>
              <w:ind w:left="134" w:hanging="134"/>
              <w:rPr>
                <w:rFonts w:cstheme="minorHAnsi"/>
                <w:sz w:val="20"/>
                <w:szCs w:val="20"/>
                <w:lang w:eastAsia="ja-JP"/>
              </w:rPr>
            </w:pPr>
            <w:r w:rsidRPr="00E914FB">
              <w:rPr>
                <w:rFonts w:cstheme="minorHAnsi"/>
                <w:sz w:val="20"/>
                <w:szCs w:val="20"/>
              </w:rPr>
              <w:t>5 Treatment-experienced subjects were defined as either: prior relapsers (subjects with HCV RNA undetectable at or after the end of at least 36 weeks of pegIFN/RBV treatment, but HCV RNA was detectable within 52 weeks of treatment follow-up) or prior partial responders (received at least 20 weeks of pegIFN/RBV and achieved a greater than or equal to 2 log</w:t>
            </w:r>
            <w:r w:rsidRPr="00E914FB">
              <w:rPr>
                <w:rFonts w:cstheme="minorHAnsi"/>
                <w:sz w:val="20"/>
                <w:szCs w:val="20"/>
                <w:vertAlign w:val="subscript"/>
              </w:rPr>
              <w:t>10</w:t>
            </w:r>
            <w:r w:rsidRPr="00E914FB">
              <w:rPr>
                <w:rFonts w:cstheme="minorHAnsi"/>
                <w:sz w:val="20"/>
                <w:szCs w:val="20"/>
              </w:rPr>
              <w:t xml:space="preserve"> IU/mL reduction in HCV RNA at week 12, but not achieving HCV RNA undetectable at end of treatment) or prior null-responders (received at least 12 weeks of pegIFN/RBV treatment and failed to achieve a 2 log</w:t>
            </w:r>
            <w:r w:rsidRPr="00E914FB">
              <w:rPr>
                <w:rFonts w:cstheme="minorHAnsi"/>
                <w:sz w:val="20"/>
                <w:szCs w:val="20"/>
                <w:vertAlign w:val="subscript"/>
              </w:rPr>
              <w:t>10</w:t>
            </w:r>
            <w:r w:rsidRPr="00E914FB">
              <w:rPr>
                <w:rFonts w:cstheme="minorHAnsi"/>
                <w:sz w:val="20"/>
                <w:szCs w:val="20"/>
              </w:rPr>
              <w:t xml:space="preserve"> IU/mL reduction in HCV RNA at week 12 or received at least 4 weeks of pegIFN/RBV treatment and achieved a &lt; 1 log</w:t>
            </w:r>
            <w:r w:rsidRPr="00E914FB">
              <w:rPr>
                <w:rFonts w:cstheme="minorHAnsi"/>
                <w:sz w:val="20"/>
                <w:szCs w:val="20"/>
                <w:vertAlign w:val="subscript"/>
              </w:rPr>
              <w:t>10</w:t>
            </w:r>
            <w:r w:rsidRPr="00E914FB">
              <w:rPr>
                <w:rFonts w:cstheme="minorHAnsi"/>
                <w:sz w:val="20"/>
                <w:szCs w:val="20"/>
              </w:rPr>
              <w:t xml:space="preserve"> IU/mL reduction in HCV RNA at week 4).  </w:t>
            </w:r>
          </w:p>
        </w:tc>
      </w:tr>
    </w:tbl>
    <w:p w14:paraId="53D7747B" w14:textId="77777777" w:rsidR="00CC2E40" w:rsidRDefault="00CC2E40" w:rsidP="0026770B">
      <w:pPr>
        <w:spacing w:line="300" w:lineRule="auto"/>
        <w:jc w:val="both"/>
        <w:rPr>
          <w:rFonts w:cs="Arial"/>
        </w:rPr>
      </w:pPr>
    </w:p>
    <w:p w14:paraId="28DA9968" w14:textId="77777777" w:rsidR="0026770B" w:rsidRPr="00E914FB" w:rsidRDefault="0026770B" w:rsidP="00CC32CC">
      <w:pPr>
        <w:spacing w:line="240" w:lineRule="auto"/>
        <w:jc w:val="both"/>
        <w:rPr>
          <w:rFonts w:cs="Arial"/>
        </w:rPr>
      </w:pPr>
      <w:r w:rsidRPr="00E914FB">
        <w:rPr>
          <w:rFonts w:cs="Arial"/>
        </w:rPr>
        <w:t xml:space="preserve">In all six trials, the </w:t>
      </w:r>
      <w:r w:rsidRPr="00E914FB">
        <w:rPr>
          <w:rFonts w:eastAsia="TimesNewRoman" w:cs="Arial"/>
          <w:lang w:eastAsia="ja-JP"/>
        </w:rPr>
        <w:t>paritaprevir/ritonavir/ombitasvir</w:t>
      </w:r>
      <w:r w:rsidRPr="00E914FB">
        <w:rPr>
          <w:rFonts w:cs="Arial"/>
        </w:rPr>
        <w:t xml:space="preserve"> dose was 150/100/25 mg once daily and the dasabuvir dose was 250 mg twice daily. For subjects who received ribavirin, the ribavirin dose was 1000 mg per day for subjects weighing less than 75 kg or 1200 mg per day for subjects weighing greater than or equal to 75 kg. </w:t>
      </w:r>
    </w:p>
    <w:p w14:paraId="653BF5DC" w14:textId="521DAF62" w:rsidR="0026770B" w:rsidRPr="00E914FB" w:rsidRDefault="0026770B" w:rsidP="00CC32CC">
      <w:pPr>
        <w:spacing w:line="240" w:lineRule="auto"/>
        <w:jc w:val="both"/>
        <w:rPr>
          <w:rFonts w:cstheme="minorHAnsi"/>
        </w:rPr>
      </w:pPr>
      <w:r w:rsidRPr="00E914FB">
        <w:rPr>
          <w:rFonts w:cstheme="minorHAnsi"/>
        </w:rPr>
        <w:lastRenderedPageBreak/>
        <w:t>Sustained virologic response (virologic cure) was defined as unquantifiable or undetectable HCV RNA 12 weeks after the end of treatment (SVR12) in the Phase 3 trials. Treatment duration was fixed in each trial and was not guided by subjects’ HCV RNA levels (no response</w:t>
      </w:r>
      <w:r w:rsidR="00507DF3">
        <w:rPr>
          <w:rFonts w:cstheme="minorHAnsi"/>
        </w:rPr>
        <w:t>-</w:t>
      </w:r>
      <w:r w:rsidRPr="00E914FB">
        <w:rPr>
          <w:rFonts w:cstheme="minorHAnsi"/>
        </w:rPr>
        <w:t>guided algorithm). Plasma HCV RNA values were measured during the clinical trials using the COBAS TaqMan HCV test (version 2.0), for use with the High Pure System. The assay had a lower limit of quantification (LLOQ) of 25 IU per mL.</w:t>
      </w:r>
    </w:p>
    <w:p w14:paraId="4853D2E9" w14:textId="77777777" w:rsidR="0026770B" w:rsidRPr="00E914FB" w:rsidRDefault="0026770B" w:rsidP="00CC32CC">
      <w:pPr>
        <w:pStyle w:val="Heading2Unnumbered"/>
        <w:rPr>
          <w:sz w:val="22"/>
          <w:szCs w:val="22"/>
          <w:lang w:val="en-AU"/>
        </w:rPr>
      </w:pPr>
      <w:r w:rsidRPr="00E914FB">
        <w:rPr>
          <w:sz w:val="22"/>
          <w:szCs w:val="22"/>
          <w:lang w:val="en-AU"/>
        </w:rPr>
        <w:t>Pooled Analyses of Clinical Trials</w:t>
      </w:r>
    </w:p>
    <w:p w14:paraId="52CF1441" w14:textId="77777777" w:rsidR="0026770B" w:rsidRPr="00E914FB" w:rsidRDefault="0026770B" w:rsidP="00CC32CC">
      <w:pPr>
        <w:spacing w:line="240" w:lineRule="auto"/>
        <w:rPr>
          <w:rFonts w:cs="Arial"/>
          <w:u w:val="single"/>
        </w:rPr>
      </w:pPr>
      <w:r w:rsidRPr="00E914FB">
        <w:rPr>
          <w:rFonts w:cs="Arial"/>
          <w:u w:val="single"/>
        </w:rPr>
        <w:t>Durability of Response</w:t>
      </w:r>
    </w:p>
    <w:p w14:paraId="6D48D2C2" w14:textId="77777777" w:rsidR="0026770B" w:rsidRPr="00E914FB" w:rsidRDefault="0026770B" w:rsidP="00CC32CC">
      <w:pPr>
        <w:spacing w:line="240" w:lineRule="auto"/>
        <w:jc w:val="both"/>
        <w:rPr>
          <w:rFonts w:cs="Arial"/>
        </w:rPr>
      </w:pPr>
      <w:r w:rsidRPr="00E914FB">
        <w:rPr>
          <w:rFonts w:cs="Arial"/>
        </w:rPr>
        <w:t>Overall, 660 subjects in Phase 2 and 3 clinical trials had HCV RNA results for both the SVR12 and SVR24 time points.  Among these subjects, the positive predictive value of SVR12 on SVR24 was 99.8%.</w:t>
      </w:r>
    </w:p>
    <w:p w14:paraId="1DCA51D1" w14:textId="77777777" w:rsidR="0026770B" w:rsidRPr="00E914FB" w:rsidRDefault="0026770B" w:rsidP="00CC32CC">
      <w:pPr>
        <w:spacing w:line="240" w:lineRule="auto"/>
        <w:rPr>
          <w:rFonts w:cs="Arial"/>
          <w:u w:val="single"/>
        </w:rPr>
      </w:pPr>
      <w:r w:rsidRPr="00E914FB">
        <w:rPr>
          <w:rFonts w:cs="Arial"/>
          <w:u w:val="single"/>
        </w:rPr>
        <w:t>Pooled Efficacy Analyses</w:t>
      </w:r>
    </w:p>
    <w:p w14:paraId="75B183A2" w14:textId="77777777" w:rsidR="0026770B" w:rsidRPr="00E914FB" w:rsidRDefault="0026770B" w:rsidP="00CC32CC">
      <w:pPr>
        <w:spacing w:line="240" w:lineRule="auto"/>
        <w:jc w:val="both"/>
        <w:rPr>
          <w:rFonts w:cs="Arial"/>
        </w:rPr>
      </w:pPr>
      <w:r w:rsidRPr="00E914FB">
        <w:rPr>
          <w:rFonts w:cs="Arial"/>
        </w:rPr>
        <w:t xml:space="preserve">In phase 3 clinical trials, 1096 subjects (including 202 with cirrhosis) received the recommended regimen for their HCV subtype, cirrhosis status and previous treatment.  Table 4 shows SVR rates for these patients.   </w:t>
      </w:r>
    </w:p>
    <w:p w14:paraId="3613CD59" w14:textId="77777777" w:rsidR="0026770B" w:rsidRPr="00E914FB" w:rsidRDefault="0026770B" w:rsidP="00CC32CC">
      <w:pPr>
        <w:spacing w:line="240" w:lineRule="auto"/>
        <w:jc w:val="both"/>
        <w:rPr>
          <w:rFonts w:cs="Arial"/>
        </w:rPr>
      </w:pPr>
      <w:r w:rsidRPr="00E914FB">
        <w:rPr>
          <w:rFonts w:cs="Arial"/>
        </w:rPr>
        <w:t>Among subjects who received the recommended regimen, 97% achieved SVR (95% with cirrhosis and 97% without cirrhosis), while 0.5% demonstrated virologic breakthrough and 1.6% experienced post-treatment relapse.</w:t>
      </w:r>
    </w:p>
    <w:p w14:paraId="30B98D99" w14:textId="77777777" w:rsidR="0026770B" w:rsidRPr="00E914FB" w:rsidRDefault="0026770B" w:rsidP="0026770B">
      <w:pPr>
        <w:spacing w:before="100" w:beforeAutospacing="1" w:after="100" w:afterAutospacing="1" w:line="300" w:lineRule="auto"/>
        <w:outlineLvl w:val="1"/>
        <w:rPr>
          <w:rFonts w:eastAsia="TimesNewRoman" w:cstheme="minorHAnsi"/>
          <w:b/>
          <w:lang w:eastAsia="ja-JP"/>
        </w:rPr>
      </w:pPr>
      <w:r w:rsidRPr="00E914FB">
        <w:rPr>
          <w:rFonts w:eastAsia="TimesNewRoman" w:cstheme="minorHAnsi"/>
          <w:b/>
          <w:lang w:eastAsia="ja-JP"/>
        </w:rPr>
        <w:t>Table 4:  SVR12 rates for recommended treatment regimens</w:t>
      </w:r>
    </w:p>
    <w:tbl>
      <w:tblPr>
        <w:tblStyle w:val="TableGrid"/>
        <w:tblW w:w="883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1636"/>
        <w:gridCol w:w="1694"/>
        <w:gridCol w:w="1620"/>
        <w:gridCol w:w="1800"/>
      </w:tblGrid>
      <w:tr w:rsidR="0026770B" w:rsidRPr="00E914FB" w14:paraId="6F4287D4" w14:textId="77777777" w:rsidTr="00890582">
        <w:tc>
          <w:tcPr>
            <w:tcW w:w="2088" w:type="dxa"/>
            <w:tcBorders>
              <w:top w:val="nil"/>
              <w:left w:val="nil"/>
              <w:bottom w:val="nil"/>
              <w:right w:val="single" w:sz="12" w:space="0" w:color="auto"/>
            </w:tcBorders>
          </w:tcPr>
          <w:p w14:paraId="5979FE3F" w14:textId="77777777" w:rsidR="0026770B" w:rsidRPr="00E914FB" w:rsidRDefault="0026770B" w:rsidP="00890582">
            <w:pPr>
              <w:spacing w:line="300" w:lineRule="auto"/>
              <w:rPr>
                <w:rFonts w:asciiTheme="minorHAnsi" w:hAnsiTheme="minorHAnsi" w:cstheme="minorHAnsi"/>
              </w:rPr>
            </w:pPr>
          </w:p>
        </w:tc>
        <w:tc>
          <w:tcPr>
            <w:tcW w:w="3330" w:type="dxa"/>
            <w:gridSpan w:val="2"/>
            <w:tcBorders>
              <w:top w:val="single" w:sz="12" w:space="0" w:color="auto"/>
              <w:left w:val="single" w:sz="12" w:space="0" w:color="auto"/>
              <w:bottom w:val="single" w:sz="4" w:space="0" w:color="auto"/>
            </w:tcBorders>
          </w:tcPr>
          <w:p w14:paraId="381BA4A8"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Genotype 1a</w:t>
            </w:r>
          </w:p>
        </w:tc>
        <w:tc>
          <w:tcPr>
            <w:tcW w:w="3420" w:type="dxa"/>
            <w:gridSpan w:val="2"/>
            <w:tcBorders>
              <w:bottom w:val="single" w:sz="4" w:space="0" w:color="auto"/>
            </w:tcBorders>
          </w:tcPr>
          <w:p w14:paraId="17889ED8"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Genotype 1b</w:t>
            </w:r>
          </w:p>
        </w:tc>
      </w:tr>
      <w:tr w:rsidR="0026770B" w:rsidRPr="00E914FB" w14:paraId="42F6E866" w14:textId="77777777" w:rsidTr="00890582">
        <w:trPr>
          <w:trHeight w:val="998"/>
        </w:trPr>
        <w:tc>
          <w:tcPr>
            <w:tcW w:w="2088" w:type="dxa"/>
            <w:tcBorders>
              <w:top w:val="nil"/>
              <w:left w:val="nil"/>
              <w:bottom w:val="nil"/>
              <w:right w:val="single" w:sz="12" w:space="0" w:color="auto"/>
            </w:tcBorders>
          </w:tcPr>
          <w:p w14:paraId="6661B52B" w14:textId="77777777" w:rsidR="0026770B" w:rsidRPr="00E914FB" w:rsidRDefault="0026770B" w:rsidP="00890582">
            <w:pPr>
              <w:spacing w:line="300" w:lineRule="auto"/>
              <w:rPr>
                <w:rFonts w:asciiTheme="minorHAnsi" w:hAnsiTheme="minorHAnsi" w:cstheme="minorHAnsi"/>
              </w:rPr>
            </w:pPr>
          </w:p>
        </w:tc>
        <w:tc>
          <w:tcPr>
            <w:tcW w:w="1636" w:type="dxa"/>
            <w:tcBorders>
              <w:top w:val="single" w:sz="4" w:space="0" w:color="auto"/>
              <w:left w:val="single" w:sz="12" w:space="0" w:color="auto"/>
              <w:bottom w:val="single" w:sz="4" w:space="0" w:color="auto"/>
            </w:tcBorders>
          </w:tcPr>
          <w:p w14:paraId="4D7014B4"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No Cirrhosis</w:t>
            </w:r>
          </w:p>
          <w:p w14:paraId="5FD70E50" w14:textId="57DE1ADE" w:rsidR="0026770B" w:rsidRPr="00E914FB" w:rsidRDefault="0026770B" w:rsidP="00960892">
            <w:pPr>
              <w:spacing w:line="300" w:lineRule="auto"/>
              <w:jc w:val="center"/>
              <w:rPr>
                <w:rFonts w:asciiTheme="minorHAnsi" w:hAnsiTheme="minorHAnsi" w:cstheme="minorHAnsi"/>
                <w:b/>
              </w:rPr>
            </w:pPr>
            <w:r w:rsidRPr="00E914FB">
              <w:rPr>
                <w:rFonts w:asciiTheme="minorHAnsi" w:hAnsiTheme="minorHAnsi" w:cstheme="minorHAnsi"/>
                <w:b/>
              </w:rPr>
              <w:t>VIEKIRA PAK</w:t>
            </w:r>
            <w:r w:rsidR="00960892">
              <w:rPr>
                <w:rFonts w:asciiTheme="minorHAnsi" w:hAnsiTheme="minorHAnsi" w:cstheme="minorHAnsi"/>
                <w:b/>
              </w:rPr>
              <w:t>-</w:t>
            </w:r>
            <w:r w:rsidRPr="00E914FB">
              <w:rPr>
                <w:rFonts w:asciiTheme="minorHAnsi" w:hAnsiTheme="minorHAnsi" w:cstheme="minorHAnsi"/>
                <w:b/>
              </w:rPr>
              <w:t>RBV</w:t>
            </w:r>
          </w:p>
        </w:tc>
        <w:tc>
          <w:tcPr>
            <w:tcW w:w="1694" w:type="dxa"/>
            <w:tcBorders>
              <w:bottom w:val="single" w:sz="4" w:space="0" w:color="auto"/>
            </w:tcBorders>
          </w:tcPr>
          <w:p w14:paraId="584CF37E"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With Cirrhosis</w:t>
            </w:r>
          </w:p>
          <w:p w14:paraId="1B262036" w14:textId="7EB98F6F" w:rsidR="0026770B" w:rsidRPr="00E914FB" w:rsidRDefault="0026770B" w:rsidP="00960892">
            <w:pPr>
              <w:spacing w:line="300" w:lineRule="auto"/>
              <w:jc w:val="center"/>
              <w:rPr>
                <w:rFonts w:asciiTheme="minorHAnsi" w:hAnsiTheme="minorHAnsi" w:cstheme="minorHAnsi"/>
                <w:b/>
              </w:rPr>
            </w:pPr>
            <w:r w:rsidRPr="00E914FB">
              <w:rPr>
                <w:rFonts w:asciiTheme="minorHAnsi" w:hAnsiTheme="minorHAnsi" w:cstheme="minorHAnsi"/>
                <w:b/>
              </w:rPr>
              <w:t>VIEKIRA PAK</w:t>
            </w:r>
            <w:r w:rsidR="00960892">
              <w:rPr>
                <w:rFonts w:asciiTheme="minorHAnsi" w:hAnsiTheme="minorHAnsi" w:cstheme="minorHAnsi"/>
                <w:b/>
              </w:rPr>
              <w:t>-</w:t>
            </w:r>
            <w:r w:rsidRPr="00E914FB">
              <w:rPr>
                <w:rFonts w:asciiTheme="minorHAnsi" w:hAnsiTheme="minorHAnsi" w:cstheme="minorHAnsi"/>
                <w:b/>
              </w:rPr>
              <w:t>RBV</w:t>
            </w:r>
          </w:p>
        </w:tc>
        <w:tc>
          <w:tcPr>
            <w:tcW w:w="1620" w:type="dxa"/>
            <w:tcBorders>
              <w:bottom w:val="single" w:sz="4" w:space="0" w:color="auto"/>
            </w:tcBorders>
          </w:tcPr>
          <w:p w14:paraId="20AE7FA0"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No cirrhosis</w:t>
            </w:r>
          </w:p>
          <w:p w14:paraId="6162E5F4"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VIEKIRA PAK</w:t>
            </w:r>
          </w:p>
        </w:tc>
        <w:tc>
          <w:tcPr>
            <w:tcW w:w="1800" w:type="dxa"/>
            <w:tcBorders>
              <w:bottom w:val="single" w:sz="4" w:space="0" w:color="auto"/>
            </w:tcBorders>
          </w:tcPr>
          <w:p w14:paraId="2A1CB0C3"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With cirrhosis</w:t>
            </w:r>
          </w:p>
          <w:p w14:paraId="29B5EAA1" w14:textId="2FC09EE5" w:rsidR="0026770B" w:rsidRPr="00E914FB" w:rsidRDefault="0026770B" w:rsidP="00960892">
            <w:pPr>
              <w:spacing w:line="300" w:lineRule="auto"/>
              <w:jc w:val="center"/>
              <w:rPr>
                <w:rFonts w:asciiTheme="minorHAnsi" w:hAnsiTheme="minorHAnsi" w:cstheme="minorHAnsi"/>
                <w:b/>
              </w:rPr>
            </w:pPr>
            <w:r w:rsidRPr="00E914FB">
              <w:rPr>
                <w:rFonts w:asciiTheme="minorHAnsi" w:hAnsiTheme="minorHAnsi" w:cstheme="minorHAnsi"/>
                <w:b/>
              </w:rPr>
              <w:t>VIEKIRA PAK</w:t>
            </w:r>
            <w:r w:rsidR="00960892">
              <w:rPr>
                <w:rFonts w:asciiTheme="minorHAnsi" w:hAnsiTheme="minorHAnsi" w:cstheme="minorHAnsi"/>
                <w:b/>
              </w:rPr>
              <w:t>-</w:t>
            </w:r>
            <w:r w:rsidRPr="00E914FB">
              <w:rPr>
                <w:rFonts w:asciiTheme="minorHAnsi" w:hAnsiTheme="minorHAnsi" w:cstheme="minorHAnsi"/>
                <w:b/>
              </w:rPr>
              <w:t>RBV</w:t>
            </w:r>
          </w:p>
        </w:tc>
      </w:tr>
      <w:tr w:rsidR="0026770B" w:rsidRPr="00E914FB" w14:paraId="070A435E" w14:textId="77777777" w:rsidTr="00890582">
        <w:tc>
          <w:tcPr>
            <w:tcW w:w="2088" w:type="dxa"/>
            <w:tcBorders>
              <w:top w:val="nil"/>
              <w:left w:val="nil"/>
              <w:bottom w:val="single" w:sz="12" w:space="0" w:color="auto"/>
              <w:right w:val="single" w:sz="12" w:space="0" w:color="auto"/>
            </w:tcBorders>
          </w:tcPr>
          <w:p w14:paraId="153E5697" w14:textId="77777777" w:rsidR="0026770B" w:rsidRPr="00E914FB" w:rsidRDefault="0026770B" w:rsidP="00890582">
            <w:pPr>
              <w:spacing w:line="300" w:lineRule="auto"/>
              <w:rPr>
                <w:rFonts w:asciiTheme="minorHAnsi" w:hAnsiTheme="minorHAnsi" w:cstheme="minorHAnsi"/>
              </w:rPr>
            </w:pPr>
          </w:p>
        </w:tc>
        <w:tc>
          <w:tcPr>
            <w:tcW w:w="1636" w:type="dxa"/>
            <w:tcBorders>
              <w:top w:val="single" w:sz="4" w:space="0" w:color="auto"/>
              <w:left w:val="single" w:sz="12" w:space="0" w:color="auto"/>
              <w:bottom w:val="single" w:sz="4" w:space="0" w:color="auto"/>
            </w:tcBorders>
          </w:tcPr>
          <w:p w14:paraId="138CA7EA"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12 weeks</w:t>
            </w:r>
          </w:p>
        </w:tc>
        <w:tc>
          <w:tcPr>
            <w:tcW w:w="1694" w:type="dxa"/>
            <w:tcBorders>
              <w:top w:val="single" w:sz="4" w:space="0" w:color="auto"/>
              <w:bottom w:val="single" w:sz="4" w:space="0" w:color="auto"/>
            </w:tcBorders>
          </w:tcPr>
          <w:p w14:paraId="1612734F"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12 weeks*</w:t>
            </w:r>
          </w:p>
        </w:tc>
        <w:tc>
          <w:tcPr>
            <w:tcW w:w="1620" w:type="dxa"/>
            <w:tcBorders>
              <w:top w:val="single" w:sz="4" w:space="0" w:color="auto"/>
              <w:bottom w:val="single" w:sz="4" w:space="0" w:color="auto"/>
            </w:tcBorders>
          </w:tcPr>
          <w:p w14:paraId="5CDE531F"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12 weeks</w:t>
            </w:r>
          </w:p>
        </w:tc>
        <w:tc>
          <w:tcPr>
            <w:tcW w:w="1800" w:type="dxa"/>
            <w:tcBorders>
              <w:top w:val="single" w:sz="4" w:space="0" w:color="auto"/>
              <w:bottom w:val="single" w:sz="4" w:space="0" w:color="auto"/>
            </w:tcBorders>
          </w:tcPr>
          <w:p w14:paraId="5827B9A8" w14:textId="77777777" w:rsidR="0026770B" w:rsidRPr="00E914FB" w:rsidRDefault="0026770B" w:rsidP="00890582">
            <w:pPr>
              <w:spacing w:line="300" w:lineRule="auto"/>
              <w:jc w:val="center"/>
              <w:rPr>
                <w:rFonts w:asciiTheme="minorHAnsi" w:hAnsiTheme="minorHAnsi" w:cstheme="minorHAnsi"/>
                <w:b/>
              </w:rPr>
            </w:pPr>
            <w:r w:rsidRPr="00E914FB">
              <w:rPr>
                <w:rFonts w:asciiTheme="minorHAnsi" w:hAnsiTheme="minorHAnsi" w:cstheme="minorHAnsi"/>
                <w:b/>
              </w:rPr>
              <w:t>12 weeks</w:t>
            </w:r>
          </w:p>
        </w:tc>
      </w:tr>
      <w:tr w:rsidR="0026770B" w:rsidRPr="00E914FB" w14:paraId="0F6E2079" w14:textId="77777777" w:rsidTr="00890582">
        <w:tc>
          <w:tcPr>
            <w:tcW w:w="2088" w:type="dxa"/>
            <w:tcBorders>
              <w:top w:val="single" w:sz="12" w:space="0" w:color="auto"/>
              <w:bottom w:val="single" w:sz="4" w:space="0" w:color="auto"/>
            </w:tcBorders>
          </w:tcPr>
          <w:p w14:paraId="2FC71EC1"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Treatment-naïve</w:t>
            </w:r>
          </w:p>
        </w:tc>
        <w:tc>
          <w:tcPr>
            <w:tcW w:w="1636" w:type="dxa"/>
            <w:tcBorders>
              <w:bottom w:val="single" w:sz="4" w:space="0" w:color="auto"/>
            </w:tcBorders>
          </w:tcPr>
          <w:p w14:paraId="04F38F09"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96% (403/420)</w:t>
            </w:r>
          </w:p>
        </w:tc>
        <w:tc>
          <w:tcPr>
            <w:tcW w:w="1694" w:type="dxa"/>
            <w:tcBorders>
              <w:bottom w:val="single" w:sz="4" w:space="0" w:color="auto"/>
            </w:tcBorders>
            <w:shd w:val="clear" w:color="auto" w:fill="FFFFFF" w:themeFill="background1"/>
          </w:tcPr>
          <w:p w14:paraId="0EC2F33C"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92% (61/66)</w:t>
            </w:r>
          </w:p>
        </w:tc>
        <w:tc>
          <w:tcPr>
            <w:tcW w:w="1620" w:type="dxa"/>
            <w:tcBorders>
              <w:bottom w:val="single" w:sz="4" w:space="0" w:color="auto"/>
            </w:tcBorders>
            <w:shd w:val="clear" w:color="auto" w:fill="FFFFFF" w:themeFill="background1"/>
          </w:tcPr>
          <w:p w14:paraId="67FA09A7"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(210/210)</w:t>
            </w:r>
          </w:p>
        </w:tc>
        <w:tc>
          <w:tcPr>
            <w:tcW w:w="1800" w:type="dxa"/>
            <w:tcBorders>
              <w:bottom w:val="single" w:sz="4" w:space="0" w:color="auto"/>
            </w:tcBorders>
            <w:shd w:val="clear" w:color="auto" w:fill="FFFFFF" w:themeFill="background1"/>
          </w:tcPr>
          <w:p w14:paraId="7E514918"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(22/22)</w:t>
            </w:r>
          </w:p>
        </w:tc>
      </w:tr>
      <w:tr w:rsidR="0026770B" w:rsidRPr="00E914FB" w14:paraId="62A77C73" w14:textId="77777777" w:rsidTr="00890582">
        <w:tc>
          <w:tcPr>
            <w:tcW w:w="2088" w:type="dxa"/>
            <w:tcBorders>
              <w:top w:val="single" w:sz="4" w:space="0" w:color="auto"/>
              <w:bottom w:val="single" w:sz="4" w:space="0" w:color="auto"/>
            </w:tcBorders>
          </w:tcPr>
          <w:p w14:paraId="0EE07416"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Treatment-experienced</w:t>
            </w:r>
          </w:p>
        </w:tc>
        <w:tc>
          <w:tcPr>
            <w:tcW w:w="1636" w:type="dxa"/>
            <w:tcBorders>
              <w:top w:val="single" w:sz="4" w:space="0" w:color="auto"/>
              <w:bottom w:val="single" w:sz="4" w:space="0" w:color="auto"/>
            </w:tcBorders>
          </w:tcPr>
          <w:p w14:paraId="53D23753"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96% (166/173)</w:t>
            </w:r>
          </w:p>
        </w:tc>
        <w:tc>
          <w:tcPr>
            <w:tcW w:w="1694" w:type="dxa"/>
            <w:tcBorders>
              <w:top w:val="single" w:sz="4" w:space="0" w:color="auto"/>
              <w:bottom w:val="single" w:sz="4" w:space="0" w:color="auto"/>
            </w:tcBorders>
            <w:shd w:val="clear" w:color="auto" w:fill="FFFFFF" w:themeFill="background1"/>
          </w:tcPr>
          <w:p w14:paraId="42A141FF"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94% (64/68)*</w:t>
            </w:r>
          </w:p>
        </w:tc>
        <w:tc>
          <w:tcPr>
            <w:tcW w:w="1620" w:type="dxa"/>
            <w:tcBorders>
              <w:top w:val="single" w:sz="4" w:space="0" w:color="auto"/>
              <w:bottom w:val="single" w:sz="4" w:space="0" w:color="auto"/>
            </w:tcBorders>
            <w:shd w:val="clear" w:color="auto" w:fill="FFFFFF" w:themeFill="background1"/>
          </w:tcPr>
          <w:p w14:paraId="3F6D9B1E"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(91/91)</w:t>
            </w:r>
          </w:p>
        </w:tc>
        <w:tc>
          <w:tcPr>
            <w:tcW w:w="1800" w:type="dxa"/>
            <w:tcBorders>
              <w:top w:val="single" w:sz="4" w:space="0" w:color="auto"/>
              <w:bottom w:val="single" w:sz="4" w:space="0" w:color="auto"/>
            </w:tcBorders>
            <w:shd w:val="clear" w:color="auto" w:fill="FFFFFF" w:themeFill="background1"/>
          </w:tcPr>
          <w:p w14:paraId="6AE4B2AD"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98% (45/46)</w:t>
            </w:r>
          </w:p>
        </w:tc>
      </w:tr>
      <w:tr w:rsidR="0026770B" w:rsidRPr="00E914FB" w14:paraId="20E5E1AF" w14:textId="77777777" w:rsidTr="00890582">
        <w:tc>
          <w:tcPr>
            <w:tcW w:w="2088" w:type="dxa"/>
            <w:tcBorders>
              <w:top w:val="single" w:sz="4" w:space="0" w:color="auto"/>
              <w:bottom w:val="single" w:sz="4" w:space="0" w:color="auto"/>
            </w:tcBorders>
          </w:tcPr>
          <w:p w14:paraId="4E5E2D4E"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 xml:space="preserve">Prior </w:t>
            </w:r>
            <w:r w:rsidRPr="00E914FB">
              <w:rPr>
                <w:rFonts w:asciiTheme="minorHAnsi" w:eastAsia="MS Mincho" w:hAnsiTheme="minorHAnsi" w:cstheme="minorHAnsi"/>
                <w:lang w:eastAsia="ja-JP"/>
              </w:rPr>
              <w:t xml:space="preserve">pegIFN/RBV </w:t>
            </w:r>
            <w:r w:rsidRPr="00E914FB">
              <w:rPr>
                <w:rFonts w:asciiTheme="minorHAnsi" w:hAnsiTheme="minorHAnsi" w:cstheme="minorHAnsi"/>
              </w:rPr>
              <w:t>relapser</w:t>
            </w:r>
          </w:p>
        </w:tc>
        <w:tc>
          <w:tcPr>
            <w:tcW w:w="1636" w:type="dxa"/>
            <w:tcBorders>
              <w:top w:val="single" w:sz="4" w:space="0" w:color="auto"/>
              <w:bottom w:val="single" w:sz="4" w:space="0" w:color="auto"/>
            </w:tcBorders>
          </w:tcPr>
          <w:p w14:paraId="0DFCE7E6"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94% (47/50)</w:t>
            </w:r>
          </w:p>
        </w:tc>
        <w:tc>
          <w:tcPr>
            <w:tcW w:w="1694" w:type="dxa"/>
            <w:tcBorders>
              <w:top w:val="single" w:sz="4" w:space="0" w:color="auto"/>
              <w:bottom w:val="single" w:sz="4" w:space="0" w:color="auto"/>
            </w:tcBorders>
            <w:shd w:val="clear" w:color="auto" w:fill="FFFFFF" w:themeFill="background1"/>
          </w:tcPr>
          <w:p w14:paraId="3A591EDF"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93%  (14/15)</w:t>
            </w:r>
          </w:p>
        </w:tc>
        <w:tc>
          <w:tcPr>
            <w:tcW w:w="1620" w:type="dxa"/>
            <w:tcBorders>
              <w:top w:val="single" w:sz="4" w:space="0" w:color="auto"/>
              <w:bottom w:val="single" w:sz="4" w:space="0" w:color="auto"/>
            </w:tcBorders>
            <w:shd w:val="clear" w:color="auto" w:fill="FFFFFF" w:themeFill="background1"/>
          </w:tcPr>
          <w:p w14:paraId="08023352"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(33/33)</w:t>
            </w:r>
          </w:p>
        </w:tc>
        <w:tc>
          <w:tcPr>
            <w:tcW w:w="1800" w:type="dxa"/>
            <w:tcBorders>
              <w:top w:val="single" w:sz="4" w:space="0" w:color="auto"/>
              <w:bottom w:val="single" w:sz="4" w:space="0" w:color="auto"/>
            </w:tcBorders>
            <w:shd w:val="clear" w:color="auto" w:fill="FFFFFF" w:themeFill="background1"/>
          </w:tcPr>
          <w:p w14:paraId="57779041"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(14/14)</w:t>
            </w:r>
          </w:p>
        </w:tc>
      </w:tr>
      <w:tr w:rsidR="0026770B" w:rsidRPr="00E914FB" w14:paraId="585B16AE" w14:textId="77777777" w:rsidTr="00890582">
        <w:tc>
          <w:tcPr>
            <w:tcW w:w="2088" w:type="dxa"/>
            <w:tcBorders>
              <w:top w:val="single" w:sz="4" w:space="0" w:color="auto"/>
              <w:bottom w:val="single" w:sz="4" w:space="0" w:color="auto"/>
            </w:tcBorders>
          </w:tcPr>
          <w:p w14:paraId="2E0FC8C6"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 xml:space="preserve">Prior </w:t>
            </w:r>
            <w:r w:rsidRPr="00E914FB">
              <w:rPr>
                <w:rFonts w:asciiTheme="minorHAnsi" w:eastAsia="MS Mincho" w:hAnsiTheme="minorHAnsi" w:cstheme="minorHAnsi"/>
                <w:lang w:eastAsia="ja-JP"/>
              </w:rPr>
              <w:t xml:space="preserve">pegIFN/RBV </w:t>
            </w:r>
            <w:r w:rsidRPr="00E914FB">
              <w:rPr>
                <w:rFonts w:asciiTheme="minorHAnsi" w:hAnsiTheme="minorHAnsi" w:cstheme="minorHAnsi"/>
              </w:rPr>
              <w:t>partial responder</w:t>
            </w:r>
          </w:p>
        </w:tc>
        <w:tc>
          <w:tcPr>
            <w:tcW w:w="1636" w:type="dxa"/>
            <w:tcBorders>
              <w:top w:val="single" w:sz="4" w:space="0" w:color="auto"/>
              <w:bottom w:val="single" w:sz="4" w:space="0" w:color="auto"/>
            </w:tcBorders>
          </w:tcPr>
          <w:p w14:paraId="2E96115F"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(36/36)</w:t>
            </w:r>
          </w:p>
        </w:tc>
        <w:tc>
          <w:tcPr>
            <w:tcW w:w="1694" w:type="dxa"/>
            <w:tcBorders>
              <w:top w:val="single" w:sz="4" w:space="0" w:color="auto"/>
              <w:bottom w:val="single" w:sz="4" w:space="0" w:color="auto"/>
            </w:tcBorders>
            <w:shd w:val="clear" w:color="auto" w:fill="FFFFFF" w:themeFill="background1"/>
          </w:tcPr>
          <w:p w14:paraId="4E254141"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(11/11)</w:t>
            </w:r>
          </w:p>
        </w:tc>
        <w:tc>
          <w:tcPr>
            <w:tcW w:w="1620" w:type="dxa"/>
            <w:tcBorders>
              <w:top w:val="single" w:sz="4" w:space="0" w:color="auto"/>
              <w:bottom w:val="single" w:sz="4" w:space="0" w:color="auto"/>
            </w:tcBorders>
            <w:shd w:val="clear" w:color="auto" w:fill="FFFFFF" w:themeFill="background1"/>
          </w:tcPr>
          <w:p w14:paraId="064528FE"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(26/26)</w:t>
            </w:r>
          </w:p>
        </w:tc>
        <w:tc>
          <w:tcPr>
            <w:tcW w:w="1800" w:type="dxa"/>
            <w:tcBorders>
              <w:top w:val="single" w:sz="4" w:space="0" w:color="auto"/>
              <w:bottom w:val="single" w:sz="4" w:space="0" w:color="auto"/>
            </w:tcBorders>
            <w:shd w:val="clear" w:color="auto" w:fill="FFFFFF" w:themeFill="background1"/>
          </w:tcPr>
          <w:p w14:paraId="26424B9A"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86% (6/7)</w:t>
            </w:r>
          </w:p>
        </w:tc>
      </w:tr>
      <w:tr w:rsidR="0026770B" w:rsidRPr="00E914FB" w14:paraId="7CA14A4E" w14:textId="77777777" w:rsidTr="00890582">
        <w:tc>
          <w:tcPr>
            <w:tcW w:w="2088" w:type="dxa"/>
            <w:tcBorders>
              <w:top w:val="single" w:sz="4" w:space="0" w:color="auto"/>
              <w:bottom w:val="single" w:sz="4" w:space="0" w:color="auto"/>
            </w:tcBorders>
          </w:tcPr>
          <w:p w14:paraId="3981F2D8"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Prior</w:t>
            </w:r>
            <w:r w:rsidRPr="00E914FB">
              <w:rPr>
                <w:rFonts w:asciiTheme="minorHAnsi" w:eastAsia="MS Mincho" w:hAnsiTheme="minorHAnsi" w:cstheme="minorHAnsi"/>
                <w:lang w:eastAsia="ja-JP"/>
              </w:rPr>
              <w:t xml:space="preserve"> pegIFN/RBV</w:t>
            </w:r>
            <w:r w:rsidRPr="00E914FB">
              <w:rPr>
                <w:rFonts w:asciiTheme="minorHAnsi" w:hAnsiTheme="minorHAnsi" w:cstheme="minorHAnsi"/>
              </w:rPr>
              <w:t xml:space="preserve"> null responder</w:t>
            </w:r>
          </w:p>
        </w:tc>
        <w:tc>
          <w:tcPr>
            <w:tcW w:w="1636" w:type="dxa"/>
            <w:tcBorders>
              <w:top w:val="single" w:sz="4" w:space="0" w:color="auto"/>
              <w:bottom w:val="single" w:sz="4" w:space="0" w:color="auto"/>
            </w:tcBorders>
          </w:tcPr>
          <w:p w14:paraId="494E15F2"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95% (83/87)</w:t>
            </w:r>
          </w:p>
        </w:tc>
        <w:tc>
          <w:tcPr>
            <w:tcW w:w="1694" w:type="dxa"/>
            <w:tcBorders>
              <w:top w:val="single" w:sz="4" w:space="0" w:color="auto"/>
              <w:bottom w:val="single" w:sz="4" w:space="0" w:color="auto"/>
            </w:tcBorders>
            <w:shd w:val="clear" w:color="auto" w:fill="FFFFFF" w:themeFill="background1"/>
          </w:tcPr>
          <w:p w14:paraId="53ACB7B5"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93% (39/42)</w:t>
            </w:r>
            <w:r w:rsidRPr="00E914FB">
              <w:rPr>
                <w:rFonts w:asciiTheme="minorHAnsi" w:hAnsiTheme="minorHAnsi" w:cstheme="minorHAnsi"/>
              </w:rPr>
              <w:br/>
              <w:t>(24 weeks)</w:t>
            </w:r>
          </w:p>
        </w:tc>
        <w:tc>
          <w:tcPr>
            <w:tcW w:w="1620" w:type="dxa"/>
            <w:tcBorders>
              <w:top w:val="single" w:sz="4" w:space="0" w:color="auto"/>
              <w:bottom w:val="single" w:sz="4" w:space="0" w:color="auto"/>
            </w:tcBorders>
            <w:shd w:val="clear" w:color="auto" w:fill="FFFFFF" w:themeFill="background1"/>
          </w:tcPr>
          <w:p w14:paraId="24108FF2"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(32/32)</w:t>
            </w:r>
          </w:p>
        </w:tc>
        <w:tc>
          <w:tcPr>
            <w:tcW w:w="1800" w:type="dxa"/>
            <w:tcBorders>
              <w:top w:val="single" w:sz="4" w:space="0" w:color="auto"/>
              <w:bottom w:val="single" w:sz="4" w:space="0" w:color="auto"/>
            </w:tcBorders>
            <w:shd w:val="clear" w:color="auto" w:fill="FFFFFF" w:themeFill="background1"/>
          </w:tcPr>
          <w:p w14:paraId="2A6EEDB0"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(25/25)</w:t>
            </w:r>
          </w:p>
        </w:tc>
      </w:tr>
      <w:tr w:rsidR="0026770B" w:rsidRPr="00E914FB" w14:paraId="32B0D398" w14:textId="77777777" w:rsidTr="00890582">
        <w:tc>
          <w:tcPr>
            <w:tcW w:w="2088" w:type="dxa"/>
            <w:tcBorders>
              <w:top w:val="single" w:sz="4" w:space="0" w:color="auto"/>
              <w:bottom w:val="single" w:sz="4" w:space="0" w:color="auto"/>
            </w:tcBorders>
          </w:tcPr>
          <w:p w14:paraId="52AC9C94" w14:textId="77777777" w:rsidR="0026770B" w:rsidRPr="00E914FB" w:rsidRDefault="0026770B" w:rsidP="00890582">
            <w:pPr>
              <w:spacing w:line="300" w:lineRule="auto"/>
              <w:rPr>
                <w:rFonts w:asciiTheme="minorHAnsi" w:hAnsiTheme="minorHAnsi" w:cstheme="minorHAnsi"/>
                <w:b/>
              </w:rPr>
            </w:pPr>
            <w:r w:rsidRPr="00E914FB">
              <w:rPr>
                <w:rFonts w:asciiTheme="minorHAnsi" w:hAnsiTheme="minorHAnsi" w:cstheme="minorHAnsi"/>
                <w:b/>
              </w:rPr>
              <w:t>TOTAL</w:t>
            </w:r>
          </w:p>
        </w:tc>
        <w:tc>
          <w:tcPr>
            <w:tcW w:w="1636" w:type="dxa"/>
            <w:tcBorders>
              <w:top w:val="single" w:sz="4" w:space="0" w:color="auto"/>
              <w:bottom w:val="single" w:sz="4" w:space="0" w:color="auto"/>
            </w:tcBorders>
          </w:tcPr>
          <w:p w14:paraId="42FFB88D"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96% (569/593)</w:t>
            </w:r>
          </w:p>
        </w:tc>
        <w:tc>
          <w:tcPr>
            <w:tcW w:w="1694" w:type="dxa"/>
            <w:tcBorders>
              <w:top w:val="single" w:sz="4" w:space="0" w:color="auto"/>
              <w:bottom w:val="single" w:sz="4" w:space="0" w:color="auto"/>
            </w:tcBorders>
            <w:shd w:val="clear" w:color="auto" w:fill="FFFFFF" w:themeFill="background1"/>
          </w:tcPr>
          <w:p w14:paraId="6757CA71"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93% (125/134)*</w:t>
            </w:r>
          </w:p>
        </w:tc>
        <w:tc>
          <w:tcPr>
            <w:tcW w:w="1620" w:type="dxa"/>
            <w:tcBorders>
              <w:top w:val="single" w:sz="4" w:space="0" w:color="auto"/>
              <w:bottom w:val="single" w:sz="4" w:space="0" w:color="auto"/>
            </w:tcBorders>
            <w:shd w:val="clear" w:color="auto" w:fill="FFFFFF" w:themeFill="background1"/>
          </w:tcPr>
          <w:p w14:paraId="2DFE4D5C"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100%  (301/301)</w:t>
            </w:r>
          </w:p>
        </w:tc>
        <w:tc>
          <w:tcPr>
            <w:tcW w:w="1800" w:type="dxa"/>
            <w:tcBorders>
              <w:top w:val="single" w:sz="4" w:space="0" w:color="auto"/>
              <w:bottom w:val="single" w:sz="4" w:space="0" w:color="auto"/>
            </w:tcBorders>
            <w:shd w:val="clear" w:color="auto" w:fill="FFFFFF" w:themeFill="background1"/>
          </w:tcPr>
          <w:p w14:paraId="0FEA8303"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99%  (67/68)</w:t>
            </w:r>
          </w:p>
        </w:tc>
      </w:tr>
      <w:tr w:rsidR="0026770B" w:rsidRPr="00E914FB" w14:paraId="079A0C95" w14:textId="77777777" w:rsidTr="00890582">
        <w:tc>
          <w:tcPr>
            <w:tcW w:w="8838" w:type="dxa"/>
            <w:gridSpan w:val="5"/>
            <w:tcBorders>
              <w:top w:val="single" w:sz="4" w:space="0" w:color="auto"/>
              <w:bottom w:val="single" w:sz="4" w:space="0" w:color="auto"/>
            </w:tcBorders>
          </w:tcPr>
          <w:p w14:paraId="44B24F53" w14:textId="77777777" w:rsidR="0026770B" w:rsidRPr="00E914FB" w:rsidRDefault="0026770B" w:rsidP="00890582">
            <w:pPr>
              <w:spacing w:line="300" w:lineRule="auto"/>
              <w:rPr>
                <w:rFonts w:asciiTheme="minorHAnsi" w:hAnsiTheme="minorHAnsi" w:cstheme="minorHAnsi"/>
              </w:rPr>
            </w:pPr>
            <w:r w:rsidRPr="00E914FB">
              <w:rPr>
                <w:rFonts w:asciiTheme="minorHAnsi" w:hAnsiTheme="minorHAnsi" w:cstheme="minorHAnsi"/>
              </w:rPr>
              <w:t>*All subjects received 12 weeks of therapy except for genotype 1a infected prior null responders with cirrhosis who received 24 weeks of therapy.</w:t>
            </w:r>
          </w:p>
        </w:tc>
      </w:tr>
    </w:tbl>
    <w:p w14:paraId="3BE1530C" w14:textId="77777777" w:rsidR="0026770B" w:rsidRPr="00E914FB" w:rsidRDefault="0026770B" w:rsidP="0026770B">
      <w:pPr>
        <w:rPr>
          <w:rFonts w:cstheme="minorHAnsi"/>
          <w:i/>
        </w:rPr>
      </w:pPr>
    </w:p>
    <w:p w14:paraId="0AE52364" w14:textId="77777777" w:rsidR="00CC2E40" w:rsidRDefault="00CC2E40">
      <w:pPr>
        <w:rPr>
          <w:rFonts w:cstheme="minorHAnsi"/>
          <w:u w:val="single"/>
        </w:rPr>
      </w:pPr>
      <w:r>
        <w:rPr>
          <w:rFonts w:cstheme="minorHAnsi"/>
          <w:u w:val="single"/>
        </w:rPr>
        <w:br w:type="page"/>
      </w:r>
    </w:p>
    <w:p w14:paraId="4E3BBF90" w14:textId="0B9C6BED" w:rsidR="0026770B" w:rsidRPr="00E914FB" w:rsidRDefault="0026770B" w:rsidP="00CC32CC">
      <w:pPr>
        <w:spacing w:line="240" w:lineRule="auto"/>
        <w:rPr>
          <w:rFonts w:cs="Arial"/>
          <w:u w:val="single"/>
        </w:rPr>
      </w:pPr>
      <w:r w:rsidRPr="00E914FB">
        <w:rPr>
          <w:rFonts w:cstheme="minorHAnsi"/>
          <w:u w:val="single"/>
        </w:rPr>
        <w:lastRenderedPageBreak/>
        <w:t xml:space="preserve">Impact of </w:t>
      </w:r>
      <w:r w:rsidR="000F2CCB" w:rsidRPr="00E914FB">
        <w:rPr>
          <w:rFonts w:cstheme="minorHAnsi"/>
          <w:u w:val="single"/>
        </w:rPr>
        <w:t>R</w:t>
      </w:r>
      <w:r w:rsidRPr="00E914FB">
        <w:rPr>
          <w:rFonts w:cstheme="minorHAnsi"/>
          <w:u w:val="single"/>
        </w:rPr>
        <w:t>ibavirin Dose Ad</w:t>
      </w:r>
      <w:r w:rsidRPr="00E914FB">
        <w:rPr>
          <w:rFonts w:cs="Arial"/>
          <w:u w:val="single"/>
        </w:rPr>
        <w:t>justment on Probability of SVR</w:t>
      </w:r>
    </w:p>
    <w:p w14:paraId="6530C6BC" w14:textId="77777777" w:rsidR="0026770B" w:rsidRPr="00E914FB" w:rsidRDefault="0026770B" w:rsidP="00CC32CC">
      <w:pPr>
        <w:spacing w:line="240" w:lineRule="auto"/>
        <w:jc w:val="both"/>
        <w:rPr>
          <w:rFonts w:cstheme="minorHAnsi"/>
        </w:rPr>
      </w:pPr>
      <w:r w:rsidRPr="00E914FB">
        <w:rPr>
          <w:rFonts w:cstheme="minorHAnsi"/>
        </w:rPr>
        <w:t>In Phase 3 clinical trials, 91.5% of subjects did not require ribavirin dose adjustments during therapy.  In the 8.5% of subjects who had ribavirin dose adjustments during therapy, the SVR rate (98.5%) was comparable to subjects who maintained their starting ribavirin dose throughout treatment.</w:t>
      </w:r>
    </w:p>
    <w:p w14:paraId="1B4508D2" w14:textId="77777777" w:rsidR="0026770B" w:rsidRPr="00E914FB" w:rsidRDefault="0026770B" w:rsidP="00CC32CC">
      <w:pPr>
        <w:pStyle w:val="Heading2Unnumbered"/>
        <w:rPr>
          <w:sz w:val="22"/>
          <w:szCs w:val="22"/>
          <w:lang w:val="en-AU"/>
        </w:rPr>
      </w:pPr>
      <w:bookmarkStart w:id="9" w:name="_Toc383787394"/>
      <w:r w:rsidRPr="00E914FB">
        <w:rPr>
          <w:sz w:val="22"/>
          <w:szCs w:val="22"/>
          <w:lang w:val="en-AU"/>
        </w:rPr>
        <w:t>Clinical Trials in Treatment-Naïve Adults</w:t>
      </w:r>
      <w:bookmarkEnd w:id="9"/>
    </w:p>
    <w:p w14:paraId="427010B1" w14:textId="77777777" w:rsidR="0026770B" w:rsidRPr="00E914FB" w:rsidRDefault="0026770B" w:rsidP="00CC32CC">
      <w:pPr>
        <w:spacing w:line="240" w:lineRule="auto"/>
        <w:rPr>
          <w:rFonts w:cs="Arial"/>
          <w:u w:val="single"/>
        </w:rPr>
      </w:pPr>
      <w:r w:rsidRPr="00E914FB">
        <w:rPr>
          <w:rFonts w:cs="Arial"/>
          <w:u w:val="single"/>
        </w:rPr>
        <w:t>SAPPHIRE-I (M11-646) - Genotype 1, Treatment-Naïve</w:t>
      </w:r>
    </w:p>
    <w:p w14:paraId="603D3D2D" w14:textId="220844CC" w:rsidR="0026770B" w:rsidRPr="00E914FB" w:rsidRDefault="0026770B" w:rsidP="00CC32CC">
      <w:pPr>
        <w:spacing w:line="240" w:lineRule="auto"/>
        <w:jc w:val="both"/>
        <w:rPr>
          <w:rFonts w:cs="Arial"/>
        </w:rPr>
      </w:pPr>
      <w:r w:rsidRPr="00E914FB">
        <w:rPr>
          <w:rFonts w:cs="Arial"/>
        </w:rPr>
        <w:t xml:space="preserve">SAPPHIRE-I was a randomised, global multicentre, double-blind, placebo-controlled trial conducted in 631 treatment-naïve adults with genotype 1 chronic hepatitis C virus infection without cirrhosis. </w:t>
      </w:r>
      <w:r w:rsidR="00C24FEE" w:rsidRPr="00E914FB">
        <w:rPr>
          <w:rFonts w:cs="Arial"/>
        </w:rPr>
        <w:t>VIEKIRA PAK</w:t>
      </w:r>
      <w:r w:rsidRPr="00E914FB">
        <w:rPr>
          <w:rFonts w:cs="Arial"/>
        </w:rPr>
        <w:t xml:space="preserve"> was given for 12 weeks of treatment.  Subjects randomised to the placebo arm received placebo for 12 weeks, after which they received open-label </w:t>
      </w:r>
      <w:r w:rsidR="00C24FEE" w:rsidRPr="00E914FB">
        <w:rPr>
          <w:rFonts w:cs="Arial"/>
        </w:rPr>
        <w:t>VIEKIRA PAK</w:t>
      </w:r>
      <w:r w:rsidR="00E954C4" w:rsidRPr="00E914FB">
        <w:rPr>
          <w:rFonts w:cs="Arial"/>
        </w:rPr>
        <w:t xml:space="preserve"> with ribavirin</w:t>
      </w:r>
      <w:r w:rsidRPr="00E914FB">
        <w:rPr>
          <w:rFonts w:cs="Arial"/>
        </w:rPr>
        <w:t xml:space="preserve"> for 12 weeks.</w:t>
      </w:r>
    </w:p>
    <w:p w14:paraId="2860D040" w14:textId="77777777" w:rsidR="0026770B" w:rsidRPr="00E914FB" w:rsidRDefault="0026770B" w:rsidP="00CC32CC">
      <w:pPr>
        <w:spacing w:line="240" w:lineRule="auto"/>
        <w:jc w:val="both"/>
        <w:rPr>
          <w:rFonts w:cs="Arial"/>
        </w:rPr>
      </w:pPr>
      <w:r w:rsidRPr="00E914FB">
        <w:rPr>
          <w:rFonts w:cs="Arial"/>
        </w:rPr>
        <w:t>Treated subjects (N=631) had a median age of 52 years (range: 18 to 70); 64.8% were born between 1945 – 1965; 54.5% were male; 5.4% were Black and 5.1% were Hispanic or Latino; 16.2% had a body mass index of at least 30 kg/m</w:t>
      </w:r>
      <w:r w:rsidRPr="00E914FB">
        <w:rPr>
          <w:rFonts w:cs="Arial"/>
          <w:vertAlign w:val="superscript"/>
        </w:rPr>
        <w:t>2</w:t>
      </w:r>
      <w:r w:rsidRPr="00E914FB">
        <w:rPr>
          <w:rFonts w:cs="Arial"/>
        </w:rPr>
        <w:t>; 15.2% had a history of depression or bipolar disorder; 69.3% had IL28B non-CC genotype; 79.1% had baseline HCV RNA levels at least 800,000 IU/mL; 15.4% had portal fibrosis (F2) and 8.7% had bridging fibrosis (F3); 67.7% had HCV genotype 1a infection; 32.3% had HCV genotype 1b infection.</w:t>
      </w:r>
    </w:p>
    <w:p w14:paraId="2521E61E" w14:textId="104B99F6" w:rsidR="0026770B" w:rsidRPr="00E914FB" w:rsidRDefault="0026770B" w:rsidP="00CC32CC">
      <w:pPr>
        <w:spacing w:line="240" w:lineRule="auto"/>
        <w:rPr>
          <w:rFonts w:cs="Arial"/>
        </w:rPr>
      </w:pPr>
      <w:r w:rsidRPr="00E914FB">
        <w:rPr>
          <w:rFonts w:cs="Arial"/>
        </w:rPr>
        <w:t>Table 5 shows the SVR12 rates for genotype 1-infected, treatment-naïve subjects receiving VIEKIRA PAK</w:t>
      </w:r>
      <w:r w:rsidR="00111D23">
        <w:rPr>
          <w:rFonts w:cs="Arial"/>
        </w:rPr>
        <w:t>-RBV</w:t>
      </w:r>
      <w:r w:rsidRPr="00E914FB">
        <w:rPr>
          <w:rFonts w:cs="Arial"/>
        </w:rPr>
        <w:t xml:space="preserve"> for 12 weeks in SAPPHIRE-I.</w:t>
      </w:r>
    </w:p>
    <w:p w14:paraId="2085CF96" w14:textId="77777777" w:rsidR="0026770B" w:rsidRPr="00E914FB" w:rsidRDefault="0026770B" w:rsidP="00CC32CC">
      <w:pPr>
        <w:spacing w:line="240" w:lineRule="auto"/>
        <w:rPr>
          <w:rFonts w:cs="Arial"/>
        </w:rPr>
      </w:pPr>
      <w:r w:rsidRPr="00E914FB">
        <w:rPr>
          <w:rFonts w:cs="Arial"/>
          <w:b/>
        </w:rPr>
        <w:t>Table 5:  SVR12 for Genotype 1-Infected Treatment-Naïve Subjects in SAPPHIRE-I</w:t>
      </w:r>
    </w:p>
    <w:tbl>
      <w:tblPr>
        <w:tblW w:w="0" w:type="auto"/>
        <w:jc w:val="center"/>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3"/>
        <w:gridCol w:w="1302"/>
        <w:gridCol w:w="649"/>
        <w:gridCol w:w="2218"/>
      </w:tblGrid>
      <w:tr w:rsidR="0026770B" w:rsidRPr="00E914FB" w14:paraId="23B896A4" w14:textId="77777777" w:rsidTr="00890582">
        <w:trPr>
          <w:trHeight w:val="350"/>
          <w:tblHeader/>
          <w:jc w:val="center"/>
        </w:trPr>
        <w:tc>
          <w:tcPr>
            <w:tcW w:w="4313" w:type="dxa"/>
            <w:shd w:val="clear" w:color="auto" w:fill="auto"/>
            <w:tcMar>
              <w:left w:w="29" w:type="dxa"/>
              <w:right w:w="29" w:type="dxa"/>
            </w:tcMar>
            <w:vAlign w:val="bottom"/>
          </w:tcPr>
          <w:p w14:paraId="48797A4B" w14:textId="77777777" w:rsidR="0026770B" w:rsidRPr="00E914FB" w:rsidRDefault="0026770B" w:rsidP="00890582">
            <w:pPr>
              <w:spacing w:after="0" w:line="300" w:lineRule="auto"/>
              <w:rPr>
                <w:rFonts w:cstheme="minorHAnsi"/>
                <w:sz w:val="20"/>
                <w:szCs w:val="20"/>
              </w:rPr>
            </w:pPr>
          </w:p>
        </w:tc>
        <w:tc>
          <w:tcPr>
            <w:tcW w:w="4169" w:type="dxa"/>
            <w:gridSpan w:val="3"/>
            <w:shd w:val="clear" w:color="auto" w:fill="auto"/>
            <w:tcMar>
              <w:left w:w="29" w:type="dxa"/>
              <w:right w:w="29" w:type="dxa"/>
            </w:tcMar>
            <w:vAlign w:val="bottom"/>
          </w:tcPr>
          <w:p w14:paraId="7755700D" w14:textId="0D895335" w:rsidR="0026770B" w:rsidRPr="00E914FB" w:rsidRDefault="0026770B" w:rsidP="00775DC4">
            <w:pPr>
              <w:spacing w:after="0" w:line="300" w:lineRule="auto"/>
              <w:jc w:val="center"/>
              <w:rPr>
                <w:rFonts w:cstheme="minorHAnsi"/>
                <w:b/>
                <w:sz w:val="20"/>
                <w:szCs w:val="20"/>
              </w:rPr>
            </w:pPr>
            <w:r w:rsidRPr="00E914FB">
              <w:rPr>
                <w:rFonts w:cstheme="minorHAnsi"/>
                <w:b/>
                <w:sz w:val="20"/>
                <w:szCs w:val="20"/>
              </w:rPr>
              <w:t xml:space="preserve">VIEKIRA PAK </w:t>
            </w:r>
            <w:r w:rsidR="00775DC4">
              <w:rPr>
                <w:rFonts w:cstheme="minorHAnsi"/>
                <w:b/>
                <w:sz w:val="20"/>
                <w:szCs w:val="20"/>
              </w:rPr>
              <w:t xml:space="preserve">–RBV </w:t>
            </w:r>
            <w:r w:rsidRPr="00E914FB">
              <w:rPr>
                <w:rFonts w:cstheme="minorHAnsi"/>
                <w:b/>
                <w:sz w:val="20"/>
                <w:szCs w:val="20"/>
              </w:rPr>
              <w:t>for 12 Weeks</w:t>
            </w:r>
          </w:p>
        </w:tc>
      </w:tr>
      <w:tr w:rsidR="0026770B" w:rsidRPr="00E914FB" w14:paraId="1624D121" w14:textId="77777777" w:rsidTr="00890582">
        <w:trPr>
          <w:trHeight w:val="350"/>
          <w:tblHeader/>
          <w:jc w:val="center"/>
        </w:trPr>
        <w:tc>
          <w:tcPr>
            <w:tcW w:w="4313" w:type="dxa"/>
            <w:shd w:val="clear" w:color="auto" w:fill="auto"/>
            <w:tcMar>
              <w:left w:w="29" w:type="dxa"/>
              <w:right w:w="29" w:type="dxa"/>
            </w:tcMar>
            <w:vAlign w:val="bottom"/>
          </w:tcPr>
          <w:p w14:paraId="7B77C50D"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Treatment Outcome</w:t>
            </w:r>
          </w:p>
        </w:tc>
        <w:tc>
          <w:tcPr>
            <w:tcW w:w="1302" w:type="dxa"/>
            <w:shd w:val="clear" w:color="auto" w:fill="auto"/>
            <w:tcMar>
              <w:left w:w="29" w:type="dxa"/>
              <w:right w:w="29" w:type="dxa"/>
            </w:tcMar>
            <w:vAlign w:val="bottom"/>
          </w:tcPr>
          <w:p w14:paraId="3CCF7BC2" w14:textId="77777777" w:rsidR="0026770B" w:rsidRPr="00E914FB" w:rsidRDefault="0026770B" w:rsidP="00890582">
            <w:pPr>
              <w:spacing w:after="0" w:line="300" w:lineRule="auto"/>
              <w:jc w:val="center"/>
              <w:rPr>
                <w:rFonts w:cstheme="minorHAnsi"/>
                <w:b/>
                <w:sz w:val="20"/>
                <w:szCs w:val="20"/>
              </w:rPr>
            </w:pPr>
            <w:r w:rsidRPr="00E914FB">
              <w:rPr>
                <w:rFonts w:cstheme="minorHAnsi"/>
                <w:b/>
                <w:sz w:val="20"/>
                <w:szCs w:val="20"/>
              </w:rPr>
              <w:t>n/N</w:t>
            </w:r>
          </w:p>
        </w:tc>
        <w:tc>
          <w:tcPr>
            <w:tcW w:w="649" w:type="dxa"/>
            <w:shd w:val="clear" w:color="auto" w:fill="auto"/>
            <w:vAlign w:val="bottom"/>
          </w:tcPr>
          <w:p w14:paraId="7ECB9ADD" w14:textId="77777777" w:rsidR="0026770B" w:rsidRPr="00E914FB" w:rsidRDefault="0026770B" w:rsidP="00890582">
            <w:pPr>
              <w:spacing w:after="0" w:line="300" w:lineRule="auto"/>
              <w:jc w:val="center"/>
              <w:rPr>
                <w:rFonts w:cstheme="minorHAnsi"/>
                <w:b/>
                <w:sz w:val="20"/>
                <w:szCs w:val="20"/>
              </w:rPr>
            </w:pPr>
            <w:r w:rsidRPr="00E914FB">
              <w:rPr>
                <w:rFonts w:cstheme="minorHAnsi"/>
                <w:b/>
                <w:sz w:val="20"/>
                <w:szCs w:val="20"/>
              </w:rPr>
              <w:t>%</w:t>
            </w:r>
          </w:p>
        </w:tc>
        <w:tc>
          <w:tcPr>
            <w:tcW w:w="2218" w:type="dxa"/>
            <w:shd w:val="clear" w:color="auto" w:fill="auto"/>
            <w:vAlign w:val="bottom"/>
          </w:tcPr>
          <w:p w14:paraId="640104DF" w14:textId="77777777" w:rsidR="0026770B" w:rsidRPr="00E914FB" w:rsidRDefault="0026770B" w:rsidP="00890582">
            <w:pPr>
              <w:spacing w:after="0" w:line="300" w:lineRule="auto"/>
              <w:jc w:val="center"/>
              <w:rPr>
                <w:rFonts w:cstheme="minorHAnsi"/>
                <w:b/>
                <w:sz w:val="20"/>
                <w:szCs w:val="20"/>
              </w:rPr>
            </w:pPr>
            <w:r w:rsidRPr="00E914FB">
              <w:rPr>
                <w:rFonts w:cstheme="minorHAnsi"/>
                <w:b/>
                <w:sz w:val="20"/>
                <w:szCs w:val="20"/>
              </w:rPr>
              <w:t>95% CI</w:t>
            </w:r>
          </w:p>
        </w:tc>
      </w:tr>
      <w:tr w:rsidR="0026770B" w:rsidRPr="00E914FB" w14:paraId="74B3DC82" w14:textId="77777777" w:rsidTr="00890582">
        <w:trPr>
          <w:jc w:val="center"/>
        </w:trPr>
        <w:tc>
          <w:tcPr>
            <w:tcW w:w="4313" w:type="dxa"/>
            <w:shd w:val="clear" w:color="auto" w:fill="auto"/>
            <w:tcMar>
              <w:left w:w="29" w:type="dxa"/>
              <w:right w:w="29" w:type="dxa"/>
            </w:tcMar>
          </w:tcPr>
          <w:p w14:paraId="1D77AAF8"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Overall SVR12</w:t>
            </w:r>
          </w:p>
        </w:tc>
        <w:tc>
          <w:tcPr>
            <w:tcW w:w="1302" w:type="dxa"/>
            <w:shd w:val="clear" w:color="auto" w:fill="auto"/>
            <w:tcMar>
              <w:left w:w="29" w:type="dxa"/>
              <w:right w:w="29" w:type="dxa"/>
            </w:tcMar>
          </w:tcPr>
          <w:p w14:paraId="12E6A69E"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456/473</w:t>
            </w:r>
          </w:p>
        </w:tc>
        <w:tc>
          <w:tcPr>
            <w:tcW w:w="649" w:type="dxa"/>
            <w:shd w:val="clear" w:color="auto" w:fill="auto"/>
          </w:tcPr>
          <w:p w14:paraId="3592A98E"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96.4</w:t>
            </w:r>
          </w:p>
        </w:tc>
        <w:tc>
          <w:tcPr>
            <w:tcW w:w="2218" w:type="dxa"/>
            <w:shd w:val="clear" w:color="auto" w:fill="auto"/>
          </w:tcPr>
          <w:p w14:paraId="567F823A"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94.7, 98.1</w:t>
            </w:r>
          </w:p>
        </w:tc>
      </w:tr>
      <w:tr w:rsidR="0026770B" w:rsidRPr="00E914FB" w14:paraId="04E30072" w14:textId="77777777" w:rsidTr="00890582">
        <w:trPr>
          <w:jc w:val="center"/>
        </w:trPr>
        <w:tc>
          <w:tcPr>
            <w:tcW w:w="4313" w:type="dxa"/>
            <w:shd w:val="clear" w:color="auto" w:fill="auto"/>
            <w:tcMar>
              <w:left w:w="29" w:type="dxa"/>
              <w:right w:w="29" w:type="dxa"/>
            </w:tcMar>
          </w:tcPr>
          <w:p w14:paraId="331F6794"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 xml:space="preserve">  HCV genotype 1a</w:t>
            </w:r>
          </w:p>
        </w:tc>
        <w:tc>
          <w:tcPr>
            <w:tcW w:w="1302" w:type="dxa"/>
            <w:shd w:val="clear" w:color="auto" w:fill="auto"/>
            <w:tcMar>
              <w:left w:w="29" w:type="dxa"/>
              <w:right w:w="29" w:type="dxa"/>
            </w:tcMar>
          </w:tcPr>
          <w:p w14:paraId="56D57873"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308/322</w:t>
            </w:r>
          </w:p>
        </w:tc>
        <w:tc>
          <w:tcPr>
            <w:tcW w:w="649" w:type="dxa"/>
            <w:shd w:val="clear" w:color="auto" w:fill="auto"/>
          </w:tcPr>
          <w:p w14:paraId="567AABE4"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95.7</w:t>
            </w:r>
          </w:p>
        </w:tc>
        <w:tc>
          <w:tcPr>
            <w:tcW w:w="2218" w:type="dxa"/>
            <w:shd w:val="clear" w:color="auto" w:fill="auto"/>
          </w:tcPr>
          <w:p w14:paraId="3B213B0C"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93.4, 97.9</w:t>
            </w:r>
          </w:p>
        </w:tc>
      </w:tr>
      <w:tr w:rsidR="0026770B" w:rsidRPr="00E914FB" w14:paraId="2C2BA423" w14:textId="77777777" w:rsidTr="00890582">
        <w:trPr>
          <w:jc w:val="center"/>
        </w:trPr>
        <w:tc>
          <w:tcPr>
            <w:tcW w:w="4313" w:type="dxa"/>
            <w:shd w:val="clear" w:color="auto" w:fill="auto"/>
            <w:tcMar>
              <w:left w:w="29" w:type="dxa"/>
              <w:right w:w="29" w:type="dxa"/>
            </w:tcMar>
          </w:tcPr>
          <w:p w14:paraId="1394DB07" w14:textId="77777777" w:rsidR="0026770B" w:rsidRPr="00E914FB" w:rsidRDefault="0026770B" w:rsidP="00890582">
            <w:pPr>
              <w:spacing w:after="0" w:line="300" w:lineRule="auto"/>
              <w:rPr>
                <w:rFonts w:cstheme="minorHAnsi"/>
                <w:b/>
                <w:sz w:val="20"/>
                <w:szCs w:val="20"/>
              </w:rPr>
            </w:pPr>
            <w:r w:rsidRPr="00E914FB">
              <w:rPr>
                <w:rFonts w:cstheme="minorHAnsi"/>
                <w:sz w:val="20"/>
                <w:szCs w:val="20"/>
              </w:rPr>
              <w:t xml:space="preserve">  </w:t>
            </w:r>
            <w:r w:rsidRPr="00E914FB">
              <w:rPr>
                <w:rFonts w:cstheme="minorHAnsi"/>
                <w:b/>
                <w:sz w:val="20"/>
                <w:szCs w:val="20"/>
              </w:rPr>
              <w:t>HCV genotype 1b</w:t>
            </w:r>
          </w:p>
        </w:tc>
        <w:tc>
          <w:tcPr>
            <w:tcW w:w="1302" w:type="dxa"/>
            <w:shd w:val="clear" w:color="auto" w:fill="auto"/>
            <w:tcMar>
              <w:left w:w="29" w:type="dxa"/>
              <w:right w:w="29" w:type="dxa"/>
            </w:tcMar>
          </w:tcPr>
          <w:p w14:paraId="50A34534"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148/151</w:t>
            </w:r>
          </w:p>
        </w:tc>
        <w:tc>
          <w:tcPr>
            <w:tcW w:w="649" w:type="dxa"/>
            <w:shd w:val="clear" w:color="auto" w:fill="auto"/>
          </w:tcPr>
          <w:p w14:paraId="22A2B56F"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98.0</w:t>
            </w:r>
          </w:p>
        </w:tc>
        <w:tc>
          <w:tcPr>
            <w:tcW w:w="2218" w:type="dxa"/>
            <w:shd w:val="clear" w:color="auto" w:fill="auto"/>
          </w:tcPr>
          <w:p w14:paraId="5717191F"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95.8, 100.0</w:t>
            </w:r>
          </w:p>
        </w:tc>
      </w:tr>
      <w:tr w:rsidR="0026770B" w:rsidRPr="00E914FB" w14:paraId="0B9F170F" w14:textId="77777777" w:rsidTr="00890582">
        <w:trPr>
          <w:trHeight w:val="211"/>
          <w:jc w:val="center"/>
        </w:trPr>
        <w:tc>
          <w:tcPr>
            <w:tcW w:w="4313" w:type="dxa"/>
            <w:shd w:val="clear" w:color="auto" w:fill="EEECE1"/>
            <w:tcMar>
              <w:left w:w="29" w:type="dxa"/>
              <w:right w:w="29" w:type="dxa"/>
            </w:tcMar>
          </w:tcPr>
          <w:p w14:paraId="21449F72" w14:textId="77777777" w:rsidR="0026770B" w:rsidRPr="00E914FB" w:rsidRDefault="0026770B" w:rsidP="00890582">
            <w:pPr>
              <w:spacing w:after="0" w:line="300" w:lineRule="auto"/>
              <w:rPr>
                <w:rFonts w:cstheme="minorHAnsi"/>
                <w:sz w:val="20"/>
                <w:szCs w:val="20"/>
              </w:rPr>
            </w:pPr>
          </w:p>
        </w:tc>
        <w:tc>
          <w:tcPr>
            <w:tcW w:w="1302" w:type="dxa"/>
            <w:shd w:val="clear" w:color="auto" w:fill="EEECE1"/>
            <w:tcMar>
              <w:left w:w="29" w:type="dxa"/>
              <w:right w:w="29" w:type="dxa"/>
            </w:tcMar>
          </w:tcPr>
          <w:p w14:paraId="60A58BE3" w14:textId="77777777" w:rsidR="0026770B" w:rsidRPr="00E914FB" w:rsidRDefault="0026770B" w:rsidP="00890582">
            <w:pPr>
              <w:spacing w:after="0" w:line="300" w:lineRule="auto"/>
              <w:jc w:val="center"/>
              <w:rPr>
                <w:rFonts w:cstheme="minorHAnsi"/>
                <w:sz w:val="20"/>
                <w:szCs w:val="20"/>
              </w:rPr>
            </w:pPr>
          </w:p>
        </w:tc>
        <w:tc>
          <w:tcPr>
            <w:tcW w:w="649" w:type="dxa"/>
            <w:shd w:val="clear" w:color="auto" w:fill="EEECE1"/>
          </w:tcPr>
          <w:p w14:paraId="49F47B80" w14:textId="77777777" w:rsidR="0026770B" w:rsidRPr="00E914FB" w:rsidRDefault="0026770B" w:rsidP="00890582">
            <w:pPr>
              <w:spacing w:after="0" w:line="300" w:lineRule="auto"/>
              <w:jc w:val="center"/>
              <w:rPr>
                <w:rFonts w:cstheme="minorHAnsi"/>
                <w:sz w:val="20"/>
                <w:szCs w:val="20"/>
              </w:rPr>
            </w:pPr>
          </w:p>
        </w:tc>
        <w:tc>
          <w:tcPr>
            <w:tcW w:w="2218" w:type="dxa"/>
            <w:shd w:val="clear" w:color="auto" w:fill="EEECE1"/>
          </w:tcPr>
          <w:p w14:paraId="4332B6E4" w14:textId="77777777" w:rsidR="0026770B" w:rsidRPr="00E914FB" w:rsidRDefault="0026770B" w:rsidP="00890582">
            <w:pPr>
              <w:spacing w:after="0" w:line="300" w:lineRule="auto"/>
              <w:jc w:val="center"/>
              <w:rPr>
                <w:rFonts w:cstheme="minorHAnsi"/>
                <w:sz w:val="20"/>
                <w:szCs w:val="20"/>
              </w:rPr>
            </w:pPr>
          </w:p>
        </w:tc>
      </w:tr>
      <w:tr w:rsidR="0026770B" w:rsidRPr="00E914FB" w14:paraId="22741ED1" w14:textId="77777777" w:rsidTr="00890582">
        <w:trPr>
          <w:jc w:val="center"/>
        </w:trPr>
        <w:tc>
          <w:tcPr>
            <w:tcW w:w="4313" w:type="dxa"/>
            <w:shd w:val="clear" w:color="auto" w:fill="auto"/>
            <w:tcMar>
              <w:left w:w="29" w:type="dxa"/>
              <w:right w:w="29" w:type="dxa"/>
            </w:tcMar>
          </w:tcPr>
          <w:p w14:paraId="71443FD6"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Outcome for subjects without SVR12</w:t>
            </w:r>
          </w:p>
        </w:tc>
        <w:tc>
          <w:tcPr>
            <w:tcW w:w="1302" w:type="dxa"/>
            <w:shd w:val="clear" w:color="auto" w:fill="auto"/>
            <w:tcMar>
              <w:left w:w="29" w:type="dxa"/>
              <w:right w:w="29" w:type="dxa"/>
            </w:tcMar>
          </w:tcPr>
          <w:p w14:paraId="6251E715" w14:textId="77777777" w:rsidR="0026770B" w:rsidRPr="00E914FB" w:rsidRDefault="0026770B" w:rsidP="00890582">
            <w:pPr>
              <w:spacing w:after="0" w:line="300" w:lineRule="auto"/>
              <w:jc w:val="center"/>
              <w:rPr>
                <w:rFonts w:cstheme="minorHAnsi"/>
                <w:sz w:val="20"/>
                <w:szCs w:val="20"/>
              </w:rPr>
            </w:pPr>
          </w:p>
        </w:tc>
        <w:tc>
          <w:tcPr>
            <w:tcW w:w="649" w:type="dxa"/>
            <w:shd w:val="clear" w:color="auto" w:fill="auto"/>
          </w:tcPr>
          <w:p w14:paraId="7B1AF182" w14:textId="77777777" w:rsidR="0026770B" w:rsidRPr="00E914FB" w:rsidRDefault="0026770B" w:rsidP="00890582">
            <w:pPr>
              <w:spacing w:after="0" w:line="300" w:lineRule="auto"/>
              <w:jc w:val="center"/>
              <w:rPr>
                <w:rFonts w:cstheme="minorHAnsi"/>
                <w:sz w:val="20"/>
                <w:szCs w:val="20"/>
              </w:rPr>
            </w:pPr>
          </w:p>
        </w:tc>
        <w:tc>
          <w:tcPr>
            <w:tcW w:w="2218" w:type="dxa"/>
            <w:shd w:val="clear" w:color="auto" w:fill="auto"/>
          </w:tcPr>
          <w:p w14:paraId="53B0031C" w14:textId="77777777" w:rsidR="0026770B" w:rsidRPr="00E914FB" w:rsidRDefault="0026770B" w:rsidP="00890582">
            <w:pPr>
              <w:spacing w:after="0" w:line="300" w:lineRule="auto"/>
              <w:jc w:val="center"/>
              <w:rPr>
                <w:rFonts w:cstheme="minorHAnsi"/>
                <w:sz w:val="20"/>
                <w:szCs w:val="20"/>
              </w:rPr>
            </w:pPr>
          </w:p>
        </w:tc>
      </w:tr>
      <w:tr w:rsidR="0026770B" w:rsidRPr="00E914FB" w14:paraId="4541F005" w14:textId="77777777" w:rsidTr="00890582">
        <w:trPr>
          <w:jc w:val="center"/>
        </w:trPr>
        <w:tc>
          <w:tcPr>
            <w:tcW w:w="4313" w:type="dxa"/>
            <w:shd w:val="clear" w:color="auto" w:fill="auto"/>
            <w:tcMar>
              <w:left w:w="29" w:type="dxa"/>
              <w:right w:w="29" w:type="dxa"/>
            </w:tcMar>
          </w:tcPr>
          <w:p w14:paraId="5BCF0301" w14:textId="77777777" w:rsidR="0026770B" w:rsidRPr="00E914FB" w:rsidRDefault="0026770B" w:rsidP="00890582">
            <w:pPr>
              <w:spacing w:after="0" w:line="300" w:lineRule="auto"/>
              <w:ind w:firstLine="146"/>
              <w:rPr>
                <w:rFonts w:cstheme="minorHAnsi"/>
                <w:sz w:val="20"/>
                <w:szCs w:val="20"/>
              </w:rPr>
            </w:pPr>
            <w:r w:rsidRPr="00E914FB">
              <w:rPr>
                <w:rFonts w:cstheme="minorHAnsi"/>
                <w:sz w:val="20"/>
                <w:szCs w:val="20"/>
              </w:rPr>
              <w:t>On-treatment VF</w:t>
            </w:r>
            <w:r w:rsidRPr="00E914FB">
              <w:rPr>
                <w:rFonts w:cstheme="minorHAnsi"/>
                <w:sz w:val="20"/>
                <w:szCs w:val="20"/>
                <w:vertAlign w:val="superscript"/>
              </w:rPr>
              <w:t>a</w:t>
            </w:r>
          </w:p>
        </w:tc>
        <w:tc>
          <w:tcPr>
            <w:tcW w:w="1302" w:type="dxa"/>
            <w:shd w:val="clear" w:color="auto" w:fill="auto"/>
            <w:tcMar>
              <w:left w:w="29" w:type="dxa"/>
              <w:right w:w="29" w:type="dxa"/>
            </w:tcMar>
          </w:tcPr>
          <w:p w14:paraId="2FB3175A"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1/473</w:t>
            </w:r>
          </w:p>
        </w:tc>
        <w:tc>
          <w:tcPr>
            <w:tcW w:w="649" w:type="dxa"/>
            <w:shd w:val="clear" w:color="auto" w:fill="auto"/>
          </w:tcPr>
          <w:p w14:paraId="0493B74F"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0.2</w:t>
            </w:r>
          </w:p>
        </w:tc>
        <w:tc>
          <w:tcPr>
            <w:tcW w:w="2218" w:type="dxa"/>
            <w:shd w:val="clear" w:color="auto" w:fill="auto"/>
          </w:tcPr>
          <w:p w14:paraId="31EBFC7C" w14:textId="77777777" w:rsidR="0026770B" w:rsidRPr="00E914FB" w:rsidRDefault="0026770B" w:rsidP="00890582">
            <w:pPr>
              <w:spacing w:after="0" w:line="300" w:lineRule="auto"/>
              <w:jc w:val="center"/>
              <w:rPr>
                <w:rFonts w:cstheme="minorHAnsi"/>
                <w:sz w:val="20"/>
                <w:szCs w:val="20"/>
              </w:rPr>
            </w:pPr>
          </w:p>
        </w:tc>
      </w:tr>
      <w:tr w:rsidR="0026770B" w:rsidRPr="00E914FB" w14:paraId="170E07BA" w14:textId="77777777" w:rsidTr="00890582">
        <w:trPr>
          <w:jc w:val="center"/>
        </w:trPr>
        <w:tc>
          <w:tcPr>
            <w:tcW w:w="4313" w:type="dxa"/>
            <w:shd w:val="clear" w:color="auto" w:fill="auto"/>
            <w:tcMar>
              <w:left w:w="29" w:type="dxa"/>
              <w:right w:w="29" w:type="dxa"/>
            </w:tcMar>
          </w:tcPr>
          <w:p w14:paraId="0DA1DAE4" w14:textId="77777777" w:rsidR="0026770B" w:rsidRPr="00E914FB" w:rsidRDefault="0026770B" w:rsidP="00890582">
            <w:pPr>
              <w:spacing w:after="0" w:line="300" w:lineRule="auto"/>
              <w:ind w:firstLine="146"/>
              <w:rPr>
                <w:rFonts w:cstheme="minorHAnsi"/>
                <w:sz w:val="20"/>
                <w:szCs w:val="20"/>
              </w:rPr>
            </w:pPr>
            <w:r w:rsidRPr="00E914FB">
              <w:rPr>
                <w:rFonts w:cstheme="minorHAnsi"/>
                <w:sz w:val="20"/>
                <w:szCs w:val="20"/>
              </w:rPr>
              <w:t>Relapse</w:t>
            </w:r>
            <w:r w:rsidRPr="00E914FB">
              <w:rPr>
                <w:rFonts w:cstheme="minorHAnsi"/>
                <w:sz w:val="20"/>
                <w:szCs w:val="20"/>
                <w:vertAlign w:val="superscript"/>
              </w:rPr>
              <w:t>b</w:t>
            </w:r>
          </w:p>
        </w:tc>
        <w:tc>
          <w:tcPr>
            <w:tcW w:w="1302" w:type="dxa"/>
            <w:shd w:val="clear" w:color="auto" w:fill="auto"/>
            <w:tcMar>
              <w:left w:w="29" w:type="dxa"/>
              <w:right w:w="29" w:type="dxa"/>
            </w:tcMar>
          </w:tcPr>
          <w:p w14:paraId="155725F6"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7/463</w:t>
            </w:r>
          </w:p>
        </w:tc>
        <w:tc>
          <w:tcPr>
            <w:tcW w:w="649" w:type="dxa"/>
            <w:shd w:val="clear" w:color="auto" w:fill="auto"/>
          </w:tcPr>
          <w:p w14:paraId="4B580CA2"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1.5</w:t>
            </w:r>
          </w:p>
        </w:tc>
        <w:tc>
          <w:tcPr>
            <w:tcW w:w="2218" w:type="dxa"/>
            <w:shd w:val="clear" w:color="auto" w:fill="auto"/>
          </w:tcPr>
          <w:p w14:paraId="0BE97A85" w14:textId="77777777" w:rsidR="0026770B" w:rsidRPr="00E914FB" w:rsidRDefault="0026770B" w:rsidP="00890582">
            <w:pPr>
              <w:spacing w:after="0" w:line="300" w:lineRule="auto"/>
              <w:jc w:val="center"/>
              <w:rPr>
                <w:rFonts w:cstheme="minorHAnsi"/>
                <w:sz w:val="20"/>
                <w:szCs w:val="20"/>
              </w:rPr>
            </w:pPr>
          </w:p>
        </w:tc>
      </w:tr>
      <w:tr w:rsidR="0026770B" w:rsidRPr="00E914FB" w14:paraId="6D8B410D" w14:textId="77777777" w:rsidTr="00890582">
        <w:trPr>
          <w:jc w:val="center"/>
        </w:trPr>
        <w:tc>
          <w:tcPr>
            <w:tcW w:w="4313" w:type="dxa"/>
            <w:shd w:val="clear" w:color="auto" w:fill="auto"/>
            <w:tcMar>
              <w:left w:w="29" w:type="dxa"/>
              <w:right w:w="29" w:type="dxa"/>
            </w:tcMar>
          </w:tcPr>
          <w:p w14:paraId="104B2205" w14:textId="77777777" w:rsidR="0026770B" w:rsidRPr="00E914FB" w:rsidRDefault="0026770B" w:rsidP="00890582">
            <w:pPr>
              <w:spacing w:after="0" w:line="300" w:lineRule="auto"/>
              <w:ind w:firstLine="146"/>
              <w:rPr>
                <w:rFonts w:cstheme="minorHAnsi"/>
                <w:sz w:val="20"/>
                <w:szCs w:val="20"/>
              </w:rPr>
            </w:pPr>
            <w:r w:rsidRPr="00E914FB">
              <w:rPr>
                <w:rFonts w:cstheme="minorHAnsi"/>
                <w:sz w:val="20"/>
                <w:szCs w:val="20"/>
              </w:rPr>
              <w:t>Other</w:t>
            </w:r>
            <w:r w:rsidRPr="00E914FB">
              <w:rPr>
                <w:rFonts w:cstheme="minorHAnsi"/>
                <w:sz w:val="20"/>
                <w:szCs w:val="20"/>
                <w:vertAlign w:val="superscript"/>
              </w:rPr>
              <w:t>c</w:t>
            </w:r>
          </w:p>
        </w:tc>
        <w:tc>
          <w:tcPr>
            <w:tcW w:w="1302" w:type="dxa"/>
            <w:shd w:val="clear" w:color="auto" w:fill="auto"/>
            <w:tcMar>
              <w:left w:w="29" w:type="dxa"/>
              <w:right w:w="29" w:type="dxa"/>
            </w:tcMar>
          </w:tcPr>
          <w:p w14:paraId="2D64DD2E"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9/473</w:t>
            </w:r>
          </w:p>
        </w:tc>
        <w:tc>
          <w:tcPr>
            <w:tcW w:w="649" w:type="dxa"/>
            <w:shd w:val="clear" w:color="auto" w:fill="auto"/>
          </w:tcPr>
          <w:p w14:paraId="1185EC81"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1.9</w:t>
            </w:r>
          </w:p>
        </w:tc>
        <w:tc>
          <w:tcPr>
            <w:tcW w:w="2218" w:type="dxa"/>
            <w:shd w:val="clear" w:color="auto" w:fill="auto"/>
          </w:tcPr>
          <w:p w14:paraId="59CECC94" w14:textId="77777777" w:rsidR="0026770B" w:rsidRPr="00E914FB" w:rsidRDefault="0026770B" w:rsidP="00890582">
            <w:pPr>
              <w:spacing w:after="0" w:line="300" w:lineRule="auto"/>
              <w:jc w:val="center"/>
              <w:rPr>
                <w:rFonts w:cstheme="minorHAnsi"/>
                <w:sz w:val="20"/>
                <w:szCs w:val="20"/>
              </w:rPr>
            </w:pPr>
          </w:p>
        </w:tc>
      </w:tr>
      <w:tr w:rsidR="0026770B" w:rsidRPr="00E914FB" w14:paraId="685A4673" w14:textId="77777777" w:rsidTr="00890582">
        <w:trPr>
          <w:jc w:val="center"/>
        </w:trPr>
        <w:tc>
          <w:tcPr>
            <w:tcW w:w="8482" w:type="dxa"/>
            <w:gridSpan w:val="4"/>
            <w:shd w:val="clear" w:color="auto" w:fill="auto"/>
            <w:tcMar>
              <w:left w:w="29" w:type="dxa"/>
              <w:right w:w="29" w:type="dxa"/>
            </w:tcMar>
          </w:tcPr>
          <w:p w14:paraId="124B7029" w14:textId="77777777" w:rsidR="0026770B" w:rsidRPr="00E914FB" w:rsidRDefault="0026770B" w:rsidP="00890582">
            <w:pPr>
              <w:rPr>
                <w:rFonts w:cstheme="minorHAnsi"/>
                <w:sz w:val="20"/>
                <w:szCs w:val="20"/>
              </w:rPr>
            </w:pPr>
            <w:r w:rsidRPr="00E914FB">
              <w:rPr>
                <w:rFonts w:cstheme="minorHAnsi"/>
                <w:sz w:val="20"/>
                <w:szCs w:val="20"/>
              </w:rPr>
              <w:t>CI = confidence interval, VF = virologic failure</w:t>
            </w:r>
          </w:p>
          <w:p w14:paraId="731A7FAD" w14:textId="7777777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t xml:space="preserve">a.    On-treatment VF was defined as confirmed HCV ≥ 25 IU/mL after HCV RNA &lt; 25 IU/mL during treatment, confirmed 1 log10 IU/mL increase in HCV RNA from nadir, or HCV RNA persistently ≥ 25 IU/mL with at least 6 weeks of treatment.  </w:t>
            </w:r>
          </w:p>
          <w:p w14:paraId="5AA1052F" w14:textId="7777777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t>b.    Relapse was defined as confirmed HCV RNA ≥ 25 IU/mL post</w:t>
            </w:r>
            <w:r w:rsidRPr="00E914FB">
              <w:rPr>
                <w:rFonts w:asciiTheme="minorHAnsi" w:hAnsiTheme="minorHAnsi" w:cstheme="minorHAnsi"/>
                <w:sz w:val="20"/>
                <w:szCs w:val="20"/>
                <w:lang w:val="en-AU"/>
              </w:rPr>
              <w:noBreakHyphen/>
              <w:t xml:space="preserve">treatment before or during SVR12 window among subjects with HCV RNA &lt; 25 IU/mL at last observation during at least 11 weeks of treatment.  </w:t>
            </w:r>
          </w:p>
          <w:p w14:paraId="2BF4C5F0" w14:textId="4AECB8CB" w:rsidR="0026770B" w:rsidRPr="00E914FB" w:rsidRDefault="0026770B" w:rsidP="00A93FC6">
            <w:pPr>
              <w:pStyle w:val="TableFootnoteSymbol"/>
              <w:keepNext/>
              <w:rPr>
                <w:rFonts w:cstheme="minorHAnsi"/>
                <w:sz w:val="20"/>
                <w:szCs w:val="20"/>
                <w:lang w:val="en-AU"/>
              </w:rPr>
            </w:pPr>
            <w:r w:rsidRPr="00E914FB">
              <w:rPr>
                <w:rFonts w:asciiTheme="minorHAnsi" w:hAnsiTheme="minorHAnsi" w:cstheme="minorHAnsi"/>
                <w:sz w:val="20"/>
                <w:szCs w:val="20"/>
                <w:lang w:val="en-AU"/>
              </w:rPr>
              <w:t>c.    Other includes subjects not achieving SVR12 but not experiencing on-treatment VF or relapse (e.g. missing HCV RNA values in the SVR12 window).</w:t>
            </w:r>
          </w:p>
        </w:tc>
      </w:tr>
    </w:tbl>
    <w:p w14:paraId="6A4DA7CE" w14:textId="05B0BEB3" w:rsidR="0026770B" w:rsidRPr="00E914FB" w:rsidRDefault="0026770B" w:rsidP="0026770B">
      <w:pPr>
        <w:rPr>
          <w:rFonts w:cs="Arial"/>
        </w:rPr>
      </w:pPr>
    </w:p>
    <w:p w14:paraId="402B779B" w14:textId="3F5E2B2A" w:rsidR="0026770B" w:rsidRPr="00E914FB" w:rsidRDefault="0026770B" w:rsidP="00CC32CC">
      <w:pPr>
        <w:spacing w:line="240" w:lineRule="auto"/>
        <w:jc w:val="both"/>
        <w:rPr>
          <w:rFonts w:eastAsia="MS Mincho"/>
          <w:lang w:eastAsia="ja-JP"/>
        </w:rPr>
      </w:pPr>
      <w:r w:rsidRPr="00E914FB">
        <w:rPr>
          <w:rFonts w:eastAsia="MS Mincho"/>
          <w:lang w:eastAsia="ja-JP"/>
        </w:rPr>
        <w:t xml:space="preserve">In the primary efficacy analysis, </w:t>
      </w:r>
      <w:r w:rsidR="00C24FEE" w:rsidRPr="00E914FB">
        <w:rPr>
          <w:rFonts w:eastAsia="MS Mincho"/>
          <w:lang w:eastAsia="ja-JP"/>
        </w:rPr>
        <w:t>VIEKIRA PAK</w:t>
      </w:r>
      <w:r w:rsidR="00775DC4">
        <w:rPr>
          <w:rFonts w:eastAsia="MS Mincho"/>
          <w:lang w:eastAsia="ja-JP"/>
        </w:rPr>
        <w:t>-RBV</w:t>
      </w:r>
      <w:r w:rsidR="00B60A6C">
        <w:rPr>
          <w:rFonts w:eastAsia="MS Mincho"/>
          <w:lang w:eastAsia="ja-JP"/>
        </w:rPr>
        <w:t xml:space="preserve"> </w:t>
      </w:r>
      <w:r w:rsidRPr="00E914FB">
        <w:rPr>
          <w:rFonts w:eastAsia="MS Mincho"/>
          <w:lang w:eastAsia="ja-JP"/>
        </w:rPr>
        <w:t xml:space="preserve">demonstrated superiority to the historical control </w:t>
      </w:r>
      <w:r w:rsidR="001960FC">
        <w:rPr>
          <w:rFonts w:eastAsia="MS Mincho"/>
          <w:lang w:eastAsia="ja-JP"/>
        </w:rPr>
        <w:t>SVR rate of 78% {95% CI of 75%, 80%}</w:t>
      </w:r>
      <w:r w:rsidR="001960FC" w:rsidRPr="00E914FB">
        <w:rPr>
          <w:rFonts w:eastAsia="MS Mincho"/>
          <w:lang w:eastAsia="ja-JP"/>
        </w:rPr>
        <w:t xml:space="preserve"> </w:t>
      </w:r>
      <w:r w:rsidRPr="00E914FB">
        <w:rPr>
          <w:rFonts w:eastAsia="MS Mincho"/>
          <w:lang w:eastAsia="ja-JP"/>
        </w:rPr>
        <w:t xml:space="preserve">(based upon telaprevir plus peginterferon (pegIFN/RBV) for </w:t>
      </w:r>
      <w:r w:rsidRPr="00E914FB">
        <w:rPr>
          <w:rFonts w:eastAsia="MS Mincho"/>
          <w:lang w:eastAsia="ja-JP"/>
        </w:rPr>
        <w:lastRenderedPageBreak/>
        <w:t>subjects with genotype 1 HCV infection who were treatment-naïve without cirrhosis. Refer to the telaprevir prescribing information.</w:t>
      </w:r>
    </w:p>
    <w:p w14:paraId="5E98531E" w14:textId="77777777" w:rsidR="0026770B" w:rsidRPr="00E914FB" w:rsidRDefault="0026770B" w:rsidP="00CC32CC">
      <w:pPr>
        <w:spacing w:line="240" w:lineRule="auto"/>
        <w:jc w:val="both"/>
        <w:rPr>
          <w:rFonts w:cs="Arial"/>
        </w:rPr>
      </w:pPr>
      <w:r w:rsidRPr="00E914FB">
        <w:rPr>
          <w:rFonts w:cs="Arial"/>
        </w:rPr>
        <w:t>No subjects with HCV genotype 1b infection experienced on-treatment virologic failure and one subject with HCV genotype 1b infection experienced relapse.</w:t>
      </w:r>
    </w:p>
    <w:p w14:paraId="14B98FA0" w14:textId="2B6425D0" w:rsidR="0026770B" w:rsidRPr="00E914FB" w:rsidRDefault="00960892" w:rsidP="00CC32CC">
      <w:pPr>
        <w:spacing w:line="240" w:lineRule="auto"/>
        <w:jc w:val="both"/>
        <w:rPr>
          <w:rFonts w:cs="Arial"/>
        </w:rPr>
      </w:pPr>
      <w:r w:rsidRPr="00314EB7">
        <w:rPr>
          <w:rFonts w:cstheme="minorHAnsi"/>
        </w:rPr>
        <w:t xml:space="preserve">Based on subgroup analyses, the following </w:t>
      </w:r>
      <w:r w:rsidR="0026770B" w:rsidRPr="00E914FB">
        <w:rPr>
          <w:rFonts w:cs="Arial"/>
        </w:rPr>
        <w:t xml:space="preserve">baseline factors were not associated with lower SVR12 rates (lower 95% confidence bound &gt; 70%): </w:t>
      </w:r>
    </w:p>
    <w:p w14:paraId="2DC7ABEB" w14:textId="77777777" w:rsidR="0026770B" w:rsidRPr="00E914FB" w:rsidRDefault="0026770B" w:rsidP="00CC32CC">
      <w:pPr>
        <w:pStyle w:val="ListParagraph"/>
        <w:numPr>
          <w:ilvl w:val="0"/>
          <w:numId w:val="10"/>
        </w:numPr>
        <w:spacing w:line="240" w:lineRule="auto"/>
        <w:rPr>
          <w:rFonts w:cs="Arial"/>
        </w:rPr>
      </w:pPr>
      <w:r w:rsidRPr="00E914FB">
        <w:rPr>
          <w:rFonts w:cs="Arial"/>
          <w:i/>
          <w:iCs/>
        </w:rPr>
        <w:t>Viral factors:</w:t>
      </w:r>
      <w:r w:rsidRPr="00E914FB">
        <w:rPr>
          <w:rFonts w:cs="Arial"/>
        </w:rPr>
        <w:t xml:space="preserve"> genotype 1 subtype, baseline viral load </w:t>
      </w:r>
    </w:p>
    <w:p w14:paraId="601B1216" w14:textId="77777777" w:rsidR="0026770B" w:rsidRPr="00E914FB" w:rsidRDefault="0026770B" w:rsidP="00CC32CC">
      <w:pPr>
        <w:pStyle w:val="ListParagraph"/>
        <w:numPr>
          <w:ilvl w:val="0"/>
          <w:numId w:val="10"/>
        </w:numPr>
        <w:spacing w:line="240" w:lineRule="auto"/>
        <w:rPr>
          <w:rFonts w:cs="Arial"/>
        </w:rPr>
      </w:pPr>
      <w:r w:rsidRPr="00E914FB">
        <w:rPr>
          <w:rFonts w:cs="Arial"/>
          <w:i/>
          <w:iCs/>
        </w:rPr>
        <w:t>Host factors:</w:t>
      </w:r>
      <w:r w:rsidRPr="00E914FB">
        <w:rPr>
          <w:rFonts w:cs="Arial"/>
        </w:rPr>
        <w:t xml:space="preserve"> Gender, race, ethnicity, age, birth year (1945 – 1965), IL28B allele, baseline body mass index, history of depression or bipolar disorder, fibrosis stage</w:t>
      </w:r>
    </w:p>
    <w:p w14:paraId="0991CD48" w14:textId="77777777" w:rsidR="0026770B" w:rsidRPr="00E914FB" w:rsidRDefault="0026770B" w:rsidP="00CC32CC">
      <w:pPr>
        <w:spacing w:line="240" w:lineRule="auto"/>
        <w:rPr>
          <w:rFonts w:cs="Arial"/>
        </w:rPr>
      </w:pPr>
      <w:r w:rsidRPr="00E914FB">
        <w:rPr>
          <w:rFonts w:cs="Arial"/>
        </w:rPr>
        <w:t>In addition, subjects who underwent ribavirin dose modifications did not have lower SVR12 rates.</w:t>
      </w:r>
    </w:p>
    <w:p w14:paraId="397CFD3A" w14:textId="77777777" w:rsidR="0026770B" w:rsidRPr="00E914FB" w:rsidRDefault="0026770B" w:rsidP="00CC32CC">
      <w:pPr>
        <w:spacing w:line="240" w:lineRule="auto"/>
        <w:rPr>
          <w:rFonts w:cs="Arial"/>
        </w:rPr>
      </w:pPr>
      <w:r w:rsidRPr="00E914FB">
        <w:rPr>
          <w:rFonts w:cs="Arial"/>
        </w:rPr>
        <w:t xml:space="preserve">Significantly more subjects (352/363 = 97.0%) who received </w:t>
      </w:r>
      <w:r w:rsidRPr="00E914FB">
        <w:rPr>
          <w:rFonts w:eastAsia="TimesNewRoman" w:cs="Arial"/>
        </w:rPr>
        <w:t xml:space="preserve">VIEKIRA PAK </w:t>
      </w:r>
      <w:r w:rsidRPr="00E914FB">
        <w:rPr>
          <w:rFonts w:cs="Arial"/>
        </w:rPr>
        <w:t xml:space="preserve">with ribavirin had normalised ALT by the end of treatment than those who received placebo (18/114 = 15.8%); </w:t>
      </w:r>
      <w:r w:rsidRPr="00E914FB">
        <w:rPr>
          <w:rFonts w:cs="Arial"/>
          <w:i/>
        </w:rPr>
        <w:t>P</w:t>
      </w:r>
      <w:r w:rsidRPr="00E914FB">
        <w:rPr>
          <w:rFonts w:cs="Arial"/>
        </w:rPr>
        <w:t xml:space="preserve"> value &lt; 0.001.</w:t>
      </w:r>
    </w:p>
    <w:p w14:paraId="0B0B6B25" w14:textId="77777777" w:rsidR="0026770B" w:rsidRPr="00E914FB" w:rsidRDefault="0026770B" w:rsidP="00CC32CC">
      <w:pPr>
        <w:spacing w:line="240" w:lineRule="auto"/>
        <w:rPr>
          <w:rFonts w:cs="Arial"/>
          <w:u w:val="single"/>
        </w:rPr>
      </w:pPr>
      <w:r w:rsidRPr="00E914FB">
        <w:rPr>
          <w:rFonts w:cs="Arial"/>
          <w:u w:val="single"/>
        </w:rPr>
        <w:t>PEARL-III (M13-961) – Genotype 1b, Treatment-Naïve</w:t>
      </w:r>
    </w:p>
    <w:p w14:paraId="501A3272" w14:textId="1CE454F3" w:rsidR="0026770B" w:rsidRPr="00E914FB" w:rsidRDefault="0026770B" w:rsidP="00CC32CC">
      <w:pPr>
        <w:spacing w:line="240" w:lineRule="auto"/>
        <w:jc w:val="both"/>
        <w:rPr>
          <w:rFonts w:cs="Arial"/>
        </w:rPr>
      </w:pPr>
      <w:r w:rsidRPr="00E914FB">
        <w:rPr>
          <w:rFonts w:cs="Arial"/>
        </w:rPr>
        <w:t xml:space="preserve">PEARL-III was a randomised, global multi-centre, double-blind, controlled trial conducted in 419 treatment-naïve adults with genotype 1b chronic hepatitis C virus infection without cirrhosis.  Subjects were randomised in a 1:1 ratio to receive </w:t>
      </w:r>
      <w:r w:rsidRPr="00E914FB">
        <w:rPr>
          <w:rFonts w:eastAsia="TimesNewRoman" w:cs="Arial"/>
          <w:lang w:eastAsia="ja-JP"/>
        </w:rPr>
        <w:t xml:space="preserve">VIEKIRA PAK </w:t>
      </w:r>
      <w:r w:rsidRPr="00E914FB">
        <w:rPr>
          <w:rFonts w:cs="Arial"/>
        </w:rPr>
        <w:t xml:space="preserve">or </w:t>
      </w:r>
      <w:r w:rsidR="001B1225">
        <w:rPr>
          <w:rFonts w:cs="Arial"/>
        </w:rPr>
        <w:t>VIEKIRA-PAK-RBV</w:t>
      </w:r>
      <w:r w:rsidRPr="00E914FB">
        <w:rPr>
          <w:rFonts w:cs="Arial"/>
        </w:rPr>
        <w:t xml:space="preserve"> for 12 weeks of treatment.  </w:t>
      </w:r>
    </w:p>
    <w:p w14:paraId="180E2E9C" w14:textId="77777777" w:rsidR="0026770B" w:rsidRPr="00E914FB" w:rsidRDefault="0026770B" w:rsidP="00CC32CC">
      <w:pPr>
        <w:spacing w:line="240" w:lineRule="auto"/>
        <w:jc w:val="both"/>
        <w:rPr>
          <w:rFonts w:cs="Arial"/>
        </w:rPr>
      </w:pPr>
      <w:r w:rsidRPr="00E914FB">
        <w:rPr>
          <w:rFonts w:cs="Arial"/>
        </w:rPr>
        <w:t>Treated subjects (N=419) had a median age of 50 years (range: 19 to 70); 54.9% were born between 1945 – 1965, 45.8% were male; 4.8% were Black; 1.7% were Hispanic or Latino; 16.5% had a body mass index of at least 30 kg/m</w:t>
      </w:r>
      <w:r w:rsidRPr="00E914FB">
        <w:rPr>
          <w:rFonts w:cs="Arial"/>
          <w:vertAlign w:val="superscript"/>
        </w:rPr>
        <w:t>2</w:t>
      </w:r>
      <w:r w:rsidRPr="00E914FB">
        <w:rPr>
          <w:rFonts w:cs="Arial"/>
        </w:rPr>
        <w:t xml:space="preserve">; 9.3% had a history of depression or bipolar disorder; 79.0% had IL28B non-CC genotype; 73.3% had baseline HCV RNA of at least 800,000 IU/mL; 20.3% had portal fibrosis (F2) and 10.0% had bridging fibrosis (F3).  </w:t>
      </w:r>
    </w:p>
    <w:p w14:paraId="731EDF6D" w14:textId="7E9BA738" w:rsidR="0026770B" w:rsidRPr="00E914FB" w:rsidRDefault="0026770B" w:rsidP="00CC32CC">
      <w:pPr>
        <w:spacing w:line="240" w:lineRule="auto"/>
        <w:jc w:val="both"/>
        <w:rPr>
          <w:rFonts w:cs="Arial"/>
        </w:rPr>
      </w:pPr>
      <w:r w:rsidRPr="00E914FB">
        <w:rPr>
          <w:rFonts w:cs="Arial"/>
        </w:rPr>
        <w:t xml:space="preserve">Table 6 shows the SVR12 rates for genotype 1b-infected, treatment-naïve subjects who received </w:t>
      </w:r>
      <w:r w:rsidRPr="00E914FB">
        <w:rPr>
          <w:rFonts w:eastAsia="MS Mincho"/>
          <w:lang w:eastAsia="ja-JP"/>
        </w:rPr>
        <w:t xml:space="preserve">VIEKIRA PAK or </w:t>
      </w:r>
      <w:r w:rsidR="00222E29" w:rsidRPr="00E914FB">
        <w:rPr>
          <w:rFonts w:eastAsia="MS Mincho"/>
          <w:lang w:eastAsia="ja-JP"/>
        </w:rPr>
        <w:t>VIEKIRA PAK</w:t>
      </w:r>
      <w:r w:rsidR="00775DC4">
        <w:rPr>
          <w:rFonts w:eastAsia="MS Mincho"/>
          <w:lang w:eastAsia="ja-JP"/>
        </w:rPr>
        <w:t>-RBV</w:t>
      </w:r>
      <w:r w:rsidRPr="00E914FB">
        <w:rPr>
          <w:rFonts w:eastAsia="MS Mincho"/>
          <w:lang w:eastAsia="ja-JP"/>
        </w:rPr>
        <w:t xml:space="preserve"> </w:t>
      </w:r>
      <w:r w:rsidRPr="00E914FB">
        <w:rPr>
          <w:rFonts w:cs="Arial"/>
        </w:rPr>
        <w:t xml:space="preserve">for 12 weeks in PEARL III. In this study, VIEKIRA PAK had similar SVR12 rates (100%) compared to </w:t>
      </w:r>
      <w:r w:rsidR="00222E29" w:rsidRPr="00E914FB">
        <w:rPr>
          <w:rFonts w:eastAsia="TimesNewRoman" w:cs="Arial"/>
          <w:lang w:eastAsia="ja-JP"/>
        </w:rPr>
        <w:t>VIEKIRA PAK</w:t>
      </w:r>
      <w:r w:rsidRPr="00E914FB">
        <w:rPr>
          <w:rFonts w:eastAsia="TimesNewRoman" w:cs="Arial"/>
          <w:lang w:eastAsia="ja-JP"/>
        </w:rPr>
        <w:t xml:space="preserve"> </w:t>
      </w:r>
      <w:r w:rsidR="00E954C4" w:rsidRPr="00E914FB">
        <w:rPr>
          <w:rFonts w:eastAsia="TimesNewRoman" w:cs="Arial"/>
          <w:lang w:eastAsia="ja-JP"/>
        </w:rPr>
        <w:t xml:space="preserve">with ribavirin </w:t>
      </w:r>
      <w:r w:rsidRPr="00E914FB">
        <w:rPr>
          <w:rFonts w:cs="Arial"/>
        </w:rPr>
        <w:t>(99.5%).</w:t>
      </w:r>
    </w:p>
    <w:p w14:paraId="026E40C1" w14:textId="138B60F6" w:rsidR="0026770B" w:rsidRPr="00E914FB" w:rsidRDefault="0026770B" w:rsidP="0026770B">
      <w:pPr>
        <w:rPr>
          <w:rFonts w:cstheme="minorHAnsi"/>
          <w:b/>
        </w:rPr>
      </w:pPr>
      <w:r w:rsidRPr="00E914FB">
        <w:rPr>
          <w:rFonts w:cstheme="minorHAnsi"/>
          <w:b/>
        </w:rPr>
        <w:t>Table 6:  SVR12 for Genotype</w:t>
      </w:r>
      <w:r w:rsidRPr="00E914FB">
        <w:rPr>
          <w:rFonts w:cstheme="minorHAnsi"/>
        </w:rPr>
        <w:t xml:space="preserve"> </w:t>
      </w:r>
      <w:r w:rsidRPr="00E914FB">
        <w:rPr>
          <w:rFonts w:cstheme="minorHAnsi"/>
          <w:b/>
        </w:rPr>
        <w:t>1b-Infected Treatment-Naïve Subjects in PEARL III</w:t>
      </w:r>
    </w:p>
    <w:tbl>
      <w:tblPr>
        <w:tblW w:w="9163" w:type="dxa"/>
        <w:jc w:val="center"/>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959"/>
        <w:gridCol w:w="666"/>
        <w:gridCol w:w="1216"/>
        <w:gridCol w:w="7"/>
        <w:gridCol w:w="965"/>
        <w:gridCol w:w="800"/>
        <w:gridCol w:w="1172"/>
        <w:gridCol w:w="7"/>
      </w:tblGrid>
      <w:tr w:rsidR="0026770B" w:rsidRPr="00E914FB" w14:paraId="2A1F2B30" w14:textId="77777777" w:rsidTr="00890582">
        <w:trPr>
          <w:jc w:val="center"/>
        </w:trPr>
        <w:tc>
          <w:tcPr>
            <w:tcW w:w="3371" w:type="dxa"/>
            <w:shd w:val="clear" w:color="auto" w:fill="auto"/>
          </w:tcPr>
          <w:p w14:paraId="6E09B3E8" w14:textId="77777777" w:rsidR="0026770B" w:rsidRPr="00E914FB" w:rsidRDefault="0026770B" w:rsidP="00890582">
            <w:pPr>
              <w:pStyle w:val="TableLeft"/>
              <w:spacing w:before="0" w:after="0" w:line="300" w:lineRule="auto"/>
              <w:rPr>
                <w:rFonts w:asciiTheme="minorHAnsi" w:hAnsiTheme="minorHAnsi" w:cstheme="minorHAnsi"/>
                <w:lang w:val="en-AU"/>
              </w:rPr>
            </w:pPr>
          </w:p>
        </w:tc>
        <w:tc>
          <w:tcPr>
            <w:tcW w:w="2848" w:type="dxa"/>
            <w:gridSpan w:val="4"/>
            <w:shd w:val="clear" w:color="auto" w:fill="auto"/>
          </w:tcPr>
          <w:p w14:paraId="0547CE43" w14:textId="346B1158" w:rsidR="0026770B" w:rsidRPr="00E914FB" w:rsidRDefault="00C762D4" w:rsidP="00C762D4">
            <w:pPr>
              <w:pStyle w:val="TableLeft9"/>
              <w:spacing w:before="0" w:after="0" w:line="300" w:lineRule="auto"/>
              <w:jc w:val="center"/>
              <w:rPr>
                <w:rFonts w:asciiTheme="minorHAnsi" w:hAnsiTheme="minorHAnsi" w:cstheme="minorHAnsi"/>
                <w:sz w:val="20"/>
                <w:szCs w:val="20"/>
                <w:lang w:val="en-AU"/>
              </w:rPr>
            </w:pPr>
            <w:r>
              <w:rPr>
                <w:rFonts w:asciiTheme="minorHAnsi" w:hAnsiTheme="minorHAnsi" w:cstheme="minorHAnsi"/>
                <w:b/>
                <w:sz w:val="20"/>
                <w:szCs w:val="20"/>
                <w:lang w:val="en-AU"/>
              </w:rPr>
              <w:t>VIEKIRA PAK-RBV for 12 weeks</w:t>
            </w:r>
          </w:p>
        </w:tc>
        <w:tc>
          <w:tcPr>
            <w:tcW w:w="2944" w:type="dxa"/>
            <w:gridSpan w:val="4"/>
            <w:shd w:val="clear" w:color="auto" w:fill="auto"/>
          </w:tcPr>
          <w:p w14:paraId="2EC080EF" w14:textId="0A853C82" w:rsidR="0026770B" w:rsidRPr="00E914FB" w:rsidRDefault="00C762D4" w:rsidP="00890582">
            <w:pPr>
              <w:pStyle w:val="TableLeft"/>
              <w:spacing w:before="0" w:after="0" w:line="300" w:lineRule="auto"/>
              <w:ind w:left="-72" w:right="-72"/>
              <w:jc w:val="center"/>
              <w:rPr>
                <w:rFonts w:asciiTheme="minorHAnsi" w:hAnsiTheme="minorHAnsi" w:cstheme="minorHAnsi"/>
                <w:lang w:val="en-AU"/>
              </w:rPr>
            </w:pPr>
            <w:r>
              <w:rPr>
                <w:rFonts w:asciiTheme="minorHAnsi" w:hAnsiTheme="minorHAnsi" w:cstheme="minorHAnsi"/>
                <w:b/>
                <w:lang w:val="en-AU"/>
              </w:rPr>
              <w:t>VIEKIRA PAK for 12 weeks</w:t>
            </w:r>
          </w:p>
        </w:tc>
      </w:tr>
      <w:tr w:rsidR="0026770B" w:rsidRPr="00E914FB" w14:paraId="4D4851EC" w14:textId="77777777" w:rsidTr="00890582">
        <w:trPr>
          <w:gridAfter w:val="1"/>
          <w:wAfter w:w="7" w:type="dxa"/>
          <w:jc w:val="center"/>
        </w:trPr>
        <w:tc>
          <w:tcPr>
            <w:tcW w:w="3371" w:type="dxa"/>
            <w:shd w:val="clear" w:color="auto" w:fill="auto"/>
          </w:tcPr>
          <w:p w14:paraId="08C8AC87" w14:textId="77777777" w:rsidR="0026770B" w:rsidRPr="00E914FB" w:rsidRDefault="0026770B" w:rsidP="00890582">
            <w:pPr>
              <w:pStyle w:val="TableLeft"/>
              <w:spacing w:before="0" w:after="0" w:line="300" w:lineRule="auto"/>
              <w:rPr>
                <w:rFonts w:asciiTheme="minorHAnsi" w:hAnsiTheme="minorHAnsi" w:cstheme="minorHAnsi"/>
                <w:lang w:val="en-AU"/>
              </w:rPr>
            </w:pPr>
          </w:p>
        </w:tc>
        <w:tc>
          <w:tcPr>
            <w:tcW w:w="959" w:type="dxa"/>
            <w:shd w:val="clear" w:color="auto" w:fill="auto"/>
          </w:tcPr>
          <w:p w14:paraId="158F7397"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n/N</w:t>
            </w:r>
          </w:p>
        </w:tc>
        <w:tc>
          <w:tcPr>
            <w:tcW w:w="666" w:type="dxa"/>
            <w:shd w:val="clear" w:color="auto" w:fill="auto"/>
          </w:tcPr>
          <w:p w14:paraId="3B521257"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w:t>
            </w:r>
          </w:p>
        </w:tc>
        <w:tc>
          <w:tcPr>
            <w:tcW w:w="1216" w:type="dxa"/>
            <w:shd w:val="clear" w:color="auto" w:fill="auto"/>
          </w:tcPr>
          <w:p w14:paraId="56966D12"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95% CI</w:t>
            </w:r>
          </w:p>
        </w:tc>
        <w:tc>
          <w:tcPr>
            <w:tcW w:w="972" w:type="dxa"/>
            <w:gridSpan w:val="2"/>
            <w:shd w:val="clear" w:color="auto" w:fill="auto"/>
          </w:tcPr>
          <w:p w14:paraId="63E320BB"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n/N</w:t>
            </w:r>
          </w:p>
        </w:tc>
        <w:tc>
          <w:tcPr>
            <w:tcW w:w="800" w:type="dxa"/>
            <w:shd w:val="clear" w:color="auto" w:fill="auto"/>
          </w:tcPr>
          <w:p w14:paraId="1B6B93EE"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w:t>
            </w:r>
          </w:p>
        </w:tc>
        <w:tc>
          <w:tcPr>
            <w:tcW w:w="1172" w:type="dxa"/>
            <w:shd w:val="clear" w:color="auto" w:fill="auto"/>
          </w:tcPr>
          <w:p w14:paraId="0916DDD1"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95% CI</w:t>
            </w:r>
          </w:p>
        </w:tc>
      </w:tr>
      <w:tr w:rsidR="0026770B" w:rsidRPr="00E914FB" w14:paraId="3E882BB3" w14:textId="77777777" w:rsidTr="00890582">
        <w:trPr>
          <w:gridAfter w:val="1"/>
          <w:wAfter w:w="7" w:type="dxa"/>
          <w:jc w:val="center"/>
        </w:trPr>
        <w:tc>
          <w:tcPr>
            <w:tcW w:w="3371" w:type="dxa"/>
            <w:shd w:val="clear" w:color="auto" w:fill="auto"/>
          </w:tcPr>
          <w:p w14:paraId="6A7BB102"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Overall SVR12</w:t>
            </w:r>
          </w:p>
        </w:tc>
        <w:tc>
          <w:tcPr>
            <w:tcW w:w="959" w:type="dxa"/>
            <w:shd w:val="clear" w:color="auto" w:fill="auto"/>
          </w:tcPr>
          <w:p w14:paraId="2642979C"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209/210</w:t>
            </w:r>
          </w:p>
        </w:tc>
        <w:tc>
          <w:tcPr>
            <w:tcW w:w="666" w:type="dxa"/>
            <w:shd w:val="clear" w:color="auto" w:fill="auto"/>
          </w:tcPr>
          <w:p w14:paraId="63BEF524"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99.5</w:t>
            </w:r>
          </w:p>
        </w:tc>
        <w:tc>
          <w:tcPr>
            <w:tcW w:w="1216" w:type="dxa"/>
            <w:shd w:val="clear" w:color="auto" w:fill="auto"/>
          </w:tcPr>
          <w:p w14:paraId="2FCF4C22"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98.6, 100.0</w:t>
            </w:r>
          </w:p>
        </w:tc>
        <w:tc>
          <w:tcPr>
            <w:tcW w:w="972" w:type="dxa"/>
            <w:gridSpan w:val="2"/>
            <w:shd w:val="clear" w:color="auto" w:fill="auto"/>
          </w:tcPr>
          <w:p w14:paraId="3EA876F7"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209/209</w:t>
            </w:r>
          </w:p>
        </w:tc>
        <w:tc>
          <w:tcPr>
            <w:tcW w:w="800" w:type="dxa"/>
            <w:shd w:val="clear" w:color="auto" w:fill="auto"/>
          </w:tcPr>
          <w:p w14:paraId="5FE8A790"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100</w:t>
            </w:r>
          </w:p>
        </w:tc>
        <w:tc>
          <w:tcPr>
            <w:tcW w:w="1172" w:type="dxa"/>
            <w:shd w:val="clear" w:color="auto" w:fill="auto"/>
          </w:tcPr>
          <w:p w14:paraId="7B71243D"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98.2, 100.0</w:t>
            </w:r>
          </w:p>
        </w:tc>
      </w:tr>
      <w:tr w:rsidR="0026770B" w:rsidRPr="00E914FB" w14:paraId="7745FB14" w14:textId="77777777" w:rsidTr="00A93FC6">
        <w:trPr>
          <w:gridAfter w:val="1"/>
          <w:wAfter w:w="7" w:type="dxa"/>
          <w:jc w:val="center"/>
        </w:trPr>
        <w:tc>
          <w:tcPr>
            <w:tcW w:w="3371" w:type="dxa"/>
            <w:shd w:val="clear" w:color="auto" w:fill="EEECE1" w:themeFill="background2"/>
          </w:tcPr>
          <w:p w14:paraId="09014F51" w14:textId="77777777" w:rsidR="0026770B" w:rsidRPr="00E914FB" w:rsidRDefault="0026770B" w:rsidP="00890582">
            <w:pPr>
              <w:spacing w:after="0" w:line="300" w:lineRule="auto"/>
              <w:rPr>
                <w:rFonts w:cstheme="minorHAnsi"/>
                <w:sz w:val="20"/>
                <w:szCs w:val="20"/>
              </w:rPr>
            </w:pPr>
          </w:p>
        </w:tc>
        <w:tc>
          <w:tcPr>
            <w:tcW w:w="959" w:type="dxa"/>
            <w:shd w:val="clear" w:color="auto" w:fill="EEECE1" w:themeFill="background2"/>
          </w:tcPr>
          <w:p w14:paraId="124C8F60" w14:textId="77777777" w:rsidR="0026770B" w:rsidRPr="00E914FB" w:rsidRDefault="0026770B" w:rsidP="00890582">
            <w:pPr>
              <w:spacing w:after="0" w:line="300" w:lineRule="auto"/>
              <w:rPr>
                <w:rFonts w:cstheme="minorHAnsi"/>
                <w:sz w:val="20"/>
                <w:szCs w:val="20"/>
              </w:rPr>
            </w:pPr>
          </w:p>
        </w:tc>
        <w:tc>
          <w:tcPr>
            <w:tcW w:w="666" w:type="dxa"/>
            <w:shd w:val="clear" w:color="auto" w:fill="EEECE1" w:themeFill="background2"/>
          </w:tcPr>
          <w:p w14:paraId="1E250B27" w14:textId="77777777" w:rsidR="0026770B" w:rsidRPr="00E914FB" w:rsidRDefault="0026770B" w:rsidP="00890582">
            <w:pPr>
              <w:spacing w:after="0" w:line="300" w:lineRule="auto"/>
              <w:rPr>
                <w:rFonts w:cstheme="minorHAnsi"/>
                <w:sz w:val="20"/>
                <w:szCs w:val="20"/>
              </w:rPr>
            </w:pPr>
          </w:p>
        </w:tc>
        <w:tc>
          <w:tcPr>
            <w:tcW w:w="1216" w:type="dxa"/>
            <w:shd w:val="clear" w:color="auto" w:fill="EEECE1" w:themeFill="background2"/>
          </w:tcPr>
          <w:p w14:paraId="0E299044" w14:textId="77777777" w:rsidR="0026770B" w:rsidRPr="00E914FB" w:rsidRDefault="0026770B" w:rsidP="00890582">
            <w:pPr>
              <w:spacing w:after="0" w:line="300" w:lineRule="auto"/>
              <w:rPr>
                <w:rFonts w:cstheme="minorHAnsi"/>
                <w:sz w:val="20"/>
                <w:szCs w:val="20"/>
              </w:rPr>
            </w:pPr>
          </w:p>
        </w:tc>
        <w:tc>
          <w:tcPr>
            <w:tcW w:w="972" w:type="dxa"/>
            <w:gridSpan w:val="2"/>
            <w:shd w:val="clear" w:color="auto" w:fill="EEECE1" w:themeFill="background2"/>
          </w:tcPr>
          <w:p w14:paraId="6B9043E9" w14:textId="77777777" w:rsidR="0026770B" w:rsidRPr="00E914FB" w:rsidRDefault="0026770B" w:rsidP="00890582">
            <w:pPr>
              <w:spacing w:after="0" w:line="300" w:lineRule="auto"/>
              <w:rPr>
                <w:rFonts w:cstheme="minorHAnsi"/>
                <w:sz w:val="20"/>
                <w:szCs w:val="20"/>
              </w:rPr>
            </w:pPr>
          </w:p>
        </w:tc>
        <w:tc>
          <w:tcPr>
            <w:tcW w:w="800" w:type="dxa"/>
            <w:shd w:val="clear" w:color="auto" w:fill="EEECE1" w:themeFill="background2"/>
          </w:tcPr>
          <w:p w14:paraId="188A3F3A" w14:textId="77777777" w:rsidR="0026770B" w:rsidRPr="00E914FB" w:rsidRDefault="0026770B" w:rsidP="00890582">
            <w:pPr>
              <w:spacing w:after="0" w:line="300" w:lineRule="auto"/>
              <w:rPr>
                <w:rFonts w:cstheme="minorHAnsi"/>
                <w:sz w:val="20"/>
                <w:szCs w:val="20"/>
              </w:rPr>
            </w:pPr>
          </w:p>
        </w:tc>
        <w:tc>
          <w:tcPr>
            <w:tcW w:w="1172" w:type="dxa"/>
            <w:shd w:val="clear" w:color="auto" w:fill="EEECE1" w:themeFill="background2"/>
          </w:tcPr>
          <w:p w14:paraId="0AA85809" w14:textId="77777777" w:rsidR="0026770B" w:rsidRPr="00E914FB" w:rsidRDefault="0026770B" w:rsidP="00890582">
            <w:pPr>
              <w:spacing w:after="0" w:line="300" w:lineRule="auto"/>
              <w:rPr>
                <w:rFonts w:cstheme="minorHAnsi"/>
                <w:sz w:val="20"/>
                <w:szCs w:val="20"/>
              </w:rPr>
            </w:pPr>
          </w:p>
        </w:tc>
      </w:tr>
      <w:tr w:rsidR="0026770B" w:rsidRPr="00E914FB" w14:paraId="00C3BCA8" w14:textId="77777777" w:rsidTr="00890582">
        <w:trPr>
          <w:gridAfter w:val="1"/>
          <w:wAfter w:w="7" w:type="dxa"/>
          <w:jc w:val="center"/>
        </w:trPr>
        <w:tc>
          <w:tcPr>
            <w:tcW w:w="3371" w:type="dxa"/>
            <w:shd w:val="clear" w:color="auto" w:fill="auto"/>
          </w:tcPr>
          <w:p w14:paraId="52BE15BE"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Outcome for subjects without SVR12</w:t>
            </w:r>
          </w:p>
        </w:tc>
        <w:tc>
          <w:tcPr>
            <w:tcW w:w="959" w:type="dxa"/>
            <w:shd w:val="clear" w:color="auto" w:fill="auto"/>
          </w:tcPr>
          <w:p w14:paraId="6154EE04"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1/210</w:t>
            </w:r>
          </w:p>
        </w:tc>
        <w:tc>
          <w:tcPr>
            <w:tcW w:w="666" w:type="dxa"/>
            <w:shd w:val="clear" w:color="auto" w:fill="auto"/>
          </w:tcPr>
          <w:p w14:paraId="123C010C"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0.5</w:t>
            </w:r>
          </w:p>
        </w:tc>
        <w:tc>
          <w:tcPr>
            <w:tcW w:w="1216" w:type="dxa"/>
            <w:shd w:val="clear" w:color="auto" w:fill="auto"/>
          </w:tcPr>
          <w:p w14:paraId="2300EAEC" w14:textId="77777777" w:rsidR="0026770B" w:rsidRPr="00E914FB" w:rsidRDefault="0026770B" w:rsidP="00890582">
            <w:pPr>
              <w:spacing w:after="0" w:line="300" w:lineRule="auto"/>
              <w:rPr>
                <w:rFonts w:cstheme="minorHAnsi"/>
                <w:sz w:val="20"/>
                <w:szCs w:val="20"/>
              </w:rPr>
            </w:pPr>
          </w:p>
        </w:tc>
        <w:tc>
          <w:tcPr>
            <w:tcW w:w="972" w:type="dxa"/>
            <w:gridSpan w:val="2"/>
            <w:shd w:val="clear" w:color="auto" w:fill="auto"/>
          </w:tcPr>
          <w:p w14:paraId="75413719"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2/209</w:t>
            </w:r>
          </w:p>
        </w:tc>
        <w:tc>
          <w:tcPr>
            <w:tcW w:w="800" w:type="dxa"/>
            <w:shd w:val="clear" w:color="auto" w:fill="auto"/>
          </w:tcPr>
          <w:p w14:paraId="61EBB257"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1.0</w:t>
            </w:r>
          </w:p>
        </w:tc>
        <w:tc>
          <w:tcPr>
            <w:tcW w:w="1172" w:type="dxa"/>
            <w:shd w:val="clear" w:color="auto" w:fill="auto"/>
          </w:tcPr>
          <w:p w14:paraId="2A25A1FA" w14:textId="77777777" w:rsidR="0026770B" w:rsidRPr="00E914FB" w:rsidRDefault="0026770B" w:rsidP="00890582">
            <w:pPr>
              <w:spacing w:after="0" w:line="300" w:lineRule="auto"/>
              <w:rPr>
                <w:rFonts w:cstheme="minorHAnsi"/>
                <w:sz w:val="20"/>
                <w:szCs w:val="20"/>
              </w:rPr>
            </w:pPr>
          </w:p>
        </w:tc>
      </w:tr>
      <w:tr w:rsidR="0026770B" w:rsidRPr="00E914FB" w14:paraId="0F3C0691" w14:textId="77777777" w:rsidTr="00890582">
        <w:trPr>
          <w:gridAfter w:val="1"/>
          <w:wAfter w:w="7" w:type="dxa"/>
          <w:jc w:val="center"/>
        </w:trPr>
        <w:tc>
          <w:tcPr>
            <w:tcW w:w="3371" w:type="dxa"/>
            <w:shd w:val="clear" w:color="auto" w:fill="auto"/>
          </w:tcPr>
          <w:p w14:paraId="70291B6C"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On-treatment VF</w:t>
            </w:r>
            <w:r w:rsidRPr="00E914FB">
              <w:rPr>
                <w:rFonts w:cstheme="minorHAnsi"/>
                <w:sz w:val="20"/>
                <w:szCs w:val="20"/>
                <w:vertAlign w:val="superscript"/>
              </w:rPr>
              <w:t>a</w:t>
            </w:r>
          </w:p>
        </w:tc>
        <w:tc>
          <w:tcPr>
            <w:tcW w:w="959" w:type="dxa"/>
            <w:shd w:val="clear" w:color="auto" w:fill="auto"/>
          </w:tcPr>
          <w:p w14:paraId="740DE662"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1/210</w:t>
            </w:r>
          </w:p>
        </w:tc>
        <w:tc>
          <w:tcPr>
            <w:tcW w:w="666" w:type="dxa"/>
            <w:shd w:val="clear" w:color="auto" w:fill="auto"/>
          </w:tcPr>
          <w:p w14:paraId="544C3569"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0.5</w:t>
            </w:r>
          </w:p>
        </w:tc>
        <w:tc>
          <w:tcPr>
            <w:tcW w:w="1216" w:type="dxa"/>
            <w:shd w:val="clear" w:color="auto" w:fill="auto"/>
          </w:tcPr>
          <w:p w14:paraId="0AA9E812" w14:textId="77777777" w:rsidR="0026770B" w:rsidRPr="00E914FB" w:rsidRDefault="0026770B" w:rsidP="00890582">
            <w:pPr>
              <w:spacing w:after="0" w:line="300" w:lineRule="auto"/>
              <w:rPr>
                <w:rFonts w:cstheme="minorHAnsi"/>
                <w:sz w:val="20"/>
                <w:szCs w:val="20"/>
              </w:rPr>
            </w:pPr>
          </w:p>
        </w:tc>
        <w:tc>
          <w:tcPr>
            <w:tcW w:w="972" w:type="dxa"/>
            <w:gridSpan w:val="2"/>
            <w:shd w:val="clear" w:color="auto" w:fill="auto"/>
          </w:tcPr>
          <w:p w14:paraId="3338B5BC"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0/209</w:t>
            </w:r>
          </w:p>
        </w:tc>
        <w:tc>
          <w:tcPr>
            <w:tcW w:w="800" w:type="dxa"/>
            <w:shd w:val="clear" w:color="auto" w:fill="auto"/>
          </w:tcPr>
          <w:p w14:paraId="21A0B3CE"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w:t>
            </w:r>
          </w:p>
        </w:tc>
        <w:tc>
          <w:tcPr>
            <w:tcW w:w="1172" w:type="dxa"/>
            <w:shd w:val="clear" w:color="auto" w:fill="auto"/>
          </w:tcPr>
          <w:p w14:paraId="2D1EBCC1" w14:textId="77777777" w:rsidR="0026770B" w:rsidRPr="00E914FB" w:rsidRDefault="0026770B" w:rsidP="00890582">
            <w:pPr>
              <w:spacing w:after="0" w:line="300" w:lineRule="auto"/>
              <w:rPr>
                <w:rFonts w:cstheme="minorHAnsi"/>
                <w:sz w:val="20"/>
                <w:szCs w:val="20"/>
              </w:rPr>
            </w:pPr>
          </w:p>
        </w:tc>
      </w:tr>
      <w:tr w:rsidR="0026770B" w:rsidRPr="00E914FB" w14:paraId="04A37D9D" w14:textId="77777777" w:rsidTr="00890582">
        <w:trPr>
          <w:gridAfter w:val="1"/>
          <w:wAfter w:w="7" w:type="dxa"/>
          <w:jc w:val="center"/>
        </w:trPr>
        <w:tc>
          <w:tcPr>
            <w:tcW w:w="3371" w:type="dxa"/>
            <w:shd w:val="clear" w:color="auto" w:fill="auto"/>
          </w:tcPr>
          <w:p w14:paraId="0CD4A2F9"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Relapse</w:t>
            </w:r>
            <w:r w:rsidRPr="00E914FB">
              <w:rPr>
                <w:rFonts w:cstheme="minorHAnsi"/>
                <w:sz w:val="20"/>
                <w:szCs w:val="20"/>
                <w:vertAlign w:val="superscript"/>
              </w:rPr>
              <w:t>b</w:t>
            </w:r>
          </w:p>
        </w:tc>
        <w:tc>
          <w:tcPr>
            <w:tcW w:w="959" w:type="dxa"/>
            <w:shd w:val="clear" w:color="auto" w:fill="auto"/>
          </w:tcPr>
          <w:p w14:paraId="547CEA12"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0/210</w:t>
            </w:r>
          </w:p>
        </w:tc>
        <w:tc>
          <w:tcPr>
            <w:tcW w:w="666" w:type="dxa"/>
            <w:shd w:val="clear" w:color="auto" w:fill="auto"/>
          </w:tcPr>
          <w:p w14:paraId="572C968B"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w:t>
            </w:r>
          </w:p>
        </w:tc>
        <w:tc>
          <w:tcPr>
            <w:tcW w:w="1216" w:type="dxa"/>
            <w:shd w:val="clear" w:color="auto" w:fill="auto"/>
          </w:tcPr>
          <w:p w14:paraId="649842D0" w14:textId="77777777" w:rsidR="0026770B" w:rsidRPr="00E914FB" w:rsidRDefault="0026770B" w:rsidP="00890582">
            <w:pPr>
              <w:spacing w:after="0" w:line="300" w:lineRule="auto"/>
              <w:rPr>
                <w:rFonts w:cstheme="minorHAnsi"/>
                <w:sz w:val="20"/>
                <w:szCs w:val="20"/>
              </w:rPr>
            </w:pPr>
          </w:p>
        </w:tc>
        <w:tc>
          <w:tcPr>
            <w:tcW w:w="972" w:type="dxa"/>
            <w:gridSpan w:val="2"/>
            <w:shd w:val="clear" w:color="auto" w:fill="auto"/>
          </w:tcPr>
          <w:p w14:paraId="40480A1E"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0/209</w:t>
            </w:r>
          </w:p>
        </w:tc>
        <w:tc>
          <w:tcPr>
            <w:tcW w:w="800" w:type="dxa"/>
            <w:shd w:val="clear" w:color="auto" w:fill="auto"/>
          </w:tcPr>
          <w:p w14:paraId="26B8F199"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w:t>
            </w:r>
          </w:p>
        </w:tc>
        <w:tc>
          <w:tcPr>
            <w:tcW w:w="1172" w:type="dxa"/>
            <w:shd w:val="clear" w:color="auto" w:fill="auto"/>
          </w:tcPr>
          <w:p w14:paraId="2019461D" w14:textId="77777777" w:rsidR="0026770B" w:rsidRPr="00E914FB" w:rsidRDefault="0026770B" w:rsidP="00890582">
            <w:pPr>
              <w:spacing w:after="0" w:line="300" w:lineRule="auto"/>
              <w:rPr>
                <w:rFonts w:cstheme="minorHAnsi"/>
                <w:sz w:val="20"/>
                <w:szCs w:val="20"/>
              </w:rPr>
            </w:pPr>
          </w:p>
        </w:tc>
      </w:tr>
      <w:tr w:rsidR="0026770B" w:rsidRPr="00E914FB" w14:paraId="12D8B893" w14:textId="77777777" w:rsidTr="00890582">
        <w:trPr>
          <w:gridAfter w:val="1"/>
          <w:wAfter w:w="7" w:type="dxa"/>
          <w:jc w:val="center"/>
        </w:trPr>
        <w:tc>
          <w:tcPr>
            <w:tcW w:w="3371" w:type="dxa"/>
            <w:shd w:val="clear" w:color="auto" w:fill="auto"/>
          </w:tcPr>
          <w:p w14:paraId="0F16908F"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Other</w:t>
            </w:r>
            <w:r w:rsidRPr="00E914FB">
              <w:rPr>
                <w:rFonts w:cstheme="minorHAnsi"/>
                <w:sz w:val="20"/>
                <w:szCs w:val="20"/>
                <w:vertAlign w:val="superscript"/>
              </w:rPr>
              <w:t>c</w:t>
            </w:r>
          </w:p>
        </w:tc>
        <w:tc>
          <w:tcPr>
            <w:tcW w:w="959" w:type="dxa"/>
            <w:shd w:val="clear" w:color="auto" w:fill="auto"/>
          </w:tcPr>
          <w:p w14:paraId="6FB46AFB"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0/210</w:t>
            </w:r>
          </w:p>
        </w:tc>
        <w:tc>
          <w:tcPr>
            <w:tcW w:w="666" w:type="dxa"/>
            <w:shd w:val="clear" w:color="auto" w:fill="auto"/>
          </w:tcPr>
          <w:p w14:paraId="7778FF63"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w:t>
            </w:r>
          </w:p>
        </w:tc>
        <w:tc>
          <w:tcPr>
            <w:tcW w:w="1216" w:type="dxa"/>
            <w:shd w:val="clear" w:color="auto" w:fill="auto"/>
          </w:tcPr>
          <w:p w14:paraId="77EA81DB" w14:textId="77777777" w:rsidR="0026770B" w:rsidRPr="00E914FB" w:rsidRDefault="0026770B" w:rsidP="00890582">
            <w:pPr>
              <w:spacing w:after="0" w:line="300" w:lineRule="auto"/>
              <w:rPr>
                <w:rFonts w:cstheme="minorHAnsi"/>
                <w:sz w:val="20"/>
                <w:szCs w:val="20"/>
              </w:rPr>
            </w:pPr>
          </w:p>
        </w:tc>
        <w:tc>
          <w:tcPr>
            <w:tcW w:w="972" w:type="dxa"/>
            <w:gridSpan w:val="2"/>
            <w:shd w:val="clear" w:color="auto" w:fill="auto"/>
          </w:tcPr>
          <w:p w14:paraId="7A84A95D"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0/209</w:t>
            </w:r>
          </w:p>
        </w:tc>
        <w:tc>
          <w:tcPr>
            <w:tcW w:w="800" w:type="dxa"/>
            <w:shd w:val="clear" w:color="auto" w:fill="auto"/>
          </w:tcPr>
          <w:p w14:paraId="4E6249E6"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w:t>
            </w:r>
          </w:p>
        </w:tc>
        <w:tc>
          <w:tcPr>
            <w:tcW w:w="1172" w:type="dxa"/>
            <w:shd w:val="clear" w:color="auto" w:fill="auto"/>
          </w:tcPr>
          <w:p w14:paraId="2BB9D2CC" w14:textId="77777777" w:rsidR="0026770B" w:rsidRPr="00E914FB" w:rsidRDefault="0026770B" w:rsidP="00890582">
            <w:pPr>
              <w:spacing w:after="0" w:line="300" w:lineRule="auto"/>
              <w:rPr>
                <w:rFonts w:cstheme="minorHAnsi"/>
                <w:sz w:val="20"/>
                <w:szCs w:val="20"/>
              </w:rPr>
            </w:pPr>
          </w:p>
        </w:tc>
      </w:tr>
      <w:tr w:rsidR="0026770B" w:rsidRPr="00E914FB" w14:paraId="15E78263" w14:textId="77777777" w:rsidTr="00890582">
        <w:trPr>
          <w:jc w:val="center"/>
        </w:trPr>
        <w:tc>
          <w:tcPr>
            <w:tcW w:w="9163" w:type="dxa"/>
            <w:gridSpan w:val="9"/>
            <w:shd w:val="clear" w:color="auto" w:fill="auto"/>
          </w:tcPr>
          <w:p w14:paraId="1F2D986D" w14:textId="74B5C0D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lastRenderedPageBreak/>
              <w:t>CI = confidence interval, VF = virologic failure</w:t>
            </w:r>
          </w:p>
          <w:p w14:paraId="333D49D7" w14:textId="7777777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t>a.</w:t>
            </w:r>
            <w:r w:rsidRPr="00E914FB">
              <w:rPr>
                <w:rFonts w:asciiTheme="minorHAnsi" w:hAnsiTheme="minorHAnsi" w:cstheme="minorHAnsi"/>
                <w:sz w:val="20"/>
                <w:szCs w:val="20"/>
                <w:lang w:val="en-AU"/>
              </w:rPr>
              <w:tab/>
              <w:t>On-treatment VF was defined as confirmed HCV ≥ 25 IU/mL after HCV RNA &lt; 25 IU/mL during treatment, confirmed 1 log</w:t>
            </w:r>
            <w:r w:rsidRPr="00E914FB">
              <w:rPr>
                <w:rFonts w:asciiTheme="minorHAnsi" w:hAnsiTheme="minorHAnsi" w:cstheme="minorHAnsi"/>
                <w:sz w:val="20"/>
                <w:szCs w:val="20"/>
                <w:vertAlign w:val="subscript"/>
                <w:lang w:val="en-AU"/>
              </w:rPr>
              <w:t>10</w:t>
            </w:r>
            <w:r w:rsidRPr="00E914FB">
              <w:rPr>
                <w:rFonts w:asciiTheme="minorHAnsi" w:hAnsiTheme="minorHAnsi" w:cstheme="minorHAnsi"/>
                <w:sz w:val="20"/>
                <w:szCs w:val="20"/>
                <w:lang w:val="en-AU"/>
              </w:rPr>
              <w:t xml:space="preserve"> IU/mL increase in HCV RNA from nadir, or HCV RNA persistently ≥ 25 IU/mL with at least 6 weeks of treatment.</w:t>
            </w:r>
          </w:p>
          <w:p w14:paraId="51469871" w14:textId="7777777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t>b.</w:t>
            </w:r>
            <w:r w:rsidRPr="00E914FB">
              <w:rPr>
                <w:rFonts w:asciiTheme="minorHAnsi" w:hAnsiTheme="minorHAnsi" w:cstheme="minorHAnsi"/>
                <w:sz w:val="20"/>
                <w:szCs w:val="20"/>
                <w:lang w:val="en-AU"/>
              </w:rPr>
              <w:tab/>
              <w:t>Relapse was defined as confirmed HCV RNA ≥ 25 IU/mL post</w:t>
            </w:r>
            <w:r w:rsidRPr="00E914FB">
              <w:rPr>
                <w:rFonts w:asciiTheme="minorHAnsi" w:hAnsiTheme="minorHAnsi" w:cstheme="minorHAnsi"/>
                <w:sz w:val="20"/>
                <w:szCs w:val="20"/>
                <w:lang w:val="en-AU"/>
              </w:rPr>
              <w:noBreakHyphen/>
              <w:t>treatment before or during SVR12 window among subjects with HCV RNA &lt; 25 IU/mL at last observation during at least 11 weeks of treatment.</w:t>
            </w:r>
          </w:p>
          <w:p w14:paraId="39C000B2" w14:textId="4713A187" w:rsidR="0026770B" w:rsidRPr="00E914FB" w:rsidRDefault="0026770B" w:rsidP="00A93FC6">
            <w:pPr>
              <w:pStyle w:val="TableFootnoteSymbol"/>
              <w:keepNext/>
              <w:rPr>
                <w:rFonts w:cstheme="minorHAnsi"/>
                <w:sz w:val="20"/>
                <w:szCs w:val="20"/>
                <w:lang w:val="en-AU"/>
              </w:rPr>
            </w:pPr>
            <w:r w:rsidRPr="00E914FB">
              <w:rPr>
                <w:rFonts w:asciiTheme="minorHAnsi" w:hAnsiTheme="minorHAnsi" w:cstheme="minorHAnsi"/>
                <w:sz w:val="20"/>
                <w:szCs w:val="20"/>
                <w:lang w:val="en-AU"/>
              </w:rPr>
              <w:t>c.    Other includes subjects not achieving SVR12 but not experiencing on-treatment VF or relapse (e.g. missing HCV RNA values in the SVR12 window).</w:t>
            </w:r>
          </w:p>
        </w:tc>
      </w:tr>
    </w:tbl>
    <w:p w14:paraId="6D81BBA5" w14:textId="77777777" w:rsidR="0026770B" w:rsidRPr="00E914FB" w:rsidRDefault="0026770B" w:rsidP="0026770B">
      <w:pPr>
        <w:pStyle w:val="TableFootnoteSymbol"/>
        <w:keepNext/>
        <w:rPr>
          <w:rFonts w:ascii="Arial" w:hAnsi="Arial" w:cs="Arial"/>
          <w:sz w:val="20"/>
          <w:szCs w:val="20"/>
          <w:lang w:val="en-AU"/>
        </w:rPr>
      </w:pPr>
    </w:p>
    <w:p w14:paraId="2508A52D" w14:textId="175334D8" w:rsidR="0026770B" w:rsidRPr="00E914FB" w:rsidRDefault="0026770B" w:rsidP="00CC32CC">
      <w:pPr>
        <w:spacing w:line="240" w:lineRule="auto"/>
        <w:jc w:val="both"/>
        <w:rPr>
          <w:rFonts w:eastAsia="MS Mincho" w:cstheme="minorHAnsi"/>
          <w:lang w:eastAsia="ja-JP"/>
        </w:rPr>
      </w:pPr>
      <w:r w:rsidRPr="00E914FB">
        <w:rPr>
          <w:rFonts w:cstheme="minorHAnsi"/>
        </w:rPr>
        <w:t xml:space="preserve">In the primary efficacy analysis, </w:t>
      </w:r>
      <w:r w:rsidRPr="00E914FB">
        <w:rPr>
          <w:rFonts w:eastAsia="MS Mincho" w:cstheme="minorHAnsi"/>
          <w:lang w:eastAsia="ja-JP"/>
        </w:rPr>
        <w:t xml:space="preserve">VIEKIRA PAK and </w:t>
      </w:r>
      <w:r w:rsidR="00222E29" w:rsidRPr="00E914FB">
        <w:rPr>
          <w:rFonts w:eastAsia="MS Mincho" w:cstheme="minorHAnsi"/>
          <w:lang w:eastAsia="ja-JP"/>
        </w:rPr>
        <w:t>VIEKIRA PAK</w:t>
      </w:r>
      <w:r w:rsidR="005F234C" w:rsidRPr="00E914FB">
        <w:rPr>
          <w:rFonts w:eastAsia="MS Mincho" w:cstheme="minorHAnsi"/>
          <w:lang w:eastAsia="ja-JP"/>
        </w:rPr>
        <w:t xml:space="preserve"> with ribavirin</w:t>
      </w:r>
      <w:r w:rsidRPr="00E914FB">
        <w:rPr>
          <w:rFonts w:eastAsia="MS Mincho" w:cstheme="minorHAnsi"/>
          <w:lang w:eastAsia="ja-JP"/>
        </w:rPr>
        <w:t xml:space="preserve"> demonstrated superiority to the historical control </w:t>
      </w:r>
      <w:r w:rsidR="001960FC">
        <w:rPr>
          <w:rFonts w:eastAsia="MS Mincho"/>
          <w:lang w:eastAsia="ja-JP"/>
        </w:rPr>
        <w:t>SVR rate of 80% {95% CI of 75%, 84%}</w:t>
      </w:r>
      <w:r w:rsidR="001960FC" w:rsidRPr="00E914FB">
        <w:rPr>
          <w:rFonts w:eastAsia="MS Mincho" w:cstheme="minorHAnsi"/>
          <w:lang w:eastAsia="ja-JP"/>
        </w:rPr>
        <w:t xml:space="preserve"> </w:t>
      </w:r>
      <w:r w:rsidRPr="00E914FB">
        <w:rPr>
          <w:rFonts w:eastAsia="MS Mincho" w:cstheme="minorHAnsi"/>
          <w:lang w:eastAsia="ja-JP"/>
        </w:rPr>
        <w:t xml:space="preserve">(based upon telaprevir plus pegIFN/RBV) for subjects with genotype 1b HCV infection who were treatment-naïve without cirrhosis. </w:t>
      </w:r>
      <w:r w:rsidRPr="00E914FB">
        <w:rPr>
          <w:rFonts w:eastAsia="MS Mincho"/>
          <w:lang w:eastAsia="ja-JP"/>
        </w:rPr>
        <w:t>Refer to the telaprevir prescribing information.</w:t>
      </w:r>
    </w:p>
    <w:p w14:paraId="57B568F7" w14:textId="1E3BD818" w:rsidR="0026770B" w:rsidRPr="00E914FB" w:rsidRDefault="00960892" w:rsidP="00CC32CC">
      <w:pPr>
        <w:pStyle w:val="Paragraph"/>
        <w:spacing w:line="240" w:lineRule="auto"/>
        <w:jc w:val="both"/>
        <w:rPr>
          <w:rFonts w:asciiTheme="minorHAnsi" w:hAnsiTheme="minorHAnsi" w:cstheme="minorHAnsi"/>
          <w:sz w:val="22"/>
          <w:szCs w:val="22"/>
          <w:lang w:val="en-AU"/>
        </w:rPr>
      </w:pPr>
      <w:r w:rsidRPr="00960892">
        <w:rPr>
          <w:rFonts w:asciiTheme="minorHAnsi" w:hAnsiTheme="minorHAnsi" w:cstheme="minorHAnsi"/>
          <w:sz w:val="22"/>
          <w:szCs w:val="22"/>
          <w:lang w:val="en-AU"/>
        </w:rPr>
        <w:t xml:space="preserve">Based on subgroup analyses, the following </w:t>
      </w:r>
      <w:r w:rsidR="0026770B" w:rsidRPr="00E914FB">
        <w:rPr>
          <w:rFonts w:asciiTheme="minorHAnsi" w:hAnsiTheme="minorHAnsi" w:cstheme="minorHAnsi"/>
          <w:sz w:val="22"/>
          <w:szCs w:val="22"/>
          <w:lang w:val="en-AU"/>
        </w:rPr>
        <w:t>baseline factors were not associated with lower SVR12 rates (lower 95% confidence bound &gt; 73%):</w:t>
      </w:r>
    </w:p>
    <w:p w14:paraId="6588BFB8" w14:textId="77777777" w:rsidR="0026770B" w:rsidRPr="00E914FB" w:rsidRDefault="0026770B" w:rsidP="00CC32CC">
      <w:pPr>
        <w:pStyle w:val="CommentText"/>
        <w:numPr>
          <w:ilvl w:val="0"/>
          <w:numId w:val="1"/>
        </w:numPr>
        <w:jc w:val="both"/>
        <w:rPr>
          <w:rFonts w:asciiTheme="minorHAnsi" w:hAnsiTheme="minorHAnsi" w:cstheme="minorHAnsi"/>
          <w:sz w:val="22"/>
          <w:szCs w:val="22"/>
          <w:lang w:val="en-AU"/>
        </w:rPr>
      </w:pPr>
      <w:r w:rsidRPr="00E914FB">
        <w:rPr>
          <w:rFonts w:asciiTheme="minorHAnsi" w:hAnsiTheme="minorHAnsi" w:cstheme="minorHAnsi"/>
          <w:i/>
          <w:iCs/>
          <w:sz w:val="22"/>
          <w:szCs w:val="22"/>
          <w:lang w:val="en-AU"/>
        </w:rPr>
        <w:t>Viral factors:</w:t>
      </w:r>
      <w:r w:rsidRPr="00E914FB">
        <w:rPr>
          <w:rFonts w:asciiTheme="minorHAnsi" w:hAnsiTheme="minorHAnsi" w:cstheme="minorHAnsi"/>
          <w:sz w:val="22"/>
          <w:szCs w:val="22"/>
          <w:lang w:val="en-AU"/>
        </w:rPr>
        <w:t xml:space="preserve"> baseline viral load</w:t>
      </w:r>
    </w:p>
    <w:p w14:paraId="4A2FD693" w14:textId="77777777" w:rsidR="0026770B" w:rsidRPr="00E914FB" w:rsidRDefault="0026770B" w:rsidP="00CC32CC">
      <w:pPr>
        <w:pStyle w:val="ListParagraph"/>
        <w:numPr>
          <w:ilvl w:val="0"/>
          <w:numId w:val="1"/>
        </w:numPr>
        <w:spacing w:line="240" w:lineRule="auto"/>
        <w:jc w:val="both"/>
        <w:rPr>
          <w:rFonts w:cstheme="minorHAnsi"/>
        </w:rPr>
      </w:pPr>
      <w:r w:rsidRPr="00E914FB">
        <w:rPr>
          <w:rFonts w:cstheme="minorHAnsi"/>
          <w:i/>
          <w:iCs/>
        </w:rPr>
        <w:t>Host factors:</w:t>
      </w:r>
      <w:r w:rsidRPr="00E914FB">
        <w:rPr>
          <w:rFonts w:cstheme="minorHAnsi"/>
        </w:rPr>
        <w:t xml:space="preserve"> Gender, race, ethnicity, age, birth year (1945 – 1965), IL28B allele, baseline body mass index, history of depression or bipolar disorder, fibrosis stage</w:t>
      </w:r>
    </w:p>
    <w:p w14:paraId="2847B25A" w14:textId="77777777" w:rsidR="0026770B" w:rsidRPr="00E914FB" w:rsidRDefault="0026770B" w:rsidP="00CC32CC">
      <w:pPr>
        <w:pStyle w:val="ListParagraph"/>
        <w:spacing w:line="240" w:lineRule="auto"/>
        <w:rPr>
          <w:rFonts w:cs="Arial"/>
          <w:i/>
          <w:iCs/>
        </w:rPr>
      </w:pPr>
    </w:p>
    <w:p w14:paraId="6191DE37" w14:textId="77777777" w:rsidR="0026770B" w:rsidRPr="00E914FB" w:rsidRDefault="0026770B" w:rsidP="00CC32CC">
      <w:pPr>
        <w:pStyle w:val="ListParagraph"/>
        <w:spacing w:line="240" w:lineRule="auto"/>
        <w:ind w:left="0"/>
        <w:rPr>
          <w:rFonts w:cs="Arial"/>
        </w:rPr>
      </w:pPr>
      <w:r w:rsidRPr="00E914FB">
        <w:rPr>
          <w:rFonts w:cs="Arial"/>
        </w:rPr>
        <w:t>In addition, subjects who underwent ribavirin dose modifications did not have lower SVR12 rates.</w:t>
      </w:r>
    </w:p>
    <w:p w14:paraId="3406D4AC" w14:textId="77777777" w:rsidR="0026770B" w:rsidRPr="00E914FB" w:rsidRDefault="0026770B" w:rsidP="00CC32CC">
      <w:pPr>
        <w:spacing w:line="240" w:lineRule="auto"/>
        <w:rPr>
          <w:rFonts w:cs="Arial"/>
          <w:u w:val="single"/>
        </w:rPr>
      </w:pPr>
      <w:r w:rsidRPr="00E914FB">
        <w:rPr>
          <w:rFonts w:cs="Arial"/>
          <w:u w:val="single"/>
        </w:rPr>
        <w:t>PEARL-IV (M14-002) – Genotype 1a, Treatment-Naïve</w:t>
      </w:r>
    </w:p>
    <w:p w14:paraId="0519AB85" w14:textId="5E6491DE" w:rsidR="0026770B" w:rsidRPr="00E914FB" w:rsidRDefault="0026770B" w:rsidP="00CC32CC">
      <w:pPr>
        <w:spacing w:line="240" w:lineRule="auto"/>
        <w:jc w:val="both"/>
        <w:rPr>
          <w:rFonts w:cs="Arial"/>
        </w:rPr>
      </w:pPr>
      <w:r w:rsidRPr="00E914FB">
        <w:rPr>
          <w:rFonts w:cs="Arial"/>
        </w:rPr>
        <w:t xml:space="preserve">PEARL-IV was a randomised, global multicentre, double-blind, controlled trial conducted in 305 treatment-naïve adults with genotype 1a chronic hepatitis C virus infection without cirrhosis. Subjects were randomised in a 1:2 ratio to receive </w:t>
      </w:r>
      <w:r w:rsidRPr="00E914FB">
        <w:rPr>
          <w:rFonts w:eastAsia="TimesNewRoman" w:cs="Arial"/>
          <w:lang w:eastAsia="ja-JP"/>
        </w:rPr>
        <w:t xml:space="preserve">VIEKIRA PAK </w:t>
      </w:r>
      <w:r w:rsidRPr="00E914FB">
        <w:rPr>
          <w:rFonts w:cs="Arial"/>
        </w:rPr>
        <w:t xml:space="preserve">or </w:t>
      </w:r>
      <w:r w:rsidR="00222E29" w:rsidRPr="00E914FB">
        <w:rPr>
          <w:rFonts w:eastAsia="TimesNewRoman" w:cs="Arial"/>
          <w:lang w:eastAsia="ja-JP"/>
        </w:rPr>
        <w:t>VIEKIRA PAK</w:t>
      </w:r>
      <w:r w:rsidR="005F234C" w:rsidRPr="00E914FB">
        <w:rPr>
          <w:rFonts w:eastAsia="TimesNewRoman" w:cs="Arial"/>
          <w:lang w:eastAsia="ja-JP"/>
        </w:rPr>
        <w:t xml:space="preserve"> with ribavirin</w:t>
      </w:r>
      <w:r w:rsidRPr="00E914FB">
        <w:rPr>
          <w:rFonts w:cs="Arial"/>
        </w:rPr>
        <w:t xml:space="preserve"> for 12 weeks of treatment.</w:t>
      </w:r>
    </w:p>
    <w:p w14:paraId="44D5C969" w14:textId="77777777" w:rsidR="0026770B" w:rsidRPr="00E914FB" w:rsidRDefault="0026770B" w:rsidP="00CC32CC">
      <w:pPr>
        <w:spacing w:line="240" w:lineRule="auto"/>
        <w:jc w:val="both"/>
        <w:rPr>
          <w:rFonts w:cs="Arial"/>
        </w:rPr>
      </w:pPr>
      <w:r w:rsidRPr="00E914FB">
        <w:rPr>
          <w:rFonts w:cs="Arial"/>
        </w:rPr>
        <w:t>Treated subjects (N=305) had a median age of 54 years (range: 19 to 70); 72.5% were born between 1945 – 1965, 65.2% were male; 11.8% were Black; 9.2% were Hispanic or Latino; 19.7% had a body mass index of at least 30 kg/m</w:t>
      </w:r>
      <w:r w:rsidRPr="00E914FB">
        <w:rPr>
          <w:rFonts w:cs="Arial"/>
          <w:vertAlign w:val="superscript"/>
        </w:rPr>
        <w:t>2</w:t>
      </w:r>
      <w:r w:rsidRPr="00E914FB">
        <w:rPr>
          <w:rFonts w:cs="Arial"/>
        </w:rPr>
        <w:t xml:space="preserve">; 20.7% had a history of depression or bipolar disorder; 69.2% had IL28B non-CC genotype; 86.6% had baseline HCV RNA levels of at least 800,000 IU/mL; 18.4% had portal fibrosis (F2) and 17.7% had bridging fibrosis (F3). </w:t>
      </w:r>
    </w:p>
    <w:p w14:paraId="589C8E8B" w14:textId="78DDD50D" w:rsidR="0026770B" w:rsidRPr="00E914FB" w:rsidRDefault="0026770B" w:rsidP="00CC32CC">
      <w:pPr>
        <w:spacing w:line="240" w:lineRule="auto"/>
        <w:jc w:val="both"/>
        <w:rPr>
          <w:rFonts w:cs="Arial"/>
          <w:i/>
        </w:rPr>
      </w:pPr>
      <w:r w:rsidRPr="00E914FB">
        <w:rPr>
          <w:rFonts w:cs="Arial"/>
        </w:rPr>
        <w:t xml:space="preserve">Table 7 shows the SVR12 rates for genotype 1a-infected, treatment-naïve subjects who received VIEKIRA PAK or </w:t>
      </w:r>
      <w:r w:rsidR="00222E29" w:rsidRPr="00E914FB">
        <w:rPr>
          <w:rFonts w:eastAsia="TimesNewRoman" w:cs="Arial"/>
          <w:lang w:eastAsia="ja-JP"/>
        </w:rPr>
        <w:t>VIEKIRA PAK</w:t>
      </w:r>
      <w:r w:rsidR="00775DC4">
        <w:rPr>
          <w:rFonts w:eastAsia="TimesNewRoman" w:cs="Arial"/>
          <w:lang w:eastAsia="ja-JP"/>
        </w:rPr>
        <w:t>-RBV</w:t>
      </w:r>
      <w:r w:rsidRPr="00E914FB">
        <w:rPr>
          <w:rFonts w:cs="Arial"/>
        </w:rPr>
        <w:t xml:space="preserve"> for 12 weeks in PEARL IV. VIEKIRA PAK was not non-inferior to </w:t>
      </w:r>
      <w:r w:rsidR="00222E29" w:rsidRPr="00E914FB">
        <w:rPr>
          <w:rFonts w:cs="Arial"/>
        </w:rPr>
        <w:t>VIEKIRA PAK</w:t>
      </w:r>
      <w:r w:rsidR="005F234C" w:rsidRPr="00E914FB">
        <w:rPr>
          <w:rFonts w:cs="Arial"/>
        </w:rPr>
        <w:t xml:space="preserve"> with ribavirin</w:t>
      </w:r>
      <w:r w:rsidRPr="00E914FB">
        <w:rPr>
          <w:rFonts w:cs="Arial"/>
        </w:rPr>
        <w:t>.</w:t>
      </w:r>
    </w:p>
    <w:p w14:paraId="09155CB1" w14:textId="77777777" w:rsidR="0026770B" w:rsidRPr="00E914FB" w:rsidRDefault="0026770B" w:rsidP="00CC32CC">
      <w:pPr>
        <w:pStyle w:val="GTCBodyText"/>
        <w:spacing w:line="240" w:lineRule="auto"/>
        <w:jc w:val="left"/>
        <w:rPr>
          <w:rFonts w:asciiTheme="minorHAnsi" w:hAnsiTheme="minorHAnsi" w:cstheme="minorHAnsi"/>
          <w:b/>
          <w:sz w:val="22"/>
          <w:szCs w:val="22"/>
          <w:lang w:val="en-AU"/>
        </w:rPr>
      </w:pPr>
      <w:r w:rsidRPr="00E914FB">
        <w:rPr>
          <w:rFonts w:asciiTheme="minorHAnsi" w:hAnsiTheme="minorHAnsi" w:cstheme="minorHAnsi"/>
          <w:b/>
          <w:sz w:val="22"/>
          <w:szCs w:val="22"/>
          <w:lang w:val="en-AU"/>
        </w:rPr>
        <w:t>Table 7:  SVR12 for Genotype 1a-Infected Treatment-Naïve Subjects in PEARL IV</w:t>
      </w:r>
    </w:p>
    <w:tbl>
      <w:tblPr>
        <w:tblW w:w="8425" w:type="dxa"/>
        <w:jc w:val="center"/>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898"/>
        <w:gridCol w:w="630"/>
        <w:gridCol w:w="1252"/>
        <w:gridCol w:w="939"/>
        <w:gridCol w:w="630"/>
        <w:gridCol w:w="1074"/>
      </w:tblGrid>
      <w:tr w:rsidR="0026770B" w:rsidRPr="00E914FB" w14:paraId="64ABDA78" w14:textId="77777777" w:rsidTr="00890582">
        <w:trPr>
          <w:trHeight w:val="70"/>
          <w:jc w:val="center"/>
        </w:trPr>
        <w:tc>
          <w:tcPr>
            <w:tcW w:w="3002" w:type="dxa"/>
            <w:vMerge w:val="restart"/>
            <w:shd w:val="clear" w:color="auto" w:fill="auto"/>
          </w:tcPr>
          <w:p w14:paraId="49211DD5" w14:textId="77777777" w:rsidR="0026770B" w:rsidRPr="00E914FB" w:rsidRDefault="0026770B" w:rsidP="00890582">
            <w:pPr>
              <w:pStyle w:val="TableLeft"/>
              <w:spacing w:before="0" w:after="0" w:line="300" w:lineRule="auto"/>
              <w:rPr>
                <w:rFonts w:asciiTheme="minorHAnsi" w:hAnsiTheme="minorHAnsi" w:cstheme="minorHAnsi"/>
                <w:lang w:val="en-AU"/>
              </w:rPr>
            </w:pPr>
          </w:p>
        </w:tc>
        <w:tc>
          <w:tcPr>
            <w:tcW w:w="2780" w:type="dxa"/>
            <w:gridSpan w:val="3"/>
            <w:shd w:val="clear" w:color="auto" w:fill="auto"/>
          </w:tcPr>
          <w:p w14:paraId="16825138" w14:textId="714346BC" w:rsidR="0026770B" w:rsidRPr="00E914FB" w:rsidRDefault="00F61105" w:rsidP="00F61105">
            <w:pPr>
              <w:pStyle w:val="TableLeft"/>
              <w:spacing w:before="0" w:after="0" w:line="300" w:lineRule="auto"/>
              <w:jc w:val="center"/>
              <w:rPr>
                <w:rFonts w:asciiTheme="minorHAnsi" w:hAnsiTheme="minorHAnsi" w:cstheme="minorHAnsi"/>
                <w:b/>
                <w:lang w:val="en-AU"/>
              </w:rPr>
            </w:pPr>
            <w:r>
              <w:rPr>
                <w:rFonts w:asciiTheme="minorHAnsi" w:hAnsiTheme="minorHAnsi" w:cstheme="minorHAnsi"/>
                <w:b/>
                <w:lang w:val="en-AU"/>
              </w:rPr>
              <w:t>VIEKIRA PAK RBV for 12 weeks</w:t>
            </w:r>
          </w:p>
        </w:tc>
        <w:tc>
          <w:tcPr>
            <w:tcW w:w="2643" w:type="dxa"/>
            <w:gridSpan w:val="3"/>
            <w:shd w:val="clear" w:color="auto" w:fill="auto"/>
          </w:tcPr>
          <w:p w14:paraId="207286D8" w14:textId="3CFD939B" w:rsidR="0026770B" w:rsidRPr="00E914FB" w:rsidRDefault="00F61105" w:rsidP="00F61105">
            <w:pPr>
              <w:pStyle w:val="TableLeft"/>
              <w:spacing w:before="0" w:after="0" w:line="300" w:lineRule="auto"/>
              <w:jc w:val="center"/>
              <w:rPr>
                <w:rFonts w:asciiTheme="minorHAnsi" w:hAnsiTheme="minorHAnsi" w:cstheme="minorHAnsi"/>
                <w:b/>
                <w:lang w:val="en-AU"/>
              </w:rPr>
            </w:pPr>
            <w:r>
              <w:rPr>
                <w:rFonts w:asciiTheme="minorHAnsi" w:hAnsiTheme="minorHAnsi" w:cstheme="minorHAnsi"/>
                <w:b/>
                <w:lang w:val="en-AU"/>
              </w:rPr>
              <w:t>VIEKIRA PAK for 12 weeks</w:t>
            </w:r>
          </w:p>
        </w:tc>
      </w:tr>
      <w:tr w:rsidR="0026770B" w:rsidRPr="00E914FB" w14:paraId="619A700D" w14:textId="77777777" w:rsidTr="00890582">
        <w:trPr>
          <w:trHeight w:val="397"/>
          <w:jc w:val="center"/>
        </w:trPr>
        <w:tc>
          <w:tcPr>
            <w:tcW w:w="3002" w:type="dxa"/>
            <w:vMerge/>
            <w:shd w:val="clear" w:color="auto" w:fill="auto"/>
          </w:tcPr>
          <w:p w14:paraId="2FE90ACE" w14:textId="77777777" w:rsidR="0026770B" w:rsidRPr="00E914FB" w:rsidRDefault="0026770B" w:rsidP="00890582">
            <w:pPr>
              <w:pStyle w:val="TableLeft"/>
              <w:spacing w:before="0" w:after="0" w:line="300" w:lineRule="auto"/>
              <w:rPr>
                <w:rFonts w:asciiTheme="minorHAnsi" w:hAnsiTheme="minorHAnsi" w:cstheme="minorHAnsi"/>
                <w:lang w:val="en-AU"/>
              </w:rPr>
            </w:pPr>
          </w:p>
        </w:tc>
        <w:tc>
          <w:tcPr>
            <w:tcW w:w="898" w:type="dxa"/>
            <w:shd w:val="clear" w:color="auto" w:fill="auto"/>
          </w:tcPr>
          <w:p w14:paraId="1A50592E" w14:textId="77777777" w:rsidR="0026770B" w:rsidRPr="00E914FB" w:rsidRDefault="0026770B" w:rsidP="00890582">
            <w:pPr>
              <w:pStyle w:val="TableLeft"/>
              <w:spacing w:before="0" w:after="0" w:line="300" w:lineRule="auto"/>
              <w:ind w:left="-72" w:right="-72"/>
              <w:jc w:val="center"/>
              <w:rPr>
                <w:rFonts w:asciiTheme="minorHAnsi" w:hAnsiTheme="minorHAnsi" w:cstheme="minorHAnsi"/>
                <w:b/>
                <w:lang w:val="en-AU"/>
              </w:rPr>
            </w:pPr>
            <w:r w:rsidRPr="00E914FB">
              <w:rPr>
                <w:rFonts w:asciiTheme="minorHAnsi" w:hAnsiTheme="minorHAnsi" w:cstheme="minorHAnsi"/>
                <w:b/>
                <w:lang w:val="en-AU"/>
              </w:rPr>
              <w:t>n/N</w:t>
            </w:r>
          </w:p>
        </w:tc>
        <w:tc>
          <w:tcPr>
            <w:tcW w:w="630" w:type="dxa"/>
            <w:shd w:val="clear" w:color="auto" w:fill="auto"/>
          </w:tcPr>
          <w:p w14:paraId="1779F31C" w14:textId="77777777" w:rsidR="0026770B" w:rsidRPr="00E914FB" w:rsidRDefault="0026770B" w:rsidP="00890582">
            <w:pPr>
              <w:pStyle w:val="TableLeft"/>
              <w:spacing w:before="0" w:after="0" w:line="300" w:lineRule="auto"/>
              <w:ind w:left="-72" w:right="-72"/>
              <w:jc w:val="center"/>
              <w:rPr>
                <w:rFonts w:asciiTheme="minorHAnsi" w:hAnsiTheme="minorHAnsi" w:cstheme="minorHAnsi"/>
                <w:b/>
                <w:lang w:val="en-AU"/>
              </w:rPr>
            </w:pPr>
            <w:r w:rsidRPr="00E914FB">
              <w:rPr>
                <w:rFonts w:asciiTheme="minorHAnsi" w:hAnsiTheme="minorHAnsi" w:cstheme="minorHAnsi"/>
                <w:b/>
                <w:lang w:val="en-AU"/>
              </w:rPr>
              <w:t>%</w:t>
            </w:r>
          </w:p>
        </w:tc>
        <w:tc>
          <w:tcPr>
            <w:tcW w:w="1252" w:type="dxa"/>
            <w:shd w:val="clear" w:color="auto" w:fill="auto"/>
          </w:tcPr>
          <w:p w14:paraId="3C7031E5" w14:textId="77777777" w:rsidR="0026770B" w:rsidRPr="00E914FB" w:rsidRDefault="0026770B" w:rsidP="00890582">
            <w:pPr>
              <w:pStyle w:val="TableLeft"/>
              <w:spacing w:before="0" w:after="0" w:line="300" w:lineRule="auto"/>
              <w:ind w:left="-72" w:right="-72"/>
              <w:jc w:val="center"/>
              <w:rPr>
                <w:rFonts w:asciiTheme="minorHAnsi" w:hAnsiTheme="minorHAnsi" w:cstheme="minorHAnsi"/>
                <w:b/>
                <w:lang w:val="en-AU"/>
              </w:rPr>
            </w:pPr>
            <w:r w:rsidRPr="00E914FB">
              <w:rPr>
                <w:rFonts w:asciiTheme="minorHAnsi" w:hAnsiTheme="minorHAnsi" w:cstheme="minorHAnsi"/>
                <w:b/>
                <w:lang w:val="en-AU"/>
              </w:rPr>
              <w:t>95% CI</w:t>
            </w:r>
          </w:p>
        </w:tc>
        <w:tc>
          <w:tcPr>
            <w:tcW w:w="939" w:type="dxa"/>
            <w:shd w:val="clear" w:color="auto" w:fill="auto"/>
          </w:tcPr>
          <w:p w14:paraId="3736E4ED" w14:textId="77777777" w:rsidR="0026770B" w:rsidRPr="00E914FB" w:rsidRDefault="0026770B" w:rsidP="00890582">
            <w:pPr>
              <w:pStyle w:val="TableLeft"/>
              <w:spacing w:before="0" w:after="0" w:line="300" w:lineRule="auto"/>
              <w:ind w:left="-72" w:right="-72"/>
              <w:jc w:val="center"/>
              <w:rPr>
                <w:rFonts w:asciiTheme="minorHAnsi" w:hAnsiTheme="minorHAnsi" w:cstheme="minorHAnsi"/>
                <w:b/>
                <w:lang w:val="en-AU"/>
              </w:rPr>
            </w:pPr>
            <w:r w:rsidRPr="00E914FB">
              <w:rPr>
                <w:rFonts w:asciiTheme="minorHAnsi" w:hAnsiTheme="minorHAnsi" w:cstheme="minorHAnsi"/>
                <w:b/>
                <w:lang w:val="en-AU"/>
              </w:rPr>
              <w:t>n/N</w:t>
            </w:r>
          </w:p>
        </w:tc>
        <w:tc>
          <w:tcPr>
            <w:tcW w:w="630" w:type="dxa"/>
            <w:shd w:val="clear" w:color="auto" w:fill="auto"/>
          </w:tcPr>
          <w:p w14:paraId="4FF91D8E" w14:textId="77777777" w:rsidR="0026770B" w:rsidRPr="00E914FB" w:rsidRDefault="0026770B" w:rsidP="00890582">
            <w:pPr>
              <w:pStyle w:val="TableLeft"/>
              <w:spacing w:before="0" w:after="0" w:line="300" w:lineRule="auto"/>
              <w:ind w:left="-72" w:right="-72"/>
              <w:jc w:val="center"/>
              <w:rPr>
                <w:rFonts w:asciiTheme="minorHAnsi" w:hAnsiTheme="minorHAnsi" w:cstheme="minorHAnsi"/>
                <w:b/>
                <w:lang w:val="en-AU"/>
              </w:rPr>
            </w:pPr>
            <w:r w:rsidRPr="00E914FB">
              <w:rPr>
                <w:rFonts w:asciiTheme="minorHAnsi" w:hAnsiTheme="minorHAnsi" w:cstheme="minorHAnsi"/>
                <w:b/>
                <w:lang w:val="en-AU"/>
              </w:rPr>
              <w:t>%</w:t>
            </w:r>
          </w:p>
        </w:tc>
        <w:tc>
          <w:tcPr>
            <w:tcW w:w="1074" w:type="dxa"/>
            <w:shd w:val="clear" w:color="auto" w:fill="auto"/>
          </w:tcPr>
          <w:p w14:paraId="22EFB90A" w14:textId="77777777" w:rsidR="0026770B" w:rsidRPr="00E914FB" w:rsidRDefault="0026770B" w:rsidP="00890582">
            <w:pPr>
              <w:pStyle w:val="TableLeft"/>
              <w:spacing w:before="0" w:after="0" w:line="300" w:lineRule="auto"/>
              <w:ind w:left="-72" w:right="-72"/>
              <w:jc w:val="center"/>
              <w:rPr>
                <w:rFonts w:asciiTheme="minorHAnsi" w:hAnsiTheme="minorHAnsi" w:cstheme="minorHAnsi"/>
                <w:b/>
                <w:lang w:val="en-AU"/>
              </w:rPr>
            </w:pPr>
            <w:r w:rsidRPr="00E914FB">
              <w:rPr>
                <w:rFonts w:asciiTheme="minorHAnsi" w:hAnsiTheme="minorHAnsi" w:cstheme="minorHAnsi"/>
                <w:b/>
                <w:lang w:val="en-AU"/>
              </w:rPr>
              <w:t>95% CI</w:t>
            </w:r>
          </w:p>
        </w:tc>
      </w:tr>
      <w:tr w:rsidR="0026770B" w:rsidRPr="00E914FB" w14:paraId="0C974783" w14:textId="77777777" w:rsidTr="00890582">
        <w:trPr>
          <w:jc w:val="center"/>
        </w:trPr>
        <w:tc>
          <w:tcPr>
            <w:tcW w:w="3002" w:type="dxa"/>
            <w:shd w:val="clear" w:color="auto" w:fill="auto"/>
          </w:tcPr>
          <w:p w14:paraId="7CC97E22"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Overall SVR12</w:t>
            </w:r>
          </w:p>
        </w:tc>
        <w:tc>
          <w:tcPr>
            <w:tcW w:w="898" w:type="dxa"/>
            <w:shd w:val="clear" w:color="auto" w:fill="auto"/>
          </w:tcPr>
          <w:p w14:paraId="58F8CF44"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97/100</w:t>
            </w:r>
          </w:p>
        </w:tc>
        <w:tc>
          <w:tcPr>
            <w:tcW w:w="630" w:type="dxa"/>
            <w:shd w:val="clear" w:color="auto" w:fill="auto"/>
          </w:tcPr>
          <w:p w14:paraId="5C3459B7"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97.0</w:t>
            </w:r>
          </w:p>
        </w:tc>
        <w:tc>
          <w:tcPr>
            <w:tcW w:w="1252" w:type="dxa"/>
            <w:shd w:val="clear" w:color="auto" w:fill="auto"/>
          </w:tcPr>
          <w:p w14:paraId="5F629E8A"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93.7, 100.0</w:t>
            </w:r>
          </w:p>
        </w:tc>
        <w:tc>
          <w:tcPr>
            <w:tcW w:w="939" w:type="dxa"/>
            <w:shd w:val="clear" w:color="auto" w:fill="auto"/>
          </w:tcPr>
          <w:p w14:paraId="656904E6"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185/205</w:t>
            </w:r>
          </w:p>
        </w:tc>
        <w:tc>
          <w:tcPr>
            <w:tcW w:w="630" w:type="dxa"/>
            <w:shd w:val="clear" w:color="auto" w:fill="auto"/>
          </w:tcPr>
          <w:p w14:paraId="08EDD38F"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90.2</w:t>
            </w:r>
          </w:p>
        </w:tc>
        <w:tc>
          <w:tcPr>
            <w:tcW w:w="1074" w:type="dxa"/>
            <w:shd w:val="clear" w:color="auto" w:fill="auto"/>
          </w:tcPr>
          <w:p w14:paraId="26D9CCEC"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86.2, 94.3</w:t>
            </w:r>
          </w:p>
        </w:tc>
      </w:tr>
      <w:tr w:rsidR="0026770B" w:rsidRPr="00E914FB" w14:paraId="2FA2C494" w14:textId="77777777" w:rsidTr="00890582">
        <w:trPr>
          <w:jc w:val="center"/>
        </w:trPr>
        <w:tc>
          <w:tcPr>
            <w:tcW w:w="3002" w:type="dxa"/>
            <w:shd w:val="clear" w:color="auto" w:fill="auto"/>
          </w:tcPr>
          <w:p w14:paraId="229F34E6"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Outcome for subjects without SVR12</w:t>
            </w:r>
          </w:p>
        </w:tc>
        <w:tc>
          <w:tcPr>
            <w:tcW w:w="898" w:type="dxa"/>
            <w:shd w:val="clear" w:color="auto" w:fill="auto"/>
          </w:tcPr>
          <w:p w14:paraId="50BD19E5" w14:textId="77777777" w:rsidR="0026770B" w:rsidRPr="00E914FB" w:rsidRDefault="0026770B" w:rsidP="00890582">
            <w:pPr>
              <w:spacing w:after="0" w:line="300" w:lineRule="auto"/>
              <w:rPr>
                <w:rFonts w:cstheme="minorHAnsi"/>
                <w:sz w:val="20"/>
                <w:szCs w:val="20"/>
              </w:rPr>
            </w:pPr>
          </w:p>
        </w:tc>
        <w:tc>
          <w:tcPr>
            <w:tcW w:w="630" w:type="dxa"/>
            <w:shd w:val="clear" w:color="auto" w:fill="auto"/>
          </w:tcPr>
          <w:p w14:paraId="019744D4" w14:textId="77777777" w:rsidR="0026770B" w:rsidRPr="00E914FB" w:rsidRDefault="0026770B" w:rsidP="00890582">
            <w:pPr>
              <w:spacing w:after="0" w:line="300" w:lineRule="auto"/>
              <w:rPr>
                <w:rFonts w:cstheme="minorHAnsi"/>
                <w:sz w:val="20"/>
                <w:szCs w:val="20"/>
              </w:rPr>
            </w:pPr>
          </w:p>
        </w:tc>
        <w:tc>
          <w:tcPr>
            <w:tcW w:w="1252" w:type="dxa"/>
            <w:shd w:val="clear" w:color="auto" w:fill="auto"/>
          </w:tcPr>
          <w:p w14:paraId="23383C4E" w14:textId="77777777" w:rsidR="0026770B" w:rsidRPr="00E914FB" w:rsidRDefault="0026770B" w:rsidP="00890582">
            <w:pPr>
              <w:spacing w:after="0" w:line="300" w:lineRule="auto"/>
              <w:rPr>
                <w:rFonts w:cstheme="minorHAnsi"/>
                <w:sz w:val="20"/>
                <w:szCs w:val="20"/>
              </w:rPr>
            </w:pPr>
          </w:p>
        </w:tc>
        <w:tc>
          <w:tcPr>
            <w:tcW w:w="939" w:type="dxa"/>
            <w:shd w:val="clear" w:color="auto" w:fill="auto"/>
          </w:tcPr>
          <w:p w14:paraId="3F6E3429" w14:textId="77777777" w:rsidR="0026770B" w:rsidRPr="00E914FB" w:rsidRDefault="0026770B" w:rsidP="00890582">
            <w:pPr>
              <w:spacing w:after="0" w:line="300" w:lineRule="auto"/>
              <w:rPr>
                <w:rFonts w:cstheme="minorHAnsi"/>
                <w:sz w:val="20"/>
                <w:szCs w:val="20"/>
              </w:rPr>
            </w:pPr>
          </w:p>
        </w:tc>
        <w:tc>
          <w:tcPr>
            <w:tcW w:w="630" w:type="dxa"/>
            <w:shd w:val="clear" w:color="auto" w:fill="auto"/>
          </w:tcPr>
          <w:p w14:paraId="01D3D43D" w14:textId="77777777" w:rsidR="0026770B" w:rsidRPr="00E914FB" w:rsidRDefault="0026770B" w:rsidP="00890582">
            <w:pPr>
              <w:spacing w:after="0" w:line="300" w:lineRule="auto"/>
              <w:rPr>
                <w:rFonts w:cstheme="minorHAnsi"/>
                <w:sz w:val="20"/>
                <w:szCs w:val="20"/>
              </w:rPr>
            </w:pPr>
          </w:p>
        </w:tc>
        <w:tc>
          <w:tcPr>
            <w:tcW w:w="1074" w:type="dxa"/>
            <w:shd w:val="clear" w:color="auto" w:fill="auto"/>
          </w:tcPr>
          <w:p w14:paraId="3681E108" w14:textId="77777777" w:rsidR="0026770B" w:rsidRPr="00E914FB" w:rsidRDefault="0026770B" w:rsidP="00890582">
            <w:pPr>
              <w:spacing w:after="0" w:line="300" w:lineRule="auto"/>
              <w:rPr>
                <w:rFonts w:cstheme="minorHAnsi"/>
                <w:sz w:val="20"/>
                <w:szCs w:val="20"/>
              </w:rPr>
            </w:pPr>
          </w:p>
        </w:tc>
      </w:tr>
      <w:tr w:rsidR="0026770B" w:rsidRPr="00E914FB" w14:paraId="74CE3CE3" w14:textId="77777777" w:rsidTr="00890582">
        <w:trPr>
          <w:jc w:val="center"/>
        </w:trPr>
        <w:tc>
          <w:tcPr>
            <w:tcW w:w="3002" w:type="dxa"/>
            <w:shd w:val="clear" w:color="auto" w:fill="auto"/>
          </w:tcPr>
          <w:p w14:paraId="125C35FD"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On-treatment VF</w:t>
            </w:r>
            <w:r w:rsidRPr="00E914FB">
              <w:rPr>
                <w:rFonts w:cstheme="minorHAnsi"/>
                <w:sz w:val="20"/>
                <w:szCs w:val="20"/>
                <w:vertAlign w:val="superscript"/>
              </w:rPr>
              <w:t>a</w:t>
            </w:r>
          </w:p>
        </w:tc>
        <w:tc>
          <w:tcPr>
            <w:tcW w:w="898" w:type="dxa"/>
            <w:shd w:val="clear" w:color="auto" w:fill="auto"/>
          </w:tcPr>
          <w:p w14:paraId="768FE4AD"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1/100</w:t>
            </w:r>
          </w:p>
        </w:tc>
        <w:tc>
          <w:tcPr>
            <w:tcW w:w="630" w:type="dxa"/>
            <w:shd w:val="clear" w:color="auto" w:fill="auto"/>
          </w:tcPr>
          <w:p w14:paraId="0944C2C7"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1.0</w:t>
            </w:r>
          </w:p>
        </w:tc>
        <w:tc>
          <w:tcPr>
            <w:tcW w:w="1252" w:type="dxa"/>
            <w:shd w:val="clear" w:color="auto" w:fill="auto"/>
          </w:tcPr>
          <w:p w14:paraId="2DF0FE6C" w14:textId="77777777" w:rsidR="0026770B" w:rsidRPr="00E914FB" w:rsidRDefault="0026770B" w:rsidP="00890582">
            <w:pPr>
              <w:spacing w:after="0" w:line="300" w:lineRule="auto"/>
              <w:rPr>
                <w:rFonts w:cstheme="minorHAnsi"/>
                <w:sz w:val="20"/>
                <w:szCs w:val="20"/>
              </w:rPr>
            </w:pPr>
          </w:p>
        </w:tc>
        <w:tc>
          <w:tcPr>
            <w:tcW w:w="939" w:type="dxa"/>
            <w:shd w:val="clear" w:color="auto" w:fill="auto"/>
          </w:tcPr>
          <w:p w14:paraId="115D3C92"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6/205</w:t>
            </w:r>
          </w:p>
        </w:tc>
        <w:tc>
          <w:tcPr>
            <w:tcW w:w="630" w:type="dxa"/>
            <w:shd w:val="clear" w:color="auto" w:fill="auto"/>
          </w:tcPr>
          <w:p w14:paraId="40E95D85"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2.9</w:t>
            </w:r>
          </w:p>
        </w:tc>
        <w:tc>
          <w:tcPr>
            <w:tcW w:w="1074" w:type="dxa"/>
            <w:shd w:val="clear" w:color="auto" w:fill="auto"/>
          </w:tcPr>
          <w:p w14:paraId="53B57ECC" w14:textId="77777777" w:rsidR="0026770B" w:rsidRPr="00E914FB" w:rsidRDefault="0026770B" w:rsidP="00890582">
            <w:pPr>
              <w:spacing w:after="0" w:line="300" w:lineRule="auto"/>
              <w:rPr>
                <w:rFonts w:cstheme="minorHAnsi"/>
                <w:sz w:val="20"/>
                <w:szCs w:val="20"/>
              </w:rPr>
            </w:pPr>
          </w:p>
        </w:tc>
      </w:tr>
      <w:tr w:rsidR="0026770B" w:rsidRPr="00E914FB" w14:paraId="0D5344BC" w14:textId="77777777" w:rsidTr="00890582">
        <w:trPr>
          <w:jc w:val="center"/>
        </w:trPr>
        <w:tc>
          <w:tcPr>
            <w:tcW w:w="3002" w:type="dxa"/>
            <w:shd w:val="clear" w:color="auto" w:fill="auto"/>
          </w:tcPr>
          <w:p w14:paraId="2702B612"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Relapse</w:t>
            </w:r>
            <w:r w:rsidRPr="00E914FB">
              <w:rPr>
                <w:rFonts w:cstheme="minorHAnsi"/>
                <w:sz w:val="20"/>
                <w:szCs w:val="20"/>
                <w:vertAlign w:val="superscript"/>
              </w:rPr>
              <w:t>b</w:t>
            </w:r>
          </w:p>
        </w:tc>
        <w:tc>
          <w:tcPr>
            <w:tcW w:w="898" w:type="dxa"/>
            <w:shd w:val="clear" w:color="auto" w:fill="auto"/>
          </w:tcPr>
          <w:p w14:paraId="2E0F8FB4"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1/98</w:t>
            </w:r>
          </w:p>
        </w:tc>
        <w:tc>
          <w:tcPr>
            <w:tcW w:w="630" w:type="dxa"/>
            <w:shd w:val="clear" w:color="auto" w:fill="auto"/>
          </w:tcPr>
          <w:p w14:paraId="2608CAF4"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1.0</w:t>
            </w:r>
          </w:p>
        </w:tc>
        <w:tc>
          <w:tcPr>
            <w:tcW w:w="1252" w:type="dxa"/>
            <w:shd w:val="clear" w:color="auto" w:fill="auto"/>
          </w:tcPr>
          <w:p w14:paraId="3A5EAEF5" w14:textId="77777777" w:rsidR="0026770B" w:rsidRPr="00E914FB" w:rsidRDefault="0026770B" w:rsidP="00890582">
            <w:pPr>
              <w:spacing w:after="0" w:line="300" w:lineRule="auto"/>
              <w:rPr>
                <w:rFonts w:cstheme="minorHAnsi"/>
                <w:sz w:val="20"/>
                <w:szCs w:val="20"/>
              </w:rPr>
            </w:pPr>
          </w:p>
        </w:tc>
        <w:tc>
          <w:tcPr>
            <w:tcW w:w="939" w:type="dxa"/>
            <w:shd w:val="clear" w:color="auto" w:fill="auto"/>
          </w:tcPr>
          <w:p w14:paraId="5D6ACF4F"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10/194</w:t>
            </w:r>
          </w:p>
        </w:tc>
        <w:tc>
          <w:tcPr>
            <w:tcW w:w="630" w:type="dxa"/>
            <w:shd w:val="clear" w:color="auto" w:fill="auto"/>
          </w:tcPr>
          <w:p w14:paraId="659FEF86"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5.2</w:t>
            </w:r>
          </w:p>
        </w:tc>
        <w:tc>
          <w:tcPr>
            <w:tcW w:w="1074" w:type="dxa"/>
            <w:shd w:val="clear" w:color="auto" w:fill="auto"/>
          </w:tcPr>
          <w:p w14:paraId="43B4E21D" w14:textId="77777777" w:rsidR="0026770B" w:rsidRPr="00E914FB" w:rsidRDefault="0026770B" w:rsidP="00890582">
            <w:pPr>
              <w:spacing w:after="0" w:line="300" w:lineRule="auto"/>
              <w:rPr>
                <w:rFonts w:cstheme="minorHAnsi"/>
                <w:sz w:val="20"/>
                <w:szCs w:val="20"/>
              </w:rPr>
            </w:pPr>
          </w:p>
        </w:tc>
      </w:tr>
      <w:tr w:rsidR="0026770B" w:rsidRPr="00E914FB" w14:paraId="103B3D6D" w14:textId="77777777" w:rsidTr="00890582">
        <w:trPr>
          <w:jc w:val="center"/>
        </w:trPr>
        <w:tc>
          <w:tcPr>
            <w:tcW w:w="3002" w:type="dxa"/>
            <w:shd w:val="clear" w:color="auto" w:fill="auto"/>
          </w:tcPr>
          <w:p w14:paraId="4E809DBD"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Other</w:t>
            </w:r>
            <w:r w:rsidRPr="00E914FB">
              <w:rPr>
                <w:rFonts w:cstheme="minorHAnsi"/>
                <w:sz w:val="20"/>
                <w:szCs w:val="20"/>
                <w:vertAlign w:val="superscript"/>
              </w:rPr>
              <w:t>c</w:t>
            </w:r>
          </w:p>
        </w:tc>
        <w:tc>
          <w:tcPr>
            <w:tcW w:w="898" w:type="dxa"/>
            <w:shd w:val="clear" w:color="auto" w:fill="auto"/>
          </w:tcPr>
          <w:p w14:paraId="37303367"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1/100</w:t>
            </w:r>
          </w:p>
        </w:tc>
        <w:tc>
          <w:tcPr>
            <w:tcW w:w="630" w:type="dxa"/>
            <w:shd w:val="clear" w:color="auto" w:fill="auto"/>
          </w:tcPr>
          <w:p w14:paraId="4F30C4CB"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1.0</w:t>
            </w:r>
          </w:p>
        </w:tc>
        <w:tc>
          <w:tcPr>
            <w:tcW w:w="1252" w:type="dxa"/>
            <w:shd w:val="clear" w:color="auto" w:fill="auto"/>
          </w:tcPr>
          <w:p w14:paraId="1CFA7970" w14:textId="77777777" w:rsidR="0026770B" w:rsidRPr="00E914FB" w:rsidRDefault="0026770B" w:rsidP="00890582">
            <w:pPr>
              <w:spacing w:after="0" w:line="300" w:lineRule="auto"/>
              <w:rPr>
                <w:rFonts w:cstheme="minorHAnsi"/>
                <w:sz w:val="20"/>
                <w:szCs w:val="20"/>
              </w:rPr>
            </w:pPr>
          </w:p>
        </w:tc>
        <w:tc>
          <w:tcPr>
            <w:tcW w:w="939" w:type="dxa"/>
            <w:shd w:val="clear" w:color="auto" w:fill="auto"/>
          </w:tcPr>
          <w:p w14:paraId="5011816C"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1/205</w:t>
            </w:r>
          </w:p>
        </w:tc>
        <w:tc>
          <w:tcPr>
            <w:tcW w:w="630" w:type="dxa"/>
            <w:shd w:val="clear" w:color="auto" w:fill="auto"/>
          </w:tcPr>
          <w:p w14:paraId="4A9EEDDE"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0.5</w:t>
            </w:r>
          </w:p>
        </w:tc>
        <w:tc>
          <w:tcPr>
            <w:tcW w:w="1074" w:type="dxa"/>
            <w:shd w:val="clear" w:color="auto" w:fill="auto"/>
          </w:tcPr>
          <w:p w14:paraId="4E182B20" w14:textId="77777777" w:rsidR="0026770B" w:rsidRPr="00E914FB" w:rsidRDefault="0026770B" w:rsidP="00890582">
            <w:pPr>
              <w:spacing w:after="0" w:line="300" w:lineRule="auto"/>
              <w:rPr>
                <w:rFonts w:cstheme="minorHAnsi"/>
                <w:sz w:val="20"/>
                <w:szCs w:val="20"/>
              </w:rPr>
            </w:pPr>
          </w:p>
        </w:tc>
      </w:tr>
      <w:tr w:rsidR="0026770B" w:rsidRPr="00E914FB" w14:paraId="14D729F8" w14:textId="77777777" w:rsidTr="00890582">
        <w:trPr>
          <w:jc w:val="center"/>
        </w:trPr>
        <w:tc>
          <w:tcPr>
            <w:tcW w:w="8425" w:type="dxa"/>
            <w:gridSpan w:val="7"/>
            <w:shd w:val="clear" w:color="auto" w:fill="auto"/>
          </w:tcPr>
          <w:p w14:paraId="4BB0270F" w14:textId="77777777" w:rsidR="0026770B" w:rsidRPr="00E914FB" w:rsidRDefault="0026770B" w:rsidP="00890582">
            <w:pPr>
              <w:rPr>
                <w:rFonts w:cstheme="minorHAnsi"/>
                <w:sz w:val="20"/>
                <w:szCs w:val="20"/>
              </w:rPr>
            </w:pPr>
            <w:r w:rsidRPr="00E914FB">
              <w:rPr>
                <w:rFonts w:cstheme="minorHAnsi"/>
                <w:sz w:val="20"/>
                <w:szCs w:val="20"/>
              </w:rPr>
              <w:lastRenderedPageBreak/>
              <w:t>CI = confidence interval, VF = virologic failure</w:t>
            </w:r>
          </w:p>
          <w:p w14:paraId="3FD74796" w14:textId="7777777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t>a.    On-treatment VF was defined as confirmed HCV ≥ 25 IU/mL after HCV RNA &lt; 25 IU/mL during treatment, confirmed 1 log10 IU/mL increase in HCV RNA from nadir, or HCV RNA persistently ≥ 25 IU/mL with at least 6 weeks of treatment.</w:t>
            </w:r>
          </w:p>
          <w:p w14:paraId="40E216DD" w14:textId="77777777" w:rsidR="0026770B" w:rsidRPr="00E914FB" w:rsidRDefault="0026770B" w:rsidP="00890582">
            <w:pPr>
              <w:pStyle w:val="TableFootnoteSymbol"/>
              <w:keepNext/>
              <w:rPr>
                <w:rFonts w:asciiTheme="minorHAnsi" w:hAnsiTheme="minorHAnsi" w:cstheme="minorHAnsi"/>
                <w:sz w:val="20"/>
                <w:szCs w:val="20"/>
                <w:lang w:val="en-AU"/>
              </w:rPr>
            </w:pPr>
            <w:r w:rsidRPr="00E914FB">
              <w:rPr>
                <w:rFonts w:asciiTheme="minorHAnsi" w:hAnsiTheme="minorHAnsi" w:cstheme="minorHAnsi"/>
                <w:sz w:val="20"/>
                <w:szCs w:val="20"/>
                <w:lang w:val="en-AU"/>
              </w:rPr>
              <w:t>b.    Relapse was defined as confirmed HCV RNA ≥ 25 IU/mL post</w:t>
            </w:r>
            <w:r w:rsidRPr="00E914FB">
              <w:rPr>
                <w:rFonts w:asciiTheme="minorHAnsi" w:hAnsiTheme="minorHAnsi" w:cstheme="minorHAnsi"/>
                <w:sz w:val="20"/>
                <w:szCs w:val="20"/>
                <w:lang w:val="en-AU"/>
              </w:rPr>
              <w:noBreakHyphen/>
              <w:t>treatment before or during SVR12 window among subjects with HCV RNA &lt;25 IU/mL at last observation during at least 11 weeks of treatment.</w:t>
            </w:r>
          </w:p>
          <w:p w14:paraId="3C94002A" w14:textId="77777777" w:rsidR="0026770B" w:rsidRPr="00E914FB" w:rsidRDefault="0026770B" w:rsidP="00890582">
            <w:pPr>
              <w:pStyle w:val="ListParagraph"/>
              <w:ind w:left="426" w:hanging="426"/>
              <w:rPr>
                <w:rFonts w:cstheme="minorHAnsi"/>
                <w:sz w:val="20"/>
                <w:szCs w:val="20"/>
              </w:rPr>
            </w:pPr>
            <w:r w:rsidRPr="00E914FB">
              <w:rPr>
                <w:rFonts w:cstheme="minorHAnsi"/>
                <w:sz w:val="20"/>
                <w:szCs w:val="20"/>
              </w:rPr>
              <w:t xml:space="preserve">c.    </w:t>
            </w:r>
            <w:r w:rsidRPr="00E914FB">
              <w:rPr>
                <w:rFonts w:eastAsia="MS Mincho" w:cstheme="minorHAnsi"/>
                <w:sz w:val="20"/>
                <w:szCs w:val="20"/>
                <w:lang w:eastAsia="ja-JP"/>
              </w:rPr>
              <w:t>Other includes subjects not achieving SVR12 but not experiencing on-treatment VF or relapse (e.g. missing HCV RNA values in the SVR12 window).</w:t>
            </w:r>
          </w:p>
        </w:tc>
      </w:tr>
    </w:tbl>
    <w:p w14:paraId="1D71D95A" w14:textId="77777777" w:rsidR="0026770B" w:rsidRPr="00E914FB" w:rsidRDefault="0026770B" w:rsidP="0026770B">
      <w:pPr>
        <w:pStyle w:val="ListParagraph"/>
        <w:ind w:left="0"/>
        <w:rPr>
          <w:rFonts w:ascii="Arial" w:hAnsi="Arial" w:cs="Arial"/>
        </w:rPr>
      </w:pPr>
    </w:p>
    <w:p w14:paraId="33AC0566" w14:textId="63FA1953" w:rsidR="0026770B" w:rsidRPr="00E914FB" w:rsidRDefault="0026770B" w:rsidP="00CC32CC">
      <w:pPr>
        <w:pStyle w:val="ListParagraph"/>
        <w:spacing w:line="240" w:lineRule="auto"/>
        <w:ind w:left="0"/>
        <w:jc w:val="both"/>
        <w:rPr>
          <w:rFonts w:cs="Arial"/>
        </w:rPr>
      </w:pPr>
      <w:r w:rsidRPr="00E914FB">
        <w:rPr>
          <w:rFonts w:cs="Arial"/>
        </w:rPr>
        <w:t xml:space="preserve">In the primary efficacy analysis, VIEKIRA PAK and </w:t>
      </w:r>
      <w:r w:rsidR="00222E29" w:rsidRPr="00E914FB">
        <w:rPr>
          <w:rFonts w:cs="Arial"/>
        </w:rPr>
        <w:t>VIEKIRA PAK</w:t>
      </w:r>
      <w:r w:rsidR="004A5402" w:rsidRPr="00E914FB">
        <w:rPr>
          <w:rFonts w:cs="Arial"/>
        </w:rPr>
        <w:t xml:space="preserve"> with ribavirin</w:t>
      </w:r>
      <w:r w:rsidR="005F234C" w:rsidRPr="00E914FB">
        <w:rPr>
          <w:rFonts w:cs="Arial"/>
        </w:rPr>
        <w:t xml:space="preserve"> </w:t>
      </w:r>
      <w:r w:rsidRPr="00E914FB">
        <w:rPr>
          <w:rFonts w:cs="Arial"/>
        </w:rPr>
        <w:t xml:space="preserve">demonstrated superiority to the historical control </w:t>
      </w:r>
      <w:r w:rsidR="00136D06">
        <w:rPr>
          <w:rFonts w:eastAsia="MS Mincho"/>
          <w:lang w:eastAsia="ja-JP"/>
        </w:rPr>
        <w:t>SVR rate of 72% {95% CI of 68%, 75%}</w:t>
      </w:r>
      <w:r w:rsidR="00136D06" w:rsidRPr="00E914FB">
        <w:rPr>
          <w:rFonts w:cs="Arial"/>
        </w:rPr>
        <w:t xml:space="preserve"> </w:t>
      </w:r>
      <w:r w:rsidRPr="00E914FB">
        <w:rPr>
          <w:rFonts w:cs="Arial"/>
        </w:rPr>
        <w:t xml:space="preserve">(based upon telaprevir plus pegIFN/RBV) for subjects with genotype 1a HCV infection who were treatment-naïve without cirrhosis. </w:t>
      </w:r>
      <w:r w:rsidRPr="00E914FB">
        <w:rPr>
          <w:rFonts w:eastAsia="MS Mincho"/>
          <w:lang w:eastAsia="ja-JP"/>
        </w:rPr>
        <w:t>Refer to the telaprevir prescribing information.</w:t>
      </w:r>
    </w:p>
    <w:p w14:paraId="6957DA44" w14:textId="18382D4E" w:rsidR="0026770B" w:rsidRPr="00E914FB" w:rsidRDefault="00960892" w:rsidP="00CC32CC">
      <w:pPr>
        <w:pStyle w:val="Paragraph"/>
        <w:spacing w:line="240" w:lineRule="auto"/>
        <w:jc w:val="both"/>
        <w:rPr>
          <w:rFonts w:asciiTheme="minorHAnsi" w:hAnsiTheme="minorHAnsi" w:cstheme="minorHAnsi"/>
          <w:sz w:val="22"/>
          <w:szCs w:val="22"/>
          <w:lang w:val="en-AU"/>
        </w:rPr>
      </w:pPr>
      <w:r w:rsidRPr="00960892">
        <w:rPr>
          <w:rFonts w:asciiTheme="minorHAnsi" w:hAnsiTheme="minorHAnsi" w:cstheme="minorHAnsi"/>
          <w:sz w:val="22"/>
          <w:szCs w:val="22"/>
          <w:lang w:val="en-AU"/>
        </w:rPr>
        <w:t xml:space="preserve">Based on subgroup analyses, the following </w:t>
      </w:r>
      <w:r w:rsidR="0026770B" w:rsidRPr="00E914FB">
        <w:rPr>
          <w:rFonts w:asciiTheme="minorHAnsi" w:hAnsiTheme="minorHAnsi" w:cstheme="minorHAnsi"/>
          <w:sz w:val="22"/>
          <w:szCs w:val="22"/>
          <w:lang w:val="en-AU"/>
        </w:rPr>
        <w:t>baseline factors were not associated with lower SVR12 rates (lower 95% confidence bound &gt; 65%) :</w:t>
      </w:r>
    </w:p>
    <w:p w14:paraId="6A5D5617" w14:textId="77777777" w:rsidR="0026770B" w:rsidRPr="00E914FB" w:rsidRDefault="0026770B" w:rsidP="00CC32CC">
      <w:pPr>
        <w:pStyle w:val="CommentText"/>
        <w:numPr>
          <w:ilvl w:val="0"/>
          <w:numId w:val="2"/>
        </w:numPr>
        <w:jc w:val="both"/>
        <w:rPr>
          <w:rFonts w:asciiTheme="minorHAnsi" w:hAnsiTheme="minorHAnsi" w:cstheme="minorHAnsi"/>
          <w:sz w:val="22"/>
          <w:szCs w:val="22"/>
          <w:lang w:val="en-AU"/>
        </w:rPr>
      </w:pPr>
      <w:r w:rsidRPr="00E914FB">
        <w:rPr>
          <w:rFonts w:asciiTheme="minorHAnsi" w:hAnsiTheme="minorHAnsi" w:cstheme="minorHAnsi"/>
          <w:i/>
          <w:iCs/>
          <w:sz w:val="22"/>
          <w:szCs w:val="22"/>
          <w:lang w:val="en-AU"/>
        </w:rPr>
        <w:t>Viral factors:</w:t>
      </w:r>
      <w:r w:rsidRPr="00E914FB">
        <w:rPr>
          <w:rFonts w:asciiTheme="minorHAnsi" w:hAnsiTheme="minorHAnsi" w:cstheme="minorHAnsi"/>
          <w:sz w:val="22"/>
          <w:szCs w:val="22"/>
          <w:lang w:val="en-AU"/>
        </w:rPr>
        <w:t xml:space="preserve"> baseline viral load</w:t>
      </w:r>
    </w:p>
    <w:p w14:paraId="19BCA612" w14:textId="77777777" w:rsidR="0026770B" w:rsidRPr="00E914FB" w:rsidRDefault="0026770B" w:rsidP="00CC32CC">
      <w:pPr>
        <w:pStyle w:val="CommentText"/>
        <w:numPr>
          <w:ilvl w:val="0"/>
          <w:numId w:val="2"/>
        </w:numPr>
        <w:jc w:val="both"/>
        <w:rPr>
          <w:rFonts w:asciiTheme="minorHAnsi" w:hAnsiTheme="minorHAnsi" w:cstheme="minorHAnsi"/>
          <w:sz w:val="24"/>
          <w:szCs w:val="24"/>
          <w:lang w:val="en-AU"/>
        </w:rPr>
      </w:pPr>
      <w:r w:rsidRPr="00E914FB">
        <w:rPr>
          <w:rFonts w:asciiTheme="minorHAnsi" w:hAnsiTheme="minorHAnsi" w:cstheme="minorHAnsi"/>
          <w:i/>
          <w:iCs/>
          <w:sz w:val="22"/>
          <w:szCs w:val="22"/>
          <w:lang w:val="en-AU"/>
        </w:rPr>
        <w:t>Host factors:</w:t>
      </w:r>
      <w:r w:rsidRPr="00E914FB">
        <w:rPr>
          <w:rFonts w:asciiTheme="minorHAnsi" w:hAnsiTheme="minorHAnsi" w:cstheme="minorHAnsi"/>
          <w:sz w:val="22"/>
          <w:szCs w:val="22"/>
          <w:lang w:val="en-AU"/>
        </w:rPr>
        <w:t xml:space="preserve"> Gender, race, ethnicity, age, birth year (1945 – 1965), IL28B allele, baseline body mass index, history of depression or bipolar disorder, fibrosis stage</w:t>
      </w:r>
    </w:p>
    <w:p w14:paraId="753BC1B9" w14:textId="3BA3EB23" w:rsidR="0026770B" w:rsidRPr="00E914FB" w:rsidRDefault="0026770B" w:rsidP="00CC32CC">
      <w:pPr>
        <w:pStyle w:val="BodytextAgency"/>
        <w:spacing w:line="240" w:lineRule="auto"/>
        <w:rPr>
          <w:rFonts w:cstheme="minorHAnsi"/>
          <w:lang w:val="en-AU"/>
        </w:rPr>
      </w:pPr>
      <w:r w:rsidRPr="00E914FB">
        <w:rPr>
          <w:rFonts w:asciiTheme="minorHAnsi" w:hAnsiTheme="minorHAnsi" w:cstheme="minorHAnsi"/>
          <w:sz w:val="22"/>
          <w:szCs w:val="22"/>
          <w:lang w:val="en-AU"/>
        </w:rPr>
        <w:t>In addition, subjects who underwent ribavirin dose modifications did not have lower SVR12 rates.</w:t>
      </w:r>
    </w:p>
    <w:p w14:paraId="2D5C0DD0" w14:textId="77777777" w:rsidR="00574760" w:rsidRPr="00E914FB" w:rsidRDefault="00574760" w:rsidP="00CC32CC">
      <w:pPr>
        <w:pStyle w:val="BodytextAgency"/>
        <w:spacing w:line="240" w:lineRule="auto"/>
        <w:rPr>
          <w:rFonts w:asciiTheme="minorHAnsi" w:hAnsiTheme="minorHAnsi" w:cstheme="minorHAnsi"/>
          <w:sz w:val="22"/>
          <w:szCs w:val="22"/>
          <w:lang w:val="en-AU"/>
        </w:rPr>
      </w:pPr>
    </w:p>
    <w:p w14:paraId="1083D776" w14:textId="77777777" w:rsidR="0026770B" w:rsidRPr="00E914FB" w:rsidRDefault="0026770B" w:rsidP="00CC32CC">
      <w:pPr>
        <w:pStyle w:val="Heading2Unnumbered"/>
        <w:rPr>
          <w:rFonts w:eastAsia="Times New Roman" w:cs="Times New Roman"/>
          <w:lang w:val="en-AU"/>
        </w:rPr>
      </w:pPr>
      <w:r w:rsidRPr="00E914FB">
        <w:rPr>
          <w:rFonts w:eastAsia="Times New Roman" w:cs="Times New Roman"/>
          <w:sz w:val="22"/>
          <w:szCs w:val="22"/>
          <w:lang w:val="en-AU"/>
        </w:rPr>
        <w:t>Clinical Trials in Treatment-Experienced Adults</w:t>
      </w:r>
    </w:p>
    <w:p w14:paraId="2CED8A15" w14:textId="77777777" w:rsidR="0026770B" w:rsidRPr="00E914FB" w:rsidRDefault="0026770B" w:rsidP="00CC32CC">
      <w:pPr>
        <w:spacing w:line="240" w:lineRule="auto"/>
        <w:rPr>
          <w:rFonts w:cs="Arial"/>
          <w:u w:val="single"/>
        </w:rPr>
      </w:pPr>
      <w:r w:rsidRPr="00E914FB">
        <w:rPr>
          <w:rFonts w:cs="Arial"/>
          <w:u w:val="single"/>
        </w:rPr>
        <w:t>SAPPHIRE-II (M13-098) Genotype 1 – Treatment-experienced</w:t>
      </w:r>
    </w:p>
    <w:p w14:paraId="2FD714A8" w14:textId="167AC97C" w:rsidR="0026770B" w:rsidRPr="00E914FB" w:rsidRDefault="0026770B" w:rsidP="00CC32CC">
      <w:pPr>
        <w:pStyle w:val="GTCBodyText"/>
        <w:spacing w:before="0" w:after="200" w:line="240" w:lineRule="auto"/>
        <w:rPr>
          <w:rFonts w:asciiTheme="minorHAnsi" w:hAnsiTheme="minorHAnsi" w:cstheme="minorHAnsi"/>
          <w:sz w:val="22"/>
          <w:szCs w:val="22"/>
          <w:lang w:val="en-AU"/>
        </w:rPr>
      </w:pPr>
      <w:r w:rsidRPr="00E914FB">
        <w:rPr>
          <w:rFonts w:asciiTheme="minorHAnsi" w:hAnsiTheme="minorHAnsi" w:cstheme="minorHAnsi"/>
          <w:sz w:val="22"/>
          <w:szCs w:val="22"/>
          <w:lang w:val="en-AU"/>
        </w:rPr>
        <w:t xml:space="preserve">SAPPHIRE-II was a randomised, global multicentre, double-blind, placebo-controlled trial conducted in 394 subjects with genotype 1 chronic hepatitis C virus infection without cirrhosis who did not achieve SVR with prior treatment with pegIFN/RBV. </w:t>
      </w:r>
      <w:r w:rsidR="00222E29" w:rsidRPr="00E914FB">
        <w:rPr>
          <w:rFonts w:asciiTheme="minorHAnsi" w:eastAsia="TimesNewRoman" w:hAnsiTheme="minorHAnsi" w:cstheme="minorHAnsi"/>
          <w:sz w:val="22"/>
          <w:szCs w:val="22"/>
          <w:lang w:val="en-AU" w:eastAsia="ja-JP"/>
        </w:rPr>
        <w:t>VIEKIRA PAK</w:t>
      </w:r>
      <w:r w:rsidR="00775DC4">
        <w:rPr>
          <w:rFonts w:asciiTheme="minorHAnsi" w:eastAsia="TimesNewRoman" w:hAnsiTheme="minorHAnsi" w:cstheme="minorHAnsi"/>
          <w:sz w:val="22"/>
          <w:szCs w:val="22"/>
          <w:lang w:val="en-AU" w:eastAsia="ja-JP"/>
        </w:rPr>
        <w:t>-RBV</w:t>
      </w:r>
      <w:r w:rsidRPr="00E914FB">
        <w:rPr>
          <w:rFonts w:asciiTheme="minorHAnsi" w:eastAsia="TimesNewRoman" w:hAnsiTheme="minorHAnsi" w:cstheme="minorHAnsi"/>
          <w:sz w:val="22"/>
          <w:szCs w:val="22"/>
          <w:lang w:val="en-AU" w:eastAsia="ja-JP"/>
        </w:rPr>
        <w:t xml:space="preserve"> </w:t>
      </w:r>
      <w:r w:rsidRPr="00E914FB">
        <w:rPr>
          <w:rFonts w:asciiTheme="minorHAnsi" w:hAnsiTheme="minorHAnsi" w:cstheme="minorHAnsi"/>
          <w:sz w:val="22"/>
          <w:szCs w:val="22"/>
          <w:lang w:val="en-AU"/>
        </w:rPr>
        <w:t xml:space="preserve">was given for 12 weeks of treatment.  Subjects randomised to the placebo arm received placebo for 12 weeks, after which they received </w:t>
      </w:r>
      <w:r w:rsidRPr="00E914FB">
        <w:rPr>
          <w:rFonts w:asciiTheme="minorHAnsi" w:eastAsia="TimesNewRoman" w:hAnsiTheme="minorHAnsi" w:cstheme="minorHAnsi"/>
          <w:sz w:val="22"/>
          <w:szCs w:val="22"/>
          <w:lang w:val="en-AU" w:eastAsia="ja-JP"/>
        </w:rPr>
        <w:t>VIEKIRA PAK</w:t>
      </w:r>
      <w:r w:rsidR="00775DC4">
        <w:rPr>
          <w:rFonts w:asciiTheme="minorHAnsi" w:eastAsia="TimesNewRoman" w:hAnsiTheme="minorHAnsi" w:cstheme="minorHAnsi"/>
          <w:sz w:val="22"/>
          <w:szCs w:val="22"/>
          <w:lang w:val="en-AU" w:eastAsia="ja-JP"/>
        </w:rPr>
        <w:t>-RBV</w:t>
      </w:r>
      <w:r w:rsidRPr="00E914FB">
        <w:rPr>
          <w:rFonts w:asciiTheme="minorHAnsi" w:hAnsiTheme="minorHAnsi" w:cstheme="minorHAnsi"/>
          <w:sz w:val="22"/>
          <w:szCs w:val="22"/>
          <w:lang w:val="en-AU"/>
        </w:rPr>
        <w:t xml:space="preserve"> for 12 weeks.</w:t>
      </w:r>
    </w:p>
    <w:p w14:paraId="69404061" w14:textId="77777777" w:rsidR="0026770B" w:rsidRPr="00E914FB" w:rsidRDefault="0026770B" w:rsidP="00CC32CC">
      <w:pPr>
        <w:pStyle w:val="Paragraph"/>
        <w:spacing w:after="200" w:line="240" w:lineRule="auto"/>
        <w:jc w:val="both"/>
        <w:rPr>
          <w:rFonts w:asciiTheme="minorHAnsi" w:hAnsiTheme="minorHAnsi" w:cstheme="minorHAnsi"/>
          <w:sz w:val="22"/>
          <w:szCs w:val="22"/>
          <w:lang w:val="en-AU" w:eastAsia="en-US"/>
        </w:rPr>
      </w:pPr>
      <w:r w:rsidRPr="00E914FB">
        <w:rPr>
          <w:rFonts w:asciiTheme="minorHAnsi" w:hAnsiTheme="minorHAnsi" w:cstheme="minorHAnsi"/>
          <w:sz w:val="22"/>
          <w:szCs w:val="22"/>
          <w:lang w:val="en-AU" w:eastAsia="en-US"/>
        </w:rPr>
        <w:t>Treated subjects (N=394) had a median age of 54 years (range:  19 to 71); 49.0% were prior pegIFN/RBV null responders; 21.8% were prior pegIFN/RBV partial responders, and 29.2% were prior pegIFN/RBV relapsers;</w:t>
      </w:r>
      <w:r w:rsidRPr="00E914FB">
        <w:rPr>
          <w:rFonts w:asciiTheme="minorHAnsi" w:hAnsiTheme="minorHAnsi" w:cstheme="minorHAnsi"/>
          <w:sz w:val="22"/>
          <w:szCs w:val="22"/>
          <w:lang w:val="en-AU"/>
        </w:rPr>
        <w:t xml:space="preserve"> 73.9% were born between 1945 – 1965; </w:t>
      </w:r>
      <w:r w:rsidRPr="00E914FB">
        <w:rPr>
          <w:rFonts w:asciiTheme="minorHAnsi" w:hAnsiTheme="minorHAnsi" w:cstheme="minorHAnsi"/>
          <w:sz w:val="22"/>
          <w:szCs w:val="22"/>
          <w:lang w:val="en-AU" w:eastAsia="en-US"/>
        </w:rPr>
        <w:t>57.6% were male; 8.1% were Black and 6.3% were Hispanic or Latino; 19.8% had a body mass index of at least 30 kg/m</w:t>
      </w:r>
      <w:r w:rsidRPr="00E914FB">
        <w:rPr>
          <w:rFonts w:asciiTheme="minorHAnsi" w:hAnsiTheme="minorHAnsi" w:cstheme="minorHAnsi"/>
          <w:sz w:val="22"/>
          <w:szCs w:val="22"/>
          <w:vertAlign w:val="superscript"/>
          <w:lang w:val="en-AU" w:eastAsia="en-US"/>
        </w:rPr>
        <w:t>2</w:t>
      </w:r>
      <w:r w:rsidRPr="00E914FB">
        <w:rPr>
          <w:rFonts w:asciiTheme="minorHAnsi" w:hAnsiTheme="minorHAnsi" w:cstheme="minorHAnsi"/>
          <w:sz w:val="22"/>
          <w:szCs w:val="22"/>
          <w:lang w:val="en-AU" w:eastAsia="en-US"/>
        </w:rPr>
        <w:t>; 20.6% had a history of depression or bipolar disorder; 89.6% had IL28B non</w:t>
      </w:r>
      <w:r w:rsidRPr="00E914FB">
        <w:rPr>
          <w:rFonts w:asciiTheme="minorHAnsi" w:hAnsiTheme="minorHAnsi" w:cstheme="minorHAnsi"/>
          <w:sz w:val="22"/>
          <w:szCs w:val="22"/>
          <w:lang w:val="en-AU" w:eastAsia="en-US"/>
        </w:rPr>
        <w:noBreakHyphen/>
        <w:t xml:space="preserve">CC genotype; 87.1% had baseline HCV RNA levels at least 800,000 IU per mL; 17.8% had portal fibrosis (F2) and 14.5% had bridging fibrosis (F3); 58.4% had HCV genotype 1a infection; 41.4% had HCV genotype 1b infection. </w:t>
      </w:r>
    </w:p>
    <w:p w14:paraId="60F2B0CA" w14:textId="1AD2591F" w:rsidR="0026770B" w:rsidRPr="00E914FB" w:rsidRDefault="0026770B" w:rsidP="00CC32CC">
      <w:pPr>
        <w:pStyle w:val="GTCBodyText"/>
        <w:spacing w:before="0" w:after="200" w:line="240" w:lineRule="auto"/>
        <w:rPr>
          <w:rFonts w:asciiTheme="minorHAnsi" w:eastAsia="MS Mincho" w:hAnsiTheme="minorHAnsi" w:cstheme="minorHAnsi"/>
          <w:sz w:val="22"/>
          <w:szCs w:val="22"/>
          <w:lang w:val="en-AU" w:eastAsia="ja-JP"/>
        </w:rPr>
      </w:pPr>
      <w:r w:rsidRPr="00E914FB">
        <w:rPr>
          <w:rFonts w:asciiTheme="minorHAnsi" w:eastAsia="MS Mincho" w:hAnsiTheme="minorHAnsi" w:cstheme="minorHAnsi"/>
          <w:sz w:val="22"/>
          <w:szCs w:val="22"/>
          <w:lang w:val="en-AU" w:eastAsia="ja-JP"/>
        </w:rPr>
        <w:t>Table 8 shows the SVR12 rates for treatment-experienced subjects with genotype 1-infection receiving</w:t>
      </w:r>
      <w:r w:rsidRPr="00E914FB">
        <w:rPr>
          <w:rFonts w:asciiTheme="minorHAnsi" w:eastAsia="TimesNewRoman" w:hAnsiTheme="minorHAnsi" w:cstheme="minorHAnsi"/>
          <w:sz w:val="22"/>
          <w:szCs w:val="22"/>
          <w:lang w:val="en-AU" w:eastAsia="ja-JP"/>
        </w:rPr>
        <w:t xml:space="preserve"> VIEKIRA PAK</w:t>
      </w:r>
      <w:r w:rsidR="00504ECC" w:rsidRPr="00E914FB">
        <w:rPr>
          <w:rFonts w:asciiTheme="minorHAnsi" w:eastAsia="TimesNewRoman" w:hAnsiTheme="minorHAnsi" w:cstheme="minorHAnsi"/>
          <w:sz w:val="22"/>
          <w:szCs w:val="22"/>
          <w:lang w:val="en-AU" w:eastAsia="ja-JP"/>
        </w:rPr>
        <w:t xml:space="preserve"> with ribavirin</w:t>
      </w:r>
      <w:r w:rsidRPr="00E914FB">
        <w:rPr>
          <w:rFonts w:asciiTheme="minorHAnsi" w:eastAsia="TimesNewRoman" w:hAnsiTheme="minorHAnsi" w:cstheme="minorHAnsi"/>
          <w:sz w:val="22"/>
          <w:szCs w:val="22"/>
          <w:lang w:val="en-AU" w:eastAsia="ja-JP"/>
        </w:rPr>
        <w:t xml:space="preserve"> fo</w:t>
      </w:r>
      <w:r w:rsidRPr="00E914FB">
        <w:rPr>
          <w:rFonts w:asciiTheme="minorHAnsi" w:hAnsiTheme="minorHAnsi" w:cstheme="minorHAnsi"/>
          <w:sz w:val="22"/>
          <w:szCs w:val="22"/>
          <w:lang w:val="en-AU"/>
        </w:rPr>
        <w:t xml:space="preserve">r 12 weeks </w:t>
      </w:r>
      <w:r w:rsidRPr="00E914FB">
        <w:rPr>
          <w:rFonts w:asciiTheme="minorHAnsi" w:eastAsia="MS Mincho" w:hAnsiTheme="minorHAnsi" w:cstheme="minorHAnsi"/>
          <w:sz w:val="22"/>
          <w:szCs w:val="22"/>
          <w:lang w:val="en-AU" w:eastAsia="ja-JP"/>
        </w:rPr>
        <w:t>in SAPPHIRE-II.</w:t>
      </w:r>
    </w:p>
    <w:p w14:paraId="62F5355B" w14:textId="77777777" w:rsidR="00CC32CC" w:rsidRDefault="00CC32CC">
      <w:pPr>
        <w:rPr>
          <w:rFonts w:cstheme="minorHAnsi"/>
          <w:b/>
        </w:rPr>
      </w:pPr>
      <w:r>
        <w:rPr>
          <w:rFonts w:cstheme="minorHAnsi"/>
          <w:b/>
        </w:rPr>
        <w:br w:type="page"/>
      </w:r>
    </w:p>
    <w:p w14:paraId="59751045" w14:textId="7A2B1C9A" w:rsidR="0026770B" w:rsidRPr="00E914FB" w:rsidRDefault="0026770B" w:rsidP="0026770B">
      <w:pPr>
        <w:pStyle w:val="ListParagraph"/>
        <w:ind w:left="0"/>
        <w:rPr>
          <w:rFonts w:eastAsia="MS Mincho" w:cstheme="minorHAnsi"/>
          <w:b/>
          <w:lang w:eastAsia="ja-JP"/>
        </w:rPr>
      </w:pPr>
      <w:r w:rsidRPr="00E914FB">
        <w:rPr>
          <w:rFonts w:cstheme="minorHAnsi"/>
          <w:b/>
        </w:rPr>
        <w:lastRenderedPageBreak/>
        <w:t>Table 8:  SVR12 for Genotype 1-infected T</w:t>
      </w:r>
      <w:r w:rsidRPr="00E914FB">
        <w:rPr>
          <w:rFonts w:eastAsia="MS Mincho" w:cstheme="minorHAnsi"/>
          <w:b/>
          <w:lang w:eastAsia="ja-JP"/>
        </w:rPr>
        <w:t>reatment-Experienced Subjects in SAPPHIRE-II</w:t>
      </w:r>
    </w:p>
    <w:tbl>
      <w:tblPr>
        <w:tblW w:w="0" w:type="auto"/>
        <w:jc w:val="center"/>
        <w:tblInd w:w="-1004" w:type="dxa"/>
        <w:tblLayout w:type="fixed"/>
        <w:tblLook w:val="0000" w:firstRow="0" w:lastRow="0" w:firstColumn="0" w:lastColumn="0" w:noHBand="0" w:noVBand="0"/>
      </w:tblPr>
      <w:tblGrid>
        <w:gridCol w:w="4574"/>
        <w:gridCol w:w="1345"/>
        <w:gridCol w:w="868"/>
        <w:gridCol w:w="1904"/>
      </w:tblGrid>
      <w:tr w:rsidR="0026770B" w:rsidRPr="00E914FB" w14:paraId="6F8272A0" w14:textId="77777777" w:rsidTr="00890582">
        <w:trPr>
          <w:tblHeader/>
          <w:jc w:val="center"/>
        </w:trPr>
        <w:tc>
          <w:tcPr>
            <w:tcW w:w="4574" w:type="dxa"/>
            <w:vMerge w:val="restart"/>
            <w:tcBorders>
              <w:top w:val="single" w:sz="4" w:space="0" w:color="auto"/>
              <w:left w:val="single" w:sz="4" w:space="0" w:color="auto"/>
            </w:tcBorders>
            <w:shd w:val="clear" w:color="auto" w:fill="auto"/>
            <w:tcMar>
              <w:left w:w="29" w:type="dxa"/>
              <w:right w:w="29" w:type="dxa"/>
            </w:tcMar>
            <w:vAlign w:val="bottom"/>
          </w:tcPr>
          <w:p w14:paraId="7AFE0D91"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Treatment Outcome</w:t>
            </w:r>
          </w:p>
        </w:tc>
        <w:tc>
          <w:tcPr>
            <w:tcW w:w="4117" w:type="dxa"/>
            <w:gridSpan w:val="3"/>
            <w:tcBorders>
              <w:top w:val="single" w:sz="4" w:space="0" w:color="auto"/>
              <w:bottom w:val="single" w:sz="4" w:space="0" w:color="auto"/>
              <w:right w:val="single" w:sz="4" w:space="0" w:color="auto"/>
            </w:tcBorders>
            <w:vAlign w:val="bottom"/>
          </w:tcPr>
          <w:p w14:paraId="7F5B6018" w14:textId="7F905370" w:rsidR="0026770B" w:rsidRPr="00E914FB" w:rsidRDefault="0026770B" w:rsidP="00D23AAE">
            <w:pPr>
              <w:spacing w:after="0" w:line="300" w:lineRule="auto"/>
              <w:rPr>
                <w:rFonts w:cstheme="minorHAnsi"/>
                <w:b/>
                <w:sz w:val="20"/>
                <w:szCs w:val="20"/>
              </w:rPr>
            </w:pPr>
            <w:r w:rsidRPr="00E914FB">
              <w:rPr>
                <w:rFonts w:cstheme="minorHAnsi"/>
                <w:b/>
                <w:sz w:val="20"/>
                <w:szCs w:val="20"/>
              </w:rPr>
              <w:t xml:space="preserve">VIEKIRA PAK </w:t>
            </w:r>
            <w:r w:rsidR="00D23AAE">
              <w:rPr>
                <w:rFonts w:cstheme="minorHAnsi"/>
                <w:b/>
                <w:sz w:val="20"/>
                <w:szCs w:val="20"/>
              </w:rPr>
              <w:t>-RBV</w:t>
            </w:r>
            <w:r w:rsidRPr="00E914FB">
              <w:rPr>
                <w:rFonts w:cstheme="minorHAnsi"/>
                <w:b/>
                <w:sz w:val="20"/>
                <w:szCs w:val="20"/>
              </w:rPr>
              <w:t>for 12 weeks</w:t>
            </w:r>
          </w:p>
        </w:tc>
      </w:tr>
      <w:tr w:rsidR="0026770B" w:rsidRPr="00E914FB" w14:paraId="3D00D4D0" w14:textId="77777777" w:rsidTr="00890582">
        <w:trPr>
          <w:jc w:val="center"/>
        </w:trPr>
        <w:tc>
          <w:tcPr>
            <w:tcW w:w="4574" w:type="dxa"/>
            <w:vMerge/>
            <w:tcBorders>
              <w:left w:val="single" w:sz="4" w:space="0" w:color="auto"/>
              <w:bottom w:val="single" w:sz="4" w:space="0" w:color="auto"/>
            </w:tcBorders>
            <w:shd w:val="clear" w:color="auto" w:fill="auto"/>
            <w:tcMar>
              <w:left w:w="29" w:type="dxa"/>
              <w:right w:w="29" w:type="dxa"/>
            </w:tcMar>
            <w:vAlign w:val="bottom"/>
          </w:tcPr>
          <w:p w14:paraId="7A745257" w14:textId="77777777" w:rsidR="0026770B" w:rsidRPr="00E914FB" w:rsidRDefault="0026770B" w:rsidP="00890582">
            <w:pPr>
              <w:spacing w:after="0" w:line="300" w:lineRule="auto"/>
              <w:rPr>
                <w:rFonts w:cstheme="minorHAnsi"/>
                <w:b/>
                <w:sz w:val="20"/>
                <w:szCs w:val="20"/>
              </w:rPr>
            </w:pPr>
          </w:p>
        </w:tc>
        <w:tc>
          <w:tcPr>
            <w:tcW w:w="1345" w:type="dxa"/>
            <w:tcBorders>
              <w:top w:val="single" w:sz="4" w:space="0" w:color="auto"/>
              <w:bottom w:val="single" w:sz="4" w:space="0" w:color="auto"/>
            </w:tcBorders>
            <w:vAlign w:val="bottom"/>
          </w:tcPr>
          <w:p w14:paraId="5B87DB4D" w14:textId="77777777" w:rsidR="0026770B" w:rsidRPr="00E914FB" w:rsidRDefault="0026770B" w:rsidP="00890582">
            <w:pPr>
              <w:spacing w:after="0" w:line="300" w:lineRule="auto"/>
              <w:jc w:val="center"/>
              <w:rPr>
                <w:rFonts w:cstheme="minorHAnsi"/>
                <w:b/>
                <w:sz w:val="20"/>
                <w:szCs w:val="20"/>
              </w:rPr>
            </w:pPr>
            <w:r w:rsidRPr="00E914FB">
              <w:rPr>
                <w:rFonts w:cstheme="minorHAnsi"/>
                <w:b/>
                <w:sz w:val="20"/>
                <w:szCs w:val="20"/>
              </w:rPr>
              <w:t>n/N</w:t>
            </w:r>
          </w:p>
        </w:tc>
        <w:tc>
          <w:tcPr>
            <w:tcW w:w="868" w:type="dxa"/>
            <w:tcBorders>
              <w:top w:val="single" w:sz="4" w:space="0" w:color="auto"/>
              <w:bottom w:val="single" w:sz="4" w:space="0" w:color="auto"/>
            </w:tcBorders>
            <w:vAlign w:val="bottom"/>
          </w:tcPr>
          <w:p w14:paraId="05F4F104" w14:textId="77777777" w:rsidR="0026770B" w:rsidRPr="00E914FB" w:rsidRDefault="0026770B" w:rsidP="00890582">
            <w:pPr>
              <w:spacing w:after="0" w:line="300" w:lineRule="auto"/>
              <w:jc w:val="center"/>
              <w:rPr>
                <w:rFonts w:cstheme="minorHAnsi"/>
                <w:b/>
                <w:sz w:val="20"/>
                <w:szCs w:val="20"/>
              </w:rPr>
            </w:pPr>
            <w:r w:rsidRPr="00E914FB">
              <w:rPr>
                <w:rFonts w:cstheme="minorHAnsi"/>
                <w:b/>
                <w:sz w:val="20"/>
                <w:szCs w:val="20"/>
              </w:rPr>
              <w:t>%</w:t>
            </w:r>
          </w:p>
        </w:tc>
        <w:tc>
          <w:tcPr>
            <w:tcW w:w="1904" w:type="dxa"/>
            <w:tcBorders>
              <w:top w:val="single" w:sz="4" w:space="0" w:color="auto"/>
              <w:bottom w:val="single" w:sz="4" w:space="0" w:color="auto"/>
              <w:right w:val="single" w:sz="4" w:space="0" w:color="auto"/>
            </w:tcBorders>
            <w:vAlign w:val="bottom"/>
          </w:tcPr>
          <w:p w14:paraId="20CEEA57" w14:textId="77777777" w:rsidR="0026770B" w:rsidRPr="00E914FB" w:rsidRDefault="0026770B" w:rsidP="00890582">
            <w:pPr>
              <w:spacing w:after="0" w:line="300" w:lineRule="auto"/>
              <w:jc w:val="center"/>
              <w:rPr>
                <w:rFonts w:cstheme="minorHAnsi"/>
                <w:b/>
                <w:sz w:val="20"/>
                <w:szCs w:val="20"/>
              </w:rPr>
            </w:pPr>
            <w:r w:rsidRPr="00E914FB">
              <w:rPr>
                <w:rFonts w:cstheme="minorHAnsi"/>
                <w:b/>
                <w:sz w:val="20"/>
                <w:szCs w:val="20"/>
              </w:rPr>
              <w:t>95% CI</w:t>
            </w:r>
          </w:p>
        </w:tc>
      </w:tr>
      <w:tr w:rsidR="0026770B" w:rsidRPr="00E914FB" w14:paraId="1C7E1251" w14:textId="77777777" w:rsidTr="00890582">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63F0F4CB"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Overall SVR12</w:t>
            </w:r>
          </w:p>
        </w:tc>
        <w:tc>
          <w:tcPr>
            <w:tcW w:w="1345" w:type="dxa"/>
            <w:tcBorders>
              <w:top w:val="single" w:sz="4" w:space="0" w:color="auto"/>
              <w:bottom w:val="single" w:sz="4" w:space="0" w:color="auto"/>
            </w:tcBorders>
            <w:vAlign w:val="center"/>
          </w:tcPr>
          <w:p w14:paraId="2DEC09A8"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286/297</w:t>
            </w:r>
          </w:p>
        </w:tc>
        <w:tc>
          <w:tcPr>
            <w:tcW w:w="868" w:type="dxa"/>
            <w:tcBorders>
              <w:top w:val="single" w:sz="4" w:space="0" w:color="auto"/>
              <w:bottom w:val="single" w:sz="4" w:space="0" w:color="auto"/>
            </w:tcBorders>
            <w:vAlign w:val="center"/>
          </w:tcPr>
          <w:p w14:paraId="533B39D0"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96.3</w:t>
            </w:r>
          </w:p>
        </w:tc>
        <w:tc>
          <w:tcPr>
            <w:tcW w:w="1904" w:type="dxa"/>
            <w:tcBorders>
              <w:top w:val="single" w:sz="4" w:space="0" w:color="auto"/>
              <w:bottom w:val="single" w:sz="4" w:space="0" w:color="auto"/>
              <w:right w:val="single" w:sz="4" w:space="0" w:color="auto"/>
            </w:tcBorders>
            <w:vAlign w:val="center"/>
          </w:tcPr>
          <w:p w14:paraId="2225BADA"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94.1, 98.4</w:t>
            </w:r>
          </w:p>
        </w:tc>
      </w:tr>
      <w:tr w:rsidR="0026770B" w:rsidRPr="00E914FB" w14:paraId="76F56D3A" w14:textId="77777777" w:rsidTr="00890582">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2B916E17"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HCV Genotype 1a</w:t>
            </w:r>
          </w:p>
        </w:tc>
        <w:tc>
          <w:tcPr>
            <w:tcW w:w="1345" w:type="dxa"/>
            <w:tcBorders>
              <w:top w:val="single" w:sz="4" w:space="0" w:color="auto"/>
              <w:bottom w:val="single" w:sz="4" w:space="0" w:color="auto"/>
            </w:tcBorders>
            <w:vAlign w:val="center"/>
          </w:tcPr>
          <w:p w14:paraId="053938D5"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166/173</w:t>
            </w:r>
          </w:p>
        </w:tc>
        <w:tc>
          <w:tcPr>
            <w:tcW w:w="868" w:type="dxa"/>
            <w:tcBorders>
              <w:top w:val="single" w:sz="4" w:space="0" w:color="auto"/>
              <w:bottom w:val="single" w:sz="4" w:space="0" w:color="auto"/>
            </w:tcBorders>
            <w:vAlign w:val="center"/>
          </w:tcPr>
          <w:p w14:paraId="7F45FA00"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96.0</w:t>
            </w:r>
          </w:p>
        </w:tc>
        <w:tc>
          <w:tcPr>
            <w:tcW w:w="1904" w:type="dxa"/>
            <w:tcBorders>
              <w:top w:val="single" w:sz="4" w:space="0" w:color="auto"/>
              <w:bottom w:val="single" w:sz="4" w:space="0" w:color="auto"/>
              <w:right w:val="single" w:sz="4" w:space="0" w:color="auto"/>
            </w:tcBorders>
            <w:vAlign w:val="center"/>
          </w:tcPr>
          <w:p w14:paraId="3A94BBCD"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93.0, 98.9</w:t>
            </w:r>
          </w:p>
        </w:tc>
      </w:tr>
      <w:tr w:rsidR="0026770B" w:rsidRPr="00E914FB" w14:paraId="32ED6124" w14:textId="77777777" w:rsidTr="00890582">
        <w:trPr>
          <w:jc w:val="center"/>
        </w:trPr>
        <w:tc>
          <w:tcPr>
            <w:tcW w:w="4574" w:type="dxa"/>
            <w:tcBorders>
              <w:top w:val="single" w:sz="4" w:space="0" w:color="auto"/>
              <w:left w:val="single" w:sz="4" w:space="0" w:color="auto"/>
            </w:tcBorders>
            <w:shd w:val="clear" w:color="auto" w:fill="auto"/>
            <w:tcMar>
              <w:left w:w="29" w:type="dxa"/>
              <w:right w:w="29" w:type="dxa"/>
            </w:tcMar>
          </w:tcPr>
          <w:p w14:paraId="406C4E65"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Prior pegIFN/RBV null responder</w:t>
            </w:r>
          </w:p>
        </w:tc>
        <w:tc>
          <w:tcPr>
            <w:tcW w:w="1345" w:type="dxa"/>
            <w:tcBorders>
              <w:top w:val="single" w:sz="4" w:space="0" w:color="auto"/>
            </w:tcBorders>
            <w:vAlign w:val="center"/>
          </w:tcPr>
          <w:p w14:paraId="160849FE"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83/87</w:t>
            </w:r>
          </w:p>
        </w:tc>
        <w:tc>
          <w:tcPr>
            <w:tcW w:w="868" w:type="dxa"/>
            <w:tcBorders>
              <w:top w:val="single" w:sz="4" w:space="0" w:color="auto"/>
            </w:tcBorders>
            <w:vAlign w:val="center"/>
          </w:tcPr>
          <w:p w14:paraId="570B4BD2"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95.4</w:t>
            </w:r>
          </w:p>
        </w:tc>
        <w:tc>
          <w:tcPr>
            <w:tcW w:w="1904" w:type="dxa"/>
            <w:tcBorders>
              <w:top w:val="single" w:sz="4" w:space="0" w:color="auto"/>
              <w:right w:val="single" w:sz="4" w:space="0" w:color="auto"/>
            </w:tcBorders>
            <w:vAlign w:val="center"/>
          </w:tcPr>
          <w:p w14:paraId="67689A1E"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91.0, 99.8</w:t>
            </w:r>
          </w:p>
        </w:tc>
      </w:tr>
      <w:tr w:rsidR="0026770B" w:rsidRPr="00E914FB" w14:paraId="1ED31701" w14:textId="77777777" w:rsidTr="00890582">
        <w:trPr>
          <w:jc w:val="center"/>
        </w:trPr>
        <w:tc>
          <w:tcPr>
            <w:tcW w:w="4574" w:type="dxa"/>
            <w:tcBorders>
              <w:left w:val="single" w:sz="4" w:space="0" w:color="auto"/>
            </w:tcBorders>
            <w:shd w:val="clear" w:color="auto" w:fill="auto"/>
            <w:tcMar>
              <w:left w:w="29" w:type="dxa"/>
              <w:right w:w="29" w:type="dxa"/>
            </w:tcMar>
          </w:tcPr>
          <w:p w14:paraId="57B47FAA"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Prior pegIFN/RBV partial  responder</w:t>
            </w:r>
          </w:p>
        </w:tc>
        <w:tc>
          <w:tcPr>
            <w:tcW w:w="1345" w:type="dxa"/>
            <w:vAlign w:val="center"/>
          </w:tcPr>
          <w:p w14:paraId="42927194"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36/36</w:t>
            </w:r>
          </w:p>
        </w:tc>
        <w:tc>
          <w:tcPr>
            <w:tcW w:w="868" w:type="dxa"/>
            <w:vAlign w:val="center"/>
          </w:tcPr>
          <w:p w14:paraId="071C05EC"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100</w:t>
            </w:r>
          </w:p>
        </w:tc>
        <w:tc>
          <w:tcPr>
            <w:tcW w:w="1904" w:type="dxa"/>
            <w:tcBorders>
              <w:right w:val="single" w:sz="4" w:space="0" w:color="auto"/>
            </w:tcBorders>
            <w:vAlign w:val="center"/>
          </w:tcPr>
          <w:p w14:paraId="591BE954"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100.0, 100.0</w:t>
            </w:r>
          </w:p>
        </w:tc>
      </w:tr>
      <w:tr w:rsidR="0026770B" w:rsidRPr="00E914FB" w14:paraId="42194E44" w14:textId="77777777" w:rsidTr="00890582">
        <w:trPr>
          <w:jc w:val="center"/>
        </w:trPr>
        <w:tc>
          <w:tcPr>
            <w:tcW w:w="4574" w:type="dxa"/>
            <w:tcBorders>
              <w:left w:val="single" w:sz="4" w:space="0" w:color="auto"/>
              <w:bottom w:val="single" w:sz="4" w:space="0" w:color="auto"/>
            </w:tcBorders>
            <w:shd w:val="clear" w:color="auto" w:fill="auto"/>
            <w:tcMar>
              <w:left w:w="29" w:type="dxa"/>
              <w:right w:w="29" w:type="dxa"/>
            </w:tcMar>
          </w:tcPr>
          <w:p w14:paraId="232652E3"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Prior pegIFN/RBV relapser</w:t>
            </w:r>
          </w:p>
        </w:tc>
        <w:tc>
          <w:tcPr>
            <w:tcW w:w="1345" w:type="dxa"/>
            <w:tcBorders>
              <w:bottom w:val="single" w:sz="4" w:space="0" w:color="auto"/>
            </w:tcBorders>
            <w:vAlign w:val="center"/>
          </w:tcPr>
          <w:p w14:paraId="104699EC"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47/50</w:t>
            </w:r>
          </w:p>
        </w:tc>
        <w:tc>
          <w:tcPr>
            <w:tcW w:w="868" w:type="dxa"/>
            <w:tcBorders>
              <w:bottom w:val="single" w:sz="4" w:space="0" w:color="auto"/>
            </w:tcBorders>
            <w:vAlign w:val="center"/>
          </w:tcPr>
          <w:p w14:paraId="7F8BA2D6"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94.0</w:t>
            </w:r>
          </w:p>
        </w:tc>
        <w:tc>
          <w:tcPr>
            <w:tcW w:w="1904" w:type="dxa"/>
            <w:tcBorders>
              <w:bottom w:val="single" w:sz="4" w:space="0" w:color="auto"/>
              <w:right w:val="single" w:sz="4" w:space="0" w:color="auto"/>
            </w:tcBorders>
            <w:vAlign w:val="center"/>
          </w:tcPr>
          <w:p w14:paraId="2AF2DD1C"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87.4, 100.0</w:t>
            </w:r>
          </w:p>
        </w:tc>
      </w:tr>
      <w:tr w:rsidR="0026770B" w:rsidRPr="00E914FB" w14:paraId="40545747" w14:textId="77777777" w:rsidTr="00890582">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5FDC7166"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HCV Genotype 1b</w:t>
            </w:r>
          </w:p>
        </w:tc>
        <w:tc>
          <w:tcPr>
            <w:tcW w:w="1345" w:type="dxa"/>
            <w:tcBorders>
              <w:top w:val="single" w:sz="4" w:space="0" w:color="auto"/>
              <w:bottom w:val="single" w:sz="4" w:space="0" w:color="auto"/>
            </w:tcBorders>
            <w:vAlign w:val="center"/>
          </w:tcPr>
          <w:p w14:paraId="26F74912"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119/123</w:t>
            </w:r>
          </w:p>
        </w:tc>
        <w:tc>
          <w:tcPr>
            <w:tcW w:w="868" w:type="dxa"/>
            <w:tcBorders>
              <w:top w:val="single" w:sz="4" w:space="0" w:color="auto"/>
              <w:bottom w:val="single" w:sz="4" w:space="0" w:color="auto"/>
            </w:tcBorders>
            <w:vAlign w:val="center"/>
          </w:tcPr>
          <w:p w14:paraId="77BB0A68"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96.7</w:t>
            </w:r>
          </w:p>
        </w:tc>
        <w:tc>
          <w:tcPr>
            <w:tcW w:w="1904" w:type="dxa"/>
            <w:tcBorders>
              <w:top w:val="single" w:sz="4" w:space="0" w:color="auto"/>
              <w:bottom w:val="single" w:sz="4" w:space="0" w:color="auto"/>
              <w:right w:val="single" w:sz="4" w:space="0" w:color="auto"/>
            </w:tcBorders>
            <w:vAlign w:val="center"/>
          </w:tcPr>
          <w:p w14:paraId="5D8B33F0"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93.6, 99.9</w:t>
            </w:r>
          </w:p>
        </w:tc>
      </w:tr>
      <w:tr w:rsidR="0026770B" w:rsidRPr="00E914FB" w14:paraId="12206451" w14:textId="77777777" w:rsidTr="00890582">
        <w:trPr>
          <w:jc w:val="center"/>
        </w:trPr>
        <w:tc>
          <w:tcPr>
            <w:tcW w:w="4574" w:type="dxa"/>
            <w:tcBorders>
              <w:top w:val="single" w:sz="4" w:space="0" w:color="auto"/>
              <w:left w:val="single" w:sz="4" w:space="0" w:color="auto"/>
            </w:tcBorders>
            <w:shd w:val="clear" w:color="auto" w:fill="auto"/>
            <w:tcMar>
              <w:left w:w="29" w:type="dxa"/>
              <w:right w:w="29" w:type="dxa"/>
            </w:tcMar>
          </w:tcPr>
          <w:p w14:paraId="7EA51781"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Prior pegIFN/RBV null responder</w:t>
            </w:r>
          </w:p>
        </w:tc>
        <w:tc>
          <w:tcPr>
            <w:tcW w:w="1345" w:type="dxa"/>
            <w:tcBorders>
              <w:top w:val="single" w:sz="4" w:space="0" w:color="auto"/>
            </w:tcBorders>
            <w:vAlign w:val="center"/>
          </w:tcPr>
          <w:p w14:paraId="1E83B277"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56/59</w:t>
            </w:r>
          </w:p>
        </w:tc>
        <w:tc>
          <w:tcPr>
            <w:tcW w:w="868" w:type="dxa"/>
            <w:tcBorders>
              <w:top w:val="single" w:sz="4" w:space="0" w:color="auto"/>
            </w:tcBorders>
            <w:vAlign w:val="center"/>
          </w:tcPr>
          <w:p w14:paraId="3D6249C9"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94.9</w:t>
            </w:r>
          </w:p>
        </w:tc>
        <w:tc>
          <w:tcPr>
            <w:tcW w:w="1904" w:type="dxa"/>
            <w:tcBorders>
              <w:top w:val="single" w:sz="4" w:space="0" w:color="auto"/>
              <w:right w:val="single" w:sz="4" w:space="0" w:color="auto"/>
            </w:tcBorders>
            <w:vAlign w:val="center"/>
          </w:tcPr>
          <w:p w14:paraId="7EB57397"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89.3, 100.0</w:t>
            </w:r>
          </w:p>
        </w:tc>
      </w:tr>
      <w:tr w:rsidR="0026770B" w:rsidRPr="00E914FB" w14:paraId="5DA114F0" w14:textId="77777777" w:rsidTr="00890582">
        <w:trPr>
          <w:jc w:val="center"/>
        </w:trPr>
        <w:tc>
          <w:tcPr>
            <w:tcW w:w="4574" w:type="dxa"/>
            <w:tcBorders>
              <w:left w:val="single" w:sz="4" w:space="0" w:color="auto"/>
            </w:tcBorders>
            <w:shd w:val="clear" w:color="auto" w:fill="auto"/>
            <w:tcMar>
              <w:left w:w="29" w:type="dxa"/>
              <w:right w:w="29" w:type="dxa"/>
            </w:tcMar>
          </w:tcPr>
          <w:p w14:paraId="7FB51FA9"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Prior pegIFN/RBV partial  responder</w:t>
            </w:r>
          </w:p>
        </w:tc>
        <w:tc>
          <w:tcPr>
            <w:tcW w:w="1345" w:type="dxa"/>
            <w:vAlign w:val="center"/>
          </w:tcPr>
          <w:p w14:paraId="628C84FD"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28/28</w:t>
            </w:r>
          </w:p>
        </w:tc>
        <w:tc>
          <w:tcPr>
            <w:tcW w:w="868" w:type="dxa"/>
            <w:vAlign w:val="center"/>
          </w:tcPr>
          <w:p w14:paraId="43D6BBA5"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100</w:t>
            </w:r>
          </w:p>
        </w:tc>
        <w:tc>
          <w:tcPr>
            <w:tcW w:w="1904" w:type="dxa"/>
            <w:tcBorders>
              <w:right w:val="single" w:sz="4" w:space="0" w:color="auto"/>
            </w:tcBorders>
            <w:vAlign w:val="center"/>
          </w:tcPr>
          <w:p w14:paraId="1FE98BB3"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100.0, 100.0</w:t>
            </w:r>
          </w:p>
        </w:tc>
      </w:tr>
      <w:tr w:rsidR="0026770B" w:rsidRPr="00E914FB" w14:paraId="0C70A029" w14:textId="77777777" w:rsidTr="00890582">
        <w:trPr>
          <w:jc w:val="center"/>
        </w:trPr>
        <w:tc>
          <w:tcPr>
            <w:tcW w:w="4574" w:type="dxa"/>
            <w:tcBorders>
              <w:left w:val="single" w:sz="4" w:space="0" w:color="auto"/>
              <w:bottom w:val="single" w:sz="4" w:space="0" w:color="auto"/>
            </w:tcBorders>
            <w:shd w:val="clear" w:color="auto" w:fill="auto"/>
            <w:tcMar>
              <w:left w:w="29" w:type="dxa"/>
              <w:right w:w="29" w:type="dxa"/>
            </w:tcMar>
          </w:tcPr>
          <w:p w14:paraId="07AD1CE6"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Prior pegIFN/RBV relapser</w:t>
            </w:r>
          </w:p>
        </w:tc>
        <w:tc>
          <w:tcPr>
            <w:tcW w:w="1345" w:type="dxa"/>
            <w:tcBorders>
              <w:bottom w:val="single" w:sz="4" w:space="0" w:color="auto"/>
            </w:tcBorders>
            <w:vAlign w:val="center"/>
          </w:tcPr>
          <w:p w14:paraId="173A51A3"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35/36</w:t>
            </w:r>
          </w:p>
        </w:tc>
        <w:tc>
          <w:tcPr>
            <w:tcW w:w="868" w:type="dxa"/>
            <w:tcBorders>
              <w:bottom w:val="single" w:sz="4" w:space="0" w:color="auto"/>
            </w:tcBorders>
            <w:vAlign w:val="center"/>
          </w:tcPr>
          <w:p w14:paraId="335AA8E4"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97.2</w:t>
            </w:r>
          </w:p>
        </w:tc>
        <w:tc>
          <w:tcPr>
            <w:tcW w:w="1904" w:type="dxa"/>
            <w:tcBorders>
              <w:bottom w:val="single" w:sz="4" w:space="0" w:color="auto"/>
              <w:right w:val="single" w:sz="4" w:space="0" w:color="auto"/>
            </w:tcBorders>
            <w:vAlign w:val="center"/>
          </w:tcPr>
          <w:p w14:paraId="380E0207"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91.9, 100.0</w:t>
            </w:r>
          </w:p>
        </w:tc>
      </w:tr>
      <w:tr w:rsidR="0026770B" w:rsidRPr="00E914FB" w14:paraId="22D19F04" w14:textId="77777777" w:rsidTr="00890582">
        <w:trPr>
          <w:jc w:val="center"/>
        </w:trPr>
        <w:tc>
          <w:tcPr>
            <w:tcW w:w="4574" w:type="dxa"/>
            <w:tcBorders>
              <w:top w:val="single" w:sz="4" w:space="0" w:color="auto"/>
              <w:left w:val="single" w:sz="4" w:space="0" w:color="auto"/>
              <w:bottom w:val="single" w:sz="4" w:space="0" w:color="auto"/>
            </w:tcBorders>
            <w:shd w:val="clear" w:color="auto" w:fill="auto"/>
            <w:tcMar>
              <w:left w:w="29" w:type="dxa"/>
              <w:right w:w="29" w:type="dxa"/>
            </w:tcMar>
          </w:tcPr>
          <w:p w14:paraId="57BD01A9" w14:textId="77777777" w:rsidR="0026770B" w:rsidRPr="00E914FB" w:rsidRDefault="0026770B" w:rsidP="00890582">
            <w:pPr>
              <w:spacing w:after="0" w:line="300" w:lineRule="auto"/>
              <w:rPr>
                <w:rFonts w:cstheme="minorHAnsi"/>
                <w:b/>
                <w:sz w:val="20"/>
                <w:szCs w:val="20"/>
              </w:rPr>
            </w:pPr>
            <w:r w:rsidRPr="00E914FB">
              <w:rPr>
                <w:rFonts w:cstheme="minorHAnsi"/>
                <w:b/>
                <w:sz w:val="20"/>
                <w:szCs w:val="20"/>
              </w:rPr>
              <w:t>Outcome for subjects without SVR12</w:t>
            </w:r>
          </w:p>
        </w:tc>
        <w:tc>
          <w:tcPr>
            <w:tcW w:w="1345" w:type="dxa"/>
            <w:tcBorders>
              <w:top w:val="single" w:sz="4" w:space="0" w:color="auto"/>
              <w:bottom w:val="single" w:sz="4" w:space="0" w:color="auto"/>
            </w:tcBorders>
            <w:vAlign w:val="center"/>
          </w:tcPr>
          <w:p w14:paraId="08F59627" w14:textId="77777777" w:rsidR="0026770B" w:rsidRPr="00E914FB" w:rsidRDefault="0026770B" w:rsidP="00890582">
            <w:pPr>
              <w:spacing w:after="0" w:line="300" w:lineRule="auto"/>
              <w:jc w:val="center"/>
              <w:rPr>
                <w:rFonts w:cstheme="minorHAnsi"/>
                <w:sz w:val="20"/>
                <w:szCs w:val="20"/>
              </w:rPr>
            </w:pPr>
          </w:p>
        </w:tc>
        <w:tc>
          <w:tcPr>
            <w:tcW w:w="868" w:type="dxa"/>
            <w:tcBorders>
              <w:top w:val="single" w:sz="4" w:space="0" w:color="auto"/>
              <w:bottom w:val="single" w:sz="4" w:space="0" w:color="auto"/>
            </w:tcBorders>
            <w:vAlign w:val="center"/>
          </w:tcPr>
          <w:p w14:paraId="508DFCE8" w14:textId="77777777" w:rsidR="0026770B" w:rsidRPr="00E914FB" w:rsidRDefault="0026770B" w:rsidP="00890582">
            <w:pPr>
              <w:spacing w:after="0" w:line="300" w:lineRule="auto"/>
              <w:jc w:val="center"/>
              <w:rPr>
                <w:rFonts w:cstheme="minorHAnsi"/>
                <w:sz w:val="20"/>
                <w:szCs w:val="20"/>
              </w:rPr>
            </w:pPr>
          </w:p>
        </w:tc>
        <w:tc>
          <w:tcPr>
            <w:tcW w:w="1904" w:type="dxa"/>
            <w:tcBorders>
              <w:top w:val="single" w:sz="4" w:space="0" w:color="auto"/>
              <w:right w:val="single" w:sz="4" w:space="0" w:color="auto"/>
            </w:tcBorders>
            <w:vAlign w:val="center"/>
          </w:tcPr>
          <w:p w14:paraId="722C2699" w14:textId="77777777" w:rsidR="0026770B" w:rsidRPr="00E914FB" w:rsidRDefault="0026770B" w:rsidP="00890582">
            <w:pPr>
              <w:spacing w:after="0" w:line="300" w:lineRule="auto"/>
              <w:jc w:val="center"/>
              <w:rPr>
                <w:rFonts w:cstheme="minorHAnsi"/>
                <w:sz w:val="20"/>
                <w:szCs w:val="20"/>
              </w:rPr>
            </w:pPr>
          </w:p>
        </w:tc>
      </w:tr>
      <w:tr w:rsidR="0026770B" w:rsidRPr="00E914FB" w14:paraId="3848E562" w14:textId="77777777" w:rsidTr="00890582">
        <w:trPr>
          <w:trHeight w:val="203"/>
          <w:jc w:val="center"/>
        </w:trPr>
        <w:tc>
          <w:tcPr>
            <w:tcW w:w="4574" w:type="dxa"/>
            <w:tcBorders>
              <w:top w:val="single" w:sz="4" w:space="0" w:color="auto"/>
              <w:left w:val="single" w:sz="4" w:space="0" w:color="auto"/>
            </w:tcBorders>
            <w:shd w:val="clear" w:color="auto" w:fill="auto"/>
            <w:tcMar>
              <w:left w:w="29" w:type="dxa"/>
              <w:right w:w="29" w:type="dxa"/>
            </w:tcMar>
          </w:tcPr>
          <w:p w14:paraId="5ECE116D"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On-treatment VF</w:t>
            </w:r>
            <w:r w:rsidRPr="00E914FB">
              <w:rPr>
                <w:rFonts w:cstheme="minorHAnsi"/>
                <w:sz w:val="20"/>
                <w:szCs w:val="20"/>
                <w:vertAlign w:val="superscript"/>
              </w:rPr>
              <w:t>a</w:t>
            </w:r>
          </w:p>
        </w:tc>
        <w:tc>
          <w:tcPr>
            <w:tcW w:w="1345" w:type="dxa"/>
            <w:tcBorders>
              <w:top w:val="single" w:sz="4" w:space="0" w:color="auto"/>
            </w:tcBorders>
            <w:vAlign w:val="center"/>
          </w:tcPr>
          <w:p w14:paraId="227F6C8C" w14:textId="77777777" w:rsidR="0026770B" w:rsidRPr="00E914FB" w:rsidRDefault="0026770B" w:rsidP="00890582">
            <w:pPr>
              <w:pStyle w:val="TableLeft"/>
              <w:spacing w:before="0" w:after="0" w:line="300" w:lineRule="auto"/>
              <w:jc w:val="center"/>
              <w:rPr>
                <w:rFonts w:asciiTheme="minorHAnsi" w:hAnsiTheme="minorHAnsi" w:cstheme="minorHAnsi"/>
                <w:lang w:val="en-AU"/>
              </w:rPr>
            </w:pPr>
            <w:r w:rsidRPr="00E914FB">
              <w:rPr>
                <w:rFonts w:asciiTheme="minorHAnsi" w:hAnsiTheme="minorHAnsi" w:cstheme="minorHAnsi"/>
                <w:lang w:val="en-AU"/>
              </w:rPr>
              <w:t>0/297</w:t>
            </w:r>
          </w:p>
        </w:tc>
        <w:tc>
          <w:tcPr>
            <w:tcW w:w="868" w:type="dxa"/>
            <w:tcBorders>
              <w:top w:val="single" w:sz="4" w:space="0" w:color="auto"/>
            </w:tcBorders>
            <w:vAlign w:val="center"/>
          </w:tcPr>
          <w:p w14:paraId="0D740A8F"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0</w:t>
            </w:r>
          </w:p>
        </w:tc>
        <w:tc>
          <w:tcPr>
            <w:tcW w:w="1904" w:type="dxa"/>
            <w:tcBorders>
              <w:right w:val="single" w:sz="4" w:space="0" w:color="auto"/>
            </w:tcBorders>
            <w:vAlign w:val="center"/>
          </w:tcPr>
          <w:p w14:paraId="37C5BF4E" w14:textId="77777777" w:rsidR="0026770B" w:rsidRPr="00E914FB" w:rsidRDefault="0026770B" w:rsidP="00890582">
            <w:pPr>
              <w:spacing w:after="0" w:line="300" w:lineRule="auto"/>
              <w:jc w:val="center"/>
              <w:rPr>
                <w:rFonts w:cstheme="minorHAnsi"/>
                <w:sz w:val="20"/>
                <w:szCs w:val="20"/>
              </w:rPr>
            </w:pPr>
          </w:p>
        </w:tc>
      </w:tr>
      <w:tr w:rsidR="0026770B" w:rsidRPr="00E914FB" w14:paraId="3F176565" w14:textId="77777777" w:rsidTr="00890582">
        <w:trPr>
          <w:jc w:val="center"/>
        </w:trPr>
        <w:tc>
          <w:tcPr>
            <w:tcW w:w="4574" w:type="dxa"/>
            <w:tcBorders>
              <w:left w:val="single" w:sz="4" w:space="0" w:color="auto"/>
            </w:tcBorders>
            <w:shd w:val="clear" w:color="auto" w:fill="auto"/>
            <w:tcMar>
              <w:left w:w="29" w:type="dxa"/>
              <w:right w:w="29" w:type="dxa"/>
            </w:tcMar>
          </w:tcPr>
          <w:p w14:paraId="5F94B678"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Relapse</w:t>
            </w:r>
            <w:r w:rsidRPr="00E914FB">
              <w:rPr>
                <w:rFonts w:cstheme="minorHAnsi"/>
                <w:sz w:val="20"/>
                <w:szCs w:val="20"/>
                <w:vertAlign w:val="superscript"/>
              </w:rPr>
              <w:t>b</w:t>
            </w:r>
          </w:p>
        </w:tc>
        <w:tc>
          <w:tcPr>
            <w:tcW w:w="1345" w:type="dxa"/>
            <w:vAlign w:val="center"/>
          </w:tcPr>
          <w:p w14:paraId="6728F993"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7/293</w:t>
            </w:r>
          </w:p>
        </w:tc>
        <w:tc>
          <w:tcPr>
            <w:tcW w:w="868" w:type="dxa"/>
            <w:vAlign w:val="center"/>
          </w:tcPr>
          <w:p w14:paraId="29FB7065"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2.4</w:t>
            </w:r>
          </w:p>
        </w:tc>
        <w:tc>
          <w:tcPr>
            <w:tcW w:w="1904" w:type="dxa"/>
            <w:tcBorders>
              <w:right w:val="single" w:sz="4" w:space="0" w:color="auto"/>
            </w:tcBorders>
            <w:vAlign w:val="center"/>
          </w:tcPr>
          <w:p w14:paraId="2E138D10" w14:textId="77777777" w:rsidR="0026770B" w:rsidRPr="00E914FB" w:rsidRDefault="0026770B" w:rsidP="00890582">
            <w:pPr>
              <w:spacing w:after="0" w:line="300" w:lineRule="auto"/>
              <w:jc w:val="center"/>
              <w:rPr>
                <w:rFonts w:cstheme="minorHAnsi"/>
                <w:sz w:val="20"/>
                <w:szCs w:val="20"/>
              </w:rPr>
            </w:pPr>
          </w:p>
        </w:tc>
      </w:tr>
      <w:tr w:rsidR="0026770B" w:rsidRPr="00E914FB" w14:paraId="3C8A20A8" w14:textId="77777777" w:rsidTr="00890582">
        <w:trPr>
          <w:jc w:val="center"/>
        </w:trPr>
        <w:tc>
          <w:tcPr>
            <w:tcW w:w="4574" w:type="dxa"/>
            <w:tcBorders>
              <w:left w:val="single" w:sz="4" w:space="0" w:color="auto"/>
            </w:tcBorders>
            <w:shd w:val="clear" w:color="auto" w:fill="auto"/>
            <w:tcMar>
              <w:left w:w="29" w:type="dxa"/>
              <w:right w:w="29" w:type="dxa"/>
            </w:tcMar>
          </w:tcPr>
          <w:p w14:paraId="7F99B193"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 xml:space="preserve">  Other</w:t>
            </w:r>
            <w:r w:rsidRPr="00E914FB">
              <w:rPr>
                <w:rFonts w:cstheme="minorHAnsi"/>
                <w:sz w:val="20"/>
                <w:szCs w:val="20"/>
                <w:vertAlign w:val="superscript"/>
              </w:rPr>
              <w:t>c</w:t>
            </w:r>
            <w:r w:rsidRPr="00E914FB">
              <w:rPr>
                <w:rFonts w:cstheme="minorHAnsi"/>
                <w:sz w:val="20"/>
                <w:szCs w:val="20"/>
              </w:rPr>
              <w:t xml:space="preserve"> </w:t>
            </w:r>
          </w:p>
        </w:tc>
        <w:tc>
          <w:tcPr>
            <w:tcW w:w="1345" w:type="dxa"/>
            <w:vAlign w:val="center"/>
          </w:tcPr>
          <w:p w14:paraId="463E4518"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4/297</w:t>
            </w:r>
          </w:p>
        </w:tc>
        <w:tc>
          <w:tcPr>
            <w:tcW w:w="868" w:type="dxa"/>
            <w:vAlign w:val="center"/>
          </w:tcPr>
          <w:p w14:paraId="5DED8AC0" w14:textId="77777777" w:rsidR="0026770B" w:rsidRPr="00E914FB" w:rsidRDefault="0026770B" w:rsidP="00890582">
            <w:pPr>
              <w:spacing w:after="0" w:line="300" w:lineRule="auto"/>
              <w:jc w:val="center"/>
              <w:rPr>
                <w:rFonts w:cstheme="minorHAnsi"/>
                <w:sz w:val="20"/>
                <w:szCs w:val="20"/>
              </w:rPr>
            </w:pPr>
            <w:r w:rsidRPr="00E914FB">
              <w:rPr>
                <w:rFonts w:cstheme="minorHAnsi"/>
                <w:sz w:val="20"/>
                <w:szCs w:val="20"/>
              </w:rPr>
              <w:t>1.3</w:t>
            </w:r>
          </w:p>
        </w:tc>
        <w:tc>
          <w:tcPr>
            <w:tcW w:w="1904" w:type="dxa"/>
            <w:tcBorders>
              <w:right w:val="single" w:sz="4" w:space="0" w:color="auto"/>
            </w:tcBorders>
            <w:vAlign w:val="center"/>
          </w:tcPr>
          <w:p w14:paraId="7CF0CA34" w14:textId="77777777" w:rsidR="0026770B" w:rsidRPr="00E914FB" w:rsidRDefault="0026770B" w:rsidP="00890582">
            <w:pPr>
              <w:spacing w:after="0" w:line="300" w:lineRule="auto"/>
              <w:jc w:val="center"/>
              <w:rPr>
                <w:rFonts w:cstheme="minorHAnsi"/>
                <w:sz w:val="20"/>
                <w:szCs w:val="20"/>
              </w:rPr>
            </w:pPr>
          </w:p>
        </w:tc>
      </w:tr>
      <w:tr w:rsidR="0026770B" w:rsidRPr="00E914FB" w14:paraId="3509A8FF" w14:textId="77777777" w:rsidTr="00890582">
        <w:trPr>
          <w:jc w:val="center"/>
        </w:trPr>
        <w:tc>
          <w:tcPr>
            <w:tcW w:w="8691" w:type="dxa"/>
            <w:gridSpan w:val="4"/>
            <w:tcBorders>
              <w:left w:val="single" w:sz="4" w:space="0" w:color="auto"/>
              <w:bottom w:val="single" w:sz="4" w:space="0" w:color="auto"/>
              <w:right w:val="single" w:sz="4" w:space="0" w:color="auto"/>
            </w:tcBorders>
            <w:shd w:val="clear" w:color="auto" w:fill="auto"/>
            <w:tcMar>
              <w:left w:w="29" w:type="dxa"/>
              <w:right w:w="29" w:type="dxa"/>
            </w:tcMar>
          </w:tcPr>
          <w:p w14:paraId="1A1398F0" w14:textId="77777777" w:rsidR="0026770B" w:rsidRPr="00E914FB" w:rsidRDefault="0026770B" w:rsidP="00890582">
            <w:pPr>
              <w:spacing w:after="0" w:line="300" w:lineRule="auto"/>
              <w:rPr>
                <w:rFonts w:cstheme="minorHAnsi"/>
                <w:sz w:val="20"/>
                <w:szCs w:val="20"/>
              </w:rPr>
            </w:pPr>
            <w:r w:rsidRPr="00E914FB">
              <w:rPr>
                <w:rFonts w:cstheme="minorHAnsi"/>
                <w:sz w:val="20"/>
                <w:szCs w:val="20"/>
              </w:rPr>
              <w:t>CI = confidence interval, VF = virologic failure</w:t>
            </w:r>
          </w:p>
          <w:p w14:paraId="7CDEE2BC" w14:textId="77777777" w:rsidR="0026770B" w:rsidRPr="00E914FB" w:rsidRDefault="0026770B" w:rsidP="00890582">
            <w:pPr>
              <w:spacing w:after="0" w:line="300" w:lineRule="auto"/>
              <w:ind w:left="436" w:hanging="425"/>
              <w:rPr>
                <w:rFonts w:cstheme="minorHAnsi"/>
                <w:sz w:val="20"/>
                <w:szCs w:val="20"/>
              </w:rPr>
            </w:pPr>
            <w:r w:rsidRPr="00E914FB">
              <w:rPr>
                <w:rFonts w:cstheme="minorHAnsi"/>
                <w:sz w:val="20"/>
                <w:szCs w:val="20"/>
              </w:rPr>
              <w:t>a.</w:t>
            </w:r>
            <w:r w:rsidRPr="00E914FB">
              <w:rPr>
                <w:rFonts w:cstheme="minorHAnsi"/>
                <w:sz w:val="20"/>
                <w:szCs w:val="20"/>
              </w:rPr>
              <w:tab/>
              <w:t>On-treatment VF was defined as confirmed HCV ≥ 25 IU/mL after HCV RNA &lt; 25 IU/mL during treatment, confirmed 1 log</w:t>
            </w:r>
            <w:r w:rsidRPr="00E914FB">
              <w:rPr>
                <w:rFonts w:cstheme="minorHAnsi"/>
                <w:sz w:val="20"/>
                <w:szCs w:val="20"/>
                <w:vertAlign w:val="subscript"/>
              </w:rPr>
              <w:t>10</w:t>
            </w:r>
            <w:r w:rsidRPr="00E914FB">
              <w:rPr>
                <w:rFonts w:cstheme="minorHAnsi"/>
                <w:sz w:val="20"/>
                <w:szCs w:val="20"/>
              </w:rPr>
              <w:t xml:space="preserve"> IU/mL increase in HCV RNA from nadir, or HCV RNA persistently ≥ 25 IU/mL with at least 6 weeks of treatment.</w:t>
            </w:r>
          </w:p>
          <w:p w14:paraId="0DAD454E" w14:textId="77777777" w:rsidR="0026770B" w:rsidRPr="00E914FB" w:rsidRDefault="0026770B" w:rsidP="00890582">
            <w:pPr>
              <w:spacing w:after="0" w:line="300" w:lineRule="auto"/>
              <w:ind w:left="436" w:hanging="425"/>
              <w:rPr>
                <w:rFonts w:cstheme="minorHAnsi"/>
                <w:sz w:val="20"/>
                <w:szCs w:val="20"/>
              </w:rPr>
            </w:pPr>
            <w:r w:rsidRPr="00E914FB">
              <w:rPr>
                <w:rFonts w:cstheme="minorHAnsi"/>
                <w:sz w:val="20"/>
                <w:szCs w:val="20"/>
              </w:rPr>
              <w:t>b.</w:t>
            </w:r>
            <w:r w:rsidRPr="00E914FB">
              <w:rPr>
                <w:rFonts w:cstheme="minorHAnsi"/>
                <w:sz w:val="20"/>
                <w:szCs w:val="20"/>
              </w:rPr>
              <w:tab/>
              <w:t>Relapse was defined as confirmed HCV RNA ≥ 25 IU/mL post</w:t>
            </w:r>
            <w:r w:rsidRPr="00E914FB">
              <w:rPr>
                <w:rFonts w:cstheme="minorHAnsi"/>
                <w:sz w:val="20"/>
                <w:szCs w:val="20"/>
              </w:rPr>
              <w:noBreakHyphen/>
              <w:t>treatment before or during SVR12 window among subjects with HCV RNA &lt; 25 IU/mL at last observation during at least 11 weeks of treatment.</w:t>
            </w:r>
          </w:p>
          <w:p w14:paraId="4B487051" w14:textId="77777777" w:rsidR="0026770B" w:rsidRPr="00E914FB" w:rsidRDefault="0026770B" w:rsidP="00890582">
            <w:pPr>
              <w:pStyle w:val="ListParagraph"/>
              <w:spacing w:after="0" w:line="300" w:lineRule="auto"/>
              <w:ind w:left="436" w:hanging="425"/>
              <w:rPr>
                <w:rFonts w:cstheme="minorHAnsi"/>
                <w:sz w:val="20"/>
                <w:szCs w:val="20"/>
              </w:rPr>
            </w:pPr>
            <w:r w:rsidRPr="00E914FB">
              <w:rPr>
                <w:rFonts w:cstheme="minorHAnsi"/>
                <w:sz w:val="20"/>
                <w:szCs w:val="20"/>
              </w:rPr>
              <w:t>c</w:t>
            </w:r>
            <w:r w:rsidRPr="00E914FB">
              <w:rPr>
                <w:rFonts w:cstheme="minorHAnsi"/>
                <w:sz w:val="20"/>
                <w:szCs w:val="20"/>
              </w:rPr>
              <w:tab/>
              <w:t>Other includes subjects not achieving SVR12 but not experiencing on-treatment VF or relapse (e.g. missing HCV RNA values in the SVR12 window).</w:t>
            </w:r>
          </w:p>
        </w:tc>
      </w:tr>
    </w:tbl>
    <w:p w14:paraId="396C1725" w14:textId="77777777" w:rsidR="00CC2E40" w:rsidRDefault="00CC2E40" w:rsidP="0026770B">
      <w:pPr>
        <w:pStyle w:val="ListParagraph"/>
        <w:ind w:left="0"/>
        <w:jc w:val="both"/>
        <w:rPr>
          <w:rFonts w:cs="Arial"/>
        </w:rPr>
      </w:pPr>
    </w:p>
    <w:p w14:paraId="4EA502BF" w14:textId="77777777" w:rsidR="0026770B" w:rsidRPr="00E914FB" w:rsidRDefault="0026770B" w:rsidP="00CC32CC">
      <w:pPr>
        <w:pStyle w:val="ListParagraph"/>
        <w:spacing w:line="240" w:lineRule="auto"/>
        <w:ind w:left="0"/>
        <w:jc w:val="both"/>
        <w:rPr>
          <w:rFonts w:cs="Arial"/>
        </w:rPr>
      </w:pPr>
      <w:r w:rsidRPr="00E914FB">
        <w:rPr>
          <w:rFonts w:cs="Arial"/>
        </w:rPr>
        <w:t>No subjects with HCV genotype 1b infection experienced on-treatment virologic failure and 2 subjects with HCV genotype 1b infection experienced relapse.</w:t>
      </w:r>
    </w:p>
    <w:p w14:paraId="2B673780" w14:textId="77777777" w:rsidR="0026770B" w:rsidRPr="00E914FB" w:rsidRDefault="0026770B" w:rsidP="00CC32CC">
      <w:pPr>
        <w:pStyle w:val="ListParagraph"/>
        <w:spacing w:line="240" w:lineRule="auto"/>
        <w:ind w:left="0"/>
        <w:jc w:val="both"/>
        <w:rPr>
          <w:rFonts w:cs="Arial"/>
        </w:rPr>
      </w:pPr>
    </w:p>
    <w:p w14:paraId="31C8E25F" w14:textId="0FB65785" w:rsidR="0026770B" w:rsidRPr="00E914FB" w:rsidRDefault="0026770B" w:rsidP="00CC32CC">
      <w:pPr>
        <w:pStyle w:val="ListParagraph"/>
        <w:spacing w:line="240" w:lineRule="auto"/>
        <w:ind w:left="0"/>
        <w:jc w:val="both"/>
      </w:pPr>
      <w:r w:rsidRPr="00E914FB">
        <w:t>In the primary efficacy analysis, VIEKIRA PAK</w:t>
      </w:r>
      <w:r w:rsidR="00504ECC" w:rsidRPr="00E914FB">
        <w:t xml:space="preserve"> with ribavirin </w:t>
      </w:r>
      <w:r w:rsidRPr="00E914FB">
        <w:t xml:space="preserve">demonstrated superiority to the historical control </w:t>
      </w:r>
      <w:r w:rsidR="00136D06">
        <w:rPr>
          <w:rFonts w:eastAsia="MS Mincho"/>
          <w:lang w:eastAsia="ja-JP"/>
        </w:rPr>
        <w:t>SVR rate of 65% {95% CI of 60%, 70%}</w:t>
      </w:r>
      <w:r w:rsidR="00136D06" w:rsidRPr="00E914FB">
        <w:t xml:space="preserve"> </w:t>
      </w:r>
      <w:r w:rsidRPr="00E914FB">
        <w:t xml:space="preserve">(based upon telaprevir plus pegIFN/RBV) for subjects with genotype 1 HCV infection who were treatment-experienced without cirrhosis. </w:t>
      </w:r>
      <w:r w:rsidRPr="00E914FB">
        <w:rPr>
          <w:rFonts w:eastAsia="MS Mincho"/>
          <w:lang w:eastAsia="ja-JP"/>
        </w:rPr>
        <w:t>Refer to the telaprevir prescribing information.</w:t>
      </w:r>
    </w:p>
    <w:p w14:paraId="02A12B2F" w14:textId="77777777" w:rsidR="0026770B" w:rsidRPr="00E914FB" w:rsidRDefault="0026770B" w:rsidP="00CC32CC">
      <w:pPr>
        <w:pStyle w:val="ListParagraph"/>
        <w:spacing w:line="240" w:lineRule="auto"/>
        <w:ind w:left="0"/>
        <w:jc w:val="both"/>
        <w:rPr>
          <w:rFonts w:cs="Arial"/>
        </w:rPr>
      </w:pPr>
    </w:p>
    <w:p w14:paraId="7C02674A" w14:textId="0E20C7DC" w:rsidR="0026770B" w:rsidRPr="00E914FB" w:rsidRDefault="0026770B" w:rsidP="00CC32CC">
      <w:pPr>
        <w:pStyle w:val="ListParagraph"/>
        <w:spacing w:line="240" w:lineRule="auto"/>
        <w:ind w:left="0"/>
        <w:jc w:val="both"/>
        <w:rPr>
          <w:rFonts w:cs="Arial"/>
        </w:rPr>
      </w:pPr>
      <w:r w:rsidRPr="00E914FB">
        <w:rPr>
          <w:rFonts w:cs="Arial"/>
        </w:rPr>
        <w:t xml:space="preserve">Significantly more subjects (217/224 = 96.9%) who received VIEKIRA PAK </w:t>
      </w:r>
      <w:r w:rsidR="00D63965" w:rsidRPr="00E914FB">
        <w:rPr>
          <w:rFonts w:cs="Arial"/>
        </w:rPr>
        <w:t xml:space="preserve">with ribavirin </w:t>
      </w:r>
      <w:r w:rsidRPr="00E914FB">
        <w:rPr>
          <w:rFonts w:cs="Arial"/>
        </w:rPr>
        <w:t xml:space="preserve">had normalised ALT by the end of treatment than those who received placebo (Arm B, 10/78=12.8%); </w:t>
      </w:r>
      <w:r w:rsidRPr="00E914FB">
        <w:rPr>
          <w:rFonts w:cs="Arial"/>
          <w:i/>
        </w:rPr>
        <w:t>P</w:t>
      </w:r>
      <w:r w:rsidRPr="00E914FB">
        <w:rPr>
          <w:rFonts w:cs="Arial"/>
        </w:rPr>
        <w:t xml:space="preserve"> value &lt; 0.001.</w:t>
      </w:r>
    </w:p>
    <w:p w14:paraId="03416B17" w14:textId="04120687" w:rsidR="0026770B" w:rsidRPr="00E914FB" w:rsidRDefault="00960892" w:rsidP="00CC32CC">
      <w:pPr>
        <w:spacing w:line="240" w:lineRule="auto"/>
        <w:jc w:val="both"/>
        <w:rPr>
          <w:rFonts w:cs="Arial"/>
        </w:rPr>
      </w:pPr>
      <w:r w:rsidRPr="00960892">
        <w:rPr>
          <w:rFonts w:cs="Arial"/>
        </w:rPr>
        <w:t xml:space="preserve">Based on subgroup analyses, the following </w:t>
      </w:r>
      <w:r w:rsidR="0026770B" w:rsidRPr="00E914FB">
        <w:rPr>
          <w:rFonts w:cs="Arial"/>
        </w:rPr>
        <w:t>baseline factors were not associated with lower SVR12 rates (lower 95% confidence bound &gt; 60%):</w:t>
      </w:r>
    </w:p>
    <w:p w14:paraId="7FB5F64B" w14:textId="77777777" w:rsidR="0026770B" w:rsidRPr="00E914FB" w:rsidRDefault="0026770B" w:rsidP="00CC32CC">
      <w:pPr>
        <w:pStyle w:val="ListParagraph"/>
        <w:numPr>
          <w:ilvl w:val="0"/>
          <w:numId w:val="3"/>
        </w:numPr>
        <w:spacing w:after="60" w:line="240" w:lineRule="auto"/>
        <w:jc w:val="both"/>
        <w:rPr>
          <w:rFonts w:cs="Arial"/>
        </w:rPr>
      </w:pPr>
      <w:r w:rsidRPr="00E914FB">
        <w:rPr>
          <w:rFonts w:cs="Arial"/>
          <w:i/>
          <w:iCs/>
        </w:rPr>
        <w:t>Viral factors:</w:t>
      </w:r>
      <w:r w:rsidRPr="00E914FB">
        <w:rPr>
          <w:rFonts w:cs="Arial"/>
        </w:rPr>
        <w:t xml:space="preserve"> genotype 1 subtype, baseline viral load</w:t>
      </w:r>
    </w:p>
    <w:p w14:paraId="02B68A25" w14:textId="77777777" w:rsidR="0026770B" w:rsidRPr="00E914FB" w:rsidRDefault="0026770B" w:rsidP="00CC32CC">
      <w:pPr>
        <w:pStyle w:val="ListParagraph"/>
        <w:numPr>
          <w:ilvl w:val="0"/>
          <w:numId w:val="3"/>
        </w:numPr>
        <w:spacing w:after="60" w:line="240" w:lineRule="auto"/>
        <w:jc w:val="both"/>
        <w:rPr>
          <w:rFonts w:cs="Arial"/>
        </w:rPr>
      </w:pPr>
      <w:r w:rsidRPr="00E914FB">
        <w:rPr>
          <w:rFonts w:cs="Arial"/>
          <w:i/>
          <w:iCs/>
        </w:rPr>
        <w:t>Host factors:</w:t>
      </w:r>
      <w:r w:rsidRPr="00E914FB">
        <w:rPr>
          <w:rFonts w:cs="Arial"/>
        </w:rPr>
        <w:t xml:space="preserve"> prior pegIFN/RBV response, gender, race, ethnicity, age, birth year (1945 – 1965), IL28B allele, baseline body mass index, history of depression or bipolar disorder, fibrosis stage</w:t>
      </w:r>
    </w:p>
    <w:p w14:paraId="2FDE7141" w14:textId="77777777" w:rsidR="0026770B" w:rsidRPr="00E914FB" w:rsidRDefault="0026770B" w:rsidP="00CC32CC">
      <w:pPr>
        <w:pStyle w:val="ListParagraph"/>
        <w:spacing w:line="240" w:lineRule="auto"/>
        <w:ind w:left="0"/>
        <w:jc w:val="both"/>
        <w:rPr>
          <w:rFonts w:cs="Arial"/>
        </w:rPr>
      </w:pPr>
    </w:p>
    <w:p w14:paraId="03AB8CDB" w14:textId="77777777" w:rsidR="0026770B" w:rsidRPr="00E914FB" w:rsidRDefault="0026770B" w:rsidP="00CC32CC">
      <w:pPr>
        <w:pStyle w:val="ListParagraph"/>
        <w:spacing w:line="240" w:lineRule="auto"/>
        <w:ind w:left="0"/>
        <w:jc w:val="both"/>
        <w:rPr>
          <w:rFonts w:cs="Arial"/>
        </w:rPr>
      </w:pPr>
      <w:r w:rsidRPr="00E914FB">
        <w:rPr>
          <w:rFonts w:cs="Arial"/>
        </w:rPr>
        <w:t>In addition, subjects who underwent ribavirin dose modifications did not have lower SVR12 rates.</w:t>
      </w:r>
    </w:p>
    <w:p w14:paraId="6747678D" w14:textId="77777777" w:rsidR="0026770B" w:rsidRPr="00E914FB" w:rsidRDefault="0026770B" w:rsidP="00CC32CC">
      <w:pPr>
        <w:pStyle w:val="ListParagraph"/>
        <w:spacing w:line="240" w:lineRule="auto"/>
        <w:ind w:left="0"/>
        <w:jc w:val="both"/>
        <w:rPr>
          <w:rFonts w:cs="Arial"/>
        </w:rPr>
      </w:pPr>
    </w:p>
    <w:p w14:paraId="395C7CB1" w14:textId="77777777" w:rsidR="0026770B" w:rsidRPr="00E914FB" w:rsidRDefault="0026770B" w:rsidP="00CC32CC">
      <w:pPr>
        <w:spacing w:line="240" w:lineRule="auto"/>
        <w:jc w:val="both"/>
        <w:rPr>
          <w:rFonts w:cs="Arial"/>
          <w:u w:val="single"/>
        </w:rPr>
      </w:pPr>
      <w:r w:rsidRPr="00E914FB">
        <w:rPr>
          <w:rFonts w:cs="Arial"/>
          <w:u w:val="single"/>
        </w:rPr>
        <w:lastRenderedPageBreak/>
        <w:t>PEARL-II (M13-389) – Genotype 1b, Treatment-Experienced</w:t>
      </w:r>
    </w:p>
    <w:p w14:paraId="2C285E6E" w14:textId="51FD6323" w:rsidR="0026770B" w:rsidRPr="00E914FB" w:rsidRDefault="0026770B" w:rsidP="00CC32CC">
      <w:pPr>
        <w:spacing w:line="240" w:lineRule="auto"/>
        <w:jc w:val="both"/>
        <w:rPr>
          <w:rFonts w:cs="Arial"/>
        </w:rPr>
      </w:pPr>
      <w:r w:rsidRPr="00E914FB">
        <w:rPr>
          <w:rFonts w:cs="Arial"/>
        </w:rPr>
        <w:t>PEARL-II was a randomised, global multicentre, open-label trial conducted in 180 adults with chronic genotype 1b hepatitis C virus infection without cirrhosis who did not achieve SVR with prior treatment with pegIFN/RBV.  Subjects were randomised, in a 1:1 ratio, to receive VIEKIRA PAK or VIEKIRA PAK</w:t>
      </w:r>
      <w:r w:rsidR="00775DC4">
        <w:rPr>
          <w:rFonts w:cs="Arial"/>
        </w:rPr>
        <w:t>-RBV</w:t>
      </w:r>
      <w:r w:rsidRPr="00E914FB">
        <w:rPr>
          <w:rFonts w:cs="Arial"/>
        </w:rPr>
        <w:t xml:space="preserve">for 12 weeks of treatment.  </w:t>
      </w:r>
    </w:p>
    <w:p w14:paraId="23BB6A6B" w14:textId="77777777" w:rsidR="0026770B" w:rsidRPr="00E914FB" w:rsidRDefault="0026770B" w:rsidP="00CC32CC">
      <w:pPr>
        <w:spacing w:line="240" w:lineRule="auto"/>
        <w:jc w:val="both"/>
        <w:rPr>
          <w:rFonts w:cs="Arial"/>
        </w:rPr>
      </w:pPr>
      <w:r w:rsidRPr="00E914FB">
        <w:rPr>
          <w:rFonts w:cs="Arial"/>
        </w:rPr>
        <w:t>Treated subjects (N=179) had a median age of 57 years (range: 26 to 70); 35.2% were prior pegIFN/RBV null responders; 28.5% were prior pegIFN/RBV partial responders, and 36.3% were prior pegIFN/RBV relapsers; 70.9% were born between 1945 – 1965; 54.2% were male; 3.9% were Black; 1.7% were Hispanic or Latino; 21.8% had a body mass index of at least 30 kg/m</w:t>
      </w:r>
      <w:r w:rsidRPr="00E914FB">
        <w:rPr>
          <w:rFonts w:cs="Arial"/>
          <w:vertAlign w:val="superscript"/>
        </w:rPr>
        <w:t>2</w:t>
      </w:r>
      <w:r w:rsidRPr="00E914FB">
        <w:rPr>
          <w:rFonts w:cs="Arial"/>
        </w:rPr>
        <w:t xml:space="preserve">; 12.8% had a history of depression or bipolar disorder; 90.5% had IL28B non-CC genotype; 87.7% had baseline HCV RNA levels of at least 800,000 IU/mL; 17.9% had portal fibrosis (F2) and 14.0% had bridging fibrosis (F3). </w:t>
      </w:r>
    </w:p>
    <w:p w14:paraId="67EE5725" w14:textId="00D117E0" w:rsidR="0026770B" w:rsidRPr="00E914FB" w:rsidRDefault="0026770B" w:rsidP="00CC32CC">
      <w:pPr>
        <w:pStyle w:val="ListParagraph"/>
        <w:spacing w:line="240" w:lineRule="auto"/>
        <w:ind w:left="0"/>
        <w:jc w:val="both"/>
        <w:rPr>
          <w:rFonts w:cs="Arial"/>
        </w:rPr>
      </w:pPr>
      <w:r w:rsidRPr="00E914FB">
        <w:rPr>
          <w:rFonts w:cs="Arial"/>
        </w:rPr>
        <w:t>Table 9 shows the SVR12 rates for genotype 1b-infected, treatment-experienced subjects who receive</w:t>
      </w:r>
      <w:r w:rsidR="00504ECC" w:rsidRPr="00E914FB">
        <w:rPr>
          <w:rFonts w:cs="Arial"/>
        </w:rPr>
        <w:t>d VIEKIRA PAK or VIEKIRA PAK</w:t>
      </w:r>
      <w:r w:rsidR="00775DC4">
        <w:rPr>
          <w:rFonts w:cs="Arial"/>
        </w:rPr>
        <w:t>-RBV</w:t>
      </w:r>
      <w:r w:rsidRPr="00E914FB">
        <w:rPr>
          <w:rFonts w:cs="Arial"/>
        </w:rPr>
        <w:t xml:space="preserve"> for 12 weeks in PEARL II. In this study, VIEKIRA PAK had a similar SVR12 rate (100%) compared to VIEKIRA PAK</w:t>
      </w:r>
      <w:r w:rsidR="00504ECC" w:rsidRPr="00E914FB">
        <w:rPr>
          <w:rFonts w:cs="Arial"/>
        </w:rPr>
        <w:t xml:space="preserve"> with ribavirin</w:t>
      </w:r>
      <w:r w:rsidRPr="00E914FB">
        <w:rPr>
          <w:rFonts w:cs="Arial"/>
        </w:rPr>
        <w:t xml:space="preserve"> (97.7%).</w:t>
      </w:r>
    </w:p>
    <w:p w14:paraId="3D922333" w14:textId="7435C4F9" w:rsidR="0026770B" w:rsidRPr="00E914FB" w:rsidRDefault="0026770B" w:rsidP="0026770B">
      <w:pPr>
        <w:rPr>
          <w:rFonts w:cs="Arial"/>
          <w:b/>
        </w:rPr>
      </w:pPr>
      <w:r w:rsidRPr="00E914FB">
        <w:rPr>
          <w:rFonts w:cs="Arial"/>
          <w:b/>
        </w:rPr>
        <w:t>Table 9:  SVR12 for Genotype 1b-infected Treatment-Experienced Subjects in PEARL II</w:t>
      </w:r>
    </w:p>
    <w:tbl>
      <w:tblPr>
        <w:tblW w:w="5000" w:type="pct"/>
        <w:tblLayout w:type="fixed"/>
        <w:tblLook w:val="0000" w:firstRow="0" w:lastRow="0" w:firstColumn="0" w:lastColumn="0" w:noHBand="0" w:noVBand="0"/>
      </w:tblPr>
      <w:tblGrid>
        <w:gridCol w:w="3165"/>
        <w:gridCol w:w="747"/>
        <w:gridCol w:w="652"/>
        <w:gridCol w:w="1214"/>
        <w:gridCol w:w="961"/>
        <w:gridCol w:w="961"/>
        <w:gridCol w:w="1542"/>
      </w:tblGrid>
      <w:tr w:rsidR="0026770B" w:rsidRPr="00E914FB" w14:paraId="4389317A" w14:textId="77777777" w:rsidTr="00D23AAE">
        <w:trPr>
          <w:trHeight w:val="454"/>
        </w:trPr>
        <w:tc>
          <w:tcPr>
            <w:tcW w:w="1712" w:type="pct"/>
            <w:vMerge w:val="restart"/>
            <w:tcBorders>
              <w:bottom w:val="single" w:sz="4" w:space="0" w:color="auto"/>
            </w:tcBorders>
            <w:shd w:val="clear" w:color="auto" w:fill="auto"/>
          </w:tcPr>
          <w:p w14:paraId="206B8B6F"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p>
        </w:tc>
        <w:tc>
          <w:tcPr>
            <w:tcW w:w="1413" w:type="pct"/>
            <w:gridSpan w:val="3"/>
            <w:tcBorders>
              <w:top w:val="single" w:sz="4" w:space="0" w:color="auto"/>
              <w:bottom w:val="single" w:sz="4" w:space="0" w:color="auto"/>
            </w:tcBorders>
            <w:shd w:val="clear" w:color="auto" w:fill="auto"/>
          </w:tcPr>
          <w:p w14:paraId="58D0E210" w14:textId="708D9DE6" w:rsidR="0026770B" w:rsidRPr="00E914FB" w:rsidRDefault="00D23AAE" w:rsidP="00D23AAE">
            <w:pPr>
              <w:pStyle w:val="TableLeft9"/>
              <w:spacing w:before="0" w:after="0" w:line="300" w:lineRule="auto"/>
              <w:jc w:val="center"/>
              <w:rPr>
                <w:rFonts w:asciiTheme="minorHAnsi" w:hAnsiTheme="minorHAnsi" w:cstheme="minorHAnsi"/>
                <w:sz w:val="20"/>
                <w:szCs w:val="20"/>
                <w:lang w:val="en-AU"/>
              </w:rPr>
            </w:pPr>
            <w:r>
              <w:rPr>
                <w:rFonts w:asciiTheme="minorHAnsi" w:hAnsiTheme="minorHAnsi" w:cstheme="minorHAnsi"/>
                <w:b/>
                <w:sz w:val="20"/>
                <w:szCs w:val="20"/>
                <w:lang w:val="en-AU"/>
              </w:rPr>
              <w:t>VIEKIRA PAK-RBV for 12 weeks</w:t>
            </w:r>
          </w:p>
        </w:tc>
        <w:tc>
          <w:tcPr>
            <w:tcW w:w="1875" w:type="pct"/>
            <w:gridSpan w:val="3"/>
            <w:tcBorders>
              <w:top w:val="single" w:sz="4" w:space="0" w:color="auto"/>
              <w:bottom w:val="single" w:sz="4" w:space="0" w:color="auto"/>
            </w:tcBorders>
            <w:shd w:val="clear" w:color="auto" w:fill="auto"/>
          </w:tcPr>
          <w:p w14:paraId="607D5741" w14:textId="03EF833C" w:rsidR="0026770B" w:rsidRPr="00E914FB" w:rsidRDefault="00D23AAE" w:rsidP="00890582">
            <w:pPr>
              <w:pStyle w:val="TableLeft9"/>
              <w:spacing w:before="0" w:after="0" w:line="300" w:lineRule="auto"/>
              <w:jc w:val="center"/>
              <w:rPr>
                <w:rFonts w:asciiTheme="minorHAnsi" w:hAnsiTheme="minorHAnsi" w:cstheme="minorHAnsi"/>
                <w:sz w:val="20"/>
                <w:szCs w:val="20"/>
                <w:lang w:val="en-AU"/>
              </w:rPr>
            </w:pPr>
            <w:r>
              <w:rPr>
                <w:rFonts w:asciiTheme="minorHAnsi" w:hAnsiTheme="minorHAnsi" w:cstheme="minorHAnsi"/>
                <w:b/>
                <w:sz w:val="20"/>
                <w:szCs w:val="20"/>
                <w:lang w:val="en-AU"/>
              </w:rPr>
              <w:t>VIEKIRAPAK for 12 weeks</w:t>
            </w:r>
          </w:p>
        </w:tc>
      </w:tr>
      <w:tr w:rsidR="0026770B" w:rsidRPr="00E914FB" w14:paraId="79A26B75" w14:textId="77777777" w:rsidTr="00D23AAE">
        <w:trPr>
          <w:trHeight w:val="454"/>
        </w:trPr>
        <w:tc>
          <w:tcPr>
            <w:tcW w:w="1712" w:type="pct"/>
            <w:vMerge/>
            <w:tcBorders>
              <w:top w:val="single" w:sz="4" w:space="0" w:color="auto"/>
              <w:bottom w:val="single" w:sz="4" w:space="0" w:color="auto"/>
            </w:tcBorders>
            <w:shd w:val="clear" w:color="auto" w:fill="auto"/>
          </w:tcPr>
          <w:p w14:paraId="013BFF7F"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p>
        </w:tc>
        <w:tc>
          <w:tcPr>
            <w:tcW w:w="404" w:type="pct"/>
            <w:tcBorders>
              <w:top w:val="single" w:sz="4" w:space="0" w:color="auto"/>
              <w:bottom w:val="single" w:sz="4" w:space="0" w:color="auto"/>
            </w:tcBorders>
            <w:shd w:val="clear" w:color="auto" w:fill="auto"/>
          </w:tcPr>
          <w:p w14:paraId="75C56D5F"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n/N</w:t>
            </w:r>
          </w:p>
        </w:tc>
        <w:tc>
          <w:tcPr>
            <w:tcW w:w="353" w:type="pct"/>
            <w:tcBorders>
              <w:top w:val="single" w:sz="4" w:space="0" w:color="auto"/>
              <w:bottom w:val="single" w:sz="4" w:space="0" w:color="auto"/>
            </w:tcBorders>
            <w:shd w:val="clear" w:color="auto" w:fill="auto"/>
          </w:tcPr>
          <w:p w14:paraId="3201C53B"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w:t>
            </w:r>
          </w:p>
        </w:tc>
        <w:tc>
          <w:tcPr>
            <w:tcW w:w="657" w:type="pct"/>
            <w:tcBorders>
              <w:top w:val="single" w:sz="4" w:space="0" w:color="auto"/>
              <w:bottom w:val="single" w:sz="4" w:space="0" w:color="auto"/>
            </w:tcBorders>
            <w:shd w:val="clear" w:color="auto" w:fill="auto"/>
          </w:tcPr>
          <w:p w14:paraId="08F84712"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95% CI</w:t>
            </w:r>
          </w:p>
        </w:tc>
        <w:tc>
          <w:tcPr>
            <w:tcW w:w="520" w:type="pct"/>
            <w:tcBorders>
              <w:top w:val="single" w:sz="4" w:space="0" w:color="auto"/>
              <w:bottom w:val="single" w:sz="4" w:space="0" w:color="auto"/>
            </w:tcBorders>
            <w:shd w:val="clear" w:color="auto" w:fill="auto"/>
          </w:tcPr>
          <w:p w14:paraId="37CB40D3"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n/N</w:t>
            </w:r>
          </w:p>
        </w:tc>
        <w:tc>
          <w:tcPr>
            <w:tcW w:w="520" w:type="pct"/>
            <w:tcBorders>
              <w:top w:val="single" w:sz="4" w:space="0" w:color="auto"/>
              <w:bottom w:val="single" w:sz="4" w:space="0" w:color="auto"/>
            </w:tcBorders>
            <w:shd w:val="clear" w:color="auto" w:fill="auto"/>
          </w:tcPr>
          <w:p w14:paraId="0B82BCD7"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w:t>
            </w:r>
          </w:p>
        </w:tc>
        <w:tc>
          <w:tcPr>
            <w:tcW w:w="835" w:type="pct"/>
            <w:tcBorders>
              <w:top w:val="single" w:sz="4" w:space="0" w:color="auto"/>
              <w:bottom w:val="single" w:sz="4" w:space="0" w:color="auto"/>
            </w:tcBorders>
            <w:shd w:val="clear" w:color="auto" w:fill="auto"/>
          </w:tcPr>
          <w:p w14:paraId="319343F2" w14:textId="77777777" w:rsidR="0026770B" w:rsidRPr="00E914FB" w:rsidRDefault="0026770B" w:rsidP="00890582">
            <w:pPr>
              <w:pStyle w:val="TableLeft9"/>
              <w:spacing w:before="0" w:after="0" w:line="300" w:lineRule="auto"/>
              <w:jc w:val="center"/>
              <w:rPr>
                <w:rFonts w:asciiTheme="minorHAnsi" w:hAnsiTheme="minorHAnsi" w:cstheme="minorHAnsi"/>
                <w:b/>
                <w:sz w:val="20"/>
                <w:szCs w:val="20"/>
                <w:lang w:val="en-AU"/>
              </w:rPr>
            </w:pPr>
            <w:r w:rsidRPr="00E914FB">
              <w:rPr>
                <w:rFonts w:asciiTheme="minorHAnsi" w:hAnsiTheme="minorHAnsi" w:cstheme="minorHAnsi"/>
                <w:b/>
                <w:sz w:val="20"/>
                <w:szCs w:val="20"/>
                <w:lang w:val="en-AU"/>
              </w:rPr>
              <w:t>95% CI</w:t>
            </w:r>
          </w:p>
        </w:tc>
      </w:tr>
      <w:tr w:rsidR="0026770B" w:rsidRPr="00E914FB" w14:paraId="28D2BAE0" w14:textId="77777777" w:rsidTr="00D23AAE">
        <w:trPr>
          <w:trHeight w:val="454"/>
        </w:trPr>
        <w:tc>
          <w:tcPr>
            <w:tcW w:w="1712" w:type="pct"/>
            <w:tcBorders>
              <w:top w:val="single" w:sz="4" w:space="0" w:color="auto"/>
              <w:bottom w:val="single" w:sz="4" w:space="0" w:color="auto"/>
            </w:tcBorders>
            <w:shd w:val="clear" w:color="auto" w:fill="auto"/>
          </w:tcPr>
          <w:p w14:paraId="670171D2" w14:textId="77777777" w:rsidR="0026770B" w:rsidRPr="00E914FB" w:rsidRDefault="0026770B" w:rsidP="00890582">
            <w:pPr>
              <w:pStyle w:val="TableLeft9"/>
              <w:spacing w:before="0" w:after="0" w:line="300" w:lineRule="auto"/>
              <w:rPr>
                <w:rFonts w:asciiTheme="minorHAnsi" w:hAnsiTheme="minorHAnsi" w:cstheme="minorHAnsi"/>
                <w:b/>
                <w:sz w:val="20"/>
                <w:szCs w:val="20"/>
                <w:lang w:val="en-AU"/>
              </w:rPr>
            </w:pPr>
            <w:r w:rsidRPr="00E914FB">
              <w:rPr>
                <w:rFonts w:asciiTheme="minorHAnsi" w:hAnsiTheme="minorHAnsi" w:cstheme="minorHAnsi"/>
                <w:b/>
                <w:sz w:val="20"/>
                <w:szCs w:val="20"/>
                <w:lang w:val="en-AU"/>
              </w:rPr>
              <w:t>Overall SVR12</w:t>
            </w:r>
          </w:p>
        </w:tc>
        <w:tc>
          <w:tcPr>
            <w:tcW w:w="404" w:type="pct"/>
            <w:tcBorders>
              <w:top w:val="single" w:sz="4" w:space="0" w:color="auto"/>
              <w:bottom w:val="single" w:sz="4" w:space="0" w:color="auto"/>
            </w:tcBorders>
            <w:shd w:val="clear" w:color="auto" w:fill="auto"/>
          </w:tcPr>
          <w:p w14:paraId="3D786AF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86/88</w:t>
            </w:r>
          </w:p>
        </w:tc>
        <w:tc>
          <w:tcPr>
            <w:tcW w:w="353" w:type="pct"/>
            <w:tcBorders>
              <w:top w:val="single" w:sz="4" w:space="0" w:color="auto"/>
              <w:bottom w:val="single" w:sz="4" w:space="0" w:color="auto"/>
            </w:tcBorders>
            <w:shd w:val="clear" w:color="auto" w:fill="auto"/>
          </w:tcPr>
          <w:p w14:paraId="4FAC723A"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97.7</w:t>
            </w:r>
          </w:p>
        </w:tc>
        <w:tc>
          <w:tcPr>
            <w:tcW w:w="657" w:type="pct"/>
            <w:tcBorders>
              <w:top w:val="single" w:sz="4" w:space="0" w:color="auto"/>
              <w:bottom w:val="single" w:sz="4" w:space="0" w:color="auto"/>
            </w:tcBorders>
            <w:shd w:val="clear" w:color="auto" w:fill="auto"/>
          </w:tcPr>
          <w:p w14:paraId="25A6F583"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94.6, 100.0</w:t>
            </w:r>
          </w:p>
        </w:tc>
        <w:tc>
          <w:tcPr>
            <w:tcW w:w="520" w:type="pct"/>
            <w:tcBorders>
              <w:top w:val="single" w:sz="4" w:space="0" w:color="auto"/>
              <w:bottom w:val="single" w:sz="4" w:space="0" w:color="auto"/>
            </w:tcBorders>
            <w:shd w:val="clear" w:color="auto" w:fill="auto"/>
          </w:tcPr>
          <w:p w14:paraId="11255F49"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91/91</w:t>
            </w:r>
          </w:p>
        </w:tc>
        <w:tc>
          <w:tcPr>
            <w:tcW w:w="520" w:type="pct"/>
            <w:tcBorders>
              <w:top w:val="single" w:sz="4" w:space="0" w:color="auto"/>
              <w:bottom w:val="single" w:sz="4" w:space="0" w:color="auto"/>
            </w:tcBorders>
            <w:shd w:val="clear" w:color="auto" w:fill="auto"/>
          </w:tcPr>
          <w:p w14:paraId="61C52BF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100</w:t>
            </w:r>
          </w:p>
        </w:tc>
        <w:tc>
          <w:tcPr>
            <w:tcW w:w="835" w:type="pct"/>
            <w:tcBorders>
              <w:top w:val="single" w:sz="4" w:space="0" w:color="auto"/>
              <w:bottom w:val="single" w:sz="4" w:space="0" w:color="auto"/>
            </w:tcBorders>
            <w:shd w:val="clear" w:color="auto" w:fill="auto"/>
          </w:tcPr>
          <w:p w14:paraId="64338DC5"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95.9, 100.0</w:t>
            </w:r>
          </w:p>
        </w:tc>
      </w:tr>
      <w:tr w:rsidR="0026770B" w:rsidRPr="00E914FB" w14:paraId="262948D5" w14:textId="77777777" w:rsidTr="00D23AAE">
        <w:trPr>
          <w:trHeight w:val="454"/>
        </w:trPr>
        <w:tc>
          <w:tcPr>
            <w:tcW w:w="1712" w:type="pct"/>
            <w:tcBorders>
              <w:top w:val="single" w:sz="4" w:space="0" w:color="auto"/>
            </w:tcBorders>
            <w:shd w:val="clear" w:color="auto" w:fill="auto"/>
          </w:tcPr>
          <w:p w14:paraId="3757E3F7"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r w:rsidRPr="00E914FB">
              <w:rPr>
                <w:rFonts w:asciiTheme="minorHAnsi" w:hAnsiTheme="minorHAnsi" w:cstheme="minorHAnsi"/>
                <w:sz w:val="20"/>
                <w:szCs w:val="20"/>
                <w:lang w:val="en-AU"/>
              </w:rPr>
              <w:t>Prior pegIFN/RBV null responder</w:t>
            </w:r>
          </w:p>
        </w:tc>
        <w:tc>
          <w:tcPr>
            <w:tcW w:w="404" w:type="pct"/>
            <w:tcBorders>
              <w:top w:val="single" w:sz="4" w:space="0" w:color="auto"/>
            </w:tcBorders>
            <w:shd w:val="clear" w:color="auto" w:fill="auto"/>
          </w:tcPr>
          <w:p w14:paraId="41D1443C"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30/31</w:t>
            </w:r>
          </w:p>
        </w:tc>
        <w:tc>
          <w:tcPr>
            <w:tcW w:w="353" w:type="pct"/>
            <w:tcBorders>
              <w:top w:val="single" w:sz="4" w:space="0" w:color="auto"/>
            </w:tcBorders>
            <w:shd w:val="clear" w:color="auto" w:fill="auto"/>
          </w:tcPr>
          <w:p w14:paraId="143392E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96.8</w:t>
            </w:r>
          </w:p>
        </w:tc>
        <w:tc>
          <w:tcPr>
            <w:tcW w:w="657" w:type="pct"/>
            <w:tcBorders>
              <w:top w:val="single" w:sz="4" w:space="0" w:color="auto"/>
            </w:tcBorders>
            <w:shd w:val="clear" w:color="auto" w:fill="auto"/>
          </w:tcPr>
          <w:p w14:paraId="1997915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90.6, 100.0</w:t>
            </w:r>
          </w:p>
        </w:tc>
        <w:tc>
          <w:tcPr>
            <w:tcW w:w="520" w:type="pct"/>
            <w:tcBorders>
              <w:top w:val="single" w:sz="4" w:space="0" w:color="auto"/>
            </w:tcBorders>
            <w:shd w:val="clear" w:color="auto" w:fill="auto"/>
          </w:tcPr>
          <w:p w14:paraId="66AFA63F"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32/32</w:t>
            </w:r>
          </w:p>
        </w:tc>
        <w:tc>
          <w:tcPr>
            <w:tcW w:w="520" w:type="pct"/>
            <w:tcBorders>
              <w:top w:val="single" w:sz="4" w:space="0" w:color="auto"/>
            </w:tcBorders>
            <w:shd w:val="clear" w:color="auto" w:fill="auto"/>
          </w:tcPr>
          <w:p w14:paraId="7B89B173"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100</w:t>
            </w:r>
          </w:p>
        </w:tc>
        <w:tc>
          <w:tcPr>
            <w:tcW w:w="835" w:type="pct"/>
            <w:tcBorders>
              <w:top w:val="single" w:sz="4" w:space="0" w:color="auto"/>
            </w:tcBorders>
            <w:shd w:val="clear" w:color="auto" w:fill="auto"/>
          </w:tcPr>
          <w:p w14:paraId="6C697E9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89.3, 100.0</w:t>
            </w:r>
          </w:p>
        </w:tc>
      </w:tr>
      <w:tr w:rsidR="0026770B" w:rsidRPr="00E914FB" w14:paraId="1BBBE614" w14:textId="77777777" w:rsidTr="00D23AAE">
        <w:trPr>
          <w:trHeight w:val="454"/>
        </w:trPr>
        <w:tc>
          <w:tcPr>
            <w:tcW w:w="1712" w:type="pct"/>
            <w:shd w:val="clear" w:color="auto" w:fill="auto"/>
          </w:tcPr>
          <w:p w14:paraId="18DBEA39"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r w:rsidRPr="00E914FB">
              <w:rPr>
                <w:rFonts w:asciiTheme="minorHAnsi" w:hAnsiTheme="minorHAnsi" w:cstheme="minorHAnsi"/>
                <w:sz w:val="20"/>
                <w:szCs w:val="20"/>
                <w:lang w:val="en-AU"/>
              </w:rPr>
              <w:t>Prior pegIFN/RBV partial  responder</w:t>
            </w:r>
          </w:p>
        </w:tc>
        <w:tc>
          <w:tcPr>
            <w:tcW w:w="404" w:type="pct"/>
            <w:shd w:val="clear" w:color="auto" w:fill="auto"/>
          </w:tcPr>
          <w:p w14:paraId="47B5543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24/25</w:t>
            </w:r>
          </w:p>
        </w:tc>
        <w:tc>
          <w:tcPr>
            <w:tcW w:w="353" w:type="pct"/>
            <w:shd w:val="clear" w:color="auto" w:fill="auto"/>
          </w:tcPr>
          <w:p w14:paraId="126B9A3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96.0</w:t>
            </w:r>
          </w:p>
        </w:tc>
        <w:tc>
          <w:tcPr>
            <w:tcW w:w="657" w:type="pct"/>
            <w:shd w:val="clear" w:color="auto" w:fill="auto"/>
          </w:tcPr>
          <w:p w14:paraId="45081595"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88.3, 100.0</w:t>
            </w:r>
          </w:p>
        </w:tc>
        <w:tc>
          <w:tcPr>
            <w:tcW w:w="520" w:type="pct"/>
            <w:shd w:val="clear" w:color="auto" w:fill="auto"/>
          </w:tcPr>
          <w:p w14:paraId="6230DAA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26/26</w:t>
            </w:r>
          </w:p>
        </w:tc>
        <w:tc>
          <w:tcPr>
            <w:tcW w:w="520" w:type="pct"/>
            <w:shd w:val="clear" w:color="auto" w:fill="auto"/>
          </w:tcPr>
          <w:p w14:paraId="07413D9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100</w:t>
            </w:r>
          </w:p>
        </w:tc>
        <w:tc>
          <w:tcPr>
            <w:tcW w:w="835" w:type="pct"/>
            <w:shd w:val="clear" w:color="auto" w:fill="auto"/>
          </w:tcPr>
          <w:p w14:paraId="6CE4AC89"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87.1, 100.0</w:t>
            </w:r>
          </w:p>
        </w:tc>
      </w:tr>
      <w:tr w:rsidR="0026770B" w:rsidRPr="00E914FB" w14:paraId="126A32B1" w14:textId="77777777" w:rsidTr="00D23AAE">
        <w:trPr>
          <w:trHeight w:val="454"/>
        </w:trPr>
        <w:tc>
          <w:tcPr>
            <w:tcW w:w="1712" w:type="pct"/>
            <w:tcBorders>
              <w:bottom w:val="single" w:sz="4" w:space="0" w:color="auto"/>
            </w:tcBorders>
            <w:shd w:val="clear" w:color="auto" w:fill="auto"/>
          </w:tcPr>
          <w:p w14:paraId="12764CBC"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r w:rsidRPr="00E914FB">
              <w:rPr>
                <w:rFonts w:asciiTheme="minorHAnsi" w:hAnsiTheme="minorHAnsi" w:cstheme="minorHAnsi"/>
                <w:sz w:val="20"/>
                <w:szCs w:val="20"/>
                <w:lang w:val="en-AU"/>
              </w:rPr>
              <w:t>Prior pegIFN/RBV relapser</w:t>
            </w:r>
          </w:p>
        </w:tc>
        <w:tc>
          <w:tcPr>
            <w:tcW w:w="404" w:type="pct"/>
            <w:tcBorders>
              <w:bottom w:val="single" w:sz="4" w:space="0" w:color="auto"/>
            </w:tcBorders>
            <w:shd w:val="clear" w:color="auto" w:fill="auto"/>
          </w:tcPr>
          <w:p w14:paraId="5F6A760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32/32</w:t>
            </w:r>
          </w:p>
        </w:tc>
        <w:tc>
          <w:tcPr>
            <w:tcW w:w="353" w:type="pct"/>
            <w:tcBorders>
              <w:bottom w:val="single" w:sz="4" w:space="0" w:color="auto"/>
            </w:tcBorders>
            <w:shd w:val="clear" w:color="auto" w:fill="auto"/>
          </w:tcPr>
          <w:p w14:paraId="123DD69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100</w:t>
            </w:r>
          </w:p>
        </w:tc>
        <w:tc>
          <w:tcPr>
            <w:tcW w:w="657" w:type="pct"/>
            <w:tcBorders>
              <w:bottom w:val="single" w:sz="4" w:space="0" w:color="auto"/>
            </w:tcBorders>
            <w:shd w:val="clear" w:color="auto" w:fill="auto"/>
          </w:tcPr>
          <w:p w14:paraId="695D0FC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89.3, 100.0</w:t>
            </w:r>
          </w:p>
        </w:tc>
        <w:tc>
          <w:tcPr>
            <w:tcW w:w="520" w:type="pct"/>
            <w:tcBorders>
              <w:bottom w:val="single" w:sz="4" w:space="0" w:color="auto"/>
            </w:tcBorders>
            <w:shd w:val="clear" w:color="auto" w:fill="auto"/>
          </w:tcPr>
          <w:p w14:paraId="323236DB"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33/33</w:t>
            </w:r>
          </w:p>
        </w:tc>
        <w:tc>
          <w:tcPr>
            <w:tcW w:w="520" w:type="pct"/>
            <w:tcBorders>
              <w:bottom w:val="single" w:sz="4" w:space="0" w:color="auto"/>
            </w:tcBorders>
            <w:shd w:val="clear" w:color="auto" w:fill="auto"/>
          </w:tcPr>
          <w:p w14:paraId="4B6F3DEF"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100</w:t>
            </w:r>
          </w:p>
        </w:tc>
        <w:tc>
          <w:tcPr>
            <w:tcW w:w="835" w:type="pct"/>
            <w:tcBorders>
              <w:bottom w:val="single" w:sz="4" w:space="0" w:color="auto"/>
            </w:tcBorders>
            <w:shd w:val="clear" w:color="auto" w:fill="auto"/>
          </w:tcPr>
          <w:p w14:paraId="05A7D384"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89.6, 100.0</w:t>
            </w:r>
          </w:p>
        </w:tc>
      </w:tr>
      <w:tr w:rsidR="0026770B" w:rsidRPr="00E914FB" w14:paraId="0AC12D4F" w14:textId="77777777" w:rsidTr="00D23AAE">
        <w:trPr>
          <w:trHeight w:val="454"/>
        </w:trPr>
        <w:tc>
          <w:tcPr>
            <w:tcW w:w="1712" w:type="pct"/>
            <w:tcBorders>
              <w:top w:val="single" w:sz="4" w:space="0" w:color="auto"/>
              <w:bottom w:val="single" w:sz="4" w:space="0" w:color="auto"/>
            </w:tcBorders>
            <w:shd w:val="clear" w:color="auto" w:fill="auto"/>
          </w:tcPr>
          <w:p w14:paraId="0F276B93" w14:textId="77777777" w:rsidR="0026770B" w:rsidRPr="00E914FB" w:rsidRDefault="0026770B" w:rsidP="00890582">
            <w:pPr>
              <w:pStyle w:val="TableLeft9"/>
              <w:spacing w:before="0" w:after="0" w:line="300" w:lineRule="auto"/>
              <w:rPr>
                <w:rFonts w:asciiTheme="minorHAnsi" w:hAnsiTheme="minorHAnsi" w:cstheme="minorHAnsi"/>
                <w:b/>
                <w:sz w:val="20"/>
                <w:szCs w:val="20"/>
                <w:lang w:val="en-AU"/>
              </w:rPr>
            </w:pPr>
            <w:r w:rsidRPr="00E914FB">
              <w:rPr>
                <w:rFonts w:asciiTheme="minorHAnsi" w:hAnsiTheme="minorHAnsi" w:cstheme="minorHAnsi"/>
                <w:b/>
                <w:sz w:val="20"/>
                <w:szCs w:val="20"/>
                <w:lang w:val="en-AU"/>
              </w:rPr>
              <w:t>Outcome for subjects without SVR12</w:t>
            </w:r>
          </w:p>
        </w:tc>
        <w:tc>
          <w:tcPr>
            <w:tcW w:w="404" w:type="pct"/>
            <w:tcBorders>
              <w:top w:val="single" w:sz="4" w:space="0" w:color="auto"/>
              <w:bottom w:val="single" w:sz="4" w:space="0" w:color="auto"/>
            </w:tcBorders>
            <w:shd w:val="clear" w:color="auto" w:fill="auto"/>
          </w:tcPr>
          <w:p w14:paraId="76568D83"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353" w:type="pct"/>
            <w:tcBorders>
              <w:top w:val="single" w:sz="4" w:space="0" w:color="auto"/>
              <w:bottom w:val="single" w:sz="4" w:space="0" w:color="auto"/>
            </w:tcBorders>
            <w:shd w:val="clear" w:color="auto" w:fill="auto"/>
          </w:tcPr>
          <w:p w14:paraId="717FD3BF"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657" w:type="pct"/>
            <w:tcBorders>
              <w:top w:val="single" w:sz="4" w:space="0" w:color="auto"/>
              <w:bottom w:val="single" w:sz="4" w:space="0" w:color="auto"/>
            </w:tcBorders>
            <w:shd w:val="clear" w:color="auto" w:fill="auto"/>
          </w:tcPr>
          <w:p w14:paraId="4FEB3BA6"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520" w:type="pct"/>
            <w:tcBorders>
              <w:top w:val="single" w:sz="4" w:space="0" w:color="auto"/>
              <w:bottom w:val="single" w:sz="4" w:space="0" w:color="auto"/>
            </w:tcBorders>
            <w:shd w:val="clear" w:color="auto" w:fill="auto"/>
          </w:tcPr>
          <w:p w14:paraId="0E5C337D"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520" w:type="pct"/>
            <w:tcBorders>
              <w:top w:val="single" w:sz="4" w:space="0" w:color="auto"/>
              <w:bottom w:val="single" w:sz="4" w:space="0" w:color="auto"/>
            </w:tcBorders>
            <w:shd w:val="clear" w:color="auto" w:fill="auto"/>
          </w:tcPr>
          <w:p w14:paraId="022FF045"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835" w:type="pct"/>
            <w:tcBorders>
              <w:top w:val="single" w:sz="4" w:space="0" w:color="auto"/>
            </w:tcBorders>
            <w:shd w:val="clear" w:color="auto" w:fill="auto"/>
          </w:tcPr>
          <w:p w14:paraId="042140D7"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r>
      <w:tr w:rsidR="0026770B" w:rsidRPr="00E914FB" w14:paraId="566103B3" w14:textId="77777777" w:rsidTr="00D23AAE">
        <w:trPr>
          <w:trHeight w:val="454"/>
        </w:trPr>
        <w:tc>
          <w:tcPr>
            <w:tcW w:w="1712" w:type="pct"/>
            <w:tcBorders>
              <w:top w:val="single" w:sz="4" w:space="0" w:color="auto"/>
            </w:tcBorders>
            <w:shd w:val="clear" w:color="auto" w:fill="auto"/>
          </w:tcPr>
          <w:p w14:paraId="2FF3F8D3"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r w:rsidRPr="00E914FB">
              <w:rPr>
                <w:rFonts w:asciiTheme="minorHAnsi" w:hAnsiTheme="minorHAnsi" w:cstheme="minorHAnsi"/>
                <w:sz w:val="20"/>
                <w:szCs w:val="20"/>
                <w:lang w:val="en-AU"/>
              </w:rPr>
              <w:tab/>
              <w:t>On-treatment VF</w:t>
            </w:r>
            <w:r w:rsidRPr="00E914FB">
              <w:rPr>
                <w:rFonts w:asciiTheme="minorHAnsi" w:hAnsiTheme="minorHAnsi" w:cstheme="minorHAnsi"/>
                <w:sz w:val="20"/>
                <w:szCs w:val="20"/>
                <w:vertAlign w:val="superscript"/>
                <w:lang w:val="en-AU"/>
              </w:rPr>
              <w:t>a</w:t>
            </w:r>
          </w:p>
        </w:tc>
        <w:tc>
          <w:tcPr>
            <w:tcW w:w="404" w:type="pct"/>
            <w:tcBorders>
              <w:top w:val="single" w:sz="4" w:space="0" w:color="auto"/>
            </w:tcBorders>
            <w:shd w:val="clear" w:color="auto" w:fill="auto"/>
          </w:tcPr>
          <w:p w14:paraId="3D9D93A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0/88</w:t>
            </w:r>
          </w:p>
        </w:tc>
        <w:tc>
          <w:tcPr>
            <w:tcW w:w="353" w:type="pct"/>
            <w:tcBorders>
              <w:top w:val="single" w:sz="4" w:space="0" w:color="auto"/>
            </w:tcBorders>
            <w:shd w:val="clear" w:color="auto" w:fill="auto"/>
          </w:tcPr>
          <w:p w14:paraId="61367600"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w:t>
            </w:r>
          </w:p>
        </w:tc>
        <w:tc>
          <w:tcPr>
            <w:tcW w:w="657" w:type="pct"/>
            <w:tcBorders>
              <w:top w:val="single" w:sz="4" w:space="0" w:color="auto"/>
            </w:tcBorders>
            <w:shd w:val="clear" w:color="auto" w:fill="auto"/>
          </w:tcPr>
          <w:p w14:paraId="0159B7B1"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520" w:type="pct"/>
            <w:tcBorders>
              <w:top w:val="single" w:sz="4" w:space="0" w:color="auto"/>
            </w:tcBorders>
            <w:shd w:val="clear" w:color="auto" w:fill="auto"/>
          </w:tcPr>
          <w:p w14:paraId="69E8C509"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0/91</w:t>
            </w:r>
          </w:p>
        </w:tc>
        <w:tc>
          <w:tcPr>
            <w:tcW w:w="520" w:type="pct"/>
            <w:tcBorders>
              <w:top w:val="single" w:sz="4" w:space="0" w:color="auto"/>
            </w:tcBorders>
            <w:shd w:val="clear" w:color="auto" w:fill="auto"/>
          </w:tcPr>
          <w:p w14:paraId="21DBCBE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w:t>
            </w:r>
          </w:p>
        </w:tc>
        <w:tc>
          <w:tcPr>
            <w:tcW w:w="835" w:type="pct"/>
            <w:shd w:val="clear" w:color="auto" w:fill="auto"/>
          </w:tcPr>
          <w:p w14:paraId="082A35DD"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r>
      <w:tr w:rsidR="0026770B" w:rsidRPr="00E914FB" w14:paraId="2E38C7FC" w14:textId="77777777" w:rsidTr="00D23AAE">
        <w:trPr>
          <w:trHeight w:val="454"/>
        </w:trPr>
        <w:tc>
          <w:tcPr>
            <w:tcW w:w="1712" w:type="pct"/>
            <w:shd w:val="clear" w:color="auto" w:fill="auto"/>
          </w:tcPr>
          <w:p w14:paraId="62D7CE81"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r w:rsidRPr="00E914FB">
              <w:rPr>
                <w:rFonts w:asciiTheme="minorHAnsi" w:hAnsiTheme="minorHAnsi" w:cstheme="minorHAnsi"/>
                <w:sz w:val="20"/>
                <w:szCs w:val="20"/>
                <w:lang w:val="en-AU"/>
              </w:rPr>
              <w:tab/>
              <w:t>Relapse</w:t>
            </w:r>
            <w:r w:rsidRPr="00E914FB">
              <w:rPr>
                <w:rFonts w:asciiTheme="minorHAnsi" w:hAnsiTheme="minorHAnsi" w:cstheme="minorHAnsi"/>
                <w:sz w:val="20"/>
                <w:szCs w:val="20"/>
                <w:vertAlign w:val="superscript"/>
                <w:lang w:val="en-AU"/>
              </w:rPr>
              <w:t>b</w:t>
            </w:r>
          </w:p>
        </w:tc>
        <w:tc>
          <w:tcPr>
            <w:tcW w:w="404" w:type="pct"/>
            <w:shd w:val="clear" w:color="auto" w:fill="auto"/>
          </w:tcPr>
          <w:p w14:paraId="0C1A1AF6"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0/88</w:t>
            </w:r>
          </w:p>
        </w:tc>
        <w:tc>
          <w:tcPr>
            <w:tcW w:w="353" w:type="pct"/>
            <w:shd w:val="clear" w:color="auto" w:fill="auto"/>
          </w:tcPr>
          <w:p w14:paraId="6088F8A7"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w:t>
            </w:r>
          </w:p>
        </w:tc>
        <w:tc>
          <w:tcPr>
            <w:tcW w:w="657" w:type="pct"/>
            <w:shd w:val="clear" w:color="auto" w:fill="auto"/>
          </w:tcPr>
          <w:p w14:paraId="01B7FBBC"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520" w:type="pct"/>
            <w:shd w:val="clear" w:color="auto" w:fill="auto"/>
          </w:tcPr>
          <w:p w14:paraId="0A40FF57"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0/91</w:t>
            </w:r>
          </w:p>
        </w:tc>
        <w:tc>
          <w:tcPr>
            <w:tcW w:w="520" w:type="pct"/>
            <w:shd w:val="clear" w:color="auto" w:fill="auto"/>
          </w:tcPr>
          <w:p w14:paraId="7A906E3E"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w:t>
            </w:r>
          </w:p>
        </w:tc>
        <w:tc>
          <w:tcPr>
            <w:tcW w:w="835" w:type="pct"/>
            <w:shd w:val="clear" w:color="auto" w:fill="auto"/>
          </w:tcPr>
          <w:p w14:paraId="11E235DB"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r>
      <w:tr w:rsidR="0026770B" w:rsidRPr="00E914FB" w14:paraId="50673ED4" w14:textId="77777777" w:rsidTr="00D23AAE">
        <w:trPr>
          <w:trHeight w:val="454"/>
        </w:trPr>
        <w:tc>
          <w:tcPr>
            <w:tcW w:w="1712" w:type="pct"/>
            <w:shd w:val="clear" w:color="auto" w:fill="auto"/>
          </w:tcPr>
          <w:p w14:paraId="535CD594" w14:textId="77777777" w:rsidR="0026770B" w:rsidRPr="00E914FB" w:rsidRDefault="0026770B" w:rsidP="00890582">
            <w:pPr>
              <w:pStyle w:val="TableLeft9"/>
              <w:spacing w:before="0" w:after="0" w:line="300" w:lineRule="auto"/>
              <w:rPr>
                <w:rFonts w:asciiTheme="minorHAnsi" w:hAnsiTheme="minorHAnsi" w:cstheme="minorHAnsi"/>
                <w:sz w:val="20"/>
                <w:szCs w:val="20"/>
                <w:lang w:val="en-AU"/>
              </w:rPr>
            </w:pPr>
            <w:r w:rsidRPr="00E914FB">
              <w:rPr>
                <w:rFonts w:asciiTheme="minorHAnsi" w:hAnsiTheme="minorHAnsi" w:cstheme="minorHAnsi"/>
                <w:sz w:val="20"/>
                <w:szCs w:val="20"/>
                <w:lang w:val="en-AU"/>
              </w:rPr>
              <w:tab/>
              <w:t>Other</w:t>
            </w:r>
            <w:r w:rsidRPr="00E914FB">
              <w:rPr>
                <w:rFonts w:asciiTheme="minorHAnsi" w:hAnsiTheme="minorHAnsi" w:cstheme="minorHAnsi"/>
                <w:sz w:val="20"/>
                <w:szCs w:val="20"/>
                <w:vertAlign w:val="superscript"/>
                <w:lang w:val="en-AU"/>
              </w:rPr>
              <w:t>c</w:t>
            </w:r>
          </w:p>
        </w:tc>
        <w:tc>
          <w:tcPr>
            <w:tcW w:w="404" w:type="pct"/>
            <w:shd w:val="clear" w:color="auto" w:fill="auto"/>
          </w:tcPr>
          <w:p w14:paraId="2B7A7019"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2/88</w:t>
            </w:r>
          </w:p>
        </w:tc>
        <w:tc>
          <w:tcPr>
            <w:tcW w:w="353" w:type="pct"/>
            <w:shd w:val="clear" w:color="auto" w:fill="auto"/>
          </w:tcPr>
          <w:p w14:paraId="132B470D"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2.3</w:t>
            </w:r>
          </w:p>
        </w:tc>
        <w:tc>
          <w:tcPr>
            <w:tcW w:w="657" w:type="pct"/>
            <w:shd w:val="clear" w:color="auto" w:fill="auto"/>
          </w:tcPr>
          <w:p w14:paraId="7E517AA3"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c>
          <w:tcPr>
            <w:tcW w:w="520" w:type="pct"/>
            <w:shd w:val="clear" w:color="auto" w:fill="auto"/>
          </w:tcPr>
          <w:p w14:paraId="16DAB2E8"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0/91</w:t>
            </w:r>
          </w:p>
        </w:tc>
        <w:tc>
          <w:tcPr>
            <w:tcW w:w="520" w:type="pct"/>
            <w:shd w:val="clear" w:color="auto" w:fill="auto"/>
          </w:tcPr>
          <w:p w14:paraId="5F0E3324"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r w:rsidRPr="00E914FB">
              <w:rPr>
                <w:rFonts w:asciiTheme="minorHAnsi" w:hAnsiTheme="minorHAnsi" w:cstheme="minorHAnsi"/>
                <w:sz w:val="20"/>
                <w:szCs w:val="20"/>
                <w:lang w:val="en-AU"/>
              </w:rPr>
              <w:t>0</w:t>
            </w:r>
          </w:p>
        </w:tc>
        <w:tc>
          <w:tcPr>
            <w:tcW w:w="835" w:type="pct"/>
            <w:shd w:val="clear" w:color="auto" w:fill="auto"/>
          </w:tcPr>
          <w:p w14:paraId="3ECCC325" w14:textId="77777777" w:rsidR="0026770B" w:rsidRPr="00E914FB" w:rsidRDefault="0026770B" w:rsidP="00890582">
            <w:pPr>
              <w:pStyle w:val="TableLeft9"/>
              <w:spacing w:before="0" w:after="0" w:line="300" w:lineRule="auto"/>
              <w:jc w:val="center"/>
              <w:rPr>
                <w:rFonts w:asciiTheme="minorHAnsi" w:hAnsiTheme="minorHAnsi" w:cstheme="minorHAnsi"/>
                <w:sz w:val="20"/>
                <w:szCs w:val="20"/>
                <w:lang w:val="en-AU"/>
              </w:rPr>
            </w:pPr>
          </w:p>
        </w:tc>
      </w:tr>
      <w:tr w:rsidR="0026770B" w:rsidRPr="00E914FB" w14:paraId="7BB8867A" w14:textId="77777777" w:rsidTr="00890582">
        <w:trPr>
          <w:trHeight w:val="454"/>
        </w:trPr>
        <w:tc>
          <w:tcPr>
            <w:tcW w:w="5000" w:type="pct"/>
            <w:gridSpan w:val="7"/>
            <w:tcBorders>
              <w:bottom w:val="single" w:sz="4" w:space="0" w:color="auto"/>
            </w:tcBorders>
            <w:shd w:val="clear" w:color="auto" w:fill="auto"/>
          </w:tcPr>
          <w:p w14:paraId="23E2236F" w14:textId="77777777" w:rsidR="0026770B" w:rsidRPr="00E914FB" w:rsidRDefault="0026770B" w:rsidP="00890582">
            <w:pPr>
              <w:keepNext/>
              <w:ind w:left="284" w:hanging="284"/>
              <w:jc w:val="both"/>
              <w:rPr>
                <w:rFonts w:cstheme="minorHAnsi"/>
                <w:sz w:val="20"/>
                <w:szCs w:val="20"/>
              </w:rPr>
            </w:pPr>
            <w:r w:rsidRPr="00E914FB">
              <w:rPr>
                <w:rFonts w:cstheme="minorHAnsi"/>
                <w:sz w:val="20"/>
                <w:szCs w:val="20"/>
              </w:rPr>
              <w:t>CI = confidence interval, VF = virologic failure</w:t>
            </w:r>
          </w:p>
          <w:p w14:paraId="357619B0" w14:textId="77777777" w:rsidR="0026770B" w:rsidRPr="00E914FB" w:rsidRDefault="0026770B" w:rsidP="00890582">
            <w:pPr>
              <w:pStyle w:val="TableFootnoteSymbol"/>
              <w:keepNext/>
              <w:spacing w:before="20" w:line="220" w:lineRule="exact"/>
              <w:ind w:left="284" w:hanging="284"/>
              <w:jc w:val="both"/>
              <w:rPr>
                <w:rFonts w:asciiTheme="minorHAnsi" w:hAnsiTheme="minorHAnsi" w:cstheme="minorHAnsi"/>
                <w:sz w:val="20"/>
                <w:szCs w:val="20"/>
                <w:lang w:val="en-AU"/>
              </w:rPr>
            </w:pPr>
            <w:r w:rsidRPr="00E914FB">
              <w:rPr>
                <w:rFonts w:asciiTheme="minorHAnsi" w:hAnsiTheme="minorHAnsi" w:cstheme="minorHAnsi"/>
                <w:sz w:val="20"/>
                <w:szCs w:val="20"/>
                <w:lang w:val="en-AU"/>
              </w:rPr>
              <w:t>a.</w:t>
            </w:r>
            <w:r w:rsidRPr="00E914FB">
              <w:rPr>
                <w:rFonts w:asciiTheme="minorHAnsi" w:hAnsiTheme="minorHAnsi" w:cstheme="minorHAnsi"/>
                <w:sz w:val="20"/>
                <w:szCs w:val="20"/>
                <w:lang w:val="en-AU"/>
              </w:rPr>
              <w:tab/>
              <w:t>On-treatment VF was defined as confirmed HCV ≥ 25 IU/mL after HCV RNA &lt; 25 IU/mL during treatment, confirmed 1 log</w:t>
            </w:r>
            <w:r w:rsidRPr="00E914FB">
              <w:rPr>
                <w:rFonts w:asciiTheme="minorHAnsi" w:hAnsiTheme="minorHAnsi" w:cstheme="minorHAnsi"/>
                <w:sz w:val="20"/>
                <w:szCs w:val="20"/>
                <w:vertAlign w:val="subscript"/>
                <w:lang w:val="en-AU"/>
              </w:rPr>
              <w:t>10</w:t>
            </w:r>
            <w:r w:rsidRPr="00E914FB">
              <w:rPr>
                <w:rFonts w:asciiTheme="minorHAnsi" w:hAnsiTheme="minorHAnsi" w:cstheme="minorHAnsi"/>
                <w:sz w:val="20"/>
                <w:szCs w:val="20"/>
                <w:lang w:val="en-AU"/>
              </w:rPr>
              <w:t xml:space="preserve"> IU/mL increase in HCV RNA from nadir, or HCV RNA persistently ≥ 25 IU/mL with at least 6 weeks of treatment.</w:t>
            </w:r>
          </w:p>
          <w:p w14:paraId="0EC44FE7" w14:textId="77777777" w:rsidR="0026770B" w:rsidRPr="00E914FB" w:rsidRDefault="0026770B" w:rsidP="00890582">
            <w:pPr>
              <w:pStyle w:val="TableFootnoteSymbol"/>
              <w:keepNext/>
              <w:tabs>
                <w:tab w:val="clear" w:pos="360"/>
                <w:tab w:val="left" w:pos="0"/>
              </w:tabs>
              <w:spacing w:before="20" w:line="220" w:lineRule="exact"/>
              <w:ind w:left="284" w:hanging="284"/>
              <w:jc w:val="both"/>
              <w:rPr>
                <w:rFonts w:asciiTheme="minorHAnsi" w:hAnsiTheme="minorHAnsi" w:cstheme="minorHAnsi"/>
                <w:sz w:val="20"/>
                <w:szCs w:val="20"/>
                <w:lang w:val="en-AU"/>
              </w:rPr>
            </w:pPr>
            <w:r w:rsidRPr="00E914FB">
              <w:rPr>
                <w:rFonts w:asciiTheme="minorHAnsi" w:hAnsiTheme="minorHAnsi" w:cstheme="minorHAnsi"/>
                <w:sz w:val="20"/>
                <w:szCs w:val="20"/>
                <w:lang w:val="en-AU"/>
              </w:rPr>
              <w:t>b.</w:t>
            </w:r>
            <w:r w:rsidRPr="00E914FB">
              <w:rPr>
                <w:rFonts w:asciiTheme="minorHAnsi" w:hAnsiTheme="minorHAnsi" w:cstheme="minorHAnsi"/>
                <w:sz w:val="20"/>
                <w:szCs w:val="20"/>
                <w:lang w:val="en-AU"/>
              </w:rPr>
              <w:tab/>
              <w:t>Relapse was defined as confirmed HCV RNA greater than 25 IU/mL post</w:t>
            </w:r>
            <w:r w:rsidRPr="00E914FB">
              <w:rPr>
                <w:rFonts w:asciiTheme="minorHAnsi" w:hAnsiTheme="minorHAnsi" w:cstheme="minorHAnsi"/>
                <w:sz w:val="20"/>
                <w:szCs w:val="20"/>
                <w:lang w:val="en-AU"/>
              </w:rPr>
              <w:noBreakHyphen/>
              <w:t>treatment before or during SVR12 window among subjects with HCV RNA &lt; 25 IU/mL at last observation during at least 11 weeks of treatment.</w:t>
            </w:r>
          </w:p>
          <w:p w14:paraId="1C3A1807" w14:textId="77777777" w:rsidR="0026770B" w:rsidRPr="00E914FB" w:rsidRDefault="0026770B" w:rsidP="00890582">
            <w:pPr>
              <w:pStyle w:val="ListParagraph"/>
              <w:ind w:left="284" w:hanging="284"/>
              <w:jc w:val="both"/>
              <w:rPr>
                <w:rFonts w:cstheme="minorHAnsi"/>
                <w:sz w:val="20"/>
                <w:szCs w:val="20"/>
              </w:rPr>
            </w:pPr>
            <w:r w:rsidRPr="00E914FB">
              <w:rPr>
                <w:rFonts w:cstheme="minorHAnsi"/>
                <w:sz w:val="20"/>
                <w:szCs w:val="20"/>
              </w:rPr>
              <w:t>c.</w:t>
            </w:r>
            <w:r w:rsidRPr="00E914FB">
              <w:rPr>
                <w:rFonts w:cstheme="minorHAnsi"/>
                <w:sz w:val="20"/>
                <w:szCs w:val="20"/>
              </w:rPr>
              <w:tab/>
              <w:t>Other includes subjects not achieving SVR12 but not experiencing on-treatment VF or relapse (e.g. missing HCV RNA values in the SVR12 window).</w:t>
            </w:r>
          </w:p>
        </w:tc>
      </w:tr>
    </w:tbl>
    <w:p w14:paraId="710BF087" w14:textId="77777777" w:rsidR="0026770B" w:rsidRPr="00E914FB" w:rsidRDefault="0026770B" w:rsidP="0026770B">
      <w:pPr>
        <w:pStyle w:val="ListParagraph"/>
        <w:ind w:left="0"/>
        <w:rPr>
          <w:rFonts w:cs="Arial"/>
          <w:sz w:val="18"/>
          <w:szCs w:val="18"/>
        </w:rPr>
      </w:pPr>
    </w:p>
    <w:p w14:paraId="72174EC5" w14:textId="6808F8E8" w:rsidR="0026770B" w:rsidRPr="00E914FB" w:rsidRDefault="0026770B" w:rsidP="0026770B">
      <w:pPr>
        <w:pStyle w:val="ListParagraph"/>
        <w:ind w:left="0"/>
        <w:jc w:val="both"/>
        <w:rPr>
          <w:rFonts w:cstheme="minorHAnsi"/>
        </w:rPr>
      </w:pPr>
      <w:r w:rsidRPr="00E914FB">
        <w:rPr>
          <w:rFonts w:cstheme="minorHAnsi"/>
        </w:rPr>
        <w:t>In the primary efficacy analysis, VIEKIRA PAK and VIEKIRA PAK</w:t>
      </w:r>
      <w:r w:rsidR="00504ECC" w:rsidRPr="00E914FB">
        <w:rPr>
          <w:rFonts w:cstheme="minorHAnsi"/>
        </w:rPr>
        <w:t xml:space="preserve"> with ribavirin</w:t>
      </w:r>
      <w:r w:rsidRPr="00E914FB">
        <w:rPr>
          <w:rFonts w:cstheme="minorHAnsi"/>
        </w:rPr>
        <w:t xml:space="preserve"> demonstrated superiority to the historical control </w:t>
      </w:r>
      <w:r w:rsidR="00136D06">
        <w:rPr>
          <w:rFonts w:eastAsia="MS Mincho"/>
          <w:lang w:eastAsia="ja-JP"/>
        </w:rPr>
        <w:t>SVR rate of 69% {95% CI of 62%, 75%}</w:t>
      </w:r>
      <w:r w:rsidR="00136D06" w:rsidRPr="00E914FB">
        <w:rPr>
          <w:rFonts w:cstheme="minorHAnsi"/>
        </w:rPr>
        <w:t xml:space="preserve"> </w:t>
      </w:r>
      <w:r w:rsidRPr="00E914FB">
        <w:rPr>
          <w:rFonts w:cstheme="minorHAnsi"/>
        </w:rPr>
        <w:t xml:space="preserve">(based upon telaprevir plus </w:t>
      </w:r>
      <w:r w:rsidRPr="00E914FB">
        <w:rPr>
          <w:rFonts w:cstheme="minorHAnsi"/>
        </w:rPr>
        <w:lastRenderedPageBreak/>
        <w:t xml:space="preserve">pegIFN/RBV) for subjects with genotype 1b HCV infection who were treatment- experienced without cirrhosis. </w:t>
      </w:r>
      <w:r w:rsidRPr="00E914FB">
        <w:rPr>
          <w:rFonts w:eastAsia="MS Mincho"/>
          <w:lang w:eastAsia="ja-JP"/>
        </w:rPr>
        <w:t>Refer to the telaprevir prescribing information.</w:t>
      </w:r>
    </w:p>
    <w:p w14:paraId="36F1E857" w14:textId="527C31AB" w:rsidR="000F2CCB" w:rsidRPr="00E914FB" w:rsidRDefault="000F2CCB" w:rsidP="00CC32CC">
      <w:pPr>
        <w:pStyle w:val="Paragraph"/>
        <w:spacing w:line="240" w:lineRule="auto"/>
        <w:jc w:val="both"/>
        <w:rPr>
          <w:rFonts w:asciiTheme="minorHAnsi" w:hAnsiTheme="minorHAnsi" w:cstheme="minorHAnsi"/>
          <w:sz w:val="22"/>
          <w:szCs w:val="22"/>
          <w:lang w:val="en-AU"/>
        </w:rPr>
      </w:pPr>
      <w:r w:rsidRPr="00E914FB">
        <w:rPr>
          <w:rFonts w:asciiTheme="minorHAnsi" w:hAnsiTheme="minorHAnsi" w:cstheme="minorHAnsi"/>
          <w:sz w:val="22"/>
          <w:szCs w:val="22"/>
          <w:lang w:val="en-AU"/>
        </w:rPr>
        <w:t>Based on subgroup analyses, the following baseline factors were not associated with lower SVR12 rates (lower 95% confidence bound &gt; 64%):</w:t>
      </w:r>
    </w:p>
    <w:p w14:paraId="42E3F5D5" w14:textId="77777777" w:rsidR="0026770B" w:rsidRPr="00E914FB" w:rsidRDefault="0026770B" w:rsidP="00CC32CC">
      <w:pPr>
        <w:pStyle w:val="CommentText"/>
        <w:numPr>
          <w:ilvl w:val="0"/>
          <w:numId w:val="2"/>
        </w:numPr>
        <w:jc w:val="both"/>
        <w:rPr>
          <w:rFonts w:asciiTheme="minorHAnsi" w:hAnsiTheme="minorHAnsi" w:cstheme="minorHAnsi"/>
          <w:sz w:val="22"/>
          <w:szCs w:val="22"/>
          <w:lang w:val="en-AU"/>
        </w:rPr>
      </w:pPr>
      <w:r w:rsidRPr="00E914FB">
        <w:rPr>
          <w:rFonts w:asciiTheme="minorHAnsi" w:hAnsiTheme="minorHAnsi" w:cstheme="minorHAnsi"/>
          <w:i/>
          <w:iCs/>
          <w:sz w:val="22"/>
          <w:szCs w:val="22"/>
          <w:lang w:val="en-AU"/>
        </w:rPr>
        <w:t>Viral factors:</w:t>
      </w:r>
      <w:r w:rsidRPr="00E914FB">
        <w:rPr>
          <w:rFonts w:asciiTheme="minorHAnsi" w:hAnsiTheme="minorHAnsi" w:cstheme="minorHAnsi"/>
          <w:sz w:val="22"/>
          <w:szCs w:val="22"/>
          <w:lang w:val="en-AU"/>
        </w:rPr>
        <w:t xml:space="preserve"> baseline viral load</w:t>
      </w:r>
    </w:p>
    <w:p w14:paraId="3E5AC88B" w14:textId="77777777" w:rsidR="0026770B" w:rsidRPr="00E914FB" w:rsidRDefault="0026770B" w:rsidP="00CC32CC">
      <w:pPr>
        <w:pStyle w:val="ListParagraph"/>
        <w:numPr>
          <w:ilvl w:val="0"/>
          <w:numId w:val="2"/>
        </w:numPr>
        <w:spacing w:line="240" w:lineRule="auto"/>
        <w:jc w:val="both"/>
        <w:rPr>
          <w:rFonts w:cstheme="minorHAnsi"/>
        </w:rPr>
      </w:pPr>
      <w:r w:rsidRPr="00E914FB">
        <w:rPr>
          <w:rFonts w:cstheme="minorHAnsi"/>
          <w:i/>
          <w:iCs/>
        </w:rPr>
        <w:t>Host factors:</w:t>
      </w:r>
      <w:r w:rsidRPr="00E914FB">
        <w:rPr>
          <w:rFonts w:cstheme="minorHAnsi"/>
        </w:rPr>
        <w:t xml:space="preserve"> prior pegIFN/RBV response, gender, race, ethnicity, age, birth year (1945 – 1965), IL28B allele, baseline body mass index, history of depression or bipolar disorder, fibrosis stage</w:t>
      </w:r>
    </w:p>
    <w:p w14:paraId="3BCC5703" w14:textId="77777777" w:rsidR="0026770B" w:rsidRPr="00E914FB" w:rsidRDefault="0026770B" w:rsidP="00CC32CC">
      <w:pPr>
        <w:spacing w:line="240" w:lineRule="auto"/>
        <w:jc w:val="both"/>
        <w:rPr>
          <w:rFonts w:cstheme="minorHAnsi"/>
        </w:rPr>
      </w:pPr>
      <w:r w:rsidRPr="00E914FB">
        <w:rPr>
          <w:rFonts w:cstheme="minorHAnsi"/>
        </w:rPr>
        <w:t>In addition, subjects who underwent ribavirin dose modifications did not have lower SVR12 rates.</w:t>
      </w:r>
    </w:p>
    <w:p w14:paraId="2932D1C0" w14:textId="02C0BDD0" w:rsidR="0026770B" w:rsidRPr="00E914FB" w:rsidRDefault="0026770B" w:rsidP="00CC32CC">
      <w:pPr>
        <w:pStyle w:val="Heading2Unnumbered"/>
        <w:rPr>
          <w:sz w:val="22"/>
          <w:szCs w:val="22"/>
          <w:lang w:val="en-AU"/>
        </w:rPr>
      </w:pPr>
      <w:bookmarkStart w:id="10" w:name="_Toc383787395"/>
      <w:r w:rsidRPr="00E914FB">
        <w:rPr>
          <w:sz w:val="22"/>
          <w:szCs w:val="22"/>
          <w:lang w:val="en-AU"/>
        </w:rPr>
        <w:t>Clinical Trial in Subjects with Cirrhosis</w:t>
      </w:r>
      <w:bookmarkEnd w:id="10"/>
    </w:p>
    <w:p w14:paraId="1DA58D6A" w14:textId="77777777" w:rsidR="0026770B" w:rsidRPr="00E914FB" w:rsidRDefault="0026770B" w:rsidP="00CC32CC">
      <w:pPr>
        <w:spacing w:line="240" w:lineRule="auto"/>
        <w:rPr>
          <w:rFonts w:cs="Arial"/>
          <w:u w:val="single"/>
        </w:rPr>
      </w:pPr>
      <w:r w:rsidRPr="00E914FB">
        <w:rPr>
          <w:rFonts w:cs="Arial"/>
          <w:u w:val="single"/>
        </w:rPr>
        <w:t xml:space="preserve">TURQUOISE-II (M13-099) – Genotype 1, Treatment-naïve or treatment-experienced patients with cirrhosis </w:t>
      </w:r>
    </w:p>
    <w:p w14:paraId="732EED1A" w14:textId="4A386F65" w:rsidR="0026770B" w:rsidRPr="00E914FB" w:rsidRDefault="0026770B" w:rsidP="00CC32CC">
      <w:pPr>
        <w:spacing w:line="240" w:lineRule="auto"/>
        <w:jc w:val="both"/>
        <w:rPr>
          <w:rFonts w:cs="Arial"/>
        </w:rPr>
      </w:pPr>
      <w:r w:rsidRPr="00E914FB">
        <w:rPr>
          <w:rFonts w:cs="Arial"/>
        </w:rPr>
        <w:t xml:space="preserve">TURQUOISE-II was a randomised, global multicentre, open-label trial conducted exclusively in 380 genotype 1-infected subjects with cirrhosis (Child-Pugh A) who were either treatment-naïve or did not achieve SVR with prior treatment with pegIFN/RBV.  </w:t>
      </w:r>
      <w:r w:rsidRPr="00E914FB">
        <w:rPr>
          <w:rFonts w:eastAsia="MS Mincho" w:cs="Arial"/>
          <w:lang w:eastAsia="ja-JP"/>
        </w:rPr>
        <w:t>VIEKIRA PAK</w:t>
      </w:r>
      <w:r w:rsidR="00504ECC" w:rsidRPr="00E914FB">
        <w:rPr>
          <w:rFonts w:eastAsia="MS Mincho" w:cs="Arial"/>
          <w:lang w:eastAsia="ja-JP"/>
        </w:rPr>
        <w:t xml:space="preserve"> with ribavirin</w:t>
      </w:r>
      <w:r w:rsidRPr="00E914FB">
        <w:rPr>
          <w:rFonts w:eastAsia="MS Mincho" w:cs="Arial"/>
          <w:lang w:eastAsia="ja-JP"/>
        </w:rPr>
        <w:t xml:space="preserve"> </w:t>
      </w:r>
      <w:r w:rsidRPr="00E914FB">
        <w:rPr>
          <w:rFonts w:cs="Arial"/>
        </w:rPr>
        <w:t xml:space="preserve">was administered for either 12 or 24 weeks of treatment.  </w:t>
      </w:r>
    </w:p>
    <w:p w14:paraId="6A4AF73A" w14:textId="77777777" w:rsidR="0026770B" w:rsidRPr="00E914FB" w:rsidRDefault="0026770B" w:rsidP="00CC32CC">
      <w:pPr>
        <w:spacing w:line="240" w:lineRule="auto"/>
        <w:jc w:val="both"/>
        <w:rPr>
          <w:rFonts w:cs="Arial"/>
        </w:rPr>
      </w:pPr>
      <w:r w:rsidRPr="00E914FB">
        <w:rPr>
          <w:rFonts w:cs="Arial"/>
        </w:rPr>
        <w:t>Treated subjects (N=380) had a median age of 58 years (range: 21 to 71); 42.1% were treatment-naïve, 36.1% were prior pegIFN/RBV null responders; 8.2% were prior pegIFN/RBV partial responders, 13.7% were prior pegIFN/RBV relapsers; 85.5% were born between 1945 – 1965; 70.3% were male; 3.2% were Black; 11.8% were Hispanic or Latino; 28.4% had a body mass index of at least 30 kg/m</w:t>
      </w:r>
      <w:r w:rsidRPr="00E914FB">
        <w:rPr>
          <w:rFonts w:cs="Arial"/>
          <w:vertAlign w:val="superscript"/>
        </w:rPr>
        <w:t>2</w:t>
      </w:r>
      <w:r w:rsidRPr="00E914FB">
        <w:rPr>
          <w:rFonts w:cs="Arial"/>
        </w:rPr>
        <w:t>; 14.7% had platelet counts of &lt; 90 x 10</w:t>
      </w:r>
      <w:r w:rsidRPr="00E914FB">
        <w:rPr>
          <w:rFonts w:cs="Arial"/>
          <w:vertAlign w:val="superscript"/>
        </w:rPr>
        <w:t>9</w:t>
      </w:r>
      <w:r w:rsidRPr="00E914FB">
        <w:rPr>
          <w:rFonts w:cs="Arial"/>
        </w:rPr>
        <w:t>/L; 11.3% had albumin (&lt; 35 g/L); 86.1% had baseline HCV RNA levels of at least 800,000 IU/mL; 81.8% had IL28B non</w:t>
      </w:r>
      <w:r w:rsidRPr="00E914FB">
        <w:rPr>
          <w:rFonts w:cs="Arial"/>
        </w:rPr>
        <w:noBreakHyphen/>
        <w:t xml:space="preserve">CC genotype; 24.7% had a history of depression or bipolar disorder; 68.7% had HCV genotype 1a infection, 31.3% had HCV genotype 1b infection. </w:t>
      </w:r>
    </w:p>
    <w:p w14:paraId="58FB64C7" w14:textId="77777777" w:rsidR="0026770B" w:rsidRPr="00E914FB" w:rsidRDefault="0026770B" w:rsidP="00CC32CC">
      <w:pPr>
        <w:spacing w:line="240" w:lineRule="auto"/>
        <w:jc w:val="both"/>
        <w:rPr>
          <w:rFonts w:cs="Arial"/>
        </w:rPr>
      </w:pPr>
      <w:r w:rsidRPr="00E914FB">
        <w:rPr>
          <w:rFonts w:cs="Arial"/>
        </w:rPr>
        <w:t>Table 10 shows the SVR12 rates for genotype 1-infected subjects with cirrhosis who were treatment-naïve or previously treated with pegIFN/RBV.</w:t>
      </w:r>
    </w:p>
    <w:p w14:paraId="03C139D3" w14:textId="77777777" w:rsidR="00CC32CC" w:rsidRDefault="00CC32CC">
      <w:pPr>
        <w:rPr>
          <w:rFonts w:cs="Arial"/>
          <w:b/>
        </w:rPr>
      </w:pPr>
      <w:bookmarkStart w:id="11" w:name="_Toc383787396"/>
      <w:r>
        <w:rPr>
          <w:rFonts w:cs="Arial"/>
          <w:b/>
        </w:rPr>
        <w:br w:type="page"/>
      </w:r>
    </w:p>
    <w:p w14:paraId="3F561809" w14:textId="3FADA5DF" w:rsidR="0026770B" w:rsidRPr="00E914FB" w:rsidRDefault="0026770B" w:rsidP="0026770B">
      <w:pPr>
        <w:ind w:left="851" w:hanging="851"/>
        <w:rPr>
          <w:rFonts w:cs="Arial"/>
          <w:b/>
        </w:rPr>
      </w:pPr>
      <w:r w:rsidRPr="00E914FB">
        <w:rPr>
          <w:rFonts w:cs="Arial"/>
          <w:b/>
        </w:rPr>
        <w:lastRenderedPageBreak/>
        <w:t>Table 10:  SVR12 for Genotype 1-Infected Subjects with Cirrhosis who were Treatment-Naïve or Previously Treated with pegIFN/RBV</w:t>
      </w:r>
      <w:bookmarkEnd w:id="11"/>
    </w:p>
    <w:tbl>
      <w:tblPr>
        <w:tblW w:w="8444"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5"/>
        <w:gridCol w:w="900"/>
        <w:gridCol w:w="630"/>
        <w:gridCol w:w="1031"/>
        <w:gridCol w:w="679"/>
        <w:gridCol w:w="739"/>
        <w:gridCol w:w="1080"/>
      </w:tblGrid>
      <w:tr w:rsidR="0026770B" w:rsidRPr="00E914FB" w14:paraId="1313BCF3" w14:textId="77777777" w:rsidTr="00890582">
        <w:trPr>
          <w:trHeight w:val="397"/>
          <w:tblHeader/>
          <w:jc w:val="center"/>
        </w:trPr>
        <w:tc>
          <w:tcPr>
            <w:tcW w:w="3385" w:type="dxa"/>
            <w:vMerge w:val="restart"/>
            <w:tcBorders>
              <w:top w:val="single" w:sz="4" w:space="0" w:color="auto"/>
              <w:left w:val="nil"/>
              <w:bottom w:val="nil"/>
              <w:right w:val="nil"/>
            </w:tcBorders>
            <w:shd w:val="clear" w:color="auto" w:fill="auto"/>
            <w:vAlign w:val="center"/>
          </w:tcPr>
          <w:p w14:paraId="64E4E0C4"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Treatment Outcome</w:t>
            </w:r>
          </w:p>
        </w:tc>
        <w:tc>
          <w:tcPr>
            <w:tcW w:w="5059" w:type="dxa"/>
            <w:gridSpan w:val="6"/>
            <w:tcBorders>
              <w:top w:val="single" w:sz="4" w:space="0" w:color="auto"/>
              <w:left w:val="nil"/>
              <w:bottom w:val="single" w:sz="4" w:space="0" w:color="auto"/>
              <w:right w:val="nil"/>
            </w:tcBorders>
            <w:shd w:val="clear" w:color="auto" w:fill="auto"/>
            <w:vAlign w:val="center"/>
          </w:tcPr>
          <w:p w14:paraId="3B8FB4B1" w14:textId="018A593F" w:rsidR="0026770B" w:rsidRPr="00E914FB" w:rsidRDefault="0026770B" w:rsidP="00D23AAE">
            <w:pPr>
              <w:pStyle w:val="TableLeft"/>
              <w:spacing w:before="0" w:after="0" w:line="300" w:lineRule="auto"/>
              <w:jc w:val="center"/>
              <w:rPr>
                <w:rFonts w:asciiTheme="minorHAnsi" w:hAnsiTheme="minorHAnsi" w:cstheme="minorHAnsi"/>
                <w:b/>
                <w:lang w:val="en-AU"/>
              </w:rPr>
            </w:pPr>
            <w:r w:rsidRPr="00E914FB">
              <w:rPr>
                <w:rFonts w:asciiTheme="minorHAnsi" w:hAnsiTheme="minorHAnsi" w:cstheme="minorHAnsi"/>
                <w:b/>
                <w:lang w:val="en-AU"/>
              </w:rPr>
              <w:t xml:space="preserve">VIEKIRA PAK </w:t>
            </w:r>
            <w:r w:rsidR="00D23AAE">
              <w:rPr>
                <w:rFonts w:asciiTheme="minorHAnsi" w:hAnsiTheme="minorHAnsi" w:cstheme="minorHAnsi"/>
                <w:b/>
                <w:lang w:val="en-AU"/>
              </w:rPr>
              <w:t>-RBV</w:t>
            </w:r>
          </w:p>
        </w:tc>
      </w:tr>
      <w:tr w:rsidR="0026770B" w:rsidRPr="00E914FB" w14:paraId="2194088A" w14:textId="77777777" w:rsidTr="00890582">
        <w:trPr>
          <w:trHeight w:val="397"/>
          <w:tblHeader/>
          <w:jc w:val="center"/>
        </w:trPr>
        <w:tc>
          <w:tcPr>
            <w:tcW w:w="3385" w:type="dxa"/>
            <w:vMerge/>
            <w:tcBorders>
              <w:top w:val="nil"/>
              <w:left w:val="nil"/>
              <w:bottom w:val="nil"/>
              <w:right w:val="nil"/>
            </w:tcBorders>
            <w:shd w:val="clear" w:color="auto" w:fill="auto"/>
            <w:vAlign w:val="center"/>
          </w:tcPr>
          <w:p w14:paraId="7744772A"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p>
        </w:tc>
        <w:tc>
          <w:tcPr>
            <w:tcW w:w="2561" w:type="dxa"/>
            <w:gridSpan w:val="3"/>
            <w:tcBorders>
              <w:top w:val="single" w:sz="4" w:space="0" w:color="auto"/>
              <w:left w:val="nil"/>
              <w:bottom w:val="single" w:sz="4" w:space="0" w:color="auto"/>
              <w:right w:val="nil"/>
            </w:tcBorders>
            <w:shd w:val="clear" w:color="auto" w:fill="auto"/>
            <w:vAlign w:val="center"/>
          </w:tcPr>
          <w:p w14:paraId="189C6BA3" w14:textId="77777777" w:rsidR="0026770B" w:rsidRPr="00E914FB" w:rsidRDefault="0026770B" w:rsidP="000F2CCB">
            <w:pPr>
              <w:pStyle w:val="TableLeft"/>
              <w:spacing w:before="0" w:after="0" w:line="300" w:lineRule="auto"/>
              <w:jc w:val="center"/>
              <w:rPr>
                <w:rFonts w:asciiTheme="minorHAnsi" w:hAnsiTheme="minorHAnsi" w:cstheme="minorHAnsi"/>
                <w:b/>
                <w:sz w:val="18"/>
                <w:szCs w:val="18"/>
                <w:lang w:val="en-AU"/>
              </w:rPr>
            </w:pPr>
            <w:r w:rsidRPr="00E914FB">
              <w:rPr>
                <w:rFonts w:asciiTheme="minorHAnsi" w:hAnsiTheme="minorHAnsi" w:cstheme="minorHAnsi"/>
                <w:b/>
                <w:sz w:val="18"/>
                <w:szCs w:val="18"/>
                <w:lang w:val="en-AU"/>
              </w:rPr>
              <w:t>12 Weeks</w:t>
            </w:r>
          </w:p>
        </w:tc>
        <w:tc>
          <w:tcPr>
            <w:tcW w:w="2498" w:type="dxa"/>
            <w:gridSpan w:val="3"/>
            <w:tcBorders>
              <w:top w:val="single" w:sz="4" w:space="0" w:color="auto"/>
              <w:left w:val="nil"/>
              <w:bottom w:val="single" w:sz="4" w:space="0" w:color="auto"/>
              <w:right w:val="nil"/>
            </w:tcBorders>
            <w:shd w:val="clear" w:color="auto" w:fill="auto"/>
            <w:vAlign w:val="center"/>
          </w:tcPr>
          <w:p w14:paraId="43DA1CEA" w14:textId="49DB6A74" w:rsidR="0026770B" w:rsidRPr="00E914FB" w:rsidRDefault="0026770B" w:rsidP="000F2CCB">
            <w:pPr>
              <w:pStyle w:val="TableLeft"/>
              <w:spacing w:before="0" w:after="0" w:line="300" w:lineRule="auto"/>
              <w:jc w:val="center"/>
              <w:rPr>
                <w:rFonts w:asciiTheme="minorHAnsi" w:hAnsiTheme="minorHAnsi" w:cstheme="minorHAnsi"/>
                <w:b/>
                <w:sz w:val="18"/>
                <w:szCs w:val="18"/>
                <w:lang w:val="en-AU"/>
              </w:rPr>
            </w:pPr>
            <w:r w:rsidRPr="00E914FB">
              <w:rPr>
                <w:rFonts w:asciiTheme="minorHAnsi" w:hAnsiTheme="minorHAnsi" w:cstheme="minorHAnsi"/>
                <w:b/>
                <w:sz w:val="18"/>
                <w:szCs w:val="18"/>
                <w:lang w:val="en-AU"/>
              </w:rPr>
              <w:t>24 Weeks</w:t>
            </w:r>
          </w:p>
        </w:tc>
      </w:tr>
      <w:tr w:rsidR="0026770B" w:rsidRPr="00E914FB" w14:paraId="0A95C784" w14:textId="77777777" w:rsidTr="00890582">
        <w:trPr>
          <w:trHeight w:val="397"/>
          <w:tblHeader/>
          <w:jc w:val="center"/>
        </w:trPr>
        <w:tc>
          <w:tcPr>
            <w:tcW w:w="3385" w:type="dxa"/>
            <w:vMerge/>
            <w:tcBorders>
              <w:top w:val="nil"/>
              <w:left w:val="nil"/>
              <w:bottom w:val="single" w:sz="4" w:space="0" w:color="auto"/>
              <w:right w:val="nil"/>
            </w:tcBorders>
            <w:shd w:val="clear" w:color="auto" w:fill="auto"/>
            <w:vAlign w:val="center"/>
          </w:tcPr>
          <w:p w14:paraId="47184D34"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900" w:type="dxa"/>
            <w:tcBorders>
              <w:top w:val="single" w:sz="4" w:space="0" w:color="auto"/>
              <w:left w:val="nil"/>
              <w:bottom w:val="single" w:sz="4" w:space="0" w:color="auto"/>
              <w:right w:val="nil"/>
            </w:tcBorders>
            <w:shd w:val="clear" w:color="auto" w:fill="auto"/>
            <w:vAlign w:val="center"/>
          </w:tcPr>
          <w:p w14:paraId="0A56B124"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n/N</w:t>
            </w:r>
          </w:p>
        </w:tc>
        <w:tc>
          <w:tcPr>
            <w:tcW w:w="630" w:type="dxa"/>
            <w:tcBorders>
              <w:top w:val="single" w:sz="4" w:space="0" w:color="auto"/>
              <w:left w:val="nil"/>
              <w:bottom w:val="single" w:sz="4" w:space="0" w:color="auto"/>
              <w:right w:val="nil"/>
            </w:tcBorders>
            <w:shd w:val="clear" w:color="auto" w:fill="auto"/>
            <w:vAlign w:val="center"/>
          </w:tcPr>
          <w:p w14:paraId="3AD65F1C"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w:t>
            </w:r>
          </w:p>
        </w:tc>
        <w:tc>
          <w:tcPr>
            <w:tcW w:w="1031" w:type="dxa"/>
            <w:tcBorders>
              <w:top w:val="single" w:sz="4" w:space="0" w:color="auto"/>
              <w:left w:val="nil"/>
              <w:bottom w:val="single" w:sz="4" w:space="0" w:color="auto"/>
              <w:right w:val="nil"/>
            </w:tcBorders>
            <w:shd w:val="clear" w:color="auto" w:fill="auto"/>
            <w:vAlign w:val="center"/>
          </w:tcPr>
          <w:p w14:paraId="4D0B9561"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 xml:space="preserve"> CI</w:t>
            </w:r>
            <w:r w:rsidRPr="00E914FB">
              <w:rPr>
                <w:rFonts w:asciiTheme="minorHAnsi" w:hAnsiTheme="minorHAnsi" w:cstheme="minorHAnsi"/>
                <w:b/>
                <w:sz w:val="18"/>
                <w:szCs w:val="18"/>
                <w:vertAlign w:val="superscript"/>
                <w:lang w:val="en-AU"/>
              </w:rPr>
              <w:t>a</w:t>
            </w:r>
          </w:p>
        </w:tc>
        <w:tc>
          <w:tcPr>
            <w:tcW w:w="679" w:type="dxa"/>
            <w:tcBorders>
              <w:top w:val="single" w:sz="4" w:space="0" w:color="auto"/>
              <w:left w:val="nil"/>
              <w:bottom w:val="single" w:sz="4" w:space="0" w:color="auto"/>
              <w:right w:val="nil"/>
            </w:tcBorders>
            <w:shd w:val="clear" w:color="auto" w:fill="auto"/>
            <w:vAlign w:val="center"/>
          </w:tcPr>
          <w:p w14:paraId="506E8CC5"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n/N</w:t>
            </w:r>
          </w:p>
        </w:tc>
        <w:tc>
          <w:tcPr>
            <w:tcW w:w="739" w:type="dxa"/>
            <w:tcBorders>
              <w:top w:val="single" w:sz="4" w:space="0" w:color="auto"/>
              <w:left w:val="nil"/>
              <w:bottom w:val="single" w:sz="4" w:space="0" w:color="auto"/>
              <w:right w:val="nil"/>
            </w:tcBorders>
            <w:shd w:val="clear" w:color="auto" w:fill="auto"/>
            <w:vAlign w:val="center"/>
          </w:tcPr>
          <w:p w14:paraId="3C1B35F0"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w:t>
            </w:r>
          </w:p>
        </w:tc>
        <w:tc>
          <w:tcPr>
            <w:tcW w:w="1080" w:type="dxa"/>
            <w:tcBorders>
              <w:top w:val="single" w:sz="4" w:space="0" w:color="auto"/>
              <w:left w:val="nil"/>
              <w:bottom w:val="single" w:sz="4" w:space="0" w:color="auto"/>
              <w:right w:val="nil"/>
            </w:tcBorders>
            <w:shd w:val="clear" w:color="auto" w:fill="auto"/>
            <w:vAlign w:val="center"/>
          </w:tcPr>
          <w:p w14:paraId="7AF0FFE4"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 xml:space="preserve"> CI</w:t>
            </w:r>
            <w:r w:rsidRPr="00E914FB">
              <w:rPr>
                <w:rFonts w:asciiTheme="minorHAnsi" w:hAnsiTheme="minorHAnsi" w:cstheme="minorHAnsi"/>
                <w:b/>
                <w:sz w:val="18"/>
                <w:szCs w:val="18"/>
                <w:vertAlign w:val="superscript"/>
                <w:lang w:val="en-AU"/>
              </w:rPr>
              <w:t>a</w:t>
            </w:r>
          </w:p>
        </w:tc>
      </w:tr>
      <w:tr w:rsidR="0026770B" w:rsidRPr="00E914FB" w14:paraId="4D4DFF0C" w14:textId="77777777" w:rsidTr="00890582">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2F13C5D5"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Overall SVR12</w:t>
            </w:r>
          </w:p>
        </w:tc>
        <w:tc>
          <w:tcPr>
            <w:tcW w:w="900" w:type="dxa"/>
            <w:tcBorders>
              <w:top w:val="single" w:sz="4" w:space="0" w:color="auto"/>
              <w:left w:val="nil"/>
              <w:bottom w:val="single" w:sz="4" w:space="0" w:color="auto"/>
              <w:right w:val="nil"/>
            </w:tcBorders>
            <w:shd w:val="clear" w:color="auto" w:fill="auto"/>
            <w:vAlign w:val="center"/>
          </w:tcPr>
          <w:p w14:paraId="24993CA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191/208</w:t>
            </w:r>
          </w:p>
        </w:tc>
        <w:tc>
          <w:tcPr>
            <w:tcW w:w="630" w:type="dxa"/>
            <w:tcBorders>
              <w:top w:val="single" w:sz="4" w:space="0" w:color="auto"/>
              <w:left w:val="nil"/>
              <w:bottom w:val="single" w:sz="4" w:space="0" w:color="auto"/>
              <w:right w:val="nil"/>
            </w:tcBorders>
            <w:shd w:val="clear" w:color="auto" w:fill="auto"/>
            <w:vAlign w:val="center"/>
          </w:tcPr>
          <w:p w14:paraId="25B9401E"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91.8</w:t>
            </w:r>
          </w:p>
        </w:tc>
        <w:tc>
          <w:tcPr>
            <w:tcW w:w="1031" w:type="dxa"/>
            <w:tcBorders>
              <w:top w:val="single" w:sz="4" w:space="0" w:color="auto"/>
              <w:left w:val="nil"/>
              <w:bottom w:val="single" w:sz="4" w:space="0" w:color="auto"/>
              <w:right w:val="nil"/>
            </w:tcBorders>
            <w:shd w:val="clear" w:color="auto" w:fill="auto"/>
            <w:vAlign w:val="center"/>
          </w:tcPr>
          <w:p w14:paraId="4EDD8A20"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87.6, 96.1</w:t>
            </w:r>
          </w:p>
        </w:tc>
        <w:tc>
          <w:tcPr>
            <w:tcW w:w="679" w:type="dxa"/>
            <w:tcBorders>
              <w:top w:val="single" w:sz="4" w:space="0" w:color="auto"/>
              <w:left w:val="nil"/>
              <w:bottom w:val="single" w:sz="4" w:space="0" w:color="auto"/>
              <w:right w:val="nil"/>
            </w:tcBorders>
            <w:shd w:val="clear" w:color="auto" w:fill="auto"/>
            <w:vAlign w:val="center"/>
          </w:tcPr>
          <w:p w14:paraId="2408D58D"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166/172</w:t>
            </w:r>
          </w:p>
        </w:tc>
        <w:tc>
          <w:tcPr>
            <w:tcW w:w="739" w:type="dxa"/>
            <w:tcBorders>
              <w:top w:val="single" w:sz="4" w:space="0" w:color="auto"/>
              <w:left w:val="nil"/>
              <w:bottom w:val="single" w:sz="4" w:space="0" w:color="auto"/>
              <w:right w:val="nil"/>
            </w:tcBorders>
            <w:shd w:val="clear" w:color="auto" w:fill="auto"/>
            <w:vAlign w:val="center"/>
          </w:tcPr>
          <w:p w14:paraId="01F55998"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96.5</w:t>
            </w:r>
          </w:p>
        </w:tc>
        <w:tc>
          <w:tcPr>
            <w:tcW w:w="1080" w:type="dxa"/>
            <w:tcBorders>
              <w:top w:val="single" w:sz="4" w:space="0" w:color="auto"/>
              <w:left w:val="nil"/>
              <w:bottom w:val="single" w:sz="4" w:space="0" w:color="auto"/>
              <w:right w:val="nil"/>
            </w:tcBorders>
            <w:shd w:val="clear" w:color="auto" w:fill="auto"/>
            <w:vAlign w:val="center"/>
          </w:tcPr>
          <w:p w14:paraId="3C7AC7C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93.4, 99.6</w:t>
            </w:r>
          </w:p>
        </w:tc>
      </w:tr>
      <w:tr w:rsidR="0026770B" w:rsidRPr="00E914FB" w14:paraId="20572397" w14:textId="77777777" w:rsidTr="00890582">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443E4839" w14:textId="77777777" w:rsidR="0026770B" w:rsidRPr="00E914FB" w:rsidRDefault="0026770B" w:rsidP="00890582">
            <w:pPr>
              <w:spacing w:after="0" w:line="300" w:lineRule="auto"/>
              <w:ind w:left="156"/>
              <w:rPr>
                <w:rFonts w:eastAsia="MS Mincho" w:cstheme="minorHAnsi"/>
                <w:b/>
                <w:sz w:val="18"/>
                <w:szCs w:val="18"/>
                <w:lang w:eastAsia="ja-JP"/>
              </w:rPr>
            </w:pPr>
            <w:r w:rsidRPr="00E914FB">
              <w:rPr>
                <w:rFonts w:eastAsia="MS Mincho" w:cstheme="minorHAnsi"/>
                <w:b/>
                <w:sz w:val="18"/>
                <w:szCs w:val="18"/>
                <w:lang w:eastAsia="ja-JP"/>
              </w:rPr>
              <w:t>HCV Genotype 1a</w:t>
            </w:r>
          </w:p>
        </w:tc>
        <w:tc>
          <w:tcPr>
            <w:tcW w:w="900" w:type="dxa"/>
            <w:tcBorders>
              <w:top w:val="single" w:sz="4" w:space="0" w:color="auto"/>
              <w:left w:val="nil"/>
              <w:bottom w:val="single" w:sz="4" w:space="0" w:color="auto"/>
              <w:right w:val="nil"/>
            </w:tcBorders>
            <w:shd w:val="clear" w:color="auto" w:fill="auto"/>
            <w:vAlign w:val="center"/>
          </w:tcPr>
          <w:p w14:paraId="24659CE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124/140</w:t>
            </w:r>
          </w:p>
        </w:tc>
        <w:tc>
          <w:tcPr>
            <w:tcW w:w="630" w:type="dxa"/>
            <w:tcBorders>
              <w:top w:val="single" w:sz="4" w:space="0" w:color="auto"/>
              <w:left w:val="nil"/>
              <w:bottom w:val="single" w:sz="4" w:space="0" w:color="auto"/>
              <w:right w:val="nil"/>
            </w:tcBorders>
            <w:shd w:val="clear" w:color="auto" w:fill="auto"/>
            <w:vAlign w:val="center"/>
          </w:tcPr>
          <w:p w14:paraId="69404C5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88.6</w:t>
            </w:r>
          </w:p>
        </w:tc>
        <w:tc>
          <w:tcPr>
            <w:tcW w:w="1031" w:type="dxa"/>
            <w:tcBorders>
              <w:top w:val="single" w:sz="4" w:space="0" w:color="auto"/>
              <w:left w:val="nil"/>
              <w:bottom w:val="single" w:sz="4" w:space="0" w:color="auto"/>
              <w:right w:val="nil"/>
            </w:tcBorders>
            <w:shd w:val="clear" w:color="auto" w:fill="auto"/>
            <w:vAlign w:val="center"/>
          </w:tcPr>
          <w:p w14:paraId="62BD6EF5"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83.3, 93.8</w:t>
            </w:r>
          </w:p>
        </w:tc>
        <w:tc>
          <w:tcPr>
            <w:tcW w:w="679" w:type="dxa"/>
            <w:tcBorders>
              <w:top w:val="single" w:sz="4" w:space="0" w:color="auto"/>
              <w:left w:val="nil"/>
              <w:bottom w:val="single" w:sz="4" w:space="0" w:color="auto"/>
              <w:right w:val="nil"/>
            </w:tcBorders>
            <w:shd w:val="clear" w:color="auto" w:fill="auto"/>
            <w:vAlign w:val="center"/>
          </w:tcPr>
          <w:p w14:paraId="1856A68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115/121</w:t>
            </w:r>
          </w:p>
        </w:tc>
        <w:tc>
          <w:tcPr>
            <w:tcW w:w="739" w:type="dxa"/>
            <w:tcBorders>
              <w:top w:val="single" w:sz="4" w:space="0" w:color="auto"/>
              <w:left w:val="nil"/>
              <w:bottom w:val="single" w:sz="4" w:space="0" w:color="auto"/>
              <w:right w:val="nil"/>
            </w:tcBorders>
            <w:shd w:val="clear" w:color="auto" w:fill="auto"/>
            <w:vAlign w:val="center"/>
          </w:tcPr>
          <w:p w14:paraId="4F3FC76F"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95.0</w:t>
            </w:r>
          </w:p>
        </w:tc>
        <w:tc>
          <w:tcPr>
            <w:tcW w:w="1080" w:type="dxa"/>
            <w:tcBorders>
              <w:top w:val="single" w:sz="4" w:space="0" w:color="auto"/>
              <w:left w:val="nil"/>
              <w:bottom w:val="single" w:sz="4" w:space="0" w:color="auto"/>
              <w:right w:val="nil"/>
            </w:tcBorders>
            <w:shd w:val="clear" w:color="auto" w:fill="auto"/>
            <w:vAlign w:val="center"/>
          </w:tcPr>
          <w:p w14:paraId="5CD2DC3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91.2, 98.9</w:t>
            </w:r>
          </w:p>
        </w:tc>
      </w:tr>
      <w:tr w:rsidR="0026770B" w:rsidRPr="00E914FB" w14:paraId="4BDBF5C6" w14:textId="77777777" w:rsidTr="00890582">
        <w:trPr>
          <w:trHeight w:val="397"/>
          <w:jc w:val="center"/>
        </w:trPr>
        <w:tc>
          <w:tcPr>
            <w:tcW w:w="3385" w:type="dxa"/>
            <w:tcBorders>
              <w:top w:val="single" w:sz="4" w:space="0" w:color="auto"/>
              <w:left w:val="nil"/>
              <w:bottom w:val="nil"/>
              <w:right w:val="nil"/>
            </w:tcBorders>
            <w:shd w:val="clear" w:color="auto" w:fill="auto"/>
            <w:vAlign w:val="center"/>
          </w:tcPr>
          <w:p w14:paraId="49FD2A20" w14:textId="77777777" w:rsidR="0026770B" w:rsidRPr="00E914FB" w:rsidRDefault="0026770B" w:rsidP="00890582">
            <w:pPr>
              <w:spacing w:after="0" w:line="300" w:lineRule="auto"/>
              <w:ind w:left="156" w:firstLine="180"/>
              <w:rPr>
                <w:rFonts w:eastAsia="MS Mincho" w:cstheme="minorHAnsi"/>
                <w:sz w:val="18"/>
                <w:szCs w:val="18"/>
                <w:lang w:eastAsia="ja-JP"/>
              </w:rPr>
            </w:pPr>
            <w:r w:rsidRPr="00E914FB">
              <w:rPr>
                <w:rFonts w:eastAsia="MS Mincho" w:cstheme="minorHAnsi"/>
                <w:sz w:val="18"/>
                <w:szCs w:val="18"/>
                <w:lang w:eastAsia="ja-JP"/>
              </w:rPr>
              <w:t>Treatment naïve</w:t>
            </w:r>
          </w:p>
        </w:tc>
        <w:tc>
          <w:tcPr>
            <w:tcW w:w="900" w:type="dxa"/>
            <w:tcBorders>
              <w:top w:val="single" w:sz="4" w:space="0" w:color="auto"/>
              <w:left w:val="nil"/>
              <w:bottom w:val="nil"/>
              <w:right w:val="nil"/>
            </w:tcBorders>
            <w:shd w:val="clear" w:color="auto" w:fill="auto"/>
            <w:vAlign w:val="center"/>
          </w:tcPr>
          <w:p w14:paraId="1045F86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59/64 </w:t>
            </w:r>
          </w:p>
        </w:tc>
        <w:tc>
          <w:tcPr>
            <w:tcW w:w="630" w:type="dxa"/>
            <w:tcBorders>
              <w:top w:val="single" w:sz="4" w:space="0" w:color="auto"/>
              <w:left w:val="nil"/>
              <w:bottom w:val="nil"/>
              <w:right w:val="nil"/>
            </w:tcBorders>
            <w:shd w:val="clear" w:color="auto" w:fill="auto"/>
            <w:vAlign w:val="center"/>
          </w:tcPr>
          <w:p w14:paraId="675734AC"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92.2</w:t>
            </w:r>
          </w:p>
        </w:tc>
        <w:tc>
          <w:tcPr>
            <w:tcW w:w="1031" w:type="dxa"/>
            <w:tcBorders>
              <w:top w:val="single" w:sz="4" w:space="0" w:color="auto"/>
              <w:left w:val="nil"/>
              <w:bottom w:val="nil"/>
              <w:right w:val="nil"/>
            </w:tcBorders>
            <w:shd w:val="clear" w:color="auto" w:fill="auto"/>
            <w:vAlign w:val="center"/>
          </w:tcPr>
          <w:p w14:paraId="178C9F9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nil"/>
              <w:right w:val="nil"/>
            </w:tcBorders>
            <w:shd w:val="clear" w:color="auto" w:fill="auto"/>
            <w:vAlign w:val="center"/>
          </w:tcPr>
          <w:p w14:paraId="08D386C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53/56 </w:t>
            </w:r>
          </w:p>
        </w:tc>
        <w:tc>
          <w:tcPr>
            <w:tcW w:w="739" w:type="dxa"/>
            <w:tcBorders>
              <w:top w:val="single" w:sz="4" w:space="0" w:color="auto"/>
              <w:left w:val="nil"/>
              <w:bottom w:val="nil"/>
              <w:right w:val="nil"/>
            </w:tcBorders>
            <w:shd w:val="clear" w:color="auto" w:fill="auto"/>
            <w:vAlign w:val="center"/>
          </w:tcPr>
          <w:p w14:paraId="35E5493E"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94.6</w:t>
            </w:r>
          </w:p>
        </w:tc>
        <w:tc>
          <w:tcPr>
            <w:tcW w:w="1080" w:type="dxa"/>
            <w:tcBorders>
              <w:top w:val="single" w:sz="4" w:space="0" w:color="auto"/>
              <w:left w:val="nil"/>
              <w:bottom w:val="nil"/>
              <w:right w:val="nil"/>
            </w:tcBorders>
            <w:shd w:val="clear" w:color="auto" w:fill="auto"/>
            <w:vAlign w:val="center"/>
          </w:tcPr>
          <w:p w14:paraId="3837B30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415C53EA" w14:textId="77777777" w:rsidTr="00890582">
        <w:trPr>
          <w:trHeight w:val="397"/>
          <w:jc w:val="center"/>
        </w:trPr>
        <w:tc>
          <w:tcPr>
            <w:tcW w:w="3385" w:type="dxa"/>
            <w:tcBorders>
              <w:top w:val="nil"/>
              <w:left w:val="nil"/>
              <w:bottom w:val="nil"/>
              <w:right w:val="nil"/>
            </w:tcBorders>
            <w:shd w:val="clear" w:color="auto" w:fill="auto"/>
            <w:vAlign w:val="center"/>
          </w:tcPr>
          <w:p w14:paraId="50708BCA" w14:textId="77777777" w:rsidR="0026770B" w:rsidRPr="00E914FB" w:rsidRDefault="0026770B" w:rsidP="00890582">
            <w:pPr>
              <w:spacing w:after="0" w:line="300" w:lineRule="auto"/>
              <w:ind w:left="319" w:firstLine="17"/>
              <w:rPr>
                <w:rFonts w:eastAsia="MS Mincho" w:cstheme="minorHAnsi"/>
                <w:sz w:val="18"/>
                <w:szCs w:val="18"/>
                <w:lang w:eastAsia="ja-JP"/>
              </w:rPr>
            </w:pPr>
            <w:r w:rsidRPr="00E914FB">
              <w:rPr>
                <w:rFonts w:eastAsia="MS Mincho" w:cstheme="minorHAnsi"/>
                <w:sz w:val="18"/>
                <w:szCs w:val="18"/>
                <w:lang w:eastAsia="ja-JP"/>
              </w:rPr>
              <w:t>Prior pegIFN/RBV null responders</w:t>
            </w:r>
          </w:p>
        </w:tc>
        <w:tc>
          <w:tcPr>
            <w:tcW w:w="900" w:type="dxa"/>
            <w:tcBorders>
              <w:top w:val="nil"/>
              <w:left w:val="nil"/>
              <w:bottom w:val="nil"/>
              <w:right w:val="nil"/>
            </w:tcBorders>
            <w:shd w:val="clear" w:color="auto" w:fill="auto"/>
            <w:vAlign w:val="center"/>
          </w:tcPr>
          <w:p w14:paraId="08AF9C94"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40/50 </w:t>
            </w:r>
          </w:p>
        </w:tc>
        <w:tc>
          <w:tcPr>
            <w:tcW w:w="630" w:type="dxa"/>
            <w:tcBorders>
              <w:top w:val="nil"/>
              <w:left w:val="nil"/>
              <w:bottom w:val="nil"/>
              <w:right w:val="nil"/>
            </w:tcBorders>
            <w:shd w:val="clear" w:color="auto" w:fill="auto"/>
            <w:vAlign w:val="center"/>
          </w:tcPr>
          <w:p w14:paraId="54168539"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80.0</w:t>
            </w:r>
          </w:p>
        </w:tc>
        <w:tc>
          <w:tcPr>
            <w:tcW w:w="1031" w:type="dxa"/>
            <w:tcBorders>
              <w:top w:val="nil"/>
              <w:left w:val="nil"/>
              <w:bottom w:val="nil"/>
              <w:right w:val="nil"/>
            </w:tcBorders>
            <w:shd w:val="clear" w:color="auto" w:fill="auto"/>
            <w:vAlign w:val="center"/>
          </w:tcPr>
          <w:p w14:paraId="7F01C308"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01A3F64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39/42 </w:t>
            </w:r>
          </w:p>
        </w:tc>
        <w:tc>
          <w:tcPr>
            <w:tcW w:w="739" w:type="dxa"/>
            <w:tcBorders>
              <w:top w:val="nil"/>
              <w:left w:val="nil"/>
              <w:bottom w:val="nil"/>
              <w:right w:val="nil"/>
            </w:tcBorders>
            <w:shd w:val="clear" w:color="auto" w:fill="auto"/>
            <w:vAlign w:val="center"/>
          </w:tcPr>
          <w:p w14:paraId="0A2AE81E"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92.9</w:t>
            </w:r>
          </w:p>
        </w:tc>
        <w:tc>
          <w:tcPr>
            <w:tcW w:w="1080" w:type="dxa"/>
            <w:tcBorders>
              <w:top w:val="nil"/>
              <w:left w:val="nil"/>
              <w:bottom w:val="nil"/>
              <w:right w:val="nil"/>
            </w:tcBorders>
            <w:shd w:val="clear" w:color="auto" w:fill="auto"/>
            <w:vAlign w:val="center"/>
          </w:tcPr>
          <w:p w14:paraId="2B178BD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042D889E" w14:textId="77777777" w:rsidTr="00890582">
        <w:trPr>
          <w:trHeight w:val="397"/>
          <w:jc w:val="center"/>
        </w:trPr>
        <w:tc>
          <w:tcPr>
            <w:tcW w:w="3385" w:type="dxa"/>
            <w:tcBorders>
              <w:top w:val="nil"/>
              <w:left w:val="nil"/>
              <w:bottom w:val="nil"/>
              <w:right w:val="nil"/>
            </w:tcBorders>
            <w:shd w:val="clear" w:color="auto" w:fill="auto"/>
            <w:vAlign w:val="center"/>
          </w:tcPr>
          <w:p w14:paraId="0E0C1EED" w14:textId="77777777" w:rsidR="0026770B" w:rsidRPr="00E914FB" w:rsidRDefault="0026770B" w:rsidP="00890582">
            <w:pPr>
              <w:spacing w:after="0" w:line="300" w:lineRule="auto"/>
              <w:ind w:left="319"/>
              <w:rPr>
                <w:rFonts w:eastAsia="MS Mincho" w:cstheme="minorHAnsi"/>
                <w:sz w:val="18"/>
                <w:szCs w:val="18"/>
                <w:lang w:eastAsia="ja-JP"/>
              </w:rPr>
            </w:pPr>
            <w:r w:rsidRPr="00E914FB">
              <w:rPr>
                <w:rFonts w:eastAsia="MS Mincho" w:cstheme="minorHAnsi"/>
                <w:sz w:val="18"/>
                <w:szCs w:val="18"/>
                <w:lang w:eastAsia="ja-JP"/>
              </w:rPr>
              <w:t>Prior pegIFN/RBV partial responders</w:t>
            </w:r>
          </w:p>
        </w:tc>
        <w:tc>
          <w:tcPr>
            <w:tcW w:w="900" w:type="dxa"/>
            <w:tcBorders>
              <w:top w:val="nil"/>
              <w:left w:val="nil"/>
              <w:bottom w:val="nil"/>
              <w:right w:val="nil"/>
            </w:tcBorders>
            <w:shd w:val="clear" w:color="auto" w:fill="auto"/>
            <w:vAlign w:val="center"/>
          </w:tcPr>
          <w:p w14:paraId="020B1CF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11/11 </w:t>
            </w:r>
          </w:p>
        </w:tc>
        <w:tc>
          <w:tcPr>
            <w:tcW w:w="630" w:type="dxa"/>
            <w:tcBorders>
              <w:top w:val="nil"/>
              <w:left w:val="nil"/>
              <w:bottom w:val="nil"/>
              <w:right w:val="nil"/>
            </w:tcBorders>
            <w:shd w:val="clear" w:color="auto" w:fill="auto"/>
            <w:vAlign w:val="center"/>
          </w:tcPr>
          <w:p w14:paraId="7F63631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31" w:type="dxa"/>
            <w:tcBorders>
              <w:top w:val="nil"/>
              <w:left w:val="nil"/>
              <w:bottom w:val="nil"/>
              <w:right w:val="nil"/>
            </w:tcBorders>
            <w:shd w:val="clear" w:color="auto" w:fill="auto"/>
            <w:vAlign w:val="center"/>
          </w:tcPr>
          <w:p w14:paraId="22DDFD2C"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39463CD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10/10 </w:t>
            </w:r>
          </w:p>
        </w:tc>
        <w:tc>
          <w:tcPr>
            <w:tcW w:w="739" w:type="dxa"/>
            <w:tcBorders>
              <w:top w:val="nil"/>
              <w:left w:val="nil"/>
              <w:bottom w:val="nil"/>
              <w:right w:val="nil"/>
            </w:tcBorders>
            <w:shd w:val="clear" w:color="auto" w:fill="auto"/>
            <w:vAlign w:val="center"/>
          </w:tcPr>
          <w:p w14:paraId="5699560E"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nil"/>
              <w:left w:val="nil"/>
              <w:bottom w:val="nil"/>
              <w:right w:val="nil"/>
            </w:tcBorders>
            <w:shd w:val="clear" w:color="auto" w:fill="auto"/>
            <w:vAlign w:val="center"/>
          </w:tcPr>
          <w:p w14:paraId="53872F4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38395DF1" w14:textId="77777777" w:rsidTr="00890582">
        <w:trPr>
          <w:trHeight w:val="397"/>
          <w:jc w:val="center"/>
        </w:trPr>
        <w:tc>
          <w:tcPr>
            <w:tcW w:w="3385" w:type="dxa"/>
            <w:tcBorders>
              <w:top w:val="nil"/>
              <w:left w:val="nil"/>
              <w:bottom w:val="single" w:sz="4" w:space="0" w:color="auto"/>
              <w:right w:val="nil"/>
            </w:tcBorders>
            <w:shd w:val="clear" w:color="auto" w:fill="auto"/>
            <w:vAlign w:val="center"/>
          </w:tcPr>
          <w:p w14:paraId="61DED65C" w14:textId="77777777" w:rsidR="0026770B" w:rsidRPr="00E914FB" w:rsidRDefault="0026770B" w:rsidP="00890582">
            <w:pPr>
              <w:spacing w:after="0" w:line="300" w:lineRule="auto"/>
              <w:ind w:left="337" w:hanging="1"/>
              <w:rPr>
                <w:rFonts w:eastAsia="MS Mincho" w:cstheme="minorHAnsi"/>
                <w:sz w:val="18"/>
                <w:szCs w:val="18"/>
                <w:lang w:eastAsia="ja-JP"/>
              </w:rPr>
            </w:pPr>
            <w:r w:rsidRPr="00E914FB">
              <w:rPr>
                <w:rFonts w:eastAsia="MS Mincho" w:cstheme="minorHAnsi"/>
                <w:sz w:val="18"/>
                <w:szCs w:val="18"/>
                <w:lang w:eastAsia="ja-JP"/>
              </w:rPr>
              <w:t>Prior pegIFN/RBV Prior relapsers</w:t>
            </w:r>
          </w:p>
        </w:tc>
        <w:tc>
          <w:tcPr>
            <w:tcW w:w="900" w:type="dxa"/>
            <w:tcBorders>
              <w:top w:val="nil"/>
              <w:left w:val="nil"/>
              <w:bottom w:val="single" w:sz="4" w:space="0" w:color="auto"/>
              <w:right w:val="nil"/>
            </w:tcBorders>
            <w:shd w:val="clear" w:color="auto" w:fill="auto"/>
            <w:vAlign w:val="center"/>
          </w:tcPr>
          <w:p w14:paraId="3CD273C5"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14/15 </w:t>
            </w:r>
          </w:p>
        </w:tc>
        <w:tc>
          <w:tcPr>
            <w:tcW w:w="630" w:type="dxa"/>
            <w:tcBorders>
              <w:top w:val="nil"/>
              <w:left w:val="nil"/>
              <w:bottom w:val="single" w:sz="4" w:space="0" w:color="auto"/>
              <w:right w:val="nil"/>
            </w:tcBorders>
            <w:shd w:val="clear" w:color="auto" w:fill="auto"/>
            <w:vAlign w:val="center"/>
          </w:tcPr>
          <w:p w14:paraId="70B0191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93.3</w:t>
            </w:r>
          </w:p>
        </w:tc>
        <w:tc>
          <w:tcPr>
            <w:tcW w:w="1031" w:type="dxa"/>
            <w:tcBorders>
              <w:top w:val="nil"/>
              <w:left w:val="nil"/>
              <w:bottom w:val="single" w:sz="4" w:space="0" w:color="auto"/>
              <w:right w:val="nil"/>
            </w:tcBorders>
            <w:shd w:val="clear" w:color="auto" w:fill="auto"/>
            <w:vAlign w:val="center"/>
          </w:tcPr>
          <w:p w14:paraId="2EBE8C79"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single" w:sz="4" w:space="0" w:color="auto"/>
              <w:right w:val="nil"/>
            </w:tcBorders>
            <w:shd w:val="clear" w:color="auto" w:fill="auto"/>
            <w:vAlign w:val="center"/>
          </w:tcPr>
          <w:p w14:paraId="5F1FDBFE"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13/13 </w:t>
            </w:r>
          </w:p>
        </w:tc>
        <w:tc>
          <w:tcPr>
            <w:tcW w:w="739" w:type="dxa"/>
            <w:tcBorders>
              <w:top w:val="nil"/>
              <w:left w:val="nil"/>
              <w:bottom w:val="single" w:sz="4" w:space="0" w:color="auto"/>
              <w:right w:val="nil"/>
            </w:tcBorders>
            <w:shd w:val="clear" w:color="auto" w:fill="auto"/>
            <w:vAlign w:val="center"/>
          </w:tcPr>
          <w:p w14:paraId="64477789"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nil"/>
              <w:left w:val="nil"/>
              <w:bottom w:val="single" w:sz="4" w:space="0" w:color="auto"/>
              <w:right w:val="nil"/>
            </w:tcBorders>
            <w:shd w:val="clear" w:color="auto" w:fill="auto"/>
            <w:vAlign w:val="center"/>
          </w:tcPr>
          <w:p w14:paraId="24C1C1ED"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31329B7E" w14:textId="77777777" w:rsidTr="00890582">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0BD5ACE9" w14:textId="77777777" w:rsidR="0026770B" w:rsidRPr="00E914FB" w:rsidRDefault="0026770B" w:rsidP="00890582">
            <w:pPr>
              <w:spacing w:after="0" w:line="300" w:lineRule="auto"/>
              <w:ind w:left="156"/>
              <w:rPr>
                <w:rFonts w:eastAsia="MS Mincho" w:cstheme="minorHAnsi"/>
                <w:b/>
                <w:sz w:val="18"/>
                <w:szCs w:val="18"/>
                <w:lang w:eastAsia="ja-JP"/>
              </w:rPr>
            </w:pPr>
            <w:r w:rsidRPr="00E914FB">
              <w:rPr>
                <w:rFonts w:eastAsia="MS Mincho" w:cstheme="minorHAnsi"/>
                <w:b/>
                <w:sz w:val="18"/>
                <w:szCs w:val="18"/>
                <w:lang w:eastAsia="ja-JP"/>
              </w:rPr>
              <w:t>HCV Genotype 1b</w:t>
            </w:r>
          </w:p>
        </w:tc>
        <w:tc>
          <w:tcPr>
            <w:tcW w:w="900" w:type="dxa"/>
            <w:tcBorders>
              <w:top w:val="single" w:sz="4" w:space="0" w:color="auto"/>
              <w:left w:val="nil"/>
              <w:bottom w:val="single" w:sz="4" w:space="0" w:color="auto"/>
              <w:right w:val="nil"/>
            </w:tcBorders>
            <w:shd w:val="clear" w:color="auto" w:fill="auto"/>
            <w:vAlign w:val="center"/>
          </w:tcPr>
          <w:p w14:paraId="1F572FA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67/68 </w:t>
            </w:r>
          </w:p>
        </w:tc>
        <w:tc>
          <w:tcPr>
            <w:tcW w:w="630" w:type="dxa"/>
            <w:tcBorders>
              <w:top w:val="single" w:sz="4" w:space="0" w:color="auto"/>
              <w:left w:val="nil"/>
              <w:bottom w:val="single" w:sz="4" w:space="0" w:color="auto"/>
              <w:right w:val="nil"/>
            </w:tcBorders>
            <w:shd w:val="clear" w:color="auto" w:fill="auto"/>
            <w:vAlign w:val="center"/>
          </w:tcPr>
          <w:p w14:paraId="6ECAE3D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98.5</w:t>
            </w:r>
          </w:p>
        </w:tc>
        <w:tc>
          <w:tcPr>
            <w:tcW w:w="1031" w:type="dxa"/>
            <w:tcBorders>
              <w:top w:val="single" w:sz="4" w:space="0" w:color="auto"/>
              <w:left w:val="nil"/>
              <w:bottom w:val="single" w:sz="4" w:space="0" w:color="auto"/>
              <w:right w:val="nil"/>
            </w:tcBorders>
            <w:shd w:val="clear" w:color="auto" w:fill="auto"/>
            <w:vAlign w:val="center"/>
          </w:tcPr>
          <w:p w14:paraId="7892A8D5"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95.7, 100</w:t>
            </w:r>
          </w:p>
        </w:tc>
        <w:tc>
          <w:tcPr>
            <w:tcW w:w="679" w:type="dxa"/>
            <w:tcBorders>
              <w:top w:val="single" w:sz="4" w:space="0" w:color="auto"/>
              <w:left w:val="nil"/>
              <w:bottom w:val="single" w:sz="4" w:space="0" w:color="auto"/>
              <w:right w:val="nil"/>
            </w:tcBorders>
            <w:shd w:val="clear" w:color="auto" w:fill="auto"/>
            <w:vAlign w:val="center"/>
          </w:tcPr>
          <w:p w14:paraId="2D63E06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51/51 </w:t>
            </w:r>
          </w:p>
        </w:tc>
        <w:tc>
          <w:tcPr>
            <w:tcW w:w="739" w:type="dxa"/>
            <w:tcBorders>
              <w:top w:val="single" w:sz="4" w:space="0" w:color="auto"/>
              <w:left w:val="nil"/>
              <w:bottom w:val="single" w:sz="4" w:space="0" w:color="auto"/>
              <w:right w:val="nil"/>
            </w:tcBorders>
            <w:shd w:val="clear" w:color="auto" w:fill="auto"/>
            <w:vAlign w:val="center"/>
          </w:tcPr>
          <w:p w14:paraId="6BA48DF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single" w:sz="4" w:space="0" w:color="auto"/>
              <w:left w:val="nil"/>
              <w:bottom w:val="single" w:sz="4" w:space="0" w:color="auto"/>
              <w:right w:val="nil"/>
            </w:tcBorders>
            <w:shd w:val="clear" w:color="auto" w:fill="auto"/>
            <w:vAlign w:val="center"/>
          </w:tcPr>
          <w:p w14:paraId="22E7C9B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93.0, 100</w:t>
            </w:r>
          </w:p>
        </w:tc>
      </w:tr>
      <w:tr w:rsidR="0026770B" w:rsidRPr="00E914FB" w14:paraId="76B07B77" w14:textId="77777777" w:rsidTr="00890582">
        <w:trPr>
          <w:trHeight w:val="397"/>
          <w:jc w:val="center"/>
        </w:trPr>
        <w:tc>
          <w:tcPr>
            <w:tcW w:w="3385" w:type="dxa"/>
            <w:tcBorders>
              <w:top w:val="single" w:sz="4" w:space="0" w:color="auto"/>
              <w:left w:val="nil"/>
              <w:bottom w:val="nil"/>
              <w:right w:val="nil"/>
            </w:tcBorders>
            <w:shd w:val="clear" w:color="auto" w:fill="auto"/>
            <w:vAlign w:val="center"/>
          </w:tcPr>
          <w:p w14:paraId="7D841014" w14:textId="77777777" w:rsidR="0026770B" w:rsidRPr="00E914FB" w:rsidRDefault="0026770B" w:rsidP="00890582">
            <w:pPr>
              <w:spacing w:after="0" w:line="300" w:lineRule="auto"/>
              <w:ind w:left="156" w:firstLine="180"/>
              <w:rPr>
                <w:rFonts w:eastAsia="MS Mincho" w:cstheme="minorHAnsi"/>
                <w:sz w:val="18"/>
                <w:szCs w:val="18"/>
                <w:lang w:eastAsia="ja-JP"/>
              </w:rPr>
            </w:pPr>
            <w:r w:rsidRPr="00E914FB">
              <w:rPr>
                <w:rFonts w:eastAsia="MS Mincho" w:cstheme="minorHAnsi"/>
                <w:sz w:val="18"/>
                <w:szCs w:val="18"/>
                <w:lang w:eastAsia="ja-JP"/>
              </w:rPr>
              <w:t>Treatment naïve</w:t>
            </w:r>
          </w:p>
        </w:tc>
        <w:tc>
          <w:tcPr>
            <w:tcW w:w="900" w:type="dxa"/>
            <w:tcBorders>
              <w:top w:val="single" w:sz="4" w:space="0" w:color="auto"/>
              <w:left w:val="nil"/>
              <w:bottom w:val="nil"/>
              <w:right w:val="nil"/>
            </w:tcBorders>
            <w:shd w:val="clear" w:color="auto" w:fill="auto"/>
            <w:vAlign w:val="center"/>
          </w:tcPr>
          <w:p w14:paraId="4E69D144"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22/22 </w:t>
            </w:r>
          </w:p>
        </w:tc>
        <w:tc>
          <w:tcPr>
            <w:tcW w:w="630" w:type="dxa"/>
            <w:tcBorders>
              <w:top w:val="single" w:sz="4" w:space="0" w:color="auto"/>
              <w:left w:val="nil"/>
              <w:bottom w:val="nil"/>
              <w:right w:val="nil"/>
            </w:tcBorders>
            <w:shd w:val="clear" w:color="auto" w:fill="auto"/>
            <w:vAlign w:val="center"/>
          </w:tcPr>
          <w:p w14:paraId="4C8DFD3C"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31" w:type="dxa"/>
            <w:tcBorders>
              <w:top w:val="single" w:sz="4" w:space="0" w:color="auto"/>
              <w:left w:val="nil"/>
              <w:bottom w:val="nil"/>
              <w:right w:val="nil"/>
            </w:tcBorders>
            <w:shd w:val="clear" w:color="auto" w:fill="auto"/>
            <w:vAlign w:val="center"/>
          </w:tcPr>
          <w:p w14:paraId="7E38D75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nil"/>
              <w:right w:val="nil"/>
            </w:tcBorders>
            <w:shd w:val="clear" w:color="auto" w:fill="auto"/>
            <w:vAlign w:val="center"/>
          </w:tcPr>
          <w:p w14:paraId="65A9F7B3"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18/18 </w:t>
            </w:r>
          </w:p>
        </w:tc>
        <w:tc>
          <w:tcPr>
            <w:tcW w:w="739" w:type="dxa"/>
            <w:tcBorders>
              <w:top w:val="single" w:sz="4" w:space="0" w:color="auto"/>
              <w:left w:val="nil"/>
              <w:bottom w:val="nil"/>
              <w:right w:val="nil"/>
            </w:tcBorders>
            <w:shd w:val="clear" w:color="auto" w:fill="auto"/>
            <w:vAlign w:val="center"/>
          </w:tcPr>
          <w:p w14:paraId="449078CD"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single" w:sz="4" w:space="0" w:color="auto"/>
              <w:left w:val="nil"/>
              <w:bottom w:val="nil"/>
              <w:right w:val="nil"/>
            </w:tcBorders>
            <w:shd w:val="clear" w:color="auto" w:fill="auto"/>
            <w:vAlign w:val="center"/>
          </w:tcPr>
          <w:p w14:paraId="7577241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1624E244" w14:textId="77777777" w:rsidTr="00890582">
        <w:trPr>
          <w:trHeight w:val="397"/>
          <w:jc w:val="center"/>
        </w:trPr>
        <w:tc>
          <w:tcPr>
            <w:tcW w:w="3385" w:type="dxa"/>
            <w:tcBorders>
              <w:top w:val="nil"/>
              <w:left w:val="nil"/>
              <w:bottom w:val="nil"/>
              <w:right w:val="nil"/>
            </w:tcBorders>
            <w:shd w:val="clear" w:color="auto" w:fill="auto"/>
            <w:vAlign w:val="center"/>
          </w:tcPr>
          <w:p w14:paraId="6B7D80D5" w14:textId="77777777" w:rsidR="0026770B" w:rsidRPr="00E914FB" w:rsidRDefault="0026770B" w:rsidP="00890582">
            <w:pPr>
              <w:spacing w:after="0" w:line="300" w:lineRule="auto"/>
              <w:ind w:left="319" w:firstLine="17"/>
              <w:rPr>
                <w:rFonts w:eastAsia="MS Mincho" w:cstheme="minorHAnsi"/>
                <w:sz w:val="18"/>
                <w:szCs w:val="18"/>
                <w:lang w:eastAsia="ja-JP"/>
              </w:rPr>
            </w:pPr>
            <w:r w:rsidRPr="00E914FB">
              <w:rPr>
                <w:rFonts w:eastAsia="MS Mincho" w:cstheme="minorHAnsi"/>
                <w:sz w:val="18"/>
                <w:szCs w:val="18"/>
                <w:lang w:eastAsia="ja-JP"/>
              </w:rPr>
              <w:t>Prior pegIFN/RBV null responders</w:t>
            </w:r>
          </w:p>
        </w:tc>
        <w:tc>
          <w:tcPr>
            <w:tcW w:w="900" w:type="dxa"/>
            <w:tcBorders>
              <w:top w:val="nil"/>
              <w:left w:val="nil"/>
              <w:bottom w:val="nil"/>
              <w:right w:val="nil"/>
            </w:tcBorders>
            <w:shd w:val="clear" w:color="auto" w:fill="auto"/>
            <w:vAlign w:val="center"/>
          </w:tcPr>
          <w:p w14:paraId="48C46E4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25/25 </w:t>
            </w:r>
          </w:p>
        </w:tc>
        <w:tc>
          <w:tcPr>
            <w:tcW w:w="630" w:type="dxa"/>
            <w:tcBorders>
              <w:top w:val="nil"/>
              <w:left w:val="nil"/>
              <w:bottom w:val="nil"/>
              <w:right w:val="nil"/>
            </w:tcBorders>
            <w:shd w:val="clear" w:color="auto" w:fill="auto"/>
            <w:vAlign w:val="center"/>
          </w:tcPr>
          <w:p w14:paraId="32C78039"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31" w:type="dxa"/>
            <w:tcBorders>
              <w:top w:val="nil"/>
              <w:left w:val="nil"/>
              <w:bottom w:val="nil"/>
              <w:right w:val="nil"/>
            </w:tcBorders>
            <w:shd w:val="clear" w:color="auto" w:fill="auto"/>
            <w:vAlign w:val="center"/>
          </w:tcPr>
          <w:p w14:paraId="2A8EC9CC"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42E06EB3"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20/20 </w:t>
            </w:r>
          </w:p>
        </w:tc>
        <w:tc>
          <w:tcPr>
            <w:tcW w:w="739" w:type="dxa"/>
            <w:tcBorders>
              <w:top w:val="nil"/>
              <w:left w:val="nil"/>
              <w:bottom w:val="nil"/>
              <w:right w:val="nil"/>
            </w:tcBorders>
            <w:shd w:val="clear" w:color="auto" w:fill="auto"/>
            <w:vAlign w:val="center"/>
          </w:tcPr>
          <w:p w14:paraId="3703AFD4"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nil"/>
              <w:left w:val="nil"/>
              <w:bottom w:val="nil"/>
              <w:right w:val="nil"/>
            </w:tcBorders>
            <w:shd w:val="clear" w:color="auto" w:fill="auto"/>
            <w:vAlign w:val="center"/>
          </w:tcPr>
          <w:p w14:paraId="237D39F3"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443CF7F4" w14:textId="77777777" w:rsidTr="00890582">
        <w:trPr>
          <w:trHeight w:val="397"/>
          <w:jc w:val="center"/>
        </w:trPr>
        <w:tc>
          <w:tcPr>
            <w:tcW w:w="3385" w:type="dxa"/>
            <w:tcBorders>
              <w:top w:val="nil"/>
              <w:left w:val="nil"/>
              <w:bottom w:val="nil"/>
              <w:right w:val="nil"/>
            </w:tcBorders>
            <w:shd w:val="clear" w:color="auto" w:fill="auto"/>
            <w:vAlign w:val="center"/>
          </w:tcPr>
          <w:p w14:paraId="20090D04" w14:textId="77777777" w:rsidR="0026770B" w:rsidRPr="00E914FB" w:rsidRDefault="0026770B" w:rsidP="00890582">
            <w:pPr>
              <w:spacing w:after="0" w:line="300" w:lineRule="auto"/>
              <w:ind w:left="319" w:firstLine="17"/>
              <w:rPr>
                <w:rFonts w:eastAsia="MS Mincho" w:cstheme="minorHAnsi"/>
                <w:sz w:val="18"/>
                <w:szCs w:val="18"/>
                <w:lang w:eastAsia="ja-JP"/>
              </w:rPr>
            </w:pPr>
            <w:r w:rsidRPr="00E914FB">
              <w:rPr>
                <w:rFonts w:eastAsia="MS Mincho" w:cstheme="minorHAnsi"/>
                <w:sz w:val="18"/>
                <w:szCs w:val="18"/>
                <w:lang w:eastAsia="ja-JP"/>
              </w:rPr>
              <w:t>Prior pegIFN/RBV partial responders</w:t>
            </w:r>
          </w:p>
        </w:tc>
        <w:tc>
          <w:tcPr>
            <w:tcW w:w="900" w:type="dxa"/>
            <w:tcBorders>
              <w:top w:val="nil"/>
              <w:left w:val="nil"/>
              <w:bottom w:val="nil"/>
              <w:right w:val="nil"/>
            </w:tcBorders>
            <w:shd w:val="clear" w:color="auto" w:fill="auto"/>
            <w:vAlign w:val="center"/>
          </w:tcPr>
          <w:p w14:paraId="164522C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6/7</w:t>
            </w:r>
          </w:p>
        </w:tc>
        <w:tc>
          <w:tcPr>
            <w:tcW w:w="630" w:type="dxa"/>
            <w:tcBorders>
              <w:top w:val="nil"/>
              <w:left w:val="nil"/>
              <w:bottom w:val="nil"/>
              <w:right w:val="nil"/>
            </w:tcBorders>
            <w:shd w:val="clear" w:color="auto" w:fill="auto"/>
            <w:vAlign w:val="center"/>
          </w:tcPr>
          <w:p w14:paraId="7553FB5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85.7</w:t>
            </w:r>
          </w:p>
        </w:tc>
        <w:tc>
          <w:tcPr>
            <w:tcW w:w="1031" w:type="dxa"/>
            <w:tcBorders>
              <w:top w:val="nil"/>
              <w:left w:val="nil"/>
              <w:bottom w:val="nil"/>
              <w:right w:val="nil"/>
            </w:tcBorders>
            <w:shd w:val="clear" w:color="auto" w:fill="auto"/>
            <w:vAlign w:val="center"/>
          </w:tcPr>
          <w:p w14:paraId="31DE2AA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3316E75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3/3 </w:t>
            </w:r>
          </w:p>
        </w:tc>
        <w:tc>
          <w:tcPr>
            <w:tcW w:w="739" w:type="dxa"/>
            <w:tcBorders>
              <w:top w:val="nil"/>
              <w:left w:val="nil"/>
              <w:bottom w:val="nil"/>
              <w:right w:val="nil"/>
            </w:tcBorders>
            <w:shd w:val="clear" w:color="auto" w:fill="auto"/>
            <w:vAlign w:val="center"/>
          </w:tcPr>
          <w:p w14:paraId="10B4CD1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nil"/>
              <w:left w:val="nil"/>
              <w:bottom w:val="nil"/>
              <w:right w:val="nil"/>
            </w:tcBorders>
            <w:shd w:val="clear" w:color="auto" w:fill="auto"/>
            <w:vAlign w:val="center"/>
          </w:tcPr>
          <w:p w14:paraId="032BD953"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402897E6" w14:textId="77777777" w:rsidTr="00890582">
        <w:trPr>
          <w:trHeight w:val="397"/>
          <w:jc w:val="center"/>
        </w:trPr>
        <w:tc>
          <w:tcPr>
            <w:tcW w:w="3385" w:type="dxa"/>
            <w:tcBorders>
              <w:top w:val="nil"/>
              <w:left w:val="nil"/>
              <w:bottom w:val="single" w:sz="4" w:space="0" w:color="auto"/>
              <w:right w:val="nil"/>
            </w:tcBorders>
            <w:shd w:val="clear" w:color="auto" w:fill="auto"/>
            <w:vAlign w:val="center"/>
          </w:tcPr>
          <w:p w14:paraId="72012B53" w14:textId="77777777" w:rsidR="0026770B" w:rsidRPr="00E914FB" w:rsidRDefault="0026770B" w:rsidP="00890582">
            <w:pPr>
              <w:spacing w:after="0" w:line="300" w:lineRule="auto"/>
              <w:ind w:left="337" w:hanging="1"/>
              <w:rPr>
                <w:rFonts w:eastAsia="MS Mincho" w:cstheme="minorHAnsi"/>
                <w:sz w:val="18"/>
                <w:szCs w:val="18"/>
                <w:lang w:eastAsia="ja-JP"/>
              </w:rPr>
            </w:pPr>
            <w:r w:rsidRPr="00E914FB">
              <w:rPr>
                <w:rFonts w:eastAsia="MS Mincho" w:cstheme="minorHAnsi"/>
                <w:sz w:val="18"/>
                <w:szCs w:val="18"/>
                <w:lang w:eastAsia="ja-JP"/>
              </w:rPr>
              <w:t>Prior pegIFN/RBV Prior relapsers</w:t>
            </w:r>
          </w:p>
        </w:tc>
        <w:tc>
          <w:tcPr>
            <w:tcW w:w="900" w:type="dxa"/>
            <w:tcBorders>
              <w:top w:val="nil"/>
              <w:left w:val="nil"/>
              <w:bottom w:val="single" w:sz="4" w:space="0" w:color="auto"/>
              <w:right w:val="nil"/>
            </w:tcBorders>
            <w:shd w:val="clear" w:color="auto" w:fill="auto"/>
            <w:vAlign w:val="center"/>
          </w:tcPr>
          <w:p w14:paraId="31E7FE4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14/14</w:t>
            </w:r>
          </w:p>
        </w:tc>
        <w:tc>
          <w:tcPr>
            <w:tcW w:w="630" w:type="dxa"/>
            <w:tcBorders>
              <w:top w:val="nil"/>
              <w:left w:val="nil"/>
              <w:bottom w:val="single" w:sz="4" w:space="0" w:color="auto"/>
              <w:right w:val="nil"/>
            </w:tcBorders>
            <w:shd w:val="clear" w:color="auto" w:fill="auto"/>
            <w:vAlign w:val="center"/>
          </w:tcPr>
          <w:p w14:paraId="2C12854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31" w:type="dxa"/>
            <w:tcBorders>
              <w:top w:val="nil"/>
              <w:left w:val="nil"/>
              <w:bottom w:val="single" w:sz="4" w:space="0" w:color="auto"/>
              <w:right w:val="nil"/>
            </w:tcBorders>
            <w:shd w:val="clear" w:color="auto" w:fill="auto"/>
            <w:vAlign w:val="center"/>
          </w:tcPr>
          <w:p w14:paraId="5D905B1F"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single" w:sz="4" w:space="0" w:color="auto"/>
              <w:right w:val="nil"/>
            </w:tcBorders>
            <w:shd w:val="clear" w:color="auto" w:fill="auto"/>
            <w:vAlign w:val="center"/>
          </w:tcPr>
          <w:p w14:paraId="06049C0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 xml:space="preserve">10/10 </w:t>
            </w:r>
          </w:p>
        </w:tc>
        <w:tc>
          <w:tcPr>
            <w:tcW w:w="739" w:type="dxa"/>
            <w:tcBorders>
              <w:top w:val="nil"/>
              <w:left w:val="nil"/>
              <w:bottom w:val="single" w:sz="4" w:space="0" w:color="auto"/>
              <w:right w:val="nil"/>
            </w:tcBorders>
            <w:shd w:val="clear" w:color="auto" w:fill="auto"/>
            <w:vAlign w:val="center"/>
          </w:tcPr>
          <w:p w14:paraId="79E2F50F"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100</w:t>
            </w:r>
          </w:p>
        </w:tc>
        <w:tc>
          <w:tcPr>
            <w:tcW w:w="1080" w:type="dxa"/>
            <w:tcBorders>
              <w:top w:val="nil"/>
              <w:left w:val="nil"/>
              <w:bottom w:val="single" w:sz="4" w:space="0" w:color="auto"/>
              <w:right w:val="nil"/>
            </w:tcBorders>
            <w:shd w:val="clear" w:color="auto" w:fill="auto"/>
            <w:vAlign w:val="center"/>
          </w:tcPr>
          <w:p w14:paraId="12E040F4"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68DC8FC1" w14:textId="77777777" w:rsidTr="00890582">
        <w:trPr>
          <w:trHeight w:val="397"/>
          <w:jc w:val="center"/>
        </w:trPr>
        <w:tc>
          <w:tcPr>
            <w:tcW w:w="3385" w:type="dxa"/>
            <w:tcBorders>
              <w:top w:val="single" w:sz="4" w:space="0" w:color="auto"/>
              <w:left w:val="nil"/>
              <w:bottom w:val="single" w:sz="4" w:space="0" w:color="auto"/>
              <w:right w:val="nil"/>
            </w:tcBorders>
            <w:shd w:val="clear" w:color="auto" w:fill="auto"/>
            <w:vAlign w:val="center"/>
          </w:tcPr>
          <w:p w14:paraId="7058226D" w14:textId="77777777" w:rsidR="0026770B" w:rsidRPr="00E914FB" w:rsidRDefault="0026770B" w:rsidP="00890582">
            <w:pPr>
              <w:pStyle w:val="TableLeft"/>
              <w:spacing w:before="0" w:after="0" w:line="300" w:lineRule="auto"/>
              <w:rPr>
                <w:rFonts w:asciiTheme="minorHAnsi" w:hAnsiTheme="minorHAnsi" w:cstheme="minorHAnsi"/>
                <w:b/>
                <w:sz w:val="18"/>
                <w:szCs w:val="18"/>
                <w:lang w:val="en-AU"/>
              </w:rPr>
            </w:pPr>
            <w:r w:rsidRPr="00E914FB">
              <w:rPr>
                <w:rFonts w:asciiTheme="minorHAnsi" w:hAnsiTheme="minorHAnsi" w:cstheme="minorHAnsi"/>
                <w:b/>
                <w:sz w:val="18"/>
                <w:szCs w:val="18"/>
                <w:lang w:val="en-AU"/>
              </w:rPr>
              <w:t>Outcome for subjects without SVR12</w:t>
            </w:r>
          </w:p>
        </w:tc>
        <w:tc>
          <w:tcPr>
            <w:tcW w:w="900" w:type="dxa"/>
            <w:tcBorders>
              <w:top w:val="single" w:sz="4" w:space="0" w:color="auto"/>
              <w:left w:val="nil"/>
              <w:bottom w:val="single" w:sz="4" w:space="0" w:color="auto"/>
              <w:right w:val="nil"/>
            </w:tcBorders>
            <w:shd w:val="clear" w:color="auto" w:fill="auto"/>
            <w:vAlign w:val="center"/>
          </w:tcPr>
          <w:p w14:paraId="002DA19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30" w:type="dxa"/>
            <w:tcBorders>
              <w:top w:val="single" w:sz="4" w:space="0" w:color="auto"/>
              <w:left w:val="nil"/>
              <w:bottom w:val="single" w:sz="4" w:space="0" w:color="auto"/>
              <w:right w:val="nil"/>
            </w:tcBorders>
            <w:shd w:val="clear" w:color="auto" w:fill="auto"/>
            <w:vAlign w:val="center"/>
          </w:tcPr>
          <w:p w14:paraId="719BF5C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1031" w:type="dxa"/>
            <w:tcBorders>
              <w:top w:val="single" w:sz="4" w:space="0" w:color="auto"/>
              <w:left w:val="nil"/>
              <w:bottom w:val="single" w:sz="4" w:space="0" w:color="auto"/>
              <w:right w:val="nil"/>
            </w:tcBorders>
            <w:shd w:val="clear" w:color="auto" w:fill="auto"/>
            <w:vAlign w:val="center"/>
          </w:tcPr>
          <w:p w14:paraId="0731367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single" w:sz="4" w:space="0" w:color="auto"/>
              <w:right w:val="nil"/>
            </w:tcBorders>
            <w:shd w:val="clear" w:color="auto" w:fill="auto"/>
            <w:vAlign w:val="center"/>
          </w:tcPr>
          <w:p w14:paraId="0603C45C"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739" w:type="dxa"/>
            <w:tcBorders>
              <w:top w:val="single" w:sz="4" w:space="0" w:color="auto"/>
              <w:left w:val="nil"/>
              <w:bottom w:val="single" w:sz="4" w:space="0" w:color="auto"/>
              <w:right w:val="nil"/>
            </w:tcBorders>
            <w:shd w:val="clear" w:color="auto" w:fill="auto"/>
            <w:vAlign w:val="center"/>
          </w:tcPr>
          <w:p w14:paraId="5990AF53"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1080" w:type="dxa"/>
            <w:tcBorders>
              <w:top w:val="single" w:sz="4" w:space="0" w:color="auto"/>
              <w:left w:val="nil"/>
              <w:bottom w:val="single" w:sz="4" w:space="0" w:color="auto"/>
              <w:right w:val="nil"/>
            </w:tcBorders>
            <w:shd w:val="clear" w:color="auto" w:fill="auto"/>
            <w:vAlign w:val="center"/>
          </w:tcPr>
          <w:p w14:paraId="1EA2DBF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2C3FDE0C" w14:textId="77777777" w:rsidTr="00890582">
        <w:trPr>
          <w:trHeight w:val="397"/>
          <w:jc w:val="center"/>
        </w:trPr>
        <w:tc>
          <w:tcPr>
            <w:tcW w:w="3385" w:type="dxa"/>
            <w:tcBorders>
              <w:top w:val="single" w:sz="4" w:space="0" w:color="auto"/>
              <w:left w:val="nil"/>
              <w:bottom w:val="nil"/>
              <w:right w:val="nil"/>
            </w:tcBorders>
            <w:shd w:val="clear" w:color="auto" w:fill="auto"/>
            <w:vAlign w:val="center"/>
          </w:tcPr>
          <w:p w14:paraId="7083CBD5"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ab/>
              <w:t>On-treatment VF</w:t>
            </w:r>
            <w:r w:rsidRPr="00E914FB">
              <w:rPr>
                <w:rFonts w:asciiTheme="minorHAnsi" w:hAnsiTheme="minorHAnsi" w:cstheme="minorHAnsi"/>
                <w:sz w:val="18"/>
                <w:szCs w:val="18"/>
                <w:vertAlign w:val="superscript"/>
                <w:lang w:val="en-AU"/>
              </w:rPr>
              <w:t>b</w:t>
            </w:r>
          </w:p>
        </w:tc>
        <w:tc>
          <w:tcPr>
            <w:tcW w:w="900" w:type="dxa"/>
            <w:tcBorders>
              <w:top w:val="single" w:sz="4" w:space="0" w:color="auto"/>
              <w:left w:val="nil"/>
              <w:bottom w:val="nil"/>
              <w:right w:val="nil"/>
            </w:tcBorders>
            <w:shd w:val="clear" w:color="auto" w:fill="auto"/>
            <w:vAlign w:val="center"/>
          </w:tcPr>
          <w:p w14:paraId="0B2F99BA"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1/208</w:t>
            </w:r>
          </w:p>
        </w:tc>
        <w:tc>
          <w:tcPr>
            <w:tcW w:w="630" w:type="dxa"/>
            <w:tcBorders>
              <w:top w:val="single" w:sz="4" w:space="0" w:color="auto"/>
              <w:left w:val="nil"/>
              <w:bottom w:val="nil"/>
              <w:right w:val="nil"/>
            </w:tcBorders>
            <w:shd w:val="clear" w:color="auto" w:fill="auto"/>
            <w:vAlign w:val="center"/>
          </w:tcPr>
          <w:p w14:paraId="3C2924E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0.5</w:t>
            </w:r>
          </w:p>
        </w:tc>
        <w:tc>
          <w:tcPr>
            <w:tcW w:w="1031" w:type="dxa"/>
            <w:tcBorders>
              <w:top w:val="single" w:sz="4" w:space="0" w:color="auto"/>
              <w:left w:val="nil"/>
              <w:bottom w:val="nil"/>
              <w:right w:val="nil"/>
            </w:tcBorders>
            <w:shd w:val="clear" w:color="auto" w:fill="auto"/>
            <w:vAlign w:val="center"/>
          </w:tcPr>
          <w:p w14:paraId="11796B77"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single" w:sz="4" w:space="0" w:color="auto"/>
              <w:left w:val="nil"/>
              <w:bottom w:val="nil"/>
              <w:right w:val="nil"/>
            </w:tcBorders>
            <w:shd w:val="clear" w:color="auto" w:fill="auto"/>
            <w:vAlign w:val="center"/>
          </w:tcPr>
          <w:p w14:paraId="7A1C7AE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3/172</w:t>
            </w:r>
          </w:p>
        </w:tc>
        <w:tc>
          <w:tcPr>
            <w:tcW w:w="739" w:type="dxa"/>
            <w:tcBorders>
              <w:top w:val="single" w:sz="4" w:space="0" w:color="auto"/>
              <w:left w:val="nil"/>
              <w:bottom w:val="nil"/>
              <w:right w:val="nil"/>
            </w:tcBorders>
            <w:shd w:val="clear" w:color="auto" w:fill="auto"/>
            <w:vAlign w:val="center"/>
          </w:tcPr>
          <w:p w14:paraId="31A33B5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1.7</w:t>
            </w:r>
          </w:p>
        </w:tc>
        <w:tc>
          <w:tcPr>
            <w:tcW w:w="1080" w:type="dxa"/>
            <w:tcBorders>
              <w:top w:val="single" w:sz="4" w:space="0" w:color="auto"/>
              <w:left w:val="nil"/>
              <w:bottom w:val="nil"/>
              <w:right w:val="nil"/>
            </w:tcBorders>
            <w:shd w:val="clear" w:color="auto" w:fill="auto"/>
            <w:vAlign w:val="center"/>
          </w:tcPr>
          <w:p w14:paraId="5E277EFF"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123840BC" w14:textId="77777777" w:rsidTr="00890582">
        <w:trPr>
          <w:trHeight w:val="397"/>
          <w:jc w:val="center"/>
        </w:trPr>
        <w:tc>
          <w:tcPr>
            <w:tcW w:w="3385" w:type="dxa"/>
            <w:tcBorders>
              <w:top w:val="nil"/>
              <w:left w:val="nil"/>
              <w:bottom w:val="nil"/>
              <w:right w:val="nil"/>
            </w:tcBorders>
            <w:shd w:val="clear" w:color="auto" w:fill="auto"/>
            <w:vAlign w:val="center"/>
          </w:tcPr>
          <w:p w14:paraId="29362AEF"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ab/>
              <w:t>Relapse</w:t>
            </w:r>
            <w:r w:rsidRPr="00E914FB">
              <w:rPr>
                <w:rFonts w:asciiTheme="minorHAnsi" w:hAnsiTheme="minorHAnsi" w:cstheme="minorHAnsi"/>
                <w:sz w:val="18"/>
                <w:szCs w:val="18"/>
                <w:vertAlign w:val="superscript"/>
                <w:lang w:val="en-AU"/>
              </w:rPr>
              <w:t>c</w:t>
            </w:r>
          </w:p>
        </w:tc>
        <w:tc>
          <w:tcPr>
            <w:tcW w:w="900" w:type="dxa"/>
            <w:tcBorders>
              <w:top w:val="nil"/>
              <w:left w:val="nil"/>
              <w:bottom w:val="nil"/>
              <w:right w:val="nil"/>
            </w:tcBorders>
            <w:shd w:val="clear" w:color="auto" w:fill="auto"/>
            <w:vAlign w:val="center"/>
          </w:tcPr>
          <w:p w14:paraId="1E19CB9F"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12/203</w:t>
            </w:r>
          </w:p>
        </w:tc>
        <w:tc>
          <w:tcPr>
            <w:tcW w:w="630" w:type="dxa"/>
            <w:tcBorders>
              <w:top w:val="nil"/>
              <w:left w:val="nil"/>
              <w:bottom w:val="nil"/>
              <w:right w:val="nil"/>
            </w:tcBorders>
            <w:shd w:val="clear" w:color="auto" w:fill="auto"/>
            <w:vAlign w:val="center"/>
          </w:tcPr>
          <w:p w14:paraId="5EA5607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5.9</w:t>
            </w:r>
          </w:p>
        </w:tc>
        <w:tc>
          <w:tcPr>
            <w:tcW w:w="1031" w:type="dxa"/>
            <w:tcBorders>
              <w:top w:val="nil"/>
              <w:left w:val="nil"/>
              <w:bottom w:val="nil"/>
              <w:right w:val="nil"/>
            </w:tcBorders>
            <w:shd w:val="clear" w:color="auto" w:fill="auto"/>
            <w:vAlign w:val="center"/>
          </w:tcPr>
          <w:p w14:paraId="09727692"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073B818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1/164</w:t>
            </w:r>
          </w:p>
        </w:tc>
        <w:tc>
          <w:tcPr>
            <w:tcW w:w="739" w:type="dxa"/>
            <w:tcBorders>
              <w:top w:val="nil"/>
              <w:left w:val="nil"/>
              <w:bottom w:val="nil"/>
              <w:right w:val="nil"/>
            </w:tcBorders>
            <w:shd w:val="clear" w:color="auto" w:fill="auto"/>
            <w:vAlign w:val="center"/>
          </w:tcPr>
          <w:p w14:paraId="10E3E9C3"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0.6</w:t>
            </w:r>
          </w:p>
        </w:tc>
        <w:tc>
          <w:tcPr>
            <w:tcW w:w="1080" w:type="dxa"/>
            <w:tcBorders>
              <w:top w:val="nil"/>
              <w:left w:val="nil"/>
              <w:bottom w:val="nil"/>
              <w:right w:val="nil"/>
            </w:tcBorders>
            <w:shd w:val="clear" w:color="auto" w:fill="auto"/>
            <w:vAlign w:val="center"/>
          </w:tcPr>
          <w:p w14:paraId="128BA4A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024B73E3" w14:textId="77777777" w:rsidTr="00890582">
        <w:trPr>
          <w:trHeight w:val="397"/>
          <w:jc w:val="center"/>
        </w:trPr>
        <w:tc>
          <w:tcPr>
            <w:tcW w:w="3385" w:type="dxa"/>
            <w:tcBorders>
              <w:top w:val="nil"/>
              <w:left w:val="nil"/>
              <w:bottom w:val="nil"/>
              <w:right w:val="nil"/>
            </w:tcBorders>
            <w:shd w:val="clear" w:color="auto" w:fill="auto"/>
            <w:vAlign w:val="center"/>
          </w:tcPr>
          <w:p w14:paraId="13182A44"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ab/>
              <w:t>Other</w:t>
            </w:r>
            <w:r w:rsidRPr="00E914FB">
              <w:rPr>
                <w:rFonts w:asciiTheme="minorHAnsi" w:hAnsiTheme="minorHAnsi" w:cstheme="minorHAnsi"/>
                <w:sz w:val="18"/>
                <w:szCs w:val="18"/>
                <w:vertAlign w:val="superscript"/>
                <w:lang w:val="en-AU"/>
              </w:rPr>
              <w:t>d</w:t>
            </w:r>
          </w:p>
        </w:tc>
        <w:tc>
          <w:tcPr>
            <w:tcW w:w="900" w:type="dxa"/>
            <w:tcBorders>
              <w:top w:val="nil"/>
              <w:left w:val="nil"/>
              <w:bottom w:val="nil"/>
              <w:right w:val="nil"/>
            </w:tcBorders>
            <w:shd w:val="clear" w:color="auto" w:fill="auto"/>
            <w:vAlign w:val="center"/>
          </w:tcPr>
          <w:p w14:paraId="211A2E80"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4/208</w:t>
            </w:r>
          </w:p>
        </w:tc>
        <w:tc>
          <w:tcPr>
            <w:tcW w:w="630" w:type="dxa"/>
            <w:tcBorders>
              <w:top w:val="nil"/>
              <w:left w:val="nil"/>
              <w:bottom w:val="nil"/>
              <w:right w:val="nil"/>
            </w:tcBorders>
            <w:shd w:val="clear" w:color="auto" w:fill="auto"/>
            <w:vAlign w:val="center"/>
          </w:tcPr>
          <w:p w14:paraId="04769608"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1.9</w:t>
            </w:r>
          </w:p>
        </w:tc>
        <w:tc>
          <w:tcPr>
            <w:tcW w:w="1031" w:type="dxa"/>
            <w:tcBorders>
              <w:top w:val="nil"/>
              <w:left w:val="nil"/>
              <w:bottom w:val="nil"/>
              <w:right w:val="nil"/>
            </w:tcBorders>
            <w:shd w:val="clear" w:color="auto" w:fill="auto"/>
            <w:vAlign w:val="center"/>
          </w:tcPr>
          <w:p w14:paraId="546666DB"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c>
          <w:tcPr>
            <w:tcW w:w="679" w:type="dxa"/>
            <w:tcBorders>
              <w:top w:val="nil"/>
              <w:left w:val="nil"/>
              <w:bottom w:val="nil"/>
              <w:right w:val="nil"/>
            </w:tcBorders>
            <w:shd w:val="clear" w:color="auto" w:fill="auto"/>
            <w:vAlign w:val="center"/>
          </w:tcPr>
          <w:p w14:paraId="7784B101"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2/172</w:t>
            </w:r>
          </w:p>
        </w:tc>
        <w:tc>
          <w:tcPr>
            <w:tcW w:w="739" w:type="dxa"/>
            <w:tcBorders>
              <w:top w:val="nil"/>
              <w:left w:val="nil"/>
              <w:bottom w:val="nil"/>
              <w:right w:val="nil"/>
            </w:tcBorders>
            <w:shd w:val="clear" w:color="auto" w:fill="auto"/>
            <w:vAlign w:val="center"/>
          </w:tcPr>
          <w:p w14:paraId="38875E36"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r w:rsidRPr="00E914FB">
              <w:rPr>
                <w:rFonts w:asciiTheme="minorHAnsi" w:hAnsiTheme="minorHAnsi" w:cstheme="minorHAnsi"/>
                <w:sz w:val="18"/>
                <w:szCs w:val="18"/>
                <w:lang w:val="en-AU"/>
              </w:rPr>
              <w:t>1.2</w:t>
            </w:r>
          </w:p>
        </w:tc>
        <w:tc>
          <w:tcPr>
            <w:tcW w:w="1080" w:type="dxa"/>
            <w:tcBorders>
              <w:top w:val="nil"/>
              <w:left w:val="nil"/>
              <w:bottom w:val="nil"/>
              <w:right w:val="nil"/>
            </w:tcBorders>
            <w:shd w:val="clear" w:color="auto" w:fill="auto"/>
            <w:vAlign w:val="center"/>
          </w:tcPr>
          <w:p w14:paraId="3C361835" w14:textId="77777777" w:rsidR="0026770B" w:rsidRPr="00E914FB" w:rsidRDefault="0026770B" w:rsidP="00890582">
            <w:pPr>
              <w:pStyle w:val="TableLeft"/>
              <w:spacing w:before="0" w:after="0" w:line="300" w:lineRule="auto"/>
              <w:rPr>
                <w:rFonts w:asciiTheme="minorHAnsi" w:hAnsiTheme="minorHAnsi" w:cstheme="minorHAnsi"/>
                <w:sz w:val="18"/>
                <w:szCs w:val="18"/>
                <w:lang w:val="en-AU"/>
              </w:rPr>
            </w:pPr>
          </w:p>
        </w:tc>
      </w:tr>
      <w:tr w:rsidR="0026770B" w:rsidRPr="00E914FB" w14:paraId="1750E729" w14:textId="77777777" w:rsidTr="00890582">
        <w:trPr>
          <w:trHeight w:val="397"/>
          <w:jc w:val="center"/>
        </w:trPr>
        <w:tc>
          <w:tcPr>
            <w:tcW w:w="8444" w:type="dxa"/>
            <w:gridSpan w:val="7"/>
            <w:tcBorders>
              <w:top w:val="nil"/>
              <w:left w:val="nil"/>
              <w:bottom w:val="single" w:sz="4" w:space="0" w:color="auto"/>
              <w:right w:val="nil"/>
            </w:tcBorders>
            <w:shd w:val="clear" w:color="auto" w:fill="auto"/>
            <w:vAlign w:val="center"/>
          </w:tcPr>
          <w:p w14:paraId="23A97BA5" w14:textId="77777777" w:rsidR="0026770B" w:rsidRPr="00E914FB" w:rsidRDefault="0026770B" w:rsidP="00890582">
            <w:pPr>
              <w:pStyle w:val="TableFootnoteSymbol"/>
              <w:tabs>
                <w:tab w:val="clear" w:pos="360"/>
              </w:tabs>
              <w:spacing w:before="0" w:line="300" w:lineRule="auto"/>
              <w:ind w:left="357" w:hanging="357"/>
              <w:rPr>
                <w:rFonts w:asciiTheme="minorHAnsi" w:hAnsiTheme="minorHAnsi" w:cstheme="minorHAnsi"/>
                <w:sz w:val="20"/>
                <w:szCs w:val="20"/>
                <w:lang w:val="en-AU"/>
              </w:rPr>
            </w:pPr>
            <w:r w:rsidRPr="00E914FB">
              <w:rPr>
                <w:rFonts w:asciiTheme="minorHAnsi" w:hAnsiTheme="minorHAnsi" w:cstheme="minorHAnsi"/>
                <w:sz w:val="20"/>
                <w:szCs w:val="20"/>
                <w:lang w:val="en-AU"/>
              </w:rPr>
              <w:t>CI = confidence interval, VF = virologic failure, NA = data not yet available</w:t>
            </w:r>
          </w:p>
          <w:p w14:paraId="37F93AEB" w14:textId="77777777" w:rsidR="0026770B" w:rsidRPr="00E914FB" w:rsidRDefault="0026770B" w:rsidP="00890582">
            <w:pPr>
              <w:pStyle w:val="ListParagraph"/>
              <w:numPr>
                <w:ilvl w:val="0"/>
                <w:numId w:val="4"/>
              </w:numPr>
              <w:spacing w:after="0" w:line="300" w:lineRule="auto"/>
              <w:ind w:left="357" w:hanging="357"/>
              <w:rPr>
                <w:rFonts w:cstheme="minorHAnsi"/>
                <w:sz w:val="20"/>
                <w:szCs w:val="20"/>
              </w:rPr>
            </w:pPr>
            <w:r w:rsidRPr="00E914FB">
              <w:rPr>
                <w:rFonts w:cstheme="minorHAnsi"/>
                <w:sz w:val="20"/>
                <w:szCs w:val="20"/>
              </w:rPr>
              <w:t>97.5% confidence intervals are used for the primary efficacy endpoints (overall SVR12 rate); 95% confidence intervals are used for additional efficacy endpoints (SVR12 rates in HCV genotype 1a and 1b subjects).</w:t>
            </w:r>
          </w:p>
          <w:p w14:paraId="6F5608E8" w14:textId="77777777" w:rsidR="0026770B" w:rsidRPr="00E914FB" w:rsidRDefault="0026770B" w:rsidP="00890582">
            <w:pPr>
              <w:pStyle w:val="TableFootnoteSymbol"/>
              <w:tabs>
                <w:tab w:val="clear" w:pos="360"/>
              </w:tabs>
              <w:spacing w:before="0" w:line="300" w:lineRule="auto"/>
              <w:ind w:left="357" w:hanging="357"/>
              <w:rPr>
                <w:rFonts w:asciiTheme="minorHAnsi" w:hAnsiTheme="minorHAnsi" w:cstheme="minorHAnsi"/>
                <w:sz w:val="20"/>
                <w:szCs w:val="20"/>
                <w:lang w:val="en-AU"/>
              </w:rPr>
            </w:pPr>
            <w:r w:rsidRPr="00E914FB">
              <w:rPr>
                <w:rFonts w:asciiTheme="minorHAnsi" w:hAnsiTheme="minorHAnsi" w:cstheme="minorHAnsi"/>
                <w:sz w:val="20"/>
                <w:szCs w:val="20"/>
                <w:lang w:val="en-AU"/>
              </w:rPr>
              <w:t>b.</w:t>
            </w:r>
            <w:r w:rsidRPr="00E914FB">
              <w:rPr>
                <w:rFonts w:asciiTheme="minorHAnsi" w:hAnsiTheme="minorHAnsi" w:cstheme="minorHAnsi"/>
                <w:sz w:val="20"/>
                <w:szCs w:val="20"/>
                <w:lang w:val="en-AU"/>
              </w:rPr>
              <w:tab/>
              <w:t>On-treatment VF was defined as confirmed HCV ≥ 25 IU/mL after HCV RNA &lt; 25 IU/mL during treatment, confirmed 1 log</w:t>
            </w:r>
            <w:r w:rsidRPr="00E914FB">
              <w:rPr>
                <w:rFonts w:asciiTheme="minorHAnsi" w:hAnsiTheme="minorHAnsi" w:cstheme="minorHAnsi"/>
                <w:sz w:val="20"/>
                <w:szCs w:val="20"/>
                <w:vertAlign w:val="subscript"/>
                <w:lang w:val="en-AU"/>
              </w:rPr>
              <w:t>10</w:t>
            </w:r>
            <w:r w:rsidRPr="00E914FB">
              <w:rPr>
                <w:rFonts w:asciiTheme="minorHAnsi" w:hAnsiTheme="minorHAnsi" w:cstheme="minorHAnsi"/>
                <w:sz w:val="20"/>
                <w:szCs w:val="20"/>
                <w:lang w:val="en-AU"/>
              </w:rPr>
              <w:t xml:space="preserve"> IU/mL increase in HCV RNA from nadir, or HCV RNA persistently ≥ 25 IU/mL with at least 6 weeks of treatment.</w:t>
            </w:r>
          </w:p>
          <w:p w14:paraId="52A0ADAE" w14:textId="77777777" w:rsidR="0026770B" w:rsidRPr="00E914FB" w:rsidRDefault="0026770B" w:rsidP="00890582">
            <w:pPr>
              <w:pStyle w:val="TableFootnoteSymbol"/>
              <w:tabs>
                <w:tab w:val="clear" w:pos="360"/>
              </w:tabs>
              <w:spacing w:before="0" w:line="300" w:lineRule="auto"/>
              <w:ind w:left="357" w:hanging="357"/>
              <w:rPr>
                <w:rFonts w:asciiTheme="minorHAnsi" w:hAnsiTheme="minorHAnsi" w:cstheme="minorHAnsi"/>
                <w:sz w:val="20"/>
                <w:szCs w:val="20"/>
                <w:lang w:val="en-AU"/>
              </w:rPr>
            </w:pPr>
            <w:r w:rsidRPr="00E914FB">
              <w:rPr>
                <w:rFonts w:asciiTheme="minorHAnsi" w:hAnsiTheme="minorHAnsi" w:cstheme="minorHAnsi"/>
                <w:sz w:val="20"/>
                <w:szCs w:val="20"/>
                <w:lang w:val="en-AU"/>
              </w:rPr>
              <w:t>c.</w:t>
            </w:r>
            <w:r w:rsidRPr="00E914FB">
              <w:rPr>
                <w:rFonts w:asciiTheme="minorHAnsi" w:hAnsiTheme="minorHAnsi" w:cstheme="minorHAnsi"/>
                <w:sz w:val="20"/>
                <w:szCs w:val="20"/>
                <w:lang w:val="en-AU"/>
              </w:rPr>
              <w:tab/>
              <w:t>Relapse was defined as confirmed HCV RNA ≥ 25 IU/mL post</w:t>
            </w:r>
            <w:r w:rsidRPr="00E914FB">
              <w:rPr>
                <w:rFonts w:asciiTheme="minorHAnsi" w:hAnsiTheme="minorHAnsi" w:cstheme="minorHAnsi"/>
                <w:sz w:val="20"/>
                <w:szCs w:val="20"/>
                <w:lang w:val="en-AU"/>
              </w:rPr>
              <w:noBreakHyphen/>
              <w:t>treatment before or during SVR12 window among subjects with HCV RNA &lt; 25 IU/mL at last observation during at least 11 or 22 weeks of treatment, for subjects assigned to 12 or 24 weeks of treatment, respectively.</w:t>
            </w:r>
          </w:p>
          <w:p w14:paraId="5641045A" w14:textId="759797A7" w:rsidR="0026770B" w:rsidRPr="00E914FB" w:rsidRDefault="0026770B" w:rsidP="00D35311">
            <w:pPr>
              <w:pStyle w:val="ListParagraph"/>
              <w:spacing w:after="0" w:line="300" w:lineRule="auto"/>
              <w:ind w:left="357" w:hanging="357"/>
              <w:rPr>
                <w:rFonts w:cstheme="minorHAnsi"/>
                <w:sz w:val="18"/>
                <w:szCs w:val="18"/>
              </w:rPr>
            </w:pPr>
            <w:r w:rsidRPr="00E914FB">
              <w:rPr>
                <w:rFonts w:cstheme="minorHAnsi"/>
                <w:sz w:val="20"/>
                <w:szCs w:val="20"/>
              </w:rPr>
              <w:t xml:space="preserve">d. </w:t>
            </w:r>
            <w:r w:rsidRPr="00E914FB">
              <w:rPr>
                <w:rFonts w:cstheme="minorHAnsi"/>
                <w:sz w:val="20"/>
                <w:szCs w:val="20"/>
              </w:rPr>
              <w:tab/>
              <w:t>Other includes subjects not achieving SVR12 but not experiencing on-treatment VF or relapse (e.g. missing HCV RNA values in the SVR12 window).</w:t>
            </w:r>
          </w:p>
        </w:tc>
      </w:tr>
    </w:tbl>
    <w:p w14:paraId="26D41704" w14:textId="77777777" w:rsidR="00CC32CC" w:rsidRDefault="00CC32CC" w:rsidP="0026770B">
      <w:pPr>
        <w:pStyle w:val="Paragraph"/>
        <w:jc w:val="both"/>
        <w:rPr>
          <w:rFonts w:asciiTheme="minorHAnsi" w:hAnsiTheme="minorHAnsi" w:cstheme="minorHAnsi"/>
          <w:sz w:val="22"/>
          <w:szCs w:val="22"/>
          <w:lang w:val="en-AU"/>
        </w:rPr>
      </w:pPr>
    </w:p>
    <w:p w14:paraId="2013B9AD" w14:textId="338E7D7C" w:rsidR="0026770B" w:rsidRPr="00E914FB" w:rsidRDefault="0026770B" w:rsidP="00CC32CC">
      <w:pPr>
        <w:pStyle w:val="Paragraph"/>
        <w:spacing w:line="240" w:lineRule="auto"/>
        <w:jc w:val="both"/>
        <w:rPr>
          <w:rFonts w:asciiTheme="minorHAnsi" w:hAnsiTheme="minorHAnsi" w:cstheme="minorHAnsi"/>
          <w:sz w:val="22"/>
          <w:szCs w:val="22"/>
          <w:lang w:val="en-AU"/>
        </w:rPr>
      </w:pPr>
      <w:r w:rsidRPr="00E914FB">
        <w:rPr>
          <w:rFonts w:asciiTheme="minorHAnsi" w:hAnsiTheme="minorHAnsi" w:cstheme="minorHAnsi"/>
          <w:sz w:val="22"/>
          <w:szCs w:val="22"/>
          <w:lang w:val="en-AU"/>
        </w:rPr>
        <w:t>In the primary efficacy analysis, VIEKIRA PAK</w:t>
      </w:r>
      <w:r w:rsidR="00775DC4">
        <w:rPr>
          <w:rFonts w:asciiTheme="minorHAnsi" w:hAnsiTheme="minorHAnsi" w:cstheme="minorHAnsi"/>
          <w:sz w:val="22"/>
          <w:szCs w:val="22"/>
          <w:lang w:val="en-AU"/>
        </w:rPr>
        <w:t>-RBV</w:t>
      </w:r>
      <w:r w:rsidRPr="00E914FB">
        <w:rPr>
          <w:rFonts w:asciiTheme="minorHAnsi" w:hAnsiTheme="minorHAnsi" w:cstheme="minorHAnsi"/>
          <w:sz w:val="22"/>
          <w:szCs w:val="22"/>
          <w:lang w:val="en-AU"/>
        </w:rPr>
        <w:t xml:space="preserve"> administered for 12 or 24 weeks demonstrated superiority to the historical control </w:t>
      </w:r>
      <w:r w:rsidR="00136D06">
        <w:rPr>
          <w:rFonts w:asciiTheme="minorHAnsi" w:hAnsiTheme="minorHAnsi" w:cstheme="minorHAnsi"/>
          <w:sz w:val="22"/>
          <w:szCs w:val="22"/>
          <w:lang w:val="en-AU"/>
        </w:rPr>
        <w:t>SVR rate of 47% {95% CI of 41%, 54%}</w:t>
      </w:r>
      <w:r w:rsidR="00136D06" w:rsidRPr="00E914FB">
        <w:rPr>
          <w:rFonts w:asciiTheme="minorHAnsi" w:hAnsiTheme="minorHAnsi" w:cstheme="minorHAnsi"/>
          <w:sz w:val="22"/>
          <w:szCs w:val="22"/>
          <w:lang w:val="en-AU"/>
        </w:rPr>
        <w:t xml:space="preserve"> </w:t>
      </w:r>
      <w:r w:rsidRPr="00E914FB">
        <w:rPr>
          <w:rFonts w:asciiTheme="minorHAnsi" w:hAnsiTheme="minorHAnsi" w:cstheme="minorHAnsi"/>
          <w:sz w:val="22"/>
          <w:szCs w:val="22"/>
          <w:lang w:val="en-AU"/>
        </w:rPr>
        <w:t>(based upon telaprevir plus pegIFN/RBV) for subjects with genotype 1 HCV infection with cirrhosis that were treatment-naïve or previously treated with pegIFN/RBV. Refer to the telaprevir prescribing information.</w:t>
      </w:r>
    </w:p>
    <w:p w14:paraId="2FC6E5BC" w14:textId="0ECF4B62" w:rsidR="0026770B" w:rsidRPr="00E914FB" w:rsidRDefault="00960892" w:rsidP="00885509">
      <w:pPr>
        <w:pStyle w:val="Paragraph"/>
        <w:spacing w:line="240" w:lineRule="auto"/>
        <w:jc w:val="both"/>
        <w:rPr>
          <w:rFonts w:asciiTheme="minorHAnsi" w:hAnsiTheme="minorHAnsi" w:cstheme="minorHAnsi"/>
          <w:sz w:val="22"/>
          <w:szCs w:val="22"/>
          <w:lang w:val="en-AU"/>
        </w:rPr>
      </w:pPr>
      <w:r w:rsidRPr="00960892">
        <w:rPr>
          <w:rFonts w:asciiTheme="minorHAnsi" w:hAnsiTheme="minorHAnsi" w:cstheme="minorHAnsi"/>
          <w:sz w:val="22"/>
          <w:szCs w:val="22"/>
          <w:lang w:val="en-AU"/>
        </w:rPr>
        <w:lastRenderedPageBreak/>
        <w:t xml:space="preserve">Based on subgroup analyses, the following </w:t>
      </w:r>
      <w:r w:rsidR="0026770B" w:rsidRPr="00E914FB">
        <w:rPr>
          <w:rFonts w:asciiTheme="minorHAnsi" w:hAnsiTheme="minorHAnsi" w:cstheme="minorHAnsi"/>
          <w:sz w:val="22"/>
          <w:szCs w:val="22"/>
          <w:lang w:val="en-AU"/>
        </w:rPr>
        <w:t xml:space="preserve">baseline factors were not associated with lower SVR12 rates (lower 95% confidence bound &gt; 43%):   </w:t>
      </w:r>
    </w:p>
    <w:p w14:paraId="7C682680" w14:textId="77777777" w:rsidR="0026770B" w:rsidRPr="00E914FB" w:rsidRDefault="0026770B" w:rsidP="00885509">
      <w:pPr>
        <w:pStyle w:val="CommentText"/>
        <w:numPr>
          <w:ilvl w:val="0"/>
          <w:numId w:val="2"/>
        </w:numPr>
        <w:jc w:val="both"/>
        <w:rPr>
          <w:rFonts w:asciiTheme="minorHAnsi" w:hAnsiTheme="minorHAnsi" w:cstheme="minorHAnsi"/>
          <w:sz w:val="22"/>
          <w:szCs w:val="22"/>
          <w:lang w:val="en-AU"/>
        </w:rPr>
      </w:pPr>
      <w:r w:rsidRPr="00E914FB">
        <w:rPr>
          <w:rFonts w:asciiTheme="minorHAnsi" w:hAnsiTheme="minorHAnsi" w:cstheme="minorHAnsi"/>
          <w:i/>
          <w:iCs/>
          <w:sz w:val="22"/>
          <w:szCs w:val="22"/>
          <w:lang w:val="en-AU"/>
        </w:rPr>
        <w:t>Viral factors:</w:t>
      </w:r>
      <w:r w:rsidRPr="00E914FB">
        <w:rPr>
          <w:rFonts w:asciiTheme="minorHAnsi" w:hAnsiTheme="minorHAnsi" w:cstheme="minorHAnsi"/>
          <w:sz w:val="22"/>
          <w:szCs w:val="22"/>
          <w:lang w:val="en-AU"/>
        </w:rPr>
        <w:t xml:space="preserve"> genotype 1 subtype, baseline viral load</w:t>
      </w:r>
    </w:p>
    <w:p w14:paraId="4299E819" w14:textId="77777777" w:rsidR="0026770B" w:rsidRPr="00E914FB" w:rsidRDefault="0026770B" w:rsidP="00885509">
      <w:pPr>
        <w:pStyle w:val="ListParagraph"/>
        <w:numPr>
          <w:ilvl w:val="0"/>
          <w:numId w:val="2"/>
        </w:numPr>
        <w:spacing w:line="240" w:lineRule="auto"/>
        <w:jc w:val="both"/>
        <w:rPr>
          <w:rFonts w:cstheme="minorHAnsi"/>
        </w:rPr>
      </w:pPr>
      <w:r w:rsidRPr="00E914FB">
        <w:rPr>
          <w:rFonts w:cstheme="minorHAnsi"/>
          <w:i/>
          <w:iCs/>
        </w:rPr>
        <w:t>Host factors:</w:t>
      </w:r>
      <w:r w:rsidRPr="00E914FB">
        <w:rPr>
          <w:rFonts w:cstheme="minorHAnsi"/>
        </w:rPr>
        <w:t xml:space="preserve"> prior pegIFN/RBV response, gender, ethnicity, age, birth year (1945 – 1965), IL28B allele, baseline body mass index, history of depression or bipolar disorder, fibrosis stage, baseline platelet count, baseline albumin</w:t>
      </w:r>
    </w:p>
    <w:p w14:paraId="2569DAA1" w14:textId="77777777" w:rsidR="0026770B" w:rsidRPr="00E914FB" w:rsidRDefault="0026770B" w:rsidP="00885509">
      <w:pPr>
        <w:pStyle w:val="ListParagraph"/>
        <w:spacing w:line="240" w:lineRule="auto"/>
        <w:ind w:left="0"/>
        <w:jc w:val="both"/>
        <w:rPr>
          <w:rFonts w:cstheme="minorHAnsi"/>
        </w:rPr>
      </w:pPr>
    </w:p>
    <w:p w14:paraId="68F51A44" w14:textId="77777777" w:rsidR="0026770B" w:rsidRPr="00E914FB" w:rsidRDefault="0026770B" w:rsidP="00885509">
      <w:pPr>
        <w:pStyle w:val="ListParagraph"/>
        <w:spacing w:line="240" w:lineRule="auto"/>
        <w:ind w:left="0"/>
        <w:jc w:val="both"/>
        <w:rPr>
          <w:rFonts w:cstheme="minorHAnsi"/>
        </w:rPr>
      </w:pPr>
      <w:r w:rsidRPr="00E914FB">
        <w:rPr>
          <w:rFonts w:cstheme="minorHAnsi"/>
        </w:rPr>
        <w:t>In addition, subjects who underwent ribavirin dose modifications did not have lower SVR12 rates.</w:t>
      </w:r>
    </w:p>
    <w:p w14:paraId="2F9ABE6B" w14:textId="77777777" w:rsidR="00DA417B" w:rsidRPr="00E914FB" w:rsidRDefault="00356BCD" w:rsidP="00885509">
      <w:pPr>
        <w:pStyle w:val="Heading1"/>
      </w:pPr>
      <w:bookmarkStart w:id="12" w:name="_Toc383787397"/>
      <w:r w:rsidRPr="00E914FB">
        <w:t>Indications</w:t>
      </w:r>
      <w:bookmarkEnd w:id="12"/>
    </w:p>
    <w:p w14:paraId="2F9ABE6C" w14:textId="44C9EA28" w:rsidR="00DA417B" w:rsidRDefault="00356BCD" w:rsidP="00885509">
      <w:pPr>
        <w:spacing w:line="240" w:lineRule="auto"/>
        <w:jc w:val="both"/>
        <w:rPr>
          <w:rFonts w:cs="Arial"/>
        </w:rPr>
      </w:pPr>
      <w:r w:rsidRPr="00E914FB">
        <w:t xml:space="preserve">VIEKIRA PAK is indicated for the treatment of genotype 1 chronic hepatitis C infection, including patients with </w:t>
      </w:r>
      <w:r w:rsidR="009A2F23" w:rsidRPr="00E914FB">
        <w:t xml:space="preserve">compensated </w:t>
      </w:r>
      <w:r w:rsidRPr="00E914FB">
        <w:t>cirrhosis. Duration of therapy and addition of ribavirin are dependent on patient population </w:t>
      </w:r>
      <w:r w:rsidRPr="00E914FB">
        <w:rPr>
          <w:rFonts w:cs="Arial"/>
        </w:rPr>
        <w:t xml:space="preserve">(see </w:t>
      </w:r>
      <w:r w:rsidRPr="00E914FB">
        <w:rPr>
          <w:rFonts w:cs="Arial"/>
          <w:caps/>
        </w:rPr>
        <w:t>Dosage and Administration, Precautions, Clinical Trials</w:t>
      </w:r>
      <w:r w:rsidRPr="00E914FB">
        <w:rPr>
          <w:rFonts w:cs="Arial"/>
        </w:rPr>
        <w:t>).</w:t>
      </w:r>
    </w:p>
    <w:p w14:paraId="2F9ABE6D" w14:textId="73C50703" w:rsidR="00DA417B" w:rsidRPr="00E914FB" w:rsidRDefault="00356BCD" w:rsidP="00885509">
      <w:pPr>
        <w:pStyle w:val="Heading1"/>
      </w:pPr>
      <w:bookmarkStart w:id="13" w:name="_Toc383787398"/>
      <w:r w:rsidRPr="00E914FB">
        <w:t>Contraindications</w:t>
      </w:r>
      <w:bookmarkEnd w:id="13"/>
    </w:p>
    <w:p w14:paraId="03D3CAD4" w14:textId="130CF55D" w:rsidR="0026770B" w:rsidRPr="00E914FB" w:rsidRDefault="00D63965" w:rsidP="00885509">
      <w:pPr>
        <w:spacing w:line="240" w:lineRule="auto"/>
        <w:jc w:val="both"/>
        <w:rPr>
          <w:rFonts w:cs="Arial"/>
        </w:rPr>
      </w:pPr>
      <w:r w:rsidRPr="00E914FB">
        <w:rPr>
          <w:rFonts w:cs="Arial"/>
        </w:rPr>
        <w:t>Hypersensitivity to components of VIEKIRA PAK, or to any of the excipients</w:t>
      </w:r>
      <w:r w:rsidR="0026770B" w:rsidRPr="00E914FB">
        <w:rPr>
          <w:rFonts w:cs="Arial"/>
        </w:rPr>
        <w:t>.</w:t>
      </w:r>
    </w:p>
    <w:p w14:paraId="6F18E56E" w14:textId="5E4FD0A5" w:rsidR="0026770B" w:rsidRPr="00E914FB" w:rsidRDefault="0026770B" w:rsidP="00885509">
      <w:pPr>
        <w:spacing w:line="240" w:lineRule="auto"/>
        <w:jc w:val="both"/>
        <w:rPr>
          <w:rFonts w:cs="Arial"/>
        </w:rPr>
      </w:pPr>
      <w:r w:rsidRPr="00E914FB">
        <w:rPr>
          <w:rFonts w:cs="Arial"/>
        </w:rPr>
        <w:t>Patients with severe hepatic impairment (Child-Pugh C).</w:t>
      </w:r>
    </w:p>
    <w:p w14:paraId="29269291" w14:textId="77777777" w:rsidR="0026770B" w:rsidRPr="00E914FB" w:rsidRDefault="0026770B" w:rsidP="00885509">
      <w:pPr>
        <w:spacing w:line="240" w:lineRule="auto"/>
        <w:jc w:val="both"/>
      </w:pPr>
      <w:r w:rsidRPr="00E914FB">
        <w:t>Use of ethinylestradiol-containing medicinal products such as those contained in most combined oral contraceptives or contraceptive vaginal rings</w:t>
      </w:r>
    </w:p>
    <w:p w14:paraId="14B03623" w14:textId="5935342E" w:rsidR="00030FF5" w:rsidRPr="00E914FB" w:rsidRDefault="00CC2E40" w:rsidP="00885509">
      <w:pPr>
        <w:spacing w:before="24" w:after="0" w:line="240" w:lineRule="auto"/>
        <w:ind w:right="1133"/>
        <w:jc w:val="both"/>
        <w:rPr>
          <w:rFonts w:ascii="Calibri" w:eastAsia="Times New Roman" w:hAnsi="Calibri" w:cs="Calibri"/>
        </w:rPr>
      </w:pPr>
      <w:r>
        <w:rPr>
          <w:rFonts w:ascii="Calibri" w:eastAsia="Times New Roman" w:hAnsi="Calibri" w:cs="Calibri"/>
        </w:rPr>
        <w:t>D</w:t>
      </w:r>
      <w:r w:rsidR="00030FF5" w:rsidRPr="00E914FB">
        <w:rPr>
          <w:rFonts w:ascii="Calibri" w:eastAsia="Times New Roman" w:hAnsi="Calibri" w:cs="Calibri"/>
        </w:rPr>
        <w:t>rugs that are highly dependent on CYP3A for clearance and for which elevated plasma concentrations are associated with serious and/or life-threatening events.</w:t>
      </w:r>
    </w:p>
    <w:p w14:paraId="4719A4B9" w14:textId="33806DA0" w:rsidR="00030FF5" w:rsidRPr="00E914FB" w:rsidRDefault="00030FF5" w:rsidP="00885509">
      <w:pPr>
        <w:spacing w:before="24" w:after="0" w:line="240" w:lineRule="auto"/>
        <w:ind w:right="1133"/>
        <w:jc w:val="both"/>
        <w:rPr>
          <w:rFonts w:ascii="Calibri" w:eastAsia="Times New Roman" w:hAnsi="Calibri" w:cs="Calibri"/>
        </w:rPr>
      </w:pPr>
      <w:r w:rsidRPr="00E914FB">
        <w:rPr>
          <w:rFonts w:ascii="Calibri" w:eastAsia="Times New Roman" w:hAnsi="Calibri" w:cs="Calibri"/>
        </w:rPr>
        <w:t xml:space="preserve">Drugs that are </w:t>
      </w:r>
      <w:r w:rsidR="009D2C75" w:rsidRPr="00E914FB">
        <w:rPr>
          <w:rFonts w:ascii="Calibri" w:eastAsia="Times New Roman" w:hAnsi="Calibri" w:cs="Calibri"/>
        </w:rPr>
        <w:t xml:space="preserve">moderate </w:t>
      </w:r>
      <w:r w:rsidR="001B5E15" w:rsidRPr="00E914FB">
        <w:rPr>
          <w:rFonts w:ascii="Calibri" w:eastAsia="Times New Roman" w:hAnsi="Calibri" w:cs="Calibri"/>
        </w:rPr>
        <w:t xml:space="preserve">or strong </w:t>
      </w:r>
      <w:r w:rsidRPr="00E914FB">
        <w:rPr>
          <w:rFonts w:ascii="Calibri" w:eastAsia="Times New Roman" w:hAnsi="Calibri" w:cs="Calibri"/>
        </w:rPr>
        <w:t xml:space="preserve">inducers of CYP3A and </w:t>
      </w:r>
      <w:r w:rsidR="009D2C75" w:rsidRPr="00E914FB">
        <w:rPr>
          <w:rFonts w:ascii="Calibri" w:eastAsia="Times New Roman" w:hAnsi="Calibri" w:cs="Calibri"/>
        </w:rPr>
        <w:t xml:space="preserve">strong inducers of </w:t>
      </w:r>
      <w:r w:rsidRPr="00E914FB">
        <w:rPr>
          <w:rFonts w:ascii="Calibri" w:eastAsia="Times New Roman" w:hAnsi="Calibri" w:cs="Calibri"/>
        </w:rPr>
        <w:t>CYP2C8 and may lead to reduced efficacy of VIEKIRA PAK.</w:t>
      </w:r>
    </w:p>
    <w:p w14:paraId="429B8960" w14:textId="77777777" w:rsidR="00574760" w:rsidRPr="00E914FB" w:rsidRDefault="00030FF5" w:rsidP="00885509">
      <w:pPr>
        <w:spacing w:before="24" w:after="0" w:line="240" w:lineRule="auto"/>
        <w:ind w:right="1133"/>
        <w:jc w:val="both"/>
        <w:rPr>
          <w:rFonts w:ascii="Calibri" w:eastAsia="Times New Roman" w:hAnsi="Calibri" w:cs="Calibri"/>
        </w:rPr>
      </w:pPr>
      <w:r w:rsidRPr="00E914FB">
        <w:rPr>
          <w:rFonts w:ascii="Calibri" w:eastAsia="Times New Roman" w:hAnsi="Calibri" w:cs="Calibri"/>
        </w:rPr>
        <w:t>Drugs that are strong inhibitors of CYP2C8 and may increase dasabuvir plasma concentrations and the risk of QT</w:t>
      </w:r>
      <w:r w:rsidR="00DE71D4" w:rsidRPr="00E914FB">
        <w:rPr>
          <w:rFonts w:ascii="Calibri" w:eastAsia="Times New Roman" w:hAnsi="Calibri" w:cs="Calibri"/>
        </w:rPr>
        <w:t xml:space="preserve"> prolongations.</w:t>
      </w:r>
    </w:p>
    <w:p w14:paraId="56FC125B" w14:textId="77777777" w:rsidR="00574760" w:rsidRPr="00E914FB" w:rsidRDefault="00574760" w:rsidP="00885509">
      <w:pPr>
        <w:spacing w:before="24" w:after="0" w:line="240" w:lineRule="auto"/>
        <w:ind w:right="1133"/>
        <w:jc w:val="both"/>
        <w:rPr>
          <w:rFonts w:ascii="Calibri" w:eastAsia="Times New Roman" w:hAnsi="Calibri" w:cs="Calibri"/>
        </w:rPr>
      </w:pPr>
    </w:p>
    <w:p w14:paraId="09F41FA9" w14:textId="1D0123B6" w:rsidR="00A605E1" w:rsidRPr="00960892" w:rsidRDefault="008C08C3" w:rsidP="00CC32CC">
      <w:pPr>
        <w:spacing w:before="24" w:after="0" w:line="240" w:lineRule="auto"/>
        <w:ind w:right="1133"/>
        <w:jc w:val="both"/>
      </w:pPr>
      <w:r w:rsidRPr="00E914FB">
        <w:t xml:space="preserve">The following drugs are contraindicated with </w:t>
      </w:r>
      <w:r w:rsidR="000F2CCB" w:rsidRPr="00E914FB">
        <w:rPr>
          <w:rFonts w:ascii="Calibri" w:eastAsia="Times New Roman" w:hAnsi="Calibri" w:cs="Calibri"/>
        </w:rPr>
        <w:t>VIEKIRA PAK</w:t>
      </w:r>
      <w:r w:rsidR="00EE5A93" w:rsidRPr="00E914FB">
        <w:rPr>
          <w:rFonts w:ascii="Calibri" w:eastAsia="Times New Roman" w:hAnsi="Calibri" w:cs="Calibri"/>
        </w:rPr>
        <w:t>.</w:t>
      </w:r>
      <w:r w:rsidR="000F2CCB" w:rsidRPr="00E914FB">
        <w:t xml:space="preserve"> </w:t>
      </w:r>
      <w:bookmarkStart w:id="14" w:name="l30843291427891480"/>
      <w:bookmarkEnd w:id="14"/>
    </w:p>
    <w:p w14:paraId="61CF8C26" w14:textId="77777777" w:rsidR="0026770B" w:rsidRPr="00E914FB" w:rsidRDefault="0026770B" w:rsidP="00A93FC6">
      <w:pPr>
        <w:spacing w:before="24" w:after="0" w:line="240" w:lineRule="auto"/>
        <w:ind w:right="5244"/>
        <w:jc w:val="both"/>
        <w:rPr>
          <w:rFonts w:cstheme="minorHAnsi"/>
        </w:rPr>
      </w:pPr>
    </w:p>
    <w:p w14:paraId="6B57FB28" w14:textId="25C15632" w:rsidR="00DE20A7" w:rsidRPr="004C71CD" w:rsidRDefault="0026770B" w:rsidP="00E650BE">
      <w:pPr>
        <w:pStyle w:val="TableLeft9"/>
        <w:rPr>
          <w:rFonts w:asciiTheme="minorHAnsi" w:hAnsiTheme="minorHAnsi" w:cstheme="minorHAnsi"/>
          <w:b/>
          <w:sz w:val="24"/>
          <w:szCs w:val="24"/>
          <w:lang w:val="en-AU"/>
        </w:rPr>
      </w:pPr>
      <w:r w:rsidRPr="004C71CD">
        <w:rPr>
          <w:rFonts w:asciiTheme="minorHAnsi" w:hAnsiTheme="minorHAnsi" w:cstheme="minorHAnsi"/>
          <w:b/>
          <w:sz w:val="24"/>
          <w:szCs w:val="24"/>
          <w:lang w:val="en-AU"/>
        </w:rPr>
        <w:t>Table 11 Drugs that are Contraindicated with VIEKIRA PAK</w:t>
      </w:r>
    </w:p>
    <w:p w14:paraId="79EC385E" w14:textId="77777777" w:rsidR="002E5210" w:rsidRDefault="002E5210" w:rsidP="00E650BE">
      <w:pPr>
        <w:pStyle w:val="TableLeft9"/>
        <w:rPr>
          <w:rFonts w:cstheme="minorHAnsi"/>
          <w:b/>
          <w:sz w:val="22"/>
          <w:szCs w:val="22"/>
          <w:lang w:val="en-AU"/>
        </w:rPr>
      </w:pPr>
    </w:p>
    <w:tbl>
      <w:tblPr>
        <w:tblW w:w="9128" w:type="dxa"/>
        <w:tblInd w:w="94" w:type="dxa"/>
        <w:tblLayout w:type="fixed"/>
        <w:tblCellMar>
          <w:left w:w="0" w:type="dxa"/>
          <w:right w:w="0" w:type="dxa"/>
        </w:tblCellMar>
        <w:tblLook w:val="01E0" w:firstRow="1" w:lastRow="1" w:firstColumn="1" w:lastColumn="1" w:noHBand="0" w:noVBand="0"/>
      </w:tblPr>
      <w:tblGrid>
        <w:gridCol w:w="2386"/>
        <w:gridCol w:w="2384"/>
        <w:gridCol w:w="4358"/>
      </w:tblGrid>
      <w:tr w:rsidR="00FE067E" w:rsidRPr="00331ECE" w14:paraId="7F4039E6" w14:textId="77777777" w:rsidTr="00CC32CC">
        <w:trPr>
          <w:trHeight w:hRule="exact" w:val="1022"/>
        </w:trPr>
        <w:tc>
          <w:tcPr>
            <w:tcW w:w="2386" w:type="dxa"/>
            <w:tcBorders>
              <w:top w:val="single" w:sz="6" w:space="0" w:color="000000"/>
              <w:left w:val="single" w:sz="6" w:space="0" w:color="000000"/>
              <w:bottom w:val="single" w:sz="6" w:space="0" w:color="000000"/>
              <w:right w:val="single" w:sz="6" w:space="0" w:color="000000"/>
            </w:tcBorders>
          </w:tcPr>
          <w:p w14:paraId="56F200DB" w14:textId="77777777" w:rsidR="00FE067E" w:rsidRPr="00331ECE" w:rsidRDefault="00FE067E" w:rsidP="00CC32CC">
            <w:pPr>
              <w:rPr>
                <w:rFonts w:cs="Arial"/>
                <w:b/>
                <w:lang w:val="en-US"/>
              </w:rPr>
            </w:pPr>
            <w:r w:rsidRPr="00331ECE">
              <w:rPr>
                <w:rFonts w:cs="Arial"/>
                <w:b/>
                <w:lang w:val="en-US"/>
              </w:rPr>
              <w:t>Drug Class</w:t>
            </w:r>
          </w:p>
          <w:p w14:paraId="1D17B571" w14:textId="77777777" w:rsidR="00FE067E" w:rsidRPr="00331ECE" w:rsidRDefault="00FE067E" w:rsidP="00CC32CC">
            <w:pPr>
              <w:rPr>
                <w:rFonts w:cs="Arial"/>
                <w:b/>
                <w:lang w:val="en-US"/>
              </w:rPr>
            </w:pPr>
          </w:p>
          <w:p w14:paraId="31986866" w14:textId="77777777" w:rsidR="00FE067E" w:rsidRPr="00331ECE" w:rsidRDefault="00FE067E" w:rsidP="00CC32CC">
            <w:pPr>
              <w:rPr>
                <w:rFonts w:cs="Arial"/>
                <w:b/>
                <w:lang w:val="en-US"/>
              </w:rPr>
            </w:pPr>
            <w:r w:rsidRPr="00331ECE">
              <w:rPr>
                <w:rFonts w:cs="Arial"/>
                <w:b/>
                <w:bCs/>
                <w:lang w:val="en-US"/>
              </w:rPr>
              <w:t>Drug Class</w:t>
            </w:r>
          </w:p>
        </w:tc>
        <w:tc>
          <w:tcPr>
            <w:tcW w:w="2384" w:type="dxa"/>
            <w:tcBorders>
              <w:top w:val="single" w:sz="6" w:space="0" w:color="000000"/>
              <w:left w:val="single" w:sz="6" w:space="0" w:color="000000"/>
              <w:bottom w:val="single" w:sz="6" w:space="0" w:color="000000"/>
              <w:right w:val="single" w:sz="6" w:space="0" w:color="000000"/>
            </w:tcBorders>
          </w:tcPr>
          <w:p w14:paraId="3EE9DB4F" w14:textId="77777777" w:rsidR="00FE067E" w:rsidRPr="00331ECE" w:rsidRDefault="00FE067E" w:rsidP="00CC32CC">
            <w:pPr>
              <w:rPr>
                <w:rFonts w:cs="Arial"/>
                <w:b/>
                <w:lang w:val="en-US"/>
              </w:rPr>
            </w:pPr>
            <w:r w:rsidRPr="00331ECE">
              <w:rPr>
                <w:rFonts w:cs="Arial"/>
                <w:b/>
                <w:bCs/>
                <w:lang w:val="en-US"/>
              </w:rPr>
              <w:t>Drug(s) within Class that are Contraindicated</w:t>
            </w:r>
          </w:p>
        </w:tc>
        <w:tc>
          <w:tcPr>
            <w:tcW w:w="4358" w:type="dxa"/>
            <w:tcBorders>
              <w:top w:val="single" w:sz="6" w:space="0" w:color="000000"/>
              <w:left w:val="single" w:sz="6" w:space="0" w:color="000000"/>
              <w:bottom w:val="single" w:sz="6" w:space="0" w:color="000000"/>
              <w:right w:val="single" w:sz="6" w:space="0" w:color="000000"/>
            </w:tcBorders>
          </w:tcPr>
          <w:p w14:paraId="2C8F3FC4" w14:textId="77777777" w:rsidR="00FE067E" w:rsidRPr="00331ECE" w:rsidRDefault="00FE067E" w:rsidP="00CC32CC">
            <w:pPr>
              <w:rPr>
                <w:rFonts w:cs="Arial"/>
                <w:b/>
                <w:lang w:val="en-US"/>
              </w:rPr>
            </w:pPr>
            <w:r w:rsidRPr="00331ECE">
              <w:rPr>
                <w:rFonts w:cs="Arial"/>
                <w:b/>
                <w:lang w:val="en-US"/>
              </w:rPr>
              <w:t>Clinical Comments</w:t>
            </w:r>
          </w:p>
          <w:p w14:paraId="0E8E026C" w14:textId="77777777" w:rsidR="00FE067E" w:rsidRPr="00331ECE" w:rsidRDefault="00FE067E" w:rsidP="00CC32CC">
            <w:pPr>
              <w:rPr>
                <w:rFonts w:cs="Arial"/>
                <w:b/>
                <w:lang w:val="en-US"/>
              </w:rPr>
            </w:pPr>
          </w:p>
          <w:p w14:paraId="78FF8FE5" w14:textId="77777777" w:rsidR="00FE067E" w:rsidRPr="00331ECE" w:rsidRDefault="00FE067E" w:rsidP="00CC32CC">
            <w:pPr>
              <w:rPr>
                <w:rFonts w:cs="Arial"/>
                <w:b/>
                <w:lang w:val="en-US"/>
              </w:rPr>
            </w:pPr>
            <w:r w:rsidRPr="00331ECE">
              <w:rPr>
                <w:rFonts w:cs="Arial"/>
                <w:b/>
                <w:bCs/>
                <w:lang w:val="en-US"/>
              </w:rPr>
              <w:t>Clinical Comments</w:t>
            </w:r>
          </w:p>
        </w:tc>
      </w:tr>
      <w:tr w:rsidR="00FE067E" w:rsidRPr="00331ECE" w14:paraId="680DBA96" w14:textId="77777777" w:rsidTr="00CC32CC">
        <w:trPr>
          <w:trHeight w:hRule="exact" w:val="645"/>
        </w:trPr>
        <w:tc>
          <w:tcPr>
            <w:tcW w:w="2386" w:type="dxa"/>
            <w:tcBorders>
              <w:top w:val="single" w:sz="6" w:space="0" w:color="000000"/>
              <w:left w:val="single" w:sz="6" w:space="0" w:color="000000"/>
              <w:bottom w:val="single" w:sz="6" w:space="0" w:color="000000"/>
              <w:right w:val="single" w:sz="6" w:space="0" w:color="000000"/>
            </w:tcBorders>
          </w:tcPr>
          <w:p w14:paraId="5DFA3A8B" w14:textId="77777777" w:rsidR="00FE067E" w:rsidRPr="00331ECE" w:rsidRDefault="00FE067E" w:rsidP="00CC32CC">
            <w:pPr>
              <w:rPr>
                <w:rFonts w:cs="Arial"/>
                <w:lang w:val="en-US"/>
              </w:rPr>
            </w:pPr>
            <w:r w:rsidRPr="00331ECE">
              <w:rPr>
                <w:rFonts w:cs="Arial"/>
                <w:lang w:val="en-US"/>
              </w:rPr>
              <w:t>Alpha1- adrenoreceptor antagonist</w:t>
            </w:r>
          </w:p>
        </w:tc>
        <w:tc>
          <w:tcPr>
            <w:tcW w:w="2384" w:type="dxa"/>
            <w:tcBorders>
              <w:top w:val="single" w:sz="6" w:space="0" w:color="000000"/>
              <w:left w:val="single" w:sz="6" w:space="0" w:color="000000"/>
              <w:bottom w:val="single" w:sz="6" w:space="0" w:color="000000"/>
              <w:right w:val="single" w:sz="6" w:space="0" w:color="000000"/>
            </w:tcBorders>
          </w:tcPr>
          <w:p w14:paraId="63A4C86D" w14:textId="77777777" w:rsidR="00FE067E" w:rsidRPr="00331ECE" w:rsidRDefault="00FE067E" w:rsidP="00CC32CC">
            <w:pPr>
              <w:rPr>
                <w:rFonts w:cs="Arial"/>
                <w:lang w:val="en-US"/>
              </w:rPr>
            </w:pPr>
            <w:r w:rsidRPr="00331ECE">
              <w:rPr>
                <w:rFonts w:cs="Arial"/>
                <w:lang w:val="en-US"/>
              </w:rPr>
              <w:t>Alfuzosin HCL</w:t>
            </w:r>
          </w:p>
        </w:tc>
        <w:tc>
          <w:tcPr>
            <w:tcW w:w="4358" w:type="dxa"/>
            <w:tcBorders>
              <w:top w:val="single" w:sz="6" w:space="0" w:color="000000"/>
              <w:left w:val="single" w:sz="6" w:space="0" w:color="000000"/>
              <w:bottom w:val="single" w:sz="6" w:space="0" w:color="000000"/>
              <w:right w:val="single" w:sz="6" w:space="0" w:color="000000"/>
            </w:tcBorders>
          </w:tcPr>
          <w:p w14:paraId="43A9E6F2" w14:textId="77777777" w:rsidR="00FE067E" w:rsidRPr="00331ECE" w:rsidRDefault="00FE067E" w:rsidP="00CC32CC">
            <w:pPr>
              <w:rPr>
                <w:rFonts w:cs="Arial"/>
                <w:lang w:val="en-US"/>
              </w:rPr>
            </w:pPr>
            <w:r w:rsidRPr="00331ECE">
              <w:rPr>
                <w:rFonts w:cs="Arial"/>
                <w:lang w:val="en-US"/>
              </w:rPr>
              <w:t>Potential for hypotension.</w:t>
            </w:r>
          </w:p>
        </w:tc>
      </w:tr>
      <w:tr w:rsidR="00FE067E" w:rsidRPr="00331ECE" w14:paraId="67B1DC0B" w14:textId="77777777" w:rsidTr="00CC32CC">
        <w:trPr>
          <w:trHeight w:hRule="exact" w:val="357"/>
        </w:trPr>
        <w:tc>
          <w:tcPr>
            <w:tcW w:w="2386" w:type="dxa"/>
            <w:tcBorders>
              <w:top w:val="single" w:sz="6" w:space="0" w:color="000000"/>
              <w:left w:val="single" w:sz="6" w:space="0" w:color="000000"/>
              <w:bottom w:val="single" w:sz="6" w:space="0" w:color="000000"/>
              <w:right w:val="single" w:sz="6" w:space="0" w:color="000000"/>
            </w:tcBorders>
          </w:tcPr>
          <w:p w14:paraId="71BC032D" w14:textId="77777777" w:rsidR="00FE067E" w:rsidRPr="00331ECE" w:rsidRDefault="00FE067E" w:rsidP="00CC32CC">
            <w:pPr>
              <w:rPr>
                <w:rFonts w:cs="Arial"/>
                <w:lang w:val="en-US"/>
              </w:rPr>
            </w:pPr>
            <w:r w:rsidRPr="00331ECE">
              <w:rPr>
                <w:rFonts w:cs="Arial"/>
                <w:lang w:val="en-US"/>
              </w:rPr>
              <w:t>Antiarrhythmics</w:t>
            </w:r>
          </w:p>
        </w:tc>
        <w:tc>
          <w:tcPr>
            <w:tcW w:w="2384" w:type="dxa"/>
            <w:tcBorders>
              <w:top w:val="single" w:sz="6" w:space="0" w:color="000000"/>
              <w:left w:val="single" w:sz="6" w:space="0" w:color="000000"/>
              <w:bottom w:val="single" w:sz="6" w:space="0" w:color="000000"/>
              <w:right w:val="single" w:sz="6" w:space="0" w:color="000000"/>
            </w:tcBorders>
          </w:tcPr>
          <w:p w14:paraId="54D2CAC2" w14:textId="77777777" w:rsidR="00FE067E" w:rsidRPr="00331ECE" w:rsidRDefault="00FE067E" w:rsidP="00CC32CC">
            <w:pPr>
              <w:rPr>
                <w:rFonts w:cs="Arial"/>
                <w:lang w:val="en-US"/>
              </w:rPr>
            </w:pPr>
            <w:r w:rsidRPr="00331ECE">
              <w:rPr>
                <w:rFonts w:cs="Arial"/>
                <w:lang w:val="en-US"/>
              </w:rPr>
              <w:t>Amiodarone, quinidine</w:t>
            </w:r>
          </w:p>
        </w:tc>
        <w:tc>
          <w:tcPr>
            <w:tcW w:w="4358" w:type="dxa"/>
            <w:tcBorders>
              <w:top w:val="single" w:sz="6" w:space="0" w:color="000000"/>
              <w:left w:val="single" w:sz="6" w:space="0" w:color="000000"/>
              <w:bottom w:val="single" w:sz="6" w:space="0" w:color="000000"/>
              <w:right w:val="single" w:sz="6" w:space="0" w:color="000000"/>
            </w:tcBorders>
          </w:tcPr>
          <w:p w14:paraId="35B96698" w14:textId="77777777" w:rsidR="00FE067E" w:rsidRPr="00331ECE" w:rsidRDefault="00FE067E" w:rsidP="00CC32CC">
            <w:pPr>
              <w:rPr>
                <w:rFonts w:cs="Arial"/>
                <w:lang w:val="en-US"/>
              </w:rPr>
            </w:pPr>
            <w:r w:rsidRPr="00331ECE">
              <w:rPr>
                <w:rFonts w:cs="Arial"/>
                <w:lang w:val="en-US"/>
              </w:rPr>
              <w:t xml:space="preserve">Potential for cardiac arrhythmias. </w:t>
            </w:r>
          </w:p>
          <w:p w14:paraId="24A1A133" w14:textId="77777777" w:rsidR="00FE067E" w:rsidRPr="00331ECE" w:rsidRDefault="00FE067E" w:rsidP="00CC32CC">
            <w:pPr>
              <w:rPr>
                <w:rFonts w:cs="Arial"/>
                <w:lang w:val="en-US"/>
              </w:rPr>
            </w:pPr>
          </w:p>
        </w:tc>
      </w:tr>
      <w:tr w:rsidR="00FE067E" w:rsidRPr="00331ECE" w14:paraId="7CE5B032" w14:textId="77777777" w:rsidTr="00CC32CC">
        <w:trPr>
          <w:trHeight w:hRule="exact" w:val="978"/>
        </w:trPr>
        <w:tc>
          <w:tcPr>
            <w:tcW w:w="2386" w:type="dxa"/>
            <w:tcBorders>
              <w:top w:val="single" w:sz="6" w:space="0" w:color="000000"/>
              <w:left w:val="single" w:sz="6" w:space="0" w:color="000000"/>
              <w:bottom w:val="single" w:sz="6" w:space="0" w:color="000000"/>
              <w:right w:val="single" w:sz="6" w:space="0" w:color="000000"/>
            </w:tcBorders>
          </w:tcPr>
          <w:p w14:paraId="2D538CE1" w14:textId="77777777" w:rsidR="00FE067E" w:rsidRPr="00331ECE" w:rsidRDefault="00FE067E" w:rsidP="00CC32CC">
            <w:pPr>
              <w:rPr>
                <w:rFonts w:cs="Arial"/>
                <w:lang w:val="en-US"/>
              </w:rPr>
            </w:pPr>
            <w:r w:rsidRPr="00331ECE">
              <w:rPr>
                <w:rFonts w:cs="Arial"/>
                <w:lang w:val="en-US"/>
              </w:rPr>
              <w:t>Anticonvulsants</w:t>
            </w:r>
          </w:p>
        </w:tc>
        <w:tc>
          <w:tcPr>
            <w:tcW w:w="2384" w:type="dxa"/>
            <w:tcBorders>
              <w:top w:val="single" w:sz="6" w:space="0" w:color="000000"/>
              <w:left w:val="single" w:sz="6" w:space="0" w:color="000000"/>
              <w:bottom w:val="single" w:sz="6" w:space="0" w:color="000000"/>
              <w:right w:val="single" w:sz="6" w:space="0" w:color="000000"/>
            </w:tcBorders>
          </w:tcPr>
          <w:p w14:paraId="79506961" w14:textId="77777777" w:rsidR="00FE067E" w:rsidRPr="00331ECE" w:rsidRDefault="00FE067E" w:rsidP="00CC32CC">
            <w:pPr>
              <w:rPr>
                <w:rFonts w:cs="Arial"/>
                <w:lang w:val="en-US"/>
              </w:rPr>
            </w:pPr>
            <w:r w:rsidRPr="00331ECE">
              <w:rPr>
                <w:rFonts w:cs="Arial"/>
                <w:lang w:val="en-US"/>
              </w:rPr>
              <w:t>Carbamazepine, phenytoin, phenobarbital</w:t>
            </w:r>
          </w:p>
        </w:tc>
        <w:tc>
          <w:tcPr>
            <w:tcW w:w="4358" w:type="dxa"/>
            <w:tcBorders>
              <w:top w:val="single" w:sz="6" w:space="0" w:color="000000"/>
              <w:left w:val="single" w:sz="6" w:space="0" w:color="000000"/>
              <w:bottom w:val="single" w:sz="6" w:space="0" w:color="000000"/>
              <w:right w:val="single" w:sz="6" w:space="0" w:color="000000"/>
            </w:tcBorders>
          </w:tcPr>
          <w:p w14:paraId="1CE79FAF" w14:textId="77777777" w:rsidR="00FE067E" w:rsidRPr="00331ECE" w:rsidRDefault="00FE067E" w:rsidP="00CC32CC">
            <w:pPr>
              <w:rPr>
                <w:rFonts w:cs="Arial"/>
                <w:lang w:val="en-US"/>
              </w:rPr>
            </w:pPr>
            <w:r w:rsidRPr="00331ECE">
              <w:rPr>
                <w:rFonts w:cs="Arial"/>
                <w:lang w:val="en-US"/>
              </w:rPr>
              <w:t>Ombitasvir, paritaprevir, ritonavir and dasabuvir exposures may decrease leading to a potential loss of therapeutic activity of VIEKIRA PAK.</w:t>
            </w:r>
          </w:p>
        </w:tc>
      </w:tr>
      <w:tr w:rsidR="00FE067E" w:rsidRPr="00331ECE" w14:paraId="4F0FF30C" w14:textId="77777777" w:rsidTr="00CC32CC">
        <w:trPr>
          <w:trHeight w:hRule="exact" w:val="636"/>
        </w:trPr>
        <w:tc>
          <w:tcPr>
            <w:tcW w:w="2386" w:type="dxa"/>
            <w:tcBorders>
              <w:top w:val="single" w:sz="6" w:space="0" w:color="000000"/>
              <w:left w:val="single" w:sz="6" w:space="0" w:color="000000"/>
              <w:bottom w:val="single" w:sz="6" w:space="0" w:color="000000"/>
              <w:right w:val="single" w:sz="6" w:space="0" w:color="000000"/>
            </w:tcBorders>
          </w:tcPr>
          <w:p w14:paraId="12A57424" w14:textId="77777777" w:rsidR="00FE067E" w:rsidRPr="00331ECE" w:rsidRDefault="00FE067E" w:rsidP="00CC32CC">
            <w:pPr>
              <w:rPr>
                <w:rFonts w:cs="Arial"/>
                <w:lang w:val="en-US"/>
              </w:rPr>
            </w:pPr>
            <w:r w:rsidRPr="00331ECE">
              <w:rPr>
                <w:rFonts w:cs="Arial"/>
                <w:lang w:val="en-US"/>
              </w:rPr>
              <w:t>Antihistamines (for systemic use)</w:t>
            </w:r>
          </w:p>
        </w:tc>
        <w:tc>
          <w:tcPr>
            <w:tcW w:w="2384" w:type="dxa"/>
            <w:tcBorders>
              <w:top w:val="single" w:sz="6" w:space="0" w:color="000000"/>
              <w:left w:val="single" w:sz="6" w:space="0" w:color="000000"/>
              <w:bottom w:val="single" w:sz="6" w:space="0" w:color="000000"/>
              <w:right w:val="single" w:sz="6" w:space="0" w:color="000000"/>
            </w:tcBorders>
          </w:tcPr>
          <w:p w14:paraId="706533DC" w14:textId="77777777" w:rsidR="00FE067E" w:rsidRPr="00331ECE" w:rsidRDefault="00FE067E" w:rsidP="00CC32CC">
            <w:pPr>
              <w:rPr>
                <w:rFonts w:cs="Arial"/>
                <w:lang w:val="en-US"/>
              </w:rPr>
            </w:pPr>
            <w:r w:rsidRPr="00331ECE">
              <w:rPr>
                <w:rFonts w:cs="Arial"/>
                <w:lang w:val="en-US"/>
              </w:rPr>
              <w:t>Astemizole, terfenadine</w:t>
            </w:r>
          </w:p>
        </w:tc>
        <w:tc>
          <w:tcPr>
            <w:tcW w:w="4358" w:type="dxa"/>
            <w:tcBorders>
              <w:top w:val="single" w:sz="6" w:space="0" w:color="000000"/>
              <w:left w:val="single" w:sz="6" w:space="0" w:color="000000"/>
              <w:bottom w:val="single" w:sz="6" w:space="0" w:color="000000"/>
              <w:right w:val="single" w:sz="6" w:space="0" w:color="000000"/>
            </w:tcBorders>
          </w:tcPr>
          <w:p w14:paraId="75837442" w14:textId="77777777" w:rsidR="00FE067E" w:rsidRPr="00331ECE" w:rsidRDefault="00FE067E" w:rsidP="00CC32CC">
            <w:pPr>
              <w:rPr>
                <w:rFonts w:cs="Arial"/>
                <w:lang w:val="en-US"/>
              </w:rPr>
            </w:pPr>
            <w:r w:rsidRPr="00331ECE">
              <w:rPr>
                <w:rFonts w:cs="Arial"/>
                <w:lang w:val="en-US"/>
              </w:rPr>
              <w:t>Potential for cardiac arrhythmias.</w:t>
            </w:r>
          </w:p>
        </w:tc>
      </w:tr>
      <w:tr w:rsidR="00FE067E" w:rsidRPr="00331ECE" w14:paraId="0679CC17" w14:textId="77777777" w:rsidTr="00CC32CC">
        <w:trPr>
          <w:trHeight w:hRule="exact" w:val="636"/>
        </w:trPr>
        <w:tc>
          <w:tcPr>
            <w:tcW w:w="2386" w:type="dxa"/>
            <w:tcBorders>
              <w:top w:val="single" w:sz="6" w:space="0" w:color="000000"/>
              <w:left w:val="single" w:sz="6" w:space="0" w:color="000000"/>
              <w:bottom w:val="single" w:sz="6" w:space="0" w:color="000000"/>
              <w:right w:val="single" w:sz="6" w:space="0" w:color="000000"/>
            </w:tcBorders>
          </w:tcPr>
          <w:p w14:paraId="31EC02EE" w14:textId="77777777" w:rsidR="00FE067E" w:rsidRPr="00331ECE" w:rsidRDefault="00FE067E" w:rsidP="00CC32CC">
            <w:pPr>
              <w:rPr>
                <w:rFonts w:cs="Arial"/>
                <w:lang w:val="en-US"/>
              </w:rPr>
            </w:pPr>
            <w:r w:rsidRPr="00331ECE">
              <w:rPr>
                <w:rFonts w:cs="Arial"/>
                <w:lang w:val="en-US"/>
              </w:rPr>
              <w:t xml:space="preserve">GI motility agent </w:t>
            </w:r>
          </w:p>
          <w:p w14:paraId="463929B2" w14:textId="77777777" w:rsidR="00FE067E" w:rsidRPr="00331ECE" w:rsidRDefault="00FE067E" w:rsidP="00CC32CC">
            <w:pPr>
              <w:rPr>
                <w:rFonts w:cs="Arial"/>
                <w:lang w:val="en-US"/>
              </w:rPr>
            </w:pPr>
          </w:p>
        </w:tc>
        <w:tc>
          <w:tcPr>
            <w:tcW w:w="2384" w:type="dxa"/>
            <w:tcBorders>
              <w:top w:val="single" w:sz="6" w:space="0" w:color="000000"/>
              <w:left w:val="single" w:sz="6" w:space="0" w:color="000000"/>
              <w:bottom w:val="single" w:sz="6" w:space="0" w:color="000000"/>
              <w:right w:val="single" w:sz="6" w:space="0" w:color="000000"/>
            </w:tcBorders>
          </w:tcPr>
          <w:p w14:paraId="1A016536" w14:textId="77777777" w:rsidR="00FE067E" w:rsidRPr="00331ECE" w:rsidRDefault="00FE067E" w:rsidP="00CC32CC">
            <w:pPr>
              <w:rPr>
                <w:rFonts w:cs="Arial"/>
                <w:lang w:val="en-US"/>
              </w:rPr>
            </w:pPr>
            <w:r w:rsidRPr="00331ECE">
              <w:rPr>
                <w:rFonts w:cs="Arial"/>
                <w:lang w:val="en-US"/>
              </w:rPr>
              <w:t>Cisapride</w:t>
            </w:r>
          </w:p>
        </w:tc>
        <w:tc>
          <w:tcPr>
            <w:tcW w:w="4358" w:type="dxa"/>
            <w:tcBorders>
              <w:top w:val="single" w:sz="6" w:space="0" w:color="000000"/>
              <w:left w:val="single" w:sz="6" w:space="0" w:color="000000"/>
              <w:bottom w:val="single" w:sz="6" w:space="0" w:color="000000"/>
              <w:right w:val="single" w:sz="6" w:space="0" w:color="000000"/>
            </w:tcBorders>
          </w:tcPr>
          <w:p w14:paraId="42949066" w14:textId="77777777" w:rsidR="00FE067E" w:rsidRPr="00331ECE" w:rsidRDefault="00FE067E" w:rsidP="00CC32CC">
            <w:pPr>
              <w:rPr>
                <w:rFonts w:cs="Arial"/>
                <w:lang w:val="en-US"/>
              </w:rPr>
            </w:pPr>
            <w:r w:rsidRPr="00331ECE">
              <w:rPr>
                <w:rFonts w:cs="Arial"/>
                <w:lang w:val="en-US"/>
              </w:rPr>
              <w:t>Potential for cardiac arrhythmias.</w:t>
            </w:r>
          </w:p>
          <w:p w14:paraId="58747358" w14:textId="77777777" w:rsidR="00FE067E" w:rsidRPr="00331ECE" w:rsidRDefault="00FE067E" w:rsidP="00CC32CC">
            <w:pPr>
              <w:rPr>
                <w:rFonts w:cs="Arial"/>
                <w:lang w:val="en-US"/>
              </w:rPr>
            </w:pPr>
          </w:p>
        </w:tc>
      </w:tr>
      <w:tr w:rsidR="00FE067E" w:rsidRPr="00331ECE" w14:paraId="34961073" w14:textId="77777777" w:rsidTr="00CC32CC">
        <w:trPr>
          <w:trHeight w:hRule="exact" w:val="1022"/>
        </w:trPr>
        <w:tc>
          <w:tcPr>
            <w:tcW w:w="2386" w:type="dxa"/>
            <w:tcBorders>
              <w:top w:val="single" w:sz="6" w:space="0" w:color="000000"/>
              <w:left w:val="single" w:sz="6" w:space="0" w:color="000000"/>
              <w:bottom w:val="single" w:sz="6" w:space="0" w:color="000000"/>
              <w:right w:val="single" w:sz="6" w:space="0" w:color="000000"/>
            </w:tcBorders>
          </w:tcPr>
          <w:p w14:paraId="09974F06" w14:textId="77777777" w:rsidR="00FE067E" w:rsidRPr="00331ECE" w:rsidRDefault="00FE067E" w:rsidP="00CC32CC">
            <w:pPr>
              <w:rPr>
                <w:rFonts w:cs="Arial"/>
                <w:lang w:val="en-US"/>
              </w:rPr>
            </w:pPr>
            <w:r w:rsidRPr="00331ECE">
              <w:rPr>
                <w:rFonts w:cs="Arial"/>
                <w:lang w:val="en-US"/>
              </w:rPr>
              <w:lastRenderedPageBreak/>
              <w:t>Antigout medications</w:t>
            </w:r>
          </w:p>
        </w:tc>
        <w:tc>
          <w:tcPr>
            <w:tcW w:w="2384" w:type="dxa"/>
            <w:tcBorders>
              <w:top w:val="single" w:sz="6" w:space="0" w:color="000000"/>
              <w:left w:val="single" w:sz="6" w:space="0" w:color="000000"/>
              <w:bottom w:val="single" w:sz="6" w:space="0" w:color="000000"/>
              <w:right w:val="single" w:sz="6" w:space="0" w:color="000000"/>
            </w:tcBorders>
          </w:tcPr>
          <w:p w14:paraId="0CBF434B" w14:textId="77777777" w:rsidR="00FE067E" w:rsidRPr="00331ECE" w:rsidRDefault="00FE067E" w:rsidP="00CC32CC">
            <w:pPr>
              <w:rPr>
                <w:rFonts w:cs="Arial"/>
                <w:lang w:val="en-US"/>
              </w:rPr>
            </w:pPr>
            <w:r w:rsidRPr="00331ECE">
              <w:rPr>
                <w:rFonts w:cs="Arial"/>
                <w:lang w:val="en-US"/>
              </w:rPr>
              <w:t>Colchicine (in patients with renal or hepatic impairment)</w:t>
            </w:r>
          </w:p>
        </w:tc>
        <w:tc>
          <w:tcPr>
            <w:tcW w:w="4358" w:type="dxa"/>
            <w:tcBorders>
              <w:top w:val="single" w:sz="6" w:space="0" w:color="000000"/>
              <w:left w:val="single" w:sz="6" w:space="0" w:color="000000"/>
              <w:bottom w:val="single" w:sz="6" w:space="0" w:color="000000"/>
              <w:right w:val="single" w:sz="6" w:space="0" w:color="000000"/>
            </w:tcBorders>
          </w:tcPr>
          <w:p w14:paraId="20854ADF" w14:textId="77777777" w:rsidR="00FE067E" w:rsidRPr="00331ECE" w:rsidRDefault="00FE067E" w:rsidP="00CC32CC">
            <w:pPr>
              <w:rPr>
                <w:rFonts w:ascii="Times New Roman" w:eastAsia="Times New Roman" w:hAnsi="Times New Roman" w:cs="Times New Roman"/>
                <w:sz w:val="24"/>
                <w:szCs w:val="24"/>
              </w:rPr>
            </w:pPr>
            <w:r w:rsidRPr="00331ECE">
              <w:t>Increased potential for colchicine</w:t>
            </w:r>
            <w:r w:rsidRPr="00331ECE">
              <w:rPr>
                <w:rStyle w:val="CommentReference"/>
                <w:sz w:val="20"/>
                <w:szCs w:val="20"/>
              </w:rPr>
              <w:t> </w:t>
            </w:r>
            <w:r w:rsidRPr="00331ECE">
              <w:t>associated adverse events</w:t>
            </w:r>
            <w:r w:rsidRPr="00331ECE">
              <w:rPr>
                <w:rStyle w:val="CommentReference"/>
              </w:rPr>
              <w:t>.</w:t>
            </w:r>
          </w:p>
        </w:tc>
      </w:tr>
      <w:tr w:rsidR="00FE067E" w:rsidRPr="00331ECE" w14:paraId="72F0316B" w14:textId="77777777" w:rsidTr="00CC32CC">
        <w:trPr>
          <w:trHeight w:hRule="exact" w:val="600"/>
        </w:trPr>
        <w:tc>
          <w:tcPr>
            <w:tcW w:w="2386" w:type="dxa"/>
            <w:tcBorders>
              <w:top w:val="single" w:sz="6" w:space="0" w:color="000000"/>
              <w:left w:val="single" w:sz="6" w:space="0" w:color="000000"/>
              <w:bottom w:val="single" w:sz="6" w:space="0" w:color="000000"/>
              <w:right w:val="single" w:sz="6" w:space="0" w:color="000000"/>
            </w:tcBorders>
          </w:tcPr>
          <w:p w14:paraId="7C01D188" w14:textId="77777777" w:rsidR="00FE067E" w:rsidRPr="00331ECE" w:rsidRDefault="00FE067E" w:rsidP="00CC32CC">
            <w:pPr>
              <w:rPr>
                <w:rFonts w:cs="Arial"/>
                <w:lang w:val="en-US"/>
              </w:rPr>
            </w:pPr>
            <w:r w:rsidRPr="00331ECE">
              <w:rPr>
                <w:rFonts w:cs="Arial"/>
                <w:lang w:val="en-US"/>
              </w:rPr>
              <w:t>Antihyperlipidemic agent</w:t>
            </w:r>
          </w:p>
        </w:tc>
        <w:tc>
          <w:tcPr>
            <w:tcW w:w="2384" w:type="dxa"/>
            <w:tcBorders>
              <w:top w:val="single" w:sz="6" w:space="0" w:color="000000"/>
              <w:left w:val="single" w:sz="6" w:space="0" w:color="000000"/>
              <w:bottom w:val="single" w:sz="6" w:space="0" w:color="000000"/>
              <w:right w:val="single" w:sz="6" w:space="0" w:color="000000"/>
            </w:tcBorders>
          </w:tcPr>
          <w:p w14:paraId="6CD052BA" w14:textId="77777777" w:rsidR="00FE067E" w:rsidRPr="00331ECE" w:rsidRDefault="00FE067E" w:rsidP="00CC32CC">
            <w:pPr>
              <w:rPr>
                <w:rFonts w:cs="Arial"/>
                <w:lang w:val="en-US"/>
              </w:rPr>
            </w:pPr>
            <w:r w:rsidRPr="00331ECE">
              <w:rPr>
                <w:rFonts w:cs="Arial"/>
                <w:lang w:val="en-US"/>
              </w:rPr>
              <w:t>Gemfibrozil</w:t>
            </w:r>
          </w:p>
        </w:tc>
        <w:tc>
          <w:tcPr>
            <w:tcW w:w="4358" w:type="dxa"/>
            <w:tcBorders>
              <w:top w:val="single" w:sz="6" w:space="0" w:color="000000"/>
              <w:left w:val="single" w:sz="6" w:space="0" w:color="000000"/>
              <w:bottom w:val="single" w:sz="6" w:space="0" w:color="000000"/>
              <w:right w:val="single" w:sz="6" w:space="0" w:color="000000"/>
            </w:tcBorders>
          </w:tcPr>
          <w:p w14:paraId="0F02A13C" w14:textId="77777777" w:rsidR="00FE067E" w:rsidRPr="00331ECE" w:rsidRDefault="00FE067E" w:rsidP="00CC32CC">
            <w:pPr>
              <w:rPr>
                <w:rFonts w:cs="Arial"/>
                <w:lang w:val="en-US"/>
              </w:rPr>
            </w:pPr>
            <w:r w:rsidRPr="00331ECE">
              <w:rPr>
                <w:rFonts w:cs="Arial"/>
                <w:lang w:val="en-US"/>
              </w:rPr>
              <w:t>Increase in dasabuvir exposures by 10-fold which may increase the risk of QT prolongation.</w:t>
            </w:r>
          </w:p>
        </w:tc>
      </w:tr>
      <w:tr w:rsidR="00FE067E" w:rsidRPr="00331ECE" w14:paraId="2B2B9558" w14:textId="77777777" w:rsidTr="00CC32CC">
        <w:trPr>
          <w:trHeight w:hRule="exact" w:val="987"/>
        </w:trPr>
        <w:tc>
          <w:tcPr>
            <w:tcW w:w="2386" w:type="dxa"/>
            <w:tcBorders>
              <w:top w:val="single" w:sz="6" w:space="0" w:color="000000"/>
              <w:left w:val="single" w:sz="6" w:space="0" w:color="000000"/>
              <w:bottom w:val="single" w:sz="6" w:space="0" w:color="000000"/>
              <w:right w:val="single" w:sz="6" w:space="0" w:color="000000"/>
            </w:tcBorders>
          </w:tcPr>
          <w:p w14:paraId="03A4BFAD" w14:textId="77777777" w:rsidR="00FE067E" w:rsidRPr="00331ECE" w:rsidRDefault="00FE067E" w:rsidP="00CC32CC">
            <w:pPr>
              <w:rPr>
                <w:rFonts w:cs="Arial"/>
                <w:lang w:val="en-US"/>
              </w:rPr>
            </w:pPr>
            <w:r w:rsidRPr="00331ECE">
              <w:rPr>
                <w:rFonts w:cs="Arial"/>
                <w:lang w:val="en-US"/>
              </w:rPr>
              <w:t>Antimycobacterial</w:t>
            </w:r>
          </w:p>
        </w:tc>
        <w:tc>
          <w:tcPr>
            <w:tcW w:w="2384" w:type="dxa"/>
            <w:tcBorders>
              <w:top w:val="single" w:sz="6" w:space="0" w:color="000000"/>
              <w:left w:val="single" w:sz="6" w:space="0" w:color="000000"/>
              <w:bottom w:val="single" w:sz="6" w:space="0" w:color="000000"/>
              <w:right w:val="single" w:sz="6" w:space="0" w:color="000000"/>
            </w:tcBorders>
          </w:tcPr>
          <w:p w14:paraId="6259EF3E" w14:textId="77777777" w:rsidR="00FE067E" w:rsidRPr="00331ECE" w:rsidRDefault="00FE067E" w:rsidP="00CC32CC">
            <w:pPr>
              <w:rPr>
                <w:rFonts w:cs="Arial"/>
                <w:lang w:val="en-US"/>
              </w:rPr>
            </w:pPr>
            <w:r w:rsidRPr="00331ECE">
              <w:rPr>
                <w:rFonts w:cs="Arial"/>
                <w:lang w:val="en-US"/>
              </w:rPr>
              <w:t>Rifampicin</w:t>
            </w:r>
          </w:p>
        </w:tc>
        <w:tc>
          <w:tcPr>
            <w:tcW w:w="4358" w:type="dxa"/>
            <w:tcBorders>
              <w:top w:val="single" w:sz="6" w:space="0" w:color="000000"/>
              <w:left w:val="single" w:sz="6" w:space="0" w:color="000000"/>
              <w:bottom w:val="single" w:sz="6" w:space="0" w:color="000000"/>
              <w:right w:val="single" w:sz="6" w:space="0" w:color="000000"/>
            </w:tcBorders>
          </w:tcPr>
          <w:p w14:paraId="2F3BFB7C" w14:textId="77777777" w:rsidR="00FE067E" w:rsidRPr="00331ECE" w:rsidRDefault="00FE067E" w:rsidP="00CC32CC">
            <w:pPr>
              <w:rPr>
                <w:rFonts w:cs="Arial"/>
                <w:lang w:val="en-US"/>
              </w:rPr>
            </w:pPr>
            <w:r w:rsidRPr="00331ECE">
              <w:rPr>
                <w:rFonts w:cs="Arial"/>
                <w:lang w:val="en-US"/>
              </w:rPr>
              <w:t>Ombitasvir, paritaprevir, ritonavir and dasabuvir exposures may decrease leading to a potential loss of therapeutic activity of VIEKIRA PAK.</w:t>
            </w:r>
          </w:p>
        </w:tc>
      </w:tr>
      <w:tr w:rsidR="00DE20A7" w:rsidRPr="00331ECE" w14:paraId="14456F37" w14:textId="77777777" w:rsidTr="00CC32CC">
        <w:trPr>
          <w:trHeight w:hRule="exact" w:val="987"/>
        </w:trPr>
        <w:tc>
          <w:tcPr>
            <w:tcW w:w="2386" w:type="dxa"/>
            <w:tcBorders>
              <w:top w:val="single" w:sz="6" w:space="0" w:color="000000"/>
              <w:left w:val="single" w:sz="6" w:space="0" w:color="000000"/>
              <w:bottom w:val="single" w:sz="6" w:space="0" w:color="000000"/>
              <w:right w:val="single" w:sz="6" w:space="0" w:color="000000"/>
            </w:tcBorders>
          </w:tcPr>
          <w:p w14:paraId="5C5B97C6" w14:textId="46C8402F" w:rsidR="00DE20A7" w:rsidRPr="00331ECE" w:rsidRDefault="00DE20A7" w:rsidP="00CC32CC">
            <w:pPr>
              <w:rPr>
                <w:rFonts w:cs="Arial"/>
                <w:lang w:val="en-US"/>
              </w:rPr>
            </w:pPr>
            <w:r>
              <w:rPr>
                <w:rFonts w:cs="Arial"/>
                <w:lang w:val="en-US"/>
              </w:rPr>
              <w:t>Antipsychotic</w:t>
            </w:r>
          </w:p>
        </w:tc>
        <w:tc>
          <w:tcPr>
            <w:tcW w:w="2384" w:type="dxa"/>
            <w:tcBorders>
              <w:top w:val="single" w:sz="6" w:space="0" w:color="000000"/>
              <w:left w:val="single" w:sz="6" w:space="0" w:color="000000"/>
              <w:bottom w:val="single" w:sz="6" w:space="0" w:color="000000"/>
              <w:right w:val="single" w:sz="6" w:space="0" w:color="000000"/>
            </w:tcBorders>
          </w:tcPr>
          <w:p w14:paraId="40DA69E9" w14:textId="0B53358D" w:rsidR="00DE20A7" w:rsidRPr="00331ECE" w:rsidRDefault="00DE20A7" w:rsidP="00CC32CC">
            <w:pPr>
              <w:rPr>
                <w:rFonts w:cs="Arial"/>
                <w:lang w:val="en-US"/>
              </w:rPr>
            </w:pPr>
            <w:r>
              <w:rPr>
                <w:rFonts w:cs="Arial"/>
                <w:lang w:val="en-US"/>
              </w:rPr>
              <w:t>Blonanserin</w:t>
            </w:r>
          </w:p>
        </w:tc>
        <w:tc>
          <w:tcPr>
            <w:tcW w:w="4358" w:type="dxa"/>
            <w:tcBorders>
              <w:top w:val="single" w:sz="6" w:space="0" w:color="000000"/>
              <w:left w:val="single" w:sz="6" w:space="0" w:color="000000"/>
              <w:bottom w:val="single" w:sz="6" w:space="0" w:color="000000"/>
              <w:right w:val="single" w:sz="6" w:space="0" w:color="000000"/>
            </w:tcBorders>
          </w:tcPr>
          <w:p w14:paraId="161DE777" w14:textId="123A19F9" w:rsidR="00DE20A7" w:rsidRPr="00331ECE" w:rsidRDefault="00DE20A7" w:rsidP="00CC32CC">
            <w:pPr>
              <w:rPr>
                <w:rFonts w:cs="Arial"/>
                <w:lang w:val="en-US"/>
              </w:rPr>
            </w:pPr>
            <w:r>
              <w:rPr>
                <w:rFonts w:cs="Arial"/>
                <w:lang w:val="en-US"/>
              </w:rPr>
              <w:t>No information on potential effects is currently available</w:t>
            </w:r>
          </w:p>
        </w:tc>
      </w:tr>
      <w:tr w:rsidR="00FE067E" w:rsidRPr="00331ECE" w14:paraId="6DB6A1F4" w14:textId="77777777" w:rsidTr="00CC32CC">
        <w:trPr>
          <w:trHeight w:hRule="exact" w:val="1574"/>
        </w:trPr>
        <w:tc>
          <w:tcPr>
            <w:tcW w:w="2386" w:type="dxa"/>
            <w:tcBorders>
              <w:top w:val="single" w:sz="6" w:space="0" w:color="000000"/>
              <w:left w:val="single" w:sz="6" w:space="0" w:color="000000"/>
              <w:bottom w:val="single" w:sz="6" w:space="0" w:color="000000"/>
              <w:right w:val="single" w:sz="6" w:space="0" w:color="000000"/>
            </w:tcBorders>
          </w:tcPr>
          <w:p w14:paraId="420D2DE1" w14:textId="77777777" w:rsidR="00FE067E" w:rsidRPr="00331ECE" w:rsidRDefault="00FE067E" w:rsidP="00CC32CC">
            <w:pPr>
              <w:rPr>
                <w:rFonts w:cs="Arial"/>
                <w:lang w:val="en-US"/>
              </w:rPr>
            </w:pPr>
            <w:r w:rsidRPr="00331ECE">
              <w:rPr>
                <w:rFonts w:cs="Arial"/>
                <w:lang w:val="en-US"/>
              </w:rPr>
              <w:t>Ergot derivatives</w:t>
            </w:r>
          </w:p>
        </w:tc>
        <w:tc>
          <w:tcPr>
            <w:tcW w:w="2384" w:type="dxa"/>
            <w:tcBorders>
              <w:top w:val="single" w:sz="6" w:space="0" w:color="000000"/>
              <w:left w:val="single" w:sz="6" w:space="0" w:color="000000"/>
              <w:bottom w:val="single" w:sz="6" w:space="0" w:color="000000"/>
              <w:right w:val="single" w:sz="6" w:space="0" w:color="000000"/>
            </w:tcBorders>
          </w:tcPr>
          <w:p w14:paraId="0EA5F392" w14:textId="77777777" w:rsidR="00FE067E" w:rsidRPr="00331ECE" w:rsidRDefault="00FE067E" w:rsidP="00CC32CC">
            <w:pPr>
              <w:rPr>
                <w:rFonts w:cs="Arial"/>
                <w:lang w:val="en-US"/>
              </w:rPr>
            </w:pPr>
            <w:r w:rsidRPr="00331ECE">
              <w:rPr>
                <w:rFonts w:cs="Arial"/>
                <w:lang w:val="en-US"/>
              </w:rPr>
              <w:t>Ergotamine, dihydroergotamine, ergonovine, methylergonovine</w:t>
            </w:r>
          </w:p>
        </w:tc>
        <w:tc>
          <w:tcPr>
            <w:tcW w:w="4358" w:type="dxa"/>
            <w:tcBorders>
              <w:top w:val="single" w:sz="6" w:space="0" w:color="000000"/>
              <w:left w:val="single" w:sz="6" w:space="0" w:color="000000"/>
              <w:bottom w:val="single" w:sz="6" w:space="0" w:color="000000"/>
              <w:right w:val="single" w:sz="6" w:space="0" w:color="000000"/>
            </w:tcBorders>
          </w:tcPr>
          <w:p w14:paraId="0F7DF1EC" w14:textId="77777777" w:rsidR="00FE067E" w:rsidRPr="00331ECE" w:rsidRDefault="00FE067E" w:rsidP="00CC32CC">
            <w:pPr>
              <w:rPr>
                <w:rFonts w:cs="Arial"/>
                <w:lang w:val="en-US"/>
              </w:rPr>
            </w:pPr>
            <w:r w:rsidRPr="00331ECE">
              <w:rPr>
                <w:rFonts w:cs="Arial"/>
                <w:lang w:val="en-US"/>
              </w:rPr>
              <w:t>Acute ergot toxicity characterized by vasospasm and tissue ischemia has been associated with co-administration of ritonavir and ergonovine, ergotamine, dihydroergotamine, or methylergonovine.</w:t>
            </w:r>
          </w:p>
        </w:tc>
      </w:tr>
      <w:tr w:rsidR="00FE067E" w:rsidRPr="00331ECE" w14:paraId="693D433B" w14:textId="77777777" w:rsidTr="00CC32CC">
        <w:trPr>
          <w:trHeight w:hRule="exact" w:val="1270"/>
        </w:trPr>
        <w:tc>
          <w:tcPr>
            <w:tcW w:w="2386" w:type="dxa"/>
            <w:tcBorders>
              <w:top w:val="single" w:sz="6" w:space="0" w:color="000000"/>
              <w:left w:val="single" w:sz="6" w:space="0" w:color="000000"/>
              <w:bottom w:val="single" w:sz="6" w:space="0" w:color="000000"/>
              <w:right w:val="single" w:sz="6" w:space="0" w:color="000000"/>
            </w:tcBorders>
          </w:tcPr>
          <w:p w14:paraId="127008D3" w14:textId="77777777" w:rsidR="00FE067E" w:rsidRPr="00331ECE" w:rsidRDefault="00FE067E" w:rsidP="00CC32CC">
            <w:pPr>
              <w:rPr>
                <w:rFonts w:cs="Arial"/>
                <w:lang w:val="en-US"/>
              </w:rPr>
            </w:pPr>
            <w:r w:rsidRPr="00331ECE">
              <w:rPr>
                <w:rFonts w:cs="Arial"/>
                <w:lang w:val="en-US"/>
              </w:rPr>
              <w:t>Ethinyl estradiol- containing products</w:t>
            </w:r>
          </w:p>
        </w:tc>
        <w:tc>
          <w:tcPr>
            <w:tcW w:w="2384" w:type="dxa"/>
            <w:tcBorders>
              <w:top w:val="single" w:sz="6" w:space="0" w:color="000000"/>
              <w:left w:val="single" w:sz="6" w:space="0" w:color="000000"/>
              <w:bottom w:val="single" w:sz="6" w:space="0" w:color="000000"/>
              <w:right w:val="single" w:sz="6" w:space="0" w:color="000000"/>
            </w:tcBorders>
          </w:tcPr>
          <w:p w14:paraId="6F0F51CE" w14:textId="77777777" w:rsidR="00FE067E" w:rsidRPr="00331ECE" w:rsidRDefault="00FE067E" w:rsidP="00CC32CC">
            <w:pPr>
              <w:rPr>
                <w:rFonts w:cs="Arial"/>
                <w:lang w:val="en-US"/>
              </w:rPr>
            </w:pPr>
            <w:r w:rsidRPr="00331ECE">
              <w:rPr>
                <w:rFonts w:cs="Arial"/>
                <w:lang w:val="en-US"/>
              </w:rPr>
              <w:t>Ethinyl estradiol- containing medications such as combined oral contraceptives</w:t>
            </w:r>
          </w:p>
        </w:tc>
        <w:tc>
          <w:tcPr>
            <w:tcW w:w="4358" w:type="dxa"/>
            <w:tcBorders>
              <w:top w:val="single" w:sz="6" w:space="0" w:color="000000"/>
              <w:left w:val="single" w:sz="6" w:space="0" w:color="000000"/>
              <w:bottom w:val="single" w:sz="6" w:space="0" w:color="000000"/>
              <w:right w:val="single" w:sz="6" w:space="0" w:color="000000"/>
            </w:tcBorders>
          </w:tcPr>
          <w:p w14:paraId="39C22CCB" w14:textId="77777777" w:rsidR="00FE067E" w:rsidRPr="00331ECE" w:rsidRDefault="00FE067E" w:rsidP="00CC32CC">
            <w:pPr>
              <w:rPr>
                <w:rFonts w:cs="Arial"/>
                <w:lang w:val="en-US"/>
              </w:rPr>
            </w:pPr>
            <w:r w:rsidRPr="00331ECE">
              <w:rPr>
                <w:rFonts w:cs="Arial"/>
                <w:lang w:val="en-US"/>
              </w:rPr>
              <w:t xml:space="preserve">Potential for ALT elevations (see PRECAUTIONS). </w:t>
            </w:r>
          </w:p>
        </w:tc>
      </w:tr>
      <w:tr w:rsidR="00FE067E" w:rsidRPr="00331ECE" w14:paraId="504F9626" w14:textId="77777777" w:rsidTr="00CC32CC">
        <w:trPr>
          <w:trHeight w:hRule="exact" w:val="981"/>
        </w:trPr>
        <w:tc>
          <w:tcPr>
            <w:tcW w:w="2386" w:type="dxa"/>
            <w:tcBorders>
              <w:top w:val="single" w:sz="6" w:space="0" w:color="000000"/>
              <w:left w:val="single" w:sz="6" w:space="0" w:color="000000"/>
              <w:bottom w:val="single" w:sz="6" w:space="0" w:color="000000"/>
              <w:right w:val="single" w:sz="6" w:space="0" w:color="000000"/>
            </w:tcBorders>
          </w:tcPr>
          <w:p w14:paraId="6E492651" w14:textId="77777777" w:rsidR="00FE067E" w:rsidRPr="00331ECE" w:rsidRDefault="00FE067E" w:rsidP="00CC32CC">
            <w:pPr>
              <w:rPr>
                <w:rFonts w:cs="Arial"/>
                <w:lang w:val="en-US"/>
              </w:rPr>
            </w:pPr>
            <w:r w:rsidRPr="00331ECE">
              <w:rPr>
                <w:rFonts w:cs="Arial"/>
                <w:lang w:val="en-US"/>
              </w:rPr>
              <w:t>Herbal Product</w:t>
            </w:r>
          </w:p>
        </w:tc>
        <w:tc>
          <w:tcPr>
            <w:tcW w:w="2384" w:type="dxa"/>
            <w:tcBorders>
              <w:top w:val="single" w:sz="6" w:space="0" w:color="000000"/>
              <w:left w:val="single" w:sz="6" w:space="0" w:color="000000"/>
              <w:bottom w:val="single" w:sz="6" w:space="0" w:color="000000"/>
              <w:right w:val="single" w:sz="6" w:space="0" w:color="000000"/>
            </w:tcBorders>
          </w:tcPr>
          <w:p w14:paraId="074FE33F" w14:textId="77777777" w:rsidR="00FE067E" w:rsidRPr="00331ECE" w:rsidRDefault="00FE067E" w:rsidP="00CC32CC">
            <w:pPr>
              <w:rPr>
                <w:rFonts w:cs="Arial"/>
                <w:lang w:val="en-US"/>
              </w:rPr>
            </w:pPr>
            <w:r w:rsidRPr="00331ECE">
              <w:rPr>
                <w:rFonts w:cs="Arial"/>
                <w:lang w:val="en-US"/>
              </w:rPr>
              <w:t xml:space="preserve">St. John’s Wort </w:t>
            </w:r>
            <w:r w:rsidRPr="00331ECE">
              <w:rPr>
                <w:rFonts w:cs="Arial"/>
                <w:i/>
                <w:lang w:val="en-US"/>
              </w:rPr>
              <w:t>(Hypericum perforatum)</w:t>
            </w:r>
          </w:p>
        </w:tc>
        <w:tc>
          <w:tcPr>
            <w:tcW w:w="4358" w:type="dxa"/>
            <w:tcBorders>
              <w:top w:val="single" w:sz="6" w:space="0" w:color="000000"/>
              <w:left w:val="single" w:sz="6" w:space="0" w:color="000000"/>
              <w:bottom w:val="single" w:sz="6" w:space="0" w:color="000000"/>
              <w:right w:val="single" w:sz="6" w:space="0" w:color="000000"/>
            </w:tcBorders>
          </w:tcPr>
          <w:p w14:paraId="1ECD9811" w14:textId="77777777" w:rsidR="00FE067E" w:rsidRPr="00331ECE" w:rsidRDefault="00FE067E" w:rsidP="00CC32CC">
            <w:pPr>
              <w:rPr>
                <w:rFonts w:cs="Arial"/>
                <w:lang w:val="en-US"/>
              </w:rPr>
            </w:pPr>
            <w:r w:rsidRPr="00331ECE">
              <w:rPr>
                <w:rFonts w:cs="Arial"/>
                <w:lang w:val="en-US"/>
              </w:rPr>
              <w:t>Ombitasvir, paritaprevir, ritonavir and dasabuvir exposures may decrease leading to a potential loss of therapeutic activity of VIEKIRA PAK.</w:t>
            </w:r>
          </w:p>
        </w:tc>
      </w:tr>
      <w:tr w:rsidR="00FE067E" w:rsidRPr="00331ECE" w14:paraId="246F9639" w14:textId="77777777" w:rsidTr="00CC32CC">
        <w:trPr>
          <w:trHeight w:hRule="exact" w:val="700"/>
        </w:trPr>
        <w:tc>
          <w:tcPr>
            <w:tcW w:w="2386" w:type="dxa"/>
            <w:tcBorders>
              <w:top w:val="single" w:sz="6" w:space="0" w:color="000000"/>
              <w:left w:val="single" w:sz="6" w:space="0" w:color="000000"/>
              <w:bottom w:val="single" w:sz="6" w:space="0" w:color="000000"/>
              <w:right w:val="single" w:sz="6" w:space="0" w:color="000000"/>
            </w:tcBorders>
          </w:tcPr>
          <w:p w14:paraId="183FFEB5" w14:textId="77777777" w:rsidR="00FE067E" w:rsidRPr="00331ECE" w:rsidRDefault="00FE067E" w:rsidP="00CC32CC">
            <w:pPr>
              <w:rPr>
                <w:rFonts w:cs="Arial"/>
                <w:lang w:val="en-US"/>
              </w:rPr>
            </w:pPr>
            <w:r w:rsidRPr="00331ECE">
              <w:rPr>
                <w:rFonts w:cs="Arial"/>
                <w:lang w:val="en-US"/>
              </w:rPr>
              <w:t xml:space="preserve">HMG-CoA Reductase </w:t>
            </w:r>
            <w:r w:rsidRPr="00331ECE">
              <w:rPr>
                <w:rFonts w:cs="Arial"/>
              </w:rPr>
              <w:t>Inhibitors</w:t>
            </w:r>
          </w:p>
        </w:tc>
        <w:tc>
          <w:tcPr>
            <w:tcW w:w="2384" w:type="dxa"/>
            <w:tcBorders>
              <w:top w:val="single" w:sz="6" w:space="0" w:color="000000"/>
              <w:left w:val="single" w:sz="6" w:space="0" w:color="000000"/>
              <w:bottom w:val="single" w:sz="6" w:space="0" w:color="000000"/>
              <w:right w:val="single" w:sz="6" w:space="0" w:color="000000"/>
            </w:tcBorders>
          </w:tcPr>
          <w:p w14:paraId="6A1B237E" w14:textId="77777777" w:rsidR="00FE067E" w:rsidRPr="00331ECE" w:rsidRDefault="00FE067E" w:rsidP="00CC32CC">
            <w:pPr>
              <w:rPr>
                <w:rFonts w:cs="Arial"/>
                <w:lang w:val="en-US"/>
              </w:rPr>
            </w:pPr>
            <w:r w:rsidRPr="00331ECE">
              <w:rPr>
                <w:rFonts w:cs="Arial"/>
                <w:lang w:val="en-US"/>
              </w:rPr>
              <w:t xml:space="preserve">Lovastatin, </w:t>
            </w:r>
            <w:r w:rsidRPr="00331ECE">
              <w:rPr>
                <w:rFonts w:cs="Arial"/>
              </w:rPr>
              <w:t>simvastatin</w:t>
            </w:r>
          </w:p>
        </w:tc>
        <w:tc>
          <w:tcPr>
            <w:tcW w:w="4358" w:type="dxa"/>
            <w:tcBorders>
              <w:top w:val="single" w:sz="6" w:space="0" w:color="000000"/>
              <w:left w:val="single" w:sz="6" w:space="0" w:color="000000"/>
              <w:bottom w:val="single" w:sz="6" w:space="0" w:color="000000"/>
              <w:right w:val="single" w:sz="6" w:space="0" w:color="000000"/>
            </w:tcBorders>
          </w:tcPr>
          <w:p w14:paraId="2E2D8C64" w14:textId="77777777" w:rsidR="00FE067E" w:rsidRPr="00331ECE" w:rsidRDefault="00FE067E" w:rsidP="00CC32CC">
            <w:pPr>
              <w:rPr>
                <w:rFonts w:cs="Arial"/>
                <w:lang w:val="en-US"/>
              </w:rPr>
            </w:pPr>
            <w:r w:rsidRPr="00331ECE">
              <w:rPr>
                <w:rFonts w:cs="Arial"/>
                <w:lang w:val="en-US"/>
              </w:rPr>
              <w:t xml:space="preserve">Potential for myopathy including </w:t>
            </w:r>
            <w:r w:rsidRPr="00331ECE">
              <w:rPr>
                <w:rFonts w:cs="Arial"/>
              </w:rPr>
              <w:t>rhabdomyolysis.</w:t>
            </w:r>
          </w:p>
        </w:tc>
      </w:tr>
      <w:tr w:rsidR="00FE067E" w:rsidRPr="00331ECE" w14:paraId="0ABA442C" w14:textId="77777777" w:rsidTr="00CC32CC">
        <w:trPr>
          <w:trHeight w:hRule="exact" w:val="1157"/>
        </w:trPr>
        <w:tc>
          <w:tcPr>
            <w:tcW w:w="2386" w:type="dxa"/>
            <w:tcBorders>
              <w:top w:val="single" w:sz="6" w:space="0" w:color="000000"/>
              <w:left w:val="single" w:sz="6" w:space="0" w:color="000000"/>
              <w:bottom w:val="single" w:sz="6" w:space="0" w:color="000000"/>
              <w:right w:val="single" w:sz="6" w:space="0" w:color="000000"/>
            </w:tcBorders>
          </w:tcPr>
          <w:p w14:paraId="67E2BD88" w14:textId="77777777" w:rsidR="00FE067E" w:rsidRPr="00331ECE" w:rsidRDefault="00FE067E" w:rsidP="00CC32CC">
            <w:pPr>
              <w:rPr>
                <w:rFonts w:cs="Arial"/>
              </w:rPr>
            </w:pPr>
            <w:r w:rsidRPr="00331ECE">
              <w:rPr>
                <w:rFonts w:cs="Arial"/>
              </w:rPr>
              <w:t>Long Acting Beta-Adrenoceptor agonist</w:t>
            </w:r>
          </w:p>
        </w:tc>
        <w:tc>
          <w:tcPr>
            <w:tcW w:w="2384" w:type="dxa"/>
            <w:tcBorders>
              <w:top w:val="single" w:sz="6" w:space="0" w:color="000000"/>
              <w:left w:val="single" w:sz="6" w:space="0" w:color="000000"/>
              <w:bottom w:val="single" w:sz="6" w:space="0" w:color="000000"/>
              <w:right w:val="single" w:sz="6" w:space="0" w:color="000000"/>
            </w:tcBorders>
          </w:tcPr>
          <w:p w14:paraId="008DE66C" w14:textId="77777777" w:rsidR="00FE067E" w:rsidRPr="00331ECE" w:rsidRDefault="00FE067E" w:rsidP="00CC32CC">
            <w:pPr>
              <w:rPr>
                <w:rFonts w:cs="Arial"/>
              </w:rPr>
            </w:pPr>
            <w:r w:rsidRPr="00331ECE">
              <w:rPr>
                <w:rFonts w:cs="Arial"/>
              </w:rPr>
              <w:t>Salmeterol</w:t>
            </w:r>
          </w:p>
        </w:tc>
        <w:tc>
          <w:tcPr>
            <w:tcW w:w="4358" w:type="dxa"/>
            <w:tcBorders>
              <w:top w:val="single" w:sz="6" w:space="0" w:color="000000"/>
              <w:left w:val="single" w:sz="6" w:space="0" w:color="000000"/>
              <w:bottom w:val="single" w:sz="6" w:space="0" w:color="000000"/>
              <w:right w:val="single" w:sz="6" w:space="0" w:color="000000"/>
            </w:tcBorders>
          </w:tcPr>
          <w:p w14:paraId="5ECD72CE" w14:textId="77777777" w:rsidR="00FE067E" w:rsidRPr="00331ECE" w:rsidRDefault="00FE067E" w:rsidP="00CC32CC">
            <w:pPr>
              <w:rPr>
                <w:rFonts w:cs="Arial"/>
              </w:rPr>
            </w:pPr>
            <w:r w:rsidRPr="00331ECE">
              <w:rPr>
                <w:rFonts w:cs="Arial"/>
              </w:rPr>
              <w:t>The combination may result in increased risk of cardiovascular adverse events associated with salmeterol, including QT prolongation, palpitations and sinus tachycardia.</w:t>
            </w:r>
          </w:p>
        </w:tc>
      </w:tr>
      <w:tr w:rsidR="00FE067E" w:rsidRPr="00331ECE" w14:paraId="35D235E7" w14:textId="77777777" w:rsidTr="00CC32CC">
        <w:trPr>
          <w:trHeight w:hRule="exact" w:val="470"/>
        </w:trPr>
        <w:tc>
          <w:tcPr>
            <w:tcW w:w="2386" w:type="dxa"/>
            <w:tcBorders>
              <w:top w:val="single" w:sz="6" w:space="0" w:color="000000"/>
              <w:left w:val="single" w:sz="6" w:space="0" w:color="000000"/>
              <w:bottom w:val="single" w:sz="6" w:space="0" w:color="000000"/>
              <w:right w:val="single" w:sz="6" w:space="0" w:color="000000"/>
            </w:tcBorders>
          </w:tcPr>
          <w:p w14:paraId="26D60A2D" w14:textId="77777777" w:rsidR="00FE067E" w:rsidRPr="00331ECE" w:rsidRDefault="00FE067E" w:rsidP="00CC32CC">
            <w:pPr>
              <w:rPr>
                <w:rFonts w:cs="Arial"/>
              </w:rPr>
            </w:pPr>
            <w:r w:rsidRPr="00331ECE">
              <w:rPr>
                <w:rFonts w:cs="Arial"/>
              </w:rPr>
              <w:t>Neuroleptics</w:t>
            </w:r>
          </w:p>
        </w:tc>
        <w:tc>
          <w:tcPr>
            <w:tcW w:w="2384" w:type="dxa"/>
            <w:tcBorders>
              <w:top w:val="single" w:sz="6" w:space="0" w:color="000000"/>
              <w:left w:val="single" w:sz="6" w:space="0" w:color="000000"/>
              <w:bottom w:val="single" w:sz="6" w:space="0" w:color="000000"/>
              <w:right w:val="single" w:sz="6" w:space="0" w:color="000000"/>
            </w:tcBorders>
          </w:tcPr>
          <w:p w14:paraId="7C51310B" w14:textId="77777777" w:rsidR="00FE067E" w:rsidRPr="00331ECE" w:rsidRDefault="00FE067E" w:rsidP="00CC32CC">
            <w:pPr>
              <w:rPr>
                <w:rFonts w:cs="Arial"/>
              </w:rPr>
            </w:pPr>
            <w:r w:rsidRPr="00331ECE">
              <w:rPr>
                <w:rFonts w:cs="Arial"/>
              </w:rPr>
              <w:t>Pimozide</w:t>
            </w:r>
          </w:p>
        </w:tc>
        <w:tc>
          <w:tcPr>
            <w:tcW w:w="4358" w:type="dxa"/>
            <w:tcBorders>
              <w:top w:val="single" w:sz="6" w:space="0" w:color="000000"/>
              <w:left w:val="single" w:sz="6" w:space="0" w:color="000000"/>
              <w:bottom w:val="single" w:sz="6" w:space="0" w:color="000000"/>
              <w:right w:val="single" w:sz="6" w:space="0" w:color="000000"/>
            </w:tcBorders>
          </w:tcPr>
          <w:p w14:paraId="51D364E3" w14:textId="77777777" w:rsidR="00FE067E" w:rsidRPr="00331ECE" w:rsidRDefault="00FE067E" w:rsidP="00CC32CC">
            <w:pPr>
              <w:rPr>
                <w:rFonts w:cs="Arial"/>
              </w:rPr>
            </w:pPr>
            <w:r w:rsidRPr="00331ECE">
              <w:rPr>
                <w:rFonts w:cs="Arial"/>
              </w:rPr>
              <w:t>Potential for cardiac arrhythmias.</w:t>
            </w:r>
          </w:p>
        </w:tc>
      </w:tr>
      <w:tr w:rsidR="00FE067E" w:rsidRPr="00331ECE" w14:paraId="22152418" w14:textId="77777777" w:rsidTr="00CC32CC">
        <w:trPr>
          <w:trHeight w:hRule="exact" w:val="1300"/>
        </w:trPr>
        <w:tc>
          <w:tcPr>
            <w:tcW w:w="2386" w:type="dxa"/>
            <w:tcBorders>
              <w:top w:val="single" w:sz="6" w:space="0" w:color="000000"/>
              <w:left w:val="single" w:sz="6" w:space="0" w:color="000000"/>
              <w:bottom w:val="single" w:sz="6" w:space="0" w:color="000000"/>
              <w:right w:val="single" w:sz="6" w:space="0" w:color="000000"/>
            </w:tcBorders>
          </w:tcPr>
          <w:p w14:paraId="5C6AA5CC" w14:textId="77777777" w:rsidR="00FE067E" w:rsidRPr="00331ECE" w:rsidRDefault="00FE067E" w:rsidP="00CC32CC">
            <w:pPr>
              <w:rPr>
                <w:rFonts w:cs="Arial"/>
              </w:rPr>
            </w:pPr>
            <w:r w:rsidRPr="00331ECE">
              <w:rPr>
                <w:rFonts w:cs="Arial"/>
              </w:rPr>
              <w:t>Non-nucleoside reverse transcriptase inhibitor</w:t>
            </w:r>
          </w:p>
        </w:tc>
        <w:tc>
          <w:tcPr>
            <w:tcW w:w="2384" w:type="dxa"/>
            <w:tcBorders>
              <w:top w:val="single" w:sz="6" w:space="0" w:color="000000"/>
              <w:left w:val="single" w:sz="6" w:space="0" w:color="000000"/>
              <w:bottom w:val="single" w:sz="6" w:space="0" w:color="000000"/>
              <w:right w:val="single" w:sz="6" w:space="0" w:color="000000"/>
            </w:tcBorders>
          </w:tcPr>
          <w:p w14:paraId="02677CDF" w14:textId="77777777" w:rsidR="00FE067E" w:rsidRPr="00331ECE" w:rsidRDefault="00FE067E" w:rsidP="00CC32CC">
            <w:pPr>
              <w:rPr>
                <w:rFonts w:cs="Arial"/>
              </w:rPr>
            </w:pPr>
            <w:r w:rsidRPr="00331ECE">
              <w:rPr>
                <w:rFonts w:cs="Arial"/>
              </w:rPr>
              <w:t>Efavirenz</w:t>
            </w:r>
          </w:p>
        </w:tc>
        <w:tc>
          <w:tcPr>
            <w:tcW w:w="4358" w:type="dxa"/>
            <w:tcBorders>
              <w:top w:val="single" w:sz="6" w:space="0" w:color="000000"/>
              <w:left w:val="single" w:sz="6" w:space="0" w:color="000000"/>
              <w:bottom w:val="single" w:sz="6" w:space="0" w:color="000000"/>
              <w:right w:val="single" w:sz="6" w:space="0" w:color="000000"/>
            </w:tcBorders>
          </w:tcPr>
          <w:p w14:paraId="572E30DB" w14:textId="77777777" w:rsidR="00FE067E" w:rsidRPr="00331ECE" w:rsidRDefault="00FE067E" w:rsidP="00CC32CC">
            <w:pPr>
              <w:rPr>
                <w:rFonts w:cs="Arial"/>
              </w:rPr>
            </w:pPr>
            <w:r w:rsidRPr="00331ECE">
              <w:rPr>
                <w:rFonts w:cs="Arial"/>
              </w:rPr>
              <w:t>Co-administration of efavirenz based regimens with paritaprevir, ritonavir plus dasabuvir was poorly tolerated and resulted in liver enzyme elevations.</w:t>
            </w:r>
          </w:p>
        </w:tc>
      </w:tr>
      <w:tr w:rsidR="00FE067E" w:rsidRPr="00331ECE" w14:paraId="16BB7C07" w14:textId="77777777" w:rsidTr="00CC32CC">
        <w:trPr>
          <w:trHeight w:hRule="exact" w:val="1574"/>
        </w:trPr>
        <w:tc>
          <w:tcPr>
            <w:tcW w:w="2386" w:type="dxa"/>
            <w:tcBorders>
              <w:top w:val="single" w:sz="6" w:space="0" w:color="000000"/>
              <w:left w:val="single" w:sz="6" w:space="0" w:color="000000"/>
              <w:bottom w:val="single" w:sz="6" w:space="0" w:color="000000"/>
              <w:right w:val="single" w:sz="6" w:space="0" w:color="000000"/>
            </w:tcBorders>
          </w:tcPr>
          <w:p w14:paraId="201671BB" w14:textId="77777777" w:rsidR="00FE067E" w:rsidRPr="00331ECE" w:rsidRDefault="00FE067E" w:rsidP="00CC32CC">
            <w:pPr>
              <w:rPr>
                <w:rFonts w:cs="Arial"/>
              </w:rPr>
            </w:pPr>
            <w:r w:rsidRPr="00331ECE">
              <w:rPr>
                <w:rFonts w:cs="Arial"/>
              </w:rPr>
              <w:t>Phosphodiesterase-5 (PDE5) inhibitor</w:t>
            </w:r>
          </w:p>
        </w:tc>
        <w:tc>
          <w:tcPr>
            <w:tcW w:w="2384" w:type="dxa"/>
            <w:tcBorders>
              <w:top w:val="single" w:sz="6" w:space="0" w:color="000000"/>
              <w:left w:val="single" w:sz="6" w:space="0" w:color="000000"/>
              <w:bottom w:val="single" w:sz="6" w:space="0" w:color="000000"/>
              <w:right w:val="single" w:sz="6" w:space="0" w:color="000000"/>
            </w:tcBorders>
          </w:tcPr>
          <w:p w14:paraId="1815D194" w14:textId="77777777" w:rsidR="00FE067E" w:rsidRPr="00331ECE" w:rsidRDefault="00FE067E" w:rsidP="00CC32CC">
            <w:pPr>
              <w:rPr>
                <w:rFonts w:cs="Arial"/>
              </w:rPr>
            </w:pPr>
            <w:r w:rsidRPr="00331ECE">
              <w:rPr>
                <w:rFonts w:cs="Arial"/>
              </w:rPr>
              <w:t>Sildenafil when dosed for the treatment of pulmonary arterial hypertension (PAH)</w:t>
            </w:r>
          </w:p>
        </w:tc>
        <w:tc>
          <w:tcPr>
            <w:tcW w:w="4358" w:type="dxa"/>
            <w:tcBorders>
              <w:top w:val="single" w:sz="6" w:space="0" w:color="000000"/>
              <w:left w:val="single" w:sz="6" w:space="0" w:color="000000"/>
              <w:bottom w:val="single" w:sz="6" w:space="0" w:color="000000"/>
              <w:right w:val="single" w:sz="6" w:space="0" w:color="000000"/>
            </w:tcBorders>
          </w:tcPr>
          <w:p w14:paraId="1815C88D" w14:textId="77777777" w:rsidR="00FE067E" w:rsidRPr="00331ECE" w:rsidRDefault="00FE067E" w:rsidP="00CC32CC">
            <w:pPr>
              <w:rPr>
                <w:rFonts w:cs="Arial"/>
              </w:rPr>
            </w:pPr>
            <w:r w:rsidRPr="00331ECE">
              <w:rPr>
                <w:rFonts w:cs="Arial"/>
              </w:rPr>
              <w:t>There is increased potential for sildenafil- associated adverse events such as visual disturbances, hypotension, priapism, and syncope.</w:t>
            </w:r>
          </w:p>
        </w:tc>
      </w:tr>
      <w:tr w:rsidR="00FE067E" w:rsidRPr="00331ECE" w14:paraId="1AC98F84" w14:textId="77777777" w:rsidTr="00CC32CC">
        <w:trPr>
          <w:trHeight w:hRule="exact" w:val="1050"/>
        </w:trPr>
        <w:tc>
          <w:tcPr>
            <w:tcW w:w="2386" w:type="dxa"/>
            <w:tcBorders>
              <w:top w:val="single" w:sz="6" w:space="0" w:color="000000"/>
              <w:left w:val="single" w:sz="6" w:space="0" w:color="000000"/>
              <w:bottom w:val="single" w:sz="6" w:space="0" w:color="000000"/>
              <w:right w:val="single" w:sz="6" w:space="0" w:color="000000"/>
            </w:tcBorders>
          </w:tcPr>
          <w:p w14:paraId="3191D1DD" w14:textId="77777777" w:rsidR="00FE067E" w:rsidRPr="00331ECE" w:rsidRDefault="00FE067E" w:rsidP="00CC32CC">
            <w:pPr>
              <w:rPr>
                <w:rFonts w:cs="Arial"/>
              </w:rPr>
            </w:pPr>
            <w:r w:rsidRPr="00331ECE">
              <w:rPr>
                <w:rFonts w:cs="Arial"/>
              </w:rPr>
              <w:t>Platelet aggregation inhibitors excluding heparin</w:t>
            </w:r>
          </w:p>
        </w:tc>
        <w:tc>
          <w:tcPr>
            <w:tcW w:w="2384" w:type="dxa"/>
            <w:tcBorders>
              <w:top w:val="single" w:sz="6" w:space="0" w:color="000000"/>
              <w:left w:val="single" w:sz="6" w:space="0" w:color="000000"/>
              <w:bottom w:val="single" w:sz="6" w:space="0" w:color="000000"/>
              <w:right w:val="single" w:sz="6" w:space="0" w:color="000000"/>
            </w:tcBorders>
          </w:tcPr>
          <w:p w14:paraId="422CE367" w14:textId="77777777" w:rsidR="00FE067E" w:rsidRPr="00331ECE" w:rsidRDefault="00FE067E" w:rsidP="00CC32CC">
            <w:pPr>
              <w:rPr>
                <w:rFonts w:cs="Arial"/>
              </w:rPr>
            </w:pPr>
            <w:r w:rsidRPr="00331ECE">
              <w:rPr>
                <w:rFonts w:cs="Arial"/>
              </w:rPr>
              <w:t>Ticagrelor</w:t>
            </w:r>
          </w:p>
        </w:tc>
        <w:tc>
          <w:tcPr>
            <w:tcW w:w="4358" w:type="dxa"/>
            <w:tcBorders>
              <w:top w:val="single" w:sz="6" w:space="0" w:color="000000"/>
              <w:left w:val="single" w:sz="6" w:space="0" w:color="000000"/>
              <w:bottom w:val="single" w:sz="6" w:space="0" w:color="000000"/>
              <w:right w:val="single" w:sz="6" w:space="0" w:color="000000"/>
            </w:tcBorders>
          </w:tcPr>
          <w:p w14:paraId="4F1CB145" w14:textId="77777777" w:rsidR="00FE067E" w:rsidRPr="00331ECE" w:rsidRDefault="00FE067E" w:rsidP="00CC32CC">
            <w:pPr>
              <w:rPr>
                <w:rFonts w:cs="Arial"/>
              </w:rPr>
            </w:pPr>
            <w:r w:rsidRPr="00331ECE">
              <w:t xml:space="preserve">Increased potential for </w:t>
            </w:r>
            <w:r w:rsidRPr="00331ECE">
              <w:rPr>
                <w:rFonts w:cs="Arial"/>
                <w:lang w:val="en-US"/>
              </w:rPr>
              <w:t>ticagrelor</w:t>
            </w:r>
            <w:r w:rsidRPr="00331ECE">
              <w:t xml:space="preserve"> associated adverse events</w:t>
            </w:r>
            <w:r w:rsidRPr="00331ECE">
              <w:rPr>
                <w:rStyle w:val="CommentReference"/>
              </w:rPr>
              <w:t>.</w:t>
            </w:r>
          </w:p>
        </w:tc>
      </w:tr>
      <w:tr w:rsidR="00FE067E" w:rsidRPr="00331ECE" w14:paraId="13EB4FCD" w14:textId="77777777" w:rsidTr="00CC32CC">
        <w:trPr>
          <w:trHeight w:hRule="exact" w:val="2967"/>
        </w:trPr>
        <w:tc>
          <w:tcPr>
            <w:tcW w:w="2386" w:type="dxa"/>
            <w:tcBorders>
              <w:top w:val="single" w:sz="6" w:space="0" w:color="000000"/>
              <w:left w:val="single" w:sz="6" w:space="0" w:color="000000"/>
              <w:bottom w:val="single" w:sz="6" w:space="0" w:color="000000"/>
              <w:right w:val="single" w:sz="6" w:space="0" w:color="000000"/>
            </w:tcBorders>
          </w:tcPr>
          <w:p w14:paraId="41938090" w14:textId="77777777" w:rsidR="00FE067E" w:rsidRPr="00331ECE" w:rsidRDefault="00FE067E" w:rsidP="00CC32CC">
            <w:pPr>
              <w:rPr>
                <w:rFonts w:cs="Arial"/>
              </w:rPr>
            </w:pPr>
            <w:r w:rsidRPr="00331ECE">
              <w:rPr>
                <w:rFonts w:cs="Arial"/>
              </w:rPr>
              <w:lastRenderedPageBreak/>
              <w:t>Sedatives/hypnotics</w:t>
            </w:r>
          </w:p>
        </w:tc>
        <w:tc>
          <w:tcPr>
            <w:tcW w:w="2384" w:type="dxa"/>
            <w:tcBorders>
              <w:top w:val="single" w:sz="6" w:space="0" w:color="000000"/>
              <w:left w:val="single" w:sz="6" w:space="0" w:color="000000"/>
              <w:bottom w:val="single" w:sz="6" w:space="0" w:color="000000"/>
              <w:right w:val="single" w:sz="6" w:space="0" w:color="000000"/>
            </w:tcBorders>
          </w:tcPr>
          <w:p w14:paraId="52B7E456" w14:textId="77777777" w:rsidR="00FE067E" w:rsidRPr="00331ECE" w:rsidRDefault="00FE067E" w:rsidP="00CC32CC">
            <w:pPr>
              <w:rPr>
                <w:rFonts w:cs="Arial"/>
              </w:rPr>
            </w:pPr>
            <w:r w:rsidRPr="00331ECE">
              <w:rPr>
                <w:rFonts w:cs="Arial"/>
              </w:rPr>
              <w:t>Triazolam</w:t>
            </w:r>
          </w:p>
          <w:p w14:paraId="73BF90C7" w14:textId="77777777" w:rsidR="00FE067E" w:rsidRPr="00331ECE" w:rsidRDefault="00FE067E" w:rsidP="00CC32CC">
            <w:pPr>
              <w:rPr>
                <w:rFonts w:cs="Arial"/>
              </w:rPr>
            </w:pPr>
            <w:r w:rsidRPr="00331ECE">
              <w:rPr>
                <w:rFonts w:cs="Arial"/>
              </w:rPr>
              <w:t>Orally administered midazolam</w:t>
            </w:r>
          </w:p>
        </w:tc>
        <w:tc>
          <w:tcPr>
            <w:tcW w:w="4358" w:type="dxa"/>
            <w:tcBorders>
              <w:top w:val="single" w:sz="6" w:space="0" w:color="000000"/>
              <w:left w:val="single" w:sz="6" w:space="0" w:color="000000"/>
              <w:bottom w:val="single" w:sz="6" w:space="0" w:color="000000"/>
              <w:right w:val="single" w:sz="6" w:space="0" w:color="000000"/>
            </w:tcBorders>
          </w:tcPr>
          <w:p w14:paraId="172224D2" w14:textId="11003EB9" w:rsidR="00FE067E" w:rsidRPr="00331ECE" w:rsidRDefault="00FE067E" w:rsidP="00CC32CC">
            <w:pPr>
              <w:rPr>
                <w:rFonts w:cs="Arial"/>
              </w:rPr>
            </w:pPr>
            <w:r w:rsidRPr="00331ECE">
              <w:rPr>
                <w:rFonts w:cs="Arial"/>
              </w:rPr>
              <w:t xml:space="preserve">Triazolam and orally administered midazolam are extensively </w:t>
            </w:r>
            <w:r w:rsidR="002F22D4">
              <w:rPr>
                <w:rFonts w:cs="Arial"/>
              </w:rPr>
              <w:t>metabolised</w:t>
            </w:r>
            <w:r w:rsidRPr="00331ECE">
              <w:rPr>
                <w:rFonts w:cs="Arial"/>
              </w:rPr>
              <w:t xml:space="preserve"> by CYP3A4. Coadministration of triazolam or orally administered midazolam with VIEKIRA PAK may cause large increases in the concentration of these benzodiazepines. The potential exists for serious and/or life threatening events such as prolonged or increased sedation or respiratory depression.</w:t>
            </w:r>
          </w:p>
        </w:tc>
      </w:tr>
      <w:tr w:rsidR="00FE067E" w:rsidRPr="00331ECE" w14:paraId="4EFF42AE" w14:textId="77777777" w:rsidTr="00CC32CC">
        <w:trPr>
          <w:trHeight w:hRule="exact" w:val="572"/>
        </w:trPr>
        <w:tc>
          <w:tcPr>
            <w:tcW w:w="2386" w:type="dxa"/>
            <w:tcBorders>
              <w:top w:val="single" w:sz="6" w:space="0" w:color="000000"/>
              <w:left w:val="single" w:sz="6" w:space="0" w:color="000000"/>
              <w:bottom w:val="single" w:sz="6" w:space="0" w:color="000000"/>
              <w:right w:val="single" w:sz="6" w:space="0" w:color="000000"/>
            </w:tcBorders>
          </w:tcPr>
          <w:p w14:paraId="45613833" w14:textId="77777777" w:rsidR="00FE067E" w:rsidRPr="00331ECE" w:rsidRDefault="00FE067E" w:rsidP="00CC32CC">
            <w:pPr>
              <w:rPr>
                <w:rFonts w:cs="Arial"/>
              </w:rPr>
            </w:pPr>
            <w:r w:rsidRPr="00331ECE">
              <w:rPr>
                <w:rFonts w:cs="Arial"/>
              </w:rPr>
              <w:t>Steroid antibacterials</w:t>
            </w:r>
          </w:p>
        </w:tc>
        <w:tc>
          <w:tcPr>
            <w:tcW w:w="2384" w:type="dxa"/>
            <w:tcBorders>
              <w:top w:val="single" w:sz="6" w:space="0" w:color="000000"/>
              <w:left w:val="single" w:sz="6" w:space="0" w:color="000000"/>
              <w:bottom w:val="single" w:sz="6" w:space="0" w:color="000000"/>
              <w:right w:val="single" w:sz="6" w:space="0" w:color="000000"/>
            </w:tcBorders>
          </w:tcPr>
          <w:p w14:paraId="3DB5D65E" w14:textId="77777777" w:rsidR="00FE067E" w:rsidRPr="00331ECE" w:rsidRDefault="00FE067E" w:rsidP="00CC32CC">
            <w:pPr>
              <w:rPr>
                <w:rFonts w:cs="Arial"/>
              </w:rPr>
            </w:pPr>
            <w:r w:rsidRPr="00331ECE">
              <w:rPr>
                <w:rFonts w:cs="Arial"/>
              </w:rPr>
              <w:t>Fusidic acid</w:t>
            </w:r>
          </w:p>
        </w:tc>
        <w:tc>
          <w:tcPr>
            <w:tcW w:w="4358" w:type="dxa"/>
            <w:tcBorders>
              <w:top w:val="single" w:sz="6" w:space="0" w:color="000000"/>
              <w:left w:val="single" w:sz="6" w:space="0" w:color="000000"/>
              <w:bottom w:val="single" w:sz="6" w:space="0" w:color="000000"/>
              <w:right w:val="single" w:sz="6" w:space="0" w:color="000000"/>
            </w:tcBorders>
          </w:tcPr>
          <w:p w14:paraId="03EDA5D3" w14:textId="77777777" w:rsidR="00FE067E" w:rsidRPr="00331ECE" w:rsidRDefault="00FE067E" w:rsidP="00CC32CC">
            <w:pPr>
              <w:rPr>
                <w:rFonts w:cs="Arial"/>
              </w:rPr>
            </w:pPr>
            <w:r w:rsidRPr="00331ECE">
              <w:t xml:space="preserve">Increased potential for </w:t>
            </w:r>
            <w:r w:rsidRPr="00331ECE">
              <w:rPr>
                <w:rFonts w:cs="Arial"/>
                <w:lang w:val="en-US"/>
              </w:rPr>
              <w:t xml:space="preserve">fusidic acid </w:t>
            </w:r>
            <w:r w:rsidRPr="00331ECE">
              <w:t>associated adverse events.</w:t>
            </w:r>
          </w:p>
        </w:tc>
      </w:tr>
      <w:tr w:rsidR="00FE067E" w:rsidRPr="00331ECE" w14:paraId="12F3E58B" w14:textId="77777777" w:rsidTr="00CC32CC">
        <w:trPr>
          <w:trHeight w:hRule="exact" w:val="969"/>
        </w:trPr>
        <w:tc>
          <w:tcPr>
            <w:tcW w:w="2386" w:type="dxa"/>
            <w:tcBorders>
              <w:top w:val="single" w:sz="6" w:space="0" w:color="000000"/>
              <w:left w:val="single" w:sz="6" w:space="0" w:color="000000"/>
              <w:bottom w:val="single" w:sz="6" w:space="0" w:color="000000"/>
              <w:right w:val="single" w:sz="6" w:space="0" w:color="000000"/>
            </w:tcBorders>
          </w:tcPr>
          <w:p w14:paraId="31ADDB70" w14:textId="77777777" w:rsidR="00FE067E" w:rsidRPr="00331ECE" w:rsidRDefault="00FE067E" w:rsidP="00CC32CC">
            <w:pPr>
              <w:rPr>
                <w:rFonts w:cs="Arial"/>
              </w:rPr>
            </w:pPr>
            <w:r w:rsidRPr="00331ECE">
              <w:rPr>
                <w:rFonts w:cs="Arial"/>
              </w:rPr>
              <w:t>Anticancer agents</w:t>
            </w:r>
          </w:p>
        </w:tc>
        <w:tc>
          <w:tcPr>
            <w:tcW w:w="2384" w:type="dxa"/>
            <w:tcBorders>
              <w:top w:val="single" w:sz="6" w:space="0" w:color="000000"/>
              <w:left w:val="single" w:sz="6" w:space="0" w:color="000000"/>
              <w:bottom w:val="single" w:sz="6" w:space="0" w:color="000000"/>
              <w:right w:val="single" w:sz="6" w:space="0" w:color="000000"/>
            </w:tcBorders>
          </w:tcPr>
          <w:p w14:paraId="75C82370" w14:textId="77777777" w:rsidR="00FE067E" w:rsidRPr="00331ECE" w:rsidRDefault="00FE067E" w:rsidP="00CC32CC">
            <w:pPr>
              <w:rPr>
                <w:rFonts w:cs="Arial"/>
              </w:rPr>
            </w:pPr>
            <w:r w:rsidRPr="00331ECE">
              <w:rPr>
                <w:rFonts w:cs="Arial"/>
              </w:rPr>
              <w:t>Mitotane</w:t>
            </w:r>
          </w:p>
          <w:p w14:paraId="1A047208" w14:textId="77777777" w:rsidR="00FE067E" w:rsidRPr="00331ECE" w:rsidRDefault="00FE067E" w:rsidP="00CC32CC">
            <w:pPr>
              <w:rPr>
                <w:rFonts w:cs="Arial"/>
              </w:rPr>
            </w:pPr>
            <w:r w:rsidRPr="00331ECE">
              <w:rPr>
                <w:rFonts w:cs="Arial"/>
              </w:rPr>
              <w:t>Enzalutamide</w:t>
            </w:r>
          </w:p>
          <w:p w14:paraId="3797576D" w14:textId="77777777" w:rsidR="00FE067E" w:rsidRPr="00331ECE" w:rsidRDefault="00FE067E" w:rsidP="00CC32CC">
            <w:pPr>
              <w:rPr>
                <w:rFonts w:cs="Arial"/>
              </w:rPr>
            </w:pPr>
          </w:p>
        </w:tc>
        <w:tc>
          <w:tcPr>
            <w:tcW w:w="4358" w:type="dxa"/>
            <w:tcBorders>
              <w:top w:val="single" w:sz="6" w:space="0" w:color="000000"/>
              <w:left w:val="single" w:sz="6" w:space="0" w:color="000000"/>
              <w:bottom w:val="single" w:sz="6" w:space="0" w:color="000000"/>
              <w:right w:val="single" w:sz="6" w:space="0" w:color="000000"/>
            </w:tcBorders>
          </w:tcPr>
          <w:p w14:paraId="4401C51E" w14:textId="77777777" w:rsidR="00FE067E" w:rsidRPr="00331ECE" w:rsidRDefault="00FE067E" w:rsidP="00CC32CC">
            <w:pPr>
              <w:rPr>
                <w:rFonts w:cs="Arial"/>
              </w:rPr>
            </w:pPr>
            <w:r w:rsidRPr="00331ECE">
              <w:t xml:space="preserve">Increased potential for </w:t>
            </w:r>
            <w:r w:rsidRPr="00331ECE">
              <w:rPr>
                <w:rFonts w:cs="Arial"/>
                <w:lang w:val="en-US"/>
              </w:rPr>
              <w:t>mitotane and enzalutamide</w:t>
            </w:r>
            <w:r w:rsidRPr="00331ECE">
              <w:t xml:space="preserve"> associated adverse events.</w:t>
            </w:r>
            <w:r w:rsidRPr="00331ECE">
              <w:rPr>
                <w:rFonts w:cs="Arial"/>
                <w:lang w:val="en-US"/>
              </w:rPr>
              <w:t xml:space="preserve"> </w:t>
            </w:r>
          </w:p>
        </w:tc>
      </w:tr>
    </w:tbl>
    <w:p w14:paraId="1C507DAC" w14:textId="77777777" w:rsidR="00FE067E" w:rsidRPr="00E914FB" w:rsidRDefault="00FE067E" w:rsidP="00E650BE">
      <w:pPr>
        <w:pStyle w:val="TableLeft9"/>
        <w:rPr>
          <w:rFonts w:asciiTheme="minorHAnsi" w:hAnsiTheme="minorHAnsi" w:cstheme="minorHAnsi"/>
          <w:b/>
          <w:sz w:val="22"/>
          <w:szCs w:val="22"/>
          <w:lang w:val="en-AU"/>
        </w:rPr>
      </w:pPr>
    </w:p>
    <w:p w14:paraId="2D53456A" w14:textId="288C2DEE" w:rsidR="0026770B" w:rsidRPr="00E914FB" w:rsidRDefault="0026770B" w:rsidP="0026770B">
      <w:pPr>
        <w:pStyle w:val="TableLeft9"/>
        <w:jc w:val="center"/>
        <w:rPr>
          <w:rFonts w:asciiTheme="minorHAnsi" w:hAnsiTheme="minorHAnsi" w:cstheme="minorHAnsi"/>
          <w:sz w:val="24"/>
          <w:szCs w:val="24"/>
          <w:lang w:val="en-AU"/>
        </w:rPr>
      </w:pPr>
    </w:p>
    <w:p w14:paraId="2F9ABE8C" w14:textId="77777777" w:rsidR="00DA417B" w:rsidRPr="00E914FB" w:rsidRDefault="00356BCD" w:rsidP="00885509">
      <w:pPr>
        <w:pStyle w:val="Heading1"/>
      </w:pPr>
      <w:bookmarkStart w:id="15" w:name="_Toc383787400"/>
      <w:r w:rsidRPr="00E914FB">
        <w:t>Precautions</w:t>
      </w:r>
      <w:bookmarkEnd w:id="15"/>
    </w:p>
    <w:p w14:paraId="46ECF29A" w14:textId="05251741" w:rsidR="00F77927" w:rsidRPr="00E914FB" w:rsidRDefault="00F77927" w:rsidP="00885509">
      <w:pPr>
        <w:spacing w:line="240" w:lineRule="auto"/>
        <w:jc w:val="both"/>
      </w:pPr>
      <w:r w:rsidRPr="00E914FB">
        <w:rPr>
          <w:rFonts w:cs="Arial"/>
        </w:rPr>
        <w:t>VIEKIRA PAK efficacy has not been studied in patients who have previously failed therapy with a treatment regimen that includes VIEKIRA PAK or other direct-acting antiviral agents.</w:t>
      </w:r>
    </w:p>
    <w:p w14:paraId="73B41458" w14:textId="77777777" w:rsidR="00F77927" w:rsidRPr="00E914FB" w:rsidRDefault="00F77927" w:rsidP="00885509">
      <w:pPr>
        <w:pStyle w:val="Heading2Unnumbered"/>
        <w:jc w:val="both"/>
        <w:rPr>
          <w:b w:val="0"/>
          <w:lang w:val="en-AU"/>
        </w:rPr>
      </w:pPr>
      <w:r w:rsidRPr="00E914FB">
        <w:rPr>
          <w:sz w:val="22"/>
          <w:szCs w:val="22"/>
          <w:lang w:val="en-AU"/>
        </w:rPr>
        <w:t>ALT Elevations</w:t>
      </w:r>
    </w:p>
    <w:p w14:paraId="5E7D6C4D" w14:textId="77777777" w:rsidR="00F77927" w:rsidRPr="00E914FB" w:rsidRDefault="00F77927" w:rsidP="00885509">
      <w:pPr>
        <w:pStyle w:val="gtcbodytext0"/>
        <w:spacing w:line="240" w:lineRule="auto"/>
        <w:jc w:val="both"/>
        <w:rPr>
          <w:rFonts w:asciiTheme="minorHAnsi" w:eastAsiaTheme="minorHAnsi" w:hAnsiTheme="minorHAnsi" w:cs="Arial"/>
          <w:sz w:val="22"/>
          <w:szCs w:val="22"/>
          <w:lang w:val="en-AU"/>
        </w:rPr>
      </w:pPr>
      <w:bookmarkStart w:id="16" w:name="p425436291410376371"/>
      <w:bookmarkEnd w:id="16"/>
      <w:r w:rsidRPr="00E914FB">
        <w:rPr>
          <w:rFonts w:asciiTheme="minorHAnsi" w:eastAsiaTheme="minorHAnsi" w:hAnsiTheme="minorHAnsi" w:cs="Arial"/>
          <w:sz w:val="22"/>
          <w:szCs w:val="22"/>
          <w:lang w:val="en-AU"/>
        </w:rPr>
        <w:t>During clinical trials with VIEKIRA PAK with or without ribavirin, transient, asymptomatic elevations of alanine transaminase (ALT) to greater than 5 times the upper limit of normal (ULN) occurred in approximately 1% of all subjects (see ADVERSE REACTIONS). These ALT elevations were significantly more frequent in female subjects who were using ethinyl estradiol-containing medications such as combined oral contraceptives, contraceptive patches, or contraceptive vaginal rings (see CONTRAINDICATIONS). ALT elevations typically occurred during the first 4 weeks of treatment and declined within approximately two weeks of onset with continued dosing of VIEKIRA PAK with or without ribavirin.</w:t>
      </w:r>
    </w:p>
    <w:p w14:paraId="0CB0BB3D" w14:textId="01193E0F" w:rsidR="00F77927" w:rsidRPr="00E914FB" w:rsidRDefault="00F77927" w:rsidP="00885509">
      <w:pPr>
        <w:pStyle w:val="gtcbodytext0"/>
        <w:spacing w:line="240" w:lineRule="auto"/>
        <w:jc w:val="both"/>
        <w:rPr>
          <w:rFonts w:asciiTheme="minorHAnsi" w:eastAsiaTheme="minorHAnsi" w:hAnsiTheme="minorHAnsi" w:cs="Arial"/>
          <w:sz w:val="22"/>
          <w:szCs w:val="22"/>
          <w:lang w:val="en-AU"/>
        </w:rPr>
      </w:pPr>
      <w:r w:rsidRPr="00E914FB">
        <w:rPr>
          <w:rFonts w:asciiTheme="minorHAnsi" w:eastAsiaTheme="minorHAnsi" w:hAnsiTheme="minorHAnsi" w:cs="Arial"/>
          <w:sz w:val="22"/>
          <w:szCs w:val="22"/>
          <w:lang w:val="en-AU"/>
        </w:rPr>
        <w:t xml:space="preserve">Ethinyl estradiol-containing medications must be discontinued prior to starting therapy with </w:t>
      </w:r>
      <w:r w:rsidR="00222E29" w:rsidRPr="00E914FB">
        <w:rPr>
          <w:rFonts w:asciiTheme="minorHAnsi" w:eastAsiaTheme="minorHAnsi" w:hAnsiTheme="minorHAnsi" w:cs="Arial"/>
          <w:sz w:val="22"/>
          <w:szCs w:val="22"/>
          <w:lang w:val="en-AU"/>
        </w:rPr>
        <w:t>VIEKIRA PAK</w:t>
      </w:r>
      <w:r w:rsidRPr="00E914FB">
        <w:rPr>
          <w:rFonts w:asciiTheme="minorHAnsi" w:eastAsiaTheme="minorHAnsi" w:hAnsiTheme="minorHAnsi" w:cs="Arial"/>
          <w:sz w:val="22"/>
          <w:szCs w:val="22"/>
          <w:lang w:val="en-AU"/>
        </w:rPr>
        <w:t xml:space="preserve"> (see CONTRAINDICATIONS). Alternative contraceptive agents or methods of contraception (e.g., progestin only contraception or non-hormonal methods) are recommended during </w:t>
      </w:r>
      <w:r w:rsidR="00222E29" w:rsidRPr="00E914FB">
        <w:rPr>
          <w:rFonts w:asciiTheme="minorHAnsi" w:eastAsiaTheme="minorHAnsi" w:hAnsiTheme="minorHAnsi" w:cs="Arial"/>
          <w:sz w:val="22"/>
          <w:szCs w:val="22"/>
          <w:lang w:val="en-AU"/>
        </w:rPr>
        <w:t>VIEKIRA PAK</w:t>
      </w:r>
      <w:r w:rsidRPr="00E914FB">
        <w:rPr>
          <w:rFonts w:asciiTheme="minorHAnsi" w:eastAsiaTheme="minorHAnsi" w:hAnsiTheme="minorHAnsi" w:cs="Arial"/>
          <w:sz w:val="22"/>
          <w:szCs w:val="22"/>
          <w:lang w:val="en-AU"/>
        </w:rPr>
        <w:t xml:space="preserve"> therapy.  Ethinyl estradiol-containing medications can be restarted approximately 2 weeks following completion of treatment with </w:t>
      </w:r>
      <w:r w:rsidR="00222E29" w:rsidRPr="00E914FB">
        <w:rPr>
          <w:rFonts w:asciiTheme="minorHAnsi" w:eastAsiaTheme="minorHAnsi" w:hAnsiTheme="minorHAnsi" w:cs="Arial"/>
          <w:sz w:val="22"/>
          <w:szCs w:val="22"/>
          <w:lang w:val="en-AU"/>
        </w:rPr>
        <w:t>VIEKIRA PAK</w:t>
      </w:r>
      <w:r w:rsidRPr="00E914FB">
        <w:rPr>
          <w:rFonts w:asciiTheme="minorHAnsi" w:eastAsiaTheme="minorHAnsi" w:hAnsiTheme="minorHAnsi" w:cs="Arial"/>
          <w:sz w:val="22"/>
          <w:szCs w:val="22"/>
          <w:lang w:val="en-AU"/>
        </w:rPr>
        <w:t>.</w:t>
      </w:r>
    </w:p>
    <w:p w14:paraId="730BD0E6" w14:textId="77777777" w:rsidR="00F77927" w:rsidRPr="00E914FB" w:rsidRDefault="00F77927" w:rsidP="00885509">
      <w:pPr>
        <w:pStyle w:val="gtcbodytext0"/>
        <w:spacing w:line="240" w:lineRule="auto"/>
        <w:jc w:val="both"/>
        <w:rPr>
          <w:rFonts w:asciiTheme="minorHAnsi" w:eastAsiaTheme="minorHAnsi" w:hAnsiTheme="minorHAnsi" w:cs="Arial"/>
          <w:sz w:val="22"/>
          <w:szCs w:val="22"/>
          <w:lang w:val="en-AU"/>
        </w:rPr>
      </w:pPr>
      <w:r w:rsidRPr="00E914FB">
        <w:rPr>
          <w:rFonts w:asciiTheme="minorHAnsi" w:eastAsiaTheme="minorHAnsi" w:hAnsiTheme="minorHAnsi" w:cs="Arial"/>
          <w:sz w:val="22"/>
          <w:szCs w:val="22"/>
          <w:lang w:val="en-AU"/>
        </w:rPr>
        <w:t>Subjects using estrogens other than ethinyl estradiol, such as estradiol and conjugated estrogens used in hormone replacement therapy had a rate of ALT elevation similar to those not receiving any estrogens (1%).  No additional monitoring of ALT is required outside of local recommendations and routine clinical practice guidelines.</w:t>
      </w:r>
    </w:p>
    <w:p w14:paraId="2759FB2C" w14:textId="671C850C" w:rsidR="00F77927" w:rsidRPr="00E914FB" w:rsidRDefault="00F77927" w:rsidP="00885509">
      <w:pPr>
        <w:pStyle w:val="gtcbodytext0"/>
        <w:spacing w:line="240" w:lineRule="auto"/>
        <w:jc w:val="both"/>
        <w:rPr>
          <w:rFonts w:asciiTheme="minorHAnsi" w:eastAsiaTheme="minorHAnsi" w:hAnsiTheme="minorHAnsi" w:cs="Arial"/>
          <w:sz w:val="22"/>
          <w:szCs w:val="22"/>
          <w:lang w:val="en-AU"/>
        </w:rPr>
      </w:pPr>
      <w:r w:rsidRPr="00E914FB">
        <w:rPr>
          <w:rFonts w:asciiTheme="minorHAnsi" w:eastAsiaTheme="minorHAnsi" w:hAnsiTheme="minorHAnsi" w:cs="Arial"/>
          <w:sz w:val="22"/>
          <w:szCs w:val="22"/>
          <w:lang w:val="en-AU"/>
        </w:rPr>
        <w:t>If ALT is found to be elevated above baseline levels, it should be monitored closely</w:t>
      </w:r>
      <w:r w:rsidR="009C7C4C" w:rsidRPr="00E914FB">
        <w:rPr>
          <w:rFonts w:asciiTheme="minorHAnsi" w:eastAsiaTheme="minorHAnsi" w:hAnsiTheme="minorHAnsi" w:cs="Arial"/>
          <w:sz w:val="22"/>
          <w:szCs w:val="22"/>
          <w:lang w:val="en-AU"/>
        </w:rPr>
        <w:t>.</w:t>
      </w:r>
      <w:r w:rsidRPr="00E914FB">
        <w:rPr>
          <w:rFonts w:asciiTheme="minorHAnsi" w:eastAsiaTheme="minorHAnsi" w:hAnsiTheme="minorHAnsi" w:cs="Arial"/>
          <w:sz w:val="22"/>
          <w:szCs w:val="22"/>
          <w:lang w:val="en-AU"/>
        </w:rPr>
        <w:t xml:space="preserve"> </w:t>
      </w:r>
    </w:p>
    <w:p w14:paraId="62F162F5" w14:textId="5E3527F1" w:rsidR="00960892" w:rsidRPr="00314EB7" w:rsidRDefault="00960892" w:rsidP="00885509">
      <w:pPr>
        <w:pStyle w:val="gtcbodytext0"/>
        <w:numPr>
          <w:ilvl w:val="0"/>
          <w:numId w:val="14"/>
        </w:numPr>
        <w:spacing w:line="240" w:lineRule="auto"/>
        <w:jc w:val="both"/>
        <w:rPr>
          <w:rFonts w:asciiTheme="minorHAnsi" w:eastAsiaTheme="minorHAnsi" w:hAnsiTheme="minorHAnsi" w:cs="Arial"/>
          <w:sz w:val="22"/>
          <w:szCs w:val="22"/>
          <w:lang w:val="en-AU"/>
        </w:rPr>
      </w:pPr>
      <w:r w:rsidRPr="00314EB7">
        <w:rPr>
          <w:rFonts w:asciiTheme="minorHAnsi" w:eastAsiaTheme="minorHAnsi" w:hAnsiTheme="minorHAnsi" w:cs="Arial"/>
          <w:sz w:val="22"/>
          <w:szCs w:val="22"/>
          <w:lang w:val="en-AU"/>
        </w:rPr>
        <w:t>Patients should be instructed to consult their health care professional without delay if they have onset of fatigue, weakness, lack of appetite, nausea and vomiting, jaundice or discoloured</w:t>
      </w:r>
      <w:r>
        <w:rPr>
          <w:rFonts w:asciiTheme="minorHAnsi" w:eastAsiaTheme="minorHAnsi" w:hAnsiTheme="minorHAnsi" w:cs="Arial"/>
          <w:sz w:val="22"/>
          <w:szCs w:val="22"/>
          <w:lang w:val="en-AU"/>
        </w:rPr>
        <w:t xml:space="preserve"> urine or</w:t>
      </w:r>
      <w:r w:rsidRPr="00314EB7">
        <w:rPr>
          <w:rFonts w:asciiTheme="minorHAnsi" w:eastAsiaTheme="minorHAnsi" w:hAnsiTheme="minorHAnsi" w:cs="Arial"/>
          <w:sz w:val="22"/>
          <w:szCs w:val="22"/>
          <w:lang w:val="en-AU"/>
        </w:rPr>
        <w:t xml:space="preserve"> faeces (see </w:t>
      </w:r>
      <w:r>
        <w:rPr>
          <w:rFonts w:asciiTheme="minorHAnsi" w:eastAsiaTheme="minorHAnsi" w:hAnsiTheme="minorHAnsi" w:cs="Arial"/>
          <w:sz w:val="22"/>
          <w:szCs w:val="22"/>
          <w:lang w:val="en-AU"/>
        </w:rPr>
        <w:t xml:space="preserve">Serum Bilirubin Elevations </w:t>
      </w:r>
      <w:r w:rsidR="00F625CC">
        <w:rPr>
          <w:rFonts w:asciiTheme="minorHAnsi" w:eastAsiaTheme="minorHAnsi" w:hAnsiTheme="minorHAnsi" w:cs="Arial"/>
          <w:sz w:val="22"/>
          <w:szCs w:val="22"/>
          <w:lang w:val="en-AU"/>
        </w:rPr>
        <w:t>under</w:t>
      </w:r>
      <w:r>
        <w:rPr>
          <w:rFonts w:asciiTheme="minorHAnsi" w:eastAsiaTheme="minorHAnsi" w:hAnsiTheme="minorHAnsi" w:cs="Arial"/>
          <w:sz w:val="22"/>
          <w:szCs w:val="22"/>
          <w:lang w:val="en-AU"/>
        </w:rPr>
        <w:t xml:space="preserve"> </w:t>
      </w:r>
      <w:r w:rsidRPr="00314EB7">
        <w:rPr>
          <w:rFonts w:asciiTheme="minorHAnsi" w:eastAsiaTheme="minorHAnsi" w:hAnsiTheme="minorHAnsi" w:cs="Arial"/>
          <w:sz w:val="22"/>
          <w:szCs w:val="22"/>
          <w:lang w:val="en-AU"/>
        </w:rPr>
        <w:t>ADVERSE REACTIONS).</w:t>
      </w:r>
    </w:p>
    <w:p w14:paraId="68CA406E" w14:textId="3E172E57" w:rsidR="00F77927" w:rsidRPr="00E914FB" w:rsidRDefault="00F77927" w:rsidP="00885509">
      <w:pPr>
        <w:pStyle w:val="gtcbodytext0"/>
        <w:numPr>
          <w:ilvl w:val="0"/>
          <w:numId w:val="14"/>
        </w:numPr>
        <w:spacing w:before="144" w:after="0" w:line="240" w:lineRule="auto"/>
        <w:jc w:val="both"/>
        <w:rPr>
          <w:rFonts w:asciiTheme="minorHAnsi" w:eastAsiaTheme="minorHAnsi" w:hAnsiTheme="minorHAnsi" w:cstheme="minorHAnsi"/>
          <w:sz w:val="22"/>
          <w:szCs w:val="22"/>
          <w:lang w:val="en-AU"/>
        </w:rPr>
      </w:pPr>
      <w:r w:rsidRPr="00E914FB">
        <w:rPr>
          <w:rFonts w:asciiTheme="minorHAnsi" w:hAnsiTheme="minorHAnsi" w:cstheme="minorHAnsi"/>
          <w:sz w:val="22"/>
          <w:szCs w:val="22"/>
          <w:lang w:val="en-AU"/>
        </w:rPr>
        <w:lastRenderedPageBreak/>
        <w:t xml:space="preserve">Discontinue </w:t>
      </w:r>
      <w:r w:rsidR="00222E29" w:rsidRPr="00E914FB">
        <w:rPr>
          <w:rFonts w:asciiTheme="minorHAnsi" w:hAnsiTheme="minorHAnsi" w:cstheme="minorHAnsi"/>
          <w:sz w:val="22"/>
          <w:szCs w:val="22"/>
          <w:lang w:val="en-AU"/>
        </w:rPr>
        <w:t>VIEKIRA PAK</w:t>
      </w:r>
      <w:r w:rsidRPr="00E914FB">
        <w:rPr>
          <w:rFonts w:asciiTheme="minorHAnsi" w:hAnsiTheme="minorHAnsi" w:cstheme="minorHAnsi"/>
          <w:sz w:val="22"/>
          <w:szCs w:val="22"/>
          <w:lang w:val="en-AU"/>
        </w:rPr>
        <w:t xml:space="preserve"> if ALT elevation is accompanied by signs or symptoms of liver inflammation or increasing conjugated bilirubin, alkaline phosphatase, or INR.  </w:t>
      </w:r>
    </w:p>
    <w:p w14:paraId="22030CE8" w14:textId="77777777" w:rsidR="001B2FA3" w:rsidRDefault="001B2FA3" w:rsidP="00885509">
      <w:pPr>
        <w:spacing w:line="240" w:lineRule="auto"/>
        <w:jc w:val="both"/>
      </w:pPr>
    </w:p>
    <w:p w14:paraId="6A12EB35" w14:textId="77777777" w:rsidR="001B2FA3" w:rsidRDefault="001B2FA3" w:rsidP="00885509">
      <w:pPr>
        <w:pStyle w:val="Heading2Unnumbered"/>
        <w:jc w:val="both"/>
        <w:rPr>
          <w:rFonts w:eastAsia="TimesNewRoman"/>
          <w:sz w:val="22"/>
          <w:szCs w:val="22"/>
          <w:lang w:val="en-AU"/>
        </w:rPr>
      </w:pPr>
      <w:r>
        <w:rPr>
          <w:rFonts w:eastAsia="TimesNewRoman"/>
          <w:sz w:val="22"/>
          <w:szCs w:val="22"/>
          <w:lang w:val="en-AU"/>
        </w:rPr>
        <w:t>Coadministration with Drugs Metabolised by CYP3A</w:t>
      </w:r>
    </w:p>
    <w:p w14:paraId="2B639C8A" w14:textId="2A266B8F" w:rsidR="00960892" w:rsidRPr="00203882" w:rsidRDefault="00960892" w:rsidP="00885509">
      <w:pPr>
        <w:spacing w:line="240" w:lineRule="auto"/>
        <w:jc w:val="both"/>
      </w:pPr>
      <w:r w:rsidRPr="00203882">
        <w:t xml:space="preserve">Also refer to CONTRAINDICATIONS, INTERACTIONS WITH OTHER MEDICINES, </w:t>
      </w:r>
      <w:r w:rsidR="00121436">
        <w:t>Table 13</w:t>
      </w:r>
      <w:r w:rsidRPr="00203882">
        <w:t xml:space="preserve"> and PHARMACOKINETICS-Implications for Drug Interactions.</w:t>
      </w:r>
    </w:p>
    <w:p w14:paraId="2CF2AC4B" w14:textId="77777777" w:rsidR="00F77927" w:rsidRPr="00064267" w:rsidRDefault="00F77927" w:rsidP="00885509">
      <w:pPr>
        <w:pStyle w:val="Heading2Unnumbered"/>
        <w:jc w:val="both"/>
        <w:rPr>
          <w:rFonts w:eastAsia="TimesNewRoman"/>
          <w:b w:val="0"/>
          <w:i/>
          <w:lang w:val="en-AU"/>
        </w:rPr>
      </w:pPr>
      <w:r w:rsidRPr="00064267">
        <w:rPr>
          <w:rFonts w:eastAsia="TimesNewRoman"/>
          <w:b w:val="0"/>
          <w:i/>
          <w:sz w:val="22"/>
          <w:szCs w:val="22"/>
          <w:lang w:val="en-AU"/>
        </w:rPr>
        <w:t>Use with Fluticasone (glucocorticoids metabolised by CYP3A)</w:t>
      </w:r>
    </w:p>
    <w:p w14:paraId="74C88AB1" w14:textId="159A1765" w:rsidR="00F77927" w:rsidRPr="00E914FB" w:rsidRDefault="00F77927" w:rsidP="00CC32CC">
      <w:pPr>
        <w:spacing w:line="240" w:lineRule="auto"/>
        <w:jc w:val="both"/>
        <w:rPr>
          <w:rFonts w:cs="Arial"/>
        </w:rPr>
      </w:pPr>
      <w:r w:rsidRPr="00E914FB">
        <w:rPr>
          <w:rFonts w:cs="Arial"/>
        </w:rPr>
        <w:t xml:space="preserve">Use caution when administering </w:t>
      </w:r>
      <w:r w:rsidR="00222E29" w:rsidRPr="00E914FB">
        <w:rPr>
          <w:rFonts w:cs="Arial"/>
        </w:rPr>
        <w:t>VIEKIRA PAK</w:t>
      </w:r>
      <w:r w:rsidRPr="00E914FB">
        <w:rPr>
          <w:rFonts w:cs="Arial"/>
        </w:rPr>
        <w:t xml:space="preserve"> with fluticasone or other glucocorticoids that are metabolised by CYP3A4. Concomitant use of inhaled glucocorticoids metabolised with CYP3A can increase systemic exposures of the glucocorticoids and cases of Cushing’s syndrome and subsequent adrenal suppression have been reported with ritonavir-containing regimens.  Concomitant use of </w:t>
      </w:r>
      <w:r w:rsidR="00222E29" w:rsidRPr="00E914FB">
        <w:rPr>
          <w:rFonts w:cs="Arial"/>
        </w:rPr>
        <w:t>VIEKIRA PAK</w:t>
      </w:r>
      <w:r w:rsidRPr="00E914FB">
        <w:rPr>
          <w:rFonts w:cs="Arial"/>
        </w:rPr>
        <w:t xml:space="preserve"> and glucocorticoids, particularly long-term use, should only be initiated if the potential benefit of treatment outweighs the risk of systemic corticosteroid effects.</w:t>
      </w:r>
    </w:p>
    <w:p w14:paraId="70DFCD7A" w14:textId="77777777" w:rsidR="00A7022D" w:rsidRPr="00064267" w:rsidRDefault="00A7022D" w:rsidP="00CC32CC">
      <w:pPr>
        <w:pStyle w:val="Heading2Unnumbered"/>
        <w:rPr>
          <w:b w:val="0"/>
          <w:i/>
          <w:sz w:val="22"/>
          <w:szCs w:val="22"/>
          <w:lang w:val="en-AU"/>
        </w:rPr>
      </w:pPr>
      <w:r w:rsidRPr="00064267">
        <w:rPr>
          <w:b w:val="0"/>
          <w:i/>
          <w:sz w:val="22"/>
          <w:szCs w:val="22"/>
          <w:lang w:val="en-AU"/>
        </w:rPr>
        <w:t>Use with Quetiapine</w:t>
      </w:r>
    </w:p>
    <w:p w14:paraId="54DAA3A0" w14:textId="77777777" w:rsidR="00A7022D" w:rsidRPr="00E914FB" w:rsidRDefault="00A7022D" w:rsidP="00CC32CC">
      <w:pPr>
        <w:autoSpaceDE w:val="0"/>
        <w:autoSpaceDN w:val="0"/>
        <w:adjustRightInd w:val="0"/>
        <w:spacing w:line="240" w:lineRule="auto"/>
        <w:jc w:val="both"/>
        <w:rPr>
          <w:rFonts w:ascii="Arial" w:hAnsi="Arial" w:cs="Arial"/>
        </w:rPr>
      </w:pPr>
      <w:r w:rsidRPr="00E914FB">
        <w:rPr>
          <w:rFonts w:eastAsia="TimesNewRoman" w:cstheme="minorHAnsi"/>
        </w:rPr>
        <w:t>The use of VIEKIRA PAK with quetiapine is not recommended due to increases in quetiapine exposure. If coadministration is necessary, reduce the quetiapine dose to 1/6</w:t>
      </w:r>
      <w:r w:rsidRPr="00E914FB">
        <w:rPr>
          <w:rFonts w:cstheme="minorHAnsi"/>
        </w:rPr>
        <w:t xml:space="preserve">th </w:t>
      </w:r>
      <w:r w:rsidRPr="00E914FB">
        <w:rPr>
          <w:rFonts w:eastAsia="TimesNewRoman" w:cstheme="minorHAnsi"/>
        </w:rPr>
        <w:t>of the current dose and monitor for quetiapine-associated adverse reactions. Refer to the quetiapine prescribing information for the recommendations on adverse reaction monitoring.</w:t>
      </w:r>
    </w:p>
    <w:p w14:paraId="0B24B251" w14:textId="77777777" w:rsidR="00A7022D" w:rsidRPr="00064267" w:rsidRDefault="00A7022D" w:rsidP="00CC32CC">
      <w:pPr>
        <w:pStyle w:val="Heading2Unnumbered"/>
        <w:rPr>
          <w:b w:val="0"/>
          <w:i/>
          <w:sz w:val="22"/>
          <w:szCs w:val="22"/>
          <w:lang w:val="en-AU"/>
        </w:rPr>
      </w:pPr>
      <w:r w:rsidRPr="00064267">
        <w:rPr>
          <w:b w:val="0"/>
          <w:i/>
          <w:sz w:val="22"/>
          <w:szCs w:val="22"/>
          <w:lang w:val="en-AU"/>
        </w:rPr>
        <w:t>Use with colchicine</w:t>
      </w:r>
    </w:p>
    <w:p w14:paraId="19D98ADF" w14:textId="133AD848" w:rsidR="00A7022D" w:rsidRPr="00E914FB" w:rsidRDefault="00A7022D" w:rsidP="00CC32CC">
      <w:pPr>
        <w:spacing w:line="240" w:lineRule="auto"/>
        <w:jc w:val="both"/>
        <w:rPr>
          <w:rFonts w:eastAsia="TimesNewRoman"/>
          <w:lang w:eastAsia="ja-JP"/>
        </w:rPr>
      </w:pPr>
      <w:r w:rsidRPr="00E914FB">
        <w:rPr>
          <w:rFonts w:eastAsia="TimesNewRoman"/>
          <w:lang w:eastAsia="ja-JP"/>
        </w:rPr>
        <w:t xml:space="preserve">The interaction between VIEKIRA PAK and colchicine has not been evaluated. A reduction in colchicine dosage or an interruption of colchicine treatment is recommended in patients with normal renal or hepatic function if treatment with VIEKIRA PAK is required. In patients with renal or hepatic impairment, use of colchicine with VIEKIRA PAK is contraindicated (see </w:t>
      </w:r>
      <w:r>
        <w:rPr>
          <w:rFonts w:eastAsia="TimesNewRoman"/>
          <w:lang w:eastAsia="ja-JP"/>
        </w:rPr>
        <w:t>CONTRAINDICATIONS</w:t>
      </w:r>
      <w:r w:rsidRPr="00E914FB">
        <w:rPr>
          <w:rFonts w:eastAsia="TimesNewRoman"/>
          <w:lang w:eastAsia="ja-JP"/>
        </w:rPr>
        <w:t>).</w:t>
      </w:r>
    </w:p>
    <w:p w14:paraId="7E9A7D89" w14:textId="77777777" w:rsidR="006D1C56" w:rsidRPr="00064267" w:rsidRDefault="006D1C56" w:rsidP="00CC32CC">
      <w:pPr>
        <w:pStyle w:val="Heading2Unnumbered"/>
        <w:rPr>
          <w:b w:val="0"/>
          <w:i/>
          <w:sz w:val="22"/>
          <w:szCs w:val="22"/>
          <w:lang w:val="en-AU"/>
        </w:rPr>
      </w:pPr>
      <w:r w:rsidRPr="00064267">
        <w:rPr>
          <w:b w:val="0"/>
          <w:i/>
          <w:sz w:val="22"/>
          <w:szCs w:val="22"/>
          <w:lang w:val="en-AU"/>
        </w:rPr>
        <w:t xml:space="preserve">Use with statins </w:t>
      </w:r>
    </w:p>
    <w:p w14:paraId="07CEF865" w14:textId="5388030B" w:rsidR="006D1C56" w:rsidRPr="00E914FB" w:rsidRDefault="006D1C56" w:rsidP="00CC32CC">
      <w:pPr>
        <w:tabs>
          <w:tab w:val="left" w:pos="0"/>
        </w:tabs>
        <w:spacing w:line="240" w:lineRule="auto"/>
        <w:rPr>
          <w:rFonts w:eastAsia="TimesNewRoman"/>
          <w:lang w:eastAsia="ja-JP"/>
        </w:rPr>
      </w:pPr>
      <w:r w:rsidRPr="00E914FB">
        <w:rPr>
          <w:rFonts w:eastAsia="TimesNewRoman"/>
          <w:lang w:eastAsia="ja-JP"/>
        </w:rPr>
        <w:t xml:space="preserve">Simvastatin and lovastatin are contraindicated (see </w:t>
      </w:r>
      <w:r w:rsidR="00AE1E4A" w:rsidRPr="00AE1E4A">
        <w:rPr>
          <w:rFonts w:eastAsia="TimesNewRoman"/>
          <w:lang w:eastAsia="ja-JP"/>
        </w:rPr>
        <w:t xml:space="preserve"> </w:t>
      </w:r>
      <w:r w:rsidR="00AE1E4A">
        <w:rPr>
          <w:rFonts w:eastAsia="TimesNewRoman"/>
          <w:lang w:eastAsia="ja-JP"/>
        </w:rPr>
        <w:t>CONTRAINDICATIONS</w:t>
      </w:r>
      <w:r w:rsidR="00D9317F">
        <w:rPr>
          <w:rFonts w:eastAsia="TimesNewRoman"/>
          <w:lang w:eastAsia="ja-JP"/>
        </w:rPr>
        <w:t xml:space="preserve"> </w:t>
      </w:r>
      <w:r w:rsidRPr="00E914FB">
        <w:rPr>
          <w:rFonts w:eastAsia="TimesNewRoman"/>
          <w:lang w:eastAsia="ja-JP"/>
        </w:rPr>
        <w:t>)</w:t>
      </w:r>
      <w:r w:rsidR="006260EF" w:rsidRPr="00E914FB">
        <w:rPr>
          <w:rFonts w:eastAsia="TimesNewRoman"/>
          <w:lang w:eastAsia="ja-JP"/>
        </w:rPr>
        <w:t>.</w:t>
      </w:r>
    </w:p>
    <w:p w14:paraId="2A1BE554" w14:textId="77777777" w:rsidR="006D1C56" w:rsidRPr="00064267" w:rsidRDefault="006D1C56" w:rsidP="00CC32CC">
      <w:pPr>
        <w:pStyle w:val="BodytextAgency"/>
        <w:spacing w:line="240" w:lineRule="auto"/>
        <w:rPr>
          <w:i/>
          <w:lang w:val="en-AU"/>
        </w:rPr>
      </w:pPr>
      <w:r w:rsidRPr="00064267">
        <w:rPr>
          <w:i/>
          <w:lang w:val="en-AU"/>
        </w:rPr>
        <w:t>Atorvastatin, Pitavastatin and fluvastatin</w:t>
      </w:r>
    </w:p>
    <w:p w14:paraId="0B39888F" w14:textId="1EF92272" w:rsidR="006D1C56" w:rsidRPr="00E914FB" w:rsidRDefault="006D1C56" w:rsidP="00CC32CC">
      <w:pPr>
        <w:spacing w:line="240" w:lineRule="auto"/>
        <w:jc w:val="both"/>
      </w:pPr>
      <w:r w:rsidRPr="00E914FB">
        <w:rPr>
          <w:rFonts w:eastAsia="TimesNewRoman"/>
          <w:lang w:eastAsia="ja-JP"/>
        </w:rPr>
        <w:t>The interactions between atorvastatin, pitavastatin and fluvastatin and VIEKIRA PAK have not been investigated. Theoretically, VIEKIRA PAK is expected to increase the exposure to atorvastatin, pitavastatin and fluvastatin. A temporary suspension of atorvastatin</w:t>
      </w:r>
      <w:r w:rsidR="006260EF" w:rsidRPr="00E914FB">
        <w:rPr>
          <w:rFonts w:eastAsia="TimesNewRoman"/>
          <w:lang w:eastAsia="ja-JP"/>
        </w:rPr>
        <w:t xml:space="preserve">, </w:t>
      </w:r>
      <w:r w:rsidRPr="00E914FB">
        <w:rPr>
          <w:rFonts w:eastAsia="TimesNewRoman"/>
          <w:lang w:eastAsia="ja-JP"/>
        </w:rPr>
        <w:t>pitavastatin</w:t>
      </w:r>
      <w:r w:rsidR="006260EF" w:rsidRPr="00E914FB">
        <w:rPr>
          <w:rFonts w:eastAsia="TimesNewRoman"/>
          <w:lang w:eastAsia="ja-JP"/>
        </w:rPr>
        <w:t xml:space="preserve">, </w:t>
      </w:r>
      <w:r w:rsidRPr="00E914FB">
        <w:rPr>
          <w:rFonts w:eastAsia="TimesNewRoman"/>
          <w:lang w:eastAsia="ja-JP"/>
        </w:rPr>
        <w:t>fluvastatin is recommended for the duration of treatment with VIEKIRA PAK. If statin treatment is required during the treatment period, a switch to a reduced dose of pravastatin</w:t>
      </w:r>
      <w:r w:rsidR="00B96A78" w:rsidRPr="00E914FB">
        <w:rPr>
          <w:rFonts w:eastAsia="TimesNewRoman"/>
          <w:lang w:eastAsia="ja-JP"/>
        </w:rPr>
        <w:t xml:space="preserve"> or </w:t>
      </w:r>
      <w:r w:rsidRPr="00E914FB">
        <w:rPr>
          <w:rFonts w:eastAsia="TimesNewRoman"/>
          <w:lang w:eastAsia="ja-JP"/>
        </w:rPr>
        <w:t xml:space="preserve">rosuvastatin is possible (see </w:t>
      </w:r>
      <w:r w:rsidR="00121436">
        <w:rPr>
          <w:rFonts w:eastAsia="TimesNewRoman"/>
          <w:lang w:eastAsia="ja-JP"/>
        </w:rPr>
        <w:t>Table 13</w:t>
      </w:r>
      <w:r w:rsidRPr="00E914FB">
        <w:rPr>
          <w:rFonts w:eastAsia="TimesNewRoman"/>
          <w:lang w:eastAsia="ja-JP"/>
        </w:rPr>
        <w:t>).</w:t>
      </w:r>
    </w:p>
    <w:p w14:paraId="22C03452" w14:textId="77777777" w:rsidR="00F77927" w:rsidRPr="00E914FB" w:rsidRDefault="00F77927" w:rsidP="00CC32CC">
      <w:pPr>
        <w:pStyle w:val="Heading2Unnumbered"/>
        <w:rPr>
          <w:rFonts w:eastAsia="TimesNewRoman"/>
          <w:b w:val="0"/>
          <w:lang w:val="en-AU"/>
        </w:rPr>
      </w:pPr>
      <w:r w:rsidRPr="00E914FB">
        <w:rPr>
          <w:rFonts w:eastAsia="TimesNewRoman"/>
          <w:sz w:val="22"/>
          <w:szCs w:val="22"/>
          <w:lang w:val="en-AU"/>
        </w:rPr>
        <w:t>Hepatic Impairment</w:t>
      </w:r>
    </w:p>
    <w:p w14:paraId="42A40455" w14:textId="6CBA2898" w:rsidR="00F77927" w:rsidRPr="00E914FB" w:rsidRDefault="00F77927" w:rsidP="00CC32CC">
      <w:pPr>
        <w:spacing w:line="240" w:lineRule="auto"/>
        <w:jc w:val="both"/>
        <w:rPr>
          <w:rStyle w:val="gtcitalic2"/>
          <w:rFonts w:cs="Arial"/>
          <w:i w:val="0"/>
        </w:rPr>
      </w:pPr>
      <w:r w:rsidRPr="00E914FB">
        <w:rPr>
          <w:rFonts w:cs="Arial"/>
        </w:rPr>
        <w:t xml:space="preserve">No dose adjustment of </w:t>
      </w:r>
      <w:r w:rsidR="00222E29" w:rsidRPr="00E914FB">
        <w:rPr>
          <w:rFonts w:cs="Arial"/>
        </w:rPr>
        <w:t>VIEKIRA PAK</w:t>
      </w:r>
      <w:r w:rsidRPr="00E914FB">
        <w:rPr>
          <w:rFonts w:cs="Arial"/>
        </w:rPr>
        <w:t xml:space="preserve"> is required in patients with mild hepatic impairment (Child-Pugh A). The safety and efficacy of </w:t>
      </w:r>
      <w:r w:rsidR="00222E29" w:rsidRPr="00E914FB">
        <w:rPr>
          <w:rFonts w:cs="Arial"/>
        </w:rPr>
        <w:t>VIEKIRA PAK</w:t>
      </w:r>
      <w:r w:rsidRPr="00E914FB">
        <w:rPr>
          <w:rFonts w:cs="Arial"/>
        </w:rPr>
        <w:t xml:space="preserve"> have not been established in HCV-infected patients with moderate hepatic impairment (Child-Pugh B); however, no dose adjustment is expected to be required based on pharmacokinetic studies. </w:t>
      </w:r>
      <w:r w:rsidR="00222E29" w:rsidRPr="00E914FB">
        <w:rPr>
          <w:rFonts w:cs="Arial"/>
        </w:rPr>
        <w:t>VIEKIRA PAK</w:t>
      </w:r>
      <w:r w:rsidRPr="00E914FB">
        <w:rPr>
          <w:rStyle w:val="gtcitalic2"/>
          <w:rFonts w:cs="Arial"/>
          <w:i w:val="0"/>
        </w:rPr>
        <w:t xml:space="preserve"> is contraindicated in patients with severe hepatic impairment (Child-Pugh C) (see CONTRAINDICATIONS and PRECAUTIONS).</w:t>
      </w:r>
    </w:p>
    <w:p w14:paraId="03507504" w14:textId="025458D2" w:rsidR="00CF5464" w:rsidRPr="00E914FB" w:rsidRDefault="00CF5464" w:rsidP="00CC32CC">
      <w:pPr>
        <w:pStyle w:val="Heading2Unnumbered"/>
        <w:rPr>
          <w:sz w:val="22"/>
          <w:szCs w:val="22"/>
          <w:lang w:val="en-AU"/>
        </w:rPr>
      </w:pPr>
      <w:r w:rsidRPr="00E914FB">
        <w:rPr>
          <w:sz w:val="22"/>
          <w:szCs w:val="22"/>
          <w:lang w:val="en-AU"/>
        </w:rPr>
        <w:lastRenderedPageBreak/>
        <w:t xml:space="preserve">Treatment of Patients with Other HCV Genotypes </w:t>
      </w:r>
    </w:p>
    <w:p w14:paraId="2F9ABEA2" w14:textId="3664AAFF" w:rsidR="00DA417B" w:rsidRPr="00E914FB" w:rsidRDefault="00356BCD" w:rsidP="00CC32CC">
      <w:pPr>
        <w:spacing w:line="240" w:lineRule="auto"/>
        <w:rPr>
          <w:rFonts w:cstheme="minorHAnsi"/>
        </w:rPr>
      </w:pPr>
      <w:r w:rsidRPr="00E914FB">
        <w:rPr>
          <w:rFonts w:cstheme="minorHAnsi"/>
        </w:rPr>
        <w:t>The safety and efficacy of VIEKIRA PAK has not been established in patients with HCV genotypes other than genotype 1.</w:t>
      </w:r>
    </w:p>
    <w:p w14:paraId="2F9ABEB2" w14:textId="77777777" w:rsidR="00DA417B" w:rsidRPr="00337D74" w:rsidRDefault="00356BCD" w:rsidP="00CC32CC">
      <w:pPr>
        <w:pStyle w:val="Heading2Unnumbered"/>
        <w:rPr>
          <w:sz w:val="22"/>
          <w:szCs w:val="22"/>
          <w:lang w:val="en-AU"/>
        </w:rPr>
      </w:pPr>
      <w:r w:rsidRPr="00337D74">
        <w:rPr>
          <w:sz w:val="22"/>
          <w:szCs w:val="22"/>
          <w:lang w:val="en-AU"/>
        </w:rPr>
        <w:t>Effects on Fertility</w:t>
      </w:r>
    </w:p>
    <w:p w14:paraId="3672AA67" w14:textId="2EE438A0" w:rsidR="009B75A1" w:rsidRPr="00E914FB" w:rsidRDefault="009B75A1" w:rsidP="00CC32CC">
      <w:pPr>
        <w:spacing w:line="240" w:lineRule="auto"/>
        <w:jc w:val="both"/>
        <w:rPr>
          <w:rFonts w:cs="Arial"/>
          <w:i/>
        </w:rPr>
      </w:pPr>
      <w:r w:rsidRPr="00E914FB">
        <w:rPr>
          <w:rFonts w:cs="Arial"/>
          <w:i/>
        </w:rPr>
        <w:t>Paritaprevir/ritonavir</w:t>
      </w:r>
    </w:p>
    <w:p w14:paraId="67FFF17B" w14:textId="77777777" w:rsidR="009B75A1" w:rsidRPr="00E914FB" w:rsidRDefault="009B75A1" w:rsidP="00CC32CC">
      <w:pPr>
        <w:spacing w:line="240" w:lineRule="auto"/>
        <w:jc w:val="both"/>
        <w:rPr>
          <w:rFonts w:cs="Arial"/>
        </w:rPr>
      </w:pPr>
      <w:r w:rsidRPr="00E914FB">
        <w:rPr>
          <w:rFonts w:cs="Arial"/>
        </w:rPr>
        <w:t>Paritaprevir/ritonavir had no effects on embryofetal viability or on fertility when evaluated in rats up to the highest dose of 300/30 mg/kg/day.  Paritaprevir and ritonavir AUC exposures at this dosage were approximately 2 and 3-fold the exposure in humans at the recommended clinical dose.</w:t>
      </w:r>
    </w:p>
    <w:p w14:paraId="60DFE123" w14:textId="045D2500" w:rsidR="009B75A1" w:rsidRPr="00E914FB" w:rsidRDefault="009B75A1" w:rsidP="00CC32CC">
      <w:pPr>
        <w:spacing w:line="240" w:lineRule="auto"/>
        <w:jc w:val="both"/>
        <w:rPr>
          <w:rFonts w:cs="Arial"/>
          <w:i/>
        </w:rPr>
      </w:pPr>
      <w:r w:rsidRPr="00E914FB">
        <w:rPr>
          <w:rFonts w:cs="Arial"/>
          <w:i/>
        </w:rPr>
        <w:t>Ombitasvir</w:t>
      </w:r>
    </w:p>
    <w:p w14:paraId="07CCD34F" w14:textId="77777777" w:rsidR="009B75A1" w:rsidRPr="00E914FB" w:rsidRDefault="009B75A1" w:rsidP="00CC32CC">
      <w:pPr>
        <w:spacing w:line="240" w:lineRule="auto"/>
        <w:jc w:val="both"/>
        <w:rPr>
          <w:rFonts w:cs="Arial"/>
        </w:rPr>
      </w:pPr>
      <w:r w:rsidRPr="00E914FB">
        <w:rPr>
          <w:rFonts w:cs="Arial"/>
        </w:rPr>
        <w:t>Ombitasvir had no effects on embryofetal viability or on fertility when evaluated in mice up to the highest dose of 200 mg/kg/day.  Ombitasvir AUC exposures at this dosage were approximately 23-fold (female) or 29-fold (male) the exposure in humans at the recommended clinical dose.</w:t>
      </w:r>
    </w:p>
    <w:p w14:paraId="57D33E23" w14:textId="0461206F" w:rsidR="009B75A1" w:rsidRPr="00E914FB" w:rsidRDefault="009B75A1" w:rsidP="00CC32CC">
      <w:pPr>
        <w:spacing w:line="240" w:lineRule="auto"/>
        <w:rPr>
          <w:rFonts w:cs="Arial"/>
          <w:i/>
        </w:rPr>
      </w:pPr>
      <w:r w:rsidRPr="00E914FB">
        <w:rPr>
          <w:rFonts w:cs="Arial"/>
          <w:i/>
        </w:rPr>
        <w:t>Dasabuvir</w:t>
      </w:r>
    </w:p>
    <w:p w14:paraId="2F9ABEBC" w14:textId="5E03A6A5" w:rsidR="00DA417B" w:rsidRPr="00E914FB" w:rsidRDefault="009B75A1" w:rsidP="00CC32CC">
      <w:pPr>
        <w:spacing w:line="240" w:lineRule="auto"/>
        <w:jc w:val="both"/>
        <w:rPr>
          <w:rFonts w:cs="Arial"/>
          <w:sz w:val="23"/>
          <w:szCs w:val="23"/>
        </w:rPr>
      </w:pPr>
      <w:r w:rsidRPr="00E914FB">
        <w:rPr>
          <w:rFonts w:cs="Arial"/>
        </w:rPr>
        <w:t>Dasabuvir had no effects on embryofetal viability or on fertility when evaluated in rats up to the highest dosage of 800 mg/kg/day.  Dasabuvir AUC exposures at this dosage were approximately 16-fold the exposure in humans at the recommended clinical dose.</w:t>
      </w:r>
      <w:r w:rsidRPr="00E914FB">
        <w:rPr>
          <w:rFonts w:cs="Arial"/>
          <w:sz w:val="23"/>
          <w:szCs w:val="23"/>
        </w:rPr>
        <w:t xml:space="preserve"> </w:t>
      </w:r>
      <w:r w:rsidR="00356BCD" w:rsidRPr="00E914FB">
        <w:rPr>
          <w:rFonts w:cs="Arial"/>
          <w:sz w:val="23"/>
          <w:szCs w:val="23"/>
        </w:rPr>
        <w:t xml:space="preserve">   </w:t>
      </w:r>
    </w:p>
    <w:p w14:paraId="2F9ABEBD" w14:textId="77777777" w:rsidR="00DA417B" w:rsidRPr="00E914FB" w:rsidRDefault="00356BCD" w:rsidP="00CC32CC">
      <w:pPr>
        <w:pStyle w:val="Heading2"/>
        <w:keepLines w:val="0"/>
        <w:spacing w:before="120" w:after="120" w:line="240" w:lineRule="auto"/>
        <w:jc w:val="both"/>
        <w:rPr>
          <w:rFonts w:ascii="Arial" w:eastAsia="Times New Roman" w:hAnsi="Arial" w:cs="Times New Roman"/>
          <w:bCs w:val="0"/>
          <w:color w:val="auto"/>
          <w:sz w:val="22"/>
          <w:szCs w:val="20"/>
        </w:rPr>
      </w:pPr>
      <w:bookmarkStart w:id="17" w:name="_Toc383787402"/>
      <w:r w:rsidRPr="00E914FB">
        <w:rPr>
          <w:rFonts w:ascii="Arial" w:eastAsia="Times New Roman" w:hAnsi="Arial" w:cs="Times New Roman"/>
          <w:bCs w:val="0"/>
          <w:color w:val="auto"/>
          <w:sz w:val="22"/>
          <w:szCs w:val="20"/>
        </w:rPr>
        <w:t>Use in Pregnancy</w:t>
      </w:r>
      <w:bookmarkEnd w:id="17"/>
    </w:p>
    <w:p w14:paraId="2F9ABEBE" w14:textId="00FBEFE0" w:rsidR="00DA417B" w:rsidRPr="00E914FB" w:rsidRDefault="00356BCD" w:rsidP="00CC32CC">
      <w:pPr>
        <w:spacing w:line="240" w:lineRule="auto"/>
        <w:rPr>
          <w:rFonts w:cs="Arial"/>
          <w:b/>
        </w:rPr>
      </w:pPr>
      <w:r w:rsidRPr="00E914FB">
        <w:rPr>
          <w:rFonts w:cs="Arial"/>
          <w:b/>
        </w:rPr>
        <w:t>Pregnancy Category B</w:t>
      </w:r>
      <w:r w:rsidR="00B05056" w:rsidRPr="00E914FB">
        <w:rPr>
          <w:rFonts w:cs="Arial"/>
          <w:b/>
        </w:rPr>
        <w:t>3</w:t>
      </w:r>
      <w:r w:rsidRPr="00E914FB">
        <w:rPr>
          <w:rFonts w:cs="Arial"/>
          <w:b/>
        </w:rPr>
        <w:t xml:space="preserve">: VIEKIRA PAK </w:t>
      </w:r>
    </w:p>
    <w:p w14:paraId="7A167D9E" w14:textId="68F7EABB" w:rsidR="009B75A1" w:rsidRPr="00E914FB" w:rsidRDefault="009B75A1" w:rsidP="00CC32CC">
      <w:pPr>
        <w:spacing w:line="240" w:lineRule="auto"/>
        <w:jc w:val="both"/>
        <w:rPr>
          <w:rFonts w:cs="Arial"/>
          <w:color w:val="000000"/>
        </w:rPr>
      </w:pPr>
      <w:r w:rsidRPr="00E914FB">
        <w:rPr>
          <w:rFonts w:cs="Arial"/>
          <w:color w:val="000000"/>
        </w:rPr>
        <w:t xml:space="preserve">Since there are no adequate and well-controlled studies with </w:t>
      </w:r>
      <w:r w:rsidR="00222E29" w:rsidRPr="00E914FB">
        <w:rPr>
          <w:rFonts w:cs="Arial"/>
          <w:color w:val="000000"/>
        </w:rPr>
        <w:t>VIEKIRA PAK</w:t>
      </w:r>
      <w:r w:rsidRPr="00E914FB">
        <w:rPr>
          <w:rFonts w:cs="Arial"/>
          <w:color w:val="000000"/>
        </w:rPr>
        <w:t xml:space="preserve"> in pregnant women, it should be used during pregnancy only if the benefits outweigh the risks.</w:t>
      </w:r>
    </w:p>
    <w:p w14:paraId="4BDE11F4" w14:textId="77777777" w:rsidR="009B75A1" w:rsidRPr="00E914FB" w:rsidRDefault="009B75A1" w:rsidP="00CC32CC">
      <w:pPr>
        <w:spacing w:line="240" w:lineRule="auto"/>
        <w:jc w:val="both"/>
        <w:rPr>
          <w:rFonts w:cs="Arial"/>
          <w:color w:val="000000"/>
        </w:rPr>
      </w:pPr>
      <w:r w:rsidRPr="00E914FB">
        <w:rPr>
          <w:rFonts w:cs="Arial"/>
          <w:color w:val="000000"/>
        </w:rPr>
        <w:t xml:space="preserve">No effects on embryofetal development have been noted in studies in animals with paritaprevir/ritonavir (in combination), ombitasvir and its major inactive human metabolites (M29, M36) or dasabuvir.  For paritaprevir/ritonavir, the highest doses tested produced exposures equal to 98-fold (mouse) or 8-fold (rat) (for paritaprevir and 8-fold (mouse) or 3-fold (rat) for ritonavir) the exposures in humans at the recommended clinical doses.  For ombitasvir, the highest dose tested produced exposures equal to 28-fold (mouse) or 4-fold (rabbit) the exposures in humans at the recommended clinical dose.  The highest doses of the major, inactive human metabolites similarly tested produced exposures approximately 26 times higher in mice than in humans at the recommended clinical dose. </w:t>
      </w:r>
    </w:p>
    <w:p w14:paraId="57476A9A" w14:textId="2163ABB6" w:rsidR="00B05056" w:rsidRPr="00E914FB" w:rsidRDefault="009B75A1" w:rsidP="00CC32CC">
      <w:pPr>
        <w:spacing w:line="240" w:lineRule="auto"/>
        <w:jc w:val="both"/>
        <w:rPr>
          <w:rFonts w:cs="Arial"/>
          <w:color w:val="000000"/>
        </w:rPr>
      </w:pPr>
      <w:r w:rsidRPr="00E914FB">
        <w:rPr>
          <w:iCs/>
        </w:rPr>
        <w:t xml:space="preserve">Developmental toxicity has been observed in embryofetal development studies with ritonavir alone. In rats, early resorptions, decreased fetal body weight and ossification delays and developmental variations occurred at a maternally toxic dosage of 75 mg/kg/day (5-fold the exposure in humans at the recommended clinical dose). A slight increase in the incidence of cryptorchidism was also noted in rats given 35 mg/kg/day (4-fold the exposure in humans at the recommended clinical dose). Developmental toxicity observed in rabbits (resorptions, decreased litter size and decreased fetal weights) also occurred at a maternally toxic dosage of 110 mg/kg/day. </w:t>
      </w:r>
      <w:r w:rsidRPr="00E914FB">
        <w:rPr>
          <w:rFonts w:cs="Arial"/>
          <w:color w:val="000000"/>
        </w:rPr>
        <w:t xml:space="preserve">For dasabuvir, the highest dose tested produced exposures equal to 24-fold (rat) or 6-fold (rabbit) the exposures in humans at the recommended clinical dose. </w:t>
      </w:r>
      <w:r w:rsidRPr="00E914FB">
        <w:t>Developmental effects have not been identified in humans exposed to ritonavir during pregnancy nor has there been an association with cryptorchidism.</w:t>
      </w:r>
    </w:p>
    <w:p w14:paraId="6CDD8CA4" w14:textId="77777777" w:rsidR="00FD4AE1" w:rsidRPr="00E914FB" w:rsidRDefault="00FD4AE1" w:rsidP="00CC32CC">
      <w:pPr>
        <w:pStyle w:val="Heading2"/>
        <w:keepLines w:val="0"/>
        <w:spacing w:before="120" w:after="120" w:line="240" w:lineRule="auto"/>
        <w:jc w:val="both"/>
        <w:rPr>
          <w:rFonts w:ascii="Arial" w:eastAsia="Times New Roman" w:hAnsi="Arial" w:cs="Times New Roman"/>
          <w:bCs w:val="0"/>
          <w:color w:val="auto"/>
          <w:sz w:val="22"/>
          <w:szCs w:val="20"/>
        </w:rPr>
      </w:pPr>
      <w:r w:rsidRPr="00E914FB">
        <w:rPr>
          <w:rFonts w:ascii="Arial" w:eastAsia="Times New Roman" w:hAnsi="Arial" w:cs="Times New Roman"/>
          <w:bCs w:val="0"/>
          <w:color w:val="auto"/>
          <w:sz w:val="22"/>
          <w:szCs w:val="20"/>
        </w:rPr>
        <w:lastRenderedPageBreak/>
        <w:t>Use in Lactation</w:t>
      </w:r>
    </w:p>
    <w:p w14:paraId="0A695928" w14:textId="131D0E88" w:rsidR="00FD4AE1" w:rsidRPr="00E914FB" w:rsidRDefault="00FD4AE1" w:rsidP="00CC32CC">
      <w:pPr>
        <w:spacing w:line="240" w:lineRule="auto"/>
        <w:jc w:val="both"/>
        <w:rPr>
          <w:rFonts w:eastAsia="Arial" w:cs="Arial"/>
        </w:rPr>
      </w:pPr>
      <w:r w:rsidRPr="00E914FB">
        <w:rPr>
          <w:rFonts w:cs="Arial"/>
        </w:rPr>
        <w:t xml:space="preserve">It is not known whether paritaprevir/ritonavir, ombitasvir, dasabuvir and their metabolites or ribavirin are excreted in human breast milk.  Paritaprevir and its hydrolysis product M13, unchanged ombitasvir and dasabuvir were the predominant components observed in the milk of lactating rats, without effect on nursing pups. </w:t>
      </w:r>
    </w:p>
    <w:p w14:paraId="068E0477" w14:textId="77777777" w:rsidR="00FD4AE1" w:rsidRPr="00E914FB" w:rsidRDefault="00FD4AE1" w:rsidP="00CC32CC">
      <w:pPr>
        <w:spacing w:line="240" w:lineRule="auto"/>
        <w:jc w:val="both"/>
        <w:rPr>
          <w:rFonts w:cs="Arial"/>
        </w:rPr>
      </w:pPr>
      <w:r w:rsidRPr="00E914FB">
        <w:rPr>
          <w:rFonts w:cs="Arial"/>
        </w:rPr>
        <w:t>Because of the potential for adverse reactions in nursing infants, breast feeding must be discontinued prior to initiation of treatment.</w:t>
      </w:r>
    </w:p>
    <w:p w14:paraId="114DEDCC" w14:textId="77777777" w:rsidR="00FD4AE1" w:rsidRPr="00E914FB" w:rsidRDefault="00FD4AE1" w:rsidP="00CC32CC">
      <w:pPr>
        <w:pStyle w:val="Heading2"/>
        <w:keepLines w:val="0"/>
        <w:spacing w:before="120" w:after="120" w:line="240" w:lineRule="auto"/>
        <w:jc w:val="both"/>
        <w:rPr>
          <w:rFonts w:ascii="Arial" w:eastAsia="Times New Roman" w:hAnsi="Arial" w:cs="Times New Roman"/>
          <w:bCs w:val="0"/>
          <w:color w:val="auto"/>
          <w:sz w:val="22"/>
          <w:szCs w:val="20"/>
        </w:rPr>
      </w:pPr>
      <w:bookmarkStart w:id="18" w:name="_Toc383787404"/>
      <w:r w:rsidRPr="00E914FB">
        <w:rPr>
          <w:rFonts w:ascii="Arial" w:eastAsia="Times New Roman" w:hAnsi="Arial" w:cs="Times New Roman"/>
          <w:bCs w:val="0"/>
          <w:color w:val="auto"/>
          <w:sz w:val="22"/>
          <w:szCs w:val="20"/>
        </w:rPr>
        <w:t>Paediatric Use</w:t>
      </w:r>
      <w:bookmarkEnd w:id="18"/>
    </w:p>
    <w:p w14:paraId="75A87729" w14:textId="138BCED6" w:rsidR="00FD4AE1" w:rsidRPr="00E914FB" w:rsidRDefault="00FD4AE1" w:rsidP="00CC32CC">
      <w:pPr>
        <w:spacing w:line="240" w:lineRule="auto"/>
        <w:jc w:val="both"/>
        <w:rPr>
          <w:rFonts w:cs="Arial"/>
          <w:spacing w:val="1"/>
        </w:rPr>
      </w:pPr>
      <w:r w:rsidRPr="00E914FB">
        <w:rPr>
          <w:rFonts w:cs="Arial"/>
        </w:rPr>
        <w:t xml:space="preserve">Safety and effectiveness of </w:t>
      </w:r>
      <w:r w:rsidR="00222E29" w:rsidRPr="00E914FB">
        <w:rPr>
          <w:rFonts w:cs="Arial"/>
        </w:rPr>
        <w:t>VIEKIRA PAK</w:t>
      </w:r>
      <w:r w:rsidRPr="00E914FB">
        <w:rPr>
          <w:rFonts w:cs="Arial"/>
        </w:rPr>
        <w:t xml:space="preserve"> in children less than 18 years of age have not been established. </w:t>
      </w:r>
    </w:p>
    <w:p w14:paraId="5AF047BE" w14:textId="77777777" w:rsidR="00FD4AE1" w:rsidRPr="00E914FB" w:rsidRDefault="00FD4AE1" w:rsidP="00CC32CC">
      <w:pPr>
        <w:pStyle w:val="Heading2"/>
        <w:keepLines w:val="0"/>
        <w:spacing w:before="120" w:after="120" w:line="240" w:lineRule="auto"/>
        <w:jc w:val="both"/>
        <w:rPr>
          <w:rFonts w:ascii="Arial" w:eastAsia="Times New Roman" w:hAnsi="Arial" w:cs="Times New Roman"/>
          <w:bCs w:val="0"/>
          <w:color w:val="auto"/>
          <w:sz w:val="22"/>
          <w:szCs w:val="20"/>
        </w:rPr>
      </w:pPr>
      <w:bookmarkStart w:id="19" w:name="_Toc383787405"/>
      <w:r w:rsidRPr="00E914FB">
        <w:rPr>
          <w:rFonts w:ascii="Arial" w:eastAsia="Times New Roman" w:hAnsi="Arial" w:cs="Times New Roman"/>
          <w:bCs w:val="0"/>
          <w:color w:val="auto"/>
          <w:sz w:val="22"/>
          <w:szCs w:val="20"/>
        </w:rPr>
        <w:t>Use in the Elderly</w:t>
      </w:r>
      <w:bookmarkEnd w:id="19"/>
    </w:p>
    <w:p w14:paraId="2F9ABED6" w14:textId="403A1C3C" w:rsidR="00DA417B" w:rsidRPr="00E914FB" w:rsidRDefault="00FD4AE1" w:rsidP="00CC32CC">
      <w:pPr>
        <w:spacing w:line="240" w:lineRule="auto"/>
        <w:rPr>
          <w:rFonts w:cs="Arial"/>
        </w:rPr>
      </w:pPr>
      <w:r w:rsidRPr="00E914FB">
        <w:rPr>
          <w:rFonts w:cs="Arial"/>
        </w:rPr>
        <w:t>No dose adjustment of VIEKIRA PAK is warranted in elderly patients. In Phase 3 clinical trials, 8.5% (174/2053) of subjects were age 65 or over. No overall differences in safety or effectiveness were observed between these subjects and younger subjects, and other reported clinical experience has not identified differences in responses between the elderly and younger subjects. The safety and effectiveness of VIEKIRA PAK has not been established in patients age</w:t>
      </w:r>
      <w:r w:rsidR="00207867" w:rsidRPr="00E914FB">
        <w:rPr>
          <w:rFonts w:cs="Arial"/>
        </w:rPr>
        <w:t>d</w:t>
      </w:r>
      <w:r w:rsidRPr="00E914FB">
        <w:rPr>
          <w:rFonts w:cs="Arial"/>
        </w:rPr>
        <w:t xml:space="preserve"> 70 years or over.</w:t>
      </w:r>
    </w:p>
    <w:p w14:paraId="1FFA0DCB" w14:textId="77777777" w:rsidR="00FD4AE1" w:rsidRPr="00E914FB" w:rsidRDefault="00FD4AE1" w:rsidP="00CC32CC">
      <w:pPr>
        <w:pStyle w:val="Heading2"/>
        <w:keepLines w:val="0"/>
        <w:spacing w:before="120" w:after="120" w:line="240" w:lineRule="auto"/>
        <w:jc w:val="both"/>
        <w:rPr>
          <w:rFonts w:ascii="Arial" w:eastAsia="Times New Roman" w:hAnsi="Arial" w:cs="Times New Roman"/>
          <w:bCs w:val="0"/>
          <w:color w:val="auto"/>
          <w:sz w:val="22"/>
          <w:szCs w:val="20"/>
        </w:rPr>
      </w:pPr>
      <w:bookmarkStart w:id="20" w:name="_Toc383787407"/>
      <w:r w:rsidRPr="00E914FB">
        <w:rPr>
          <w:rFonts w:ascii="Arial" w:eastAsia="Times New Roman" w:hAnsi="Arial" w:cs="Times New Roman"/>
          <w:bCs w:val="0"/>
          <w:color w:val="auto"/>
          <w:sz w:val="22"/>
          <w:szCs w:val="20"/>
        </w:rPr>
        <w:t>Genotoxicity</w:t>
      </w:r>
      <w:bookmarkEnd w:id="20"/>
    </w:p>
    <w:p w14:paraId="56EFEDE0" w14:textId="0F8D4278" w:rsidR="00FD4AE1" w:rsidRPr="00E914FB" w:rsidRDefault="00FD4AE1" w:rsidP="00CC32CC">
      <w:pPr>
        <w:spacing w:line="240" w:lineRule="auto"/>
        <w:jc w:val="both"/>
        <w:rPr>
          <w:rFonts w:eastAsia="MS Mincho" w:cs="Arial"/>
          <w:i/>
          <w:lang w:eastAsia="ja-JP"/>
        </w:rPr>
      </w:pPr>
      <w:r w:rsidRPr="00E914FB">
        <w:rPr>
          <w:rFonts w:eastAsia="MS Mincho" w:cs="Arial"/>
          <w:i/>
          <w:lang w:eastAsia="ja-JP"/>
        </w:rPr>
        <w:t>Paritaprevir</w:t>
      </w:r>
    </w:p>
    <w:p w14:paraId="4D858F01" w14:textId="77777777" w:rsidR="00FD4AE1" w:rsidRPr="00E914FB" w:rsidRDefault="00FD4AE1" w:rsidP="00CC32CC">
      <w:pPr>
        <w:spacing w:line="240" w:lineRule="auto"/>
        <w:jc w:val="both"/>
        <w:rPr>
          <w:rFonts w:cs="Arial"/>
        </w:rPr>
      </w:pPr>
      <w:r w:rsidRPr="00E914FB">
        <w:rPr>
          <w:rFonts w:cs="Arial"/>
        </w:rPr>
        <w:t xml:space="preserve">Paritaprevir was positive in an </w:t>
      </w:r>
      <w:r w:rsidRPr="00E914FB">
        <w:rPr>
          <w:rFonts w:cs="Arial"/>
          <w:i/>
        </w:rPr>
        <w:t>in vitro</w:t>
      </w:r>
      <w:r w:rsidRPr="00E914FB">
        <w:rPr>
          <w:rFonts w:cs="Arial"/>
        </w:rPr>
        <w:t xml:space="preserve"> human chromosome aberration test. Paritaprevir was negative in a bacterial mutation assay, and in two </w:t>
      </w:r>
      <w:r w:rsidRPr="00E914FB">
        <w:rPr>
          <w:rFonts w:cs="Arial"/>
          <w:i/>
        </w:rPr>
        <w:t>in vivo</w:t>
      </w:r>
      <w:r w:rsidRPr="00E914FB">
        <w:rPr>
          <w:rFonts w:cs="Arial"/>
        </w:rPr>
        <w:t xml:space="preserve"> genetic toxicology assays (rat bone marrow micronucleus and rat liver Comet tests).  </w:t>
      </w:r>
    </w:p>
    <w:p w14:paraId="17CBF108" w14:textId="393BA7CC" w:rsidR="00FD4AE1" w:rsidRPr="00E914FB" w:rsidRDefault="00FD4AE1" w:rsidP="00CC32CC">
      <w:pPr>
        <w:spacing w:line="240" w:lineRule="auto"/>
        <w:jc w:val="both"/>
        <w:rPr>
          <w:rFonts w:eastAsia="MS Mincho" w:cs="Arial"/>
          <w:i/>
          <w:lang w:eastAsia="ja-JP"/>
        </w:rPr>
      </w:pPr>
      <w:r w:rsidRPr="00E914FB">
        <w:rPr>
          <w:rFonts w:eastAsia="MS Mincho" w:cs="Arial"/>
          <w:i/>
          <w:lang w:eastAsia="ja-JP"/>
        </w:rPr>
        <w:t>Ombitasvir</w:t>
      </w:r>
    </w:p>
    <w:p w14:paraId="05EA8751" w14:textId="77777777" w:rsidR="00FD4AE1" w:rsidRPr="00E914FB" w:rsidRDefault="00FD4AE1" w:rsidP="00CC32CC">
      <w:pPr>
        <w:spacing w:line="240" w:lineRule="auto"/>
        <w:jc w:val="both"/>
        <w:rPr>
          <w:rFonts w:cs="Arial"/>
        </w:rPr>
      </w:pPr>
      <w:r w:rsidRPr="00E914FB">
        <w:rPr>
          <w:rFonts w:cs="Arial"/>
        </w:rPr>
        <w:t xml:space="preserve">Ombitasvir and its major inactive human metabolites (M29, M36) were not genotoxic in a battery of </w:t>
      </w:r>
      <w:r w:rsidRPr="00E914FB">
        <w:rPr>
          <w:rFonts w:cs="Arial"/>
          <w:i/>
        </w:rPr>
        <w:t>in vitro</w:t>
      </w:r>
      <w:r w:rsidRPr="00E914FB">
        <w:rPr>
          <w:rFonts w:cs="Arial"/>
        </w:rPr>
        <w:t xml:space="preserve"> or </w:t>
      </w:r>
      <w:r w:rsidRPr="00E914FB">
        <w:rPr>
          <w:rFonts w:cs="Arial"/>
          <w:i/>
        </w:rPr>
        <w:t>in vivo</w:t>
      </w:r>
      <w:r w:rsidRPr="00E914FB">
        <w:rPr>
          <w:rFonts w:cs="Arial"/>
        </w:rPr>
        <w:t xml:space="preserve"> assays, including bacterial mutagenicity, chromosome aberration using human peripheral blood lymphocytes and in vivo mouse micronucleus assays.</w:t>
      </w:r>
    </w:p>
    <w:p w14:paraId="1155E5E0" w14:textId="40A10B69" w:rsidR="00FD4AE1" w:rsidRPr="00E914FB" w:rsidRDefault="00FD4AE1" w:rsidP="00CC32CC">
      <w:pPr>
        <w:spacing w:line="240" w:lineRule="auto"/>
        <w:jc w:val="both"/>
        <w:rPr>
          <w:rFonts w:eastAsia="MS Mincho" w:cs="Arial"/>
          <w:i/>
          <w:lang w:eastAsia="ja-JP"/>
        </w:rPr>
      </w:pPr>
      <w:r w:rsidRPr="00E914FB">
        <w:rPr>
          <w:rFonts w:eastAsia="MS Mincho" w:cs="Arial"/>
          <w:i/>
          <w:lang w:eastAsia="ja-JP"/>
        </w:rPr>
        <w:t>Dasabuvir</w:t>
      </w:r>
    </w:p>
    <w:p w14:paraId="276085BD" w14:textId="77777777" w:rsidR="00FD4AE1" w:rsidRPr="003D0EEC" w:rsidRDefault="00FD4AE1" w:rsidP="00CC32CC">
      <w:pPr>
        <w:spacing w:line="240" w:lineRule="auto"/>
        <w:jc w:val="both"/>
        <w:rPr>
          <w:rFonts w:cs="Arial"/>
        </w:rPr>
      </w:pPr>
      <w:r w:rsidRPr="00B60A6C">
        <w:rPr>
          <w:rFonts w:cs="Arial"/>
        </w:rPr>
        <w:t xml:space="preserve">Dasabuvir </w:t>
      </w:r>
      <w:r w:rsidRPr="003D0EEC">
        <w:rPr>
          <w:rFonts w:cs="Arial"/>
        </w:rPr>
        <w:t xml:space="preserve">was not genotoxic in a battery of </w:t>
      </w:r>
      <w:r w:rsidRPr="003D0EEC">
        <w:rPr>
          <w:rFonts w:cs="Arial"/>
          <w:i/>
          <w:iCs/>
        </w:rPr>
        <w:t xml:space="preserve">in vitro </w:t>
      </w:r>
      <w:r w:rsidRPr="003D0EEC">
        <w:rPr>
          <w:rFonts w:cs="Arial"/>
        </w:rPr>
        <w:t xml:space="preserve">or </w:t>
      </w:r>
      <w:r w:rsidRPr="003D0EEC">
        <w:rPr>
          <w:rFonts w:cs="Arial"/>
          <w:i/>
          <w:iCs/>
        </w:rPr>
        <w:t xml:space="preserve">in vivo </w:t>
      </w:r>
      <w:r w:rsidRPr="003D0EEC">
        <w:rPr>
          <w:rFonts w:cs="Arial"/>
        </w:rPr>
        <w:t xml:space="preserve">assays, including bacterial mutagenicity, chromosome aberration using human peripheral blood lymphocytes and </w:t>
      </w:r>
      <w:r w:rsidRPr="003D0EEC">
        <w:rPr>
          <w:rFonts w:cs="Arial"/>
          <w:i/>
          <w:iCs/>
        </w:rPr>
        <w:t xml:space="preserve">in vivo </w:t>
      </w:r>
      <w:r w:rsidRPr="003D0EEC">
        <w:rPr>
          <w:rFonts w:cs="Arial"/>
        </w:rPr>
        <w:t>rat micronucleus assays.</w:t>
      </w:r>
    </w:p>
    <w:p w14:paraId="3CF76273" w14:textId="7D3F8DDD" w:rsidR="00FD4AE1" w:rsidRPr="00E914FB" w:rsidRDefault="00FD4AE1" w:rsidP="00CC32CC">
      <w:pPr>
        <w:autoSpaceDE w:val="0"/>
        <w:autoSpaceDN w:val="0"/>
        <w:adjustRightInd w:val="0"/>
        <w:spacing w:after="0" w:line="240" w:lineRule="auto"/>
        <w:rPr>
          <w:rFonts w:ascii="Calibri" w:hAnsi="Calibri" w:cs="Calibri"/>
          <w:i/>
          <w:iCs/>
          <w:color w:val="000000"/>
        </w:rPr>
      </w:pPr>
      <w:r w:rsidRPr="00E914FB">
        <w:rPr>
          <w:rFonts w:ascii="Calibri" w:hAnsi="Calibri" w:cs="Calibri"/>
          <w:i/>
          <w:iCs/>
          <w:color w:val="000000"/>
        </w:rPr>
        <w:t xml:space="preserve">Ritonavir </w:t>
      </w:r>
    </w:p>
    <w:p w14:paraId="7988B7DB" w14:textId="0A324582" w:rsidR="00FD4AE1" w:rsidRPr="00E914FB" w:rsidRDefault="00FD4AE1" w:rsidP="00CC32CC">
      <w:pPr>
        <w:autoSpaceDE w:val="0"/>
        <w:autoSpaceDN w:val="0"/>
        <w:adjustRightInd w:val="0"/>
        <w:spacing w:after="0" w:line="240" w:lineRule="auto"/>
        <w:rPr>
          <w:rFonts w:ascii="Calibri" w:hAnsi="Calibri" w:cs="Calibri"/>
          <w:color w:val="000000"/>
        </w:rPr>
      </w:pPr>
    </w:p>
    <w:p w14:paraId="2F9ABEE2" w14:textId="6394885C" w:rsidR="00DA417B" w:rsidRPr="00E914FB" w:rsidRDefault="00FD4AE1" w:rsidP="00CC32CC">
      <w:pPr>
        <w:spacing w:line="240" w:lineRule="auto"/>
        <w:jc w:val="both"/>
        <w:rPr>
          <w:rFonts w:ascii="Calibri" w:hAnsi="Calibri" w:cs="Calibri"/>
          <w:sz w:val="23"/>
          <w:szCs w:val="23"/>
        </w:rPr>
      </w:pPr>
      <w:r w:rsidRPr="00E914FB">
        <w:rPr>
          <w:rFonts w:ascii="Calibri" w:hAnsi="Calibri" w:cs="Calibri"/>
          <w:iCs/>
          <w:color w:val="000000"/>
        </w:rPr>
        <w:t xml:space="preserve">Ritonavir showed no mutagenic potential in a series of assays for gene mutations (S. typhimurium, E. coli and mouse lymphoma cells) and chromosomal damage (mouse micronucleus assay in-vivo and human lymphocytes </w:t>
      </w:r>
      <w:r w:rsidRPr="00E914FB">
        <w:rPr>
          <w:rFonts w:ascii="Calibri" w:hAnsi="Calibri" w:cs="Calibri"/>
          <w:i/>
          <w:iCs/>
          <w:color w:val="000000"/>
        </w:rPr>
        <w:t>in-vitro</w:t>
      </w:r>
      <w:r w:rsidRPr="00E914FB">
        <w:rPr>
          <w:rFonts w:ascii="Calibri" w:hAnsi="Calibri" w:cs="Calibri"/>
          <w:iCs/>
          <w:color w:val="000000"/>
        </w:rPr>
        <w:t>).</w:t>
      </w:r>
    </w:p>
    <w:p w14:paraId="2111D812" w14:textId="77777777" w:rsidR="00FD4AE1" w:rsidRPr="00E914FB" w:rsidRDefault="00FD4AE1" w:rsidP="00CC32CC">
      <w:pPr>
        <w:pStyle w:val="Heading2"/>
        <w:keepLines w:val="0"/>
        <w:spacing w:before="120" w:after="120" w:line="240" w:lineRule="auto"/>
        <w:jc w:val="both"/>
        <w:rPr>
          <w:rFonts w:ascii="Arial" w:eastAsia="Times New Roman" w:hAnsi="Arial" w:cs="Times New Roman"/>
          <w:bCs w:val="0"/>
          <w:color w:val="auto"/>
          <w:sz w:val="22"/>
          <w:szCs w:val="20"/>
        </w:rPr>
      </w:pPr>
      <w:bookmarkStart w:id="21" w:name="_Toc383787408"/>
      <w:r w:rsidRPr="00E914FB">
        <w:rPr>
          <w:rFonts w:ascii="Arial" w:eastAsia="Times New Roman" w:hAnsi="Arial" w:cs="Times New Roman"/>
          <w:bCs w:val="0"/>
          <w:color w:val="auto"/>
          <w:sz w:val="22"/>
          <w:szCs w:val="20"/>
        </w:rPr>
        <w:t>Carcinogenicity</w:t>
      </w:r>
      <w:bookmarkEnd w:id="21"/>
    </w:p>
    <w:p w14:paraId="449AE9A1" w14:textId="77777777" w:rsidR="00FD4AE1" w:rsidRPr="00E914FB" w:rsidRDefault="00FD4AE1" w:rsidP="00CC32CC">
      <w:pPr>
        <w:spacing w:line="240" w:lineRule="auto"/>
        <w:jc w:val="both"/>
        <w:rPr>
          <w:rFonts w:cs="Arial"/>
        </w:rPr>
      </w:pPr>
      <w:r w:rsidRPr="00E914FB">
        <w:rPr>
          <w:rFonts w:cs="Arial"/>
        </w:rPr>
        <w:t>Paritaprevir/ritonavir was not carcinogenic in a 6-month transgenic mouse study up to the highest dosage tested (300/30 mg/kg/day), resulting in paritaprevir and ritonavir AUC exposures approximately 38 and 5-fold higher, respectively than those in humans at the recommended dose of 150/50 mg.  Similarly, paritaprevir/ritonavir was not carcinogenic in a 2-year rat study up to the highest dosage tested (300/30 mg/kg/day), resulting in paritaprevir/ritonavir AUC exposures approximately 8/5-fold higher than those in humans at 150/50 mg.</w:t>
      </w:r>
    </w:p>
    <w:p w14:paraId="06019D15" w14:textId="77777777" w:rsidR="00FD4AE1" w:rsidRPr="00E914FB" w:rsidRDefault="00FD4AE1" w:rsidP="00CC32CC">
      <w:pPr>
        <w:spacing w:line="240" w:lineRule="auto"/>
        <w:jc w:val="both"/>
        <w:rPr>
          <w:rFonts w:cs="Arial"/>
        </w:rPr>
      </w:pPr>
      <w:r w:rsidRPr="00E914FB">
        <w:rPr>
          <w:iCs/>
        </w:rPr>
        <w:lastRenderedPageBreak/>
        <w:t>Two-year carcinogenicity studies have been conducted in rodents with ritonavir alone at dietary levels of 50, 100 and 200 mg/kg/day in mice, and 7, 15 and 30 mg/kg/day in rats. In male mice there was a dose-dependent increase in the incidence of hepatocellular adenomas, and adenomas and carcinomas combined, both reaching statistical significance only at the high-dose. In female mice there were small, statistically significant increases in these tumour incidences only at the high-dose. In rats, there were no tumorigenic effects.</w:t>
      </w:r>
    </w:p>
    <w:p w14:paraId="06F3EF12" w14:textId="77777777" w:rsidR="00FD4AE1" w:rsidRPr="00E914FB" w:rsidRDefault="00FD4AE1" w:rsidP="00CC32CC">
      <w:pPr>
        <w:spacing w:line="240" w:lineRule="auto"/>
        <w:jc w:val="both"/>
        <w:rPr>
          <w:rFonts w:cs="Arial"/>
        </w:rPr>
      </w:pPr>
      <w:r w:rsidRPr="00E914FB">
        <w:rPr>
          <w:rFonts w:cs="Arial"/>
        </w:rPr>
        <w:t>Ombitasvir was not carcinogenic in a 6-month transgenic mouse study up to the highest dosage tested (150 mg/kg/day), resulting in ombitasvir AUC exposures approximately 26-fold higher than those in humans at the recommended clinical dose of 25 mg. The carcinogenicity study of ombitasvir in rats is ongoing.</w:t>
      </w:r>
    </w:p>
    <w:p w14:paraId="5727411B" w14:textId="77777777" w:rsidR="00FD4AE1" w:rsidRPr="00E914FB" w:rsidRDefault="00FD4AE1" w:rsidP="00CC32CC">
      <w:pPr>
        <w:spacing w:line="240" w:lineRule="auto"/>
        <w:jc w:val="both"/>
        <w:rPr>
          <w:rFonts w:cs="Arial"/>
        </w:rPr>
      </w:pPr>
      <w:r w:rsidRPr="00E914FB">
        <w:rPr>
          <w:rFonts w:cs="Arial"/>
        </w:rPr>
        <w:t>Dasabuvir was not carcinogenic in a 6-month transgenic mouse study up to the highest dosage tested (2000 mg per kg per day), resulting in dasabuvir AUC exposures approximately 19-fold higher than those in humans at the recommended dose of 500 mg (250 mg twice daily).</w:t>
      </w:r>
    </w:p>
    <w:p w14:paraId="2F9ABEEB" w14:textId="17F99229" w:rsidR="00DA417B" w:rsidRPr="00E914FB" w:rsidRDefault="00FD4AE1" w:rsidP="00CC32CC">
      <w:pPr>
        <w:spacing w:line="240" w:lineRule="auto"/>
        <w:jc w:val="both"/>
        <w:rPr>
          <w:rFonts w:cs="Arial"/>
        </w:rPr>
      </w:pPr>
      <w:r w:rsidRPr="00E914FB">
        <w:rPr>
          <w:rFonts w:cs="Arial"/>
        </w:rPr>
        <w:t>The carcinogenicity study of dasabuvir in rats is ongoing.</w:t>
      </w:r>
    </w:p>
    <w:p w14:paraId="46071184" w14:textId="77777777" w:rsidR="00FD4AE1" w:rsidRPr="00E914FB" w:rsidRDefault="00FD4AE1" w:rsidP="00885509">
      <w:pPr>
        <w:pStyle w:val="Heading2Unnumbered"/>
        <w:rPr>
          <w:sz w:val="22"/>
          <w:szCs w:val="22"/>
          <w:lang w:val="en-AU"/>
        </w:rPr>
      </w:pPr>
      <w:bookmarkStart w:id="22" w:name="_Toc383787409"/>
      <w:r w:rsidRPr="00E914FB">
        <w:rPr>
          <w:sz w:val="22"/>
          <w:szCs w:val="22"/>
          <w:lang w:val="en-AU"/>
        </w:rPr>
        <w:t>Effect on Laboratory Tests</w:t>
      </w:r>
      <w:bookmarkEnd w:id="22"/>
    </w:p>
    <w:p w14:paraId="1837D7A3" w14:textId="1A624150" w:rsidR="00FD4AE1" w:rsidRPr="00E914FB" w:rsidRDefault="00FD4AE1" w:rsidP="00885509">
      <w:pPr>
        <w:spacing w:line="240" w:lineRule="auto"/>
        <w:jc w:val="both"/>
        <w:rPr>
          <w:rFonts w:cs="Arial"/>
        </w:rPr>
      </w:pPr>
      <w:r w:rsidRPr="00E914FB">
        <w:rPr>
          <w:rFonts w:cs="Arial"/>
          <w:iCs/>
        </w:rPr>
        <w:t xml:space="preserve">Changes in selected laboratory parameters are described in </w:t>
      </w:r>
      <w:r w:rsidR="004C1B0A">
        <w:rPr>
          <w:rFonts w:cs="Arial"/>
          <w:iCs/>
        </w:rPr>
        <w:t>Table 12</w:t>
      </w:r>
      <w:r w:rsidRPr="00E914FB">
        <w:rPr>
          <w:rFonts w:cs="Arial"/>
          <w:iCs/>
        </w:rPr>
        <w:t xml:space="preserve">.  </w:t>
      </w:r>
      <w:r w:rsidRPr="00E914FB">
        <w:rPr>
          <w:rFonts w:cs="Arial"/>
        </w:rPr>
        <w:t>A side-by-side tabulation is provided to simplify presentation; direct comparisons should not be made across trials that differ in study design.</w:t>
      </w:r>
    </w:p>
    <w:p w14:paraId="31584429" w14:textId="488F4941" w:rsidR="00FD4AE1" w:rsidRPr="00E914FB" w:rsidRDefault="004C1B0A" w:rsidP="00885509">
      <w:pPr>
        <w:spacing w:line="240" w:lineRule="auto"/>
        <w:jc w:val="both"/>
        <w:rPr>
          <w:rFonts w:cs="Arial"/>
        </w:rPr>
      </w:pPr>
      <w:r>
        <w:rPr>
          <w:rFonts w:cstheme="minorHAnsi"/>
          <w:b/>
        </w:rPr>
        <w:t>Table 12</w:t>
      </w:r>
      <w:r w:rsidR="00FD4AE1" w:rsidRPr="00E914FB">
        <w:rPr>
          <w:rFonts w:cstheme="minorHAnsi"/>
          <w:b/>
        </w:rPr>
        <w:t>:  Selected Treatment Emergent Laboratory Abnormalities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1134"/>
        <w:gridCol w:w="1418"/>
        <w:gridCol w:w="1134"/>
        <w:gridCol w:w="1843"/>
      </w:tblGrid>
      <w:tr w:rsidR="00FD4AE1" w:rsidRPr="00E914FB" w14:paraId="5052BC4C" w14:textId="77777777" w:rsidTr="00890582">
        <w:trPr>
          <w:trHeight w:val="347"/>
        </w:trPr>
        <w:tc>
          <w:tcPr>
            <w:tcW w:w="2235" w:type="dxa"/>
            <w:vMerge w:val="restart"/>
            <w:shd w:val="clear" w:color="auto" w:fill="auto"/>
            <w:vAlign w:val="center"/>
          </w:tcPr>
          <w:p w14:paraId="223B985C"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Laboratory Parameters</w:t>
            </w:r>
          </w:p>
        </w:tc>
        <w:tc>
          <w:tcPr>
            <w:tcW w:w="2409" w:type="dxa"/>
            <w:gridSpan w:val="2"/>
            <w:shd w:val="clear" w:color="auto" w:fill="auto"/>
            <w:vAlign w:val="center"/>
          </w:tcPr>
          <w:p w14:paraId="6350D57D"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SAPPHIRE I and II</w:t>
            </w:r>
          </w:p>
        </w:tc>
        <w:tc>
          <w:tcPr>
            <w:tcW w:w="2552" w:type="dxa"/>
            <w:gridSpan w:val="2"/>
            <w:shd w:val="clear" w:color="auto" w:fill="auto"/>
            <w:vAlign w:val="center"/>
          </w:tcPr>
          <w:p w14:paraId="2F1B14F9"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PEARL II, III and IV</w:t>
            </w:r>
          </w:p>
        </w:tc>
        <w:tc>
          <w:tcPr>
            <w:tcW w:w="1843" w:type="dxa"/>
            <w:shd w:val="clear" w:color="auto" w:fill="auto"/>
            <w:vAlign w:val="center"/>
          </w:tcPr>
          <w:p w14:paraId="3D0051E6"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TURQUOISE II (subjects with cirrhosis)</w:t>
            </w:r>
          </w:p>
        </w:tc>
      </w:tr>
      <w:tr w:rsidR="00FD4AE1" w:rsidRPr="00E914FB" w14:paraId="1CBDC226" w14:textId="77777777" w:rsidTr="00890582">
        <w:tc>
          <w:tcPr>
            <w:tcW w:w="2235" w:type="dxa"/>
            <w:vMerge/>
            <w:tcBorders>
              <w:bottom w:val="single" w:sz="4" w:space="0" w:color="auto"/>
            </w:tcBorders>
            <w:shd w:val="clear" w:color="auto" w:fill="auto"/>
          </w:tcPr>
          <w:p w14:paraId="110E7DFD" w14:textId="77777777" w:rsidR="00FD4AE1" w:rsidRPr="00E914FB" w:rsidRDefault="00FD4AE1" w:rsidP="00890582">
            <w:pPr>
              <w:autoSpaceDE w:val="0"/>
              <w:autoSpaceDN w:val="0"/>
              <w:adjustRightInd w:val="0"/>
              <w:spacing w:after="0" w:line="300" w:lineRule="auto"/>
              <w:rPr>
                <w:rFonts w:cstheme="minorHAnsi"/>
                <w:b/>
                <w:bCs/>
                <w:sz w:val="20"/>
                <w:szCs w:val="20"/>
              </w:rPr>
            </w:pPr>
          </w:p>
        </w:tc>
        <w:tc>
          <w:tcPr>
            <w:tcW w:w="1275" w:type="dxa"/>
            <w:tcBorders>
              <w:bottom w:val="single" w:sz="4" w:space="0" w:color="auto"/>
            </w:tcBorders>
            <w:shd w:val="clear" w:color="auto" w:fill="auto"/>
          </w:tcPr>
          <w:p w14:paraId="7404063C"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VIEKIRA PAK + </w:t>
            </w:r>
            <w:r w:rsidRPr="00E914FB">
              <w:rPr>
                <w:rFonts w:cstheme="minorHAnsi"/>
                <w:b/>
                <w:sz w:val="20"/>
                <w:szCs w:val="20"/>
              </w:rPr>
              <w:t>RBV</w:t>
            </w:r>
          </w:p>
          <w:p w14:paraId="597015E5"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12 Weeks</w:t>
            </w:r>
          </w:p>
          <w:p w14:paraId="3C04D3D3"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N = 770</w:t>
            </w:r>
          </w:p>
          <w:p w14:paraId="203F1321"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n (%)</w:t>
            </w:r>
          </w:p>
        </w:tc>
        <w:tc>
          <w:tcPr>
            <w:tcW w:w="1134" w:type="dxa"/>
            <w:tcBorders>
              <w:bottom w:val="single" w:sz="4" w:space="0" w:color="auto"/>
            </w:tcBorders>
            <w:shd w:val="clear" w:color="auto" w:fill="auto"/>
          </w:tcPr>
          <w:p w14:paraId="2ECDABC9"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Placebo</w:t>
            </w:r>
          </w:p>
          <w:p w14:paraId="23440CD9"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12 Weeks</w:t>
            </w:r>
          </w:p>
          <w:p w14:paraId="04AD979C"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N </w:t>
            </w:r>
            <w:r w:rsidRPr="00E914FB">
              <w:rPr>
                <w:rFonts w:cstheme="minorHAnsi"/>
                <w:bCs/>
                <w:sz w:val="20"/>
                <w:szCs w:val="20"/>
              </w:rPr>
              <w:t>=</w:t>
            </w:r>
            <w:r w:rsidRPr="00E914FB">
              <w:rPr>
                <w:rFonts w:cstheme="minorHAnsi"/>
                <w:b/>
                <w:bCs/>
                <w:sz w:val="20"/>
                <w:szCs w:val="20"/>
              </w:rPr>
              <w:t xml:space="preserve"> </w:t>
            </w:r>
            <w:r w:rsidRPr="00E914FB">
              <w:rPr>
                <w:rFonts w:cstheme="minorHAnsi"/>
                <w:b/>
                <w:sz w:val="20"/>
                <w:szCs w:val="20"/>
              </w:rPr>
              <w:t>255</w:t>
            </w:r>
          </w:p>
          <w:p w14:paraId="129DE6AF"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n (%)</w:t>
            </w:r>
          </w:p>
        </w:tc>
        <w:tc>
          <w:tcPr>
            <w:tcW w:w="1418" w:type="dxa"/>
            <w:tcBorders>
              <w:bottom w:val="single" w:sz="4" w:space="0" w:color="auto"/>
            </w:tcBorders>
            <w:shd w:val="clear" w:color="auto" w:fill="auto"/>
          </w:tcPr>
          <w:p w14:paraId="4EA78517"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VIEKIRA PAK + </w:t>
            </w:r>
            <w:r w:rsidRPr="00E914FB">
              <w:rPr>
                <w:rFonts w:cstheme="minorHAnsi"/>
                <w:b/>
                <w:sz w:val="20"/>
                <w:szCs w:val="20"/>
              </w:rPr>
              <w:t>RBV</w:t>
            </w:r>
          </w:p>
          <w:p w14:paraId="0BA9A211"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12 Weeks</w:t>
            </w:r>
          </w:p>
          <w:p w14:paraId="05BB306F"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N </w:t>
            </w:r>
            <w:r w:rsidRPr="00E914FB">
              <w:rPr>
                <w:rFonts w:cstheme="minorHAnsi"/>
                <w:bCs/>
                <w:sz w:val="20"/>
                <w:szCs w:val="20"/>
              </w:rPr>
              <w:t>=</w:t>
            </w:r>
            <w:r w:rsidRPr="00E914FB">
              <w:rPr>
                <w:rFonts w:cstheme="minorHAnsi"/>
                <w:b/>
                <w:bCs/>
                <w:sz w:val="20"/>
                <w:szCs w:val="20"/>
              </w:rPr>
              <w:t xml:space="preserve"> </w:t>
            </w:r>
            <w:r w:rsidRPr="00E914FB">
              <w:rPr>
                <w:rFonts w:cstheme="minorHAnsi"/>
                <w:b/>
                <w:sz w:val="20"/>
                <w:szCs w:val="20"/>
              </w:rPr>
              <w:t>401</w:t>
            </w:r>
          </w:p>
          <w:p w14:paraId="793DC606"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n (%)</w:t>
            </w:r>
          </w:p>
        </w:tc>
        <w:tc>
          <w:tcPr>
            <w:tcW w:w="1134" w:type="dxa"/>
            <w:tcBorders>
              <w:bottom w:val="single" w:sz="4" w:space="0" w:color="auto"/>
            </w:tcBorders>
            <w:shd w:val="clear" w:color="auto" w:fill="auto"/>
          </w:tcPr>
          <w:p w14:paraId="51E2BAC1"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VIEKIRA PAK 12 Weeks</w:t>
            </w:r>
          </w:p>
          <w:p w14:paraId="02237195"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N </w:t>
            </w:r>
            <w:r w:rsidRPr="00E914FB">
              <w:rPr>
                <w:rFonts w:cstheme="minorHAnsi"/>
                <w:bCs/>
                <w:sz w:val="20"/>
                <w:szCs w:val="20"/>
              </w:rPr>
              <w:t>=</w:t>
            </w:r>
            <w:r w:rsidRPr="00E914FB">
              <w:rPr>
                <w:rFonts w:cstheme="minorHAnsi"/>
                <w:b/>
                <w:bCs/>
                <w:sz w:val="20"/>
                <w:szCs w:val="20"/>
              </w:rPr>
              <w:t xml:space="preserve"> </w:t>
            </w:r>
            <w:r w:rsidRPr="00E914FB">
              <w:rPr>
                <w:rFonts w:cstheme="minorHAnsi"/>
                <w:b/>
                <w:sz w:val="20"/>
                <w:szCs w:val="20"/>
              </w:rPr>
              <w:t>509</w:t>
            </w:r>
          </w:p>
          <w:p w14:paraId="24C91116"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n (%)</w:t>
            </w:r>
          </w:p>
        </w:tc>
        <w:tc>
          <w:tcPr>
            <w:tcW w:w="1843" w:type="dxa"/>
            <w:tcBorders>
              <w:bottom w:val="single" w:sz="4" w:space="0" w:color="auto"/>
            </w:tcBorders>
          </w:tcPr>
          <w:p w14:paraId="50A1360F"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VIEKIRA PAK + </w:t>
            </w:r>
            <w:r w:rsidRPr="00E914FB">
              <w:rPr>
                <w:rFonts w:cstheme="minorHAnsi"/>
                <w:b/>
                <w:sz w:val="20"/>
                <w:szCs w:val="20"/>
              </w:rPr>
              <w:t>RBV</w:t>
            </w:r>
          </w:p>
          <w:p w14:paraId="53A3CFB7"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12 or 24 Weeks</w:t>
            </w:r>
          </w:p>
          <w:p w14:paraId="4E647965"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 xml:space="preserve">N </w:t>
            </w:r>
            <w:r w:rsidRPr="00E914FB">
              <w:rPr>
                <w:rFonts w:cstheme="minorHAnsi"/>
                <w:bCs/>
                <w:sz w:val="20"/>
                <w:szCs w:val="20"/>
              </w:rPr>
              <w:t>=</w:t>
            </w:r>
            <w:r w:rsidRPr="00E914FB">
              <w:rPr>
                <w:rFonts w:cstheme="minorHAnsi"/>
                <w:b/>
                <w:bCs/>
                <w:sz w:val="20"/>
                <w:szCs w:val="20"/>
              </w:rPr>
              <w:t xml:space="preserve"> </w:t>
            </w:r>
            <w:r w:rsidRPr="00E914FB">
              <w:rPr>
                <w:rFonts w:cstheme="minorHAnsi"/>
                <w:b/>
                <w:sz w:val="20"/>
                <w:szCs w:val="20"/>
              </w:rPr>
              <w:t>380</w:t>
            </w:r>
          </w:p>
          <w:p w14:paraId="7F91F054" w14:textId="77777777" w:rsidR="00FD4AE1" w:rsidRPr="00E914FB" w:rsidRDefault="00FD4AE1" w:rsidP="00890582">
            <w:pPr>
              <w:autoSpaceDE w:val="0"/>
              <w:autoSpaceDN w:val="0"/>
              <w:adjustRightInd w:val="0"/>
              <w:spacing w:after="0" w:line="300" w:lineRule="auto"/>
              <w:jc w:val="center"/>
              <w:rPr>
                <w:rFonts w:cstheme="minorHAnsi"/>
                <w:b/>
                <w:bCs/>
                <w:sz w:val="20"/>
                <w:szCs w:val="20"/>
              </w:rPr>
            </w:pPr>
            <w:r w:rsidRPr="00E914FB">
              <w:rPr>
                <w:rFonts w:cstheme="minorHAnsi"/>
                <w:b/>
                <w:bCs/>
                <w:sz w:val="20"/>
                <w:szCs w:val="20"/>
              </w:rPr>
              <w:t>n (%)</w:t>
            </w:r>
          </w:p>
        </w:tc>
      </w:tr>
      <w:tr w:rsidR="00FD4AE1" w:rsidRPr="00E914FB" w14:paraId="37180E31" w14:textId="77777777" w:rsidTr="00890582">
        <w:tc>
          <w:tcPr>
            <w:tcW w:w="2235" w:type="dxa"/>
            <w:tcBorders>
              <w:top w:val="single" w:sz="4" w:space="0" w:color="auto"/>
              <w:left w:val="single" w:sz="4" w:space="0" w:color="auto"/>
              <w:bottom w:val="single" w:sz="4" w:space="0" w:color="auto"/>
              <w:right w:val="nil"/>
            </w:tcBorders>
            <w:shd w:val="clear" w:color="auto" w:fill="auto"/>
          </w:tcPr>
          <w:p w14:paraId="36CDFA68" w14:textId="77777777" w:rsidR="00FD4AE1" w:rsidRPr="00E914FB" w:rsidRDefault="00FD4AE1" w:rsidP="00890582">
            <w:pPr>
              <w:spacing w:after="0" w:line="300" w:lineRule="auto"/>
              <w:rPr>
                <w:rFonts w:cstheme="minorHAnsi"/>
                <w:b/>
                <w:sz w:val="20"/>
                <w:szCs w:val="20"/>
              </w:rPr>
            </w:pPr>
            <w:r w:rsidRPr="00E914FB">
              <w:rPr>
                <w:rFonts w:cstheme="minorHAnsi"/>
                <w:b/>
                <w:sz w:val="20"/>
                <w:szCs w:val="20"/>
              </w:rPr>
              <w:t xml:space="preserve">ALT </w:t>
            </w:r>
          </w:p>
        </w:tc>
        <w:tc>
          <w:tcPr>
            <w:tcW w:w="1275" w:type="dxa"/>
            <w:tcBorders>
              <w:top w:val="single" w:sz="4" w:space="0" w:color="auto"/>
              <w:left w:val="nil"/>
              <w:bottom w:val="single" w:sz="4" w:space="0" w:color="auto"/>
              <w:right w:val="nil"/>
            </w:tcBorders>
            <w:shd w:val="clear" w:color="auto" w:fill="auto"/>
          </w:tcPr>
          <w:p w14:paraId="170C3004" w14:textId="77777777" w:rsidR="00FD4AE1" w:rsidRPr="00E914FB" w:rsidRDefault="00FD4AE1" w:rsidP="00890582">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499AC0D3" w14:textId="77777777" w:rsidR="00FD4AE1" w:rsidRPr="00E914FB" w:rsidRDefault="00FD4AE1" w:rsidP="00890582">
            <w:pPr>
              <w:spacing w:after="0" w:line="300" w:lineRule="auto"/>
              <w:jc w:val="center"/>
              <w:rPr>
                <w:rFonts w:cstheme="minorHAnsi"/>
                <w:sz w:val="20"/>
                <w:szCs w:val="20"/>
              </w:rPr>
            </w:pPr>
          </w:p>
        </w:tc>
        <w:tc>
          <w:tcPr>
            <w:tcW w:w="1418" w:type="dxa"/>
            <w:tcBorders>
              <w:top w:val="single" w:sz="4" w:space="0" w:color="auto"/>
              <w:left w:val="nil"/>
              <w:bottom w:val="single" w:sz="4" w:space="0" w:color="auto"/>
              <w:right w:val="nil"/>
            </w:tcBorders>
            <w:shd w:val="clear" w:color="auto" w:fill="auto"/>
          </w:tcPr>
          <w:p w14:paraId="50E44168" w14:textId="77777777" w:rsidR="00FD4AE1" w:rsidRPr="00E914FB" w:rsidRDefault="00FD4AE1" w:rsidP="00890582">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5FAE1C0E" w14:textId="77777777" w:rsidR="00FD4AE1" w:rsidRPr="00E914FB" w:rsidRDefault="00FD4AE1" w:rsidP="00890582">
            <w:pPr>
              <w:spacing w:after="0" w:line="300" w:lineRule="auto"/>
              <w:jc w:val="center"/>
              <w:rPr>
                <w:rFonts w:cstheme="minorHAnsi"/>
                <w:sz w:val="20"/>
                <w:szCs w:val="20"/>
              </w:rPr>
            </w:pPr>
          </w:p>
        </w:tc>
        <w:tc>
          <w:tcPr>
            <w:tcW w:w="1843" w:type="dxa"/>
            <w:tcBorders>
              <w:top w:val="single" w:sz="4" w:space="0" w:color="auto"/>
              <w:left w:val="nil"/>
              <w:bottom w:val="single" w:sz="4" w:space="0" w:color="auto"/>
              <w:right w:val="single" w:sz="4" w:space="0" w:color="auto"/>
            </w:tcBorders>
          </w:tcPr>
          <w:p w14:paraId="357726CB" w14:textId="77777777" w:rsidR="00FD4AE1" w:rsidRPr="00E914FB" w:rsidRDefault="00FD4AE1" w:rsidP="00890582">
            <w:pPr>
              <w:spacing w:after="0" w:line="300" w:lineRule="auto"/>
              <w:jc w:val="center"/>
              <w:rPr>
                <w:rFonts w:cstheme="minorHAnsi"/>
                <w:sz w:val="20"/>
                <w:szCs w:val="20"/>
              </w:rPr>
            </w:pPr>
          </w:p>
        </w:tc>
      </w:tr>
      <w:tr w:rsidR="00FD4AE1" w:rsidRPr="00E914FB" w14:paraId="6FD2DA23" w14:textId="77777777" w:rsidTr="00890582">
        <w:trPr>
          <w:trHeight w:val="266"/>
        </w:trPr>
        <w:tc>
          <w:tcPr>
            <w:tcW w:w="2235" w:type="dxa"/>
            <w:tcBorders>
              <w:top w:val="single" w:sz="4" w:space="0" w:color="auto"/>
            </w:tcBorders>
            <w:shd w:val="clear" w:color="auto" w:fill="auto"/>
          </w:tcPr>
          <w:p w14:paraId="30E53C7A" w14:textId="77777777" w:rsidR="00FD4AE1" w:rsidRPr="00E914FB" w:rsidRDefault="00FD4AE1" w:rsidP="00890582">
            <w:pPr>
              <w:spacing w:after="0" w:line="300" w:lineRule="auto"/>
              <w:ind w:left="162" w:hanging="162"/>
              <w:rPr>
                <w:rFonts w:cstheme="minorHAnsi"/>
                <w:sz w:val="20"/>
                <w:szCs w:val="20"/>
              </w:rPr>
            </w:pPr>
            <w:r w:rsidRPr="00E914FB">
              <w:rPr>
                <w:rFonts w:cstheme="minorHAnsi"/>
                <w:sz w:val="20"/>
                <w:szCs w:val="20"/>
              </w:rPr>
              <w:t>&gt; 5-20 × ULN</w:t>
            </w:r>
            <w:r w:rsidRPr="00E914FB">
              <w:rPr>
                <w:rFonts w:cstheme="minorHAnsi"/>
                <w:sz w:val="20"/>
                <w:szCs w:val="20"/>
                <w:shd w:val="clear" w:color="auto" w:fill="FFFFFF"/>
              </w:rPr>
              <w:t>*</w:t>
            </w:r>
            <w:r w:rsidRPr="00E914FB">
              <w:rPr>
                <w:rFonts w:cstheme="minorHAnsi"/>
                <w:sz w:val="20"/>
                <w:szCs w:val="20"/>
              </w:rPr>
              <w:t xml:space="preserve"> (Grade 3)</w:t>
            </w:r>
          </w:p>
        </w:tc>
        <w:tc>
          <w:tcPr>
            <w:tcW w:w="1275" w:type="dxa"/>
            <w:tcBorders>
              <w:top w:val="single" w:sz="4" w:space="0" w:color="auto"/>
            </w:tcBorders>
            <w:shd w:val="clear" w:color="auto" w:fill="auto"/>
          </w:tcPr>
          <w:p w14:paraId="654DE384" w14:textId="77777777" w:rsidR="00FD4AE1" w:rsidRPr="00E914FB" w:rsidRDefault="00FD4AE1" w:rsidP="00890582">
            <w:pPr>
              <w:spacing w:after="0" w:line="300" w:lineRule="auto"/>
              <w:jc w:val="center"/>
              <w:rPr>
                <w:rFonts w:cstheme="minorHAnsi"/>
                <w:sz w:val="20"/>
                <w:szCs w:val="20"/>
              </w:rPr>
            </w:pPr>
            <w:r w:rsidRPr="00E914FB">
              <w:rPr>
                <w:rFonts w:cstheme="minorHAnsi"/>
                <w:bCs/>
                <w:sz w:val="20"/>
                <w:szCs w:val="20"/>
              </w:rPr>
              <w:t>6/765 (0.8%)</w:t>
            </w:r>
          </w:p>
        </w:tc>
        <w:tc>
          <w:tcPr>
            <w:tcW w:w="1134" w:type="dxa"/>
            <w:tcBorders>
              <w:top w:val="single" w:sz="4" w:space="0" w:color="auto"/>
            </w:tcBorders>
            <w:shd w:val="clear" w:color="auto" w:fill="auto"/>
          </w:tcPr>
          <w:p w14:paraId="781E3EED"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 xml:space="preserve">10/254 </w:t>
            </w:r>
            <w:r w:rsidRPr="00E914FB">
              <w:rPr>
                <w:rFonts w:cstheme="minorHAnsi"/>
                <w:bCs/>
                <w:sz w:val="20"/>
                <w:szCs w:val="20"/>
              </w:rPr>
              <w:t>(3.9%)</w:t>
            </w:r>
          </w:p>
        </w:tc>
        <w:tc>
          <w:tcPr>
            <w:tcW w:w="1418" w:type="dxa"/>
            <w:tcBorders>
              <w:top w:val="single" w:sz="4" w:space="0" w:color="auto"/>
            </w:tcBorders>
            <w:shd w:val="clear" w:color="auto" w:fill="auto"/>
          </w:tcPr>
          <w:p w14:paraId="3B611397"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 xml:space="preserve">3/401 </w:t>
            </w:r>
            <w:r w:rsidRPr="00E914FB">
              <w:rPr>
                <w:rFonts w:cstheme="minorHAnsi"/>
                <w:bCs/>
                <w:sz w:val="20"/>
                <w:szCs w:val="20"/>
              </w:rPr>
              <w:t>(0.7%)</w:t>
            </w:r>
          </w:p>
        </w:tc>
        <w:tc>
          <w:tcPr>
            <w:tcW w:w="1134" w:type="dxa"/>
            <w:tcBorders>
              <w:top w:val="single" w:sz="4" w:space="0" w:color="auto"/>
            </w:tcBorders>
            <w:shd w:val="clear" w:color="auto" w:fill="auto"/>
          </w:tcPr>
          <w:p w14:paraId="16396DB0" w14:textId="77777777" w:rsidR="00FD4AE1" w:rsidRPr="00E914FB" w:rsidRDefault="00FD4AE1" w:rsidP="00890582">
            <w:pPr>
              <w:spacing w:after="0" w:line="300" w:lineRule="auto"/>
              <w:jc w:val="center"/>
              <w:rPr>
                <w:rFonts w:cstheme="minorHAnsi"/>
                <w:sz w:val="20"/>
                <w:szCs w:val="20"/>
              </w:rPr>
            </w:pPr>
            <w:r w:rsidRPr="00E914FB">
              <w:rPr>
                <w:rFonts w:cstheme="minorHAnsi"/>
                <w:bCs/>
                <w:sz w:val="20"/>
                <w:szCs w:val="20"/>
              </w:rPr>
              <w:t>1/509 (0.2%)</w:t>
            </w:r>
          </w:p>
        </w:tc>
        <w:tc>
          <w:tcPr>
            <w:tcW w:w="1843" w:type="dxa"/>
            <w:tcBorders>
              <w:top w:val="single" w:sz="4" w:space="0" w:color="auto"/>
            </w:tcBorders>
          </w:tcPr>
          <w:p w14:paraId="3431A6A5"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4/380 (1.1%)</w:t>
            </w:r>
          </w:p>
        </w:tc>
      </w:tr>
      <w:tr w:rsidR="00FD4AE1" w:rsidRPr="00E914FB" w14:paraId="0BF3CE6C" w14:textId="77777777" w:rsidTr="00890582">
        <w:trPr>
          <w:trHeight w:val="293"/>
        </w:trPr>
        <w:tc>
          <w:tcPr>
            <w:tcW w:w="2235" w:type="dxa"/>
            <w:tcBorders>
              <w:bottom w:val="single" w:sz="4" w:space="0" w:color="auto"/>
            </w:tcBorders>
            <w:shd w:val="clear" w:color="auto" w:fill="auto"/>
          </w:tcPr>
          <w:p w14:paraId="07075486" w14:textId="77777777" w:rsidR="00FD4AE1" w:rsidRPr="00E914FB" w:rsidRDefault="00FD4AE1" w:rsidP="00890582">
            <w:pPr>
              <w:spacing w:after="0" w:line="300" w:lineRule="auto"/>
              <w:ind w:left="162" w:hanging="162"/>
              <w:rPr>
                <w:rFonts w:cstheme="minorHAnsi"/>
                <w:sz w:val="20"/>
                <w:szCs w:val="20"/>
              </w:rPr>
            </w:pPr>
            <w:r w:rsidRPr="00E914FB">
              <w:rPr>
                <w:rFonts w:cstheme="minorHAnsi"/>
                <w:sz w:val="20"/>
                <w:szCs w:val="20"/>
              </w:rPr>
              <w:t>&gt; 20 × ULN</w:t>
            </w:r>
            <w:r w:rsidRPr="00E914FB">
              <w:rPr>
                <w:rFonts w:cstheme="minorHAnsi"/>
                <w:sz w:val="20"/>
                <w:szCs w:val="20"/>
                <w:shd w:val="clear" w:color="auto" w:fill="FFFFFF"/>
              </w:rPr>
              <w:t xml:space="preserve"> </w:t>
            </w:r>
            <w:r w:rsidRPr="00E914FB">
              <w:rPr>
                <w:rFonts w:cstheme="minorHAnsi"/>
                <w:sz w:val="20"/>
                <w:szCs w:val="20"/>
              </w:rPr>
              <w:t>(Grade 4)</w:t>
            </w:r>
          </w:p>
        </w:tc>
        <w:tc>
          <w:tcPr>
            <w:tcW w:w="1275" w:type="dxa"/>
            <w:tcBorders>
              <w:bottom w:val="single" w:sz="4" w:space="0" w:color="auto"/>
            </w:tcBorders>
            <w:shd w:val="clear" w:color="auto" w:fill="auto"/>
          </w:tcPr>
          <w:p w14:paraId="3F424A0F"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3/765 (0.4%)</w:t>
            </w:r>
          </w:p>
        </w:tc>
        <w:tc>
          <w:tcPr>
            <w:tcW w:w="1134" w:type="dxa"/>
            <w:tcBorders>
              <w:bottom w:val="single" w:sz="4" w:space="0" w:color="auto"/>
            </w:tcBorders>
            <w:shd w:val="clear" w:color="auto" w:fill="auto"/>
          </w:tcPr>
          <w:p w14:paraId="6D1FEFD2"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418" w:type="dxa"/>
            <w:tcBorders>
              <w:bottom w:val="single" w:sz="4" w:space="0" w:color="auto"/>
            </w:tcBorders>
            <w:shd w:val="clear" w:color="auto" w:fill="auto"/>
          </w:tcPr>
          <w:p w14:paraId="7D404B57"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134" w:type="dxa"/>
            <w:tcBorders>
              <w:bottom w:val="single" w:sz="4" w:space="0" w:color="auto"/>
            </w:tcBorders>
            <w:shd w:val="clear" w:color="auto" w:fill="auto"/>
          </w:tcPr>
          <w:p w14:paraId="269732C8"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843" w:type="dxa"/>
            <w:tcBorders>
              <w:bottom w:val="single" w:sz="4" w:space="0" w:color="auto"/>
            </w:tcBorders>
          </w:tcPr>
          <w:p w14:paraId="1183E4F9"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2/380 (0.5%)</w:t>
            </w:r>
          </w:p>
        </w:tc>
      </w:tr>
      <w:tr w:rsidR="00FD4AE1" w:rsidRPr="00E914FB" w14:paraId="164CDBC8" w14:textId="77777777" w:rsidTr="00890582">
        <w:tc>
          <w:tcPr>
            <w:tcW w:w="2235" w:type="dxa"/>
            <w:tcBorders>
              <w:top w:val="single" w:sz="4" w:space="0" w:color="auto"/>
              <w:left w:val="single" w:sz="4" w:space="0" w:color="auto"/>
              <w:bottom w:val="single" w:sz="4" w:space="0" w:color="auto"/>
              <w:right w:val="nil"/>
            </w:tcBorders>
            <w:shd w:val="clear" w:color="auto" w:fill="auto"/>
          </w:tcPr>
          <w:p w14:paraId="2342ADEC" w14:textId="77777777" w:rsidR="00FD4AE1" w:rsidRPr="00E914FB" w:rsidRDefault="00FD4AE1" w:rsidP="00890582">
            <w:pPr>
              <w:spacing w:after="0" w:line="300" w:lineRule="auto"/>
              <w:rPr>
                <w:rFonts w:cstheme="minorHAnsi"/>
                <w:b/>
                <w:sz w:val="20"/>
                <w:szCs w:val="20"/>
              </w:rPr>
            </w:pPr>
            <w:r w:rsidRPr="00E914FB">
              <w:rPr>
                <w:rFonts w:cstheme="minorHAnsi"/>
                <w:b/>
                <w:sz w:val="20"/>
                <w:szCs w:val="20"/>
              </w:rPr>
              <w:t xml:space="preserve">Haemoglobin </w:t>
            </w:r>
          </w:p>
        </w:tc>
        <w:tc>
          <w:tcPr>
            <w:tcW w:w="1275" w:type="dxa"/>
            <w:tcBorders>
              <w:top w:val="single" w:sz="4" w:space="0" w:color="auto"/>
              <w:left w:val="nil"/>
              <w:bottom w:val="single" w:sz="4" w:space="0" w:color="auto"/>
              <w:right w:val="nil"/>
            </w:tcBorders>
            <w:shd w:val="clear" w:color="auto" w:fill="auto"/>
          </w:tcPr>
          <w:p w14:paraId="50170269" w14:textId="77777777" w:rsidR="00FD4AE1" w:rsidRPr="00E914FB" w:rsidRDefault="00FD4AE1" w:rsidP="00890582">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1DC46185" w14:textId="77777777" w:rsidR="00FD4AE1" w:rsidRPr="00E914FB" w:rsidRDefault="00FD4AE1" w:rsidP="00890582">
            <w:pPr>
              <w:spacing w:after="0" w:line="300" w:lineRule="auto"/>
              <w:jc w:val="center"/>
              <w:rPr>
                <w:rFonts w:cstheme="minorHAnsi"/>
                <w:sz w:val="20"/>
                <w:szCs w:val="20"/>
              </w:rPr>
            </w:pPr>
          </w:p>
        </w:tc>
        <w:tc>
          <w:tcPr>
            <w:tcW w:w="1418" w:type="dxa"/>
            <w:tcBorders>
              <w:top w:val="single" w:sz="4" w:space="0" w:color="auto"/>
              <w:left w:val="nil"/>
              <w:bottom w:val="single" w:sz="4" w:space="0" w:color="auto"/>
              <w:right w:val="nil"/>
            </w:tcBorders>
            <w:shd w:val="clear" w:color="auto" w:fill="auto"/>
          </w:tcPr>
          <w:p w14:paraId="11DDE9F6" w14:textId="77777777" w:rsidR="00FD4AE1" w:rsidRPr="00E914FB" w:rsidRDefault="00FD4AE1" w:rsidP="00890582">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09653027" w14:textId="77777777" w:rsidR="00FD4AE1" w:rsidRPr="00E914FB" w:rsidRDefault="00FD4AE1" w:rsidP="00890582">
            <w:pPr>
              <w:spacing w:after="0" w:line="300" w:lineRule="auto"/>
              <w:jc w:val="center"/>
              <w:rPr>
                <w:rFonts w:cstheme="minorHAnsi"/>
                <w:sz w:val="20"/>
                <w:szCs w:val="20"/>
              </w:rPr>
            </w:pPr>
          </w:p>
        </w:tc>
        <w:tc>
          <w:tcPr>
            <w:tcW w:w="1843" w:type="dxa"/>
            <w:tcBorders>
              <w:top w:val="single" w:sz="4" w:space="0" w:color="auto"/>
              <w:left w:val="nil"/>
              <w:bottom w:val="single" w:sz="4" w:space="0" w:color="auto"/>
              <w:right w:val="single" w:sz="4" w:space="0" w:color="auto"/>
            </w:tcBorders>
          </w:tcPr>
          <w:p w14:paraId="09F4FAF9" w14:textId="77777777" w:rsidR="00FD4AE1" w:rsidRPr="00E914FB" w:rsidRDefault="00FD4AE1" w:rsidP="00890582">
            <w:pPr>
              <w:spacing w:after="0" w:line="300" w:lineRule="auto"/>
              <w:jc w:val="center"/>
              <w:rPr>
                <w:rFonts w:cstheme="minorHAnsi"/>
                <w:sz w:val="20"/>
                <w:szCs w:val="20"/>
              </w:rPr>
            </w:pPr>
          </w:p>
        </w:tc>
      </w:tr>
      <w:tr w:rsidR="00FD4AE1" w:rsidRPr="00E914FB" w14:paraId="01892B04" w14:textId="77777777" w:rsidTr="00890582">
        <w:tc>
          <w:tcPr>
            <w:tcW w:w="2235" w:type="dxa"/>
            <w:tcBorders>
              <w:top w:val="single" w:sz="4" w:space="0" w:color="auto"/>
            </w:tcBorders>
            <w:shd w:val="clear" w:color="auto" w:fill="auto"/>
          </w:tcPr>
          <w:p w14:paraId="1D983969" w14:textId="77777777" w:rsidR="00FD4AE1" w:rsidRPr="00E914FB" w:rsidRDefault="00FD4AE1" w:rsidP="00890582">
            <w:pPr>
              <w:spacing w:after="0" w:line="300" w:lineRule="auto"/>
              <w:ind w:left="162" w:hanging="180"/>
              <w:rPr>
                <w:rFonts w:cstheme="minorHAnsi"/>
                <w:sz w:val="20"/>
                <w:szCs w:val="20"/>
              </w:rPr>
            </w:pPr>
            <w:r w:rsidRPr="00E914FB">
              <w:rPr>
                <w:rFonts w:cstheme="minorHAnsi"/>
                <w:sz w:val="20"/>
                <w:szCs w:val="20"/>
              </w:rPr>
              <w:t>&lt; 10-8 g/dL (Grade 2)</w:t>
            </w:r>
          </w:p>
        </w:tc>
        <w:tc>
          <w:tcPr>
            <w:tcW w:w="1275" w:type="dxa"/>
            <w:tcBorders>
              <w:top w:val="single" w:sz="4" w:space="0" w:color="auto"/>
            </w:tcBorders>
            <w:shd w:val="clear" w:color="auto" w:fill="auto"/>
          </w:tcPr>
          <w:p w14:paraId="73DF3BFF"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41/765 (5.4%)</w:t>
            </w:r>
          </w:p>
        </w:tc>
        <w:tc>
          <w:tcPr>
            <w:tcW w:w="1134" w:type="dxa"/>
            <w:tcBorders>
              <w:top w:val="single" w:sz="4" w:space="0" w:color="auto"/>
            </w:tcBorders>
            <w:shd w:val="clear" w:color="auto" w:fill="auto"/>
          </w:tcPr>
          <w:p w14:paraId="560D9115"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418" w:type="dxa"/>
            <w:tcBorders>
              <w:top w:val="single" w:sz="4" w:space="0" w:color="auto"/>
            </w:tcBorders>
            <w:shd w:val="clear" w:color="auto" w:fill="auto"/>
          </w:tcPr>
          <w:p w14:paraId="6183BE99" w14:textId="77777777" w:rsidR="00FD4AE1" w:rsidRPr="00E914FB" w:rsidRDefault="00FD4AE1" w:rsidP="00890582">
            <w:pPr>
              <w:pStyle w:val="TableCenter"/>
              <w:spacing w:before="0" w:after="0" w:line="300" w:lineRule="auto"/>
              <w:rPr>
                <w:rFonts w:asciiTheme="minorHAnsi" w:hAnsiTheme="minorHAnsi" w:cstheme="minorHAnsi"/>
                <w:lang w:val="en-AU"/>
              </w:rPr>
            </w:pPr>
            <w:r w:rsidRPr="00E914FB">
              <w:rPr>
                <w:rFonts w:asciiTheme="minorHAnsi" w:hAnsiTheme="minorHAnsi" w:cstheme="minorHAnsi"/>
                <w:lang w:val="en-AU"/>
              </w:rPr>
              <w:t>23/401 (5.7%)</w:t>
            </w:r>
          </w:p>
        </w:tc>
        <w:tc>
          <w:tcPr>
            <w:tcW w:w="1134" w:type="dxa"/>
            <w:tcBorders>
              <w:top w:val="single" w:sz="4" w:space="0" w:color="auto"/>
            </w:tcBorders>
            <w:shd w:val="clear" w:color="auto" w:fill="auto"/>
          </w:tcPr>
          <w:p w14:paraId="1633E9F9" w14:textId="77777777" w:rsidR="00FD4AE1" w:rsidRPr="00E914FB" w:rsidRDefault="00FD4AE1" w:rsidP="00890582">
            <w:pPr>
              <w:pStyle w:val="TableCenter"/>
              <w:spacing w:before="0" w:after="0" w:line="300" w:lineRule="auto"/>
              <w:rPr>
                <w:rFonts w:asciiTheme="minorHAnsi" w:hAnsiTheme="minorHAnsi" w:cstheme="minorHAnsi"/>
                <w:lang w:val="en-AU"/>
              </w:rPr>
            </w:pPr>
            <w:r w:rsidRPr="00E914FB">
              <w:rPr>
                <w:rFonts w:asciiTheme="minorHAnsi" w:hAnsiTheme="minorHAnsi" w:cstheme="minorHAnsi"/>
                <w:lang w:val="en-AU"/>
              </w:rPr>
              <w:t>0</w:t>
            </w:r>
          </w:p>
        </w:tc>
        <w:tc>
          <w:tcPr>
            <w:tcW w:w="1843" w:type="dxa"/>
            <w:tcBorders>
              <w:top w:val="single" w:sz="4" w:space="0" w:color="auto"/>
            </w:tcBorders>
          </w:tcPr>
          <w:p w14:paraId="60A3A8A2"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30/380 (7.9%)</w:t>
            </w:r>
          </w:p>
        </w:tc>
      </w:tr>
      <w:tr w:rsidR="00FD4AE1" w:rsidRPr="00E914FB" w14:paraId="4DF00E95" w14:textId="77777777" w:rsidTr="00890582">
        <w:tc>
          <w:tcPr>
            <w:tcW w:w="2235" w:type="dxa"/>
            <w:shd w:val="clear" w:color="auto" w:fill="auto"/>
          </w:tcPr>
          <w:p w14:paraId="0643FBF8" w14:textId="77777777" w:rsidR="00FD4AE1" w:rsidRPr="00E914FB" w:rsidRDefault="00FD4AE1" w:rsidP="00890582">
            <w:pPr>
              <w:spacing w:after="0" w:line="300" w:lineRule="auto"/>
              <w:ind w:left="162" w:hanging="162"/>
              <w:rPr>
                <w:rFonts w:cstheme="minorHAnsi"/>
                <w:sz w:val="20"/>
                <w:szCs w:val="20"/>
              </w:rPr>
            </w:pPr>
            <w:r w:rsidRPr="00E914FB">
              <w:rPr>
                <w:rFonts w:cstheme="minorHAnsi"/>
                <w:sz w:val="20"/>
                <w:szCs w:val="20"/>
              </w:rPr>
              <w:t xml:space="preserve">&lt; 8-6.5 g/dL (Grade 3) </w:t>
            </w:r>
          </w:p>
        </w:tc>
        <w:tc>
          <w:tcPr>
            <w:tcW w:w="1275" w:type="dxa"/>
            <w:shd w:val="clear" w:color="auto" w:fill="auto"/>
          </w:tcPr>
          <w:p w14:paraId="7925FF74"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1/765 (0.1%)</w:t>
            </w:r>
          </w:p>
        </w:tc>
        <w:tc>
          <w:tcPr>
            <w:tcW w:w="1134" w:type="dxa"/>
            <w:shd w:val="clear" w:color="auto" w:fill="auto"/>
          </w:tcPr>
          <w:p w14:paraId="41C610D8"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418" w:type="dxa"/>
            <w:shd w:val="clear" w:color="auto" w:fill="auto"/>
          </w:tcPr>
          <w:p w14:paraId="66810EC0" w14:textId="77777777" w:rsidR="00FD4AE1" w:rsidRPr="00E914FB" w:rsidRDefault="00FD4AE1" w:rsidP="00890582">
            <w:pPr>
              <w:pStyle w:val="TableCenter"/>
              <w:spacing w:before="0" w:after="0" w:line="300" w:lineRule="auto"/>
              <w:rPr>
                <w:rFonts w:asciiTheme="minorHAnsi" w:hAnsiTheme="minorHAnsi" w:cstheme="minorHAnsi"/>
                <w:lang w:val="en-AU"/>
              </w:rPr>
            </w:pPr>
            <w:r w:rsidRPr="00E914FB">
              <w:rPr>
                <w:rFonts w:asciiTheme="minorHAnsi" w:hAnsiTheme="minorHAnsi" w:cstheme="minorHAnsi"/>
                <w:lang w:val="en-AU"/>
              </w:rPr>
              <w:t>2/401 (0.5%)</w:t>
            </w:r>
          </w:p>
        </w:tc>
        <w:tc>
          <w:tcPr>
            <w:tcW w:w="1134" w:type="dxa"/>
            <w:shd w:val="clear" w:color="auto" w:fill="auto"/>
          </w:tcPr>
          <w:p w14:paraId="001FC541" w14:textId="77777777" w:rsidR="00FD4AE1" w:rsidRPr="00E914FB" w:rsidRDefault="00FD4AE1" w:rsidP="00890582">
            <w:pPr>
              <w:pStyle w:val="TableCenter"/>
              <w:spacing w:before="0" w:after="0" w:line="300" w:lineRule="auto"/>
              <w:rPr>
                <w:rFonts w:asciiTheme="minorHAnsi" w:hAnsiTheme="minorHAnsi" w:cstheme="minorHAnsi"/>
                <w:lang w:val="en-AU"/>
              </w:rPr>
            </w:pPr>
            <w:r w:rsidRPr="00E914FB">
              <w:rPr>
                <w:rFonts w:asciiTheme="minorHAnsi" w:hAnsiTheme="minorHAnsi" w:cstheme="minorHAnsi"/>
                <w:lang w:val="en-AU"/>
              </w:rPr>
              <w:t>0</w:t>
            </w:r>
          </w:p>
        </w:tc>
        <w:tc>
          <w:tcPr>
            <w:tcW w:w="1843" w:type="dxa"/>
          </w:tcPr>
          <w:p w14:paraId="5DDEF87F"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3/380 (0.8%)</w:t>
            </w:r>
          </w:p>
        </w:tc>
      </w:tr>
      <w:tr w:rsidR="00FD4AE1" w:rsidRPr="00E914FB" w14:paraId="452AB46C" w14:textId="77777777" w:rsidTr="00890582">
        <w:trPr>
          <w:trHeight w:val="230"/>
        </w:trPr>
        <w:tc>
          <w:tcPr>
            <w:tcW w:w="2235" w:type="dxa"/>
            <w:tcBorders>
              <w:bottom w:val="single" w:sz="4" w:space="0" w:color="auto"/>
            </w:tcBorders>
            <w:shd w:val="clear" w:color="auto" w:fill="auto"/>
          </w:tcPr>
          <w:p w14:paraId="0D6C4851" w14:textId="77777777" w:rsidR="00FD4AE1" w:rsidRPr="00E914FB" w:rsidRDefault="00FD4AE1" w:rsidP="00890582">
            <w:pPr>
              <w:spacing w:after="0" w:line="300" w:lineRule="auto"/>
              <w:rPr>
                <w:rFonts w:cstheme="minorHAnsi"/>
                <w:sz w:val="20"/>
                <w:szCs w:val="20"/>
              </w:rPr>
            </w:pPr>
            <w:r w:rsidRPr="00E914FB">
              <w:rPr>
                <w:rFonts w:cstheme="minorHAnsi"/>
                <w:sz w:val="20"/>
                <w:szCs w:val="20"/>
              </w:rPr>
              <w:t>&lt; 6.5 g/dL (Grade 4)</w:t>
            </w:r>
          </w:p>
        </w:tc>
        <w:tc>
          <w:tcPr>
            <w:tcW w:w="1275" w:type="dxa"/>
            <w:tcBorders>
              <w:bottom w:val="single" w:sz="4" w:space="0" w:color="auto"/>
            </w:tcBorders>
            <w:shd w:val="clear" w:color="auto" w:fill="auto"/>
          </w:tcPr>
          <w:p w14:paraId="0E1F0B45"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134" w:type="dxa"/>
            <w:tcBorders>
              <w:bottom w:val="single" w:sz="4" w:space="0" w:color="auto"/>
            </w:tcBorders>
            <w:shd w:val="clear" w:color="auto" w:fill="auto"/>
          </w:tcPr>
          <w:p w14:paraId="58000040"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418" w:type="dxa"/>
            <w:tcBorders>
              <w:bottom w:val="single" w:sz="4" w:space="0" w:color="auto"/>
            </w:tcBorders>
            <w:shd w:val="clear" w:color="auto" w:fill="auto"/>
          </w:tcPr>
          <w:p w14:paraId="13167B35" w14:textId="77777777" w:rsidR="00FD4AE1" w:rsidRPr="00E914FB" w:rsidRDefault="00FD4AE1" w:rsidP="00890582">
            <w:pPr>
              <w:pStyle w:val="TableCenter"/>
              <w:spacing w:before="0" w:after="0" w:line="300" w:lineRule="auto"/>
              <w:rPr>
                <w:rFonts w:asciiTheme="minorHAnsi" w:hAnsiTheme="minorHAnsi" w:cstheme="minorHAnsi"/>
                <w:lang w:val="en-AU"/>
              </w:rPr>
            </w:pPr>
            <w:r w:rsidRPr="00E914FB">
              <w:rPr>
                <w:rFonts w:asciiTheme="minorHAnsi" w:hAnsiTheme="minorHAnsi" w:cstheme="minorHAnsi"/>
                <w:lang w:val="en-AU"/>
              </w:rPr>
              <w:t>0</w:t>
            </w:r>
          </w:p>
        </w:tc>
        <w:tc>
          <w:tcPr>
            <w:tcW w:w="1134" w:type="dxa"/>
            <w:tcBorders>
              <w:bottom w:val="single" w:sz="4" w:space="0" w:color="auto"/>
            </w:tcBorders>
            <w:shd w:val="clear" w:color="auto" w:fill="auto"/>
          </w:tcPr>
          <w:p w14:paraId="60815F91" w14:textId="77777777" w:rsidR="00FD4AE1" w:rsidRPr="00E914FB" w:rsidRDefault="00FD4AE1" w:rsidP="00890582">
            <w:pPr>
              <w:pStyle w:val="TableCenter"/>
              <w:spacing w:before="0" w:after="0" w:line="300" w:lineRule="auto"/>
              <w:rPr>
                <w:rFonts w:asciiTheme="minorHAnsi" w:hAnsiTheme="minorHAnsi" w:cstheme="minorHAnsi"/>
                <w:lang w:val="en-AU"/>
              </w:rPr>
            </w:pPr>
            <w:r w:rsidRPr="00E914FB">
              <w:rPr>
                <w:rFonts w:asciiTheme="minorHAnsi" w:hAnsiTheme="minorHAnsi" w:cstheme="minorHAnsi"/>
                <w:lang w:val="en-AU"/>
              </w:rPr>
              <w:t>0</w:t>
            </w:r>
          </w:p>
        </w:tc>
        <w:tc>
          <w:tcPr>
            <w:tcW w:w="1843" w:type="dxa"/>
            <w:tcBorders>
              <w:bottom w:val="single" w:sz="4" w:space="0" w:color="auto"/>
            </w:tcBorders>
          </w:tcPr>
          <w:p w14:paraId="5E3C2A2C"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1/380 (0.3%)</w:t>
            </w:r>
          </w:p>
        </w:tc>
      </w:tr>
      <w:tr w:rsidR="00FD4AE1" w:rsidRPr="00E914FB" w14:paraId="40EC7219" w14:textId="77777777" w:rsidTr="00890582">
        <w:tc>
          <w:tcPr>
            <w:tcW w:w="2235" w:type="dxa"/>
            <w:tcBorders>
              <w:top w:val="single" w:sz="4" w:space="0" w:color="auto"/>
              <w:left w:val="single" w:sz="4" w:space="0" w:color="auto"/>
              <w:bottom w:val="single" w:sz="4" w:space="0" w:color="auto"/>
              <w:right w:val="nil"/>
            </w:tcBorders>
            <w:shd w:val="clear" w:color="auto" w:fill="auto"/>
          </w:tcPr>
          <w:p w14:paraId="1258764B" w14:textId="77777777" w:rsidR="00FD4AE1" w:rsidRPr="00E914FB" w:rsidRDefault="00FD4AE1" w:rsidP="00890582">
            <w:pPr>
              <w:spacing w:after="0" w:line="300" w:lineRule="auto"/>
              <w:rPr>
                <w:rFonts w:cstheme="minorHAnsi"/>
                <w:b/>
                <w:sz w:val="20"/>
                <w:szCs w:val="20"/>
              </w:rPr>
            </w:pPr>
            <w:r w:rsidRPr="00E914FB">
              <w:rPr>
                <w:rFonts w:cstheme="minorHAnsi"/>
                <w:b/>
                <w:sz w:val="20"/>
                <w:szCs w:val="20"/>
              </w:rPr>
              <w:t>Total Bilirubin</w:t>
            </w:r>
          </w:p>
        </w:tc>
        <w:tc>
          <w:tcPr>
            <w:tcW w:w="1275" w:type="dxa"/>
            <w:tcBorders>
              <w:top w:val="single" w:sz="4" w:space="0" w:color="auto"/>
              <w:left w:val="nil"/>
              <w:bottom w:val="single" w:sz="4" w:space="0" w:color="auto"/>
              <w:right w:val="nil"/>
            </w:tcBorders>
            <w:shd w:val="clear" w:color="auto" w:fill="auto"/>
          </w:tcPr>
          <w:p w14:paraId="66BED3AA" w14:textId="77777777" w:rsidR="00FD4AE1" w:rsidRPr="00E914FB" w:rsidRDefault="00FD4AE1" w:rsidP="00890582">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41CB1858" w14:textId="77777777" w:rsidR="00FD4AE1" w:rsidRPr="00E914FB" w:rsidRDefault="00FD4AE1" w:rsidP="00890582">
            <w:pPr>
              <w:spacing w:after="0" w:line="300" w:lineRule="auto"/>
              <w:jc w:val="center"/>
              <w:rPr>
                <w:rFonts w:cstheme="minorHAnsi"/>
                <w:sz w:val="20"/>
                <w:szCs w:val="20"/>
              </w:rPr>
            </w:pPr>
          </w:p>
        </w:tc>
        <w:tc>
          <w:tcPr>
            <w:tcW w:w="1418" w:type="dxa"/>
            <w:tcBorders>
              <w:top w:val="single" w:sz="4" w:space="0" w:color="auto"/>
              <w:left w:val="nil"/>
              <w:bottom w:val="single" w:sz="4" w:space="0" w:color="auto"/>
              <w:right w:val="nil"/>
            </w:tcBorders>
            <w:shd w:val="clear" w:color="auto" w:fill="auto"/>
          </w:tcPr>
          <w:p w14:paraId="2771BDEA" w14:textId="77777777" w:rsidR="00FD4AE1" w:rsidRPr="00E914FB" w:rsidRDefault="00FD4AE1" w:rsidP="00890582">
            <w:pPr>
              <w:spacing w:after="0" w:line="300" w:lineRule="auto"/>
              <w:jc w:val="center"/>
              <w:rPr>
                <w:rFonts w:cstheme="minorHAnsi"/>
                <w:sz w:val="20"/>
                <w:szCs w:val="20"/>
              </w:rPr>
            </w:pPr>
          </w:p>
        </w:tc>
        <w:tc>
          <w:tcPr>
            <w:tcW w:w="1134" w:type="dxa"/>
            <w:tcBorders>
              <w:top w:val="single" w:sz="4" w:space="0" w:color="auto"/>
              <w:left w:val="nil"/>
              <w:bottom w:val="single" w:sz="4" w:space="0" w:color="auto"/>
              <w:right w:val="nil"/>
            </w:tcBorders>
            <w:shd w:val="clear" w:color="auto" w:fill="auto"/>
          </w:tcPr>
          <w:p w14:paraId="518F7A98" w14:textId="77777777" w:rsidR="00FD4AE1" w:rsidRPr="00E914FB" w:rsidRDefault="00FD4AE1" w:rsidP="00890582">
            <w:pPr>
              <w:spacing w:after="0" w:line="300" w:lineRule="auto"/>
              <w:jc w:val="center"/>
              <w:rPr>
                <w:rFonts w:cstheme="minorHAnsi"/>
                <w:sz w:val="20"/>
                <w:szCs w:val="20"/>
              </w:rPr>
            </w:pPr>
          </w:p>
        </w:tc>
        <w:tc>
          <w:tcPr>
            <w:tcW w:w="1843" w:type="dxa"/>
            <w:tcBorders>
              <w:top w:val="single" w:sz="4" w:space="0" w:color="auto"/>
              <w:left w:val="nil"/>
              <w:bottom w:val="single" w:sz="4" w:space="0" w:color="auto"/>
              <w:right w:val="single" w:sz="4" w:space="0" w:color="auto"/>
            </w:tcBorders>
          </w:tcPr>
          <w:p w14:paraId="085F0917" w14:textId="77777777" w:rsidR="00FD4AE1" w:rsidRPr="00E914FB" w:rsidRDefault="00FD4AE1" w:rsidP="00890582">
            <w:pPr>
              <w:spacing w:after="0" w:line="300" w:lineRule="auto"/>
              <w:jc w:val="center"/>
              <w:rPr>
                <w:rFonts w:cstheme="minorHAnsi"/>
                <w:sz w:val="20"/>
                <w:szCs w:val="20"/>
              </w:rPr>
            </w:pPr>
          </w:p>
        </w:tc>
      </w:tr>
      <w:tr w:rsidR="00FD4AE1" w:rsidRPr="00E914FB" w14:paraId="39F5BDFC" w14:textId="77777777" w:rsidTr="00890582">
        <w:trPr>
          <w:trHeight w:val="284"/>
        </w:trPr>
        <w:tc>
          <w:tcPr>
            <w:tcW w:w="2235" w:type="dxa"/>
            <w:tcBorders>
              <w:top w:val="single" w:sz="4" w:space="0" w:color="auto"/>
            </w:tcBorders>
            <w:shd w:val="clear" w:color="auto" w:fill="auto"/>
          </w:tcPr>
          <w:p w14:paraId="49E21281" w14:textId="77777777" w:rsidR="00FD4AE1" w:rsidRPr="00E914FB" w:rsidRDefault="00FD4AE1" w:rsidP="00890582">
            <w:pPr>
              <w:spacing w:after="0" w:line="300" w:lineRule="auto"/>
              <w:ind w:left="162" w:hanging="90"/>
              <w:rPr>
                <w:rFonts w:cstheme="minorHAnsi"/>
                <w:sz w:val="20"/>
                <w:szCs w:val="20"/>
              </w:rPr>
            </w:pPr>
            <w:r w:rsidRPr="00E914FB">
              <w:rPr>
                <w:rFonts w:cstheme="minorHAnsi"/>
                <w:sz w:val="20"/>
                <w:szCs w:val="20"/>
              </w:rPr>
              <w:t>&gt; 3-10 × ULN (Grade 3)</w:t>
            </w:r>
          </w:p>
        </w:tc>
        <w:tc>
          <w:tcPr>
            <w:tcW w:w="1275" w:type="dxa"/>
            <w:tcBorders>
              <w:top w:val="single" w:sz="4" w:space="0" w:color="auto"/>
            </w:tcBorders>
            <w:shd w:val="clear" w:color="auto" w:fill="auto"/>
          </w:tcPr>
          <w:p w14:paraId="00ECCE83"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19/765 (2.5%)</w:t>
            </w:r>
          </w:p>
        </w:tc>
        <w:tc>
          <w:tcPr>
            <w:tcW w:w="1134" w:type="dxa"/>
            <w:tcBorders>
              <w:top w:val="single" w:sz="4" w:space="0" w:color="auto"/>
            </w:tcBorders>
            <w:shd w:val="clear" w:color="auto" w:fill="auto"/>
          </w:tcPr>
          <w:p w14:paraId="17BB1D6E"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418" w:type="dxa"/>
            <w:tcBorders>
              <w:top w:val="single" w:sz="4" w:space="0" w:color="auto"/>
            </w:tcBorders>
            <w:shd w:val="clear" w:color="auto" w:fill="auto"/>
          </w:tcPr>
          <w:p w14:paraId="0064D464"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23/401 (5.7%)</w:t>
            </w:r>
          </w:p>
        </w:tc>
        <w:tc>
          <w:tcPr>
            <w:tcW w:w="1134" w:type="dxa"/>
            <w:tcBorders>
              <w:top w:val="single" w:sz="4" w:space="0" w:color="auto"/>
            </w:tcBorders>
            <w:shd w:val="clear" w:color="auto" w:fill="auto"/>
          </w:tcPr>
          <w:p w14:paraId="3734ADA0" w14:textId="77777777" w:rsidR="00FD4AE1" w:rsidRPr="00E914FB" w:rsidRDefault="00FD4AE1" w:rsidP="00890582">
            <w:pPr>
              <w:spacing w:after="0" w:line="300" w:lineRule="auto"/>
              <w:jc w:val="center"/>
              <w:rPr>
                <w:rFonts w:cstheme="minorHAnsi"/>
                <w:sz w:val="20"/>
                <w:szCs w:val="20"/>
              </w:rPr>
            </w:pPr>
            <w:r w:rsidRPr="00E914FB">
              <w:rPr>
                <w:rFonts w:cstheme="minorHAnsi"/>
                <w:bCs/>
                <w:sz w:val="20"/>
                <w:szCs w:val="20"/>
              </w:rPr>
              <w:t>2/509 (0.4%)</w:t>
            </w:r>
          </w:p>
        </w:tc>
        <w:tc>
          <w:tcPr>
            <w:tcW w:w="1843" w:type="dxa"/>
            <w:tcBorders>
              <w:top w:val="single" w:sz="4" w:space="0" w:color="auto"/>
            </w:tcBorders>
          </w:tcPr>
          <w:p w14:paraId="7AF5922D"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37/380 (9.7%)</w:t>
            </w:r>
          </w:p>
        </w:tc>
      </w:tr>
      <w:tr w:rsidR="00FD4AE1" w:rsidRPr="00E914FB" w14:paraId="7B273604" w14:textId="77777777" w:rsidTr="00890582">
        <w:trPr>
          <w:trHeight w:val="269"/>
        </w:trPr>
        <w:tc>
          <w:tcPr>
            <w:tcW w:w="2235" w:type="dxa"/>
            <w:shd w:val="clear" w:color="auto" w:fill="auto"/>
          </w:tcPr>
          <w:p w14:paraId="23864D22" w14:textId="77777777" w:rsidR="00FD4AE1" w:rsidRPr="00E914FB" w:rsidRDefault="00FD4AE1" w:rsidP="00890582">
            <w:pPr>
              <w:spacing w:after="0" w:line="300" w:lineRule="auto"/>
              <w:ind w:left="162" w:hanging="90"/>
              <w:rPr>
                <w:rFonts w:cstheme="minorHAnsi"/>
                <w:sz w:val="20"/>
                <w:szCs w:val="20"/>
              </w:rPr>
            </w:pPr>
            <w:r w:rsidRPr="00E914FB">
              <w:rPr>
                <w:rFonts w:cstheme="minorHAnsi"/>
                <w:sz w:val="20"/>
                <w:szCs w:val="20"/>
              </w:rPr>
              <w:t>&gt; 10 × ULN (Grade 4)</w:t>
            </w:r>
          </w:p>
        </w:tc>
        <w:tc>
          <w:tcPr>
            <w:tcW w:w="1275" w:type="dxa"/>
            <w:shd w:val="clear" w:color="auto" w:fill="auto"/>
          </w:tcPr>
          <w:p w14:paraId="7249C9FF"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1/765 (0.1%)</w:t>
            </w:r>
          </w:p>
        </w:tc>
        <w:tc>
          <w:tcPr>
            <w:tcW w:w="1134" w:type="dxa"/>
            <w:shd w:val="clear" w:color="auto" w:fill="auto"/>
          </w:tcPr>
          <w:p w14:paraId="13D721C4"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418" w:type="dxa"/>
            <w:shd w:val="clear" w:color="auto" w:fill="auto"/>
          </w:tcPr>
          <w:p w14:paraId="3F3725DC"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134" w:type="dxa"/>
            <w:shd w:val="clear" w:color="auto" w:fill="auto"/>
          </w:tcPr>
          <w:p w14:paraId="41B4319A"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c>
          <w:tcPr>
            <w:tcW w:w="1843" w:type="dxa"/>
          </w:tcPr>
          <w:p w14:paraId="38DFC221" w14:textId="77777777" w:rsidR="00FD4AE1" w:rsidRPr="00E914FB" w:rsidRDefault="00FD4AE1" w:rsidP="00890582">
            <w:pPr>
              <w:spacing w:after="0" w:line="300" w:lineRule="auto"/>
              <w:jc w:val="center"/>
              <w:rPr>
                <w:rFonts w:cstheme="minorHAnsi"/>
                <w:sz w:val="20"/>
                <w:szCs w:val="20"/>
              </w:rPr>
            </w:pPr>
            <w:r w:rsidRPr="00E914FB">
              <w:rPr>
                <w:rFonts w:cstheme="minorHAnsi"/>
                <w:sz w:val="20"/>
                <w:szCs w:val="20"/>
              </w:rPr>
              <w:t>0</w:t>
            </w:r>
          </w:p>
        </w:tc>
      </w:tr>
      <w:tr w:rsidR="00FD4AE1" w:rsidRPr="00E914FB" w14:paraId="5F5A9D78" w14:textId="77777777" w:rsidTr="00890582">
        <w:tc>
          <w:tcPr>
            <w:tcW w:w="9039" w:type="dxa"/>
            <w:gridSpan w:val="6"/>
            <w:shd w:val="clear" w:color="auto" w:fill="auto"/>
          </w:tcPr>
          <w:p w14:paraId="2A5022FA" w14:textId="77777777" w:rsidR="00FD4AE1" w:rsidRPr="00E914FB" w:rsidRDefault="00FD4AE1" w:rsidP="00890582">
            <w:pPr>
              <w:spacing w:after="0" w:line="300" w:lineRule="auto"/>
              <w:rPr>
                <w:rFonts w:cstheme="minorHAnsi"/>
                <w:sz w:val="20"/>
                <w:szCs w:val="20"/>
              </w:rPr>
            </w:pPr>
            <w:r w:rsidRPr="00E914FB">
              <w:rPr>
                <w:rFonts w:cstheme="minorHAnsi"/>
                <w:sz w:val="20"/>
                <w:szCs w:val="20"/>
              </w:rPr>
              <w:t>*ULN: Upper Limit of Normal according to testing laboratory.</w:t>
            </w:r>
          </w:p>
        </w:tc>
      </w:tr>
    </w:tbl>
    <w:p w14:paraId="3257FDD4" w14:textId="72657FC0" w:rsidR="00FD4AE1" w:rsidRPr="00E914FB" w:rsidRDefault="00FD4AE1" w:rsidP="00CC32CC">
      <w:pPr>
        <w:spacing w:line="240" w:lineRule="auto"/>
        <w:jc w:val="both"/>
        <w:rPr>
          <w:rFonts w:cs="Arial"/>
        </w:rPr>
      </w:pPr>
    </w:p>
    <w:p w14:paraId="74B183CE" w14:textId="77777777" w:rsidR="00FD4AE1" w:rsidRPr="00E914FB" w:rsidRDefault="00FD4AE1" w:rsidP="00CC32CC">
      <w:pPr>
        <w:spacing w:line="240" w:lineRule="auto"/>
        <w:jc w:val="both"/>
        <w:rPr>
          <w:rFonts w:eastAsia="MS Mincho" w:cs="Arial"/>
          <w:u w:val="single"/>
          <w:lang w:eastAsia="ja-JP"/>
        </w:rPr>
      </w:pPr>
      <w:r w:rsidRPr="00E914FB">
        <w:rPr>
          <w:rFonts w:eastAsia="MS Mincho" w:cs="Arial"/>
          <w:u w:val="single"/>
          <w:lang w:eastAsia="ja-JP"/>
        </w:rPr>
        <w:lastRenderedPageBreak/>
        <w:t>Serum ALT elevations</w:t>
      </w:r>
    </w:p>
    <w:p w14:paraId="2F9ABF54" w14:textId="78914089" w:rsidR="00DA417B" w:rsidRPr="00E914FB" w:rsidRDefault="00FD4AE1" w:rsidP="00CC32CC">
      <w:pPr>
        <w:spacing w:line="240" w:lineRule="auto"/>
        <w:jc w:val="both"/>
        <w:rPr>
          <w:rFonts w:cs="Arial"/>
          <w:iCs/>
        </w:rPr>
      </w:pPr>
      <w:r w:rsidRPr="00E914FB">
        <w:rPr>
          <w:rFonts w:cs="Arial"/>
          <w:iCs/>
        </w:rPr>
        <w:t xml:space="preserve">During clinical trials with </w:t>
      </w:r>
      <w:r w:rsidR="00222E29" w:rsidRPr="00E914FB">
        <w:rPr>
          <w:rFonts w:cs="Arial"/>
          <w:iCs/>
        </w:rPr>
        <w:t>VIEKIRA PAK</w:t>
      </w:r>
      <w:r w:rsidR="00064267" w:rsidRPr="00064267">
        <w:rPr>
          <w:rFonts w:cs="Arial"/>
          <w:iCs/>
        </w:rPr>
        <w:t xml:space="preserve"> </w:t>
      </w:r>
      <w:r w:rsidR="00064267" w:rsidRPr="00314EB7">
        <w:rPr>
          <w:rFonts w:cs="Arial"/>
          <w:iCs/>
        </w:rPr>
        <w:t>and VIEKIRA PAK</w:t>
      </w:r>
      <w:r w:rsidR="000F4CF2">
        <w:rPr>
          <w:rFonts w:cs="Arial"/>
          <w:iCs/>
        </w:rPr>
        <w:t>-</w:t>
      </w:r>
      <w:r w:rsidR="00064267">
        <w:rPr>
          <w:rFonts w:cs="Arial"/>
          <w:iCs/>
        </w:rPr>
        <w:t>RBV</w:t>
      </w:r>
      <w:r w:rsidRPr="00E914FB">
        <w:rPr>
          <w:rFonts w:cs="Arial"/>
          <w:iCs/>
        </w:rPr>
        <w:t xml:space="preserve">, less than 1% of subjects who were not on systemic ethinyl estradiol-containing medications experienced transient serum ALT levels greater than 5 times the upper limit of normal (ULN) after starting treatment.  These elevations were asymptomatic, </w:t>
      </w:r>
      <w:r w:rsidRPr="00E914FB">
        <w:rPr>
          <w:rFonts w:cs="Arial"/>
          <w:bCs/>
          <w:iCs/>
        </w:rPr>
        <w:t>generally</w:t>
      </w:r>
      <w:r w:rsidRPr="00E914FB">
        <w:rPr>
          <w:rFonts w:cs="Arial"/>
          <w:b/>
          <w:bCs/>
          <w:iCs/>
        </w:rPr>
        <w:t xml:space="preserve"> </w:t>
      </w:r>
      <w:r w:rsidRPr="00E914FB">
        <w:rPr>
          <w:rFonts w:cs="Arial"/>
          <w:iCs/>
        </w:rPr>
        <w:t xml:space="preserve">occurred during the first 4 weeks of treatment and resolved with ongoing therapy.  Elevations in ALT were generally not associated with bilirubin elevations.  Cirrhosis was not a risk factor for elevated ALT (see PRECAUTIONS). </w:t>
      </w:r>
    </w:p>
    <w:p w14:paraId="72CE72F0" w14:textId="77777777" w:rsidR="00885509" w:rsidRDefault="00885509" w:rsidP="00CC32CC">
      <w:pPr>
        <w:spacing w:line="240" w:lineRule="auto"/>
        <w:jc w:val="both"/>
        <w:rPr>
          <w:rFonts w:eastAsia="MS Mincho" w:cs="Arial"/>
          <w:u w:val="single"/>
          <w:lang w:eastAsia="ja-JP"/>
        </w:rPr>
      </w:pPr>
    </w:p>
    <w:p w14:paraId="2F9ABF55" w14:textId="77777777" w:rsidR="00DA417B" w:rsidRPr="00E914FB" w:rsidRDefault="00356BCD" w:rsidP="00CC32CC">
      <w:pPr>
        <w:spacing w:line="240" w:lineRule="auto"/>
        <w:jc w:val="both"/>
        <w:rPr>
          <w:rFonts w:eastAsia="MS Mincho" w:cs="Arial"/>
          <w:u w:val="single"/>
          <w:lang w:eastAsia="ja-JP"/>
        </w:rPr>
      </w:pPr>
      <w:r w:rsidRPr="00E914FB">
        <w:rPr>
          <w:rFonts w:eastAsia="MS Mincho" w:cs="Arial"/>
          <w:u w:val="single"/>
          <w:lang w:eastAsia="ja-JP"/>
        </w:rPr>
        <w:t xml:space="preserve">Serum Bilirubin Elevations </w:t>
      </w:r>
    </w:p>
    <w:p w14:paraId="2F9ABF56" w14:textId="61CF09AA" w:rsidR="00DA417B" w:rsidRPr="00E914FB" w:rsidRDefault="00FD4AE1" w:rsidP="00CC32CC">
      <w:pPr>
        <w:spacing w:line="240" w:lineRule="auto"/>
        <w:jc w:val="both"/>
        <w:rPr>
          <w:rFonts w:cs="Arial"/>
          <w:color w:val="000000"/>
        </w:rPr>
      </w:pPr>
      <w:r w:rsidRPr="00E914FB">
        <w:rPr>
          <w:rFonts w:cs="Arial"/>
          <w:iCs/>
        </w:rPr>
        <w:t xml:space="preserve">Transient elevations in bilirubin (predominantly indirect) were observed in subjects receiving </w:t>
      </w:r>
      <w:r w:rsidR="00222E29" w:rsidRPr="00E914FB">
        <w:rPr>
          <w:rFonts w:cs="Arial"/>
          <w:iCs/>
        </w:rPr>
        <w:t>VIEKIRA PAK</w:t>
      </w:r>
      <w:r w:rsidRPr="00E914FB">
        <w:rPr>
          <w:rFonts w:cs="Arial"/>
          <w:iCs/>
        </w:rPr>
        <w:t>, related to the inhibition of the bilirubin transporters OATP1B1/1B3 by paritaprevir and ribavirin-induced haemolysis. Bilirubin elevations occurred after initiation of treatment, peaked by study Week 1, and generally resolved with ongoing therapy.  Bilirubin elevations were not associated with aminotransferase elevations.  The frequency of indirect bilirubin elevations was lower among subjects who did not receive ribavirin.</w:t>
      </w:r>
    </w:p>
    <w:p w14:paraId="2F9ABF57" w14:textId="77777777" w:rsidR="00DA417B" w:rsidRPr="00E914FB" w:rsidRDefault="00356BCD" w:rsidP="00CC32CC">
      <w:pPr>
        <w:pStyle w:val="Heading1"/>
      </w:pPr>
      <w:bookmarkStart w:id="23" w:name="_Toc383787410"/>
      <w:r w:rsidRPr="00E914FB">
        <w:t>INTERACTIONS with other medicines</w:t>
      </w:r>
      <w:bookmarkEnd w:id="23"/>
    </w:p>
    <w:p w14:paraId="6AD200EF" w14:textId="632F32C0" w:rsidR="00D9317F" w:rsidRDefault="00D9317F" w:rsidP="00CC32CC">
      <w:pPr>
        <w:keepNext/>
        <w:spacing w:line="240" w:lineRule="auto"/>
        <w:jc w:val="both"/>
        <w:rPr>
          <w:rFonts w:eastAsia="TimesNewRoman"/>
          <w:lang w:eastAsia="ja-JP"/>
        </w:rPr>
      </w:pPr>
      <w:r w:rsidRPr="00203882">
        <w:t xml:space="preserve">Also refer to the CONTRAINDICATIONS, INTERACTIONS WITH OTHER MEDICINES SECTION, </w:t>
      </w:r>
      <w:r w:rsidR="00121436">
        <w:t>Table 13</w:t>
      </w:r>
      <w:r w:rsidRPr="00203882">
        <w:t xml:space="preserve"> and PHARMACOKINETICS-Implications for Drug Interactions sections.</w:t>
      </w:r>
      <w:r>
        <w:t xml:space="preserve"> </w:t>
      </w:r>
    </w:p>
    <w:p w14:paraId="14333B40" w14:textId="407157D3" w:rsidR="00FD4AE1" w:rsidRPr="00E914FB" w:rsidRDefault="00FD4AE1" w:rsidP="00CC32CC">
      <w:pPr>
        <w:keepNext/>
        <w:spacing w:line="240" w:lineRule="auto"/>
        <w:jc w:val="both"/>
        <w:rPr>
          <w:rFonts w:eastAsia="TimesNewRoman"/>
          <w:lang w:eastAsia="ja-JP"/>
        </w:rPr>
      </w:pPr>
      <w:r w:rsidRPr="00E914FB">
        <w:rPr>
          <w:rFonts w:eastAsia="TimesNewRoman"/>
          <w:lang w:eastAsia="ja-JP"/>
        </w:rPr>
        <w:t xml:space="preserve">Recommendations for co-administration of </w:t>
      </w:r>
      <w:r w:rsidR="00222E29" w:rsidRPr="00E914FB">
        <w:rPr>
          <w:rFonts w:eastAsia="TimesNewRoman"/>
          <w:lang w:eastAsia="ja-JP"/>
        </w:rPr>
        <w:t>VIEKIRA PAK</w:t>
      </w:r>
      <w:r w:rsidRPr="00E914FB">
        <w:rPr>
          <w:rFonts w:eastAsia="TimesNewRoman"/>
          <w:lang w:eastAsia="ja-JP"/>
        </w:rPr>
        <w:t xml:space="preserve"> for a number of medicinal products are provided in </w:t>
      </w:r>
      <w:r w:rsidR="00121436">
        <w:rPr>
          <w:rFonts w:eastAsia="TimesNewRoman"/>
          <w:lang w:eastAsia="ja-JP"/>
        </w:rPr>
        <w:t>Table 13</w:t>
      </w:r>
      <w:r w:rsidR="006B4D1E">
        <w:rPr>
          <w:rFonts w:eastAsia="TimesNewRoman"/>
          <w:lang w:eastAsia="ja-JP"/>
        </w:rPr>
        <w:t>.</w:t>
      </w:r>
    </w:p>
    <w:p w14:paraId="0C74C066" w14:textId="504E00D7" w:rsidR="00FD4AE1" w:rsidRDefault="00FD4AE1" w:rsidP="00CC32CC">
      <w:pPr>
        <w:spacing w:line="240" w:lineRule="auto"/>
        <w:jc w:val="both"/>
        <w:rPr>
          <w:rFonts w:eastAsia="TimesNewRoman"/>
          <w:lang w:eastAsia="ja-JP"/>
        </w:rPr>
      </w:pPr>
      <w:r w:rsidRPr="00E914FB">
        <w:rPr>
          <w:rFonts w:eastAsia="TimesNewRoman"/>
          <w:lang w:eastAsia="ja-JP"/>
        </w:rPr>
        <w:t xml:space="preserve">If a patient is already taking medicinal product(s) or initiating a medicinal product while receiving </w:t>
      </w:r>
      <w:r w:rsidR="00222E29" w:rsidRPr="00E914FB">
        <w:rPr>
          <w:rFonts w:eastAsia="TimesNewRoman"/>
          <w:lang w:eastAsia="ja-JP"/>
        </w:rPr>
        <w:t>VIEKIRA PAK</w:t>
      </w:r>
      <w:r w:rsidRPr="00E914FB">
        <w:rPr>
          <w:rFonts w:eastAsia="TimesNewRoman"/>
          <w:lang w:eastAsia="ja-JP"/>
        </w:rPr>
        <w:t xml:space="preserve"> for which potential for drug interaction is expected, dose adjustment of the concomitant medicinal product(s) or appropriate clinical monitoring should be considered (</w:t>
      </w:r>
      <w:r w:rsidR="00121436">
        <w:rPr>
          <w:rFonts w:eastAsia="TimesNewRoman"/>
          <w:lang w:eastAsia="ja-JP"/>
        </w:rPr>
        <w:t>Table 13</w:t>
      </w:r>
      <w:r w:rsidRPr="00E914FB">
        <w:rPr>
          <w:rFonts w:eastAsia="TimesNewRoman"/>
          <w:lang w:eastAsia="ja-JP"/>
        </w:rPr>
        <w:t>).</w:t>
      </w:r>
    </w:p>
    <w:p w14:paraId="630516CB" w14:textId="4E2F762C" w:rsidR="00921D8D" w:rsidRPr="00921D8D" w:rsidRDefault="00921D8D" w:rsidP="00CC32CC">
      <w:pPr>
        <w:spacing w:line="240" w:lineRule="auto"/>
        <w:jc w:val="both"/>
        <w:rPr>
          <w:rFonts w:cs="Arial"/>
          <w:i/>
          <w:iCs/>
        </w:rPr>
      </w:pPr>
      <w:r w:rsidRPr="00314EB7">
        <w:rPr>
          <w:rFonts w:cs="Arial"/>
          <w:iCs/>
        </w:rPr>
        <w:t>A change of 0.5- to 2.0-fold in the exposures (C</w:t>
      </w:r>
      <w:r w:rsidRPr="00314EB7">
        <w:rPr>
          <w:rFonts w:cs="Arial"/>
          <w:iCs/>
          <w:vertAlign w:val="subscript"/>
        </w:rPr>
        <w:t>max</w:t>
      </w:r>
      <w:r w:rsidRPr="00314EB7">
        <w:rPr>
          <w:rFonts w:cs="Arial"/>
          <w:iCs/>
        </w:rPr>
        <w:t xml:space="preserve"> and AUC) of paritaprevir, ombitasvir and dasabuvir is not considered clinically relevant and does not require </w:t>
      </w:r>
      <w:r>
        <w:rPr>
          <w:rFonts w:cs="Arial"/>
          <w:iCs/>
        </w:rPr>
        <w:t>dose adjustment for VIEKIRA PAK</w:t>
      </w:r>
      <w:r w:rsidRPr="00314EB7">
        <w:rPr>
          <w:rFonts w:cs="Arial"/>
          <w:i/>
          <w:iCs/>
        </w:rPr>
        <w:t>.</w:t>
      </w:r>
    </w:p>
    <w:p w14:paraId="7605BABB" w14:textId="1E4CE846" w:rsidR="00FD4AE1" w:rsidRPr="00E914FB" w:rsidRDefault="00FD4AE1" w:rsidP="00CC32CC">
      <w:pPr>
        <w:spacing w:line="240" w:lineRule="auto"/>
        <w:jc w:val="both"/>
        <w:rPr>
          <w:rFonts w:eastAsia="TimesNewRoman"/>
          <w:lang w:eastAsia="ja-JP"/>
        </w:rPr>
      </w:pPr>
      <w:r w:rsidRPr="00E914FB">
        <w:rPr>
          <w:rFonts w:eastAsia="TimesNewRoman"/>
          <w:lang w:eastAsia="ja-JP"/>
        </w:rPr>
        <w:t xml:space="preserve">If dose adjustments of concomitant medicinal products are made due to treatment with VIEKIRA PAK, doses should be re-adjusted after administration of </w:t>
      </w:r>
      <w:r w:rsidR="00222E29" w:rsidRPr="00E914FB">
        <w:rPr>
          <w:rFonts w:eastAsia="TimesNewRoman"/>
          <w:lang w:eastAsia="ja-JP"/>
        </w:rPr>
        <w:t>VIEKIRA PAK</w:t>
      </w:r>
      <w:r w:rsidRPr="00E914FB">
        <w:rPr>
          <w:rFonts w:eastAsia="TimesNewRoman"/>
          <w:lang w:eastAsia="ja-JP"/>
        </w:rPr>
        <w:t xml:space="preserve"> is completed.</w:t>
      </w:r>
    </w:p>
    <w:p w14:paraId="54D9822E" w14:textId="592FE1BC" w:rsidR="00FD4AE1" w:rsidRPr="00E914FB" w:rsidRDefault="00121436" w:rsidP="00CC32CC">
      <w:pPr>
        <w:spacing w:line="240" w:lineRule="auto"/>
        <w:jc w:val="both"/>
        <w:rPr>
          <w:rFonts w:eastAsia="TimesNewRoman"/>
          <w:lang w:eastAsia="ja-JP"/>
        </w:rPr>
      </w:pPr>
      <w:r>
        <w:rPr>
          <w:rFonts w:eastAsia="TimesNewRoman"/>
          <w:lang w:eastAsia="ja-JP"/>
        </w:rPr>
        <w:t>Table 13</w:t>
      </w:r>
      <w:r w:rsidR="00FD4AE1" w:rsidRPr="00E914FB">
        <w:rPr>
          <w:rFonts w:eastAsia="TimesNewRoman"/>
          <w:lang w:eastAsia="ja-JP"/>
        </w:rPr>
        <w:t xml:space="preserve"> provides the Least Squares Means Ratio (90% Confidence Interval) effect on concentration of </w:t>
      </w:r>
      <w:r w:rsidR="00222E29" w:rsidRPr="00E914FB">
        <w:rPr>
          <w:rFonts w:eastAsia="TimesNewRoman"/>
          <w:lang w:eastAsia="ja-JP"/>
        </w:rPr>
        <w:t>VIEKIRA PAK</w:t>
      </w:r>
      <w:r w:rsidR="00FD4AE1" w:rsidRPr="00E914FB">
        <w:rPr>
          <w:rFonts w:eastAsia="TimesNewRoman"/>
          <w:lang w:eastAsia="ja-JP"/>
        </w:rPr>
        <w:t xml:space="preserve"> and concomitant medicinal products. </w:t>
      </w:r>
      <w:r w:rsidR="00DC7C25" w:rsidRPr="00E914FB">
        <w:rPr>
          <w:rFonts w:eastAsia="TimesNewRoman"/>
          <w:lang w:eastAsia="ja-JP"/>
        </w:rPr>
        <w:t xml:space="preserve">Dose adjustment is not required for </w:t>
      </w:r>
      <w:r w:rsidR="00DC7C25" w:rsidRPr="00E914FB">
        <w:rPr>
          <w:rFonts w:cs="Arial"/>
          <w:iCs/>
        </w:rPr>
        <w:t>VIEKIRA PAK</w:t>
      </w:r>
      <w:r w:rsidR="00DC7C25" w:rsidRPr="00E914FB">
        <w:rPr>
          <w:rFonts w:eastAsia="TimesNewRoman"/>
          <w:lang w:eastAsia="ja-JP"/>
        </w:rPr>
        <w:t xml:space="preserve"> when administered with the concomitant medications listed in </w:t>
      </w:r>
      <w:r>
        <w:rPr>
          <w:rFonts w:eastAsia="TimesNewRoman"/>
          <w:lang w:eastAsia="ja-JP"/>
        </w:rPr>
        <w:t>Table 13</w:t>
      </w:r>
      <w:r w:rsidR="00DC7C25" w:rsidRPr="00E914FB">
        <w:rPr>
          <w:rFonts w:eastAsia="TimesNewRoman"/>
          <w:lang w:eastAsia="ja-JP"/>
        </w:rPr>
        <w:t xml:space="preserve"> unless otherwise noted.</w:t>
      </w:r>
    </w:p>
    <w:p w14:paraId="5DAB813F" w14:textId="0AF43CC2" w:rsidR="00885509" w:rsidRPr="00E914FB" w:rsidRDefault="00121436" w:rsidP="00FD4AE1">
      <w:pPr>
        <w:rPr>
          <w:b/>
        </w:rPr>
      </w:pPr>
      <w:r>
        <w:rPr>
          <w:b/>
        </w:rPr>
        <w:t>Table 13</w:t>
      </w:r>
      <w:r w:rsidR="00582204">
        <w:rPr>
          <w:b/>
        </w:rPr>
        <w:t>:</w:t>
      </w:r>
      <w:r w:rsidR="00FD4AE1" w:rsidRPr="00E914FB">
        <w:rPr>
          <w:b/>
        </w:rPr>
        <w:t xml:space="preserve"> Interactions between </w:t>
      </w:r>
      <w:r w:rsidR="00222E29" w:rsidRPr="00E914FB">
        <w:rPr>
          <w:b/>
        </w:rPr>
        <w:t>VIEKIRA PAK</w:t>
      </w:r>
      <w:r w:rsidR="00FD4AE1" w:rsidRPr="00E914FB">
        <w:rPr>
          <w:b/>
        </w:rPr>
        <w:t xml:space="preserve"> and other medicinal products</w:t>
      </w:r>
      <w:r w:rsidR="00885509">
        <w:rPr>
          <w:b/>
        </w:rPr>
        <w:br/>
      </w:r>
    </w:p>
    <w:tbl>
      <w:tblPr>
        <w:tblStyle w:val="TableGrid20"/>
        <w:tblW w:w="9245" w:type="dxa"/>
        <w:tblLayout w:type="fixed"/>
        <w:tblLook w:val="04A0" w:firstRow="1" w:lastRow="0" w:firstColumn="1" w:lastColumn="0" w:noHBand="0" w:noVBand="1"/>
      </w:tblPr>
      <w:tblGrid>
        <w:gridCol w:w="1668"/>
        <w:gridCol w:w="992"/>
        <w:gridCol w:w="1040"/>
        <w:gridCol w:w="1040"/>
        <w:gridCol w:w="1041"/>
        <w:gridCol w:w="3464"/>
      </w:tblGrid>
      <w:tr w:rsidR="00D77DFD" w:rsidRPr="00E914FB" w14:paraId="4D6BAD83" w14:textId="77777777" w:rsidTr="00337D74">
        <w:tc>
          <w:tcPr>
            <w:tcW w:w="1668" w:type="dxa"/>
          </w:tcPr>
          <w:p w14:paraId="110472FF" w14:textId="77777777" w:rsidR="00D77DFD" w:rsidRPr="00E914FB" w:rsidRDefault="00D77DFD" w:rsidP="00D77DFD">
            <w:pPr>
              <w:rPr>
                <w:rFonts w:cstheme="minorHAnsi"/>
                <w:b/>
                <w:sz w:val="20"/>
                <w:szCs w:val="20"/>
              </w:rPr>
            </w:pPr>
            <w:r w:rsidRPr="00E914FB">
              <w:rPr>
                <w:rFonts w:cstheme="minorHAnsi"/>
                <w:b/>
                <w:sz w:val="20"/>
                <w:szCs w:val="20"/>
              </w:rPr>
              <w:t>Drug Class</w:t>
            </w:r>
          </w:p>
          <w:p w14:paraId="72BC6DBC" w14:textId="77777777" w:rsidR="00D77DFD" w:rsidRPr="00E914FB" w:rsidRDefault="00D77DFD" w:rsidP="00D77DFD">
            <w:pPr>
              <w:rPr>
                <w:rFonts w:cstheme="minorHAnsi"/>
                <w:sz w:val="20"/>
                <w:szCs w:val="20"/>
              </w:rPr>
            </w:pPr>
            <w:r w:rsidRPr="00E914FB">
              <w:rPr>
                <w:rFonts w:cstheme="minorHAnsi"/>
                <w:sz w:val="20"/>
                <w:szCs w:val="20"/>
              </w:rPr>
              <w:t>Drug Name</w:t>
            </w:r>
          </w:p>
        </w:tc>
        <w:tc>
          <w:tcPr>
            <w:tcW w:w="4113" w:type="dxa"/>
            <w:gridSpan w:val="4"/>
          </w:tcPr>
          <w:p w14:paraId="41CAC1FA" w14:textId="77777777" w:rsidR="00D77DFD" w:rsidRPr="00E914FB" w:rsidRDefault="00D77DFD" w:rsidP="00D77DFD">
            <w:pPr>
              <w:rPr>
                <w:b/>
              </w:rPr>
            </w:pPr>
            <w:r w:rsidRPr="00E914FB">
              <w:rPr>
                <w:b/>
              </w:rPr>
              <w:t xml:space="preserve">Effect </w:t>
            </w:r>
          </w:p>
        </w:tc>
        <w:tc>
          <w:tcPr>
            <w:tcW w:w="3464" w:type="dxa"/>
          </w:tcPr>
          <w:p w14:paraId="1A807741" w14:textId="77777777" w:rsidR="00D77DFD" w:rsidRPr="00E914FB" w:rsidRDefault="00D77DFD" w:rsidP="00D77DFD">
            <w:pPr>
              <w:rPr>
                <w:rFonts w:cstheme="minorHAnsi"/>
                <w:b/>
                <w:sz w:val="20"/>
                <w:szCs w:val="20"/>
              </w:rPr>
            </w:pPr>
            <w:r w:rsidRPr="00E914FB">
              <w:rPr>
                <w:rFonts w:cstheme="minorHAnsi"/>
                <w:b/>
                <w:sz w:val="20"/>
                <w:szCs w:val="20"/>
              </w:rPr>
              <w:t>Clinical Comment</w:t>
            </w:r>
          </w:p>
        </w:tc>
      </w:tr>
      <w:tr w:rsidR="00D77DFD" w:rsidRPr="00E914FB" w14:paraId="24CE81DB" w14:textId="77777777" w:rsidTr="00A178EB">
        <w:tc>
          <w:tcPr>
            <w:tcW w:w="9245" w:type="dxa"/>
            <w:gridSpan w:val="6"/>
          </w:tcPr>
          <w:p w14:paraId="36EC5D92" w14:textId="77777777" w:rsidR="00D77DFD" w:rsidRPr="00E914FB" w:rsidRDefault="00D77DFD" w:rsidP="00D77DFD">
            <w:pPr>
              <w:tabs>
                <w:tab w:val="left" w:pos="567"/>
              </w:tabs>
              <w:rPr>
                <w:rFonts w:cstheme="minorHAnsi"/>
                <w:b/>
                <w:sz w:val="20"/>
                <w:szCs w:val="20"/>
              </w:rPr>
            </w:pPr>
            <w:r w:rsidRPr="00E914FB">
              <w:rPr>
                <w:rFonts w:cstheme="minorHAnsi"/>
                <w:b/>
                <w:sz w:val="20"/>
                <w:szCs w:val="20"/>
              </w:rPr>
              <w:t>Aminosalicylate</w:t>
            </w:r>
          </w:p>
        </w:tc>
      </w:tr>
      <w:tr w:rsidR="00D77DFD" w:rsidRPr="00E914FB" w14:paraId="3A8A39D5" w14:textId="77777777" w:rsidTr="00337D74">
        <w:tc>
          <w:tcPr>
            <w:tcW w:w="1668" w:type="dxa"/>
          </w:tcPr>
          <w:p w14:paraId="215883E7" w14:textId="77777777" w:rsidR="00D77DFD" w:rsidRPr="00E914FB" w:rsidRDefault="00D77DFD" w:rsidP="00D77DFD">
            <w:pPr>
              <w:tabs>
                <w:tab w:val="left" w:pos="567"/>
              </w:tabs>
              <w:rPr>
                <w:rFonts w:cstheme="minorHAnsi"/>
                <w:sz w:val="20"/>
                <w:szCs w:val="20"/>
              </w:rPr>
            </w:pPr>
            <w:r w:rsidRPr="00E914FB">
              <w:rPr>
                <w:rFonts w:cstheme="minorHAnsi"/>
                <w:sz w:val="20"/>
                <w:szCs w:val="20"/>
              </w:rPr>
              <w:t>Sulfasalazine</w:t>
            </w:r>
          </w:p>
        </w:tc>
        <w:tc>
          <w:tcPr>
            <w:tcW w:w="4113" w:type="dxa"/>
            <w:gridSpan w:val="4"/>
          </w:tcPr>
          <w:p w14:paraId="5BC90A7C" w14:textId="77777777" w:rsidR="00D77DFD" w:rsidRPr="00E914FB" w:rsidRDefault="00D77DFD" w:rsidP="00D77DFD">
            <w:pPr>
              <w:rPr>
                <w:rFonts w:cstheme="minorHAnsi"/>
                <w:sz w:val="20"/>
                <w:szCs w:val="20"/>
              </w:rPr>
            </w:pPr>
            <w:r w:rsidRPr="00E914FB">
              <w:rPr>
                <w:rFonts w:cstheme="minorHAnsi"/>
                <w:sz w:val="20"/>
                <w:szCs w:val="20"/>
              </w:rPr>
              <w:t>↑ sulfasalazine*</w:t>
            </w:r>
          </w:p>
        </w:tc>
        <w:tc>
          <w:tcPr>
            <w:tcW w:w="3464" w:type="dxa"/>
          </w:tcPr>
          <w:p w14:paraId="4AA42185"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Mechanism:  BCRP inhibition by paritaprevir, ritonavir and dasabuvir.  </w:t>
            </w:r>
          </w:p>
          <w:p w14:paraId="15A6C96E" w14:textId="2A4CB33C" w:rsidR="00D77DFD" w:rsidRPr="00E914FB" w:rsidRDefault="00D77DFD" w:rsidP="00D77DFD">
            <w:pPr>
              <w:tabs>
                <w:tab w:val="left" w:pos="567"/>
              </w:tabs>
              <w:rPr>
                <w:rFonts w:cstheme="minorHAnsi"/>
                <w:sz w:val="20"/>
                <w:szCs w:val="20"/>
              </w:rPr>
            </w:pPr>
            <w:r w:rsidRPr="00E914FB">
              <w:rPr>
                <w:rFonts w:cstheme="minorHAnsi"/>
                <w:sz w:val="20"/>
                <w:szCs w:val="20"/>
              </w:rPr>
              <w:t>Caution should be used when sulfasalazine is co-administered with VIEKIRA PAK.</w:t>
            </w:r>
          </w:p>
        </w:tc>
      </w:tr>
      <w:tr w:rsidR="00D77DFD" w:rsidRPr="00E914FB" w14:paraId="286C30F1" w14:textId="77777777" w:rsidTr="00A178EB">
        <w:tc>
          <w:tcPr>
            <w:tcW w:w="9245" w:type="dxa"/>
            <w:gridSpan w:val="6"/>
          </w:tcPr>
          <w:p w14:paraId="63D9750C" w14:textId="77777777" w:rsidR="00D77DFD" w:rsidRPr="00E914FB" w:rsidRDefault="00D77DFD" w:rsidP="00D77DFD">
            <w:pPr>
              <w:rPr>
                <w:rFonts w:cstheme="minorHAnsi"/>
                <w:b/>
                <w:sz w:val="20"/>
                <w:szCs w:val="20"/>
              </w:rPr>
            </w:pPr>
            <w:r w:rsidRPr="00E914FB">
              <w:rPr>
                <w:rFonts w:cstheme="minorHAnsi"/>
                <w:b/>
                <w:sz w:val="20"/>
                <w:szCs w:val="20"/>
              </w:rPr>
              <w:t>Angiotensin receptor blocker</w:t>
            </w:r>
          </w:p>
        </w:tc>
      </w:tr>
      <w:tr w:rsidR="00D77DFD" w:rsidRPr="00E914FB" w14:paraId="11DDAD23" w14:textId="77777777" w:rsidTr="00337D74">
        <w:tc>
          <w:tcPr>
            <w:tcW w:w="1668" w:type="dxa"/>
          </w:tcPr>
          <w:p w14:paraId="599E5063" w14:textId="77777777" w:rsidR="00D77DFD" w:rsidRPr="00E914FB" w:rsidRDefault="00D77DFD" w:rsidP="00D77DFD">
            <w:pPr>
              <w:tabs>
                <w:tab w:val="left" w:pos="567"/>
              </w:tabs>
              <w:rPr>
                <w:rFonts w:cstheme="minorHAnsi"/>
                <w:sz w:val="20"/>
                <w:szCs w:val="20"/>
              </w:rPr>
            </w:pPr>
            <w:r w:rsidRPr="00E914FB">
              <w:rPr>
                <w:rFonts w:cstheme="minorHAnsi"/>
                <w:sz w:val="20"/>
                <w:szCs w:val="20"/>
              </w:rPr>
              <w:lastRenderedPageBreak/>
              <w:t>Valsartan</w:t>
            </w:r>
          </w:p>
        </w:tc>
        <w:tc>
          <w:tcPr>
            <w:tcW w:w="4113" w:type="dxa"/>
            <w:gridSpan w:val="4"/>
          </w:tcPr>
          <w:p w14:paraId="297EC0B4" w14:textId="77777777" w:rsidR="00D77DFD" w:rsidRPr="00E914FB" w:rsidRDefault="00D77DFD" w:rsidP="00D77DFD">
            <w:pPr>
              <w:rPr>
                <w:rFonts w:cstheme="minorHAnsi"/>
                <w:sz w:val="20"/>
                <w:szCs w:val="20"/>
              </w:rPr>
            </w:pPr>
            <w:r w:rsidRPr="00E914FB">
              <w:rPr>
                <w:rFonts w:cstheme="minorHAnsi"/>
                <w:sz w:val="20"/>
                <w:szCs w:val="20"/>
              </w:rPr>
              <w:t>↑ valsartan*</w:t>
            </w:r>
          </w:p>
        </w:tc>
        <w:tc>
          <w:tcPr>
            <w:tcW w:w="3464" w:type="dxa"/>
          </w:tcPr>
          <w:p w14:paraId="7EB391F4" w14:textId="77777777" w:rsidR="00D77DFD" w:rsidRPr="00E914FB" w:rsidRDefault="00D77DFD" w:rsidP="00D77DFD">
            <w:pPr>
              <w:rPr>
                <w:rFonts w:cstheme="minorHAnsi"/>
                <w:sz w:val="20"/>
                <w:szCs w:val="20"/>
              </w:rPr>
            </w:pPr>
            <w:r w:rsidRPr="00E914FB">
              <w:rPr>
                <w:rFonts w:cstheme="minorHAnsi"/>
                <w:sz w:val="20"/>
                <w:szCs w:val="20"/>
              </w:rPr>
              <w:t>Mechanism:  OATP1B inhibition by paritaprevir.</w:t>
            </w:r>
          </w:p>
          <w:p w14:paraId="49F3324E" w14:textId="5B84E095" w:rsidR="00D77DFD" w:rsidRPr="00E914FB" w:rsidRDefault="00D77DFD" w:rsidP="00D77DFD">
            <w:pPr>
              <w:tabs>
                <w:tab w:val="left" w:pos="567"/>
              </w:tabs>
              <w:rPr>
                <w:rFonts w:cstheme="minorHAnsi"/>
                <w:sz w:val="20"/>
                <w:szCs w:val="20"/>
              </w:rPr>
            </w:pPr>
            <w:r w:rsidRPr="00E914FB">
              <w:rPr>
                <w:rFonts w:cstheme="minorHAnsi"/>
                <w:sz w:val="20"/>
                <w:szCs w:val="20"/>
              </w:rPr>
              <w:t>Clinical monitoring and dose reduction is recommended when VIEKIRA PAK is coadministered with valsartan.</w:t>
            </w:r>
          </w:p>
        </w:tc>
      </w:tr>
      <w:tr w:rsidR="00D77DFD" w:rsidRPr="00E914FB" w14:paraId="5BA45B7B" w14:textId="77777777" w:rsidTr="00A178EB">
        <w:tc>
          <w:tcPr>
            <w:tcW w:w="9245" w:type="dxa"/>
            <w:gridSpan w:val="6"/>
          </w:tcPr>
          <w:p w14:paraId="0047C02E" w14:textId="77777777" w:rsidR="00D77DFD" w:rsidRPr="00E914FB" w:rsidRDefault="00D77DFD" w:rsidP="00D77DFD">
            <w:pPr>
              <w:rPr>
                <w:rFonts w:cstheme="minorHAnsi"/>
                <w:b/>
                <w:sz w:val="20"/>
                <w:szCs w:val="20"/>
              </w:rPr>
            </w:pPr>
            <w:r w:rsidRPr="00E914FB">
              <w:rPr>
                <w:rFonts w:cstheme="minorHAnsi"/>
                <w:b/>
                <w:sz w:val="20"/>
                <w:szCs w:val="20"/>
              </w:rPr>
              <w:t>Antiarrhythmics</w:t>
            </w:r>
          </w:p>
        </w:tc>
      </w:tr>
      <w:tr w:rsidR="00D77DFD" w:rsidRPr="00E914FB" w14:paraId="03992429" w14:textId="77777777" w:rsidTr="00337D74">
        <w:trPr>
          <w:trHeight w:val="49"/>
        </w:trPr>
        <w:tc>
          <w:tcPr>
            <w:tcW w:w="1668" w:type="dxa"/>
            <w:vMerge w:val="restart"/>
          </w:tcPr>
          <w:p w14:paraId="4B56756C" w14:textId="77777777" w:rsidR="00D77DFD" w:rsidRPr="00E914FB" w:rsidRDefault="00D77DFD" w:rsidP="00D77DFD">
            <w:pPr>
              <w:rPr>
                <w:rFonts w:cstheme="minorHAnsi"/>
                <w:sz w:val="20"/>
                <w:szCs w:val="20"/>
              </w:rPr>
            </w:pPr>
            <w:r w:rsidRPr="00E914FB">
              <w:rPr>
                <w:rFonts w:cstheme="minorHAnsi"/>
                <w:sz w:val="20"/>
                <w:szCs w:val="20"/>
              </w:rPr>
              <w:t>Digoxin</w:t>
            </w:r>
          </w:p>
        </w:tc>
        <w:tc>
          <w:tcPr>
            <w:tcW w:w="992" w:type="dxa"/>
          </w:tcPr>
          <w:p w14:paraId="4EE37C23" w14:textId="77777777" w:rsidR="00D77DFD" w:rsidRPr="00E914FB" w:rsidRDefault="00D77DFD" w:rsidP="00D77DFD">
            <w:pPr>
              <w:rPr>
                <w:rFonts w:cstheme="minorHAnsi"/>
                <w:sz w:val="16"/>
                <w:szCs w:val="16"/>
              </w:rPr>
            </w:pPr>
          </w:p>
        </w:tc>
        <w:tc>
          <w:tcPr>
            <w:tcW w:w="1040" w:type="dxa"/>
          </w:tcPr>
          <w:p w14:paraId="081E24A2"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07700D2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70B4804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7A93293"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Mechanism:  P-gp inhibition by paritaprevir, ritonavir and dasabuvir. </w:t>
            </w:r>
          </w:p>
          <w:p w14:paraId="11062013" w14:textId="77777777" w:rsidR="00D77DFD" w:rsidRPr="00E914FB" w:rsidRDefault="00D77DFD" w:rsidP="00D77DFD">
            <w:pPr>
              <w:tabs>
                <w:tab w:val="left" w:pos="567"/>
              </w:tabs>
              <w:rPr>
                <w:rFonts w:cstheme="minorHAnsi"/>
                <w:sz w:val="20"/>
                <w:szCs w:val="20"/>
              </w:rPr>
            </w:pPr>
            <w:r w:rsidRPr="00E914FB">
              <w:rPr>
                <w:rFonts w:cstheme="minorHAnsi"/>
                <w:sz w:val="20"/>
                <w:szCs w:val="20"/>
              </w:rPr>
              <w:t>While no dose adjustment is necessary for digoxin, appropriate monitoring of serum digoxin levels is recommended.</w:t>
            </w:r>
          </w:p>
          <w:p w14:paraId="3309373E" w14:textId="77777777" w:rsidR="00D77DFD" w:rsidRPr="00E914FB" w:rsidRDefault="00D77DFD" w:rsidP="00D77DFD">
            <w:pPr>
              <w:tabs>
                <w:tab w:val="left" w:pos="567"/>
              </w:tabs>
              <w:rPr>
                <w:rFonts w:cstheme="minorHAnsi"/>
                <w:sz w:val="20"/>
                <w:szCs w:val="20"/>
              </w:rPr>
            </w:pPr>
          </w:p>
        </w:tc>
      </w:tr>
      <w:tr w:rsidR="00D77DFD" w:rsidRPr="00E914FB" w14:paraId="6408C718" w14:textId="77777777" w:rsidTr="00337D74">
        <w:trPr>
          <w:trHeight w:val="49"/>
        </w:trPr>
        <w:tc>
          <w:tcPr>
            <w:tcW w:w="1668" w:type="dxa"/>
            <w:vMerge/>
          </w:tcPr>
          <w:p w14:paraId="250CFC2F" w14:textId="77777777" w:rsidR="00D77DFD" w:rsidRPr="00E914FB" w:rsidRDefault="00D77DFD" w:rsidP="00D77DFD">
            <w:pPr>
              <w:rPr>
                <w:rFonts w:cstheme="minorHAnsi"/>
                <w:sz w:val="20"/>
                <w:szCs w:val="20"/>
              </w:rPr>
            </w:pPr>
          </w:p>
        </w:tc>
        <w:tc>
          <w:tcPr>
            <w:tcW w:w="992" w:type="dxa"/>
          </w:tcPr>
          <w:p w14:paraId="7E334EE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xml:space="preserve">↔ </w:t>
            </w:r>
          </w:p>
          <w:p w14:paraId="11668D6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digoxin</w:t>
            </w:r>
          </w:p>
        </w:tc>
        <w:tc>
          <w:tcPr>
            <w:tcW w:w="1040" w:type="dxa"/>
          </w:tcPr>
          <w:p w14:paraId="264B2C3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1.15</w:t>
            </w:r>
          </w:p>
          <w:p w14:paraId="2CED041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(1.04-1.27)</w:t>
            </w:r>
          </w:p>
        </w:tc>
        <w:tc>
          <w:tcPr>
            <w:tcW w:w="1040" w:type="dxa"/>
          </w:tcPr>
          <w:p w14:paraId="1BC3B23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1.16</w:t>
            </w:r>
          </w:p>
          <w:p w14:paraId="3D98AE1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(1.09-1.23)</w:t>
            </w:r>
          </w:p>
        </w:tc>
        <w:tc>
          <w:tcPr>
            <w:tcW w:w="1041" w:type="dxa"/>
          </w:tcPr>
          <w:p w14:paraId="255C68F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w:t>
            </w:r>
          </w:p>
          <w:p w14:paraId="6533FB8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(0.97-1.05)</w:t>
            </w:r>
          </w:p>
        </w:tc>
        <w:tc>
          <w:tcPr>
            <w:tcW w:w="3464" w:type="dxa"/>
            <w:vMerge/>
          </w:tcPr>
          <w:p w14:paraId="1644AF61" w14:textId="77777777" w:rsidR="00D77DFD" w:rsidRPr="00E914FB" w:rsidRDefault="00D77DFD" w:rsidP="00D77DFD">
            <w:pPr>
              <w:rPr>
                <w:rFonts w:cstheme="minorHAnsi"/>
                <w:sz w:val="20"/>
                <w:szCs w:val="20"/>
              </w:rPr>
            </w:pPr>
          </w:p>
        </w:tc>
      </w:tr>
      <w:tr w:rsidR="00D77DFD" w:rsidRPr="00E914FB" w14:paraId="4B023630" w14:textId="77777777" w:rsidTr="00337D74">
        <w:trPr>
          <w:trHeight w:val="49"/>
        </w:trPr>
        <w:tc>
          <w:tcPr>
            <w:tcW w:w="1668" w:type="dxa"/>
            <w:vMerge/>
          </w:tcPr>
          <w:p w14:paraId="3FCAE006" w14:textId="77777777" w:rsidR="00D77DFD" w:rsidRPr="00E914FB" w:rsidRDefault="00D77DFD" w:rsidP="00D77DFD">
            <w:pPr>
              <w:rPr>
                <w:rFonts w:cstheme="minorHAnsi"/>
                <w:sz w:val="20"/>
                <w:szCs w:val="20"/>
              </w:rPr>
            </w:pPr>
          </w:p>
        </w:tc>
        <w:tc>
          <w:tcPr>
            <w:tcW w:w="992" w:type="dxa"/>
          </w:tcPr>
          <w:p w14:paraId="65012D2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792D3AD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1.03</w:t>
            </w:r>
          </w:p>
          <w:p w14:paraId="5737C4A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(0.97-1.10)</w:t>
            </w:r>
          </w:p>
        </w:tc>
        <w:tc>
          <w:tcPr>
            <w:tcW w:w="1040" w:type="dxa"/>
          </w:tcPr>
          <w:p w14:paraId="1180972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w:t>
            </w:r>
          </w:p>
          <w:p w14:paraId="0D34AF5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(0.98-1.03)</w:t>
            </w:r>
          </w:p>
        </w:tc>
        <w:tc>
          <w:tcPr>
            <w:tcW w:w="1041" w:type="dxa"/>
          </w:tcPr>
          <w:p w14:paraId="3938024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0.99</w:t>
            </w:r>
          </w:p>
          <w:p w14:paraId="34BB93C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(0.96-1.02)</w:t>
            </w:r>
          </w:p>
        </w:tc>
        <w:tc>
          <w:tcPr>
            <w:tcW w:w="3464" w:type="dxa"/>
            <w:vMerge/>
          </w:tcPr>
          <w:p w14:paraId="1B208E5D" w14:textId="77777777" w:rsidR="00D77DFD" w:rsidRPr="00E914FB" w:rsidRDefault="00D77DFD" w:rsidP="00D77DFD">
            <w:pPr>
              <w:rPr>
                <w:rFonts w:cstheme="minorHAnsi"/>
                <w:sz w:val="20"/>
                <w:szCs w:val="20"/>
              </w:rPr>
            </w:pPr>
          </w:p>
        </w:tc>
      </w:tr>
      <w:tr w:rsidR="00D77DFD" w:rsidRPr="00E914FB" w14:paraId="5A761F10" w14:textId="77777777" w:rsidTr="00337D74">
        <w:trPr>
          <w:trHeight w:val="49"/>
        </w:trPr>
        <w:tc>
          <w:tcPr>
            <w:tcW w:w="1668" w:type="dxa"/>
            <w:vMerge/>
          </w:tcPr>
          <w:p w14:paraId="2EE5B651" w14:textId="77777777" w:rsidR="00D77DFD" w:rsidRPr="00E914FB" w:rsidRDefault="00D77DFD" w:rsidP="00D77DFD">
            <w:pPr>
              <w:rPr>
                <w:rFonts w:cstheme="minorHAnsi"/>
                <w:sz w:val="20"/>
                <w:szCs w:val="20"/>
              </w:rPr>
            </w:pPr>
          </w:p>
        </w:tc>
        <w:tc>
          <w:tcPr>
            <w:tcW w:w="992" w:type="dxa"/>
          </w:tcPr>
          <w:p w14:paraId="3D9003F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58F4D99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w:t>
            </w:r>
          </w:p>
          <w:p w14:paraId="444C854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(0.80-1.06)</w:t>
            </w:r>
          </w:p>
        </w:tc>
        <w:tc>
          <w:tcPr>
            <w:tcW w:w="1040" w:type="dxa"/>
          </w:tcPr>
          <w:p w14:paraId="46A174D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0.94</w:t>
            </w:r>
          </w:p>
          <w:p w14:paraId="3B0D497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(0.81-1.08)</w:t>
            </w:r>
          </w:p>
        </w:tc>
        <w:tc>
          <w:tcPr>
            <w:tcW w:w="1041" w:type="dxa"/>
          </w:tcPr>
          <w:p w14:paraId="07C7DB0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w:t>
            </w:r>
          </w:p>
          <w:p w14:paraId="192B81D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(0.82-1.02)</w:t>
            </w:r>
          </w:p>
        </w:tc>
        <w:tc>
          <w:tcPr>
            <w:tcW w:w="3464" w:type="dxa"/>
            <w:vMerge/>
          </w:tcPr>
          <w:p w14:paraId="352152E6" w14:textId="77777777" w:rsidR="00D77DFD" w:rsidRPr="00E914FB" w:rsidRDefault="00D77DFD" w:rsidP="00D77DFD">
            <w:pPr>
              <w:rPr>
                <w:rFonts w:cstheme="minorHAnsi"/>
                <w:sz w:val="20"/>
                <w:szCs w:val="20"/>
              </w:rPr>
            </w:pPr>
          </w:p>
        </w:tc>
      </w:tr>
      <w:tr w:rsidR="00D77DFD" w:rsidRPr="00E914FB" w14:paraId="7C05C8B9" w14:textId="77777777" w:rsidTr="00337D74">
        <w:trPr>
          <w:trHeight w:val="49"/>
        </w:trPr>
        <w:tc>
          <w:tcPr>
            <w:tcW w:w="1668" w:type="dxa"/>
            <w:vMerge/>
          </w:tcPr>
          <w:p w14:paraId="00929D08" w14:textId="77777777" w:rsidR="00D77DFD" w:rsidRPr="00E914FB" w:rsidRDefault="00D77DFD" w:rsidP="00D77DFD">
            <w:pPr>
              <w:rPr>
                <w:rFonts w:cstheme="minorHAnsi"/>
                <w:sz w:val="20"/>
                <w:szCs w:val="20"/>
              </w:rPr>
            </w:pPr>
          </w:p>
        </w:tc>
        <w:tc>
          <w:tcPr>
            <w:tcW w:w="992" w:type="dxa"/>
          </w:tcPr>
          <w:p w14:paraId="139EE4D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51BD068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0.99</w:t>
            </w:r>
          </w:p>
          <w:p w14:paraId="5BAF93B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(0.92-1.07)</w:t>
            </w:r>
          </w:p>
        </w:tc>
        <w:tc>
          <w:tcPr>
            <w:tcW w:w="1040" w:type="dxa"/>
          </w:tcPr>
          <w:p w14:paraId="79C3881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0.97</w:t>
            </w:r>
          </w:p>
          <w:p w14:paraId="5D497AD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(0.91-1.02)</w:t>
            </w:r>
          </w:p>
        </w:tc>
        <w:tc>
          <w:tcPr>
            <w:tcW w:w="1041" w:type="dxa"/>
          </w:tcPr>
          <w:p w14:paraId="66F9FCF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0.99</w:t>
            </w:r>
          </w:p>
          <w:p w14:paraId="1F6B7E4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(0.92-1.07)</w:t>
            </w:r>
          </w:p>
        </w:tc>
        <w:tc>
          <w:tcPr>
            <w:tcW w:w="3464" w:type="dxa"/>
            <w:vMerge/>
          </w:tcPr>
          <w:p w14:paraId="79D85A1B" w14:textId="77777777" w:rsidR="00D77DFD" w:rsidRPr="00E914FB" w:rsidRDefault="00D77DFD" w:rsidP="00D77DFD">
            <w:pPr>
              <w:rPr>
                <w:rFonts w:cstheme="minorHAnsi"/>
                <w:sz w:val="20"/>
                <w:szCs w:val="20"/>
              </w:rPr>
            </w:pPr>
          </w:p>
        </w:tc>
      </w:tr>
      <w:tr w:rsidR="00D77DFD" w:rsidRPr="00E914FB" w14:paraId="60311AAB" w14:textId="77777777" w:rsidTr="00A178EB">
        <w:tc>
          <w:tcPr>
            <w:tcW w:w="9245" w:type="dxa"/>
            <w:gridSpan w:val="6"/>
          </w:tcPr>
          <w:p w14:paraId="04F25846" w14:textId="77777777" w:rsidR="00D77DFD" w:rsidRPr="00E914FB" w:rsidRDefault="00D77DFD" w:rsidP="00D77DFD">
            <w:pPr>
              <w:rPr>
                <w:rFonts w:cstheme="minorHAnsi"/>
                <w:b/>
                <w:sz w:val="20"/>
                <w:szCs w:val="20"/>
              </w:rPr>
            </w:pPr>
            <w:r w:rsidRPr="00E914FB">
              <w:rPr>
                <w:rFonts w:cstheme="minorHAnsi"/>
                <w:b/>
                <w:sz w:val="20"/>
                <w:szCs w:val="20"/>
              </w:rPr>
              <w:t>Antibiotics</w:t>
            </w:r>
          </w:p>
        </w:tc>
      </w:tr>
      <w:tr w:rsidR="00D77DFD" w:rsidRPr="00E914FB" w14:paraId="7EB38B8F" w14:textId="77777777" w:rsidTr="00337D74">
        <w:tc>
          <w:tcPr>
            <w:tcW w:w="1668" w:type="dxa"/>
          </w:tcPr>
          <w:p w14:paraId="56D8F686" w14:textId="77777777" w:rsidR="00D77DFD" w:rsidRPr="00E914FB" w:rsidRDefault="00D77DFD" w:rsidP="00D77DFD">
            <w:pPr>
              <w:tabs>
                <w:tab w:val="left" w:pos="567"/>
              </w:tabs>
              <w:rPr>
                <w:rFonts w:cstheme="minorHAnsi"/>
                <w:sz w:val="20"/>
                <w:szCs w:val="20"/>
              </w:rPr>
            </w:pPr>
            <w:r w:rsidRPr="00E914FB">
              <w:rPr>
                <w:rFonts w:cstheme="minorHAnsi"/>
                <w:sz w:val="20"/>
                <w:szCs w:val="20"/>
              </w:rPr>
              <w:t>Erythromycin</w:t>
            </w:r>
          </w:p>
        </w:tc>
        <w:tc>
          <w:tcPr>
            <w:tcW w:w="4113" w:type="dxa"/>
            <w:gridSpan w:val="4"/>
          </w:tcPr>
          <w:p w14:paraId="5C765BCD" w14:textId="77777777" w:rsidR="00D77DFD" w:rsidRPr="00E914FB" w:rsidRDefault="00D77DFD" w:rsidP="00D77DFD">
            <w:pPr>
              <w:rPr>
                <w:rFonts w:cstheme="minorHAnsi"/>
                <w:sz w:val="20"/>
                <w:szCs w:val="20"/>
              </w:rPr>
            </w:pPr>
            <w:r w:rsidRPr="00E914FB">
              <w:rPr>
                <w:rFonts w:cstheme="minorHAnsi"/>
                <w:sz w:val="20"/>
                <w:szCs w:val="20"/>
              </w:rPr>
              <w:t>↑ erythromycin*</w:t>
            </w:r>
          </w:p>
        </w:tc>
        <w:tc>
          <w:tcPr>
            <w:tcW w:w="3464" w:type="dxa"/>
          </w:tcPr>
          <w:p w14:paraId="43ACC19B" w14:textId="77777777" w:rsidR="00D77DFD" w:rsidRPr="00E914FB" w:rsidRDefault="00D77DFD" w:rsidP="00D77DFD">
            <w:pPr>
              <w:rPr>
                <w:rFonts w:cstheme="minorHAnsi"/>
                <w:sz w:val="20"/>
                <w:szCs w:val="20"/>
              </w:rPr>
            </w:pPr>
            <w:r w:rsidRPr="00E914FB">
              <w:rPr>
                <w:rFonts w:cstheme="minorHAnsi"/>
                <w:sz w:val="20"/>
                <w:szCs w:val="20"/>
              </w:rPr>
              <w:t>Mechanism:  CYP3A4/P-gp inhibition by paritaprevir, ritonavir and dasabuvir.</w:t>
            </w:r>
          </w:p>
          <w:p w14:paraId="558C33FE" w14:textId="13A8A187" w:rsidR="00D77DFD" w:rsidRPr="00E914FB" w:rsidRDefault="00D77DFD" w:rsidP="00D77DFD">
            <w:pPr>
              <w:rPr>
                <w:rFonts w:cstheme="minorHAnsi"/>
                <w:sz w:val="20"/>
                <w:szCs w:val="20"/>
              </w:rPr>
            </w:pPr>
            <w:r w:rsidRPr="00E914FB">
              <w:rPr>
                <w:rFonts w:cstheme="minorHAnsi"/>
                <w:sz w:val="20"/>
                <w:szCs w:val="20"/>
              </w:rPr>
              <w:t>Caution is advised when erythromycin is administered with Viekira Pak.</w:t>
            </w:r>
          </w:p>
        </w:tc>
      </w:tr>
      <w:tr w:rsidR="00D77DFD" w:rsidRPr="00E914FB" w14:paraId="4FF5C91F" w14:textId="77777777" w:rsidTr="00A178EB">
        <w:tc>
          <w:tcPr>
            <w:tcW w:w="9245" w:type="dxa"/>
            <w:gridSpan w:val="6"/>
          </w:tcPr>
          <w:p w14:paraId="48FDE98E" w14:textId="50B7856A" w:rsidR="00D77DFD" w:rsidRPr="00E914FB" w:rsidRDefault="00D77DFD" w:rsidP="00D77DFD">
            <w:pPr>
              <w:rPr>
                <w:rFonts w:cstheme="minorHAnsi"/>
                <w:b/>
                <w:sz w:val="20"/>
                <w:szCs w:val="20"/>
              </w:rPr>
            </w:pPr>
            <w:r w:rsidRPr="00E914FB">
              <w:rPr>
                <w:rFonts w:cstheme="minorHAnsi"/>
                <w:b/>
                <w:sz w:val="20"/>
                <w:szCs w:val="20"/>
              </w:rPr>
              <w:t>Anticancer agents</w:t>
            </w:r>
          </w:p>
        </w:tc>
      </w:tr>
      <w:tr w:rsidR="00D77DFD" w:rsidRPr="00E914FB" w14:paraId="1B141C8D" w14:textId="77777777" w:rsidTr="00337D74">
        <w:tc>
          <w:tcPr>
            <w:tcW w:w="1668" w:type="dxa"/>
          </w:tcPr>
          <w:p w14:paraId="2331909E" w14:textId="77777777" w:rsidR="00D77DFD" w:rsidRPr="00E914FB" w:rsidRDefault="00D77DFD" w:rsidP="00D77DFD">
            <w:pPr>
              <w:tabs>
                <w:tab w:val="left" w:pos="567"/>
              </w:tabs>
              <w:rPr>
                <w:rFonts w:cstheme="minorHAnsi"/>
                <w:sz w:val="20"/>
                <w:szCs w:val="20"/>
              </w:rPr>
            </w:pPr>
            <w:r w:rsidRPr="00E914FB">
              <w:rPr>
                <w:rFonts w:cstheme="minorHAnsi"/>
                <w:sz w:val="20"/>
                <w:szCs w:val="20"/>
              </w:rPr>
              <w:t>Imatinib</w:t>
            </w:r>
          </w:p>
        </w:tc>
        <w:tc>
          <w:tcPr>
            <w:tcW w:w="4113" w:type="dxa"/>
            <w:gridSpan w:val="4"/>
          </w:tcPr>
          <w:p w14:paraId="3F85B585" w14:textId="77777777" w:rsidR="00D77DFD" w:rsidRPr="00E914FB" w:rsidRDefault="00D77DFD" w:rsidP="00D77DFD">
            <w:pPr>
              <w:rPr>
                <w:rFonts w:cstheme="minorHAnsi"/>
                <w:sz w:val="20"/>
                <w:szCs w:val="20"/>
              </w:rPr>
            </w:pPr>
            <w:r w:rsidRPr="00E914FB">
              <w:rPr>
                <w:rFonts w:cstheme="minorHAnsi"/>
                <w:sz w:val="20"/>
                <w:szCs w:val="20"/>
              </w:rPr>
              <w:t>↑ imatinib*</w:t>
            </w:r>
          </w:p>
        </w:tc>
        <w:tc>
          <w:tcPr>
            <w:tcW w:w="3464" w:type="dxa"/>
          </w:tcPr>
          <w:p w14:paraId="07918B08" w14:textId="77777777" w:rsidR="00D77DFD" w:rsidRPr="00E914FB" w:rsidRDefault="00D77DFD" w:rsidP="00D77DFD">
            <w:pPr>
              <w:rPr>
                <w:rFonts w:cstheme="minorHAnsi"/>
                <w:sz w:val="20"/>
                <w:szCs w:val="20"/>
              </w:rPr>
            </w:pPr>
            <w:r w:rsidRPr="00E914FB">
              <w:rPr>
                <w:rFonts w:cstheme="minorHAnsi"/>
                <w:sz w:val="20"/>
                <w:szCs w:val="20"/>
              </w:rPr>
              <w:t>Mechanism:   BCRP inhibition by paritaprevir, ritonavir and dasabuvir.</w:t>
            </w:r>
          </w:p>
          <w:p w14:paraId="758F71F8" w14:textId="77777777" w:rsidR="00D77DFD" w:rsidRPr="00E914FB" w:rsidRDefault="00D77DFD" w:rsidP="00D77DFD">
            <w:pPr>
              <w:tabs>
                <w:tab w:val="left" w:pos="567"/>
              </w:tabs>
              <w:rPr>
                <w:rFonts w:cstheme="minorHAnsi"/>
                <w:sz w:val="20"/>
                <w:szCs w:val="20"/>
              </w:rPr>
            </w:pPr>
            <w:r w:rsidRPr="00E914FB">
              <w:rPr>
                <w:rFonts w:cstheme="minorHAnsi"/>
                <w:sz w:val="20"/>
                <w:szCs w:val="20"/>
              </w:rPr>
              <w:t>Clinical monitoring and lower doses of imatinib are recommended.</w:t>
            </w:r>
          </w:p>
        </w:tc>
      </w:tr>
      <w:tr w:rsidR="00D77DFD" w:rsidRPr="00E914FB" w14:paraId="7B096893" w14:textId="77777777" w:rsidTr="00A178EB">
        <w:tc>
          <w:tcPr>
            <w:tcW w:w="9245" w:type="dxa"/>
            <w:gridSpan w:val="6"/>
          </w:tcPr>
          <w:p w14:paraId="6D97FE73" w14:textId="77777777" w:rsidR="00D77DFD" w:rsidRPr="00E914FB" w:rsidRDefault="00D77DFD" w:rsidP="00D77DFD">
            <w:pPr>
              <w:rPr>
                <w:rFonts w:cstheme="minorHAnsi"/>
                <w:b/>
                <w:sz w:val="20"/>
                <w:szCs w:val="20"/>
              </w:rPr>
            </w:pPr>
            <w:r w:rsidRPr="00E914FB">
              <w:rPr>
                <w:rFonts w:cstheme="minorHAnsi"/>
                <w:b/>
                <w:sz w:val="20"/>
                <w:szCs w:val="20"/>
              </w:rPr>
              <w:t>Anticoagulants</w:t>
            </w:r>
          </w:p>
        </w:tc>
      </w:tr>
      <w:tr w:rsidR="00D77DFD" w:rsidRPr="00E914FB" w14:paraId="22079DEB" w14:textId="77777777" w:rsidTr="00A178EB">
        <w:trPr>
          <w:trHeight w:val="124"/>
        </w:trPr>
        <w:tc>
          <w:tcPr>
            <w:tcW w:w="1668" w:type="dxa"/>
            <w:vMerge w:val="restart"/>
          </w:tcPr>
          <w:p w14:paraId="0B9FB7B0" w14:textId="77777777" w:rsidR="00934488" w:rsidRPr="00E914FB" w:rsidRDefault="00D77DFD" w:rsidP="00D77DFD">
            <w:pPr>
              <w:rPr>
                <w:rFonts w:cstheme="minorHAnsi"/>
                <w:sz w:val="20"/>
                <w:szCs w:val="20"/>
              </w:rPr>
            </w:pPr>
            <w:r w:rsidRPr="00E914FB">
              <w:rPr>
                <w:rFonts w:cstheme="minorHAnsi"/>
                <w:sz w:val="20"/>
                <w:szCs w:val="20"/>
              </w:rPr>
              <w:t xml:space="preserve">Warfarin </w:t>
            </w:r>
          </w:p>
          <w:p w14:paraId="32FDD7B3" w14:textId="09569DC7" w:rsidR="00D77DFD" w:rsidRPr="00E914FB" w:rsidRDefault="00D77DFD" w:rsidP="00D77DFD">
            <w:pPr>
              <w:rPr>
                <w:rFonts w:cstheme="minorHAnsi"/>
                <w:sz w:val="20"/>
                <w:szCs w:val="20"/>
              </w:rPr>
            </w:pPr>
            <w:r w:rsidRPr="00E914FB">
              <w:rPr>
                <w:rFonts w:cstheme="minorHAnsi"/>
                <w:sz w:val="20"/>
                <w:szCs w:val="20"/>
              </w:rPr>
              <w:t>5 mg single dose</w:t>
            </w:r>
          </w:p>
        </w:tc>
        <w:tc>
          <w:tcPr>
            <w:tcW w:w="992" w:type="dxa"/>
          </w:tcPr>
          <w:p w14:paraId="4F48B116" w14:textId="77777777" w:rsidR="00D77DFD" w:rsidRPr="00E914FB" w:rsidRDefault="00D77DFD" w:rsidP="00D77DFD">
            <w:pPr>
              <w:rPr>
                <w:rFonts w:cstheme="minorHAnsi"/>
                <w:sz w:val="16"/>
                <w:szCs w:val="16"/>
              </w:rPr>
            </w:pPr>
          </w:p>
        </w:tc>
        <w:tc>
          <w:tcPr>
            <w:tcW w:w="1040" w:type="dxa"/>
          </w:tcPr>
          <w:p w14:paraId="32BE88A3"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528CA16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7819554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7EEA0CC3" w14:textId="77777777" w:rsidR="00D77DFD" w:rsidRPr="00E914FB" w:rsidRDefault="00D77DFD" w:rsidP="00D77DFD">
            <w:pPr>
              <w:tabs>
                <w:tab w:val="left" w:pos="567"/>
              </w:tabs>
              <w:rPr>
                <w:rFonts w:cstheme="minorHAnsi"/>
                <w:sz w:val="20"/>
                <w:szCs w:val="20"/>
              </w:rPr>
            </w:pPr>
            <w:r w:rsidRPr="00E914FB">
              <w:rPr>
                <w:rFonts w:cstheme="minorHAnsi"/>
                <w:sz w:val="20"/>
                <w:szCs w:val="20"/>
              </w:rPr>
              <w:t>While no dose adjustment is necessary for warfarin, appropriate monitoring of international normalised ratio (INR) is recommended.</w:t>
            </w:r>
          </w:p>
          <w:p w14:paraId="73F8920B" w14:textId="77777777" w:rsidR="00D77DFD" w:rsidRPr="00E914FB" w:rsidRDefault="00D77DFD" w:rsidP="00D77DFD">
            <w:pPr>
              <w:rPr>
                <w:rFonts w:cstheme="minorHAnsi"/>
                <w:sz w:val="20"/>
                <w:szCs w:val="20"/>
              </w:rPr>
            </w:pPr>
          </w:p>
        </w:tc>
      </w:tr>
      <w:tr w:rsidR="00D77DFD" w:rsidRPr="00E914FB" w14:paraId="7B22BB50" w14:textId="77777777" w:rsidTr="00A178EB">
        <w:trPr>
          <w:trHeight w:val="122"/>
        </w:trPr>
        <w:tc>
          <w:tcPr>
            <w:tcW w:w="1668" w:type="dxa"/>
            <w:vMerge/>
          </w:tcPr>
          <w:p w14:paraId="194205D5" w14:textId="77777777" w:rsidR="00D77DFD" w:rsidRPr="00E914FB" w:rsidRDefault="00D77DFD" w:rsidP="00D77DFD">
            <w:pPr>
              <w:rPr>
                <w:rFonts w:cstheme="minorHAnsi"/>
                <w:sz w:val="20"/>
                <w:szCs w:val="20"/>
              </w:rPr>
            </w:pPr>
          </w:p>
        </w:tc>
        <w:tc>
          <w:tcPr>
            <w:tcW w:w="992" w:type="dxa"/>
          </w:tcPr>
          <w:p w14:paraId="14E67E7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698E7D0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R-warfarin</w:t>
            </w:r>
          </w:p>
        </w:tc>
        <w:tc>
          <w:tcPr>
            <w:tcW w:w="1040" w:type="dxa"/>
          </w:tcPr>
          <w:p w14:paraId="1A5EB781"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1.05</w:t>
            </w:r>
          </w:p>
          <w:p w14:paraId="3EB29A6B"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(0.95-1.17)</w:t>
            </w:r>
          </w:p>
        </w:tc>
        <w:tc>
          <w:tcPr>
            <w:tcW w:w="1040" w:type="dxa"/>
          </w:tcPr>
          <w:p w14:paraId="64DACA71"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0.88</w:t>
            </w:r>
          </w:p>
          <w:p w14:paraId="38954D82"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(0.81-0.95)</w:t>
            </w:r>
          </w:p>
        </w:tc>
        <w:tc>
          <w:tcPr>
            <w:tcW w:w="1041" w:type="dxa"/>
          </w:tcPr>
          <w:p w14:paraId="52CB42C0"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0.94</w:t>
            </w:r>
          </w:p>
          <w:p w14:paraId="5ACCA760"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(0.84-1.05)</w:t>
            </w:r>
          </w:p>
        </w:tc>
        <w:tc>
          <w:tcPr>
            <w:tcW w:w="3464" w:type="dxa"/>
            <w:vMerge/>
          </w:tcPr>
          <w:p w14:paraId="783DEFBA" w14:textId="77777777" w:rsidR="00D77DFD" w:rsidRPr="00E914FB" w:rsidRDefault="00D77DFD" w:rsidP="00D77DFD">
            <w:pPr>
              <w:rPr>
                <w:rFonts w:cstheme="minorHAnsi"/>
                <w:sz w:val="20"/>
                <w:szCs w:val="20"/>
              </w:rPr>
            </w:pPr>
          </w:p>
        </w:tc>
      </w:tr>
      <w:tr w:rsidR="00D77DFD" w:rsidRPr="00E914FB" w14:paraId="5CAFD43A" w14:textId="77777777" w:rsidTr="00A178EB">
        <w:trPr>
          <w:trHeight w:val="122"/>
        </w:trPr>
        <w:tc>
          <w:tcPr>
            <w:tcW w:w="1668" w:type="dxa"/>
            <w:vMerge/>
          </w:tcPr>
          <w:p w14:paraId="7E78D8EE" w14:textId="77777777" w:rsidR="00D77DFD" w:rsidRPr="00E914FB" w:rsidRDefault="00D77DFD" w:rsidP="00D77DFD">
            <w:pPr>
              <w:rPr>
                <w:rFonts w:cstheme="minorHAnsi"/>
                <w:sz w:val="20"/>
                <w:szCs w:val="20"/>
              </w:rPr>
            </w:pPr>
          </w:p>
        </w:tc>
        <w:tc>
          <w:tcPr>
            <w:tcW w:w="992" w:type="dxa"/>
          </w:tcPr>
          <w:p w14:paraId="7D271FD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60FC6A6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S-warfarin</w:t>
            </w:r>
          </w:p>
        </w:tc>
        <w:tc>
          <w:tcPr>
            <w:tcW w:w="1040" w:type="dxa"/>
          </w:tcPr>
          <w:p w14:paraId="4E8B6E73"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0.96</w:t>
            </w:r>
          </w:p>
          <w:p w14:paraId="56191AFA"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(0.85-1.08)</w:t>
            </w:r>
          </w:p>
        </w:tc>
        <w:tc>
          <w:tcPr>
            <w:tcW w:w="1040" w:type="dxa"/>
          </w:tcPr>
          <w:p w14:paraId="1C2CC390"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0.88</w:t>
            </w:r>
          </w:p>
          <w:p w14:paraId="7C571D83"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(0.81-0.96)</w:t>
            </w:r>
          </w:p>
        </w:tc>
        <w:tc>
          <w:tcPr>
            <w:tcW w:w="1041" w:type="dxa"/>
          </w:tcPr>
          <w:p w14:paraId="35141F41"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0.95</w:t>
            </w:r>
          </w:p>
          <w:p w14:paraId="5FFFD368"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(0.88-1.02)</w:t>
            </w:r>
          </w:p>
        </w:tc>
        <w:tc>
          <w:tcPr>
            <w:tcW w:w="3464" w:type="dxa"/>
            <w:vMerge/>
          </w:tcPr>
          <w:p w14:paraId="745E31F7" w14:textId="77777777" w:rsidR="00D77DFD" w:rsidRPr="00E914FB" w:rsidRDefault="00D77DFD" w:rsidP="00D77DFD">
            <w:pPr>
              <w:rPr>
                <w:rFonts w:cstheme="minorHAnsi"/>
                <w:sz w:val="20"/>
                <w:szCs w:val="20"/>
              </w:rPr>
            </w:pPr>
          </w:p>
        </w:tc>
      </w:tr>
      <w:tr w:rsidR="00D77DFD" w:rsidRPr="00E914FB" w14:paraId="503E225E" w14:textId="77777777" w:rsidTr="00A178EB">
        <w:trPr>
          <w:trHeight w:val="122"/>
        </w:trPr>
        <w:tc>
          <w:tcPr>
            <w:tcW w:w="1668" w:type="dxa"/>
            <w:vMerge/>
          </w:tcPr>
          <w:p w14:paraId="606DACE1" w14:textId="77777777" w:rsidR="00D77DFD" w:rsidRPr="00E914FB" w:rsidRDefault="00D77DFD" w:rsidP="00D77DFD">
            <w:pPr>
              <w:rPr>
                <w:rFonts w:cstheme="minorHAnsi"/>
                <w:sz w:val="20"/>
                <w:szCs w:val="20"/>
              </w:rPr>
            </w:pPr>
          </w:p>
        </w:tc>
        <w:tc>
          <w:tcPr>
            <w:tcW w:w="992" w:type="dxa"/>
          </w:tcPr>
          <w:p w14:paraId="6A8E1E9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69383B1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ombitasvir</w:t>
            </w:r>
          </w:p>
        </w:tc>
        <w:tc>
          <w:tcPr>
            <w:tcW w:w="1040" w:type="dxa"/>
          </w:tcPr>
          <w:p w14:paraId="2D3F5F42"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0.94</w:t>
            </w:r>
          </w:p>
          <w:p w14:paraId="73363D84"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(0.89-1.00)</w:t>
            </w:r>
          </w:p>
        </w:tc>
        <w:tc>
          <w:tcPr>
            <w:tcW w:w="1040" w:type="dxa"/>
          </w:tcPr>
          <w:p w14:paraId="02E2E94B"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0.96</w:t>
            </w:r>
          </w:p>
          <w:p w14:paraId="561C8AC8"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(0.93-1.00)</w:t>
            </w:r>
          </w:p>
        </w:tc>
        <w:tc>
          <w:tcPr>
            <w:tcW w:w="1041" w:type="dxa"/>
          </w:tcPr>
          <w:p w14:paraId="2004FEC4"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0.98</w:t>
            </w:r>
          </w:p>
          <w:p w14:paraId="7AAE6317"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(0.95-1.02)</w:t>
            </w:r>
          </w:p>
        </w:tc>
        <w:tc>
          <w:tcPr>
            <w:tcW w:w="3464" w:type="dxa"/>
            <w:vMerge/>
          </w:tcPr>
          <w:p w14:paraId="0F1C6AE9" w14:textId="77777777" w:rsidR="00D77DFD" w:rsidRPr="00E914FB" w:rsidRDefault="00D77DFD" w:rsidP="00D77DFD">
            <w:pPr>
              <w:rPr>
                <w:rFonts w:cstheme="minorHAnsi"/>
                <w:sz w:val="20"/>
                <w:szCs w:val="20"/>
              </w:rPr>
            </w:pPr>
          </w:p>
        </w:tc>
      </w:tr>
      <w:tr w:rsidR="00D77DFD" w:rsidRPr="00E914FB" w14:paraId="7CB7C225" w14:textId="77777777" w:rsidTr="00A178EB">
        <w:trPr>
          <w:trHeight w:val="122"/>
        </w:trPr>
        <w:tc>
          <w:tcPr>
            <w:tcW w:w="1668" w:type="dxa"/>
            <w:vMerge/>
          </w:tcPr>
          <w:p w14:paraId="7AB9530D" w14:textId="77777777" w:rsidR="00D77DFD" w:rsidRPr="00E914FB" w:rsidRDefault="00D77DFD" w:rsidP="00D77DFD">
            <w:pPr>
              <w:rPr>
                <w:rFonts w:cstheme="minorHAnsi"/>
                <w:sz w:val="20"/>
                <w:szCs w:val="20"/>
              </w:rPr>
            </w:pPr>
          </w:p>
        </w:tc>
        <w:tc>
          <w:tcPr>
            <w:tcW w:w="992" w:type="dxa"/>
          </w:tcPr>
          <w:p w14:paraId="32B410E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40FA7A5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paritaprevir</w:t>
            </w:r>
          </w:p>
        </w:tc>
        <w:tc>
          <w:tcPr>
            <w:tcW w:w="1040" w:type="dxa"/>
          </w:tcPr>
          <w:p w14:paraId="64351DF2"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0.98</w:t>
            </w:r>
          </w:p>
          <w:p w14:paraId="64CAB6C9"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(0.82-1.18)</w:t>
            </w:r>
          </w:p>
        </w:tc>
        <w:tc>
          <w:tcPr>
            <w:tcW w:w="1040" w:type="dxa"/>
          </w:tcPr>
          <w:p w14:paraId="4FD3301C"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1.07</w:t>
            </w:r>
          </w:p>
          <w:p w14:paraId="73E97C02"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(0.89-1.27)</w:t>
            </w:r>
          </w:p>
        </w:tc>
        <w:tc>
          <w:tcPr>
            <w:tcW w:w="1041" w:type="dxa"/>
          </w:tcPr>
          <w:p w14:paraId="5F4750C3"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0.96</w:t>
            </w:r>
          </w:p>
          <w:p w14:paraId="4DF2223B"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(0.85-1.09)</w:t>
            </w:r>
          </w:p>
        </w:tc>
        <w:tc>
          <w:tcPr>
            <w:tcW w:w="3464" w:type="dxa"/>
            <w:vMerge/>
          </w:tcPr>
          <w:p w14:paraId="5D17FFA8" w14:textId="77777777" w:rsidR="00D77DFD" w:rsidRPr="00E914FB" w:rsidRDefault="00D77DFD" w:rsidP="00D77DFD">
            <w:pPr>
              <w:rPr>
                <w:rFonts w:cstheme="minorHAnsi"/>
                <w:sz w:val="20"/>
                <w:szCs w:val="20"/>
              </w:rPr>
            </w:pPr>
          </w:p>
        </w:tc>
      </w:tr>
      <w:tr w:rsidR="00D77DFD" w:rsidRPr="00E914FB" w14:paraId="2C7DE861" w14:textId="77777777" w:rsidTr="00A178EB">
        <w:trPr>
          <w:trHeight w:val="122"/>
        </w:trPr>
        <w:tc>
          <w:tcPr>
            <w:tcW w:w="1668" w:type="dxa"/>
            <w:vMerge/>
          </w:tcPr>
          <w:p w14:paraId="309FF7C9" w14:textId="77777777" w:rsidR="00D77DFD" w:rsidRPr="00E914FB" w:rsidRDefault="00D77DFD" w:rsidP="00D77DFD">
            <w:pPr>
              <w:rPr>
                <w:rFonts w:cstheme="minorHAnsi"/>
                <w:sz w:val="20"/>
                <w:szCs w:val="20"/>
              </w:rPr>
            </w:pPr>
          </w:p>
        </w:tc>
        <w:tc>
          <w:tcPr>
            <w:tcW w:w="992" w:type="dxa"/>
          </w:tcPr>
          <w:p w14:paraId="03F1948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65DC46A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dasabuvir</w:t>
            </w:r>
          </w:p>
        </w:tc>
        <w:tc>
          <w:tcPr>
            <w:tcW w:w="1040" w:type="dxa"/>
          </w:tcPr>
          <w:p w14:paraId="4E8F4A4F"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0.97</w:t>
            </w:r>
          </w:p>
          <w:p w14:paraId="6A22AA23"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(0.89-1.06)</w:t>
            </w:r>
          </w:p>
        </w:tc>
        <w:tc>
          <w:tcPr>
            <w:tcW w:w="1040" w:type="dxa"/>
          </w:tcPr>
          <w:p w14:paraId="4EE60111"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0.98</w:t>
            </w:r>
          </w:p>
          <w:p w14:paraId="68C3C8C8"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(0.91-1.06)</w:t>
            </w:r>
          </w:p>
        </w:tc>
        <w:tc>
          <w:tcPr>
            <w:tcW w:w="1041" w:type="dxa"/>
          </w:tcPr>
          <w:p w14:paraId="39FA982B"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1.03</w:t>
            </w:r>
          </w:p>
          <w:p w14:paraId="5DAC7898" w14:textId="77777777" w:rsidR="00D77DFD" w:rsidRPr="00E914FB" w:rsidRDefault="00D77DFD" w:rsidP="00137124">
            <w:pPr>
              <w:tabs>
                <w:tab w:val="left" w:pos="567"/>
              </w:tabs>
              <w:jc w:val="center"/>
              <w:rPr>
                <w:rFonts w:ascii="Calibri" w:hAnsi="Calibri" w:cs="Calibri"/>
                <w:sz w:val="20"/>
                <w:szCs w:val="20"/>
              </w:rPr>
            </w:pPr>
            <w:r w:rsidRPr="00E914FB">
              <w:rPr>
                <w:rFonts w:ascii="Calibri" w:hAnsi="Calibri" w:cs="Calibri"/>
                <w:sz w:val="20"/>
                <w:szCs w:val="20"/>
              </w:rPr>
              <w:t>(0.94-1.13)</w:t>
            </w:r>
          </w:p>
        </w:tc>
        <w:tc>
          <w:tcPr>
            <w:tcW w:w="3464" w:type="dxa"/>
            <w:vMerge/>
          </w:tcPr>
          <w:p w14:paraId="3C9B4A4B" w14:textId="77777777" w:rsidR="00D77DFD" w:rsidRPr="00E914FB" w:rsidRDefault="00D77DFD" w:rsidP="00D77DFD">
            <w:pPr>
              <w:rPr>
                <w:rFonts w:cstheme="minorHAnsi"/>
                <w:sz w:val="20"/>
                <w:szCs w:val="20"/>
              </w:rPr>
            </w:pPr>
          </w:p>
        </w:tc>
      </w:tr>
      <w:tr w:rsidR="00D77DFD" w:rsidRPr="00E914FB" w14:paraId="62CA4E1B" w14:textId="77777777" w:rsidTr="00337D74">
        <w:tc>
          <w:tcPr>
            <w:tcW w:w="1668" w:type="dxa"/>
          </w:tcPr>
          <w:p w14:paraId="75488F80" w14:textId="77777777" w:rsidR="00D77DFD" w:rsidRPr="00E914FB" w:rsidRDefault="00D77DFD" w:rsidP="00D77DFD">
            <w:pPr>
              <w:tabs>
                <w:tab w:val="left" w:pos="567"/>
              </w:tabs>
              <w:rPr>
                <w:rFonts w:cstheme="minorHAnsi"/>
                <w:sz w:val="20"/>
                <w:szCs w:val="20"/>
              </w:rPr>
            </w:pPr>
            <w:r w:rsidRPr="00E914FB">
              <w:rPr>
                <w:rFonts w:cstheme="minorHAnsi"/>
                <w:sz w:val="20"/>
                <w:szCs w:val="20"/>
              </w:rPr>
              <w:t>Dabigatran etexilate</w:t>
            </w:r>
          </w:p>
        </w:tc>
        <w:tc>
          <w:tcPr>
            <w:tcW w:w="4113" w:type="dxa"/>
            <w:gridSpan w:val="4"/>
          </w:tcPr>
          <w:p w14:paraId="7BB61F87" w14:textId="77777777" w:rsidR="00D77DFD" w:rsidRPr="00E914FB" w:rsidRDefault="00D77DFD" w:rsidP="00D77DFD">
            <w:pPr>
              <w:rPr>
                <w:rFonts w:cstheme="minorHAnsi"/>
                <w:sz w:val="20"/>
                <w:szCs w:val="20"/>
              </w:rPr>
            </w:pPr>
            <w:r w:rsidRPr="00E914FB">
              <w:rPr>
                <w:rFonts w:cstheme="minorHAnsi"/>
                <w:sz w:val="20"/>
                <w:szCs w:val="20"/>
              </w:rPr>
              <w:t>↑ dabigatran*</w:t>
            </w:r>
          </w:p>
        </w:tc>
        <w:tc>
          <w:tcPr>
            <w:tcW w:w="3464" w:type="dxa"/>
          </w:tcPr>
          <w:p w14:paraId="14E46BD1" w14:textId="77777777" w:rsidR="00D77DFD" w:rsidRPr="00E914FB" w:rsidRDefault="00D77DFD" w:rsidP="00D77DFD">
            <w:pPr>
              <w:rPr>
                <w:rFonts w:cstheme="minorHAnsi"/>
                <w:sz w:val="20"/>
                <w:szCs w:val="20"/>
              </w:rPr>
            </w:pPr>
            <w:r w:rsidRPr="00E914FB">
              <w:rPr>
                <w:rFonts w:cstheme="minorHAnsi"/>
                <w:sz w:val="20"/>
                <w:szCs w:val="20"/>
              </w:rPr>
              <w:t>Mechanism:  Intestinal P-gp inhibition by paritaprevir, dasabuvir and ritonavir.</w:t>
            </w:r>
          </w:p>
          <w:p w14:paraId="1A08E873" w14:textId="47497303" w:rsidR="00D77DFD" w:rsidRPr="00E914FB" w:rsidRDefault="00D77DFD" w:rsidP="00D77DFD">
            <w:pPr>
              <w:tabs>
                <w:tab w:val="left" w:pos="567"/>
              </w:tabs>
              <w:rPr>
                <w:rFonts w:cstheme="minorHAnsi"/>
                <w:sz w:val="20"/>
                <w:szCs w:val="20"/>
              </w:rPr>
            </w:pPr>
            <w:r w:rsidRPr="00E914FB">
              <w:rPr>
                <w:rFonts w:cstheme="minorHAnsi"/>
                <w:sz w:val="20"/>
                <w:szCs w:val="20"/>
              </w:rPr>
              <w:t>VIEKIRA PAK may increase the plasma concentrations of dabigatran etexilate. Use with caution.</w:t>
            </w:r>
          </w:p>
        </w:tc>
      </w:tr>
      <w:tr w:rsidR="00D77DFD" w:rsidRPr="00E914FB" w14:paraId="24288EA6" w14:textId="77777777" w:rsidTr="00337D74">
        <w:tc>
          <w:tcPr>
            <w:tcW w:w="1668" w:type="dxa"/>
          </w:tcPr>
          <w:p w14:paraId="062342D8" w14:textId="77777777" w:rsidR="00D77DFD" w:rsidRPr="00E914FB" w:rsidRDefault="00D77DFD" w:rsidP="00D77DFD">
            <w:pPr>
              <w:tabs>
                <w:tab w:val="left" w:pos="567"/>
              </w:tabs>
              <w:rPr>
                <w:rFonts w:cstheme="minorHAnsi"/>
                <w:sz w:val="20"/>
                <w:szCs w:val="20"/>
              </w:rPr>
            </w:pPr>
            <w:r w:rsidRPr="00E914FB">
              <w:rPr>
                <w:rFonts w:cstheme="minorHAnsi"/>
                <w:sz w:val="20"/>
                <w:szCs w:val="20"/>
              </w:rPr>
              <w:t>S-mephenytoin</w:t>
            </w:r>
          </w:p>
        </w:tc>
        <w:tc>
          <w:tcPr>
            <w:tcW w:w="4113" w:type="dxa"/>
            <w:gridSpan w:val="4"/>
          </w:tcPr>
          <w:p w14:paraId="11C81490" w14:textId="77777777" w:rsidR="00D77DFD" w:rsidRPr="00E914FB" w:rsidRDefault="00D77DFD" w:rsidP="00D77DFD">
            <w:pPr>
              <w:rPr>
                <w:rFonts w:cstheme="minorHAnsi"/>
                <w:sz w:val="20"/>
                <w:szCs w:val="20"/>
              </w:rPr>
            </w:pPr>
            <w:r w:rsidRPr="00E914FB">
              <w:rPr>
                <w:rFonts w:cstheme="minorHAnsi"/>
                <w:sz w:val="20"/>
                <w:szCs w:val="20"/>
              </w:rPr>
              <w:t>↓ S-mephenytoin*</w:t>
            </w:r>
          </w:p>
        </w:tc>
        <w:tc>
          <w:tcPr>
            <w:tcW w:w="3464" w:type="dxa"/>
          </w:tcPr>
          <w:p w14:paraId="43C9A5B7" w14:textId="77777777" w:rsidR="00D77DFD" w:rsidRPr="00E914FB" w:rsidRDefault="00D77DFD" w:rsidP="00D77DFD">
            <w:pPr>
              <w:rPr>
                <w:rFonts w:cstheme="minorHAnsi"/>
                <w:sz w:val="20"/>
                <w:szCs w:val="20"/>
              </w:rPr>
            </w:pPr>
            <w:r w:rsidRPr="00E914FB">
              <w:rPr>
                <w:rFonts w:cstheme="minorHAnsi"/>
                <w:sz w:val="20"/>
                <w:szCs w:val="20"/>
              </w:rPr>
              <w:t>Mechanism:  CYP2C19 induction by ritonavir.</w:t>
            </w:r>
          </w:p>
          <w:p w14:paraId="29E7294F" w14:textId="77777777" w:rsidR="00D77DFD" w:rsidRPr="00E914FB" w:rsidRDefault="00D77DFD" w:rsidP="00D77DFD">
            <w:pPr>
              <w:rPr>
                <w:rFonts w:cstheme="minorHAnsi"/>
                <w:sz w:val="20"/>
                <w:szCs w:val="20"/>
              </w:rPr>
            </w:pPr>
            <w:r w:rsidRPr="00E914FB">
              <w:rPr>
                <w:rFonts w:cstheme="minorHAnsi"/>
                <w:sz w:val="20"/>
                <w:szCs w:val="20"/>
              </w:rPr>
              <w:t>Clinical monitoring and dose adjustment maybe needed for s-mephenytoin.</w:t>
            </w:r>
          </w:p>
        </w:tc>
      </w:tr>
      <w:tr w:rsidR="00D77DFD" w:rsidRPr="00E914FB" w14:paraId="52C0CA49" w14:textId="77777777" w:rsidTr="00A178EB">
        <w:tc>
          <w:tcPr>
            <w:tcW w:w="9245" w:type="dxa"/>
            <w:gridSpan w:val="6"/>
          </w:tcPr>
          <w:p w14:paraId="42F52CB4" w14:textId="77777777" w:rsidR="00D77DFD" w:rsidRPr="00E914FB" w:rsidRDefault="00D77DFD" w:rsidP="00D77DFD">
            <w:pPr>
              <w:rPr>
                <w:rFonts w:cstheme="minorHAnsi"/>
                <w:b/>
                <w:sz w:val="20"/>
                <w:szCs w:val="20"/>
              </w:rPr>
            </w:pPr>
            <w:r w:rsidRPr="00E914FB">
              <w:rPr>
                <w:rFonts w:cstheme="minorHAnsi"/>
                <w:b/>
                <w:sz w:val="20"/>
                <w:szCs w:val="20"/>
              </w:rPr>
              <w:t>Antidepressants</w:t>
            </w:r>
          </w:p>
        </w:tc>
      </w:tr>
      <w:tr w:rsidR="00D77DFD" w:rsidRPr="00E914FB" w14:paraId="496CD51B" w14:textId="77777777" w:rsidTr="00A178EB">
        <w:trPr>
          <w:trHeight w:val="84"/>
        </w:trPr>
        <w:tc>
          <w:tcPr>
            <w:tcW w:w="1668" w:type="dxa"/>
            <w:vMerge w:val="restart"/>
          </w:tcPr>
          <w:p w14:paraId="491D24A4" w14:textId="77777777" w:rsidR="00D77DFD" w:rsidRPr="00E914FB" w:rsidRDefault="00D77DFD" w:rsidP="00D77DFD">
            <w:pPr>
              <w:tabs>
                <w:tab w:val="left" w:pos="567"/>
              </w:tabs>
              <w:rPr>
                <w:rFonts w:cstheme="minorHAnsi"/>
                <w:sz w:val="20"/>
                <w:szCs w:val="20"/>
              </w:rPr>
            </w:pPr>
            <w:r w:rsidRPr="00E914FB">
              <w:rPr>
                <w:rFonts w:cstheme="minorHAnsi"/>
                <w:sz w:val="20"/>
                <w:szCs w:val="20"/>
              </w:rPr>
              <w:t>Escitalopram</w:t>
            </w:r>
          </w:p>
          <w:p w14:paraId="7E138469" w14:textId="77777777" w:rsidR="00D77DFD" w:rsidRPr="00E914FB" w:rsidRDefault="00D77DFD" w:rsidP="00D77DFD">
            <w:pPr>
              <w:rPr>
                <w:rFonts w:cstheme="minorHAnsi"/>
                <w:sz w:val="20"/>
                <w:szCs w:val="20"/>
              </w:rPr>
            </w:pPr>
            <w:r w:rsidRPr="00E914FB">
              <w:rPr>
                <w:rFonts w:cstheme="minorHAnsi"/>
                <w:sz w:val="20"/>
                <w:szCs w:val="20"/>
              </w:rPr>
              <w:t>10 mg single dose</w:t>
            </w:r>
          </w:p>
        </w:tc>
        <w:tc>
          <w:tcPr>
            <w:tcW w:w="992" w:type="dxa"/>
          </w:tcPr>
          <w:p w14:paraId="4DCBB25F" w14:textId="77777777" w:rsidR="00D77DFD" w:rsidRPr="00E914FB" w:rsidRDefault="00D77DFD" w:rsidP="00D77DFD">
            <w:pPr>
              <w:rPr>
                <w:rFonts w:cstheme="minorHAnsi"/>
                <w:sz w:val="16"/>
                <w:szCs w:val="16"/>
              </w:rPr>
            </w:pPr>
          </w:p>
        </w:tc>
        <w:tc>
          <w:tcPr>
            <w:tcW w:w="1040" w:type="dxa"/>
          </w:tcPr>
          <w:p w14:paraId="1A86B484"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3CC7E2C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5B54AAD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A29CD52" w14:textId="77777777" w:rsidR="00D77DFD" w:rsidRPr="00E914FB" w:rsidRDefault="00D77DFD" w:rsidP="00D77DFD">
            <w:pPr>
              <w:rPr>
                <w:rFonts w:cstheme="minorHAnsi"/>
                <w:sz w:val="20"/>
                <w:szCs w:val="20"/>
              </w:rPr>
            </w:pPr>
            <w:r w:rsidRPr="00E914FB">
              <w:rPr>
                <w:rFonts w:cstheme="minorHAnsi"/>
                <w:sz w:val="20"/>
                <w:szCs w:val="20"/>
              </w:rPr>
              <w:t>No dose adjustment is necessary for escitalopram.</w:t>
            </w:r>
          </w:p>
          <w:p w14:paraId="10B6A1E0" w14:textId="77777777" w:rsidR="00D77DFD" w:rsidRPr="00E914FB" w:rsidRDefault="00D77DFD" w:rsidP="00D77DFD">
            <w:pPr>
              <w:tabs>
                <w:tab w:val="left" w:pos="567"/>
              </w:tabs>
              <w:rPr>
                <w:rFonts w:cstheme="minorHAnsi"/>
                <w:sz w:val="20"/>
                <w:szCs w:val="20"/>
              </w:rPr>
            </w:pPr>
          </w:p>
        </w:tc>
      </w:tr>
      <w:tr w:rsidR="00D77DFD" w:rsidRPr="00E914FB" w14:paraId="5F009978" w14:textId="77777777" w:rsidTr="00A178EB">
        <w:trPr>
          <w:trHeight w:val="81"/>
        </w:trPr>
        <w:tc>
          <w:tcPr>
            <w:tcW w:w="1668" w:type="dxa"/>
            <w:vMerge/>
          </w:tcPr>
          <w:p w14:paraId="6F3858A1" w14:textId="77777777" w:rsidR="00D77DFD" w:rsidRPr="00E914FB" w:rsidRDefault="00D77DFD" w:rsidP="00D77DFD">
            <w:pPr>
              <w:rPr>
                <w:rFonts w:cstheme="minorHAnsi"/>
                <w:sz w:val="20"/>
                <w:szCs w:val="20"/>
              </w:rPr>
            </w:pPr>
          </w:p>
        </w:tc>
        <w:tc>
          <w:tcPr>
            <w:tcW w:w="992" w:type="dxa"/>
          </w:tcPr>
          <w:p w14:paraId="5FAD00F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es-</w:t>
            </w:r>
            <w:r w:rsidRPr="00E914FB">
              <w:rPr>
                <w:rFonts w:ascii="Calibri" w:hAnsi="Calibri" w:cs="Calibri"/>
                <w:sz w:val="16"/>
                <w:szCs w:val="16"/>
              </w:rPr>
              <w:br/>
              <w:t>citalopram</w:t>
            </w:r>
          </w:p>
        </w:tc>
        <w:tc>
          <w:tcPr>
            <w:tcW w:w="1040" w:type="dxa"/>
          </w:tcPr>
          <w:p w14:paraId="0B09D8F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w:t>
            </w:r>
          </w:p>
          <w:p w14:paraId="13D57D8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(0.96-1.05)</w:t>
            </w:r>
          </w:p>
        </w:tc>
        <w:tc>
          <w:tcPr>
            <w:tcW w:w="1040" w:type="dxa"/>
          </w:tcPr>
          <w:p w14:paraId="003CAEC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3309FE3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(0.80-0.95)</w:t>
            </w:r>
          </w:p>
        </w:tc>
        <w:tc>
          <w:tcPr>
            <w:tcW w:w="1041" w:type="dxa"/>
          </w:tcPr>
          <w:p w14:paraId="216AF38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1F0D5EF5" w14:textId="77777777" w:rsidR="00D77DFD" w:rsidRPr="00E914FB" w:rsidRDefault="00D77DFD" w:rsidP="00D77DFD">
            <w:pPr>
              <w:rPr>
                <w:rFonts w:cstheme="minorHAnsi"/>
                <w:sz w:val="20"/>
                <w:szCs w:val="20"/>
              </w:rPr>
            </w:pPr>
          </w:p>
        </w:tc>
      </w:tr>
      <w:tr w:rsidR="00D77DFD" w:rsidRPr="00E914FB" w14:paraId="2ABEC1DC" w14:textId="77777777" w:rsidTr="00A178EB">
        <w:trPr>
          <w:trHeight w:val="81"/>
        </w:trPr>
        <w:tc>
          <w:tcPr>
            <w:tcW w:w="1668" w:type="dxa"/>
            <w:vMerge/>
          </w:tcPr>
          <w:p w14:paraId="350C80D6" w14:textId="77777777" w:rsidR="00D77DFD" w:rsidRPr="00E914FB" w:rsidRDefault="00D77DFD" w:rsidP="00D77DFD">
            <w:pPr>
              <w:rPr>
                <w:rFonts w:cstheme="minorHAnsi"/>
                <w:sz w:val="20"/>
                <w:szCs w:val="20"/>
              </w:rPr>
            </w:pPr>
          </w:p>
        </w:tc>
        <w:tc>
          <w:tcPr>
            <w:tcW w:w="992" w:type="dxa"/>
          </w:tcPr>
          <w:p w14:paraId="3BB76F5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S-Desmethyl citalopram</w:t>
            </w:r>
          </w:p>
        </w:tc>
        <w:tc>
          <w:tcPr>
            <w:tcW w:w="1040" w:type="dxa"/>
          </w:tcPr>
          <w:p w14:paraId="0736BE5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1.15</w:t>
            </w:r>
          </w:p>
          <w:p w14:paraId="5A30B46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(1.10-1.21)</w:t>
            </w:r>
          </w:p>
        </w:tc>
        <w:tc>
          <w:tcPr>
            <w:tcW w:w="1040" w:type="dxa"/>
          </w:tcPr>
          <w:p w14:paraId="198567A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1.36</w:t>
            </w:r>
          </w:p>
          <w:p w14:paraId="2DE626C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(1.03-1.80)</w:t>
            </w:r>
          </w:p>
        </w:tc>
        <w:tc>
          <w:tcPr>
            <w:tcW w:w="1041" w:type="dxa"/>
          </w:tcPr>
          <w:p w14:paraId="716B0B4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329C2185" w14:textId="77777777" w:rsidR="00D77DFD" w:rsidRPr="00E914FB" w:rsidRDefault="00D77DFD" w:rsidP="00D77DFD">
            <w:pPr>
              <w:rPr>
                <w:rFonts w:cstheme="minorHAnsi"/>
                <w:sz w:val="20"/>
                <w:szCs w:val="20"/>
              </w:rPr>
            </w:pPr>
          </w:p>
        </w:tc>
      </w:tr>
      <w:tr w:rsidR="00D77DFD" w:rsidRPr="00E914FB" w14:paraId="4FE5B267" w14:textId="77777777" w:rsidTr="00A178EB">
        <w:trPr>
          <w:trHeight w:val="81"/>
        </w:trPr>
        <w:tc>
          <w:tcPr>
            <w:tcW w:w="1668" w:type="dxa"/>
            <w:vMerge/>
          </w:tcPr>
          <w:p w14:paraId="731FE6E4" w14:textId="77777777" w:rsidR="00D77DFD" w:rsidRPr="00E914FB" w:rsidRDefault="00D77DFD" w:rsidP="00D77DFD">
            <w:pPr>
              <w:rPr>
                <w:rFonts w:cstheme="minorHAnsi"/>
                <w:sz w:val="20"/>
                <w:szCs w:val="20"/>
              </w:rPr>
            </w:pPr>
          </w:p>
        </w:tc>
        <w:tc>
          <w:tcPr>
            <w:tcW w:w="992" w:type="dxa"/>
          </w:tcPr>
          <w:p w14:paraId="29E9AE1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04C88C8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ombitasvir</w:t>
            </w:r>
          </w:p>
        </w:tc>
        <w:tc>
          <w:tcPr>
            <w:tcW w:w="1040" w:type="dxa"/>
          </w:tcPr>
          <w:p w14:paraId="1CC437F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1.09</w:t>
            </w:r>
          </w:p>
          <w:p w14:paraId="2EA4C50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(1.01-1.18)</w:t>
            </w:r>
          </w:p>
        </w:tc>
        <w:tc>
          <w:tcPr>
            <w:tcW w:w="1040" w:type="dxa"/>
          </w:tcPr>
          <w:p w14:paraId="0228129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1.02</w:t>
            </w:r>
          </w:p>
          <w:p w14:paraId="565CD07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(1.00-1.05)</w:t>
            </w:r>
          </w:p>
        </w:tc>
        <w:tc>
          <w:tcPr>
            <w:tcW w:w="1041" w:type="dxa"/>
          </w:tcPr>
          <w:p w14:paraId="41B5466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0.97</w:t>
            </w:r>
          </w:p>
          <w:p w14:paraId="625A0B7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(0.92-1.02)</w:t>
            </w:r>
          </w:p>
        </w:tc>
        <w:tc>
          <w:tcPr>
            <w:tcW w:w="3464" w:type="dxa"/>
            <w:vMerge/>
          </w:tcPr>
          <w:p w14:paraId="3375F932" w14:textId="77777777" w:rsidR="00D77DFD" w:rsidRPr="00E914FB" w:rsidRDefault="00D77DFD" w:rsidP="00D77DFD">
            <w:pPr>
              <w:rPr>
                <w:rFonts w:cstheme="minorHAnsi"/>
                <w:sz w:val="20"/>
                <w:szCs w:val="20"/>
              </w:rPr>
            </w:pPr>
          </w:p>
        </w:tc>
      </w:tr>
      <w:tr w:rsidR="00D77DFD" w:rsidRPr="00E914FB" w14:paraId="56DFE611" w14:textId="77777777" w:rsidTr="00A178EB">
        <w:trPr>
          <w:trHeight w:val="81"/>
        </w:trPr>
        <w:tc>
          <w:tcPr>
            <w:tcW w:w="1668" w:type="dxa"/>
            <w:vMerge/>
          </w:tcPr>
          <w:p w14:paraId="39F9FEF2" w14:textId="77777777" w:rsidR="00D77DFD" w:rsidRPr="00E914FB" w:rsidRDefault="00D77DFD" w:rsidP="00D77DFD">
            <w:pPr>
              <w:rPr>
                <w:rFonts w:cstheme="minorHAnsi"/>
                <w:sz w:val="20"/>
                <w:szCs w:val="20"/>
              </w:rPr>
            </w:pPr>
          </w:p>
        </w:tc>
        <w:tc>
          <w:tcPr>
            <w:tcW w:w="992" w:type="dxa"/>
          </w:tcPr>
          <w:p w14:paraId="46B6687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5ED2CCA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1.12</w:t>
            </w:r>
          </w:p>
          <w:p w14:paraId="58016B8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(0.88-1.43)</w:t>
            </w:r>
          </w:p>
        </w:tc>
        <w:tc>
          <w:tcPr>
            <w:tcW w:w="1040" w:type="dxa"/>
          </w:tcPr>
          <w:p w14:paraId="4986B32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0.98</w:t>
            </w:r>
          </w:p>
          <w:p w14:paraId="4F93668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(0.85-1.14)</w:t>
            </w:r>
          </w:p>
        </w:tc>
        <w:tc>
          <w:tcPr>
            <w:tcW w:w="1041" w:type="dxa"/>
          </w:tcPr>
          <w:p w14:paraId="64D081C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0.71</w:t>
            </w:r>
          </w:p>
          <w:p w14:paraId="2E0FDFD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(0.56-0.89)</w:t>
            </w:r>
          </w:p>
        </w:tc>
        <w:tc>
          <w:tcPr>
            <w:tcW w:w="3464" w:type="dxa"/>
            <w:vMerge/>
          </w:tcPr>
          <w:p w14:paraId="320A7965" w14:textId="77777777" w:rsidR="00D77DFD" w:rsidRPr="00E914FB" w:rsidRDefault="00D77DFD" w:rsidP="00D77DFD">
            <w:pPr>
              <w:rPr>
                <w:rFonts w:cstheme="minorHAnsi"/>
                <w:sz w:val="20"/>
                <w:szCs w:val="20"/>
              </w:rPr>
            </w:pPr>
          </w:p>
        </w:tc>
      </w:tr>
      <w:tr w:rsidR="00D77DFD" w:rsidRPr="00E914FB" w14:paraId="4DD17A77" w14:textId="77777777" w:rsidTr="00A178EB">
        <w:trPr>
          <w:trHeight w:val="81"/>
        </w:trPr>
        <w:tc>
          <w:tcPr>
            <w:tcW w:w="1668" w:type="dxa"/>
            <w:vMerge/>
          </w:tcPr>
          <w:p w14:paraId="6689F3DD" w14:textId="77777777" w:rsidR="00D77DFD" w:rsidRPr="00E914FB" w:rsidRDefault="00D77DFD" w:rsidP="00D77DFD">
            <w:pPr>
              <w:rPr>
                <w:rFonts w:cstheme="minorHAnsi"/>
                <w:sz w:val="20"/>
                <w:szCs w:val="20"/>
              </w:rPr>
            </w:pPr>
          </w:p>
        </w:tc>
        <w:tc>
          <w:tcPr>
            <w:tcW w:w="992" w:type="dxa"/>
          </w:tcPr>
          <w:p w14:paraId="555D4F6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77BB443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dasabuvir</w:t>
            </w:r>
          </w:p>
        </w:tc>
        <w:tc>
          <w:tcPr>
            <w:tcW w:w="1040" w:type="dxa"/>
          </w:tcPr>
          <w:p w14:paraId="66357F4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1.10</w:t>
            </w:r>
          </w:p>
          <w:p w14:paraId="2D60733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(0.95-1.27)</w:t>
            </w:r>
          </w:p>
        </w:tc>
        <w:tc>
          <w:tcPr>
            <w:tcW w:w="1040" w:type="dxa"/>
          </w:tcPr>
          <w:p w14:paraId="683146E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w:t>
            </w:r>
          </w:p>
          <w:p w14:paraId="45799C5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(0.93-1.10)</w:t>
            </w:r>
          </w:p>
        </w:tc>
        <w:tc>
          <w:tcPr>
            <w:tcW w:w="1041" w:type="dxa"/>
          </w:tcPr>
          <w:p w14:paraId="656F13E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w:t>
            </w:r>
          </w:p>
          <w:p w14:paraId="715ACF5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(0.79-1.00)</w:t>
            </w:r>
          </w:p>
        </w:tc>
        <w:tc>
          <w:tcPr>
            <w:tcW w:w="3464" w:type="dxa"/>
            <w:vMerge/>
          </w:tcPr>
          <w:p w14:paraId="43D141AE" w14:textId="77777777" w:rsidR="00D77DFD" w:rsidRPr="00E914FB" w:rsidRDefault="00D77DFD" w:rsidP="00D77DFD">
            <w:pPr>
              <w:rPr>
                <w:rFonts w:cstheme="minorHAnsi"/>
                <w:sz w:val="20"/>
                <w:szCs w:val="20"/>
              </w:rPr>
            </w:pPr>
          </w:p>
        </w:tc>
      </w:tr>
      <w:tr w:rsidR="00D77DFD" w:rsidRPr="00E914FB" w14:paraId="4D34124B" w14:textId="77777777" w:rsidTr="00A178EB">
        <w:trPr>
          <w:trHeight w:val="92"/>
        </w:trPr>
        <w:tc>
          <w:tcPr>
            <w:tcW w:w="1668" w:type="dxa"/>
            <w:vMerge w:val="restart"/>
          </w:tcPr>
          <w:p w14:paraId="7854014B" w14:textId="77777777" w:rsidR="00D77DFD" w:rsidRPr="00E914FB" w:rsidRDefault="00D77DFD" w:rsidP="00D77DFD">
            <w:pPr>
              <w:tabs>
                <w:tab w:val="left" w:pos="567"/>
              </w:tabs>
              <w:rPr>
                <w:rFonts w:cstheme="minorHAnsi"/>
                <w:sz w:val="20"/>
                <w:szCs w:val="20"/>
              </w:rPr>
            </w:pPr>
            <w:r w:rsidRPr="00E914FB">
              <w:rPr>
                <w:rFonts w:cstheme="minorHAnsi"/>
                <w:sz w:val="20"/>
                <w:szCs w:val="20"/>
              </w:rPr>
              <w:t>Duloxetine</w:t>
            </w:r>
          </w:p>
          <w:p w14:paraId="49C280D3" w14:textId="77777777" w:rsidR="00D77DFD" w:rsidRPr="00E914FB" w:rsidRDefault="00D77DFD" w:rsidP="00D77DFD">
            <w:pPr>
              <w:rPr>
                <w:rFonts w:cstheme="minorHAnsi"/>
                <w:sz w:val="20"/>
                <w:szCs w:val="20"/>
              </w:rPr>
            </w:pPr>
            <w:r w:rsidRPr="00E914FB">
              <w:rPr>
                <w:rFonts w:cstheme="minorHAnsi"/>
                <w:sz w:val="20"/>
                <w:szCs w:val="20"/>
              </w:rPr>
              <w:t>60 mg single dose</w:t>
            </w:r>
          </w:p>
        </w:tc>
        <w:tc>
          <w:tcPr>
            <w:tcW w:w="992" w:type="dxa"/>
          </w:tcPr>
          <w:p w14:paraId="45D4EBC1" w14:textId="77777777" w:rsidR="00D77DFD" w:rsidRPr="00E914FB" w:rsidRDefault="00D77DFD" w:rsidP="00D77DFD">
            <w:pPr>
              <w:tabs>
                <w:tab w:val="left" w:pos="567"/>
              </w:tabs>
              <w:rPr>
                <w:rFonts w:ascii="Calibri" w:hAnsi="Calibri" w:cs="Calibri"/>
                <w:sz w:val="16"/>
                <w:szCs w:val="16"/>
              </w:rPr>
            </w:pPr>
          </w:p>
        </w:tc>
        <w:tc>
          <w:tcPr>
            <w:tcW w:w="1040" w:type="dxa"/>
          </w:tcPr>
          <w:p w14:paraId="1465216F"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06C05C6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1CA5439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0B1EDAD7" w14:textId="105A00B8" w:rsidR="00D77DFD" w:rsidRPr="00E914FB" w:rsidRDefault="00D77DFD" w:rsidP="00D77DFD">
            <w:pPr>
              <w:tabs>
                <w:tab w:val="left" w:pos="567"/>
              </w:tabs>
              <w:rPr>
                <w:rFonts w:cstheme="minorHAnsi"/>
                <w:sz w:val="20"/>
                <w:szCs w:val="20"/>
              </w:rPr>
            </w:pPr>
            <w:r w:rsidRPr="00E914FB">
              <w:rPr>
                <w:rFonts w:cstheme="minorHAnsi"/>
                <w:sz w:val="20"/>
                <w:szCs w:val="20"/>
              </w:rPr>
              <w:t>No dose adjustment is necessary for duloxetine</w:t>
            </w:r>
            <w:r w:rsidR="00921D8D">
              <w:rPr>
                <w:rFonts w:cstheme="minorHAnsi"/>
                <w:sz w:val="20"/>
                <w:szCs w:val="20"/>
              </w:rPr>
              <w:t>.</w:t>
            </w:r>
          </w:p>
          <w:p w14:paraId="39BE1B8F" w14:textId="77777777" w:rsidR="00D77DFD" w:rsidRPr="00E914FB" w:rsidRDefault="00D77DFD" w:rsidP="00826AE6">
            <w:pPr>
              <w:tabs>
                <w:tab w:val="left" w:pos="567"/>
              </w:tabs>
              <w:rPr>
                <w:rFonts w:cstheme="minorHAnsi"/>
                <w:sz w:val="20"/>
                <w:szCs w:val="20"/>
              </w:rPr>
            </w:pPr>
          </w:p>
        </w:tc>
      </w:tr>
      <w:tr w:rsidR="00D77DFD" w:rsidRPr="00E914FB" w14:paraId="26D9AD55" w14:textId="77777777" w:rsidTr="00A178EB">
        <w:trPr>
          <w:trHeight w:val="89"/>
        </w:trPr>
        <w:tc>
          <w:tcPr>
            <w:tcW w:w="1668" w:type="dxa"/>
            <w:vMerge/>
          </w:tcPr>
          <w:p w14:paraId="61AE9CD0" w14:textId="77777777" w:rsidR="00D77DFD" w:rsidRPr="00E914FB" w:rsidRDefault="00D77DFD" w:rsidP="00D77DFD">
            <w:pPr>
              <w:tabs>
                <w:tab w:val="left" w:pos="567"/>
              </w:tabs>
              <w:rPr>
                <w:rFonts w:cstheme="minorHAnsi"/>
                <w:sz w:val="20"/>
                <w:szCs w:val="20"/>
              </w:rPr>
            </w:pPr>
          </w:p>
        </w:tc>
        <w:tc>
          <w:tcPr>
            <w:tcW w:w="992" w:type="dxa"/>
          </w:tcPr>
          <w:p w14:paraId="02C2C20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049AB16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duloxetine</w:t>
            </w:r>
          </w:p>
        </w:tc>
        <w:tc>
          <w:tcPr>
            <w:tcW w:w="1040" w:type="dxa"/>
          </w:tcPr>
          <w:p w14:paraId="3D93B57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w:t>
            </w:r>
          </w:p>
          <w:p w14:paraId="66A5CE9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(0.67-0.94)</w:t>
            </w:r>
          </w:p>
        </w:tc>
        <w:tc>
          <w:tcPr>
            <w:tcW w:w="1040" w:type="dxa"/>
          </w:tcPr>
          <w:p w14:paraId="01F4A30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0.75</w:t>
            </w:r>
          </w:p>
          <w:p w14:paraId="211DE66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(0.67-0.83)</w:t>
            </w:r>
          </w:p>
        </w:tc>
        <w:tc>
          <w:tcPr>
            <w:tcW w:w="1041" w:type="dxa"/>
          </w:tcPr>
          <w:p w14:paraId="131DE2F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7C997991" w14:textId="77777777" w:rsidR="00D77DFD" w:rsidRPr="00E914FB" w:rsidRDefault="00D77DFD" w:rsidP="00D77DFD">
            <w:pPr>
              <w:rPr>
                <w:rFonts w:cstheme="minorHAnsi"/>
                <w:sz w:val="20"/>
                <w:szCs w:val="20"/>
              </w:rPr>
            </w:pPr>
          </w:p>
        </w:tc>
      </w:tr>
      <w:tr w:rsidR="00D77DFD" w:rsidRPr="00E914FB" w14:paraId="6F853E4A" w14:textId="77777777" w:rsidTr="00A178EB">
        <w:trPr>
          <w:trHeight w:val="89"/>
        </w:trPr>
        <w:tc>
          <w:tcPr>
            <w:tcW w:w="1668" w:type="dxa"/>
            <w:vMerge/>
          </w:tcPr>
          <w:p w14:paraId="07DB60E3" w14:textId="77777777" w:rsidR="00D77DFD" w:rsidRPr="00E914FB" w:rsidRDefault="00D77DFD" w:rsidP="00D77DFD">
            <w:pPr>
              <w:tabs>
                <w:tab w:val="left" w:pos="567"/>
              </w:tabs>
              <w:rPr>
                <w:rFonts w:cstheme="minorHAnsi"/>
                <w:sz w:val="20"/>
                <w:szCs w:val="20"/>
              </w:rPr>
            </w:pPr>
          </w:p>
        </w:tc>
        <w:tc>
          <w:tcPr>
            <w:tcW w:w="992" w:type="dxa"/>
          </w:tcPr>
          <w:p w14:paraId="0620912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2A6C35F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ombitasvir</w:t>
            </w:r>
          </w:p>
        </w:tc>
        <w:tc>
          <w:tcPr>
            <w:tcW w:w="1040" w:type="dxa"/>
          </w:tcPr>
          <w:p w14:paraId="1460220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0.98</w:t>
            </w:r>
          </w:p>
          <w:p w14:paraId="4706F8D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(0.88-1.08)</w:t>
            </w:r>
          </w:p>
        </w:tc>
        <w:tc>
          <w:tcPr>
            <w:tcW w:w="1040" w:type="dxa"/>
          </w:tcPr>
          <w:p w14:paraId="7185C2D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w:t>
            </w:r>
          </w:p>
          <w:p w14:paraId="3391D2A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(0.95-1.06)</w:t>
            </w:r>
          </w:p>
        </w:tc>
        <w:tc>
          <w:tcPr>
            <w:tcW w:w="1041" w:type="dxa"/>
          </w:tcPr>
          <w:p w14:paraId="7C4A60C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w:t>
            </w:r>
          </w:p>
          <w:p w14:paraId="4C706B0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(0.96-1.06)</w:t>
            </w:r>
          </w:p>
        </w:tc>
        <w:tc>
          <w:tcPr>
            <w:tcW w:w="3464" w:type="dxa"/>
            <w:vMerge/>
          </w:tcPr>
          <w:p w14:paraId="0FC76548" w14:textId="77777777" w:rsidR="00D77DFD" w:rsidRPr="00E914FB" w:rsidRDefault="00D77DFD" w:rsidP="00D77DFD">
            <w:pPr>
              <w:rPr>
                <w:rFonts w:cstheme="minorHAnsi"/>
                <w:sz w:val="20"/>
                <w:szCs w:val="20"/>
              </w:rPr>
            </w:pPr>
          </w:p>
        </w:tc>
      </w:tr>
      <w:tr w:rsidR="00D77DFD" w:rsidRPr="00E914FB" w14:paraId="1D02A13D" w14:textId="77777777" w:rsidTr="00A178EB">
        <w:trPr>
          <w:trHeight w:val="89"/>
        </w:trPr>
        <w:tc>
          <w:tcPr>
            <w:tcW w:w="1668" w:type="dxa"/>
            <w:vMerge/>
          </w:tcPr>
          <w:p w14:paraId="65B3937E" w14:textId="77777777" w:rsidR="00D77DFD" w:rsidRPr="00E914FB" w:rsidRDefault="00D77DFD" w:rsidP="00D77DFD">
            <w:pPr>
              <w:tabs>
                <w:tab w:val="left" w:pos="567"/>
              </w:tabs>
              <w:rPr>
                <w:rFonts w:cstheme="minorHAnsi"/>
                <w:sz w:val="20"/>
                <w:szCs w:val="20"/>
              </w:rPr>
            </w:pPr>
          </w:p>
        </w:tc>
        <w:tc>
          <w:tcPr>
            <w:tcW w:w="992" w:type="dxa"/>
          </w:tcPr>
          <w:p w14:paraId="352E374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490C0F0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w:t>
            </w:r>
          </w:p>
          <w:p w14:paraId="6EA8CCF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(0.53-1.16)</w:t>
            </w:r>
          </w:p>
        </w:tc>
        <w:tc>
          <w:tcPr>
            <w:tcW w:w="1040" w:type="dxa"/>
          </w:tcPr>
          <w:p w14:paraId="5CCC08A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w:t>
            </w:r>
          </w:p>
          <w:p w14:paraId="1A73EDB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(0.62-1.10)</w:t>
            </w:r>
          </w:p>
        </w:tc>
        <w:tc>
          <w:tcPr>
            <w:tcW w:w="1041" w:type="dxa"/>
          </w:tcPr>
          <w:p w14:paraId="6C736E8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0.77</w:t>
            </w:r>
          </w:p>
          <w:p w14:paraId="2364243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(0.65-0.91)</w:t>
            </w:r>
          </w:p>
        </w:tc>
        <w:tc>
          <w:tcPr>
            <w:tcW w:w="3464" w:type="dxa"/>
            <w:vMerge/>
          </w:tcPr>
          <w:p w14:paraId="53CDE623" w14:textId="77777777" w:rsidR="00D77DFD" w:rsidRPr="00E914FB" w:rsidRDefault="00D77DFD" w:rsidP="00D77DFD">
            <w:pPr>
              <w:rPr>
                <w:rFonts w:cstheme="minorHAnsi"/>
                <w:sz w:val="20"/>
                <w:szCs w:val="20"/>
              </w:rPr>
            </w:pPr>
          </w:p>
        </w:tc>
      </w:tr>
      <w:tr w:rsidR="00D77DFD" w:rsidRPr="00E914FB" w14:paraId="227F8542" w14:textId="77777777" w:rsidTr="00A178EB">
        <w:trPr>
          <w:trHeight w:val="89"/>
        </w:trPr>
        <w:tc>
          <w:tcPr>
            <w:tcW w:w="1668" w:type="dxa"/>
            <w:vMerge/>
          </w:tcPr>
          <w:p w14:paraId="08F05072" w14:textId="77777777" w:rsidR="00D77DFD" w:rsidRPr="00E914FB" w:rsidRDefault="00D77DFD" w:rsidP="00D77DFD">
            <w:pPr>
              <w:tabs>
                <w:tab w:val="left" w:pos="567"/>
              </w:tabs>
              <w:rPr>
                <w:rFonts w:cstheme="minorHAnsi"/>
                <w:sz w:val="20"/>
                <w:szCs w:val="20"/>
              </w:rPr>
            </w:pPr>
          </w:p>
        </w:tc>
        <w:tc>
          <w:tcPr>
            <w:tcW w:w="992" w:type="dxa"/>
          </w:tcPr>
          <w:p w14:paraId="064ACA2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7E392DF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dasabuvir</w:t>
            </w:r>
          </w:p>
        </w:tc>
        <w:tc>
          <w:tcPr>
            <w:tcW w:w="1040" w:type="dxa"/>
          </w:tcPr>
          <w:p w14:paraId="72A5AF6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0.94</w:t>
            </w:r>
          </w:p>
          <w:p w14:paraId="5947E01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(0.81-1.09)</w:t>
            </w:r>
          </w:p>
        </w:tc>
        <w:tc>
          <w:tcPr>
            <w:tcW w:w="1040" w:type="dxa"/>
          </w:tcPr>
          <w:p w14:paraId="356D613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w:t>
            </w:r>
          </w:p>
          <w:p w14:paraId="4037936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(0.81-1.04)</w:t>
            </w:r>
          </w:p>
        </w:tc>
        <w:tc>
          <w:tcPr>
            <w:tcW w:w="1041" w:type="dxa"/>
          </w:tcPr>
          <w:p w14:paraId="2F1E01F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0.88</w:t>
            </w:r>
          </w:p>
          <w:p w14:paraId="2D3E927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(0.76-1.01)</w:t>
            </w:r>
          </w:p>
        </w:tc>
        <w:tc>
          <w:tcPr>
            <w:tcW w:w="3464" w:type="dxa"/>
            <w:vMerge/>
          </w:tcPr>
          <w:p w14:paraId="54858D03" w14:textId="77777777" w:rsidR="00D77DFD" w:rsidRPr="00E914FB" w:rsidRDefault="00D77DFD" w:rsidP="00D77DFD">
            <w:pPr>
              <w:rPr>
                <w:rFonts w:cstheme="minorHAnsi"/>
                <w:sz w:val="20"/>
                <w:szCs w:val="20"/>
              </w:rPr>
            </w:pPr>
          </w:p>
        </w:tc>
      </w:tr>
    </w:tbl>
    <w:p w14:paraId="4CDDF106" w14:textId="77777777" w:rsidR="00885509" w:rsidRDefault="00885509">
      <w:r>
        <w:br w:type="page"/>
      </w:r>
    </w:p>
    <w:tbl>
      <w:tblPr>
        <w:tblStyle w:val="TableGrid20"/>
        <w:tblW w:w="9245" w:type="dxa"/>
        <w:tblLayout w:type="fixed"/>
        <w:tblLook w:val="04A0" w:firstRow="1" w:lastRow="0" w:firstColumn="1" w:lastColumn="0" w:noHBand="0" w:noVBand="1"/>
      </w:tblPr>
      <w:tblGrid>
        <w:gridCol w:w="1668"/>
        <w:gridCol w:w="992"/>
        <w:gridCol w:w="1040"/>
        <w:gridCol w:w="1040"/>
        <w:gridCol w:w="1041"/>
        <w:gridCol w:w="3464"/>
      </w:tblGrid>
      <w:tr w:rsidR="00D77DFD" w:rsidRPr="00E914FB" w14:paraId="5DF1602E" w14:textId="77777777" w:rsidTr="00826AE6">
        <w:tc>
          <w:tcPr>
            <w:tcW w:w="1668" w:type="dxa"/>
          </w:tcPr>
          <w:p w14:paraId="1127EE4D" w14:textId="3E68930B" w:rsidR="00D77DFD" w:rsidRPr="00E914FB" w:rsidRDefault="00D77DFD" w:rsidP="00D77DFD">
            <w:pPr>
              <w:tabs>
                <w:tab w:val="left" w:pos="567"/>
              </w:tabs>
              <w:rPr>
                <w:rFonts w:cstheme="minorHAnsi"/>
                <w:sz w:val="20"/>
                <w:szCs w:val="20"/>
              </w:rPr>
            </w:pPr>
            <w:r w:rsidRPr="00E914FB">
              <w:rPr>
                <w:rFonts w:cstheme="minorHAnsi"/>
                <w:sz w:val="20"/>
                <w:szCs w:val="20"/>
              </w:rPr>
              <w:lastRenderedPageBreak/>
              <w:t>Trazodone</w:t>
            </w:r>
          </w:p>
        </w:tc>
        <w:tc>
          <w:tcPr>
            <w:tcW w:w="4113" w:type="dxa"/>
            <w:gridSpan w:val="4"/>
          </w:tcPr>
          <w:p w14:paraId="43EDB1BA" w14:textId="77777777" w:rsidR="00D77DFD" w:rsidRPr="00E914FB" w:rsidRDefault="00D77DFD" w:rsidP="00D77DFD">
            <w:pPr>
              <w:rPr>
                <w:rFonts w:cstheme="minorHAnsi"/>
                <w:sz w:val="20"/>
                <w:szCs w:val="20"/>
              </w:rPr>
            </w:pPr>
            <w:r w:rsidRPr="00E914FB">
              <w:rPr>
                <w:rFonts w:cstheme="minorHAnsi"/>
                <w:sz w:val="20"/>
                <w:szCs w:val="20"/>
              </w:rPr>
              <w:t>↑ Trazodone*</w:t>
            </w:r>
          </w:p>
        </w:tc>
        <w:tc>
          <w:tcPr>
            <w:tcW w:w="3464" w:type="dxa"/>
          </w:tcPr>
          <w:p w14:paraId="10C7F76D" w14:textId="77777777" w:rsidR="00D77DFD" w:rsidRPr="00E914FB" w:rsidRDefault="00D77DFD" w:rsidP="00D77DFD">
            <w:pPr>
              <w:rPr>
                <w:rFonts w:cstheme="minorHAnsi"/>
                <w:sz w:val="20"/>
                <w:szCs w:val="20"/>
              </w:rPr>
            </w:pPr>
            <w:r w:rsidRPr="00E914FB">
              <w:rPr>
                <w:rFonts w:cstheme="minorHAnsi"/>
                <w:sz w:val="20"/>
                <w:szCs w:val="20"/>
              </w:rPr>
              <w:t>Mechanism:  CYP3A4 inhibition by ritonavir.</w:t>
            </w:r>
          </w:p>
          <w:p w14:paraId="626BD5AE" w14:textId="77777777" w:rsidR="00D77DFD" w:rsidRPr="00E914FB" w:rsidRDefault="00D77DFD" w:rsidP="00D77DFD">
            <w:pPr>
              <w:rPr>
                <w:rFonts w:cstheme="minorHAnsi"/>
                <w:sz w:val="20"/>
                <w:szCs w:val="20"/>
              </w:rPr>
            </w:pPr>
            <w:r w:rsidRPr="00E914FB">
              <w:rPr>
                <w:rFonts w:cstheme="minorHAnsi"/>
                <w:sz w:val="20"/>
                <w:szCs w:val="20"/>
              </w:rPr>
              <w:t>Trazodone should be used with caution and a lower dose of trazodone may be considered.</w:t>
            </w:r>
          </w:p>
        </w:tc>
      </w:tr>
      <w:tr w:rsidR="00D77DFD" w:rsidRPr="00E914FB" w14:paraId="7A2D879E" w14:textId="77777777" w:rsidTr="00A178EB">
        <w:tc>
          <w:tcPr>
            <w:tcW w:w="9245" w:type="dxa"/>
            <w:gridSpan w:val="6"/>
          </w:tcPr>
          <w:p w14:paraId="1003BB1A" w14:textId="77777777" w:rsidR="00D77DFD" w:rsidRPr="00E914FB" w:rsidRDefault="00D77DFD" w:rsidP="00D77DFD">
            <w:pPr>
              <w:rPr>
                <w:rFonts w:cstheme="minorHAnsi"/>
                <w:b/>
                <w:sz w:val="20"/>
                <w:szCs w:val="20"/>
              </w:rPr>
            </w:pPr>
            <w:r w:rsidRPr="00E914FB">
              <w:rPr>
                <w:rFonts w:cstheme="minorHAnsi"/>
                <w:b/>
                <w:sz w:val="20"/>
                <w:szCs w:val="20"/>
              </w:rPr>
              <w:t>Antifungals</w:t>
            </w:r>
          </w:p>
        </w:tc>
      </w:tr>
      <w:tr w:rsidR="00D77DFD" w:rsidRPr="00E914FB" w14:paraId="22F4C8A8" w14:textId="77777777" w:rsidTr="00826AE6">
        <w:trPr>
          <w:trHeight w:val="188"/>
        </w:trPr>
        <w:tc>
          <w:tcPr>
            <w:tcW w:w="1668" w:type="dxa"/>
            <w:vMerge w:val="restart"/>
          </w:tcPr>
          <w:p w14:paraId="3FB8BAED" w14:textId="77777777" w:rsidR="00D77DFD" w:rsidRPr="00E914FB" w:rsidRDefault="00D77DFD" w:rsidP="00D77DFD">
            <w:pPr>
              <w:rPr>
                <w:rFonts w:cstheme="minorHAnsi"/>
                <w:sz w:val="20"/>
                <w:szCs w:val="20"/>
              </w:rPr>
            </w:pPr>
            <w:r w:rsidRPr="00E914FB">
              <w:rPr>
                <w:rFonts w:cstheme="minorHAnsi"/>
                <w:sz w:val="20"/>
                <w:szCs w:val="20"/>
              </w:rPr>
              <w:t>Ketoconazole 400 mg once daily.</w:t>
            </w:r>
          </w:p>
          <w:p w14:paraId="2CE7D99C" w14:textId="77777777" w:rsidR="00D77DFD" w:rsidRPr="00E914FB" w:rsidRDefault="00D77DFD" w:rsidP="00D77DFD">
            <w:pPr>
              <w:rPr>
                <w:rFonts w:cstheme="minorHAnsi"/>
                <w:sz w:val="20"/>
                <w:szCs w:val="20"/>
              </w:rPr>
            </w:pPr>
          </w:p>
        </w:tc>
        <w:tc>
          <w:tcPr>
            <w:tcW w:w="992" w:type="dxa"/>
          </w:tcPr>
          <w:p w14:paraId="55940266" w14:textId="77777777" w:rsidR="00D77DFD" w:rsidRPr="00E914FB" w:rsidRDefault="00D77DFD" w:rsidP="00D77DFD">
            <w:pPr>
              <w:rPr>
                <w:rFonts w:cstheme="minorHAnsi"/>
                <w:sz w:val="16"/>
                <w:szCs w:val="16"/>
              </w:rPr>
            </w:pPr>
          </w:p>
        </w:tc>
        <w:tc>
          <w:tcPr>
            <w:tcW w:w="1040" w:type="dxa"/>
          </w:tcPr>
          <w:p w14:paraId="2A2CDCE5"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16230ED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59FE0DA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025F7414" w14:textId="3B0A917A" w:rsidR="00D77DFD" w:rsidRPr="00E914FB" w:rsidRDefault="00D77DFD" w:rsidP="00D77DFD">
            <w:pPr>
              <w:rPr>
                <w:rFonts w:cstheme="minorHAnsi"/>
                <w:sz w:val="20"/>
                <w:szCs w:val="20"/>
              </w:rPr>
            </w:pPr>
            <w:r w:rsidRPr="00E914FB">
              <w:rPr>
                <w:rFonts w:cstheme="minorHAnsi"/>
                <w:sz w:val="20"/>
                <w:szCs w:val="20"/>
              </w:rPr>
              <w:t>When VIEKIRA PAK is co-administered with ketoconazole, the maximum daily dose of ketoconazole should be limited to 200 mg per day.</w:t>
            </w:r>
          </w:p>
        </w:tc>
      </w:tr>
      <w:tr w:rsidR="00D77DFD" w:rsidRPr="00E914FB" w14:paraId="2C9E785F" w14:textId="77777777" w:rsidTr="00826AE6">
        <w:trPr>
          <w:trHeight w:val="184"/>
        </w:trPr>
        <w:tc>
          <w:tcPr>
            <w:tcW w:w="1668" w:type="dxa"/>
            <w:vMerge/>
          </w:tcPr>
          <w:p w14:paraId="23C2A103" w14:textId="77777777" w:rsidR="00D77DFD" w:rsidRPr="00E914FB" w:rsidRDefault="00D77DFD" w:rsidP="00D77DFD">
            <w:pPr>
              <w:rPr>
                <w:rFonts w:cstheme="minorHAnsi"/>
                <w:sz w:val="20"/>
                <w:szCs w:val="20"/>
              </w:rPr>
            </w:pPr>
          </w:p>
        </w:tc>
        <w:tc>
          <w:tcPr>
            <w:tcW w:w="992" w:type="dxa"/>
          </w:tcPr>
          <w:p w14:paraId="7CA7C19C"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keto-conazole</w:t>
            </w:r>
          </w:p>
        </w:tc>
        <w:tc>
          <w:tcPr>
            <w:tcW w:w="1040" w:type="dxa"/>
          </w:tcPr>
          <w:p w14:paraId="4ABB6F7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1.15</w:t>
            </w:r>
          </w:p>
          <w:p w14:paraId="13B0E4F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(1.09-1.21)</w:t>
            </w:r>
          </w:p>
        </w:tc>
        <w:tc>
          <w:tcPr>
            <w:tcW w:w="1040" w:type="dxa"/>
          </w:tcPr>
          <w:p w14:paraId="044C369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2.17</w:t>
            </w:r>
          </w:p>
          <w:p w14:paraId="7AD7F3E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(2.05-2.29)</w:t>
            </w:r>
          </w:p>
        </w:tc>
        <w:tc>
          <w:tcPr>
            <w:tcW w:w="1041" w:type="dxa"/>
          </w:tcPr>
          <w:p w14:paraId="49B5FBE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658EA6B6" w14:textId="77777777" w:rsidR="00D77DFD" w:rsidRPr="00E914FB" w:rsidRDefault="00D77DFD" w:rsidP="00D77DFD">
            <w:pPr>
              <w:rPr>
                <w:rFonts w:cstheme="minorHAnsi"/>
                <w:sz w:val="20"/>
                <w:szCs w:val="20"/>
              </w:rPr>
            </w:pPr>
          </w:p>
        </w:tc>
      </w:tr>
      <w:tr w:rsidR="00D77DFD" w:rsidRPr="00E914FB" w14:paraId="3F656342" w14:textId="77777777" w:rsidTr="00826AE6">
        <w:trPr>
          <w:trHeight w:val="184"/>
        </w:trPr>
        <w:tc>
          <w:tcPr>
            <w:tcW w:w="1668" w:type="dxa"/>
            <w:vMerge/>
          </w:tcPr>
          <w:p w14:paraId="567CAFB3" w14:textId="77777777" w:rsidR="00D77DFD" w:rsidRPr="00E914FB" w:rsidRDefault="00D77DFD" w:rsidP="00D77DFD">
            <w:pPr>
              <w:rPr>
                <w:rFonts w:cstheme="minorHAnsi"/>
                <w:sz w:val="20"/>
                <w:szCs w:val="20"/>
              </w:rPr>
            </w:pPr>
          </w:p>
        </w:tc>
        <w:tc>
          <w:tcPr>
            <w:tcW w:w="992" w:type="dxa"/>
          </w:tcPr>
          <w:p w14:paraId="086D420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xml:space="preserve">↔ </w:t>
            </w:r>
            <w:r w:rsidRPr="00E914FB">
              <w:rPr>
                <w:rFonts w:ascii="Calibri" w:hAnsi="Calibri" w:cs="Calibri"/>
                <w:sz w:val="16"/>
                <w:szCs w:val="16"/>
              </w:rPr>
              <w:br/>
              <w:t>ombitasvir</w:t>
            </w:r>
          </w:p>
        </w:tc>
        <w:tc>
          <w:tcPr>
            <w:tcW w:w="1040" w:type="dxa"/>
          </w:tcPr>
          <w:p w14:paraId="628B559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0.98</w:t>
            </w:r>
          </w:p>
          <w:p w14:paraId="165E970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(0.90-1.06)</w:t>
            </w:r>
          </w:p>
        </w:tc>
        <w:tc>
          <w:tcPr>
            <w:tcW w:w="1040" w:type="dxa"/>
          </w:tcPr>
          <w:p w14:paraId="45D400D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1.17</w:t>
            </w:r>
          </w:p>
          <w:p w14:paraId="71302AA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(1.11-1.24)</w:t>
            </w:r>
          </w:p>
        </w:tc>
        <w:tc>
          <w:tcPr>
            <w:tcW w:w="1041" w:type="dxa"/>
          </w:tcPr>
          <w:p w14:paraId="5FE0B1D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4A12697B" w14:textId="77777777" w:rsidR="00D77DFD" w:rsidRPr="00E914FB" w:rsidRDefault="00D77DFD" w:rsidP="00D77DFD">
            <w:pPr>
              <w:rPr>
                <w:rFonts w:cstheme="minorHAnsi"/>
                <w:sz w:val="20"/>
                <w:szCs w:val="20"/>
              </w:rPr>
            </w:pPr>
          </w:p>
        </w:tc>
      </w:tr>
      <w:tr w:rsidR="00D77DFD" w:rsidRPr="00E914FB" w14:paraId="7B48C6F4" w14:textId="77777777" w:rsidTr="00137124">
        <w:trPr>
          <w:trHeight w:val="77"/>
        </w:trPr>
        <w:tc>
          <w:tcPr>
            <w:tcW w:w="1668" w:type="dxa"/>
            <w:vMerge/>
          </w:tcPr>
          <w:p w14:paraId="2F9DB112" w14:textId="77777777" w:rsidR="00D77DFD" w:rsidRPr="00E914FB" w:rsidRDefault="00D77DFD" w:rsidP="00D77DFD">
            <w:pPr>
              <w:rPr>
                <w:rFonts w:cstheme="minorHAnsi"/>
                <w:sz w:val="20"/>
                <w:szCs w:val="20"/>
              </w:rPr>
            </w:pPr>
          </w:p>
        </w:tc>
        <w:tc>
          <w:tcPr>
            <w:tcW w:w="992" w:type="dxa"/>
          </w:tcPr>
          <w:p w14:paraId="4F9ECE1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1A54237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paritaprevir</w:t>
            </w:r>
          </w:p>
        </w:tc>
        <w:tc>
          <w:tcPr>
            <w:tcW w:w="1040" w:type="dxa"/>
          </w:tcPr>
          <w:p w14:paraId="28E0618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1.37</w:t>
            </w:r>
          </w:p>
          <w:p w14:paraId="430AF3E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(1.11-1.69)</w:t>
            </w:r>
          </w:p>
        </w:tc>
        <w:tc>
          <w:tcPr>
            <w:tcW w:w="1040" w:type="dxa"/>
          </w:tcPr>
          <w:p w14:paraId="163AC52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1.98</w:t>
            </w:r>
          </w:p>
          <w:p w14:paraId="67AAF8E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(1.63-2.42)</w:t>
            </w:r>
          </w:p>
        </w:tc>
        <w:tc>
          <w:tcPr>
            <w:tcW w:w="1041" w:type="dxa"/>
          </w:tcPr>
          <w:p w14:paraId="251CBB6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5A4DF1F9" w14:textId="77777777" w:rsidR="00D77DFD" w:rsidRPr="00E914FB" w:rsidRDefault="00D77DFD" w:rsidP="00D77DFD">
            <w:pPr>
              <w:rPr>
                <w:rFonts w:cstheme="minorHAnsi"/>
                <w:sz w:val="20"/>
                <w:szCs w:val="20"/>
              </w:rPr>
            </w:pPr>
          </w:p>
        </w:tc>
      </w:tr>
      <w:tr w:rsidR="00D77DFD" w:rsidRPr="00E914FB" w14:paraId="35DC2D17" w14:textId="77777777" w:rsidTr="00826AE6">
        <w:trPr>
          <w:trHeight w:val="184"/>
        </w:trPr>
        <w:tc>
          <w:tcPr>
            <w:tcW w:w="1668" w:type="dxa"/>
            <w:vMerge/>
          </w:tcPr>
          <w:p w14:paraId="32057541" w14:textId="77777777" w:rsidR="00D77DFD" w:rsidRPr="00E914FB" w:rsidRDefault="00D77DFD" w:rsidP="00D77DFD">
            <w:pPr>
              <w:rPr>
                <w:rFonts w:cstheme="minorHAnsi"/>
                <w:sz w:val="20"/>
                <w:szCs w:val="20"/>
              </w:rPr>
            </w:pPr>
          </w:p>
        </w:tc>
        <w:tc>
          <w:tcPr>
            <w:tcW w:w="992" w:type="dxa"/>
          </w:tcPr>
          <w:p w14:paraId="167006C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62C08A5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dasabuvir</w:t>
            </w:r>
          </w:p>
        </w:tc>
        <w:tc>
          <w:tcPr>
            <w:tcW w:w="1040" w:type="dxa"/>
          </w:tcPr>
          <w:p w14:paraId="0F87C5C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1.16</w:t>
            </w:r>
          </w:p>
          <w:p w14:paraId="66BA660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(1.03-1.32)</w:t>
            </w:r>
          </w:p>
        </w:tc>
        <w:tc>
          <w:tcPr>
            <w:tcW w:w="1040" w:type="dxa"/>
          </w:tcPr>
          <w:p w14:paraId="17E8665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1.42</w:t>
            </w:r>
          </w:p>
          <w:p w14:paraId="49AA1A7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(1.26-1.59)</w:t>
            </w:r>
          </w:p>
        </w:tc>
        <w:tc>
          <w:tcPr>
            <w:tcW w:w="1041" w:type="dxa"/>
          </w:tcPr>
          <w:p w14:paraId="1DC6872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643A9111" w14:textId="77777777" w:rsidR="00D77DFD" w:rsidRPr="00E914FB" w:rsidRDefault="00D77DFD" w:rsidP="00D77DFD">
            <w:pPr>
              <w:rPr>
                <w:rFonts w:cstheme="minorHAnsi"/>
                <w:sz w:val="20"/>
                <w:szCs w:val="20"/>
              </w:rPr>
            </w:pPr>
          </w:p>
        </w:tc>
      </w:tr>
      <w:tr w:rsidR="00D77DFD" w:rsidRPr="00E914FB" w14:paraId="33CB7326" w14:textId="77777777" w:rsidTr="00826AE6">
        <w:tc>
          <w:tcPr>
            <w:tcW w:w="1668" w:type="dxa"/>
          </w:tcPr>
          <w:p w14:paraId="5ABAA51E" w14:textId="77777777" w:rsidR="00D77DFD" w:rsidRPr="00E914FB" w:rsidRDefault="00D77DFD" w:rsidP="00D77DFD">
            <w:pPr>
              <w:rPr>
                <w:rFonts w:cstheme="minorHAnsi"/>
                <w:sz w:val="20"/>
                <w:szCs w:val="20"/>
              </w:rPr>
            </w:pPr>
            <w:r w:rsidRPr="00E914FB">
              <w:rPr>
                <w:rFonts w:cstheme="minorHAnsi"/>
                <w:sz w:val="20"/>
                <w:szCs w:val="20"/>
              </w:rPr>
              <w:t>Voriconazole</w:t>
            </w:r>
          </w:p>
        </w:tc>
        <w:tc>
          <w:tcPr>
            <w:tcW w:w="4113" w:type="dxa"/>
            <w:gridSpan w:val="4"/>
          </w:tcPr>
          <w:p w14:paraId="455D60F7" w14:textId="77777777" w:rsidR="00D77DFD" w:rsidRPr="00E914FB" w:rsidRDefault="00D77DFD" w:rsidP="00D77DFD">
            <w:pPr>
              <w:rPr>
                <w:rFonts w:cstheme="minorHAnsi"/>
                <w:sz w:val="20"/>
                <w:szCs w:val="20"/>
              </w:rPr>
            </w:pPr>
            <w:r w:rsidRPr="00E914FB">
              <w:rPr>
                <w:rFonts w:cstheme="minorHAnsi"/>
                <w:sz w:val="20"/>
                <w:szCs w:val="20"/>
              </w:rPr>
              <w:t>↓ voriconazole*</w:t>
            </w:r>
          </w:p>
        </w:tc>
        <w:tc>
          <w:tcPr>
            <w:tcW w:w="3464" w:type="dxa"/>
          </w:tcPr>
          <w:p w14:paraId="2A5DC13E" w14:textId="77777777" w:rsidR="00D77DFD" w:rsidRPr="00E914FB" w:rsidRDefault="00D77DFD" w:rsidP="00D77DFD">
            <w:pPr>
              <w:rPr>
                <w:rFonts w:cstheme="minorHAnsi"/>
                <w:sz w:val="20"/>
                <w:szCs w:val="20"/>
              </w:rPr>
            </w:pPr>
            <w:r w:rsidRPr="00E914FB">
              <w:rPr>
                <w:rFonts w:cstheme="minorHAnsi"/>
                <w:sz w:val="20"/>
                <w:szCs w:val="20"/>
              </w:rPr>
              <w:t>Mechanism:  CYP2C19 induction by ritonavir.</w:t>
            </w:r>
          </w:p>
          <w:p w14:paraId="69CB355F" w14:textId="1F7BBA2F" w:rsidR="00D77DFD" w:rsidRPr="00E914FB" w:rsidRDefault="00D77DFD" w:rsidP="00D77DFD">
            <w:pPr>
              <w:rPr>
                <w:rFonts w:cstheme="minorHAnsi"/>
                <w:sz w:val="20"/>
                <w:szCs w:val="20"/>
              </w:rPr>
            </w:pPr>
            <w:r w:rsidRPr="00E914FB">
              <w:rPr>
                <w:rFonts w:cstheme="minorHAnsi"/>
                <w:sz w:val="20"/>
                <w:szCs w:val="20"/>
              </w:rPr>
              <w:t>Co-administration of VIEKIRA PAK with voriconazole is not recommended unless an assessment of the benefit-to-risk ratio justifies the use of voriconazole.</w:t>
            </w:r>
          </w:p>
        </w:tc>
      </w:tr>
      <w:tr w:rsidR="00D77DFD" w:rsidRPr="00E914FB" w14:paraId="5E2B09F9" w14:textId="77777777" w:rsidTr="00A178EB">
        <w:tc>
          <w:tcPr>
            <w:tcW w:w="9245" w:type="dxa"/>
            <w:gridSpan w:val="6"/>
          </w:tcPr>
          <w:p w14:paraId="1F0D5964" w14:textId="77777777" w:rsidR="00D77DFD" w:rsidRPr="00E914FB" w:rsidRDefault="00D77DFD" w:rsidP="00D77DFD">
            <w:pPr>
              <w:rPr>
                <w:rFonts w:cstheme="minorHAnsi"/>
                <w:b/>
                <w:sz w:val="20"/>
                <w:szCs w:val="20"/>
              </w:rPr>
            </w:pPr>
            <w:r w:rsidRPr="00E914FB">
              <w:rPr>
                <w:rFonts w:cstheme="minorHAnsi"/>
                <w:b/>
                <w:sz w:val="20"/>
                <w:szCs w:val="20"/>
              </w:rPr>
              <w:t>Antihistamines (for systemic use)</w:t>
            </w:r>
          </w:p>
        </w:tc>
      </w:tr>
      <w:tr w:rsidR="00D77DFD" w:rsidRPr="00E914FB" w14:paraId="384AB843" w14:textId="77777777" w:rsidTr="00826AE6">
        <w:tc>
          <w:tcPr>
            <w:tcW w:w="1668" w:type="dxa"/>
          </w:tcPr>
          <w:p w14:paraId="342A7B96" w14:textId="77777777" w:rsidR="00D77DFD" w:rsidRPr="00E914FB" w:rsidRDefault="00D77DFD" w:rsidP="00D77DFD">
            <w:pPr>
              <w:rPr>
                <w:rFonts w:cstheme="minorHAnsi"/>
                <w:sz w:val="20"/>
                <w:szCs w:val="20"/>
              </w:rPr>
            </w:pPr>
            <w:r w:rsidRPr="00E914FB">
              <w:rPr>
                <w:rFonts w:cstheme="minorHAnsi"/>
                <w:sz w:val="20"/>
                <w:szCs w:val="20"/>
              </w:rPr>
              <w:t>Fexofenadine</w:t>
            </w:r>
          </w:p>
        </w:tc>
        <w:tc>
          <w:tcPr>
            <w:tcW w:w="4113" w:type="dxa"/>
            <w:gridSpan w:val="4"/>
          </w:tcPr>
          <w:p w14:paraId="5CD3F312" w14:textId="77777777" w:rsidR="00D77DFD" w:rsidRPr="00E914FB" w:rsidRDefault="00D77DFD" w:rsidP="00D77DFD">
            <w:pPr>
              <w:rPr>
                <w:rFonts w:cstheme="minorHAnsi"/>
                <w:sz w:val="20"/>
                <w:szCs w:val="20"/>
              </w:rPr>
            </w:pPr>
            <w:r w:rsidRPr="00E914FB">
              <w:rPr>
                <w:rFonts w:cstheme="minorHAnsi"/>
                <w:sz w:val="20"/>
                <w:szCs w:val="20"/>
              </w:rPr>
              <w:t>↑ fexofenadine*</w:t>
            </w:r>
          </w:p>
        </w:tc>
        <w:tc>
          <w:tcPr>
            <w:tcW w:w="3464" w:type="dxa"/>
          </w:tcPr>
          <w:p w14:paraId="4A20E19D" w14:textId="77777777" w:rsidR="00D77DFD" w:rsidRPr="00E914FB" w:rsidRDefault="00D77DFD" w:rsidP="00D77DFD">
            <w:pPr>
              <w:rPr>
                <w:rFonts w:cstheme="minorHAnsi"/>
                <w:sz w:val="20"/>
                <w:szCs w:val="20"/>
              </w:rPr>
            </w:pPr>
            <w:r w:rsidRPr="00E914FB">
              <w:rPr>
                <w:rFonts w:cstheme="minorHAnsi"/>
                <w:sz w:val="20"/>
                <w:szCs w:val="20"/>
              </w:rPr>
              <w:t>Mechanism:  OATP1B1 inhibition by paritaprevir.</w:t>
            </w:r>
          </w:p>
          <w:p w14:paraId="6A7C2956" w14:textId="77777777" w:rsidR="00D77DFD" w:rsidRPr="00E914FB" w:rsidRDefault="00D77DFD" w:rsidP="00D77DFD">
            <w:pPr>
              <w:tabs>
                <w:tab w:val="left" w:pos="567"/>
              </w:tabs>
              <w:rPr>
                <w:rFonts w:cstheme="minorHAnsi"/>
                <w:sz w:val="20"/>
                <w:szCs w:val="20"/>
              </w:rPr>
            </w:pPr>
            <w:r w:rsidRPr="00E914FB">
              <w:rPr>
                <w:rFonts w:cstheme="minorHAnsi"/>
                <w:sz w:val="20"/>
                <w:szCs w:val="20"/>
              </w:rPr>
              <w:t>Caution should be used when VIEKIRA PAK is coadministered with fexofenadine.</w:t>
            </w:r>
          </w:p>
        </w:tc>
      </w:tr>
      <w:tr w:rsidR="00D77DFD" w:rsidRPr="00E914FB" w14:paraId="7A2CBFFF" w14:textId="77777777" w:rsidTr="00A178EB">
        <w:tc>
          <w:tcPr>
            <w:tcW w:w="9245" w:type="dxa"/>
            <w:gridSpan w:val="6"/>
          </w:tcPr>
          <w:p w14:paraId="258BAB06" w14:textId="77777777" w:rsidR="00D77DFD" w:rsidRPr="00E914FB" w:rsidRDefault="00D77DFD" w:rsidP="00D77DFD">
            <w:pPr>
              <w:rPr>
                <w:rFonts w:cstheme="minorHAnsi"/>
                <w:b/>
                <w:sz w:val="20"/>
                <w:szCs w:val="20"/>
              </w:rPr>
            </w:pPr>
            <w:r w:rsidRPr="00E914FB">
              <w:rPr>
                <w:rFonts w:cstheme="minorHAnsi"/>
                <w:b/>
                <w:sz w:val="20"/>
                <w:szCs w:val="20"/>
              </w:rPr>
              <w:t>Antihyperlipidemic agent</w:t>
            </w:r>
          </w:p>
        </w:tc>
      </w:tr>
      <w:tr w:rsidR="00D77DFD" w:rsidRPr="00E914FB" w14:paraId="79955CAA" w14:textId="77777777" w:rsidTr="00A178EB">
        <w:trPr>
          <w:trHeight w:val="246"/>
        </w:trPr>
        <w:tc>
          <w:tcPr>
            <w:tcW w:w="1668" w:type="dxa"/>
            <w:vMerge w:val="restart"/>
          </w:tcPr>
          <w:p w14:paraId="21CE8A08" w14:textId="77777777" w:rsidR="00D77DFD" w:rsidRPr="00E914FB" w:rsidRDefault="00D77DFD" w:rsidP="00D77DFD">
            <w:pPr>
              <w:rPr>
                <w:rFonts w:cstheme="minorHAnsi"/>
                <w:sz w:val="20"/>
                <w:szCs w:val="20"/>
              </w:rPr>
            </w:pPr>
            <w:r w:rsidRPr="00E914FB">
              <w:rPr>
                <w:rFonts w:cstheme="minorHAnsi"/>
                <w:sz w:val="20"/>
                <w:szCs w:val="20"/>
              </w:rPr>
              <w:t>Gemfibrozil</w:t>
            </w:r>
          </w:p>
        </w:tc>
        <w:tc>
          <w:tcPr>
            <w:tcW w:w="992" w:type="dxa"/>
          </w:tcPr>
          <w:p w14:paraId="0B921A12" w14:textId="77777777" w:rsidR="00D77DFD" w:rsidRPr="00E914FB" w:rsidRDefault="00D77DFD" w:rsidP="00D77DFD">
            <w:pPr>
              <w:rPr>
                <w:rFonts w:cstheme="minorHAnsi"/>
              </w:rPr>
            </w:pPr>
          </w:p>
        </w:tc>
        <w:tc>
          <w:tcPr>
            <w:tcW w:w="1040" w:type="dxa"/>
          </w:tcPr>
          <w:p w14:paraId="7EFECAC0"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0FB51A0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31B3E57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D75FFA8" w14:textId="77777777" w:rsidR="00D77DFD" w:rsidRPr="00E914FB" w:rsidRDefault="00D77DFD" w:rsidP="00D77DFD">
            <w:pPr>
              <w:rPr>
                <w:rFonts w:cstheme="minorHAnsi"/>
                <w:sz w:val="20"/>
                <w:szCs w:val="20"/>
              </w:rPr>
            </w:pPr>
            <w:r w:rsidRPr="00E914FB">
              <w:rPr>
                <w:rFonts w:cstheme="minorHAnsi"/>
                <w:sz w:val="20"/>
                <w:szCs w:val="20"/>
              </w:rPr>
              <w:t>10-fold increase in dasabuvir exposure.</w:t>
            </w:r>
          </w:p>
          <w:p w14:paraId="12DDC78C" w14:textId="77777777" w:rsidR="00D77DFD" w:rsidRPr="00E914FB" w:rsidRDefault="00D77DFD" w:rsidP="00D77DFD">
            <w:pPr>
              <w:rPr>
                <w:rFonts w:cstheme="minorHAnsi"/>
                <w:sz w:val="20"/>
                <w:szCs w:val="20"/>
              </w:rPr>
            </w:pPr>
            <w:r w:rsidRPr="00E914FB">
              <w:rPr>
                <w:rFonts w:cstheme="minorHAnsi"/>
                <w:sz w:val="20"/>
                <w:szCs w:val="20"/>
              </w:rPr>
              <w:t>Increased risk of QT-prolongation</w:t>
            </w:r>
          </w:p>
          <w:p w14:paraId="613CEE78" w14:textId="77777777" w:rsidR="00D77DFD" w:rsidRPr="00E914FB" w:rsidRDefault="00D77DFD" w:rsidP="00D77DFD">
            <w:pPr>
              <w:rPr>
                <w:rFonts w:cstheme="minorHAnsi"/>
                <w:sz w:val="20"/>
                <w:szCs w:val="20"/>
              </w:rPr>
            </w:pPr>
            <w:r w:rsidRPr="00E914FB">
              <w:rPr>
                <w:rFonts w:cstheme="minorHAnsi"/>
                <w:sz w:val="20"/>
                <w:szCs w:val="20"/>
              </w:rPr>
              <w:t>(see CONTRAINDICATIONS).</w:t>
            </w:r>
          </w:p>
        </w:tc>
      </w:tr>
      <w:tr w:rsidR="00D77DFD" w:rsidRPr="00E914FB" w14:paraId="2151DF67" w14:textId="77777777" w:rsidTr="00A178EB">
        <w:trPr>
          <w:trHeight w:val="244"/>
        </w:trPr>
        <w:tc>
          <w:tcPr>
            <w:tcW w:w="1668" w:type="dxa"/>
            <w:vMerge/>
          </w:tcPr>
          <w:p w14:paraId="7210D540" w14:textId="77777777" w:rsidR="00D77DFD" w:rsidRPr="00E914FB" w:rsidRDefault="00D77DFD" w:rsidP="00D77DFD">
            <w:pPr>
              <w:rPr>
                <w:rFonts w:cstheme="minorHAnsi"/>
                <w:sz w:val="20"/>
                <w:szCs w:val="20"/>
              </w:rPr>
            </w:pPr>
          </w:p>
        </w:tc>
        <w:tc>
          <w:tcPr>
            <w:tcW w:w="992" w:type="dxa"/>
          </w:tcPr>
          <w:p w14:paraId="0AD1DCE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30137B7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 xml:space="preserve">1.21 </w:t>
            </w:r>
            <w:r w:rsidRPr="00E914FB">
              <w:rPr>
                <w:rFonts w:ascii="Calibri" w:hAnsi="Calibri" w:cs="Calibri"/>
                <w:sz w:val="16"/>
                <w:szCs w:val="16"/>
              </w:rPr>
              <w:br/>
              <w:t>(0.94-1.57)</w:t>
            </w:r>
          </w:p>
        </w:tc>
        <w:tc>
          <w:tcPr>
            <w:tcW w:w="1040" w:type="dxa"/>
          </w:tcPr>
          <w:p w14:paraId="7674EC0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1.38</w:t>
            </w:r>
          </w:p>
          <w:p w14:paraId="7E90D52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(1.18-1.61)</w:t>
            </w:r>
          </w:p>
        </w:tc>
        <w:tc>
          <w:tcPr>
            <w:tcW w:w="1041" w:type="dxa"/>
          </w:tcPr>
          <w:p w14:paraId="154D89E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5AAFB223" w14:textId="77777777" w:rsidR="00D77DFD" w:rsidRPr="00E914FB" w:rsidRDefault="00D77DFD" w:rsidP="00D77DFD">
            <w:pPr>
              <w:rPr>
                <w:rFonts w:cstheme="minorHAnsi"/>
                <w:sz w:val="20"/>
                <w:szCs w:val="20"/>
              </w:rPr>
            </w:pPr>
          </w:p>
        </w:tc>
      </w:tr>
      <w:tr w:rsidR="00D77DFD" w:rsidRPr="00E914FB" w14:paraId="50B7270B" w14:textId="77777777" w:rsidTr="00A178EB">
        <w:trPr>
          <w:trHeight w:val="244"/>
        </w:trPr>
        <w:tc>
          <w:tcPr>
            <w:tcW w:w="1668" w:type="dxa"/>
            <w:vMerge/>
          </w:tcPr>
          <w:p w14:paraId="5CF44177" w14:textId="77777777" w:rsidR="00D77DFD" w:rsidRPr="00E914FB" w:rsidRDefault="00D77DFD" w:rsidP="00D77DFD">
            <w:pPr>
              <w:rPr>
                <w:rFonts w:cstheme="minorHAnsi"/>
                <w:sz w:val="20"/>
                <w:szCs w:val="20"/>
              </w:rPr>
            </w:pPr>
          </w:p>
        </w:tc>
        <w:tc>
          <w:tcPr>
            <w:tcW w:w="992" w:type="dxa"/>
          </w:tcPr>
          <w:p w14:paraId="2180644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5593967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2.01</w:t>
            </w:r>
          </w:p>
          <w:p w14:paraId="19FF2BB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(1.71-2.38)</w:t>
            </w:r>
          </w:p>
        </w:tc>
        <w:tc>
          <w:tcPr>
            <w:tcW w:w="1040" w:type="dxa"/>
          </w:tcPr>
          <w:p w14:paraId="6D3BF97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11.25</w:t>
            </w:r>
          </w:p>
          <w:p w14:paraId="30DD639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(9.05-13.99)</w:t>
            </w:r>
          </w:p>
        </w:tc>
        <w:tc>
          <w:tcPr>
            <w:tcW w:w="1041" w:type="dxa"/>
          </w:tcPr>
          <w:p w14:paraId="3842047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57B187E4" w14:textId="77777777" w:rsidR="00D77DFD" w:rsidRPr="00E914FB" w:rsidRDefault="00D77DFD" w:rsidP="00D77DFD">
            <w:pPr>
              <w:rPr>
                <w:rFonts w:cstheme="minorHAnsi"/>
                <w:sz w:val="20"/>
                <w:szCs w:val="20"/>
              </w:rPr>
            </w:pPr>
          </w:p>
        </w:tc>
      </w:tr>
      <w:tr w:rsidR="00D77DFD" w:rsidRPr="00E914FB" w14:paraId="49872706" w14:textId="77777777" w:rsidTr="00A178EB">
        <w:tc>
          <w:tcPr>
            <w:tcW w:w="9245" w:type="dxa"/>
            <w:gridSpan w:val="6"/>
          </w:tcPr>
          <w:p w14:paraId="1D61BC72" w14:textId="77777777" w:rsidR="00D77DFD" w:rsidRPr="00E914FB" w:rsidRDefault="00D77DFD" w:rsidP="00D77DFD">
            <w:pPr>
              <w:rPr>
                <w:rFonts w:cstheme="minorHAnsi"/>
                <w:b/>
                <w:sz w:val="20"/>
                <w:szCs w:val="20"/>
              </w:rPr>
            </w:pPr>
            <w:r w:rsidRPr="00E914FB">
              <w:rPr>
                <w:rFonts w:cstheme="minorHAnsi"/>
                <w:b/>
                <w:sz w:val="20"/>
                <w:szCs w:val="20"/>
              </w:rPr>
              <w:t>Calcium Channel Blockers</w:t>
            </w:r>
          </w:p>
        </w:tc>
      </w:tr>
      <w:tr w:rsidR="00D77DFD" w:rsidRPr="00E914FB" w14:paraId="040E3322" w14:textId="77777777" w:rsidTr="00337D74">
        <w:trPr>
          <w:trHeight w:val="198"/>
        </w:trPr>
        <w:tc>
          <w:tcPr>
            <w:tcW w:w="1668" w:type="dxa"/>
            <w:vMerge w:val="restart"/>
          </w:tcPr>
          <w:p w14:paraId="7537E2A4" w14:textId="77777777" w:rsidR="00921D8D" w:rsidRDefault="00D77DFD" w:rsidP="00D77DFD">
            <w:pPr>
              <w:rPr>
                <w:rFonts w:cstheme="minorHAnsi"/>
                <w:sz w:val="20"/>
                <w:szCs w:val="20"/>
              </w:rPr>
            </w:pPr>
            <w:r w:rsidRPr="00E914FB">
              <w:rPr>
                <w:rFonts w:cstheme="minorHAnsi"/>
                <w:sz w:val="20"/>
                <w:szCs w:val="20"/>
              </w:rPr>
              <w:t xml:space="preserve">Amlodipine </w:t>
            </w:r>
          </w:p>
          <w:p w14:paraId="60F0E134" w14:textId="7BFEA65C" w:rsidR="00D77DFD" w:rsidRPr="00E914FB" w:rsidRDefault="00D77DFD" w:rsidP="00D77DFD">
            <w:pPr>
              <w:rPr>
                <w:rFonts w:cstheme="minorHAnsi"/>
                <w:sz w:val="20"/>
                <w:szCs w:val="20"/>
              </w:rPr>
            </w:pPr>
            <w:r w:rsidRPr="00E914FB">
              <w:rPr>
                <w:rFonts w:cstheme="minorHAnsi"/>
                <w:sz w:val="20"/>
                <w:szCs w:val="20"/>
              </w:rPr>
              <w:t>5 mg single dose</w:t>
            </w:r>
          </w:p>
        </w:tc>
        <w:tc>
          <w:tcPr>
            <w:tcW w:w="992" w:type="dxa"/>
          </w:tcPr>
          <w:p w14:paraId="13FC616F" w14:textId="77777777" w:rsidR="00D77DFD" w:rsidRPr="00E914FB" w:rsidRDefault="00D77DFD" w:rsidP="00D77DFD">
            <w:pPr>
              <w:rPr>
                <w:rFonts w:cstheme="minorHAnsi"/>
              </w:rPr>
            </w:pPr>
          </w:p>
        </w:tc>
        <w:tc>
          <w:tcPr>
            <w:tcW w:w="1040" w:type="dxa"/>
          </w:tcPr>
          <w:p w14:paraId="5432951F" w14:textId="77777777" w:rsidR="00D77DFD" w:rsidRPr="00E914FB" w:rsidRDefault="00D77DFD" w:rsidP="00D77DFD">
            <w:pPr>
              <w:tabs>
                <w:tab w:val="left" w:pos="567"/>
              </w:tabs>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338FB023"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AUC</w:t>
            </w:r>
          </w:p>
        </w:tc>
        <w:tc>
          <w:tcPr>
            <w:tcW w:w="1041" w:type="dxa"/>
          </w:tcPr>
          <w:p w14:paraId="2A64FB7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7F0EF7E3" w14:textId="77777777" w:rsidR="00D77DFD" w:rsidRPr="00E914FB" w:rsidRDefault="00D77DFD" w:rsidP="00D77DFD">
            <w:pPr>
              <w:rPr>
                <w:rFonts w:cstheme="minorHAnsi"/>
                <w:sz w:val="20"/>
                <w:szCs w:val="20"/>
              </w:rPr>
            </w:pPr>
            <w:r w:rsidRPr="00E914FB">
              <w:rPr>
                <w:rFonts w:cstheme="minorHAnsi"/>
                <w:sz w:val="20"/>
                <w:szCs w:val="20"/>
              </w:rPr>
              <w:t>Mechanism:  CYP3A4 inhibition by ritonavir.</w:t>
            </w:r>
          </w:p>
          <w:p w14:paraId="7C48B77F" w14:textId="77777777" w:rsidR="00D77DFD" w:rsidRPr="00E914FB" w:rsidRDefault="00D77DFD" w:rsidP="00D77DFD">
            <w:pPr>
              <w:tabs>
                <w:tab w:val="left" w:pos="567"/>
              </w:tabs>
              <w:rPr>
                <w:rFonts w:cstheme="minorHAnsi"/>
                <w:sz w:val="20"/>
                <w:szCs w:val="20"/>
              </w:rPr>
            </w:pPr>
            <w:r w:rsidRPr="00E914FB">
              <w:rPr>
                <w:rFonts w:cstheme="minorHAnsi"/>
                <w:sz w:val="20"/>
                <w:szCs w:val="20"/>
              </w:rPr>
              <w:t>Decrease amlodipine dose by 50% and monitor patients for clinical effects.</w:t>
            </w:r>
          </w:p>
          <w:p w14:paraId="0CB482E5" w14:textId="77777777" w:rsidR="00D77DFD" w:rsidRPr="00E914FB" w:rsidRDefault="00D77DFD" w:rsidP="00D77DFD">
            <w:pPr>
              <w:rPr>
                <w:rFonts w:cstheme="minorHAnsi"/>
                <w:sz w:val="20"/>
                <w:szCs w:val="20"/>
              </w:rPr>
            </w:pPr>
          </w:p>
        </w:tc>
      </w:tr>
      <w:tr w:rsidR="00D77DFD" w:rsidRPr="00E914FB" w14:paraId="50A874F5" w14:textId="77777777" w:rsidTr="00337D74">
        <w:trPr>
          <w:trHeight w:val="195"/>
        </w:trPr>
        <w:tc>
          <w:tcPr>
            <w:tcW w:w="1668" w:type="dxa"/>
            <w:vMerge/>
          </w:tcPr>
          <w:p w14:paraId="2FCC4BB6" w14:textId="77777777" w:rsidR="00D77DFD" w:rsidRPr="00E914FB" w:rsidRDefault="00D77DFD" w:rsidP="00D77DFD">
            <w:pPr>
              <w:rPr>
                <w:rFonts w:cstheme="minorHAnsi"/>
                <w:sz w:val="20"/>
                <w:szCs w:val="20"/>
              </w:rPr>
            </w:pPr>
          </w:p>
        </w:tc>
        <w:tc>
          <w:tcPr>
            <w:tcW w:w="992" w:type="dxa"/>
          </w:tcPr>
          <w:p w14:paraId="4B814CF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amlodipine</w:t>
            </w:r>
          </w:p>
        </w:tc>
        <w:tc>
          <w:tcPr>
            <w:tcW w:w="1040" w:type="dxa"/>
            <w:vAlign w:val="center"/>
          </w:tcPr>
          <w:p w14:paraId="3A72CDB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1.26</w:t>
            </w:r>
          </w:p>
          <w:p w14:paraId="614AB67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(1.11-1.44)</w:t>
            </w:r>
          </w:p>
        </w:tc>
        <w:tc>
          <w:tcPr>
            <w:tcW w:w="1040" w:type="dxa"/>
            <w:vAlign w:val="center"/>
          </w:tcPr>
          <w:p w14:paraId="0A474DB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2.57</w:t>
            </w:r>
          </w:p>
          <w:p w14:paraId="6C7D7F2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(2.31-2.86)</w:t>
            </w:r>
          </w:p>
        </w:tc>
        <w:tc>
          <w:tcPr>
            <w:tcW w:w="1041" w:type="dxa"/>
            <w:vAlign w:val="center"/>
          </w:tcPr>
          <w:p w14:paraId="2584104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NA</w:t>
            </w:r>
          </w:p>
        </w:tc>
        <w:tc>
          <w:tcPr>
            <w:tcW w:w="3464" w:type="dxa"/>
            <w:vMerge/>
          </w:tcPr>
          <w:p w14:paraId="5671391A" w14:textId="77777777" w:rsidR="00D77DFD" w:rsidRPr="00E914FB" w:rsidRDefault="00D77DFD" w:rsidP="00D77DFD">
            <w:pPr>
              <w:rPr>
                <w:rFonts w:cstheme="minorHAnsi"/>
                <w:sz w:val="20"/>
                <w:szCs w:val="20"/>
              </w:rPr>
            </w:pPr>
          </w:p>
        </w:tc>
      </w:tr>
      <w:tr w:rsidR="00D77DFD" w:rsidRPr="00E914FB" w14:paraId="0D78A11C" w14:textId="77777777" w:rsidTr="00337D74">
        <w:trPr>
          <w:trHeight w:val="195"/>
        </w:trPr>
        <w:tc>
          <w:tcPr>
            <w:tcW w:w="1668" w:type="dxa"/>
            <w:vMerge/>
          </w:tcPr>
          <w:p w14:paraId="699BC506" w14:textId="77777777" w:rsidR="00D77DFD" w:rsidRPr="00E914FB" w:rsidRDefault="00D77DFD" w:rsidP="00D77DFD">
            <w:pPr>
              <w:rPr>
                <w:rFonts w:cstheme="minorHAnsi"/>
                <w:sz w:val="20"/>
                <w:szCs w:val="20"/>
              </w:rPr>
            </w:pPr>
          </w:p>
        </w:tc>
        <w:tc>
          <w:tcPr>
            <w:tcW w:w="992" w:type="dxa"/>
          </w:tcPr>
          <w:p w14:paraId="17E2783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662A5AD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w:t>
            </w:r>
          </w:p>
          <w:p w14:paraId="01EC2F9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(0.95-1.06)</w:t>
            </w:r>
          </w:p>
        </w:tc>
        <w:tc>
          <w:tcPr>
            <w:tcW w:w="1040" w:type="dxa"/>
          </w:tcPr>
          <w:p w14:paraId="5CEB92B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w:t>
            </w:r>
          </w:p>
          <w:p w14:paraId="546974C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(0.97-1.04)</w:t>
            </w:r>
          </w:p>
        </w:tc>
        <w:tc>
          <w:tcPr>
            <w:tcW w:w="1041" w:type="dxa"/>
          </w:tcPr>
          <w:p w14:paraId="6CB169B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w:t>
            </w:r>
            <w:r w:rsidRPr="00E914FB">
              <w:rPr>
                <w:rFonts w:ascii="Calibri" w:hAnsi="Calibri" w:cs="Calibri"/>
                <w:sz w:val="16"/>
                <w:szCs w:val="16"/>
              </w:rPr>
              <w:br/>
              <w:t>(0.97-1.04)</w:t>
            </w:r>
          </w:p>
        </w:tc>
        <w:tc>
          <w:tcPr>
            <w:tcW w:w="3464" w:type="dxa"/>
            <w:vMerge/>
          </w:tcPr>
          <w:p w14:paraId="6D310ACF" w14:textId="77777777" w:rsidR="00D77DFD" w:rsidRPr="00E914FB" w:rsidRDefault="00D77DFD" w:rsidP="00D77DFD">
            <w:pPr>
              <w:rPr>
                <w:rFonts w:cstheme="minorHAnsi"/>
                <w:sz w:val="20"/>
                <w:szCs w:val="20"/>
              </w:rPr>
            </w:pPr>
          </w:p>
        </w:tc>
      </w:tr>
      <w:tr w:rsidR="00D77DFD" w:rsidRPr="00E914FB" w14:paraId="675AE7B3" w14:textId="77777777" w:rsidTr="00337D74">
        <w:trPr>
          <w:trHeight w:val="195"/>
        </w:trPr>
        <w:tc>
          <w:tcPr>
            <w:tcW w:w="1668" w:type="dxa"/>
            <w:vMerge/>
          </w:tcPr>
          <w:p w14:paraId="67C97707" w14:textId="77777777" w:rsidR="00D77DFD" w:rsidRPr="00E914FB" w:rsidRDefault="00D77DFD" w:rsidP="00D77DFD">
            <w:pPr>
              <w:rPr>
                <w:rFonts w:cstheme="minorHAnsi"/>
                <w:sz w:val="20"/>
                <w:szCs w:val="20"/>
              </w:rPr>
            </w:pPr>
          </w:p>
        </w:tc>
        <w:tc>
          <w:tcPr>
            <w:tcW w:w="992" w:type="dxa"/>
          </w:tcPr>
          <w:p w14:paraId="36E828C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0372117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0.77</w:t>
            </w:r>
          </w:p>
          <w:p w14:paraId="4A150FF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(0.64-0.94)</w:t>
            </w:r>
          </w:p>
        </w:tc>
        <w:tc>
          <w:tcPr>
            <w:tcW w:w="1040" w:type="dxa"/>
          </w:tcPr>
          <w:p w14:paraId="2513769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0.78</w:t>
            </w:r>
          </w:p>
          <w:p w14:paraId="76B9473C"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(0.68-0.88)</w:t>
            </w:r>
          </w:p>
        </w:tc>
        <w:tc>
          <w:tcPr>
            <w:tcW w:w="1041" w:type="dxa"/>
          </w:tcPr>
          <w:p w14:paraId="3CEEB47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0.88</w:t>
            </w:r>
            <w:r w:rsidRPr="00E914FB">
              <w:rPr>
                <w:rFonts w:ascii="Calibri" w:hAnsi="Calibri" w:cs="Calibri"/>
                <w:sz w:val="16"/>
                <w:szCs w:val="16"/>
              </w:rPr>
              <w:br/>
              <w:t>(0.80-0.95)</w:t>
            </w:r>
          </w:p>
        </w:tc>
        <w:tc>
          <w:tcPr>
            <w:tcW w:w="3464" w:type="dxa"/>
            <w:vMerge/>
          </w:tcPr>
          <w:p w14:paraId="2C8E3A2F" w14:textId="77777777" w:rsidR="00D77DFD" w:rsidRPr="00E914FB" w:rsidRDefault="00D77DFD" w:rsidP="00D77DFD">
            <w:pPr>
              <w:rPr>
                <w:rFonts w:cstheme="minorHAnsi"/>
                <w:sz w:val="20"/>
                <w:szCs w:val="20"/>
              </w:rPr>
            </w:pPr>
          </w:p>
        </w:tc>
      </w:tr>
      <w:tr w:rsidR="00D77DFD" w:rsidRPr="00E914FB" w14:paraId="66CCF354" w14:textId="77777777" w:rsidTr="00337D74">
        <w:trPr>
          <w:trHeight w:val="195"/>
        </w:trPr>
        <w:tc>
          <w:tcPr>
            <w:tcW w:w="1668" w:type="dxa"/>
            <w:vMerge/>
          </w:tcPr>
          <w:p w14:paraId="2577BAEF" w14:textId="77777777" w:rsidR="00D77DFD" w:rsidRPr="00E914FB" w:rsidRDefault="00D77DFD" w:rsidP="00D77DFD">
            <w:pPr>
              <w:rPr>
                <w:rFonts w:cstheme="minorHAnsi"/>
                <w:sz w:val="20"/>
                <w:szCs w:val="20"/>
              </w:rPr>
            </w:pPr>
          </w:p>
        </w:tc>
        <w:tc>
          <w:tcPr>
            <w:tcW w:w="992" w:type="dxa"/>
          </w:tcPr>
          <w:p w14:paraId="7D4B34C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4935450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1.05</w:t>
            </w:r>
          </w:p>
          <w:p w14:paraId="1BA541E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(0.97-1.14)</w:t>
            </w:r>
          </w:p>
        </w:tc>
        <w:tc>
          <w:tcPr>
            <w:tcW w:w="1040" w:type="dxa"/>
          </w:tcPr>
          <w:p w14:paraId="2DDE358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1.01</w:t>
            </w:r>
          </w:p>
          <w:p w14:paraId="40B74FA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(0.96-1.06)</w:t>
            </w:r>
          </w:p>
        </w:tc>
        <w:tc>
          <w:tcPr>
            <w:tcW w:w="1041" w:type="dxa"/>
          </w:tcPr>
          <w:p w14:paraId="5376D56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0.95</w:t>
            </w:r>
            <w:r w:rsidRPr="00E914FB">
              <w:rPr>
                <w:rFonts w:ascii="Calibri" w:hAnsi="Calibri" w:cs="Calibri"/>
                <w:sz w:val="16"/>
                <w:szCs w:val="16"/>
              </w:rPr>
              <w:br/>
              <w:t>(0.89-1.01)</w:t>
            </w:r>
          </w:p>
        </w:tc>
        <w:tc>
          <w:tcPr>
            <w:tcW w:w="3464" w:type="dxa"/>
            <w:vMerge/>
          </w:tcPr>
          <w:p w14:paraId="10E61C00" w14:textId="77777777" w:rsidR="00D77DFD" w:rsidRPr="00E914FB" w:rsidRDefault="00D77DFD" w:rsidP="00D77DFD">
            <w:pPr>
              <w:rPr>
                <w:rFonts w:cstheme="minorHAnsi"/>
                <w:sz w:val="20"/>
                <w:szCs w:val="20"/>
              </w:rPr>
            </w:pPr>
          </w:p>
        </w:tc>
      </w:tr>
      <w:tr w:rsidR="00D77DFD" w:rsidRPr="00E914FB" w14:paraId="0668DD83" w14:textId="77777777" w:rsidTr="00337D74">
        <w:tc>
          <w:tcPr>
            <w:tcW w:w="1668" w:type="dxa"/>
          </w:tcPr>
          <w:p w14:paraId="5F9FDAB8" w14:textId="77777777" w:rsidR="00D77DFD" w:rsidRPr="00E914FB" w:rsidRDefault="00D77DFD" w:rsidP="00D77DFD">
            <w:pPr>
              <w:rPr>
                <w:rFonts w:cstheme="minorHAnsi"/>
                <w:sz w:val="20"/>
                <w:szCs w:val="20"/>
              </w:rPr>
            </w:pPr>
            <w:r w:rsidRPr="00E914FB">
              <w:rPr>
                <w:rFonts w:cstheme="minorHAnsi"/>
                <w:sz w:val="20"/>
                <w:szCs w:val="20"/>
              </w:rPr>
              <w:t>Diltiazem</w:t>
            </w:r>
          </w:p>
          <w:p w14:paraId="1296B2B1" w14:textId="77777777" w:rsidR="00D77DFD" w:rsidRPr="00E914FB" w:rsidRDefault="00D77DFD" w:rsidP="00D77DFD">
            <w:pPr>
              <w:rPr>
                <w:rFonts w:cstheme="minorHAnsi"/>
                <w:sz w:val="20"/>
                <w:szCs w:val="20"/>
              </w:rPr>
            </w:pPr>
            <w:r w:rsidRPr="00E914FB">
              <w:rPr>
                <w:rFonts w:cstheme="minorHAnsi"/>
                <w:sz w:val="20"/>
                <w:szCs w:val="20"/>
              </w:rPr>
              <w:t>Verapamil</w:t>
            </w:r>
          </w:p>
        </w:tc>
        <w:tc>
          <w:tcPr>
            <w:tcW w:w="4113" w:type="dxa"/>
            <w:gridSpan w:val="4"/>
          </w:tcPr>
          <w:p w14:paraId="3A51EEB7" w14:textId="77777777" w:rsidR="00D77DFD" w:rsidRPr="00E914FB" w:rsidRDefault="00D77DFD" w:rsidP="00D77DFD">
            <w:pPr>
              <w:tabs>
                <w:tab w:val="left" w:pos="567"/>
              </w:tabs>
              <w:rPr>
                <w:rFonts w:ascii="Calibri" w:hAnsi="Calibri" w:cs="Calibri"/>
                <w:sz w:val="20"/>
                <w:szCs w:val="20"/>
              </w:rPr>
            </w:pPr>
            <w:r w:rsidRPr="00E914FB">
              <w:rPr>
                <w:rFonts w:ascii="Calibri" w:hAnsi="Calibri" w:cs="Calibri"/>
                <w:sz w:val="20"/>
                <w:szCs w:val="20"/>
              </w:rPr>
              <w:t>↑ diltiazem*, verapamil*</w:t>
            </w:r>
          </w:p>
          <w:p w14:paraId="743FC815" w14:textId="77777777" w:rsidR="00D77DFD" w:rsidRPr="00E914FB" w:rsidRDefault="00D77DFD" w:rsidP="00D77DFD">
            <w:pPr>
              <w:tabs>
                <w:tab w:val="left" w:pos="567"/>
              </w:tabs>
              <w:rPr>
                <w:rFonts w:ascii="Calibri" w:hAnsi="Calibri" w:cs="Calibri"/>
                <w:sz w:val="20"/>
                <w:szCs w:val="20"/>
              </w:rPr>
            </w:pPr>
            <w:r w:rsidRPr="00E914FB">
              <w:rPr>
                <w:rFonts w:ascii="Calibri" w:hAnsi="Calibri" w:cs="Calibri"/>
                <w:sz w:val="20"/>
                <w:szCs w:val="20"/>
              </w:rPr>
              <w:t>↑ paritaprevir</w:t>
            </w:r>
          </w:p>
          <w:p w14:paraId="4DEBB328" w14:textId="77777777" w:rsidR="00D77DFD" w:rsidRPr="00E914FB" w:rsidRDefault="00D77DFD" w:rsidP="00D77DFD">
            <w:pPr>
              <w:rPr>
                <w:rFonts w:cstheme="minorHAnsi"/>
                <w:sz w:val="20"/>
                <w:szCs w:val="20"/>
              </w:rPr>
            </w:pPr>
            <w:r w:rsidRPr="00E914FB">
              <w:rPr>
                <w:rFonts w:ascii="Calibri" w:hAnsi="Calibri" w:cs="Calibri"/>
                <w:sz w:val="20"/>
                <w:szCs w:val="20"/>
              </w:rPr>
              <w:t>↑/↔ dasabuvir</w:t>
            </w:r>
          </w:p>
        </w:tc>
        <w:tc>
          <w:tcPr>
            <w:tcW w:w="3464" w:type="dxa"/>
          </w:tcPr>
          <w:p w14:paraId="6644E42A" w14:textId="77777777" w:rsidR="00D77DFD" w:rsidRPr="00E914FB" w:rsidRDefault="00D77DFD" w:rsidP="00D77DFD">
            <w:pPr>
              <w:tabs>
                <w:tab w:val="left" w:pos="567"/>
              </w:tabs>
              <w:rPr>
                <w:rFonts w:cstheme="minorHAnsi"/>
                <w:sz w:val="20"/>
                <w:szCs w:val="20"/>
              </w:rPr>
            </w:pPr>
            <w:r w:rsidRPr="00E914FB">
              <w:rPr>
                <w:rFonts w:cstheme="minorHAnsi"/>
                <w:sz w:val="20"/>
                <w:szCs w:val="20"/>
              </w:rPr>
              <w:t>Mechanism:</w:t>
            </w:r>
            <w:r w:rsidRPr="00E914FB">
              <w:rPr>
                <w:rFonts w:cstheme="minorHAnsi"/>
                <w:sz w:val="20"/>
                <w:szCs w:val="20"/>
              </w:rPr>
              <w:br/>
              <w:t xml:space="preserve">CYP3A4/P-gp inhibition </w:t>
            </w:r>
          </w:p>
          <w:p w14:paraId="7BF208E7"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Caution is advised due to the expected increase in paritaprevir exposures. </w:t>
            </w:r>
          </w:p>
          <w:p w14:paraId="0F4C8A78" w14:textId="68A24DC7" w:rsidR="00D77DFD" w:rsidRPr="00E914FB" w:rsidRDefault="00D77DFD" w:rsidP="00D77DFD">
            <w:pPr>
              <w:tabs>
                <w:tab w:val="left" w:pos="567"/>
              </w:tabs>
              <w:rPr>
                <w:rFonts w:cstheme="minorHAnsi"/>
                <w:sz w:val="20"/>
                <w:szCs w:val="20"/>
              </w:rPr>
            </w:pPr>
            <w:r w:rsidRPr="00E914FB">
              <w:rPr>
                <w:rFonts w:cstheme="minorHAnsi"/>
                <w:sz w:val="20"/>
                <w:szCs w:val="20"/>
              </w:rPr>
              <w:t>Dose decrease and clinical monitoring of calcium channel blockers is recommended when co-administered with VIEKIRA PAK.</w:t>
            </w:r>
          </w:p>
        </w:tc>
      </w:tr>
      <w:tr w:rsidR="00D77DFD" w:rsidRPr="00E914FB" w14:paraId="6685FD96" w14:textId="77777777" w:rsidTr="00337D74">
        <w:tc>
          <w:tcPr>
            <w:tcW w:w="1668" w:type="dxa"/>
          </w:tcPr>
          <w:p w14:paraId="00069BBF" w14:textId="77777777" w:rsidR="00D77DFD" w:rsidRPr="00E914FB" w:rsidRDefault="00D77DFD" w:rsidP="00D77DFD">
            <w:pPr>
              <w:rPr>
                <w:rFonts w:cstheme="minorHAnsi"/>
                <w:sz w:val="20"/>
                <w:szCs w:val="20"/>
              </w:rPr>
            </w:pPr>
            <w:r w:rsidRPr="00E914FB">
              <w:rPr>
                <w:rFonts w:cstheme="minorHAnsi"/>
                <w:sz w:val="20"/>
                <w:szCs w:val="20"/>
              </w:rPr>
              <w:t>Nifedipine</w:t>
            </w:r>
          </w:p>
        </w:tc>
        <w:tc>
          <w:tcPr>
            <w:tcW w:w="4113" w:type="dxa"/>
            <w:gridSpan w:val="4"/>
          </w:tcPr>
          <w:p w14:paraId="1891A7DC" w14:textId="77777777" w:rsidR="00D77DFD" w:rsidRPr="00E914FB" w:rsidRDefault="00D77DFD" w:rsidP="00D77DFD">
            <w:pPr>
              <w:tabs>
                <w:tab w:val="left" w:pos="567"/>
              </w:tabs>
              <w:rPr>
                <w:rFonts w:cstheme="minorHAnsi"/>
                <w:sz w:val="20"/>
                <w:szCs w:val="20"/>
              </w:rPr>
            </w:pPr>
            <w:r w:rsidRPr="00E914FB">
              <w:rPr>
                <w:rFonts w:cstheme="minorHAnsi"/>
                <w:sz w:val="20"/>
                <w:szCs w:val="20"/>
              </w:rPr>
              <w:t>↑ nifedipine*</w:t>
            </w:r>
          </w:p>
        </w:tc>
        <w:tc>
          <w:tcPr>
            <w:tcW w:w="3464" w:type="dxa"/>
          </w:tcPr>
          <w:p w14:paraId="26E1629D" w14:textId="77777777" w:rsidR="00D77DFD" w:rsidRPr="00E914FB" w:rsidRDefault="00D77DFD" w:rsidP="00D77DFD">
            <w:pPr>
              <w:tabs>
                <w:tab w:val="left" w:pos="567"/>
              </w:tabs>
              <w:rPr>
                <w:rFonts w:cstheme="minorHAnsi"/>
                <w:sz w:val="20"/>
                <w:szCs w:val="20"/>
              </w:rPr>
            </w:pPr>
            <w:r w:rsidRPr="00E914FB">
              <w:rPr>
                <w:rFonts w:cstheme="minorHAnsi"/>
                <w:sz w:val="20"/>
                <w:szCs w:val="20"/>
              </w:rPr>
              <w:t>Mechanism:  CYP3A4 inhibition</w:t>
            </w:r>
          </w:p>
          <w:p w14:paraId="2F90F14E" w14:textId="256920D9" w:rsidR="00D77DFD" w:rsidRPr="00E914FB" w:rsidRDefault="00D77DFD" w:rsidP="00E650BE">
            <w:pPr>
              <w:tabs>
                <w:tab w:val="left" w:pos="567"/>
              </w:tabs>
              <w:rPr>
                <w:rFonts w:cstheme="minorHAnsi"/>
                <w:sz w:val="20"/>
                <w:szCs w:val="20"/>
              </w:rPr>
            </w:pPr>
            <w:r w:rsidRPr="00E914FB">
              <w:rPr>
                <w:rFonts w:cstheme="minorHAnsi"/>
                <w:sz w:val="20"/>
                <w:szCs w:val="20"/>
              </w:rPr>
              <w:t>Dose decrease and clinical monitoring of calcium channel blockers is recommended when co-administered with VIEKIRA PA</w:t>
            </w:r>
            <w:r w:rsidR="00E650BE" w:rsidRPr="00E914FB">
              <w:rPr>
                <w:rFonts w:cstheme="minorHAnsi"/>
                <w:sz w:val="20"/>
                <w:szCs w:val="20"/>
              </w:rPr>
              <w:t>K</w:t>
            </w:r>
            <w:r w:rsidRPr="00E914FB">
              <w:rPr>
                <w:rFonts w:cstheme="minorHAnsi"/>
                <w:sz w:val="20"/>
                <w:szCs w:val="20"/>
              </w:rPr>
              <w:t>.</w:t>
            </w:r>
          </w:p>
        </w:tc>
      </w:tr>
    </w:tbl>
    <w:p w14:paraId="008D0A08" w14:textId="77777777" w:rsidR="00885509" w:rsidRDefault="00885509">
      <w:r>
        <w:br w:type="page"/>
      </w:r>
    </w:p>
    <w:tbl>
      <w:tblPr>
        <w:tblStyle w:val="TableGrid20"/>
        <w:tblW w:w="9245" w:type="dxa"/>
        <w:tblLayout w:type="fixed"/>
        <w:tblLook w:val="04A0" w:firstRow="1" w:lastRow="0" w:firstColumn="1" w:lastColumn="0" w:noHBand="0" w:noVBand="1"/>
      </w:tblPr>
      <w:tblGrid>
        <w:gridCol w:w="1668"/>
        <w:gridCol w:w="992"/>
        <w:gridCol w:w="1040"/>
        <w:gridCol w:w="1040"/>
        <w:gridCol w:w="1041"/>
        <w:gridCol w:w="3464"/>
      </w:tblGrid>
      <w:tr w:rsidR="00D77DFD" w:rsidRPr="00E914FB" w14:paraId="64DDB694" w14:textId="77777777" w:rsidTr="00A178EB">
        <w:tc>
          <w:tcPr>
            <w:tcW w:w="9245" w:type="dxa"/>
            <w:gridSpan w:val="6"/>
          </w:tcPr>
          <w:p w14:paraId="3D5E472F" w14:textId="79745FD3" w:rsidR="00D77DFD" w:rsidRPr="00E914FB" w:rsidRDefault="00D77DFD" w:rsidP="00D77DFD">
            <w:pPr>
              <w:rPr>
                <w:rFonts w:cstheme="minorHAnsi"/>
                <w:b/>
                <w:sz w:val="20"/>
              </w:rPr>
            </w:pPr>
            <w:r w:rsidRPr="00E914FB">
              <w:rPr>
                <w:rFonts w:cstheme="minorHAnsi"/>
                <w:b/>
                <w:sz w:val="20"/>
                <w:szCs w:val="20"/>
              </w:rPr>
              <w:lastRenderedPageBreak/>
              <w:t>Diuretics</w:t>
            </w:r>
          </w:p>
        </w:tc>
      </w:tr>
      <w:tr w:rsidR="00D77DFD" w:rsidRPr="00E914FB" w14:paraId="0355815D" w14:textId="77777777" w:rsidTr="00826AE6">
        <w:trPr>
          <w:trHeight w:val="150"/>
        </w:trPr>
        <w:tc>
          <w:tcPr>
            <w:tcW w:w="1668" w:type="dxa"/>
            <w:vMerge w:val="restart"/>
          </w:tcPr>
          <w:p w14:paraId="28B24A2C" w14:textId="77777777" w:rsidR="00D77DFD" w:rsidRPr="00E914FB" w:rsidRDefault="00D77DFD" w:rsidP="00D77DFD">
            <w:pPr>
              <w:tabs>
                <w:tab w:val="left" w:pos="567"/>
              </w:tabs>
              <w:rPr>
                <w:rFonts w:cstheme="minorHAnsi"/>
                <w:sz w:val="20"/>
                <w:szCs w:val="20"/>
              </w:rPr>
            </w:pPr>
            <w:r w:rsidRPr="00E914FB">
              <w:rPr>
                <w:rFonts w:cstheme="minorHAnsi"/>
                <w:sz w:val="20"/>
                <w:szCs w:val="20"/>
              </w:rPr>
              <w:t>Furosemide</w:t>
            </w:r>
          </w:p>
          <w:p w14:paraId="5AD43DDE"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20 mg single dose </w:t>
            </w:r>
          </w:p>
        </w:tc>
        <w:tc>
          <w:tcPr>
            <w:tcW w:w="992" w:type="dxa"/>
          </w:tcPr>
          <w:p w14:paraId="1B565D38" w14:textId="77777777" w:rsidR="00D77DFD" w:rsidRPr="00E914FB" w:rsidRDefault="00D77DFD" w:rsidP="00D77DFD">
            <w:pPr>
              <w:rPr>
                <w:rFonts w:cstheme="minorHAnsi"/>
                <w:sz w:val="16"/>
                <w:szCs w:val="16"/>
              </w:rPr>
            </w:pPr>
          </w:p>
        </w:tc>
        <w:tc>
          <w:tcPr>
            <w:tcW w:w="1040" w:type="dxa"/>
          </w:tcPr>
          <w:p w14:paraId="5B42F293"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3260EB5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4B3023D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10DBEFC3" w14:textId="77777777" w:rsidR="00D77DFD" w:rsidRPr="00E914FB" w:rsidRDefault="00D77DFD" w:rsidP="00D77DFD">
            <w:pPr>
              <w:rPr>
                <w:rFonts w:cstheme="minorHAnsi"/>
                <w:sz w:val="20"/>
                <w:szCs w:val="20"/>
              </w:rPr>
            </w:pPr>
            <w:r w:rsidRPr="00E914FB">
              <w:rPr>
                <w:rFonts w:cstheme="minorHAnsi"/>
                <w:sz w:val="20"/>
                <w:szCs w:val="20"/>
              </w:rPr>
              <w:t>Mechanism:   Possibly due to UGT1A1 inhibition by paritaprevir, ombitasvir and dasabuvir.</w:t>
            </w:r>
          </w:p>
          <w:p w14:paraId="6089BA98" w14:textId="77777777" w:rsidR="00D77DFD" w:rsidRPr="00E914FB" w:rsidRDefault="00D77DFD" w:rsidP="00D77DFD">
            <w:pPr>
              <w:tabs>
                <w:tab w:val="left" w:pos="567"/>
              </w:tabs>
              <w:rPr>
                <w:rFonts w:cstheme="minorHAnsi"/>
                <w:sz w:val="20"/>
                <w:szCs w:val="20"/>
              </w:rPr>
            </w:pPr>
            <w:r w:rsidRPr="00E914FB">
              <w:rPr>
                <w:rFonts w:cstheme="minorHAnsi"/>
                <w:sz w:val="20"/>
                <w:szCs w:val="20"/>
              </w:rPr>
              <w:t>Patients should be monitored for clinical effects; a decrease in furosemide dose of up to 50% may be required.</w:t>
            </w:r>
          </w:p>
          <w:p w14:paraId="1EC8403F" w14:textId="67DA3AEE" w:rsidR="00D77DFD" w:rsidRPr="00E914FB" w:rsidRDefault="00D77DFD" w:rsidP="00D77DFD">
            <w:pPr>
              <w:tabs>
                <w:tab w:val="left" w:pos="567"/>
              </w:tabs>
              <w:rPr>
                <w:rFonts w:cstheme="minorHAnsi"/>
                <w:sz w:val="20"/>
                <w:szCs w:val="20"/>
              </w:rPr>
            </w:pPr>
          </w:p>
        </w:tc>
      </w:tr>
      <w:tr w:rsidR="00D77DFD" w:rsidRPr="00E914FB" w14:paraId="4358302F" w14:textId="77777777" w:rsidTr="00826AE6">
        <w:trPr>
          <w:trHeight w:val="146"/>
        </w:trPr>
        <w:tc>
          <w:tcPr>
            <w:tcW w:w="1668" w:type="dxa"/>
            <w:vMerge/>
          </w:tcPr>
          <w:p w14:paraId="02508369" w14:textId="77777777" w:rsidR="00D77DFD" w:rsidRPr="00E914FB" w:rsidRDefault="00D77DFD" w:rsidP="00D77DFD">
            <w:pPr>
              <w:rPr>
                <w:rFonts w:cstheme="minorHAnsi"/>
                <w:sz w:val="20"/>
                <w:szCs w:val="20"/>
              </w:rPr>
            </w:pPr>
          </w:p>
        </w:tc>
        <w:tc>
          <w:tcPr>
            <w:tcW w:w="992" w:type="dxa"/>
          </w:tcPr>
          <w:p w14:paraId="65CE169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furosemide</w:t>
            </w:r>
          </w:p>
        </w:tc>
        <w:tc>
          <w:tcPr>
            <w:tcW w:w="1040" w:type="dxa"/>
          </w:tcPr>
          <w:p w14:paraId="2E4517E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1.42</w:t>
            </w:r>
          </w:p>
          <w:p w14:paraId="2BB2546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(1.17-1.72)</w:t>
            </w:r>
          </w:p>
        </w:tc>
        <w:tc>
          <w:tcPr>
            <w:tcW w:w="1040" w:type="dxa"/>
          </w:tcPr>
          <w:p w14:paraId="735DC83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1.08</w:t>
            </w:r>
          </w:p>
          <w:p w14:paraId="6FD5DD8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(1.00-1.17)</w:t>
            </w:r>
          </w:p>
        </w:tc>
        <w:tc>
          <w:tcPr>
            <w:tcW w:w="1041" w:type="dxa"/>
          </w:tcPr>
          <w:p w14:paraId="7AA0B39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0216E4E7" w14:textId="77777777" w:rsidR="00D77DFD" w:rsidRPr="00E914FB" w:rsidRDefault="00D77DFD" w:rsidP="00D77DFD">
            <w:pPr>
              <w:rPr>
                <w:rFonts w:cstheme="minorHAnsi"/>
                <w:sz w:val="20"/>
                <w:szCs w:val="20"/>
              </w:rPr>
            </w:pPr>
          </w:p>
        </w:tc>
      </w:tr>
      <w:tr w:rsidR="00D77DFD" w:rsidRPr="00E914FB" w14:paraId="39E5D2CA" w14:textId="77777777" w:rsidTr="00826AE6">
        <w:trPr>
          <w:trHeight w:val="146"/>
        </w:trPr>
        <w:tc>
          <w:tcPr>
            <w:tcW w:w="1668" w:type="dxa"/>
            <w:vMerge/>
          </w:tcPr>
          <w:p w14:paraId="293D52BF" w14:textId="77777777" w:rsidR="00D77DFD" w:rsidRPr="00E914FB" w:rsidRDefault="00D77DFD" w:rsidP="00D77DFD">
            <w:pPr>
              <w:rPr>
                <w:rFonts w:cstheme="minorHAnsi"/>
                <w:sz w:val="20"/>
                <w:szCs w:val="20"/>
              </w:rPr>
            </w:pPr>
          </w:p>
        </w:tc>
        <w:tc>
          <w:tcPr>
            <w:tcW w:w="992" w:type="dxa"/>
          </w:tcPr>
          <w:p w14:paraId="309C216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70BB741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1.14</w:t>
            </w:r>
          </w:p>
          <w:p w14:paraId="62609AB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(1.03-1.26)</w:t>
            </w:r>
          </w:p>
        </w:tc>
        <w:tc>
          <w:tcPr>
            <w:tcW w:w="1040" w:type="dxa"/>
          </w:tcPr>
          <w:p w14:paraId="2F1C904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1.07</w:t>
            </w:r>
          </w:p>
          <w:p w14:paraId="75D81BA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(1.01-1.12)</w:t>
            </w:r>
          </w:p>
        </w:tc>
        <w:tc>
          <w:tcPr>
            <w:tcW w:w="1041" w:type="dxa"/>
          </w:tcPr>
          <w:p w14:paraId="7EA8EAE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1.12</w:t>
            </w:r>
            <w:r w:rsidRPr="00E914FB">
              <w:rPr>
                <w:rFonts w:ascii="Calibri" w:hAnsi="Calibri" w:cs="Calibri"/>
                <w:sz w:val="16"/>
                <w:szCs w:val="16"/>
              </w:rPr>
              <w:br/>
              <w:t>(1.08-1.16)</w:t>
            </w:r>
          </w:p>
        </w:tc>
        <w:tc>
          <w:tcPr>
            <w:tcW w:w="3464" w:type="dxa"/>
            <w:vMerge/>
          </w:tcPr>
          <w:p w14:paraId="31483353" w14:textId="77777777" w:rsidR="00D77DFD" w:rsidRPr="00E914FB" w:rsidRDefault="00D77DFD" w:rsidP="00D77DFD">
            <w:pPr>
              <w:rPr>
                <w:rFonts w:cstheme="minorHAnsi"/>
                <w:sz w:val="20"/>
                <w:szCs w:val="20"/>
              </w:rPr>
            </w:pPr>
          </w:p>
        </w:tc>
      </w:tr>
      <w:tr w:rsidR="00D77DFD" w:rsidRPr="00E914FB" w14:paraId="1212337B" w14:textId="77777777" w:rsidTr="00826AE6">
        <w:trPr>
          <w:trHeight w:val="146"/>
        </w:trPr>
        <w:tc>
          <w:tcPr>
            <w:tcW w:w="1668" w:type="dxa"/>
            <w:vMerge/>
          </w:tcPr>
          <w:p w14:paraId="40D46ED7" w14:textId="77777777" w:rsidR="00D77DFD" w:rsidRPr="00E914FB" w:rsidRDefault="00D77DFD" w:rsidP="00D77DFD">
            <w:pPr>
              <w:rPr>
                <w:rFonts w:cstheme="minorHAnsi"/>
                <w:sz w:val="20"/>
                <w:szCs w:val="20"/>
              </w:rPr>
            </w:pPr>
          </w:p>
        </w:tc>
        <w:tc>
          <w:tcPr>
            <w:tcW w:w="992" w:type="dxa"/>
          </w:tcPr>
          <w:p w14:paraId="30AD17A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7B72456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0.93</w:t>
            </w:r>
          </w:p>
          <w:p w14:paraId="69DE50E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(0.63-1.36)</w:t>
            </w:r>
          </w:p>
        </w:tc>
        <w:tc>
          <w:tcPr>
            <w:tcW w:w="1040" w:type="dxa"/>
          </w:tcPr>
          <w:p w14:paraId="10D33DF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w:t>
            </w:r>
          </w:p>
          <w:p w14:paraId="12FDB4A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(0.70-1.21)</w:t>
            </w:r>
          </w:p>
        </w:tc>
        <w:tc>
          <w:tcPr>
            <w:tcW w:w="1041" w:type="dxa"/>
          </w:tcPr>
          <w:p w14:paraId="2A07544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1.26</w:t>
            </w:r>
            <w:r w:rsidRPr="00E914FB">
              <w:rPr>
                <w:rFonts w:ascii="Calibri" w:hAnsi="Calibri" w:cs="Calibri"/>
                <w:sz w:val="16"/>
                <w:szCs w:val="16"/>
              </w:rPr>
              <w:br/>
              <w:t>(1.16-1.38)</w:t>
            </w:r>
          </w:p>
        </w:tc>
        <w:tc>
          <w:tcPr>
            <w:tcW w:w="3464" w:type="dxa"/>
            <w:vMerge/>
          </w:tcPr>
          <w:p w14:paraId="76395F84" w14:textId="77777777" w:rsidR="00D77DFD" w:rsidRPr="00E914FB" w:rsidRDefault="00D77DFD" w:rsidP="00D77DFD">
            <w:pPr>
              <w:rPr>
                <w:rFonts w:cstheme="minorHAnsi"/>
                <w:sz w:val="20"/>
                <w:szCs w:val="20"/>
              </w:rPr>
            </w:pPr>
          </w:p>
        </w:tc>
      </w:tr>
      <w:tr w:rsidR="00D77DFD" w:rsidRPr="00E914FB" w14:paraId="337146C7" w14:textId="77777777" w:rsidTr="00826AE6">
        <w:trPr>
          <w:trHeight w:val="146"/>
        </w:trPr>
        <w:tc>
          <w:tcPr>
            <w:tcW w:w="1668" w:type="dxa"/>
            <w:vMerge/>
          </w:tcPr>
          <w:p w14:paraId="5F4DB825" w14:textId="77777777" w:rsidR="00D77DFD" w:rsidRPr="00E914FB" w:rsidRDefault="00D77DFD" w:rsidP="00D77DFD">
            <w:pPr>
              <w:rPr>
                <w:rFonts w:cstheme="minorHAnsi"/>
                <w:sz w:val="20"/>
                <w:szCs w:val="20"/>
              </w:rPr>
            </w:pPr>
          </w:p>
        </w:tc>
        <w:tc>
          <w:tcPr>
            <w:tcW w:w="992" w:type="dxa"/>
          </w:tcPr>
          <w:p w14:paraId="439E41B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294B5D3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1.12</w:t>
            </w:r>
          </w:p>
          <w:p w14:paraId="4B4339F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(0.96-1.31)</w:t>
            </w:r>
          </w:p>
        </w:tc>
        <w:tc>
          <w:tcPr>
            <w:tcW w:w="1040" w:type="dxa"/>
          </w:tcPr>
          <w:p w14:paraId="6D1329F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1.09</w:t>
            </w:r>
          </w:p>
          <w:p w14:paraId="133DF14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(0.96-1.23)</w:t>
            </w:r>
          </w:p>
        </w:tc>
        <w:tc>
          <w:tcPr>
            <w:tcW w:w="1041" w:type="dxa"/>
          </w:tcPr>
          <w:p w14:paraId="4A5CFC2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1.06</w:t>
            </w:r>
            <w:r w:rsidRPr="00E914FB">
              <w:rPr>
                <w:rFonts w:ascii="Calibri" w:hAnsi="Calibri" w:cs="Calibri"/>
                <w:sz w:val="16"/>
                <w:szCs w:val="16"/>
              </w:rPr>
              <w:br/>
              <w:t>(0.98-1.14)</w:t>
            </w:r>
          </w:p>
        </w:tc>
        <w:tc>
          <w:tcPr>
            <w:tcW w:w="3464" w:type="dxa"/>
            <w:vMerge/>
          </w:tcPr>
          <w:p w14:paraId="6C41CD63" w14:textId="77777777" w:rsidR="00D77DFD" w:rsidRPr="00E914FB" w:rsidRDefault="00D77DFD" w:rsidP="00D77DFD">
            <w:pPr>
              <w:rPr>
                <w:rFonts w:cstheme="minorHAnsi"/>
                <w:sz w:val="20"/>
                <w:szCs w:val="20"/>
              </w:rPr>
            </w:pPr>
          </w:p>
        </w:tc>
      </w:tr>
      <w:tr w:rsidR="00D77DFD" w:rsidRPr="00E914FB" w14:paraId="55BFF539" w14:textId="77777777" w:rsidTr="00A178EB">
        <w:tc>
          <w:tcPr>
            <w:tcW w:w="9245" w:type="dxa"/>
            <w:gridSpan w:val="6"/>
          </w:tcPr>
          <w:p w14:paraId="4077FA09" w14:textId="77777777" w:rsidR="00D77DFD" w:rsidRPr="00E914FB" w:rsidRDefault="00D77DFD" w:rsidP="003D0EEC">
            <w:pPr>
              <w:rPr>
                <w:rFonts w:cstheme="minorHAnsi"/>
                <w:b/>
                <w:sz w:val="20"/>
                <w:szCs w:val="20"/>
              </w:rPr>
            </w:pPr>
            <w:r w:rsidRPr="00E914FB">
              <w:rPr>
                <w:rFonts w:cstheme="minorHAnsi"/>
                <w:b/>
                <w:sz w:val="20"/>
                <w:szCs w:val="20"/>
              </w:rPr>
              <w:t>HIV Antivirals: Protease Inhibitors</w:t>
            </w:r>
          </w:p>
        </w:tc>
      </w:tr>
      <w:tr w:rsidR="00D77DFD" w:rsidRPr="00E914FB" w14:paraId="07F8ABA5" w14:textId="77777777" w:rsidTr="00337D74">
        <w:trPr>
          <w:trHeight w:val="342"/>
        </w:trPr>
        <w:tc>
          <w:tcPr>
            <w:tcW w:w="1668" w:type="dxa"/>
            <w:vMerge w:val="restart"/>
          </w:tcPr>
          <w:p w14:paraId="402F7043" w14:textId="77777777" w:rsidR="00D77DFD" w:rsidRPr="00E914FB" w:rsidRDefault="00D77DFD" w:rsidP="00D77DFD">
            <w:pPr>
              <w:tabs>
                <w:tab w:val="left" w:pos="567"/>
              </w:tabs>
              <w:rPr>
                <w:rFonts w:cstheme="minorHAnsi"/>
                <w:sz w:val="20"/>
                <w:szCs w:val="20"/>
              </w:rPr>
            </w:pPr>
            <w:r w:rsidRPr="00E914FB">
              <w:rPr>
                <w:rFonts w:cstheme="minorHAnsi"/>
                <w:sz w:val="20"/>
                <w:szCs w:val="20"/>
              </w:rPr>
              <w:t>Atazanavir</w:t>
            </w:r>
          </w:p>
          <w:p w14:paraId="76F28B09" w14:textId="77777777" w:rsidR="00D77DFD" w:rsidRPr="00E914FB" w:rsidRDefault="00D77DFD" w:rsidP="00D77DFD">
            <w:pPr>
              <w:tabs>
                <w:tab w:val="left" w:pos="567"/>
              </w:tabs>
              <w:rPr>
                <w:rFonts w:cstheme="minorHAnsi"/>
                <w:sz w:val="20"/>
                <w:szCs w:val="20"/>
              </w:rPr>
            </w:pPr>
            <w:r w:rsidRPr="00E914FB">
              <w:rPr>
                <w:rFonts w:cstheme="minorHAnsi"/>
                <w:sz w:val="20"/>
                <w:szCs w:val="20"/>
              </w:rPr>
              <w:t>300 mg once daily (given at the same time)</w:t>
            </w:r>
          </w:p>
          <w:p w14:paraId="51CCCA29" w14:textId="77777777" w:rsidR="00D77DFD" w:rsidRPr="00E914FB" w:rsidRDefault="00D77DFD" w:rsidP="00D77DFD">
            <w:pPr>
              <w:rPr>
                <w:rFonts w:cstheme="minorHAnsi"/>
                <w:sz w:val="20"/>
                <w:szCs w:val="20"/>
              </w:rPr>
            </w:pPr>
          </w:p>
        </w:tc>
        <w:tc>
          <w:tcPr>
            <w:tcW w:w="992" w:type="dxa"/>
          </w:tcPr>
          <w:p w14:paraId="38746455" w14:textId="77777777" w:rsidR="00D77DFD" w:rsidRPr="00E914FB" w:rsidRDefault="00D77DFD" w:rsidP="00D77DFD">
            <w:pPr>
              <w:rPr>
                <w:rFonts w:cstheme="minorHAnsi"/>
              </w:rPr>
            </w:pPr>
          </w:p>
        </w:tc>
        <w:tc>
          <w:tcPr>
            <w:tcW w:w="1040" w:type="dxa"/>
          </w:tcPr>
          <w:p w14:paraId="6439D7C2"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1A17273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0549090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DEB4DE4" w14:textId="77777777" w:rsidR="00D77DFD" w:rsidRPr="00E914FB" w:rsidRDefault="00D77DFD" w:rsidP="00D77DFD">
            <w:pPr>
              <w:rPr>
                <w:rFonts w:cstheme="minorHAnsi"/>
                <w:sz w:val="20"/>
                <w:szCs w:val="20"/>
              </w:rPr>
            </w:pPr>
            <w:r w:rsidRPr="00E914FB">
              <w:rPr>
                <w:rFonts w:cstheme="minorHAnsi"/>
                <w:sz w:val="20"/>
                <w:szCs w:val="20"/>
              </w:rPr>
              <w:t>Mechanism:   Increase in paritaprevir exposures may be due to inhibition of OATP1B1/B3 and CYP3A by atazanavir.</w:t>
            </w:r>
          </w:p>
          <w:p w14:paraId="27181E90" w14:textId="77777777" w:rsidR="00D77DFD" w:rsidRPr="00E914FB" w:rsidRDefault="00D77DFD" w:rsidP="00D77DFD">
            <w:pPr>
              <w:rPr>
                <w:rFonts w:cstheme="minorHAnsi"/>
                <w:sz w:val="20"/>
                <w:szCs w:val="20"/>
              </w:rPr>
            </w:pPr>
            <w:r w:rsidRPr="00E914FB">
              <w:rPr>
                <w:rFonts w:cstheme="minorHAnsi"/>
                <w:sz w:val="20"/>
                <w:szCs w:val="20"/>
              </w:rPr>
              <w:t>In combination with ritonavir, the Increase in paritaprevir exposures may be due to inhibition of OATP1B1/B3 and CYP3A by atazanavir and CYP3A by the additional dose of ritonavir.</w:t>
            </w:r>
          </w:p>
          <w:p w14:paraId="63594204" w14:textId="77777777" w:rsidR="00D77DFD" w:rsidRPr="00E914FB" w:rsidRDefault="00D77DFD" w:rsidP="00D77DFD">
            <w:pPr>
              <w:rPr>
                <w:rFonts w:cstheme="minorHAnsi"/>
                <w:sz w:val="20"/>
                <w:szCs w:val="20"/>
              </w:rPr>
            </w:pPr>
          </w:p>
          <w:p w14:paraId="72468D22" w14:textId="3060B060" w:rsidR="00D77DFD" w:rsidRPr="00E914FB" w:rsidRDefault="00D77DFD" w:rsidP="00D77DFD">
            <w:pPr>
              <w:tabs>
                <w:tab w:val="left" w:pos="567"/>
              </w:tabs>
              <w:rPr>
                <w:rFonts w:cstheme="minorHAnsi"/>
                <w:sz w:val="20"/>
                <w:szCs w:val="20"/>
              </w:rPr>
            </w:pPr>
            <w:r w:rsidRPr="00E914FB">
              <w:rPr>
                <w:rFonts w:cstheme="minorHAnsi"/>
                <w:sz w:val="20"/>
                <w:szCs w:val="20"/>
              </w:rPr>
              <w:t xml:space="preserve">The recommended dose of atazanavir is 300 mg, without ritonavir, in combination with VIEKIRA PAK. Atazanavir must be administered at the same time as VIEKIRA PAK. Ritonavir dose in VIEKIRA PAK will provide atazanavir pharmacokinetic enhancement. </w:t>
            </w:r>
          </w:p>
          <w:p w14:paraId="22AB875F" w14:textId="77777777" w:rsidR="00D77DFD" w:rsidRPr="00E914FB" w:rsidRDefault="00D77DFD" w:rsidP="00D77DFD">
            <w:pPr>
              <w:tabs>
                <w:tab w:val="left" w:pos="567"/>
              </w:tabs>
              <w:rPr>
                <w:rFonts w:cstheme="minorHAnsi"/>
                <w:sz w:val="20"/>
                <w:szCs w:val="20"/>
              </w:rPr>
            </w:pPr>
          </w:p>
          <w:p w14:paraId="2974FC1D" w14:textId="3A139D1E" w:rsidR="00D77DFD" w:rsidRPr="00E914FB" w:rsidRDefault="00D77DFD" w:rsidP="00826AE6">
            <w:pPr>
              <w:tabs>
                <w:tab w:val="left" w:pos="567"/>
              </w:tabs>
              <w:rPr>
                <w:rFonts w:cstheme="minorHAnsi"/>
                <w:sz w:val="20"/>
                <w:szCs w:val="20"/>
              </w:rPr>
            </w:pPr>
            <w:r w:rsidRPr="00E914FB">
              <w:rPr>
                <w:rFonts w:cstheme="minorHAnsi"/>
                <w:sz w:val="20"/>
                <w:szCs w:val="20"/>
              </w:rPr>
              <w:t>Treatment with atazanavir/ritonavir + VIEKIRA PAK is not recommended</w:t>
            </w:r>
            <w:r w:rsidR="00826AE6" w:rsidRPr="00E914FB">
              <w:rPr>
                <w:rFonts w:cstheme="minorHAnsi"/>
                <w:sz w:val="20"/>
                <w:szCs w:val="20"/>
              </w:rPr>
              <w:t>.</w:t>
            </w:r>
          </w:p>
        </w:tc>
      </w:tr>
      <w:tr w:rsidR="00D77DFD" w:rsidRPr="00E914FB" w14:paraId="2285E4E2" w14:textId="77777777" w:rsidTr="00337D74">
        <w:trPr>
          <w:trHeight w:val="339"/>
        </w:trPr>
        <w:tc>
          <w:tcPr>
            <w:tcW w:w="1668" w:type="dxa"/>
            <w:vMerge/>
          </w:tcPr>
          <w:p w14:paraId="69DD9AE0" w14:textId="77777777" w:rsidR="00D77DFD" w:rsidRPr="00E914FB" w:rsidRDefault="00D77DFD" w:rsidP="00D77DFD">
            <w:pPr>
              <w:rPr>
                <w:rFonts w:cstheme="minorHAnsi"/>
                <w:sz w:val="20"/>
                <w:szCs w:val="20"/>
              </w:rPr>
            </w:pPr>
          </w:p>
        </w:tc>
        <w:tc>
          <w:tcPr>
            <w:tcW w:w="992" w:type="dxa"/>
          </w:tcPr>
          <w:p w14:paraId="758B7D9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atazanavir</w:t>
            </w:r>
          </w:p>
        </w:tc>
        <w:tc>
          <w:tcPr>
            <w:tcW w:w="1040" w:type="dxa"/>
          </w:tcPr>
          <w:p w14:paraId="035DA0C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0.91</w:t>
            </w:r>
          </w:p>
          <w:p w14:paraId="39EE08D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(0.84-0.99)</w:t>
            </w:r>
          </w:p>
        </w:tc>
        <w:tc>
          <w:tcPr>
            <w:tcW w:w="1040" w:type="dxa"/>
          </w:tcPr>
          <w:p w14:paraId="7BD55D4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w:t>
            </w:r>
          </w:p>
          <w:p w14:paraId="4367F90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(0.93-1.10)</w:t>
            </w:r>
          </w:p>
        </w:tc>
        <w:tc>
          <w:tcPr>
            <w:tcW w:w="1041" w:type="dxa"/>
          </w:tcPr>
          <w:p w14:paraId="06C88C9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0.90</w:t>
            </w:r>
          </w:p>
          <w:p w14:paraId="56C5F53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(0.81-1.01)</w:t>
            </w:r>
          </w:p>
        </w:tc>
        <w:tc>
          <w:tcPr>
            <w:tcW w:w="3464" w:type="dxa"/>
            <w:vMerge/>
          </w:tcPr>
          <w:p w14:paraId="035D0498" w14:textId="77777777" w:rsidR="00D77DFD" w:rsidRPr="00E914FB" w:rsidRDefault="00D77DFD" w:rsidP="00D77DFD">
            <w:pPr>
              <w:rPr>
                <w:rFonts w:cstheme="minorHAnsi"/>
                <w:sz w:val="20"/>
                <w:szCs w:val="20"/>
              </w:rPr>
            </w:pPr>
          </w:p>
        </w:tc>
      </w:tr>
      <w:tr w:rsidR="00D77DFD" w:rsidRPr="00E914FB" w14:paraId="0AA63C12" w14:textId="77777777" w:rsidTr="00337D74">
        <w:trPr>
          <w:trHeight w:val="339"/>
        </w:trPr>
        <w:tc>
          <w:tcPr>
            <w:tcW w:w="1668" w:type="dxa"/>
            <w:vMerge/>
          </w:tcPr>
          <w:p w14:paraId="05AA6548" w14:textId="77777777" w:rsidR="00D77DFD" w:rsidRPr="00E914FB" w:rsidRDefault="00D77DFD" w:rsidP="00D77DFD">
            <w:pPr>
              <w:rPr>
                <w:rFonts w:cstheme="minorHAnsi"/>
                <w:sz w:val="20"/>
                <w:szCs w:val="20"/>
              </w:rPr>
            </w:pPr>
          </w:p>
        </w:tc>
        <w:tc>
          <w:tcPr>
            <w:tcW w:w="992" w:type="dxa"/>
          </w:tcPr>
          <w:p w14:paraId="74FC30F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09EEEA8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0.77</w:t>
            </w:r>
          </w:p>
          <w:p w14:paraId="2DA796C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(0.70-0.85)</w:t>
            </w:r>
          </w:p>
        </w:tc>
        <w:tc>
          <w:tcPr>
            <w:tcW w:w="1040" w:type="dxa"/>
          </w:tcPr>
          <w:p w14:paraId="114F4AE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w:t>
            </w:r>
          </w:p>
          <w:p w14:paraId="29FA0D4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(0.74-0.94)</w:t>
            </w:r>
          </w:p>
        </w:tc>
        <w:tc>
          <w:tcPr>
            <w:tcW w:w="1041" w:type="dxa"/>
          </w:tcPr>
          <w:p w14:paraId="78DC834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w:t>
            </w:r>
          </w:p>
          <w:p w14:paraId="3EA5523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(0.78-1.02)</w:t>
            </w:r>
          </w:p>
        </w:tc>
        <w:tc>
          <w:tcPr>
            <w:tcW w:w="3464" w:type="dxa"/>
            <w:vMerge/>
          </w:tcPr>
          <w:p w14:paraId="6750324A" w14:textId="77777777" w:rsidR="00D77DFD" w:rsidRPr="00E914FB" w:rsidRDefault="00D77DFD" w:rsidP="00D77DFD">
            <w:pPr>
              <w:rPr>
                <w:rFonts w:cstheme="minorHAnsi"/>
                <w:sz w:val="20"/>
                <w:szCs w:val="20"/>
              </w:rPr>
            </w:pPr>
          </w:p>
        </w:tc>
      </w:tr>
      <w:tr w:rsidR="00D77DFD" w:rsidRPr="00E914FB" w14:paraId="1584DD36" w14:textId="77777777" w:rsidTr="00337D74">
        <w:trPr>
          <w:trHeight w:val="339"/>
        </w:trPr>
        <w:tc>
          <w:tcPr>
            <w:tcW w:w="1668" w:type="dxa"/>
            <w:vMerge/>
          </w:tcPr>
          <w:p w14:paraId="265B2355" w14:textId="77777777" w:rsidR="00D77DFD" w:rsidRPr="00E914FB" w:rsidRDefault="00D77DFD" w:rsidP="00D77DFD">
            <w:pPr>
              <w:rPr>
                <w:rFonts w:cstheme="minorHAnsi"/>
                <w:sz w:val="20"/>
                <w:szCs w:val="20"/>
              </w:rPr>
            </w:pPr>
          </w:p>
        </w:tc>
        <w:tc>
          <w:tcPr>
            <w:tcW w:w="992" w:type="dxa"/>
          </w:tcPr>
          <w:p w14:paraId="11672E7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3E6EB37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1.46</w:t>
            </w:r>
          </w:p>
          <w:p w14:paraId="37E6EDF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(1.06-1.99)</w:t>
            </w:r>
          </w:p>
        </w:tc>
        <w:tc>
          <w:tcPr>
            <w:tcW w:w="1040" w:type="dxa"/>
          </w:tcPr>
          <w:p w14:paraId="3142DBA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1.94</w:t>
            </w:r>
          </w:p>
          <w:p w14:paraId="6CF0F90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(1.34-2.81)</w:t>
            </w:r>
          </w:p>
        </w:tc>
        <w:tc>
          <w:tcPr>
            <w:tcW w:w="1041" w:type="dxa"/>
          </w:tcPr>
          <w:p w14:paraId="738F0C5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3.26</w:t>
            </w:r>
          </w:p>
          <w:p w14:paraId="51DA1EE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(2.06-5.16)</w:t>
            </w:r>
          </w:p>
        </w:tc>
        <w:tc>
          <w:tcPr>
            <w:tcW w:w="3464" w:type="dxa"/>
            <w:vMerge/>
          </w:tcPr>
          <w:p w14:paraId="37DF8883" w14:textId="77777777" w:rsidR="00D77DFD" w:rsidRPr="00E914FB" w:rsidRDefault="00D77DFD" w:rsidP="00D77DFD">
            <w:pPr>
              <w:rPr>
                <w:rFonts w:cstheme="minorHAnsi"/>
                <w:sz w:val="20"/>
                <w:szCs w:val="20"/>
              </w:rPr>
            </w:pPr>
          </w:p>
        </w:tc>
      </w:tr>
      <w:tr w:rsidR="00D77DFD" w:rsidRPr="00E914FB" w14:paraId="500F8BD7" w14:textId="77777777" w:rsidTr="00337D74">
        <w:trPr>
          <w:trHeight w:val="339"/>
        </w:trPr>
        <w:tc>
          <w:tcPr>
            <w:tcW w:w="1668" w:type="dxa"/>
            <w:vMerge/>
          </w:tcPr>
          <w:p w14:paraId="25272F5E" w14:textId="77777777" w:rsidR="00D77DFD" w:rsidRPr="00E914FB" w:rsidRDefault="00D77DFD" w:rsidP="00D77DFD">
            <w:pPr>
              <w:rPr>
                <w:rFonts w:cstheme="minorHAnsi"/>
                <w:sz w:val="20"/>
                <w:szCs w:val="20"/>
              </w:rPr>
            </w:pPr>
          </w:p>
        </w:tc>
        <w:tc>
          <w:tcPr>
            <w:tcW w:w="992" w:type="dxa"/>
          </w:tcPr>
          <w:p w14:paraId="6B50FF5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p w14:paraId="1D5F9BEC" w14:textId="77777777" w:rsidR="00D77DFD" w:rsidRPr="00E914FB" w:rsidRDefault="00D77DFD" w:rsidP="00D77DFD">
            <w:pPr>
              <w:tabs>
                <w:tab w:val="left" w:pos="567"/>
              </w:tabs>
              <w:rPr>
                <w:rFonts w:ascii="Calibri" w:hAnsi="Calibri" w:cs="Calibri"/>
                <w:sz w:val="16"/>
                <w:szCs w:val="16"/>
              </w:rPr>
            </w:pPr>
          </w:p>
        </w:tc>
        <w:tc>
          <w:tcPr>
            <w:tcW w:w="1040" w:type="dxa"/>
          </w:tcPr>
          <w:p w14:paraId="77ED69F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w:t>
            </w:r>
          </w:p>
          <w:p w14:paraId="6A06787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(0.71-0.96)</w:t>
            </w:r>
          </w:p>
        </w:tc>
        <w:tc>
          <w:tcPr>
            <w:tcW w:w="1040" w:type="dxa"/>
          </w:tcPr>
          <w:p w14:paraId="1548BB1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0.82</w:t>
            </w:r>
          </w:p>
          <w:p w14:paraId="223D070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(0.71-0.94)</w:t>
            </w:r>
          </w:p>
        </w:tc>
        <w:tc>
          <w:tcPr>
            <w:tcW w:w="1041" w:type="dxa"/>
          </w:tcPr>
          <w:p w14:paraId="1A42F2C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w:t>
            </w:r>
          </w:p>
          <w:p w14:paraId="1567A8D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(0.66-0.94)</w:t>
            </w:r>
          </w:p>
        </w:tc>
        <w:tc>
          <w:tcPr>
            <w:tcW w:w="3464" w:type="dxa"/>
            <w:vMerge/>
          </w:tcPr>
          <w:p w14:paraId="44C4E199" w14:textId="77777777" w:rsidR="00D77DFD" w:rsidRPr="00E914FB" w:rsidRDefault="00D77DFD" w:rsidP="00D77DFD">
            <w:pPr>
              <w:rPr>
                <w:rFonts w:cstheme="minorHAnsi"/>
                <w:sz w:val="20"/>
                <w:szCs w:val="20"/>
              </w:rPr>
            </w:pPr>
          </w:p>
        </w:tc>
      </w:tr>
      <w:tr w:rsidR="00D77DFD" w:rsidRPr="00E914FB" w14:paraId="31AEF732" w14:textId="77777777" w:rsidTr="00337D74">
        <w:trPr>
          <w:trHeight w:val="269"/>
        </w:trPr>
        <w:tc>
          <w:tcPr>
            <w:tcW w:w="1668" w:type="dxa"/>
            <w:vMerge w:val="restart"/>
          </w:tcPr>
          <w:p w14:paraId="7F748819" w14:textId="77777777" w:rsidR="00D77DFD" w:rsidRPr="00E914FB" w:rsidRDefault="00D77DFD" w:rsidP="00D77DFD">
            <w:pPr>
              <w:tabs>
                <w:tab w:val="left" w:pos="567"/>
              </w:tabs>
              <w:rPr>
                <w:rFonts w:cstheme="minorHAnsi"/>
                <w:sz w:val="20"/>
                <w:szCs w:val="20"/>
              </w:rPr>
            </w:pPr>
            <w:r w:rsidRPr="00E914FB">
              <w:rPr>
                <w:rFonts w:cstheme="minorHAnsi"/>
                <w:sz w:val="20"/>
                <w:szCs w:val="20"/>
              </w:rPr>
              <w:t>Atazanavir/ ritonavir</w:t>
            </w:r>
          </w:p>
          <w:p w14:paraId="349634D9" w14:textId="77777777" w:rsidR="00D77DFD" w:rsidRPr="00E914FB" w:rsidRDefault="00D77DFD" w:rsidP="00D77DFD">
            <w:pPr>
              <w:tabs>
                <w:tab w:val="left" w:pos="567"/>
              </w:tabs>
              <w:rPr>
                <w:rFonts w:cstheme="minorHAnsi"/>
                <w:sz w:val="20"/>
                <w:szCs w:val="20"/>
              </w:rPr>
            </w:pPr>
            <w:r w:rsidRPr="00E914FB">
              <w:rPr>
                <w:rFonts w:cstheme="minorHAnsi"/>
                <w:sz w:val="20"/>
                <w:szCs w:val="20"/>
              </w:rPr>
              <w:t>300/100 mg</w:t>
            </w:r>
          </w:p>
          <w:p w14:paraId="017635CA"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once daily </w:t>
            </w:r>
          </w:p>
          <w:p w14:paraId="2EFA2867" w14:textId="77777777" w:rsidR="00D77DFD" w:rsidRPr="00E914FB" w:rsidRDefault="00D77DFD" w:rsidP="00D77DFD">
            <w:pPr>
              <w:tabs>
                <w:tab w:val="left" w:pos="567"/>
              </w:tabs>
              <w:rPr>
                <w:rFonts w:cstheme="minorHAnsi"/>
                <w:sz w:val="20"/>
                <w:szCs w:val="20"/>
              </w:rPr>
            </w:pPr>
            <w:r w:rsidRPr="00E914FB">
              <w:rPr>
                <w:rFonts w:cstheme="minorHAnsi"/>
                <w:sz w:val="20"/>
                <w:szCs w:val="20"/>
              </w:rPr>
              <w:t>(administered 12 hours apart)</w:t>
            </w:r>
          </w:p>
          <w:p w14:paraId="4DECBCBA" w14:textId="77777777" w:rsidR="00D77DFD" w:rsidRPr="00E914FB" w:rsidRDefault="00D77DFD" w:rsidP="00D77DFD">
            <w:pPr>
              <w:rPr>
                <w:rFonts w:cstheme="minorHAnsi"/>
                <w:sz w:val="20"/>
                <w:szCs w:val="20"/>
              </w:rPr>
            </w:pPr>
          </w:p>
        </w:tc>
        <w:tc>
          <w:tcPr>
            <w:tcW w:w="992" w:type="dxa"/>
          </w:tcPr>
          <w:p w14:paraId="0E111197" w14:textId="77777777" w:rsidR="00D77DFD" w:rsidRPr="00E914FB" w:rsidRDefault="00D77DFD" w:rsidP="00D77DFD">
            <w:pPr>
              <w:rPr>
                <w:rFonts w:cstheme="minorHAnsi"/>
                <w:sz w:val="16"/>
                <w:szCs w:val="16"/>
              </w:rPr>
            </w:pPr>
          </w:p>
        </w:tc>
        <w:tc>
          <w:tcPr>
            <w:tcW w:w="1040" w:type="dxa"/>
          </w:tcPr>
          <w:p w14:paraId="3FDC79D7"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083AF87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595B7C8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tcPr>
          <w:p w14:paraId="25C5D5FC" w14:textId="77777777" w:rsidR="00D77DFD" w:rsidRPr="00E914FB" w:rsidRDefault="00D77DFD" w:rsidP="00D77DFD">
            <w:pPr>
              <w:rPr>
                <w:rFonts w:cstheme="minorHAnsi"/>
                <w:sz w:val="20"/>
                <w:szCs w:val="20"/>
              </w:rPr>
            </w:pPr>
          </w:p>
        </w:tc>
      </w:tr>
      <w:tr w:rsidR="00D77DFD" w:rsidRPr="00E914FB" w14:paraId="756839D9" w14:textId="77777777" w:rsidTr="00337D74">
        <w:trPr>
          <w:trHeight w:val="269"/>
        </w:trPr>
        <w:tc>
          <w:tcPr>
            <w:tcW w:w="1668" w:type="dxa"/>
            <w:vMerge/>
          </w:tcPr>
          <w:p w14:paraId="204DFA0E" w14:textId="77777777" w:rsidR="00D77DFD" w:rsidRPr="00E914FB" w:rsidRDefault="00D77DFD" w:rsidP="00D77DFD">
            <w:pPr>
              <w:tabs>
                <w:tab w:val="left" w:pos="567"/>
              </w:tabs>
              <w:rPr>
                <w:rFonts w:cstheme="minorHAnsi"/>
                <w:sz w:val="20"/>
                <w:szCs w:val="20"/>
              </w:rPr>
            </w:pPr>
          </w:p>
        </w:tc>
        <w:tc>
          <w:tcPr>
            <w:tcW w:w="992" w:type="dxa"/>
          </w:tcPr>
          <w:p w14:paraId="6A7EAA1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atazanavir</w:t>
            </w:r>
          </w:p>
        </w:tc>
        <w:tc>
          <w:tcPr>
            <w:tcW w:w="1040" w:type="dxa"/>
          </w:tcPr>
          <w:p w14:paraId="1850781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1.02</w:t>
            </w:r>
          </w:p>
          <w:p w14:paraId="621B0F1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(0.92-1.13)</w:t>
            </w:r>
          </w:p>
        </w:tc>
        <w:tc>
          <w:tcPr>
            <w:tcW w:w="1040" w:type="dxa"/>
          </w:tcPr>
          <w:p w14:paraId="431F13A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1.19</w:t>
            </w:r>
          </w:p>
          <w:p w14:paraId="1A41411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(1.11-1.28)</w:t>
            </w:r>
          </w:p>
        </w:tc>
        <w:tc>
          <w:tcPr>
            <w:tcW w:w="1041" w:type="dxa"/>
          </w:tcPr>
          <w:p w14:paraId="546ABFE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1.68</w:t>
            </w:r>
          </w:p>
          <w:p w14:paraId="1E511C1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(1.44-1.95)</w:t>
            </w:r>
          </w:p>
        </w:tc>
        <w:tc>
          <w:tcPr>
            <w:tcW w:w="3464" w:type="dxa"/>
            <w:vMerge/>
          </w:tcPr>
          <w:p w14:paraId="28AFA561" w14:textId="77777777" w:rsidR="00D77DFD" w:rsidRPr="00E914FB" w:rsidRDefault="00D77DFD" w:rsidP="00D77DFD">
            <w:pPr>
              <w:rPr>
                <w:rFonts w:cstheme="minorHAnsi"/>
                <w:sz w:val="20"/>
                <w:szCs w:val="20"/>
              </w:rPr>
            </w:pPr>
          </w:p>
        </w:tc>
      </w:tr>
      <w:tr w:rsidR="00D77DFD" w:rsidRPr="00E914FB" w14:paraId="2BE912E4" w14:textId="77777777" w:rsidTr="00337D74">
        <w:trPr>
          <w:trHeight w:val="269"/>
        </w:trPr>
        <w:tc>
          <w:tcPr>
            <w:tcW w:w="1668" w:type="dxa"/>
            <w:vMerge/>
          </w:tcPr>
          <w:p w14:paraId="3A804234" w14:textId="77777777" w:rsidR="00D77DFD" w:rsidRPr="00E914FB" w:rsidRDefault="00D77DFD" w:rsidP="00D77DFD">
            <w:pPr>
              <w:tabs>
                <w:tab w:val="left" w:pos="567"/>
              </w:tabs>
              <w:rPr>
                <w:rFonts w:cstheme="minorHAnsi"/>
                <w:sz w:val="20"/>
                <w:szCs w:val="20"/>
              </w:rPr>
            </w:pPr>
          </w:p>
        </w:tc>
        <w:tc>
          <w:tcPr>
            <w:tcW w:w="992" w:type="dxa"/>
          </w:tcPr>
          <w:p w14:paraId="65788ED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5D0CD90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w:t>
            </w:r>
          </w:p>
          <w:p w14:paraId="50EE8BE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(0.72-0.96)</w:t>
            </w:r>
          </w:p>
        </w:tc>
        <w:tc>
          <w:tcPr>
            <w:tcW w:w="1040" w:type="dxa"/>
          </w:tcPr>
          <w:p w14:paraId="6A79024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0.90</w:t>
            </w:r>
          </w:p>
          <w:p w14:paraId="3F58C82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(0.78-1.02)</w:t>
            </w:r>
          </w:p>
        </w:tc>
        <w:tc>
          <w:tcPr>
            <w:tcW w:w="1041" w:type="dxa"/>
          </w:tcPr>
          <w:p w14:paraId="4C02D3F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w:t>
            </w:r>
          </w:p>
          <w:p w14:paraId="238A57C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(0.89-1.13)</w:t>
            </w:r>
          </w:p>
        </w:tc>
        <w:tc>
          <w:tcPr>
            <w:tcW w:w="3464" w:type="dxa"/>
            <w:vMerge/>
          </w:tcPr>
          <w:p w14:paraId="0D55B40D" w14:textId="77777777" w:rsidR="00D77DFD" w:rsidRPr="00E914FB" w:rsidRDefault="00D77DFD" w:rsidP="00D77DFD">
            <w:pPr>
              <w:rPr>
                <w:rFonts w:cstheme="minorHAnsi"/>
                <w:sz w:val="20"/>
                <w:szCs w:val="20"/>
              </w:rPr>
            </w:pPr>
          </w:p>
        </w:tc>
      </w:tr>
      <w:tr w:rsidR="00D77DFD" w:rsidRPr="00E914FB" w14:paraId="5A733777" w14:textId="77777777" w:rsidTr="00337D74">
        <w:trPr>
          <w:trHeight w:val="269"/>
        </w:trPr>
        <w:tc>
          <w:tcPr>
            <w:tcW w:w="1668" w:type="dxa"/>
            <w:vMerge/>
          </w:tcPr>
          <w:p w14:paraId="27868933" w14:textId="77777777" w:rsidR="00D77DFD" w:rsidRPr="00E914FB" w:rsidRDefault="00D77DFD" w:rsidP="00D77DFD">
            <w:pPr>
              <w:tabs>
                <w:tab w:val="left" w:pos="567"/>
              </w:tabs>
              <w:rPr>
                <w:rFonts w:cstheme="minorHAnsi"/>
                <w:sz w:val="20"/>
                <w:szCs w:val="20"/>
              </w:rPr>
            </w:pPr>
          </w:p>
        </w:tc>
        <w:tc>
          <w:tcPr>
            <w:tcW w:w="992" w:type="dxa"/>
          </w:tcPr>
          <w:p w14:paraId="6F4A313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0C4F9E1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2.19</w:t>
            </w:r>
          </w:p>
          <w:p w14:paraId="6571BE2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(1.61-2.98)</w:t>
            </w:r>
          </w:p>
        </w:tc>
        <w:tc>
          <w:tcPr>
            <w:tcW w:w="1040" w:type="dxa"/>
          </w:tcPr>
          <w:p w14:paraId="57982B5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3.16</w:t>
            </w:r>
          </w:p>
          <w:p w14:paraId="03C4892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(2.40-4.17)</w:t>
            </w:r>
          </w:p>
        </w:tc>
        <w:tc>
          <w:tcPr>
            <w:tcW w:w="1041" w:type="dxa"/>
          </w:tcPr>
          <w:p w14:paraId="25CE1BA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11.95</w:t>
            </w:r>
          </w:p>
          <w:p w14:paraId="6F08570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(8.94-15.98)</w:t>
            </w:r>
          </w:p>
        </w:tc>
        <w:tc>
          <w:tcPr>
            <w:tcW w:w="3464" w:type="dxa"/>
            <w:vMerge/>
          </w:tcPr>
          <w:p w14:paraId="2E003EBA" w14:textId="77777777" w:rsidR="00D77DFD" w:rsidRPr="00E914FB" w:rsidRDefault="00D77DFD" w:rsidP="00D77DFD">
            <w:pPr>
              <w:rPr>
                <w:rFonts w:cstheme="minorHAnsi"/>
                <w:sz w:val="20"/>
                <w:szCs w:val="20"/>
              </w:rPr>
            </w:pPr>
          </w:p>
        </w:tc>
      </w:tr>
      <w:tr w:rsidR="00D77DFD" w:rsidRPr="00E914FB" w14:paraId="1D946029" w14:textId="77777777" w:rsidTr="00337D74">
        <w:trPr>
          <w:trHeight w:val="269"/>
        </w:trPr>
        <w:tc>
          <w:tcPr>
            <w:tcW w:w="1668" w:type="dxa"/>
            <w:vMerge/>
          </w:tcPr>
          <w:p w14:paraId="1123BE87" w14:textId="77777777" w:rsidR="00D77DFD" w:rsidRPr="00E914FB" w:rsidRDefault="00D77DFD" w:rsidP="00D77DFD">
            <w:pPr>
              <w:tabs>
                <w:tab w:val="left" w:pos="567"/>
              </w:tabs>
              <w:rPr>
                <w:rFonts w:cstheme="minorHAnsi"/>
                <w:sz w:val="20"/>
                <w:szCs w:val="20"/>
              </w:rPr>
            </w:pPr>
          </w:p>
        </w:tc>
        <w:tc>
          <w:tcPr>
            <w:tcW w:w="992" w:type="dxa"/>
          </w:tcPr>
          <w:p w14:paraId="235102E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75E94B2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w:t>
            </w:r>
          </w:p>
          <w:p w14:paraId="11F5254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(0.73-0.91)</w:t>
            </w:r>
          </w:p>
        </w:tc>
        <w:tc>
          <w:tcPr>
            <w:tcW w:w="1040" w:type="dxa"/>
          </w:tcPr>
          <w:p w14:paraId="04A5113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w:t>
            </w:r>
          </w:p>
          <w:p w14:paraId="4B91D8F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(0.71-0.92)</w:t>
            </w:r>
          </w:p>
        </w:tc>
        <w:tc>
          <w:tcPr>
            <w:tcW w:w="1041" w:type="dxa"/>
          </w:tcPr>
          <w:p w14:paraId="353E981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0.80</w:t>
            </w:r>
          </w:p>
          <w:p w14:paraId="3D5C671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(0.65-0.98)</w:t>
            </w:r>
          </w:p>
        </w:tc>
        <w:tc>
          <w:tcPr>
            <w:tcW w:w="3464" w:type="dxa"/>
            <w:vMerge/>
          </w:tcPr>
          <w:p w14:paraId="1CEBCFEC" w14:textId="77777777" w:rsidR="00D77DFD" w:rsidRPr="00E914FB" w:rsidRDefault="00D77DFD" w:rsidP="00D77DFD">
            <w:pPr>
              <w:rPr>
                <w:rFonts w:cstheme="minorHAnsi"/>
                <w:sz w:val="20"/>
                <w:szCs w:val="20"/>
              </w:rPr>
            </w:pPr>
          </w:p>
        </w:tc>
      </w:tr>
      <w:tr w:rsidR="00D77DFD" w:rsidRPr="00E914FB" w14:paraId="43160C7F" w14:textId="77777777" w:rsidTr="00337D74">
        <w:trPr>
          <w:trHeight w:val="182"/>
        </w:trPr>
        <w:tc>
          <w:tcPr>
            <w:tcW w:w="1668" w:type="dxa"/>
            <w:vMerge w:val="restart"/>
          </w:tcPr>
          <w:p w14:paraId="6039CD0D" w14:textId="77777777" w:rsidR="00D77DFD" w:rsidRPr="00E914FB" w:rsidRDefault="00D77DFD" w:rsidP="00D77DFD">
            <w:pPr>
              <w:tabs>
                <w:tab w:val="left" w:pos="567"/>
              </w:tabs>
              <w:rPr>
                <w:rFonts w:cstheme="minorHAnsi"/>
                <w:sz w:val="20"/>
                <w:szCs w:val="20"/>
              </w:rPr>
            </w:pPr>
            <w:r w:rsidRPr="00E914FB">
              <w:rPr>
                <w:rFonts w:cstheme="minorHAnsi"/>
                <w:sz w:val="20"/>
                <w:szCs w:val="20"/>
              </w:rPr>
              <w:t>Darunavir</w:t>
            </w:r>
          </w:p>
          <w:p w14:paraId="247C427E" w14:textId="77777777" w:rsidR="00D77DFD" w:rsidRPr="00E914FB" w:rsidRDefault="00D77DFD" w:rsidP="00D77DFD">
            <w:pPr>
              <w:tabs>
                <w:tab w:val="left" w:pos="567"/>
              </w:tabs>
              <w:rPr>
                <w:rFonts w:cstheme="minorHAnsi"/>
                <w:sz w:val="20"/>
                <w:szCs w:val="20"/>
              </w:rPr>
            </w:pPr>
            <w:r w:rsidRPr="00E914FB">
              <w:rPr>
                <w:rFonts w:cstheme="minorHAnsi"/>
                <w:sz w:val="20"/>
                <w:szCs w:val="20"/>
              </w:rPr>
              <w:t>800 mg once daily (given at the same time)</w:t>
            </w:r>
          </w:p>
          <w:p w14:paraId="4E0F9C49" w14:textId="77777777" w:rsidR="00D77DFD" w:rsidRPr="00E914FB" w:rsidRDefault="00D77DFD" w:rsidP="00D77DFD">
            <w:pPr>
              <w:rPr>
                <w:rFonts w:cstheme="minorHAnsi"/>
                <w:sz w:val="20"/>
                <w:szCs w:val="20"/>
              </w:rPr>
            </w:pPr>
          </w:p>
        </w:tc>
        <w:tc>
          <w:tcPr>
            <w:tcW w:w="992" w:type="dxa"/>
          </w:tcPr>
          <w:p w14:paraId="47EB856B" w14:textId="77777777" w:rsidR="00D77DFD" w:rsidRPr="00E914FB" w:rsidRDefault="00D77DFD" w:rsidP="00D77DFD">
            <w:pPr>
              <w:rPr>
                <w:rFonts w:cstheme="minorHAnsi"/>
                <w:sz w:val="16"/>
                <w:szCs w:val="16"/>
              </w:rPr>
            </w:pPr>
          </w:p>
        </w:tc>
        <w:tc>
          <w:tcPr>
            <w:tcW w:w="1040" w:type="dxa"/>
          </w:tcPr>
          <w:p w14:paraId="316A3F1A"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54038B2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26FD642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61F80CF9" w14:textId="1D7F6DE1" w:rsidR="00D77DFD" w:rsidRPr="00E914FB" w:rsidRDefault="00D77DFD" w:rsidP="00D77DFD">
            <w:pPr>
              <w:tabs>
                <w:tab w:val="left" w:pos="567"/>
              </w:tabs>
              <w:rPr>
                <w:rFonts w:cstheme="minorHAnsi"/>
                <w:sz w:val="20"/>
                <w:szCs w:val="20"/>
              </w:rPr>
            </w:pPr>
            <w:r w:rsidRPr="00E914FB">
              <w:rPr>
                <w:rFonts w:cstheme="minorHAnsi"/>
                <w:sz w:val="20"/>
                <w:szCs w:val="20"/>
              </w:rPr>
              <w:t xml:space="preserve">The recommended dose of darunavir is 800 mg once daily, without ritonavir, when administered at the same time as VIEKIRA PAK (ritonavir dose in Viekira Pak will provide darunavir pharmacokinetic enhancement). This regimen can be used in the absence of extensive PI resistance (i.e. lack of darunavir associated RAMs). </w:t>
            </w:r>
          </w:p>
          <w:p w14:paraId="0416A060" w14:textId="124C60E6" w:rsidR="00D77DFD" w:rsidRPr="00E914FB" w:rsidRDefault="00D77DFD" w:rsidP="00D77DFD">
            <w:pPr>
              <w:tabs>
                <w:tab w:val="left" w:pos="567"/>
              </w:tabs>
              <w:rPr>
                <w:rFonts w:cstheme="minorHAnsi"/>
                <w:sz w:val="20"/>
                <w:szCs w:val="20"/>
              </w:rPr>
            </w:pPr>
            <w:r w:rsidRPr="00E914FB">
              <w:rPr>
                <w:rFonts w:cstheme="minorHAnsi"/>
                <w:sz w:val="20"/>
                <w:szCs w:val="20"/>
              </w:rPr>
              <w:t>Darunavir combined with VIEKIRA PAK</w:t>
            </w:r>
            <w:r w:rsidRPr="00E914FB" w:rsidDel="00A66121">
              <w:rPr>
                <w:rFonts w:cstheme="minorHAnsi"/>
                <w:sz w:val="20"/>
                <w:szCs w:val="20"/>
              </w:rPr>
              <w:t xml:space="preserve"> </w:t>
            </w:r>
            <w:r w:rsidRPr="00E914FB">
              <w:rPr>
                <w:rFonts w:cstheme="minorHAnsi"/>
                <w:sz w:val="20"/>
                <w:szCs w:val="20"/>
              </w:rPr>
              <w:t>is not recommended in patients with extensive PI resistance.</w:t>
            </w:r>
          </w:p>
          <w:p w14:paraId="73133646" w14:textId="77777777" w:rsidR="00D77DFD" w:rsidRPr="00E914FB" w:rsidRDefault="00D77DFD" w:rsidP="00D77DFD">
            <w:pPr>
              <w:rPr>
                <w:rFonts w:cstheme="minorHAnsi"/>
                <w:sz w:val="20"/>
                <w:szCs w:val="20"/>
              </w:rPr>
            </w:pPr>
          </w:p>
        </w:tc>
      </w:tr>
      <w:tr w:rsidR="00D77DFD" w:rsidRPr="00E914FB" w14:paraId="4876F784" w14:textId="77777777" w:rsidTr="00337D74">
        <w:trPr>
          <w:trHeight w:val="182"/>
        </w:trPr>
        <w:tc>
          <w:tcPr>
            <w:tcW w:w="1668" w:type="dxa"/>
            <w:vMerge/>
          </w:tcPr>
          <w:p w14:paraId="3FEA41B9" w14:textId="77777777" w:rsidR="00D77DFD" w:rsidRPr="00E914FB" w:rsidRDefault="00D77DFD" w:rsidP="00D77DFD">
            <w:pPr>
              <w:tabs>
                <w:tab w:val="left" w:pos="567"/>
              </w:tabs>
              <w:rPr>
                <w:rFonts w:cstheme="minorHAnsi"/>
                <w:sz w:val="20"/>
                <w:szCs w:val="20"/>
              </w:rPr>
            </w:pPr>
          </w:p>
        </w:tc>
        <w:tc>
          <w:tcPr>
            <w:tcW w:w="992" w:type="dxa"/>
          </w:tcPr>
          <w:p w14:paraId="18E82B0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darunavir</w:t>
            </w:r>
          </w:p>
        </w:tc>
        <w:tc>
          <w:tcPr>
            <w:tcW w:w="1040" w:type="dxa"/>
          </w:tcPr>
          <w:p w14:paraId="1DC776B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w:t>
            </w:r>
          </w:p>
          <w:p w14:paraId="08216BA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(0.87-0.98)</w:t>
            </w:r>
          </w:p>
        </w:tc>
        <w:tc>
          <w:tcPr>
            <w:tcW w:w="1040" w:type="dxa"/>
          </w:tcPr>
          <w:p w14:paraId="052A8E4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0.76</w:t>
            </w:r>
          </w:p>
          <w:p w14:paraId="4C9FFEC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(0.71-0.82)</w:t>
            </w:r>
          </w:p>
        </w:tc>
        <w:tc>
          <w:tcPr>
            <w:tcW w:w="1041" w:type="dxa"/>
          </w:tcPr>
          <w:p w14:paraId="30FDBD6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0.52</w:t>
            </w:r>
          </w:p>
          <w:p w14:paraId="11572F1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(0.47-0.58)</w:t>
            </w:r>
          </w:p>
        </w:tc>
        <w:tc>
          <w:tcPr>
            <w:tcW w:w="3464" w:type="dxa"/>
            <w:vMerge/>
          </w:tcPr>
          <w:p w14:paraId="58B5908B" w14:textId="77777777" w:rsidR="00D77DFD" w:rsidRPr="00E914FB" w:rsidRDefault="00D77DFD" w:rsidP="00D77DFD">
            <w:pPr>
              <w:rPr>
                <w:rFonts w:cstheme="minorHAnsi"/>
                <w:sz w:val="20"/>
                <w:szCs w:val="20"/>
              </w:rPr>
            </w:pPr>
          </w:p>
        </w:tc>
      </w:tr>
      <w:tr w:rsidR="00D77DFD" w:rsidRPr="00E914FB" w14:paraId="76B1EFE8" w14:textId="77777777" w:rsidTr="00337D74">
        <w:trPr>
          <w:trHeight w:val="182"/>
        </w:trPr>
        <w:tc>
          <w:tcPr>
            <w:tcW w:w="1668" w:type="dxa"/>
            <w:vMerge/>
          </w:tcPr>
          <w:p w14:paraId="170266AF" w14:textId="77777777" w:rsidR="00D77DFD" w:rsidRPr="00E914FB" w:rsidRDefault="00D77DFD" w:rsidP="00D77DFD">
            <w:pPr>
              <w:tabs>
                <w:tab w:val="left" w:pos="567"/>
              </w:tabs>
              <w:rPr>
                <w:rFonts w:cstheme="minorHAnsi"/>
                <w:sz w:val="20"/>
                <w:szCs w:val="20"/>
              </w:rPr>
            </w:pPr>
          </w:p>
        </w:tc>
        <w:tc>
          <w:tcPr>
            <w:tcW w:w="992" w:type="dxa"/>
          </w:tcPr>
          <w:p w14:paraId="522A185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33F4E0D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ombitasvir</w:t>
            </w:r>
          </w:p>
        </w:tc>
        <w:tc>
          <w:tcPr>
            <w:tcW w:w="1040" w:type="dxa"/>
          </w:tcPr>
          <w:p w14:paraId="5461FE5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0.86</w:t>
            </w:r>
          </w:p>
          <w:p w14:paraId="4E66CA2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(0.77-0.95)</w:t>
            </w:r>
          </w:p>
        </w:tc>
        <w:tc>
          <w:tcPr>
            <w:tcW w:w="1040" w:type="dxa"/>
          </w:tcPr>
          <w:p w14:paraId="5865709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0.86</w:t>
            </w:r>
          </w:p>
          <w:p w14:paraId="469D1C7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(0.79-0.94)</w:t>
            </w:r>
          </w:p>
        </w:tc>
        <w:tc>
          <w:tcPr>
            <w:tcW w:w="1041" w:type="dxa"/>
          </w:tcPr>
          <w:p w14:paraId="145998E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4C4BE56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(0.82-0.92)</w:t>
            </w:r>
          </w:p>
        </w:tc>
        <w:tc>
          <w:tcPr>
            <w:tcW w:w="3464" w:type="dxa"/>
            <w:vMerge/>
          </w:tcPr>
          <w:p w14:paraId="16AC9A8E" w14:textId="77777777" w:rsidR="00D77DFD" w:rsidRPr="00E914FB" w:rsidRDefault="00D77DFD" w:rsidP="00D77DFD">
            <w:pPr>
              <w:rPr>
                <w:rFonts w:cstheme="minorHAnsi"/>
                <w:sz w:val="20"/>
                <w:szCs w:val="20"/>
              </w:rPr>
            </w:pPr>
          </w:p>
        </w:tc>
      </w:tr>
      <w:tr w:rsidR="00D77DFD" w:rsidRPr="00E914FB" w14:paraId="796DD526" w14:textId="77777777" w:rsidTr="00337D74">
        <w:trPr>
          <w:trHeight w:val="182"/>
        </w:trPr>
        <w:tc>
          <w:tcPr>
            <w:tcW w:w="1668" w:type="dxa"/>
            <w:vMerge/>
          </w:tcPr>
          <w:p w14:paraId="234D8B92" w14:textId="77777777" w:rsidR="00D77DFD" w:rsidRPr="00E914FB" w:rsidRDefault="00D77DFD" w:rsidP="00D77DFD">
            <w:pPr>
              <w:tabs>
                <w:tab w:val="left" w:pos="567"/>
              </w:tabs>
              <w:rPr>
                <w:rFonts w:cstheme="minorHAnsi"/>
                <w:sz w:val="20"/>
                <w:szCs w:val="20"/>
              </w:rPr>
            </w:pPr>
          </w:p>
        </w:tc>
        <w:tc>
          <w:tcPr>
            <w:tcW w:w="992" w:type="dxa"/>
          </w:tcPr>
          <w:p w14:paraId="70F0364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4A5F449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paritaprevir</w:t>
            </w:r>
          </w:p>
        </w:tc>
        <w:tc>
          <w:tcPr>
            <w:tcW w:w="1040" w:type="dxa"/>
          </w:tcPr>
          <w:p w14:paraId="43D840C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1.54</w:t>
            </w:r>
          </w:p>
          <w:p w14:paraId="5A3A1B4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(1.14-2.09)</w:t>
            </w:r>
          </w:p>
        </w:tc>
        <w:tc>
          <w:tcPr>
            <w:tcW w:w="1040" w:type="dxa"/>
          </w:tcPr>
          <w:p w14:paraId="0234B4A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1.29</w:t>
            </w:r>
          </w:p>
          <w:p w14:paraId="3B043AC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(1.04-1.61)</w:t>
            </w:r>
          </w:p>
        </w:tc>
        <w:tc>
          <w:tcPr>
            <w:tcW w:w="1041" w:type="dxa"/>
          </w:tcPr>
          <w:p w14:paraId="2C5077C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1.30</w:t>
            </w:r>
          </w:p>
          <w:p w14:paraId="2611068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(1.09-1.54)</w:t>
            </w:r>
          </w:p>
        </w:tc>
        <w:tc>
          <w:tcPr>
            <w:tcW w:w="3464" w:type="dxa"/>
            <w:vMerge/>
          </w:tcPr>
          <w:p w14:paraId="763564ED" w14:textId="77777777" w:rsidR="00D77DFD" w:rsidRPr="00E914FB" w:rsidRDefault="00D77DFD" w:rsidP="00D77DFD">
            <w:pPr>
              <w:rPr>
                <w:rFonts w:cstheme="minorHAnsi"/>
                <w:sz w:val="20"/>
                <w:szCs w:val="20"/>
              </w:rPr>
            </w:pPr>
          </w:p>
        </w:tc>
      </w:tr>
      <w:tr w:rsidR="00D77DFD" w:rsidRPr="00E914FB" w14:paraId="3586316F" w14:textId="77777777" w:rsidTr="00337D74">
        <w:trPr>
          <w:trHeight w:val="182"/>
        </w:trPr>
        <w:tc>
          <w:tcPr>
            <w:tcW w:w="1668" w:type="dxa"/>
            <w:vMerge/>
          </w:tcPr>
          <w:p w14:paraId="05971928" w14:textId="77777777" w:rsidR="00D77DFD" w:rsidRPr="00E914FB" w:rsidRDefault="00D77DFD" w:rsidP="00D77DFD">
            <w:pPr>
              <w:tabs>
                <w:tab w:val="left" w:pos="567"/>
              </w:tabs>
              <w:rPr>
                <w:rFonts w:cstheme="minorHAnsi"/>
                <w:sz w:val="20"/>
                <w:szCs w:val="20"/>
              </w:rPr>
            </w:pPr>
          </w:p>
        </w:tc>
        <w:tc>
          <w:tcPr>
            <w:tcW w:w="992" w:type="dxa"/>
          </w:tcPr>
          <w:p w14:paraId="10ACBAD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4D89BE5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1.10</w:t>
            </w:r>
          </w:p>
          <w:p w14:paraId="3858452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(0.88-1.37)</w:t>
            </w:r>
          </w:p>
        </w:tc>
        <w:tc>
          <w:tcPr>
            <w:tcW w:w="1040" w:type="dxa"/>
          </w:tcPr>
          <w:p w14:paraId="2D61EDC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0.94</w:t>
            </w:r>
          </w:p>
          <w:p w14:paraId="20EC4B8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(0.78-1.14)</w:t>
            </w:r>
          </w:p>
        </w:tc>
        <w:tc>
          <w:tcPr>
            <w:tcW w:w="1041" w:type="dxa"/>
          </w:tcPr>
          <w:p w14:paraId="241B530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0.90</w:t>
            </w:r>
          </w:p>
          <w:p w14:paraId="474C7E6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(0.76-1.06)</w:t>
            </w:r>
          </w:p>
        </w:tc>
        <w:tc>
          <w:tcPr>
            <w:tcW w:w="3464" w:type="dxa"/>
            <w:vMerge/>
          </w:tcPr>
          <w:p w14:paraId="5C9AB107" w14:textId="77777777" w:rsidR="00D77DFD" w:rsidRPr="00E914FB" w:rsidRDefault="00D77DFD" w:rsidP="00D77DFD">
            <w:pPr>
              <w:rPr>
                <w:rFonts w:cstheme="minorHAnsi"/>
                <w:sz w:val="20"/>
                <w:szCs w:val="20"/>
              </w:rPr>
            </w:pPr>
          </w:p>
        </w:tc>
      </w:tr>
      <w:tr w:rsidR="00D77DFD" w:rsidRPr="00E914FB" w14:paraId="2F05DA4E" w14:textId="77777777" w:rsidTr="00337D74">
        <w:trPr>
          <w:trHeight w:val="139"/>
        </w:trPr>
        <w:tc>
          <w:tcPr>
            <w:tcW w:w="1668" w:type="dxa"/>
            <w:vMerge w:val="restart"/>
          </w:tcPr>
          <w:p w14:paraId="78234BA2" w14:textId="77777777" w:rsidR="00D77DFD" w:rsidRPr="00E914FB" w:rsidRDefault="00D77DFD" w:rsidP="00D77DFD">
            <w:pPr>
              <w:tabs>
                <w:tab w:val="left" w:pos="567"/>
              </w:tabs>
              <w:rPr>
                <w:rFonts w:cstheme="minorHAnsi"/>
                <w:sz w:val="20"/>
                <w:szCs w:val="20"/>
              </w:rPr>
            </w:pPr>
            <w:r w:rsidRPr="00E914FB">
              <w:rPr>
                <w:rFonts w:cstheme="minorHAnsi"/>
                <w:sz w:val="20"/>
                <w:szCs w:val="20"/>
              </w:rPr>
              <w:t>Darunavir/ ritonavir</w:t>
            </w:r>
          </w:p>
          <w:p w14:paraId="7D197DA9" w14:textId="77777777" w:rsidR="00D77DFD" w:rsidRPr="00E914FB" w:rsidRDefault="00D77DFD" w:rsidP="00D77DFD">
            <w:pPr>
              <w:tabs>
                <w:tab w:val="left" w:pos="567"/>
              </w:tabs>
              <w:rPr>
                <w:rFonts w:cstheme="minorHAnsi"/>
                <w:sz w:val="20"/>
                <w:szCs w:val="20"/>
              </w:rPr>
            </w:pPr>
            <w:r w:rsidRPr="00E914FB">
              <w:rPr>
                <w:rFonts w:cstheme="minorHAnsi"/>
                <w:sz w:val="20"/>
                <w:szCs w:val="20"/>
              </w:rPr>
              <w:t>600/100 mg twice daily</w:t>
            </w:r>
          </w:p>
          <w:p w14:paraId="55F6A751" w14:textId="77777777" w:rsidR="00D77DFD" w:rsidRPr="00E914FB" w:rsidRDefault="00D77DFD" w:rsidP="00D77DFD">
            <w:pPr>
              <w:rPr>
                <w:rFonts w:cstheme="minorHAnsi"/>
                <w:sz w:val="20"/>
                <w:szCs w:val="20"/>
              </w:rPr>
            </w:pPr>
          </w:p>
        </w:tc>
        <w:tc>
          <w:tcPr>
            <w:tcW w:w="992" w:type="dxa"/>
          </w:tcPr>
          <w:p w14:paraId="727DB00E" w14:textId="77777777" w:rsidR="00D77DFD" w:rsidRPr="00E914FB" w:rsidRDefault="00D77DFD" w:rsidP="00D77DFD">
            <w:pPr>
              <w:rPr>
                <w:rFonts w:cstheme="minorHAnsi"/>
                <w:sz w:val="16"/>
                <w:szCs w:val="16"/>
              </w:rPr>
            </w:pPr>
          </w:p>
        </w:tc>
        <w:tc>
          <w:tcPr>
            <w:tcW w:w="1040" w:type="dxa"/>
          </w:tcPr>
          <w:p w14:paraId="5AD7FCEC"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2B0EE2E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75233A0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tcPr>
          <w:p w14:paraId="63758896" w14:textId="77777777" w:rsidR="00D77DFD" w:rsidRPr="00E914FB" w:rsidRDefault="00D77DFD" w:rsidP="00D77DFD">
            <w:pPr>
              <w:rPr>
                <w:rFonts w:cstheme="minorHAnsi"/>
                <w:sz w:val="20"/>
                <w:szCs w:val="20"/>
              </w:rPr>
            </w:pPr>
          </w:p>
        </w:tc>
      </w:tr>
      <w:tr w:rsidR="00D77DFD" w:rsidRPr="00E914FB" w14:paraId="6D754B27" w14:textId="77777777" w:rsidTr="00337D74">
        <w:trPr>
          <w:trHeight w:val="135"/>
        </w:trPr>
        <w:tc>
          <w:tcPr>
            <w:tcW w:w="1668" w:type="dxa"/>
            <w:vMerge/>
          </w:tcPr>
          <w:p w14:paraId="0E94A6D3" w14:textId="77777777" w:rsidR="00D77DFD" w:rsidRPr="00E914FB" w:rsidRDefault="00D77DFD" w:rsidP="00D77DFD">
            <w:pPr>
              <w:tabs>
                <w:tab w:val="left" w:pos="567"/>
              </w:tabs>
              <w:rPr>
                <w:rFonts w:cstheme="minorHAnsi"/>
                <w:sz w:val="20"/>
                <w:szCs w:val="20"/>
              </w:rPr>
            </w:pPr>
          </w:p>
        </w:tc>
        <w:tc>
          <w:tcPr>
            <w:tcW w:w="992" w:type="dxa"/>
          </w:tcPr>
          <w:p w14:paraId="77D0A0E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darunavir</w:t>
            </w:r>
          </w:p>
        </w:tc>
        <w:tc>
          <w:tcPr>
            <w:tcW w:w="1040" w:type="dxa"/>
          </w:tcPr>
          <w:p w14:paraId="19B8A25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5B39C6B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(0.79-0.96)</w:t>
            </w:r>
          </w:p>
        </w:tc>
        <w:tc>
          <w:tcPr>
            <w:tcW w:w="1040" w:type="dxa"/>
          </w:tcPr>
          <w:p w14:paraId="5288464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0.80</w:t>
            </w:r>
          </w:p>
          <w:p w14:paraId="50FCBA5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(0.74-0.86)</w:t>
            </w:r>
          </w:p>
        </w:tc>
        <w:tc>
          <w:tcPr>
            <w:tcW w:w="1041" w:type="dxa"/>
          </w:tcPr>
          <w:p w14:paraId="0A850CA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0.57</w:t>
            </w:r>
          </w:p>
          <w:p w14:paraId="2D41FD0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(0.48-0.67)</w:t>
            </w:r>
          </w:p>
        </w:tc>
        <w:tc>
          <w:tcPr>
            <w:tcW w:w="3464" w:type="dxa"/>
            <w:vMerge/>
          </w:tcPr>
          <w:p w14:paraId="57944058" w14:textId="77777777" w:rsidR="00D77DFD" w:rsidRPr="00E914FB" w:rsidRDefault="00D77DFD" w:rsidP="00D77DFD">
            <w:pPr>
              <w:rPr>
                <w:rFonts w:cstheme="minorHAnsi"/>
                <w:sz w:val="20"/>
                <w:szCs w:val="20"/>
              </w:rPr>
            </w:pPr>
          </w:p>
        </w:tc>
      </w:tr>
      <w:tr w:rsidR="00D77DFD" w:rsidRPr="00E914FB" w14:paraId="24524FDA" w14:textId="77777777" w:rsidTr="00337D74">
        <w:trPr>
          <w:trHeight w:val="135"/>
        </w:trPr>
        <w:tc>
          <w:tcPr>
            <w:tcW w:w="1668" w:type="dxa"/>
            <w:vMerge/>
          </w:tcPr>
          <w:p w14:paraId="47D1198B" w14:textId="77777777" w:rsidR="00D77DFD" w:rsidRPr="00E914FB" w:rsidRDefault="00D77DFD" w:rsidP="00D77DFD">
            <w:pPr>
              <w:tabs>
                <w:tab w:val="left" w:pos="567"/>
              </w:tabs>
              <w:rPr>
                <w:rFonts w:cstheme="minorHAnsi"/>
                <w:sz w:val="20"/>
                <w:szCs w:val="20"/>
              </w:rPr>
            </w:pPr>
          </w:p>
        </w:tc>
        <w:tc>
          <w:tcPr>
            <w:tcW w:w="992" w:type="dxa"/>
          </w:tcPr>
          <w:p w14:paraId="3BCDC56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601C084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0.76</w:t>
            </w:r>
          </w:p>
          <w:p w14:paraId="2E76FE5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(0.65-0.88)</w:t>
            </w:r>
          </w:p>
        </w:tc>
        <w:tc>
          <w:tcPr>
            <w:tcW w:w="1040" w:type="dxa"/>
          </w:tcPr>
          <w:p w14:paraId="260801F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0.73</w:t>
            </w:r>
          </w:p>
          <w:p w14:paraId="1C3FF03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(0.66-0.80)</w:t>
            </w:r>
          </w:p>
        </w:tc>
        <w:tc>
          <w:tcPr>
            <w:tcW w:w="1041" w:type="dxa"/>
          </w:tcPr>
          <w:p w14:paraId="5BF0450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0.73</w:t>
            </w:r>
          </w:p>
          <w:p w14:paraId="2B93FFF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(0.64-0.83)</w:t>
            </w:r>
          </w:p>
        </w:tc>
        <w:tc>
          <w:tcPr>
            <w:tcW w:w="3464" w:type="dxa"/>
            <w:vMerge/>
          </w:tcPr>
          <w:p w14:paraId="67CFA74E" w14:textId="77777777" w:rsidR="00D77DFD" w:rsidRPr="00E914FB" w:rsidRDefault="00D77DFD" w:rsidP="00D77DFD">
            <w:pPr>
              <w:rPr>
                <w:rFonts w:cstheme="minorHAnsi"/>
                <w:sz w:val="20"/>
                <w:szCs w:val="20"/>
              </w:rPr>
            </w:pPr>
          </w:p>
        </w:tc>
      </w:tr>
      <w:tr w:rsidR="00D77DFD" w:rsidRPr="00E914FB" w14:paraId="0BF4977C" w14:textId="77777777" w:rsidTr="00337D74">
        <w:trPr>
          <w:trHeight w:val="135"/>
        </w:trPr>
        <w:tc>
          <w:tcPr>
            <w:tcW w:w="1668" w:type="dxa"/>
            <w:vMerge/>
          </w:tcPr>
          <w:p w14:paraId="04CE22FC" w14:textId="77777777" w:rsidR="00D77DFD" w:rsidRPr="00E914FB" w:rsidRDefault="00D77DFD" w:rsidP="00D77DFD">
            <w:pPr>
              <w:tabs>
                <w:tab w:val="left" w:pos="567"/>
              </w:tabs>
              <w:rPr>
                <w:rFonts w:cstheme="minorHAnsi"/>
                <w:sz w:val="20"/>
                <w:szCs w:val="20"/>
              </w:rPr>
            </w:pPr>
          </w:p>
        </w:tc>
        <w:tc>
          <w:tcPr>
            <w:tcW w:w="992" w:type="dxa"/>
          </w:tcPr>
          <w:p w14:paraId="7320C74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4B89F5A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0.70</w:t>
            </w:r>
          </w:p>
          <w:p w14:paraId="06A252C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(0.43-1.12)</w:t>
            </w:r>
          </w:p>
        </w:tc>
        <w:tc>
          <w:tcPr>
            <w:tcW w:w="1040" w:type="dxa"/>
          </w:tcPr>
          <w:p w14:paraId="1C4F465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0.59</w:t>
            </w:r>
          </w:p>
          <w:p w14:paraId="284B00A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(0.44-0.79)</w:t>
            </w:r>
          </w:p>
        </w:tc>
        <w:tc>
          <w:tcPr>
            <w:tcW w:w="1041" w:type="dxa"/>
          </w:tcPr>
          <w:p w14:paraId="6063E5B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w:t>
            </w:r>
          </w:p>
          <w:p w14:paraId="7370BDC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(0.69-1.01)</w:t>
            </w:r>
          </w:p>
        </w:tc>
        <w:tc>
          <w:tcPr>
            <w:tcW w:w="3464" w:type="dxa"/>
            <w:vMerge/>
          </w:tcPr>
          <w:p w14:paraId="472C5CE5" w14:textId="77777777" w:rsidR="00D77DFD" w:rsidRPr="00E914FB" w:rsidRDefault="00D77DFD" w:rsidP="00D77DFD">
            <w:pPr>
              <w:rPr>
                <w:rFonts w:cstheme="minorHAnsi"/>
                <w:sz w:val="20"/>
                <w:szCs w:val="20"/>
              </w:rPr>
            </w:pPr>
          </w:p>
        </w:tc>
      </w:tr>
      <w:tr w:rsidR="00D77DFD" w:rsidRPr="00E914FB" w14:paraId="42923B5C" w14:textId="77777777" w:rsidTr="00337D74">
        <w:trPr>
          <w:trHeight w:val="135"/>
        </w:trPr>
        <w:tc>
          <w:tcPr>
            <w:tcW w:w="1668" w:type="dxa"/>
            <w:vMerge/>
          </w:tcPr>
          <w:p w14:paraId="41641ECD" w14:textId="77777777" w:rsidR="00D77DFD" w:rsidRPr="00E914FB" w:rsidRDefault="00D77DFD" w:rsidP="00D77DFD">
            <w:pPr>
              <w:tabs>
                <w:tab w:val="left" w:pos="567"/>
              </w:tabs>
              <w:rPr>
                <w:rFonts w:cstheme="minorHAnsi"/>
                <w:sz w:val="20"/>
                <w:szCs w:val="20"/>
              </w:rPr>
            </w:pPr>
          </w:p>
        </w:tc>
        <w:tc>
          <w:tcPr>
            <w:tcW w:w="992" w:type="dxa"/>
          </w:tcPr>
          <w:p w14:paraId="38FE858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17544FF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0.84</w:t>
            </w:r>
          </w:p>
          <w:p w14:paraId="188CE07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(0.67-1.05)</w:t>
            </w:r>
          </w:p>
        </w:tc>
        <w:tc>
          <w:tcPr>
            <w:tcW w:w="1040" w:type="dxa"/>
          </w:tcPr>
          <w:p w14:paraId="6F8B38D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0.73</w:t>
            </w:r>
          </w:p>
          <w:p w14:paraId="4B10C8F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(0.62-0.86)</w:t>
            </w:r>
          </w:p>
        </w:tc>
        <w:tc>
          <w:tcPr>
            <w:tcW w:w="1041" w:type="dxa"/>
          </w:tcPr>
          <w:p w14:paraId="5DFA16A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0.54</w:t>
            </w:r>
          </w:p>
          <w:p w14:paraId="5E44C31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(0.49-0.61)</w:t>
            </w:r>
          </w:p>
        </w:tc>
        <w:tc>
          <w:tcPr>
            <w:tcW w:w="3464" w:type="dxa"/>
            <w:vMerge/>
          </w:tcPr>
          <w:p w14:paraId="0EFE0854" w14:textId="77777777" w:rsidR="00D77DFD" w:rsidRPr="00E914FB" w:rsidRDefault="00D77DFD" w:rsidP="00D77DFD">
            <w:pPr>
              <w:rPr>
                <w:rFonts w:cstheme="minorHAnsi"/>
                <w:sz w:val="20"/>
                <w:szCs w:val="20"/>
              </w:rPr>
            </w:pPr>
          </w:p>
        </w:tc>
      </w:tr>
      <w:tr w:rsidR="00D77DFD" w:rsidRPr="00E914FB" w14:paraId="4336C5AD" w14:textId="77777777" w:rsidTr="00337D74">
        <w:trPr>
          <w:trHeight w:val="228"/>
        </w:trPr>
        <w:tc>
          <w:tcPr>
            <w:tcW w:w="1668" w:type="dxa"/>
            <w:vMerge w:val="restart"/>
          </w:tcPr>
          <w:p w14:paraId="7EFBFEC7" w14:textId="77777777" w:rsidR="00D77DFD" w:rsidRPr="00E914FB" w:rsidRDefault="00D77DFD" w:rsidP="00D77DFD">
            <w:pPr>
              <w:tabs>
                <w:tab w:val="left" w:pos="567"/>
              </w:tabs>
              <w:rPr>
                <w:rFonts w:cstheme="minorHAnsi"/>
                <w:sz w:val="20"/>
                <w:szCs w:val="20"/>
              </w:rPr>
            </w:pPr>
            <w:r w:rsidRPr="00E914FB">
              <w:rPr>
                <w:rFonts w:cstheme="minorHAnsi"/>
                <w:sz w:val="20"/>
                <w:szCs w:val="20"/>
              </w:rPr>
              <w:t>Darunavir/ ritonavir</w:t>
            </w:r>
          </w:p>
          <w:p w14:paraId="246A07A3" w14:textId="77777777" w:rsidR="00D77DFD" w:rsidRPr="00E914FB" w:rsidRDefault="00D77DFD" w:rsidP="00D77DFD">
            <w:pPr>
              <w:tabs>
                <w:tab w:val="left" w:pos="567"/>
              </w:tabs>
              <w:rPr>
                <w:rFonts w:cstheme="minorHAnsi"/>
                <w:sz w:val="20"/>
                <w:szCs w:val="20"/>
              </w:rPr>
            </w:pPr>
            <w:r w:rsidRPr="00E914FB">
              <w:rPr>
                <w:rFonts w:cstheme="minorHAnsi"/>
                <w:sz w:val="20"/>
                <w:szCs w:val="20"/>
              </w:rPr>
              <w:t>800/100 mg once daily</w:t>
            </w:r>
          </w:p>
          <w:p w14:paraId="12B3CEE9" w14:textId="77777777" w:rsidR="00D77DFD" w:rsidRPr="00E914FB" w:rsidRDefault="00D77DFD" w:rsidP="00D77DFD">
            <w:pPr>
              <w:tabs>
                <w:tab w:val="left" w:pos="567"/>
              </w:tabs>
              <w:rPr>
                <w:rFonts w:cstheme="minorHAnsi"/>
                <w:sz w:val="20"/>
                <w:szCs w:val="20"/>
              </w:rPr>
            </w:pPr>
            <w:r w:rsidRPr="00E914FB">
              <w:rPr>
                <w:rFonts w:cstheme="minorHAnsi"/>
                <w:sz w:val="20"/>
                <w:szCs w:val="20"/>
              </w:rPr>
              <w:t>(administered 12 hours apart)</w:t>
            </w:r>
          </w:p>
          <w:p w14:paraId="17157A31" w14:textId="77777777" w:rsidR="00D77DFD" w:rsidRPr="00E914FB" w:rsidRDefault="00D77DFD" w:rsidP="00D77DFD">
            <w:pPr>
              <w:rPr>
                <w:rFonts w:cstheme="minorHAnsi"/>
                <w:sz w:val="20"/>
                <w:szCs w:val="20"/>
              </w:rPr>
            </w:pPr>
          </w:p>
        </w:tc>
        <w:tc>
          <w:tcPr>
            <w:tcW w:w="992" w:type="dxa"/>
          </w:tcPr>
          <w:p w14:paraId="2DFD7076" w14:textId="77777777" w:rsidR="00D77DFD" w:rsidRPr="00E914FB" w:rsidRDefault="00D77DFD" w:rsidP="00D77DFD">
            <w:pPr>
              <w:rPr>
                <w:rFonts w:cstheme="minorHAnsi"/>
                <w:sz w:val="16"/>
                <w:szCs w:val="16"/>
              </w:rPr>
            </w:pPr>
          </w:p>
        </w:tc>
        <w:tc>
          <w:tcPr>
            <w:tcW w:w="1040" w:type="dxa"/>
          </w:tcPr>
          <w:p w14:paraId="6ED01D5B"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410318A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2ED4B9F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tcPr>
          <w:p w14:paraId="31EF44FF" w14:textId="77777777" w:rsidR="00D77DFD" w:rsidRPr="00E914FB" w:rsidRDefault="00D77DFD" w:rsidP="00D77DFD">
            <w:pPr>
              <w:rPr>
                <w:rFonts w:cstheme="minorHAnsi"/>
                <w:sz w:val="20"/>
                <w:szCs w:val="20"/>
              </w:rPr>
            </w:pPr>
          </w:p>
        </w:tc>
      </w:tr>
      <w:tr w:rsidR="00D77DFD" w:rsidRPr="00E914FB" w14:paraId="3C3F3EF9" w14:textId="77777777" w:rsidTr="00337D74">
        <w:trPr>
          <w:trHeight w:val="225"/>
        </w:trPr>
        <w:tc>
          <w:tcPr>
            <w:tcW w:w="1668" w:type="dxa"/>
            <w:vMerge/>
          </w:tcPr>
          <w:p w14:paraId="274A4BED" w14:textId="77777777" w:rsidR="00D77DFD" w:rsidRPr="00E914FB" w:rsidRDefault="00D77DFD" w:rsidP="00D77DFD">
            <w:pPr>
              <w:tabs>
                <w:tab w:val="left" w:pos="567"/>
              </w:tabs>
              <w:rPr>
                <w:rFonts w:cstheme="minorHAnsi"/>
                <w:sz w:val="20"/>
                <w:szCs w:val="20"/>
              </w:rPr>
            </w:pPr>
          </w:p>
        </w:tc>
        <w:tc>
          <w:tcPr>
            <w:tcW w:w="992" w:type="dxa"/>
          </w:tcPr>
          <w:p w14:paraId="684F80E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darunavir</w:t>
            </w:r>
          </w:p>
        </w:tc>
        <w:tc>
          <w:tcPr>
            <w:tcW w:w="1040" w:type="dxa"/>
          </w:tcPr>
          <w:p w14:paraId="4D11653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0.79</w:t>
            </w:r>
          </w:p>
          <w:p w14:paraId="2F65423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(0.70-0.90)</w:t>
            </w:r>
          </w:p>
        </w:tc>
        <w:tc>
          <w:tcPr>
            <w:tcW w:w="1040" w:type="dxa"/>
          </w:tcPr>
          <w:p w14:paraId="5AA9A07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1.34</w:t>
            </w:r>
          </w:p>
          <w:p w14:paraId="387D5AA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(1.25-1.43)</w:t>
            </w:r>
          </w:p>
        </w:tc>
        <w:tc>
          <w:tcPr>
            <w:tcW w:w="1041" w:type="dxa"/>
          </w:tcPr>
          <w:p w14:paraId="3C0AC02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0.54</w:t>
            </w:r>
          </w:p>
          <w:p w14:paraId="037BA1E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(0.48-0.62)</w:t>
            </w:r>
          </w:p>
        </w:tc>
        <w:tc>
          <w:tcPr>
            <w:tcW w:w="3464" w:type="dxa"/>
            <w:vMerge/>
          </w:tcPr>
          <w:p w14:paraId="38FF7BDA" w14:textId="77777777" w:rsidR="00D77DFD" w:rsidRPr="00E914FB" w:rsidRDefault="00D77DFD" w:rsidP="00D77DFD">
            <w:pPr>
              <w:rPr>
                <w:rFonts w:cstheme="minorHAnsi"/>
                <w:sz w:val="20"/>
                <w:szCs w:val="20"/>
              </w:rPr>
            </w:pPr>
          </w:p>
        </w:tc>
      </w:tr>
      <w:tr w:rsidR="00D77DFD" w:rsidRPr="00E914FB" w14:paraId="33792B58" w14:textId="77777777" w:rsidTr="00337D74">
        <w:trPr>
          <w:trHeight w:val="225"/>
        </w:trPr>
        <w:tc>
          <w:tcPr>
            <w:tcW w:w="1668" w:type="dxa"/>
            <w:vMerge/>
          </w:tcPr>
          <w:p w14:paraId="615FBC0F" w14:textId="77777777" w:rsidR="00D77DFD" w:rsidRPr="00E914FB" w:rsidRDefault="00D77DFD" w:rsidP="00D77DFD">
            <w:pPr>
              <w:tabs>
                <w:tab w:val="left" w:pos="567"/>
              </w:tabs>
              <w:rPr>
                <w:rFonts w:cstheme="minorHAnsi"/>
                <w:sz w:val="20"/>
                <w:szCs w:val="20"/>
              </w:rPr>
            </w:pPr>
          </w:p>
        </w:tc>
        <w:tc>
          <w:tcPr>
            <w:tcW w:w="992" w:type="dxa"/>
          </w:tcPr>
          <w:p w14:paraId="30BE70F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1501056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ombitasvir</w:t>
            </w:r>
          </w:p>
        </w:tc>
        <w:tc>
          <w:tcPr>
            <w:tcW w:w="1040" w:type="dxa"/>
          </w:tcPr>
          <w:p w14:paraId="63383CE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7F85E5A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(0.82-0.93)</w:t>
            </w:r>
          </w:p>
        </w:tc>
        <w:tc>
          <w:tcPr>
            <w:tcW w:w="1040" w:type="dxa"/>
          </w:tcPr>
          <w:p w14:paraId="4EC903A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109ED7F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(0.81-0.93)</w:t>
            </w:r>
          </w:p>
        </w:tc>
        <w:tc>
          <w:tcPr>
            <w:tcW w:w="1041" w:type="dxa"/>
          </w:tcPr>
          <w:p w14:paraId="38D1047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45A41C5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(0.80-0.95)</w:t>
            </w:r>
          </w:p>
        </w:tc>
        <w:tc>
          <w:tcPr>
            <w:tcW w:w="3464" w:type="dxa"/>
            <w:vMerge/>
          </w:tcPr>
          <w:p w14:paraId="43E140A1" w14:textId="77777777" w:rsidR="00D77DFD" w:rsidRPr="00E914FB" w:rsidRDefault="00D77DFD" w:rsidP="00D77DFD">
            <w:pPr>
              <w:rPr>
                <w:rFonts w:cstheme="minorHAnsi"/>
                <w:sz w:val="20"/>
                <w:szCs w:val="20"/>
              </w:rPr>
            </w:pPr>
          </w:p>
        </w:tc>
      </w:tr>
      <w:tr w:rsidR="00D77DFD" w:rsidRPr="00E914FB" w14:paraId="61E2ACF7" w14:textId="77777777" w:rsidTr="00337D74">
        <w:trPr>
          <w:trHeight w:val="225"/>
        </w:trPr>
        <w:tc>
          <w:tcPr>
            <w:tcW w:w="1668" w:type="dxa"/>
            <w:vMerge/>
          </w:tcPr>
          <w:p w14:paraId="4A80940D" w14:textId="77777777" w:rsidR="00D77DFD" w:rsidRPr="00E914FB" w:rsidRDefault="00D77DFD" w:rsidP="00D77DFD">
            <w:pPr>
              <w:tabs>
                <w:tab w:val="left" w:pos="567"/>
              </w:tabs>
              <w:rPr>
                <w:rFonts w:cstheme="minorHAnsi"/>
                <w:sz w:val="20"/>
                <w:szCs w:val="20"/>
              </w:rPr>
            </w:pPr>
          </w:p>
        </w:tc>
        <w:tc>
          <w:tcPr>
            <w:tcW w:w="992" w:type="dxa"/>
          </w:tcPr>
          <w:p w14:paraId="41BCA2B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7CBA56A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0.70</w:t>
            </w:r>
          </w:p>
          <w:p w14:paraId="139C777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(0.50-0.99)</w:t>
            </w:r>
          </w:p>
        </w:tc>
        <w:tc>
          <w:tcPr>
            <w:tcW w:w="1040" w:type="dxa"/>
          </w:tcPr>
          <w:p w14:paraId="74A05F8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w:t>
            </w:r>
          </w:p>
          <w:p w14:paraId="477EBB6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(0.60-1.09)</w:t>
            </w:r>
          </w:p>
        </w:tc>
        <w:tc>
          <w:tcPr>
            <w:tcW w:w="1041" w:type="dxa"/>
          </w:tcPr>
          <w:p w14:paraId="63E9339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1.59</w:t>
            </w:r>
          </w:p>
          <w:p w14:paraId="046C1BE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(1.23-2.05)</w:t>
            </w:r>
          </w:p>
        </w:tc>
        <w:tc>
          <w:tcPr>
            <w:tcW w:w="3464" w:type="dxa"/>
            <w:vMerge/>
          </w:tcPr>
          <w:p w14:paraId="4276C7FA" w14:textId="77777777" w:rsidR="00D77DFD" w:rsidRPr="00E914FB" w:rsidRDefault="00D77DFD" w:rsidP="00D77DFD">
            <w:pPr>
              <w:rPr>
                <w:rFonts w:cstheme="minorHAnsi"/>
                <w:sz w:val="20"/>
                <w:szCs w:val="20"/>
              </w:rPr>
            </w:pPr>
          </w:p>
        </w:tc>
      </w:tr>
      <w:tr w:rsidR="00D77DFD" w:rsidRPr="00E914FB" w14:paraId="7A7EE1A1" w14:textId="77777777" w:rsidTr="00337D74">
        <w:trPr>
          <w:trHeight w:val="225"/>
        </w:trPr>
        <w:tc>
          <w:tcPr>
            <w:tcW w:w="1668" w:type="dxa"/>
            <w:vMerge/>
          </w:tcPr>
          <w:p w14:paraId="50127631" w14:textId="77777777" w:rsidR="00D77DFD" w:rsidRPr="00E914FB" w:rsidRDefault="00D77DFD" w:rsidP="00D77DFD">
            <w:pPr>
              <w:tabs>
                <w:tab w:val="left" w:pos="567"/>
              </w:tabs>
              <w:rPr>
                <w:rFonts w:cstheme="minorHAnsi"/>
                <w:sz w:val="20"/>
                <w:szCs w:val="20"/>
              </w:rPr>
            </w:pPr>
          </w:p>
        </w:tc>
        <w:tc>
          <w:tcPr>
            <w:tcW w:w="992" w:type="dxa"/>
          </w:tcPr>
          <w:p w14:paraId="6F4D164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7B5DACB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0.75</w:t>
            </w:r>
          </w:p>
          <w:p w14:paraId="53B8B8F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(0.64-0.88)</w:t>
            </w:r>
          </w:p>
        </w:tc>
        <w:tc>
          <w:tcPr>
            <w:tcW w:w="1040" w:type="dxa"/>
          </w:tcPr>
          <w:p w14:paraId="709D6BC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0.72</w:t>
            </w:r>
          </w:p>
          <w:p w14:paraId="623D393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(0.64-0.82)</w:t>
            </w:r>
          </w:p>
        </w:tc>
        <w:tc>
          <w:tcPr>
            <w:tcW w:w="1041" w:type="dxa"/>
          </w:tcPr>
          <w:p w14:paraId="61C7DC9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0.65</w:t>
            </w:r>
          </w:p>
          <w:p w14:paraId="4B66C49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(0.58-0.72)</w:t>
            </w:r>
          </w:p>
        </w:tc>
        <w:tc>
          <w:tcPr>
            <w:tcW w:w="3464" w:type="dxa"/>
            <w:vMerge/>
          </w:tcPr>
          <w:p w14:paraId="40904A4A" w14:textId="77777777" w:rsidR="00D77DFD" w:rsidRPr="00E914FB" w:rsidRDefault="00D77DFD" w:rsidP="00D77DFD">
            <w:pPr>
              <w:rPr>
                <w:rFonts w:cstheme="minorHAnsi"/>
                <w:sz w:val="20"/>
                <w:szCs w:val="20"/>
              </w:rPr>
            </w:pPr>
          </w:p>
        </w:tc>
      </w:tr>
      <w:tr w:rsidR="00D77DFD" w:rsidRPr="00E914FB" w14:paraId="35DC16A9" w14:textId="77777777" w:rsidTr="00337D74">
        <w:trPr>
          <w:trHeight w:val="100"/>
        </w:trPr>
        <w:tc>
          <w:tcPr>
            <w:tcW w:w="1668" w:type="dxa"/>
            <w:vMerge w:val="restart"/>
          </w:tcPr>
          <w:p w14:paraId="70A2DB24" w14:textId="77777777" w:rsidR="00D77DFD" w:rsidRPr="00E914FB" w:rsidRDefault="00D77DFD" w:rsidP="00D77DFD">
            <w:pPr>
              <w:tabs>
                <w:tab w:val="left" w:pos="567"/>
              </w:tabs>
              <w:rPr>
                <w:rFonts w:cstheme="minorHAnsi"/>
                <w:sz w:val="20"/>
                <w:szCs w:val="20"/>
              </w:rPr>
            </w:pPr>
            <w:r w:rsidRPr="00E914FB">
              <w:rPr>
                <w:rFonts w:cstheme="minorHAnsi"/>
                <w:sz w:val="20"/>
                <w:szCs w:val="20"/>
              </w:rPr>
              <w:t>Lopinavir / ritonavir</w:t>
            </w:r>
          </w:p>
          <w:p w14:paraId="32BDE572" w14:textId="77777777" w:rsidR="00D77DFD" w:rsidRPr="00E914FB" w:rsidRDefault="00D77DFD" w:rsidP="00D77DFD">
            <w:pPr>
              <w:tabs>
                <w:tab w:val="left" w:pos="567"/>
              </w:tabs>
              <w:rPr>
                <w:rFonts w:cstheme="minorHAnsi"/>
                <w:sz w:val="20"/>
                <w:szCs w:val="20"/>
              </w:rPr>
            </w:pPr>
            <w:r w:rsidRPr="00E914FB">
              <w:rPr>
                <w:rFonts w:cstheme="minorHAnsi"/>
                <w:sz w:val="20"/>
                <w:szCs w:val="20"/>
              </w:rPr>
              <w:t>400/100 mg twice daily</w:t>
            </w:r>
            <w:r w:rsidRPr="00E914FB">
              <w:rPr>
                <w:rFonts w:cstheme="minorHAnsi"/>
                <w:sz w:val="20"/>
                <w:szCs w:val="20"/>
                <w:vertAlign w:val="superscript"/>
              </w:rPr>
              <w:t>2</w:t>
            </w:r>
          </w:p>
          <w:p w14:paraId="3A181983" w14:textId="77777777" w:rsidR="00D77DFD" w:rsidRPr="00E914FB" w:rsidRDefault="00D77DFD" w:rsidP="00D77DFD">
            <w:pPr>
              <w:rPr>
                <w:rFonts w:cstheme="minorHAnsi"/>
                <w:sz w:val="20"/>
                <w:szCs w:val="20"/>
              </w:rPr>
            </w:pPr>
          </w:p>
        </w:tc>
        <w:tc>
          <w:tcPr>
            <w:tcW w:w="992" w:type="dxa"/>
          </w:tcPr>
          <w:p w14:paraId="49977AED" w14:textId="77777777" w:rsidR="00D77DFD" w:rsidRPr="00E914FB" w:rsidRDefault="00D77DFD" w:rsidP="00D77DFD">
            <w:pPr>
              <w:rPr>
                <w:rFonts w:cstheme="minorHAnsi"/>
                <w:sz w:val="16"/>
                <w:szCs w:val="16"/>
              </w:rPr>
            </w:pPr>
          </w:p>
        </w:tc>
        <w:tc>
          <w:tcPr>
            <w:tcW w:w="1040" w:type="dxa"/>
          </w:tcPr>
          <w:p w14:paraId="5353A2C0"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4A97729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2F15138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69C079A" w14:textId="77777777" w:rsidR="00D77DFD" w:rsidRPr="00E914FB" w:rsidRDefault="00D77DFD" w:rsidP="00D77DFD">
            <w:pPr>
              <w:rPr>
                <w:rFonts w:cstheme="minorHAnsi"/>
                <w:sz w:val="20"/>
                <w:szCs w:val="20"/>
              </w:rPr>
            </w:pPr>
            <w:r w:rsidRPr="00E914FB">
              <w:rPr>
                <w:rFonts w:cstheme="minorHAnsi"/>
                <w:sz w:val="20"/>
                <w:szCs w:val="20"/>
              </w:rPr>
              <w:t>Mechanism:  Increase in paritaprevir exposures may be due to inhibition of CYP3A/efflux transporters by lopinavir and higher dose of ritonavir.</w:t>
            </w:r>
          </w:p>
          <w:p w14:paraId="3ADC70B1" w14:textId="3CA70C62" w:rsidR="00D77DFD" w:rsidRPr="00E914FB" w:rsidRDefault="00D77DFD" w:rsidP="00D945FA">
            <w:pPr>
              <w:rPr>
                <w:rFonts w:cstheme="minorHAnsi"/>
                <w:sz w:val="20"/>
                <w:szCs w:val="20"/>
              </w:rPr>
            </w:pPr>
            <w:r w:rsidRPr="00E914FB">
              <w:rPr>
                <w:rFonts w:cstheme="minorHAnsi"/>
                <w:sz w:val="20"/>
                <w:szCs w:val="20"/>
              </w:rPr>
              <w:lastRenderedPageBreak/>
              <w:t>Lopinavir/ritonavir 400/100 mg twice daily and 800/200 mg once daily (evening administration) increases paritaprevir concentrations.</w:t>
            </w:r>
            <w:r w:rsidRPr="00E914FB">
              <w:rPr>
                <w:rFonts w:cstheme="minorHAnsi"/>
                <w:sz w:val="20"/>
                <w:szCs w:val="20"/>
              </w:rPr>
              <w:br/>
              <w:t xml:space="preserve">Lopinavir/ritonavir use is not recommended with </w:t>
            </w:r>
            <w:r w:rsidR="00D945FA">
              <w:rPr>
                <w:rFonts w:cstheme="minorHAnsi"/>
                <w:sz w:val="20"/>
                <w:szCs w:val="20"/>
              </w:rPr>
              <w:t>VIEKIRA PAK.</w:t>
            </w:r>
          </w:p>
        </w:tc>
      </w:tr>
      <w:tr w:rsidR="00D77DFD" w:rsidRPr="00E914FB" w14:paraId="7B0B5522" w14:textId="77777777" w:rsidTr="00337D74">
        <w:trPr>
          <w:trHeight w:val="100"/>
        </w:trPr>
        <w:tc>
          <w:tcPr>
            <w:tcW w:w="1668" w:type="dxa"/>
            <w:vMerge/>
          </w:tcPr>
          <w:p w14:paraId="575E1B7F" w14:textId="77777777" w:rsidR="00D77DFD" w:rsidRPr="00E914FB" w:rsidRDefault="00D77DFD" w:rsidP="00D77DFD">
            <w:pPr>
              <w:tabs>
                <w:tab w:val="left" w:pos="567"/>
              </w:tabs>
              <w:rPr>
                <w:rFonts w:cstheme="minorHAnsi"/>
                <w:sz w:val="20"/>
                <w:szCs w:val="20"/>
              </w:rPr>
            </w:pPr>
          </w:p>
        </w:tc>
        <w:tc>
          <w:tcPr>
            <w:tcW w:w="992" w:type="dxa"/>
          </w:tcPr>
          <w:p w14:paraId="5051C9A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lopinavir</w:t>
            </w:r>
          </w:p>
        </w:tc>
        <w:tc>
          <w:tcPr>
            <w:tcW w:w="1040" w:type="dxa"/>
          </w:tcPr>
          <w:p w14:paraId="6CB0EDF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w:t>
            </w:r>
          </w:p>
          <w:p w14:paraId="5AA5293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(0.76-0.99)</w:t>
            </w:r>
          </w:p>
        </w:tc>
        <w:tc>
          <w:tcPr>
            <w:tcW w:w="1040" w:type="dxa"/>
          </w:tcPr>
          <w:p w14:paraId="0D2A133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0.94</w:t>
            </w:r>
          </w:p>
          <w:p w14:paraId="222F293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(0.81-1.10)</w:t>
            </w:r>
          </w:p>
        </w:tc>
        <w:tc>
          <w:tcPr>
            <w:tcW w:w="1041" w:type="dxa"/>
          </w:tcPr>
          <w:p w14:paraId="064C60A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1.15</w:t>
            </w:r>
          </w:p>
          <w:p w14:paraId="3B25637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(0.93-1.42)</w:t>
            </w:r>
          </w:p>
        </w:tc>
        <w:tc>
          <w:tcPr>
            <w:tcW w:w="3464" w:type="dxa"/>
            <w:vMerge/>
          </w:tcPr>
          <w:p w14:paraId="2466139E" w14:textId="77777777" w:rsidR="00D77DFD" w:rsidRPr="00E914FB" w:rsidRDefault="00D77DFD" w:rsidP="00D77DFD">
            <w:pPr>
              <w:rPr>
                <w:rFonts w:cstheme="minorHAnsi"/>
                <w:sz w:val="20"/>
                <w:szCs w:val="20"/>
              </w:rPr>
            </w:pPr>
          </w:p>
        </w:tc>
      </w:tr>
      <w:tr w:rsidR="00D77DFD" w:rsidRPr="00E914FB" w14:paraId="546A8285" w14:textId="77777777" w:rsidTr="00337D74">
        <w:trPr>
          <w:trHeight w:val="100"/>
        </w:trPr>
        <w:tc>
          <w:tcPr>
            <w:tcW w:w="1668" w:type="dxa"/>
            <w:vMerge/>
          </w:tcPr>
          <w:p w14:paraId="7CCDF727" w14:textId="77777777" w:rsidR="00D77DFD" w:rsidRPr="00E914FB" w:rsidRDefault="00D77DFD" w:rsidP="00D77DFD">
            <w:pPr>
              <w:tabs>
                <w:tab w:val="left" w:pos="567"/>
              </w:tabs>
              <w:rPr>
                <w:rFonts w:cstheme="minorHAnsi"/>
                <w:sz w:val="20"/>
                <w:szCs w:val="20"/>
              </w:rPr>
            </w:pPr>
          </w:p>
        </w:tc>
        <w:tc>
          <w:tcPr>
            <w:tcW w:w="992" w:type="dxa"/>
          </w:tcPr>
          <w:p w14:paraId="048F927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12F2F6D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1.14</w:t>
            </w:r>
          </w:p>
          <w:p w14:paraId="0DF34EA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(1.01-1.28)</w:t>
            </w:r>
          </w:p>
        </w:tc>
        <w:tc>
          <w:tcPr>
            <w:tcW w:w="1040" w:type="dxa"/>
          </w:tcPr>
          <w:p w14:paraId="4A1CFBE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1.17</w:t>
            </w:r>
          </w:p>
          <w:p w14:paraId="54F9100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(1.07-1.28)</w:t>
            </w:r>
          </w:p>
        </w:tc>
        <w:tc>
          <w:tcPr>
            <w:tcW w:w="1041" w:type="dxa"/>
          </w:tcPr>
          <w:p w14:paraId="71E8DC7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1.24</w:t>
            </w:r>
          </w:p>
          <w:p w14:paraId="0D5DDD9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(1.14-1.34)</w:t>
            </w:r>
          </w:p>
        </w:tc>
        <w:tc>
          <w:tcPr>
            <w:tcW w:w="3464" w:type="dxa"/>
            <w:vMerge/>
          </w:tcPr>
          <w:p w14:paraId="650A3A46" w14:textId="77777777" w:rsidR="00D77DFD" w:rsidRPr="00E914FB" w:rsidRDefault="00D77DFD" w:rsidP="00D77DFD">
            <w:pPr>
              <w:rPr>
                <w:rFonts w:cstheme="minorHAnsi"/>
                <w:sz w:val="20"/>
                <w:szCs w:val="20"/>
              </w:rPr>
            </w:pPr>
          </w:p>
        </w:tc>
      </w:tr>
      <w:tr w:rsidR="00D77DFD" w:rsidRPr="00E914FB" w14:paraId="61BE253E" w14:textId="77777777" w:rsidTr="00337D74">
        <w:trPr>
          <w:trHeight w:val="100"/>
        </w:trPr>
        <w:tc>
          <w:tcPr>
            <w:tcW w:w="1668" w:type="dxa"/>
            <w:vMerge/>
          </w:tcPr>
          <w:p w14:paraId="151E0229" w14:textId="77777777" w:rsidR="00D77DFD" w:rsidRPr="00E914FB" w:rsidRDefault="00D77DFD" w:rsidP="00D77DFD">
            <w:pPr>
              <w:tabs>
                <w:tab w:val="left" w:pos="567"/>
              </w:tabs>
              <w:rPr>
                <w:rFonts w:cstheme="minorHAnsi"/>
                <w:sz w:val="20"/>
                <w:szCs w:val="20"/>
              </w:rPr>
            </w:pPr>
          </w:p>
        </w:tc>
        <w:tc>
          <w:tcPr>
            <w:tcW w:w="992" w:type="dxa"/>
          </w:tcPr>
          <w:p w14:paraId="3B458A3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w:t>
            </w:r>
          </w:p>
          <w:p w14:paraId="75D3C64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paritaprevir</w:t>
            </w:r>
          </w:p>
        </w:tc>
        <w:tc>
          <w:tcPr>
            <w:tcW w:w="1040" w:type="dxa"/>
          </w:tcPr>
          <w:p w14:paraId="586A866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2.04</w:t>
            </w:r>
          </w:p>
          <w:p w14:paraId="09B2295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(1.30-3.20)</w:t>
            </w:r>
          </w:p>
        </w:tc>
        <w:tc>
          <w:tcPr>
            <w:tcW w:w="1040" w:type="dxa"/>
          </w:tcPr>
          <w:p w14:paraId="12E9540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2.17</w:t>
            </w:r>
          </w:p>
          <w:p w14:paraId="1C49BE2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(1.63-2.89)</w:t>
            </w:r>
          </w:p>
        </w:tc>
        <w:tc>
          <w:tcPr>
            <w:tcW w:w="1041" w:type="dxa"/>
          </w:tcPr>
          <w:p w14:paraId="5410B2B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2.36</w:t>
            </w:r>
          </w:p>
          <w:p w14:paraId="1FA3DF9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(1.00-5.55)</w:t>
            </w:r>
          </w:p>
        </w:tc>
        <w:tc>
          <w:tcPr>
            <w:tcW w:w="3464" w:type="dxa"/>
            <w:vMerge/>
          </w:tcPr>
          <w:p w14:paraId="6CC52234" w14:textId="77777777" w:rsidR="00D77DFD" w:rsidRPr="00E914FB" w:rsidRDefault="00D77DFD" w:rsidP="00D77DFD">
            <w:pPr>
              <w:rPr>
                <w:rFonts w:cstheme="minorHAnsi"/>
                <w:sz w:val="20"/>
                <w:szCs w:val="20"/>
              </w:rPr>
            </w:pPr>
          </w:p>
        </w:tc>
      </w:tr>
      <w:tr w:rsidR="00D77DFD" w:rsidRPr="00E914FB" w14:paraId="5B778278" w14:textId="77777777" w:rsidTr="00337D74">
        <w:trPr>
          <w:trHeight w:val="100"/>
        </w:trPr>
        <w:tc>
          <w:tcPr>
            <w:tcW w:w="1668" w:type="dxa"/>
            <w:vMerge/>
          </w:tcPr>
          <w:p w14:paraId="56A79B35" w14:textId="77777777" w:rsidR="00D77DFD" w:rsidRPr="00E914FB" w:rsidRDefault="00D77DFD" w:rsidP="00D77DFD">
            <w:pPr>
              <w:tabs>
                <w:tab w:val="left" w:pos="567"/>
              </w:tabs>
              <w:rPr>
                <w:rFonts w:cstheme="minorHAnsi"/>
                <w:sz w:val="20"/>
                <w:szCs w:val="20"/>
              </w:rPr>
            </w:pPr>
          </w:p>
        </w:tc>
        <w:tc>
          <w:tcPr>
            <w:tcW w:w="992" w:type="dxa"/>
          </w:tcPr>
          <w:p w14:paraId="76FA185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7385BF5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0.99</w:t>
            </w:r>
          </w:p>
          <w:p w14:paraId="6D0B3E4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(0.75-1.31)</w:t>
            </w:r>
          </w:p>
        </w:tc>
        <w:tc>
          <w:tcPr>
            <w:tcW w:w="1040" w:type="dxa"/>
          </w:tcPr>
          <w:p w14:paraId="6362295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0.93</w:t>
            </w:r>
          </w:p>
          <w:p w14:paraId="47D934A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(0.75-1.15)</w:t>
            </w:r>
          </w:p>
        </w:tc>
        <w:tc>
          <w:tcPr>
            <w:tcW w:w="1041" w:type="dxa"/>
          </w:tcPr>
          <w:p w14:paraId="72C5545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0.68</w:t>
            </w:r>
          </w:p>
          <w:p w14:paraId="1741628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(0.57-0.80)</w:t>
            </w:r>
          </w:p>
        </w:tc>
        <w:tc>
          <w:tcPr>
            <w:tcW w:w="3464" w:type="dxa"/>
            <w:vMerge/>
          </w:tcPr>
          <w:p w14:paraId="426C9AB2" w14:textId="77777777" w:rsidR="00D77DFD" w:rsidRPr="00E914FB" w:rsidRDefault="00D77DFD" w:rsidP="00D77DFD">
            <w:pPr>
              <w:rPr>
                <w:rFonts w:cstheme="minorHAnsi"/>
                <w:sz w:val="20"/>
                <w:szCs w:val="20"/>
              </w:rPr>
            </w:pPr>
          </w:p>
        </w:tc>
      </w:tr>
      <w:tr w:rsidR="00D77DFD" w:rsidRPr="00E914FB" w14:paraId="126D6A9F" w14:textId="77777777" w:rsidTr="00A178EB">
        <w:trPr>
          <w:trHeight w:val="264"/>
        </w:trPr>
        <w:tc>
          <w:tcPr>
            <w:tcW w:w="9245" w:type="dxa"/>
            <w:gridSpan w:val="6"/>
          </w:tcPr>
          <w:p w14:paraId="12D50D56" w14:textId="77777777" w:rsidR="00D77DFD" w:rsidRPr="00E914FB" w:rsidRDefault="00D77DFD" w:rsidP="00D77DFD">
            <w:pPr>
              <w:tabs>
                <w:tab w:val="left" w:pos="567"/>
              </w:tabs>
              <w:rPr>
                <w:rFonts w:ascii="Times New Roman" w:hAnsi="Times New Roman" w:cstheme="minorHAnsi"/>
                <w:b/>
                <w:sz w:val="20"/>
                <w:szCs w:val="20"/>
              </w:rPr>
            </w:pPr>
            <w:r w:rsidRPr="00E914FB">
              <w:rPr>
                <w:rFonts w:cstheme="minorHAnsi"/>
                <w:b/>
                <w:sz w:val="20"/>
                <w:szCs w:val="20"/>
              </w:rPr>
              <w:t>HIV Antivirals: Non-nucleoside reverse transcriptase inhibitors</w:t>
            </w:r>
          </w:p>
        </w:tc>
      </w:tr>
      <w:tr w:rsidR="00D77DFD" w:rsidRPr="00E914FB" w14:paraId="0CFA2011" w14:textId="77777777" w:rsidTr="00337D74">
        <w:trPr>
          <w:trHeight w:val="264"/>
        </w:trPr>
        <w:tc>
          <w:tcPr>
            <w:tcW w:w="1668" w:type="dxa"/>
            <w:vMerge w:val="restart"/>
          </w:tcPr>
          <w:p w14:paraId="0AA00917" w14:textId="77777777" w:rsidR="00D77DFD" w:rsidRPr="00E914FB" w:rsidRDefault="00D77DFD" w:rsidP="00D77DFD">
            <w:pPr>
              <w:tabs>
                <w:tab w:val="left" w:pos="567"/>
              </w:tabs>
              <w:rPr>
                <w:rFonts w:cstheme="minorHAnsi"/>
                <w:sz w:val="20"/>
                <w:szCs w:val="20"/>
              </w:rPr>
            </w:pPr>
            <w:r w:rsidRPr="00E914FB">
              <w:rPr>
                <w:rFonts w:cstheme="minorHAnsi"/>
                <w:sz w:val="20"/>
                <w:szCs w:val="20"/>
              </w:rPr>
              <w:t>Rilpivirine</w:t>
            </w:r>
          </w:p>
          <w:p w14:paraId="38897B17" w14:textId="77777777" w:rsidR="00D77DFD" w:rsidRPr="00E914FB" w:rsidRDefault="00D77DFD" w:rsidP="00D77DFD">
            <w:pPr>
              <w:tabs>
                <w:tab w:val="left" w:pos="567"/>
              </w:tabs>
              <w:rPr>
                <w:rFonts w:cstheme="minorHAnsi"/>
                <w:sz w:val="20"/>
                <w:szCs w:val="20"/>
              </w:rPr>
            </w:pPr>
            <w:r w:rsidRPr="00E914FB">
              <w:rPr>
                <w:rFonts w:cstheme="minorHAnsi"/>
                <w:sz w:val="20"/>
                <w:szCs w:val="20"/>
              </w:rPr>
              <w:t>25 mg once daily administered in the morning, with food</w:t>
            </w:r>
            <w:r w:rsidRPr="00E914FB">
              <w:rPr>
                <w:rFonts w:cstheme="minorHAnsi"/>
                <w:sz w:val="20"/>
                <w:szCs w:val="20"/>
                <w:vertAlign w:val="superscript"/>
              </w:rPr>
              <w:t xml:space="preserve"> 3</w:t>
            </w:r>
          </w:p>
        </w:tc>
        <w:tc>
          <w:tcPr>
            <w:tcW w:w="992" w:type="dxa"/>
          </w:tcPr>
          <w:p w14:paraId="0D4402FE" w14:textId="77777777" w:rsidR="00D77DFD" w:rsidRPr="00E914FB" w:rsidRDefault="00D77DFD" w:rsidP="00D77DFD">
            <w:pPr>
              <w:rPr>
                <w:rFonts w:cstheme="minorHAnsi"/>
                <w:sz w:val="16"/>
                <w:szCs w:val="16"/>
              </w:rPr>
            </w:pPr>
          </w:p>
        </w:tc>
        <w:tc>
          <w:tcPr>
            <w:tcW w:w="1040" w:type="dxa"/>
          </w:tcPr>
          <w:p w14:paraId="05337164"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2191B5C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6DF6C8A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2F7CFEE5" w14:textId="77777777" w:rsidR="00D77DFD" w:rsidRPr="00E914FB" w:rsidRDefault="00D77DFD" w:rsidP="00D77DFD">
            <w:pPr>
              <w:rPr>
                <w:rFonts w:cstheme="minorHAnsi"/>
                <w:sz w:val="20"/>
                <w:szCs w:val="20"/>
              </w:rPr>
            </w:pPr>
            <w:r w:rsidRPr="00E914FB">
              <w:rPr>
                <w:rFonts w:cstheme="minorHAnsi"/>
                <w:sz w:val="20"/>
                <w:szCs w:val="20"/>
              </w:rPr>
              <w:t>Mechanism:  CYP3A4 inhibition by ritonavir.</w:t>
            </w:r>
          </w:p>
          <w:p w14:paraId="694B68A3" w14:textId="172E2436" w:rsidR="00D77DFD" w:rsidRPr="00E914FB" w:rsidRDefault="00D77DFD" w:rsidP="00D77DFD">
            <w:pPr>
              <w:rPr>
                <w:rFonts w:cstheme="minorHAnsi"/>
                <w:sz w:val="20"/>
                <w:szCs w:val="20"/>
              </w:rPr>
            </w:pPr>
            <w:r w:rsidRPr="00E914FB">
              <w:rPr>
                <w:rFonts w:cstheme="minorHAnsi"/>
                <w:sz w:val="20"/>
                <w:szCs w:val="20"/>
              </w:rPr>
              <w:t>Co-administration of VIEKIRA PAK with rilpivirine once daily is not recommended due to potential for QT interval prolongation with higher concentrations of rilpivirine.</w:t>
            </w:r>
          </w:p>
        </w:tc>
      </w:tr>
      <w:tr w:rsidR="00D77DFD" w:rsidRPr="00E914FB" w14:paraId="3F40F369" w14:textId="77777777" w:rsidTr="00337D74">
        <w:trPr>
          <w:trHeight w:val="264"/>
        </w:trPr>
        <w:tc>
          <w:tcPr>
            <w:tcW w:w="1668" w:type="dxa"/>
            <w:vMerge/>
          </w:tcPr>
          <w:p w14:paraId="72ACE066" w14:textId="77777777" w:rsidR="00D77DFD" w:rsidRPr="00E914FB" w:rsidRDefault="00D77DFD" w:rsidP="00D77DFD">
            <w:pPr>
              <w:tabs>
                <w:tab w:val="left" w:pos="567"/>
              </w:tabs>
              <w:rPr>
                <w:rFonts w:cstheme="minorHAnsi"/>
                <w:sz w:val="20"/>
                <w:szCs w:val="20"/>
              </w:rPr>
            </w:pPr>
          </w:p>
        </w:tc>
        <w:tc>
          <w:tcPr>
            <w:tcW w:w="992" w:type="dxa"/>
          </w:tcPr>
          <w:p w14:paraId="6D299A0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rilpivirine</w:t>
            </w:r>
          </w:p>
        </w:tc>
        <w:tc>
          <w:tcPr>
            <w:tcW w:w="1040" w:type="dxa"/>
          </w:tcPr>
          <w:p w14:paraId="700794E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2.55</w:t>
            </w:r>
          </w:p>
          <w:p w14:paraId="6DE833F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(2.08-3.12)</w:t>
            </w:r>
          </w:p>
        </w:tc>
        <w:tc>
          <w:tcPr>
            <w:tcW w:w="1040" w:type="dxa"/>
          </w:tcPr>
          <w:p w14:paraId="001E60A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3.25</w:t>
            </w:r>
          </w:p>
          <w:p w14:paraId="286F8D8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(2.80-3.77)</w:t>
            </w:r>
          </w:p>
        </w:tc>
        <w:tc>
          <w:tcPr>
            <w:tcW w:w="1041" w:type="dxa"/>
          </w:tcPr>
          <w:p w14:paraId="5A94AB1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3.62</w:t>
            </w:r>
          </w:p>
          <w:p w14:paraId="1473703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(3.12-4.21)</w:t>
            </w:r>
          </w:p>
        </w:tc>
        <w:tc>
          <w:tcPr>
            <w:tcW w:w="3464" w:type="dxa"/>
            <w:vMerge/>
          </w:tcPr>
          <w:p w14:paraId="2BA3A014" w14:textId="77777777" w:rsidR="00D77DFD" w:rsidRPr="00E914FB" w:rsidRDefault="00D77DFD" w:rsidP="00D77DFD">
            <w:pPr>
              <w:rPr>
                <w:rFonts w:cstheme="minorHAnsi"/>
                <w:sz w:val="20"/>
                <w:szCs w:val="20"/>
              </w:rPr>
            </w:pPr>
          </w:p>
        </w:tc>
      </w:tr>
      <w:tr w:rsidR="00D77DFD" w:rsidRPr="00E914FB" w14:paraId="54EDEE59" w14:textId="77777777" w:rsidTr="00337D74">
        <w:trPr>
          <w:trHeight w:val="264"/>
        </w:trPr>
        <w:tc>
          <w:tcPr>
            <w:tcW w:w="1668" w:type="dxa"/>
            <w:vMerge/>
          </w:tcPr>
          <w:p w14:paraId="39C6DC4F" w14:textId="77777777" w:rsidR="00D77DFD" w:rsidRPr="00E914FB" w:rsidRDefault="00D77DFD" w:rsidP="00D77DFD">
            <w:pPr>
              <w:tabs>
                <w:tab w:val="left" w:pos="567"/>
              </w:tabs>
              <w:rPr>
                <w:rFonts w:cstheme="minorHAnsi"/>
                <w:sz w:val="20"/>
                <w:szCs w:val="20"/>
              </w:rPr>
            </w:pPr>
          </w:p>
        </w:tc>
        <w:tc>
          <w:tcPr>
            <w:tcW w:w="992" w:type="dxa"/>
          </w:tcPr>
          <w:p w14:paraId="1CFEA263"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6FA861B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1.11</w:t>
            </w:r>
          </w:p>
          <w:p w14:paraId="29B99AB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(1.02-1.20)</w:t>
            </w:r>
          </w:p>
        </w:tc>
        <w:tc>
          <w:tcPr>
            <w:tcW w:w="1040" w:type="dxa"/>
          </w:tcPr>
          <w:p w14:paraId="50708A2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1.09</w:t>
            </w:r>
          </w:p>
          <w:p w14:paraId="0872200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(1.04-1.14)</w:t>
            </w:r>
          </w:p>
        </w:tc>
        <w:tc>
          <w:tcPr>
            <w:tcW w:w="1041" w:type="dxa"/>
          </w:tcPr>
          <w:p w14:paraId="1D43055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1.05</w:t>
            </w:r>
          </w:p>
          <w:p w14:paraId="2F314DF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(1.01-1.08)</w:t>
            </w:r>
          </w:p>
        </w:tc>
        <w:tc>
          <w:tcPr>
            <w:tcW w:w="3464" w:type="dxa"/>
            <w:vMerge/>
          </w:tcPr>
          <w:p w14:paraId="1189221A" w14:textId="77777777" w:rsidR="00D77DFD" w:rsidRPr="00E914FB" w:rsidRDefault="00D77DFD" w:rsidP="00D77DFD">
            <w:pPr>
              <w:rPr>
                <w:rFonts w:cstheme="minorHAnsi"/>
                <w:sz w:val="20"/>
                <w:szCs w:val="20"/>
              </w:rPr>
            </w:pPr>
          </w:p>
        </w:tc>
      </w:tr>
      <w:tr w:rsidR="00D77DFD" w:rsidRPr="00E914FB" w14:paraId="5F04131B" w14:textId="77777777" w:rsidTr="00337D74">
        <w:trPr>
          <w:trHeight w:val="264"/>
        </w:trPr>
        <w:tc>
          <w:tcPr>
            <w:tcW w:w="1668" w:type="dxa"/>
            <w:vMerge/>
          </w:tcPr>
          <w:p w14:paraId="46DDC14C" w14:textId="77777777" w:rsidR="00D77DFD" w:rsidRPr="00E914FB" w:rsidRDefault="00D77DFD" w:rsidP="00D77DFD">
            <w:pPr>
              <w:tabs>
                <w:tab w:val="left" w:pos="567"/>
              </w:tabs>
              <w:rPr>
                <w:rFonts w:cstheme="minorHAnsi"/>
                <w:sz w:val="20"/>
                <w:szCs w:val="20"/>
              </w:rPr>
            </w:pPr>
          </w:p>
        </w:tc>
        <w:tc>
          <w:tcPr>
            <w:tcW w:w="992" w:type="dxa"/>
          </w:tcPr>
          <w:p w14:paraId="444D48D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p w14:paraId="63F03DD7" w14:textId="77777777" w:rsidR="00D77DFD" w:rsidRPr="00E914FB" w:rsidRDefault="00D77DFD" w:rsidP="00D77DFD">
            <w:pPr>
              <w:tabs>
                <w:tab w:val="left" w:pos="567"/>
              </w:tabs>
              <w:rPr>
                <w:rFonts w:ascii="Calibri" w:hAnsi="Calibri" w:cs="Calibri"/>
                <w:sz w:val="16"/>
                <w:szCs w:val="16"/>
              </w:rPr>
            </w:pPr>
          </w:p>
        </w:tc>
        <w:tc>
          <w:tcPr>
            <w:tcW w:w="1040" w:type="dxa"/>
          </w:tcPr>
          <w:p w14:paraId="128143D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1.30</w:t>
            </w:r>
          </w:p>
          <w:p w14:paraId="0415383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(0.94-1.81)</w:t>
            </w:r>
          </w:p>
        </w:tc>
        <w:tc>
          <w:tcPr>
            <w:tcW w:w="1040" w:type="dxa"/>
          </w:tcPr>
          <w:p w14:paraId="3D19B7D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1.23</w:t>
            </w:r>
          </w:p>
          <w:p w14:paraId="1EAFBA7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(0.93-1.64)</w:t>
            </w:r>
          </w:p>
        </w:tc>
        <w:tc>
          <w:tcPr>
            <w:tcW w:w="1041" w:type="dxa"/>
          </w:tcPr>
          <w:p w14:paraId="5690E92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0.95</w:t>
            </w:r>
          </w:p>
          <w:p w14:paraId="104E58E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(0.84-1.07)</w:t>
            </w:r>
          </w:p>
        </w:tc>
        <w:tc>
          <w:tcPr>
            <w:tcW w:w="3464" w:type="dxa"/>
            <w:vMerge/>
          </w:tcPr>
          <w:p w14:paraId="28B5BC43" w14:textId="77777777" w:rsidR="00D77DFD" w:rsidRPr="00E914FB" w:rsidRDefault="00D77DFD" w:rsidP="00D77DFD">
            <w:pPr>
              <w:rPr>
                <w:rFonts w:cstheme="minorHAnsi"/>
                <w:sz w:val="20"/>
                <w:szCs w:val="20"/>
              </w:rPr>
            </w:pPr>
          </w:p>
        </w:tc>
      </w:tr>
      <w:tr w:rsidR="00D77DFD" w:rsidRPr="00E914FB" w14:paraId="6293D152" w14:textId="77777777" w:rsidTr="00337D74">
        <w:trPr>
          <w:trHeight w:val="264"/>
        </w:trPr>
        <w:tc>
          <w:tcPr>
            <w:tcW w:w="1668" w:type="dxa"/>
            <w:vMerge/>
          </w:tcPr>
          <w:p w14:paraId="3A5DD890" w14:textId="77777777" w:rsidR="00D77DFD" w:rsidRPr="00E914FB" w:rsidRDefault="00D77DFD" w:rsidP="00D77DFD">
            <w:pPr>
              <w:tabs>
                <w:tab w:val="left" w:pos="567"/>
              </w:tabs>
              <w:rPr>
                <w:rFonts w:cstheme="minorHAnsi"/>
                <w:sz w:val="20"/>
                <w:szCs w:val="20"/>
              </w:rPr>
            </w:pPr>
          </w:p>
        </w:tc>
        <w:tc>
          <w:tcPr>
            <w:tcW w:w="992" w:type="dxa"/>
          </w:tcPr>
          <w:p w14:paraId="3D49D96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55268DD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1.18</w:t>
            </w:r>
          </w:p>
          <w:p w14:paraId="431BBB1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(1.02-1.37)</w:t>
            </w:r>
          </w:p>
        </w:tc>
        <w:tc>
          <w:tcPr>
            <w:tcW w:w="1040" w:type="dxa"/>
          </w:tcPr>
          <w:p w14:paraId="19E4EFE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1.17</w:t>
            </w:r>
          </w:p>
          <w:p w14:paraId="7ED3E0C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(0.99-1.38)</w:t>
            </w:r>
          </w:p>
        </w:tc>
        <w:tc>
          <w:tcPr>
            <w:tcW w:w="1041" w:type="dxa"/>
          </w:tcPr>
          <w:p w14:paraId="21643D0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1.10</w:t>
            </w:r>
          </w:p>
          <w:p w14:paraId="1D8597C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(0.89-1.37)</w:t>
            </w:r>
          </w:p>
        </w:tc>
        <w:tc>
          <w:tcPr>
            <w:tcW w:w="3464" w:type="dxa"/>
            <w:vMerge/>
          </w:tcPr>
          <w:p w14:paraId="291D42AE" w14:textId="77777777" w:rsidR="00D77DFD" w:rsidRPr="00E914FB" w:rsidRDefault="00D77DFD" w:rsidP="00D77DFD">
            <w:pPr>
              <w:rPr>
                <w:rFonts w:cstheme="minorHAnsi"/>
                <w:sz w:val="20"/>
                <w:szCs w:val="20"/>
              </w:rPr>
            </w:pPr>
          </w:p>
        </w:tc>
      </w:tr>
      <w:tr w:rsidR="00D77DFD" w:rsidRPr="00E914FB" w14:paraId="703E7BB8" w14:textId="77777777" w:rsidTr="00337D74">
        <w:tc>
          <w:tcPr>
            <w:tcW w:w="1668" w:type="dxa"/>
          </w:tcPr>
          <w:p w14:paraId="5BD214E6"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Efavirenz/emtricitabine/tenofovir disoproxil fumarate 600/300/200 mg once daily </w:t>
            </w:r>
          </w:p>
          <w:p w14:paraId="25789ACA" w14:textId="77777777" w:rsidR="00D77DFD" w:rsidRPr="00E914FB" w:rsidRDefault="00D77DFD" w:rsidP="00D77DFD">
            <w:pPr>
              <w:tabs>
                <w:tab w:val="left" w:pos="567"/>
              </w:tabs>
              <w:rPr>
                <w:rFonts w:cstheme="minorHAnsi"/>
                <w:sz w:val="20"/>
                <w:szCs w:val="20"/>
              </w:rPr>
            </w:pPr>
          </w:p>
        </w:tc>
        <w:tc>
          <w:tcPr>
            <w:tcW w:w="4113" w:type="dxa"/>
            <w:gridSpan w:val="4"/>
          </w:tcPr>
          <w:p w14:paraId="1ED70C0E" w14:textId="77777777" w:rsidR="00D77DFD" w:rsidRPr="00E914FB" w:rsidRDefault="00D77DFD" w:rsidP="00D77DFD">
            <w:pPr>
              <w:rPr>
                <w:rFonts w:cstheme="minorHAnsi"/>
                <w:sz w:val="20"/>
                <w:szCs w:val="20"/>
              </w:rPr>
            </w:pPr>
            <w:r w:rsidRPr="00E914FB">
              <w:rPr>
                <w:rFonts w:ascii="Calibri" w:hAnsi="Calibri" w:cs="Calibri"/>
                <w:sz w:val="20"/>
                <w:szCs w:val="20"/>
              </w:rPr>
              <w:t>Co-administration of efavirenz (enzyme inducer) based regimens with paritaprevir/ritonavir + dasabuvir resulted in ALT elevations and therefore, early discontinuation of the study.</w:t>
            </w:r>
          </w:p>
        </w:tc>
        <w:tc>
          <w:tcPr>
            <w:tcW w:w="3464" w:type="dxa"/>
          </w:tcPr>
          <w:p w14:paraId="3AF6324E" w14:textId="77777777" w:rsidR="00D77DFD" w:rsidRPr="00E914FB" w:rsidRDefault="00D77DFD" w:rsidP="00D77DFD">
            <w:pPr>
              <w:rPr>
                <w:rFonts w:cstheme="minorHAnsi"/>
                <w:sz w:val="20"/>
                <w:szCs w:val="20"/>
              </w:rPr>
            </w:pPr>
            <w:r w:rsidRPr="00E914FB">
              <w:rPr>
                <w:rFonts w:cstheme="minorHAnsi"/>
                <w:sz w:val="20"/>
                <w:szCs w:val="20"/>
              </w:rPr>
              <w:t>Co-administration of efavirenz based regimens with paritaprevir, ritonavir plus dasabuvir was poorly tolerated and resulted in liver enzyme elevations.</w:t>
            </w:r>
          </w:p>
          <w:p w14:paraId="11F49D2D" w14:textId="3EE550AB" w:rsidR="00D77DFD" w:rsidRPr="00E914FB" w:rsidRDefault="00D77DFD" w:rsidP="00D77DFD">
            <w:pPr>
              <w:rPr>
                <w:rFonts w:cstheme="minorHAnsi"/>
                <w:sz w:val="20"/>
                <w:szCs w:val="20"/>
              </w:rPr>
            </w:pPr>
            <w:r w:rsidRPr="00E914FB">
              <w:rPr>
                <w:rFonts w:cstheme="minorHAnsi"/>
                <w:sz w:val="20"/>
                <w:szCs w:val="20"/>
              </w:rPr>
              <w:t>(see CONTRAINDICATIONS).</w:t>
            </w:r>
          </w:p>
        </w:tc>
      </w:tr>
      <w:tr w:rsidR="00D77DFD" w:rsidRPr="00E914FB" w14:paraId="054ABA3C" w14:textId="77777777" w:rsidTr="00A178EB">
        <w:tc>
          <w:tcPr>
            <w:tcW w:w="9245" w:type="dxa"/>
            <w:gridSpan w:val="6"/>
          </w:tcPr>
          <w:p w14:paraId="281D40C6" w14:textId="77777777" w:rsidR="00D77DFD" w:rsidRPr="00E914FB" w:rsidRDefault="00D77DFD" w:rsidP="00D77DFD">
            <w:pPr>
              <w:tabs>
                <w:tab w:val="left" w:pos="567"/>
              </w:tabs>
              <w:rPr>
                <w:rFonts w:ascii="Times New Roman" w:hAnsi="Times New Roman" w:cstheme="minorHAnsi"/>
                <w:b/>
                <w:sz w:val="20"/>
                <w:szCs w:val="20"/>
              </w:rPr>
            </w:pPr>
            <w:r w:rsidRPr="00E914FB">
              <w:rPr>
                <w:rFonts w:cstheme="minorHAnsi"/>
                <w:b/>
                <w:sz w:val="20"/>
                <w:szCs w:val="20"/>
              </w:rPr>
              <w:t>HIV Antivirals: Integrase strand transfer inhibitor</w:t>
            </w:r>
          </w:p>
        </w:tc>
      </w:tr>
      <w:tr w:rsidR="00D77DFD" w:rsidRPr="00E914FB" w14:paraId="470BDCA7" w14:textId="77777777" w:rsidTr="00337D74">
        <w:trPr>
          <w:trHeight w:val="325"/>
        </w:trPr>
        <w:tc>
          <w:tcPr>
            <w:tcW w:w="1668" w:type="dxa"/>
            <w:vMerge w:val="restart"/>
          </w:tcPr>
          <w:p w14:paraId="1ED73C28" w14:textId="77777777" w:rsidR="00D77DFD" w:rsidRPr="00E914FB" w:rsidRDefault="00D77DFD" w:rsidP="00D77DFD">
            <w:pPr>
              <w:tabs>
                <w:tab w:val="left" w:pos="567"/>
              </w:tabs>
              <w:rPr>
                <w:rFonts w:cstheme="minorHAnsi"/>
                <w:sz w:val="20"/>
                <w:szCs w:val="20"/>
              </w:rPr>
            </w:pPr>
            <w:r w:rsidRPr="00E914FB">
              <w:rPr>
                <w:rFonts w:cstheme="minorHAnsi"/>
                <w:sz w:val="20"/>
                <w:szCs w:val="20"/>
              </w:rPr>
              <w:t>Raltegravir</w:t>
            </w:r>
          </w:p>
          <w:p w14:paraId="422B9263"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400 mg twice daily </w:t>
            </w:r>
          </w:p>
        </w:tc>
        <w:tc>
          <w:tcPr>
            <w:tcW w:w="992" w:type="dxa"/>
          </w:tcPr>
          <w:p w14:paraId="1C9BC139" w14:textId="77777777" w:rsidR="00D77DFD" w:rsidRPr="00E914FB" w:rsidRDefault="00D77DFD" w:rsidP="00D77DFD">
            <w:pPr>
              <w:rPr>
                <w:rFonts w:cstheme="minorHAnsi"/>
                <w:sz w:val="16"/>
                <w:szCs w:val="16"/>
              </w:rPr>
            </w:pPr>
          </w:p>
        </w:tc>
        <w:tc>
          <w:tcPr>
            <w:tcW w:w="1040" w:type="dxa"/>
          </w:tcPr>
          <w:p w14:paraId="1E5078B5"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103378C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21ADD0B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242C2B69" w14:textId="6F92D58E" w:rsidR="00D77DFD" w:rsidRPr="00E914FB" w:rsidRDefault="00D77DFD" w:rsidP="00D77DFD">
            <w:pPr>
              <w:tabs>
                <w:tab w:val="left" w:pos="567"/>
              </w:tabs>
              <w:rPr>
                <w:rFonts w:cstheme="minorHAnsi"/>
                <w:sz w:val="20"/>
                <w:szCs w:val="20"/>
              </w:rPr>
            </w:pPr>
            <w:r w:rsidRPr="00E914FB">
              <w:rPr>
                <w:rFonts w:cstheme="minorHAnsi"/>
                <w:sz w:val="20"/>
                <w:szCs w:val="20"/>
              </w:rPr>
              <w:t>No dose adjustment is necessary for raltegravir.</w:t>
            </w:r>
          </w:p>
          <w:p w14:paraId="4D8A2074" w14:textId="77777777" w:rsidR="00D77DFD" w:rsidRPr="00E914FB" w:rsidRDefault="00D77DFD" w:rsidP="00D77DFD">
            <w:pPr>
              <w:rPr>
                <w:rFonts w:cstheme="minorHAnsi"/>
                <w:sz w:val="20"/>
                <w:szCs w:val="20"/>
              </w:rPr>
            </w:pPr>
          </w:p>
        </w:tc>
      </w:tr>
      <w:tr w:rsidR="00D77DFD" w:rsidRPr="00E914FB" w14:paraId="2D25E6D8" w14:textId="77777777" w:rsidTr="00337D74">
        <w:trPr>
          <w:trHeight w:val="325"/>
        </w:trPr>
        <w:tc>
          <w:tcPr>
            <w:tcW w:w="1668" w:type="dxa"/>
            <w:vMerge/>
          </w:tcPr>
          <w:p w14:paraId="2D1CDCB1" w14:textId="77777777" w:rsidR="00D77DFD" w:rsidRPr="00E914FB" w:rsidRDefault="00D77DFD" w:rsidP="00D77DFD">
            <w:pPr>
              <w:tabs>
                <w:tab w:val="left" w:pos="567"/>
              </w:tabs>
              <w:rPr>
                <w:rFonts w:cstheme="minorHAnsi"/>
                <w:sz w:val="20"/>
                <w:szCs w:val="20"/>
              </w:rPr>
            </w:pPr>
          </w:p>
        </w:tc>
        <w:tc>
          <w:tcPr>
            <w:tcW w:w="992" w:type="dxa"/>
          </w:tcPr>
          <w:p w14:paraId="474B4CF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raltegravir</w:t>
            </w:r>
          </w:p>
        </w:tc>
        <w:tc>
          <w:tcPr>
            <w:tcW w:w="1040" w:type="dxa"/>
          </w:tcPr>
          <w:p w14:paraId="2ED4715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2.33</w:t>
            </w:r>
          </w:p>
          <w:p w14:paraId="270C75F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(1.66-3.27)</w:t>
            </w:r>
          </w:p>
        </w:tc>
        <w:tc>
          <w:tcPr>
            <w:tcW w:w="1040" w:type="dxa"/>
          </w:tcPr>
          <w:p w14:paraId="24154A8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2.34</w:t>
            </w:r>
          </w:p>
          <w:p w14:paraId="5FD9352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(1.70-3.24)</w:t>
            </w:r>
          </w:p>
        </w:tc>
        <w:tc>
          <w:tcPr>
            <w:tcW w:w="1041" w:type="dxa"/>
          </w:tcPr>
          <w:p w14:paraId="2AD8C24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2.00</w:t>
            </w:r>
          </w:p>
          <w:p w14:paraId="58A2F97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(1.17-3.42)</w:t>
            </w:r>
          </w:p>
        </w:tc>
        <w:tc>
          <w:tcPr>
            <w:tcW w:w="3464" w:type="dxa"/>
            <w:vMerge/>
          </w:tcPr>
          <w:p w14:paraId="7F48F682" w14:textId="77777777" w:rsidR="00D77DFD" w:rsidRPr="00E914FB" w:rsidRDefault="00D77DFD" w:rsidP="00D77DFD">
            <w:pPr>
              <w:rPr>
                <w:rFonts w:cstheme="minorHAnsi"/>
                <w:sz w:val="20"/>
                <w:szCs w:val="20"/>
              </w:rPr>
            </w:pPr>
          </w:p>
        </w:tc>
      </w:tr>
      <w:tr w:rsidR="00E650BE" w:rsidRPr="00E914FB" w14:paraId="4CEC9D76" w14:textId="77777777" w:rsidTr="00DC7C25">
        <w:tc>
          <w:tcPr>
            <w:tcW w:w="9245" w:type="dxa"/>
            <w:gridSpan w:val="6"/>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992"/>
              <w:gridCol w:w="992"/>
              <w:gridCol w:w="1134"/>
              <w:gridCol w:w="992"/>
              <w:gridCol w:w="3475"/>
            </w:tblGrid>
            <w:tr w:rsidR="00E650BE" w:rsidRPr="00E914FB" w14:paraId="2F98B537" w14:textId="77777777" w:rsidTr="00DC7C25">
              <w:tc>
                <w:tcPr>
                  <w:tcW w:w="9434" w:type="dxa"/>
                  <w:gridSpan w:val="6"/>
                  <w:shd w:val="clear" w:color="auto" w:fill="auto"/>
                </w:tcPr>
                <w:p w14:paraId="64F895D3" w14:textId="77777777" w:rsidR="00E650BE" w:rsidRPr="003D0EEC" w:rsidRDefault="00E650BE" w:rsidP="00DC7C25">
                  <w:pPr>
                    <w:tabs>
                      <w:tab w:val="left" w:pos="567"/>
                    </w:tabs>
                    <w:spacing w:after="0" w:line="240" w:lineRule="auto"/>
                    <w:rPr>
                      <w:rFonts w:ascii="Calibri" w:eastAsia="Times New Roman" w:hAnsi="Calibri" w:cs="Calibri"/>
                      <w:b/>
                      <w:sz w:val="20"/>
                      <w:szCs w:val="20"/>
                    </w:rPr>
                  </w:pPr>
                  <w:r w:rsidRPr="003D0EEC">
                    <w:rPr>
                      <w:rFonts w:ascii="Calibri" w:eastAsia="Times New Roman" w:hAnsi="Calibri" w:cs="Calibri"/>
                      <w:b/>
                      <w:sz w:val="20"/>
                      <w:szCs w:val="20"/>
                    </w:rPr>
                    <w:t xml:space="preserve">HIV ANTIVIRALS: NUCLEOSIDE INHIBITORS </w:t>
                  </w:r>
                </w:p>
              </w:tc>
            </w:tr>
            <w:tr w:rsidR="00E650BE" w:rsidRPr="00E914FB" w14:paraId="33D8988C" w14:textId="77777777" w:rsidTr="00DC7C25">
              <w:tc>
                <w:tcPr>
                  <w:tcW w:w="1849" w:type="dxa"/>
                  <w:vMerge w:val="restart"/>
                  <w:shd w:val="clear" w:color="auto" w:fill="auto"/>
                </w:tcPr>
                <w:p w14:paraId="106CD899" w14:textId="77777777" w:rsidR="00E650BE" w:rsidRPr="00E914FB" w:rsidRDefault="00E650BE" w:rsidP="00DC7C25">
                  <w:pPr>
                    <w:tabs>
                      <w:tab w:val="left" w:pos="567"/>
                    </w:tabs>
                    <w:spacing w:after="0" w:line="240" w:lineRule="auto"/>
                    <w:rPr>
                      <w:rFonts w:ascii="Calibri" w:eastAsia="Times New Roman" w:hAnsi="Calibri" w:cs="Calibri"/>
                      <w:sz w:val="18"/>
                      <w:szCs w:val="18"/>
                    </w:rPr>
                  </w:pPr>
                  <w:r w:rsidRPr="00E914FB">
                    <w:rPr>
                      <w:rFonts w:ascii="Calibri" w:eastAsia="Times New Roman" w:hAnsi="Calibri" w:cs="Calibri"/>
                      <w:sz w:val="18"/>
                      <w:szCs w:val="18"/>
                    </w:rPr>
                    <w:t>Emtricitabine/ tenofovir</w:t>
                  </w:r>
                </w:p>
                <w:p w14:paraId="3ABE2259" w14:textId="77777777" w:rsidR="00E650BE" w:rsidRPr="00E914FB" w:rsidRDefault="00E650BE" w:rsidP="00DC7C25">
                  <w:pPr>
                    <w:tabs>
                      <w:tab w:val="left" w:pos="567"/>
                    </w:tabs>
                    <w:spacing w:after="0" w:line="240" w:lineRule="auto"/>
                    <w:rPr>
                      <w:rFonts w:ascii="Calibri" w:eastAsia="Times New Roman" w:hAnsi="Calibri" w:cs="Calibri"/>
                      <w:sz w:val="18"/>
                      <w:szCs w:val="18"/>
                    </w:rPr>
                  </w:pPr>
                  <w:r w:rsidRPr="00E914FB">
                    <w:rPr>
                      <w:rFonts w:ascii="Calibri" w:eastAsia="Times New Roman" w:hAnsi="Calibri" w:cs="Calibri"/>
                      <w:sz w:val="18"/>
                      <w:szCs w:val="18"/>
                    </w:rPr>
                    <w:t>200 mg once daily/300 mg once daily</w:t>
                  </w:r>
                </w:p>
              </w:tc>
              <w:tc>
                <w:tcPr>
                  <w:tcW w:w="992" w:type="dxa"/>
                  <w:shd w:val="clear" w:color="auto" w:fill="auto"/>
                </w:tcPr>
                <w:p w14:paraId="2B389616"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 em-tricitabine</w:t>
                  </w:r>
                </w:p>
              </w:tc>
              <w:tc>
                <w:tcPr>
                  <w:tcW w:w="992" w:type="dxa"/>
                  <w:shd w:val="clear" w:color="auto" w:fill="auto"/>
                </w:tcPr>
                <w:p w14:paraId="34E29718"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1.05</w:t>
                  </w:r>
                </w:p>
                <w:p w14:paraId="73CB4A09"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(1.00-1.12)</w:t>
                  </w:r>
                </w:p>
              </w:tc>
              <w:tc>
                <w:tcPr>
                  <w:tcW w:w="1134" w:type="dxa"/>
                  <w:shd w:val="clear" w:color="auto" w:fill="auto"/>
                </w:tcPr>
                <w:p w14:paraId="58E41EB3"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1.07</w:t>
                  </w:r>
                </w:p>
                <w:p w14:paraId="427A945D"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(1.00-1.14)</w:t>
                  </w:r>
                </w:p>
              </w:tc>
              <w:tc>
                <w:tcPr>
                  <w:tcW w:w="992" w:type="dxa"/>
                  <w:shd w:val="clear" w:color="auto" w:fill="auto"/>
                </w:tcPr>
                <w:p w14:paraId="739A9DBB"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1.09</w:t>
                  </w:r>
                </w:p>
                <w:p w14:paraId="0DA208FF"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(1.01-1.17)</w:t>
                  </w:r>
                </w:p>
              </w:tc>
              <w:tc>
                <w:tcPr>
                  <w:tcW w:w="3475" w:type="dxa"/>
                  <w:vMerge w:val="restart"/>
                  <w:shd w:val="clear" w:color="auto" w:fill="auto"/>
                </w:tcPr>
                <w:p w14:paraId="1C3FCE12" w14:textId="45747105" w:rsidR="00E650BE" w:rsidRPr="00E914FB" w:rsidRDefault="00E650BE" w:rsidP="00DC7C25">
                  <w:pPr>
                    <w:tabs>
                      <w:tab w:val="left" w:pos="567"/>
                    </w:tabs>
                    <w:spacing w:after="0" w:line="240" w:lineRule="auto"/>
                    <w:rPr>
                      <w:rFonts w:ascii="Calibri" w:eastAsia="Times New Roman" w:hAnsi="Calibri" w:cs="Calibri"/>
                      <w:sz w:val="20"/>
                      <w:szCs w:val="20"/>
                    </w:rPr>
                  </w:pPr>
                  <w:r w:rsidRPr="00E914FB">
                    <w:rPr>
                      <w:rFonts w:ascii="Calibri" w:eastAsia="Times New Roman" w:hAnsi="Calibri" w:cs="Calibri"/>
                      <w:sz w:val="20"/>
                      <w:szCs w:val="20"/>
                    </w:rPr>
                    <w:t>No dose adjustment is necessary for emtricitabine/tenofovir.</w:t>
                  </w:r>
                </w:p>
                <w:p w14:paraId="56D13B31" w14:textId="77777777" w:rsidR="00E650BE" w:rsidRPr="00E914FB" w:rsidRDefault="00E650BE" w:rsidP="00DC7C25">
                  <w:pPr>
                    <w:tabs>
                      <w:tab w:val="left" w:pos="567"/>
                    </w:tabs>
                    <w:spacing w:after="0" w:line="240" w:lineRule="auto"/>
                    <w:rPr>
                      <w:rFonts w:ascii="Calibri" w:eastAsia="Times New Roman" w:hAnsi="Calibri" w:cs="Calibri"/>
                      <w:sz w:val="20"/>
                      <w:szCs w:val="20"/>
                    </w:rPr>
                  </w:pPr>
                </w:p>
              </w:tc>
            </w:tr>
            <w:tr w:rsidR="00E650BE" w:rsidRPr="00E914FB" w14:paraId="1597F39C" w14:textId="77777777" w:rsidTr="00DC7C25">
              <w:tc>
                <w:tcPr>
                  <w:tcW w:w="1849" w:type="dxa"/>
                  <w:vMerge/>
                  <w:shd w:val="clear" w:color="auto" w:fill="auto"/>
                </w:tcPr>
                <w:p w14:paraId="17611338" w14:textId="77777777" w:rsidR="00E650BE" w:rsidRPr="00E914FB" w:rsidRDefault="00E650BE" w:rsidP="00DC7C25">
                  <w:pPr>
                    <w:tabs>
                      <w:tab w:val="left" w:pos="567"/>
                    </w:tabs>
                    <w:spacing w:after="0" w:line="240" w:lineRule="auto"/>
                    <w:rPr>
                      <w:rFonts w:ascii="Calibri" w:eastAsia="Times New Roman" w:hAnsi="Calibri" w:cs="Calibri"/>
                      <w:sz w:val="18"/>
                      <w:szCs w:val="18"/>
                    </w:rPr>
                  </w:pPr>
                </w:p>
              </w:tc>
              <w:tc>
                <w:tcPr>
                  <w:tcW w:w="992" w:type="dxa"/>
                  <w:shd w:val="clear" w:color="auto" w:fill="auto"/>
                </w:tcPr>
                <w:p w14:paraId="022B1574"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 tenofovir</w:t>
                  </w:r>
                </w:p>
              </w:tc>
              <w:tc>
                <w:tcPr>
                  <w:tcW w:w="992" w:type="dxa"/>
                  <w:shd w:val="clear" w:color="auto" w:fill="auto"/>
                </w:tcPr>
                <w:p w14:paraId="49E2A8E7"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1.07</w:t>
                  </w:r>
                </w:p>
                <w:p w14:paraId="177694BE"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(0.93-1.24)</w:t>
                  </w:r>
                </w:p>
              </w:tc>
              <w:tc>
                <w:tcPr>
                  <w:tcW w:w="1134" w:type="dxa"/>
                  <w:shd w:val="clear" w:color="auto" w:fill="auto"/>
                </w:tcPr>
                <w:p w14:paraId="3B34F9F1"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1.13</w:t>
                  </w:r>
                </w:p>
                <w:p w14:paraId="7A655FE0"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(1.07-1.20)</w:t>
                  </w:r>
                </w:p>
              </w:tc>
              <w:tc>
                <w:tcPr>
                  <w:tcW w:w="992" w:type="dxa"/>
                  <w:shd w:val="clear" w:color="auto" w:fill="auto"/>
                </w:tcPr>
                <w:p w14:paraId="1E1BFF9A"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1.24</w:t>
                  </w:r>
                </w:p>
                <w:p w14:paraId="332967BA" w14:textId="77777777" w:rsidR="00E650BE" w:rsidRPr="00E914FB" w:rsidRDefault="00E650BE" w:rsidP="00DC7C25">
                  <w:pPr>
                    <w:tabs>
                      <w:tab w:val="left" w:pos="567"/>
                    </w:tabs>
                    <w:spacing w:after="0" w:line="240" w:lineRule="auto"/>
                    <w:jc w:val="center"/>
                    <w:rPr>
                      <w:rFonts w:ascii="Calibri" w:eastAsia="Times New Roman" w:hAnsi="Calibri" w:cs="Calibri"/>
                      <w:sz w:val="16"/>
                      <w:szCs w:val="16"/>
                    </w:rPr>
                  </w:pPr>
                  <w:r w:rsidRPr="00E914FB">
                    <w:rPr>
                      <w:rFonts w:ascii="Calibri" w:eastAsia="Times New Roman" w:hAnsi="Calibri" w:cs="Calibri"/>
                      <w:sz w:val="16"/>
                      <w:szCs w:val="16"/>
                    </w:rPr>
                    <w:t>(1.13-1.36)</w:t>
                  </w:r>
                </w:p>
              </w:tc>
              <w:tc>
                <w:tcPr>
                  <w:tcW w:w="3475" w:type="dxa"/>
                  <w:vMerge/>
                  <w:shd w:val="clear" w:color="auto" w:fill="auto"/>
                </w:tcPr>
                <w:p w14:paraId="567D0790" w14:textId="77777777" w:rsidR="00E650BE" w:rsidRPr="00E914FB" w:rsidRDefault="00E650BE" w:rsidP="00DC7C25">
                  <w:pPr>
                    <w:tabs>
                      <w:tab w:val="left" w:pos="567"/>
                    </w:tabs>
                    <w:spacing w:after="0" w:line="240" w:lineRule="auto"/>
                    <w:rPr>
                      <w:rFonts w:ascii="Calibri" w:eastAsia="Times New Roman" w:hAnsi="Calibri" w:cs="Calibri"/>
                      <w:sz w:val="20"/>
                      <w:szCs w:val="20"/>
                    </w:rPr>
                  </w:pPr>
                </w:p>
              </w:tc>
            </w:tr>
            <w:tr w:rsidR="00E650BE" w:rsidRPr="00E914FB" w14:paraId="042F9E17" w14:textId="77777777" w:rsidTr="00DC7C25">
              <w:tc>
                <w:tcPr>
                  <w:tcW w:w="1849" w:type="dxa"/>
                  <w:vMerge/>
                  <w:shd w:val="clear" w:color="auto" w:fill="auto"/>
                </w:tcPr>
                <w:p w14:paraId="0169686A" w14:textId="77777777" w:rsidR="00E650BE" w:rsidRPr="002F22D4" w:rsidRDefault="00E650BE" w:rsidP="00DC7C25">
                  <w:pPr>
                    <w:tabs>
                      <w:tab w:val="left" w:pos="567"/>
                    </w:tabs>
                    <w:spacing w:after="0" w:line="240" w:lineRule="auto"/>
                    <w:rPr>
                      <w:rFonts w:ascii="Calibri" w:eastAsia="Times New Roman" w:hAnsi="Calibri" w:cs="Calibri"/>
                      <w:sz w:val="18"/>
                      <w:szCs w:val="18"/>
                    </w:rPr>
                  </w:pPr>
                </w:p>
              </w:tc>
              <w:tc>
                <w:tcPr>
                  <w:tcW w:w="992" w:type="dxa"/>
                  <w:shd w:val="clear" w:color="auto" w:fill="auto"/>
                </w:tcPr>
                <w:p w14:paraId="43D75B96"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 ombitasvir</w:t>
                  </w:r>
                </w:p>
              </w:tc>
              <w:tc>
                <w:tcPr>
                  <w:tcW w:w="992" w:type="dxa"/>
                  <w:shd w:val="clear" w:color="auto" w:fill="auto"/>
                </w:tcPr>
                <w:p w14:paraId="37E1625C"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0.89</w:t>
                  </w:r>
                </w:p>
                <w:p w14:paraId="5C8732B2"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(0.81-0.97)</w:t>
                  </w:r>
                </w:p>
              </w:tc>
              <w:tc>
                <w:tcPr>
                  <w:tcW w:w="1134" w:type="dxa"/>
                  <w:shd w:val="clear" w:color="auto" w:fill="auto"/>
                </w:tcPr>
                <w:p w14:paraId="49B0B73F"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0.99</w:t>
                  </w:r>
                </w:p>
                <w:p w14:paraId="1B72CAE6"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(0.93-1.05)</w:t>
                  </w:r>
                </w:p>
              </w:tc>
              <w:tc>
                <w:tcPr>
                  <w:tcW w:w="992" w:type="dxa"/>
                  <w:shd w:val="clear" w:color="auto" w:fill="auto"/>
                </w:tcPr>
                <w:p w14:paraId="1DDE9952"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0.97</w:t>
                  </w:r>
                </w:p>
                <w:p w14:paraId="7FACA85D"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(0.90-1.04)</w:t>
                  </w:r>
                </w:p>
              </w:tc>
              <w:tc>
                <w:tcPr>
                  <w:tcW w:w="3475" w:type="dxa"/>
                  <w:vMerge/>
                  <w:shd w:val="clear" w:color="auto" w:fill="auto"/>
                </w:tcPr>
                <w:p w14:paraId="1DC4063A" w14:textId="77777777" w:rsidR="00E650BE" w:rsidRPr="002F22D4" w:rsidRDefault="00E650BE" w:rsidP="00DC7C25">
                  <w:pPr>
                    <w:tabs>
                      <w:tab w:val="left" w:pos="567"/>
                    </w:tabs>
                    <w:spacing w:after="0" w:line="240" w:lineRule="auto"/>
                    <w:rPr>
                      <w:rFonts w:ascii="Calibri" w:eastAsia="Times New Roman" w:hAnsi="Calibri" w:cs="Calibri"/>
                      <w:sz w:val="20"/>
                      <w:szCs w:val="20"/>
                    </w:rPr>
                  </w:pPr>
                </w:p>
              </w:tc>
            </w:tr>
            <w:tr w:rsidR="00E650BE" w:rsidRPr="00E914FB" w14:paraId="321520E1" w14:textId="77777777" w:rsidTr="00DC7C25">
              <w:trPr>
                <w:trHeight w:val="197"/>
              </w:trPr>
              <w:tc>
                <w:tcPr>
                  <w:tcW w:w="1849" w:type="dxa"/>
                  <w:vMerge/>
                  <w:shd w:val="clear" w:color="auto" w:fill="auto"/>
                </w:tcPr>
                <w:p w14:paraId="31D0829E" w14:textId="77777777" w:rsidR="00E650BE" w:rsidRPr="002F22D4" w:rsidRDefault="00E650BE" w:rsidP="00DC7C25">
                  <w:pPr>
                    <w:tabs>
                      <w:tab w:val="left" w:pos="567"/>
                    </w:tabs>
                    <w:spacing w:after="0" w:line="240" w:lineRule="auto"/>
                    <w:rPr>
                      <w:rFonts w:ascii="Calibri" w:eastAsia="Times New Roman" w:hAnsi="Calibri" w:cs="Calibri"/>
                      <w:sz w:val="18"/>
                      <w:szCs w:val="18"/>
                    </w:rPr>
                  </w:pPr>
                </w:p>
              </w:tc>
              <w:tc>
                <w:tcPr>
                  <w:tcW w:w="992" w:type="dxa"/>
                  <w:shd w:val="clear" w:color="auto" w:fill="auto"/>
                </w:tcPr>
                <w:p w14:paraId="272FABF6"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 paritaprevir</w:t>
                  </w:r>
                </w:p>
                <w:p w14:paraId="6AE4B78F"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p>
              </w:tc>
              <w:tc>
                <w:tcPr>
                  <w:tcW w:w="992" w:type="dxa"/>
                  <w:shd w:val="clear" w:color="auto" w:fill="auto"/>
                </w:tcPr>
                <w:p w14:paraId="6362D5D1"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0.68</w:t>
                  </w:r>
                </w:p>
                <w:p w14:paraId="61B1B047"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(0.42-1.11)</w:t>
                  </w:r>
                </w:p>
              </w:tc>
              <w:tc>
                <w:tcPr>
                  <w:tcW w:w="1134" w:type="dxa"/>
                  <w:shd w:val="clear" w:color="auto" w:fill="auto"/>
                </w:tcPr>
                <w:p w14:paraId="78C48F92"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0.84</w:t>
                  </w:r>
                </w:p>
                <w:p w14:paraId="27C4D6F1"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(0.59-1.17)</w:t>
                  </w:r>
                </w:p>
              </w:tc>
              <w:tc>
                <w:tcPr>
                  <w:tcW w:w="992" w:type="dxa"/>
                  <w:shd w:val="clear" w:color="auto" w:fill="auto"/>
                </w:tcPr>
                <w:p w14:paraId="45769B9D"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1.06</w:t>
                  </w:r>
                </w:p>
                <w:p w14:paraId="723CBB7C"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(0.83-1.35)</w:t>
                  </w:r>
                </w:p>
              </w:tc>
              <w:tc>
                <w:tcPr>
                  <w:tcW w:w="3475" w:type="dxa"/>
                  <w:vMerge/>
                  <w:shd w:val="clear" w:color="auto" w:fill="auto"/>
                </w:tcPr>
                <w:p w14:paraId="1EF18201" w14:textId="77777777" w:rsidR="00E650BE" w:rsidRPr="002F22D4" w:rsidRDefault="00E650BE" w:rsidP="00DC7C25">
                  <w:pPr>
                    <w:tabs>
                      <w:tab w:val="left" w:pos="567"/>
                    </w:tabs>
                    <w:spacing w:after="0" w:line="240" w:lineRule="auto"/>
                    <w:rPr>
                      <w:rFonts w:ascii="Calibri" w:eastAsia="Times New Roman" w:hAnsi="Calibri" w:cs="Calibri"/>
                      <w:sz w:val="20"/>
                      <w:szCs w:val="20"/>
                    </w:rPr>
                  </w:pPr>
                </w:p>
              </w:tc>
            </w:tr>
            <w:tr w:rsidR="00E650BE" w:rsidRPr="00E914FB" w14:paraId="2B8231A2" w14:textId="77777777" w:rsidTr="00DC7C25">
              <w:trPr>
                <w:trHeight w:val="197"/>
              </w:trPr>
              <w:tc>
                <w:tcPr>
                  <w:tcW w:w="1849" w:type="dxa"/>
                  <w:vMerge/>
                  <w:shd w:val="clear" w:color="auto" w:fill="auto"/>
                </w:tcPr>
                <w:p w14:paraId="6F9B1A46" w14:textId="77777777" w:rsidR="00E650BE" w:rsidRPr="002F22D4" w:rsidRDefault="00E650BE" w:rsidP="00DC7C25">
                  <w:pPr>
                    <w:tabs>
                      <w:tab w:val="left" w:pos="567"/>
                    </w:tabs>
                    <w:spacing w:after="0" w:line="240" w:lineRule="auto"/>
                    <w:rPr>
                      <w:rFonts w:ascii="Calibri" w:eastAsia="Times New Roman" w:hAnsi="Calibri" w:cs="Calibri"/>
                      <w:sz w:val="18"/>
                      <w:szCs w:val="18"/>
                    </w:rPr>
                  </w:pPr>
                </w:p>
              </w:tc>
              <w:tc>
                <w:tcPr>
                  <w:tcW w:w="992" w:type="dxa"/>
                  <w:shd w:val="clear" w:color="auto" w:fill="auto"/>
                </w:tcPr>
                <w:p w14:paraId="742A1A27" w14:textId="7EB99A40"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 dasabuvir</w:t>
                  </w:r>
                </w:p>
              </w:tc>
              <w:tc>
                <w:tcPr>
                  <w:tcW w:w="992" w:type="dxa"/>
                  <w:shd w:val="clear" w:color="auto" w:fill="auto"/>
                </w:tcPr>
                <w:p w14:paraId="0E3A444E"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0.85</w:t>
                  </w:r>
                </w:p>
                <w:p w14:paraId="6C5B1AA8"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(0.74-0.98)</w:t>
                  </w:r>
                </w:p>
              </w:tc>
              <w:tc>
                <w:tcPr>
                  <w:tcW w:w="1134" w:type="dxa"/>
                  <w:shd w:val="clear" w:color="auto" w:fill="auto"/>
                </w:tcPr>
                <w:p w14:paraId="7E1A9351"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0.85</w:t>
                  </w:r>
                </w:p>
                <w:p w14:paraId="5C928708"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(0.75-0.96)</w:t>
                  </w:r>
                </w:p>
              </w:tc>
              <w:tc>
                <w:tcPr>
                  <w:tcW w:w="992" w:type="dxa"/>
                  <w:shd w:val="clear" w:color="auto" w:fill="auto"/>
                </w:tcPr>
                <w:p w14:paraId="7C531A70"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0.85</w:t>
                  </w:r>
                </w:p>
                <w:p w14:paraId="1B2A4768" w14:textId="77777777" w:rsidR="00E650BE" w:rsidRPr="002F22D4" w:rsidRDefault="00E650BE" w:rsidP="00DC7C25">
                  <w:pPr>
                    <w:tabs>
                      <w:tab w:val="left" w:pos="567"/>
                    </w:tabs>
                    <w:spacing w:after="0" w:line="240" w:lineRule="auto"/>
                    <w:jc w:val="center"/>
                    <w:rPr>
                      <w:rFonts w:ascii="Calibri" w:eastAsia="Times New Roman" w:hAnsi="Calibri" w:cs="Calibri"/>
                      <w:sz w:val="16"/>
                      <w:szCs w:val="16"/>
                    </w:rPr>
                  </w:pPr>
                  <w:r w:rsidRPr="002F22D4">
                    <w:rPr>
                      <w:rFonts w:ascii="Calibri" w:eastAsia="Times New Roman" w:hAnsi="Calibri" w:cs="Calibri"/>
                      <w:sz w:val="16"/>
                      <w:szCs w:val="16"/>
                    </w:rPr>
                    <w:t>(0.73-0.98)</w:t>
                  </w:r>
                </w:p>
              </w:tc>
              <w:tc>
                <w:tcPr>
                  <w:tcW w:w="3475" w:type="dxa"/>
                  <w:vMerge/>
                  <w:shd w:val="clear" w:color="auto" w:fill="auto"/>
                </w:tcPr>
                <w:p w14:paraId="400218E7" w14:textId="77777777" w:rsidR="00E650BE" w:rsidRPr="002F22D4" w:rsidRDefault="00E650BE" w:rsidP="00DC7C25">
                  <w:pPr>
                    <w:tabs>
                      <w:tab w:val="left" w:pos="567"/>
                    </w:tabs>
                    <w:spacing w:after="0" w:line="240" w:lineRule="auto"/>
                    <w:rPr>
                      <w:rFonts w:ascii="Calibri" w:eastAsia="Times New Roman" w:hAnsi="Calibri" w:cs="Calibri"/>
                      <w:sz w:val="20"/>
                      <w:szCs w:val="20"/>
                    </w:rPr>
                  </w:pPr>
                </w:p>
              </w:tc>
            </w:tr>
          </w:tbl>
          <w:p w14:paraId="3CB6D3EA" w14:textId="77777777" w:rsidR="00E650BE" w:rsidRPr="00E914FB" w:rsidRDefault="00E650BE" w:rsidP="00DC7C25">
            <w:pPr>
              <w:rPr>
                <w:rFonts w:cstheme="minorHAnsi"/>
                <w:b/>
                <w:sz w:val="20"/>
                <w:szCs w:val="20"/>
              </w:rPr>
            </w:pPr>
            <w:r w:rsidRPr="00E914FB">
              <w:rPr>
                <w:rFonts w:cstheme="minorHAnsi"/>
                <w:b/>
                <w:sz w:val="20"/>
                <w:szCs w:val="20"/>
              </w:rPr>
              <w:t>HMG-CoA Reductase Inhibitors</w:t>
            </w:r>
          </w:p>
        </w:tc>
      </w:tr>
      <w:tr w:rsidR="00D77DFD" w:rsidRPr="00E914FB" w14:paraId="77C92D03" w14:textId="77777777" w:rsidTr="00337D74">
        <w:trPr>
          <w:trHeight w:val="100"/>
        </w:trPr>
        <w:tc>
          <w:tcPr>
            <w:tcW w:w="1668" w:type="dxa"/>
            <w:vMerge w:val="restart"/>
          </w:tcPr>
          <w:p w14:paraId="4D11FFAA" w14:textId="77777777" w:rsidR="00D77DFD" w:rsidRPr="00E914FB" w:rsidRDefault="00D77DFD" w:rsidP="00D77DFD">
            <w:pPr>
              <w:tabs>
                <w:tab w:val="left" w:pos="567"/>
              </w:tabs>
              <w:rPr>
                <w:rFonts w:cstheme="minorHAnsi"/>
                <w:sz w:val="20"/>
                <w:szCs w:val="20"/>
              </w:rPr>
            </w:pPr>
            <w:r w:rsidRPr="00E914FB">
              <w:rPr>
                <w:rFonts w:cstheme="minorHAnsi"/>
                <w:sz w:val="20"/>
                <w:szCs w:val="20"/>
              </w:rPr>
              <w:t>Rosuvastatin</w:t>
            </w:r>
          </w:p>
          <w:p w14:paraId="468A0AE7"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5 mg once daily </w:t>
            </w:r>
          </w:p>
          <w:p w14:paraId="38D11A35" w14:textId="77777777" w:rsidR="00D77DFD" w:rsidRPr="00E914FB" w:rsidRDefault="00D77DFD" w:rsidP="00D77DFD">
            <w:pPr>
              <w:rPr>
                <w:rFonts w:cstheme="minorHAnsi"/>
                <w:sz w:val="20"/>
                <w:szCs w:val="20"/>
              </w:rPr>
            </w:pPr>
          </w:p>
        </w:tc>
        <w:tc>
          <w:tcPr>
            <w:tcW w:w="992" w:type="dxa"/>
            <w:tcBorders>
              <w:top w:val="single" w:sz="4" w:space="0" w:color="auto"/>
            </w:tcBorders>
          </w:tcPr>
          <w:p w14:paraId="48E7385F" w14:textId="77777777" w:rsidR="00D77DFD" w:rsidRPr="00E914FB" w:rsidRDefault="00D77DFD" w:rsidP="00D77DFD">
            <w:pPr>
              <w:rPr>
                <w:rFonts w:cstheme="minorHAnsi"/>
                <w:sz w:val="16"/>
                <w:szCs w:val="16"/>
              </w:rPr>
            </w:pPr>
          </w:p>
        </w:tc>
        <w:tc>
          <w:tcPr>
            <w:tcW w:w="1040" w:type="dxa"/>
            <w:tcBorders>
              <w:top w:val="single" w:sz="4" w:space="0" w:color="auto"/>
            </w:tcBorders>
          </w:tcPr>
          <w:p w14:paraId="696A7B89"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Borders>
              <w:top w:val="single" w:sz="4" w:space="0" w:color="auto"/>
            </w:tcBorders>
          </w:tcPr>
          <w:p w14:paraId="35122D9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Borders>
              <w:top w:val="single" w:sz="4" w:space="0" w:color="auto"/>
            </w:tcBorders>
          </w:tcPr>
          <w:p w14:paraId="156C704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7C1CD70B"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Mechanism:  OATP1B inhibition by paritaprevir and BCRP inhibition by paritaprevir, ritonavir or dasabuvir </w:t>
            </w:r>
          </w:p>
          <w:p w14:paraId="7972AD1D"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The maximum daily dose of rosuvastatin should be 5 mg </w:t>
            </w:r>
          </w:p>
          <w:p w14:paraId="1BE9EA2B" w14:textId="77777777" w:rsidR="00D77DFD" w:rsidRPr="00E914FB" w:rsidRDefault="00D77DFD" w:rsidP="00337D74">
            <w:pPr>
              <w:tabs>
                <w:tab w:val="left" w:pos="567"/>
              </w:tabs>
              <w:rPr>
                <w:rFonts w:cstheme="minorHAnsi"/>
                <w:sz w:val="20"/>
                <w:szCs w:val="20"/>
              </w:rPr>
            </w:pPr>
          </w:p>
        </w:tc>
      </w:tr>
      <w:tr w:rsidR="00D77DFD" w:rsidRPr="00E914FB" w14:paraId="34FD4F4D" w14:textId="77777777" w:rsidTr="00337D74">
        <w:trPr>
          <w:trHeight w:val="100"/>
        </w:trPr>
        <w:tc>
          <w:tcPr>
            <w:tcW w:w="1668" w:type="dxa"/>
            <w:vMerge/>
          </w:tcPr>
          <w:p w14:paraId="7BD0D189" w14:textId="77777777" w:rsidR="00D77DFD" w:rsidRPr="00E914FB" w:rsidRDefault="00D77DFD" w:rsidP="00D77DFD">
            <w:pPr>
              <w:tabs>
                <w:tab w:val="left" w:pos="567"/>
              </w:tabs>
              <w:rPr>
                <w:rFonts w:cstheme="minorHAnsi"/>
                <w:sz w:val="20"/>
                <w:szCs w:val="20"/>
              </w:rPr>
            </w:pPr>
          </w:p>
        </w:tc>
        <w:tc>
          <w:tcPr>
            <w:tcW w:w="992" w:type="dxa"/>
          </w:tcPr>
          <w:p w14:paraId="3DD1270E" w14:textId="315F8D5A"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rosuvastatin</w:t>
            </w:r>
          </w:p>
        </w:tc>
        <w:tc>
          <w:tcPr>
            <w:tcW w:w="1040" w:type="dxa"/>
          </w:tcPr>
          <w:p w14:paraId="1BD4090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7.13</w:t>
            </w:r>
          </w:p>
          <w:p w14:paraId="306AE2D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(5.11-9.96)</w:t>
            </w:r>
          </w:p>
        </w:tc>
        <w:tc>
          <w:tcPr>
            <w:tcW w:w="1040" w:type="dxa"/>
          </w:tcPr>
          <w:p w14:paraId="0F8D9D7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2.59</w:t>
            </w:r>
          </w:p>
          <w:p w14:paraId="46DE90A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(2.09-3.21)</w:t>
            </w:r>
          </w:p>
        </w:tc>
        <w:tc>
          <w:tcPr>
            <w:tcW w:w="1041" w:type="dxa"/>
          </w:tcPr>
          <w:p w14:paraId="6360603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0.59</w:t>
            </w:r>
          </w:p>
          <w:p w14:paraId="0358CA8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(0.51-0.69)</w:t>
            </w:r>
          </w:p>
        </w:tc>
        <w:tc>
          <w:tcPr>
            <w:tcW w:w="3464" w:type="dxa"/>
            <w:vMerge/>
          </w:tcPr>
          <w:p w14:paraId="005E194D" w14:textId="77777777" w:rsidR="00D77DFD" w:rsidRPr="00E914FB" w:rsidRDefault="00D77DFD" w:rsidP="00D77DFD">
            <w:pPr>
              <w:rPr>
                <w:rFonts w:cstheme="minorHAnsi"/>
                <w:sz w:val="20"/>
                <w:szCs w:val="20"/>
              </w:rPr>
            </w:pPr>
          </w:p>
        </w:tc>
      </w:tr>
      <w:tr w:rsidR="00D77DFD" w:rsidRPr="00E914FB" w14:paraId="47AB1ABE" w14:textId="77777777" w:rsidTr="00337D74">
        <w:trPr>
          <w:trHeight w:val="100"/>
        </w:trPr>
        <w:tc>
          <w:tcPr>
            <w:tcW w:w="1668" w:type="dxa"/>
            <w:vMerge/>
          </w:tcPr>
          <w:p w14:paraId="74D81CE1" w14:textId="77777777" w:rsidR="00D77DFD" w:rsidRPr="00E914FB" w:rsidRDefault="00D77DFD" w:rsidP="00D77DFD">
            <w:pPr>
              <w:tabs>
                <w:tab w:val="left" w:pos="567"/>
              </w:tabs>
              <w:rPr>
                <w:rFonts w:cstheme="minorHAnsi"/>
                <w:sz w:val="20"/>
                <w:szCs w:val="20"/>
              </w:rPr>
            </w:pPr>
          </w:p>
        </w:tc>
        <w:tc>
          <w:tcPr>
            <w:tcW w:w="992" w:type="dxa"/>
          </w:tcPr>
          <w:p w14:paraId="21D8DF2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17F56E9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w:t>
            </w:r>
          </w:p>
          <w:p w14:paraId="3D9FD8F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(0.82-1.04)</w:t>
            </w:r>
          </w:p>
        </w:tc>
        <w:tc>
          <w:tcPr>
            <w:tcW w:w="1040" w:type="dxa"/>
          </w:tcPr>
          <w:p w14:paraId="3853543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w:t>
            </w:r>
          </w:p>
          <w:p w14:paraId="6FD2D60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(0.83-0.95)</w:t>
            </w:r>
          </w:p>
        </w:tc>
        <w:tc>
          <w:tcPr>
            <w:tcW w:w="1041" w:type="dxa"/>
          </w:tcPr>
          <w:p w14:paraId="066A147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0.88</w:t>
            </w:r>
          </w:p>
          <w:p w14:paraId="2EA053E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(0.83-0.94)</w:t>
            </w:r>
          </w:p>
        </w:tc>
        <w:tc>
          <w:tcPr>
            <w:tcW w:w="3464" w:type="dxa"/>
            <w:vMerge/>
          </w:tcPr>
          <w:p w14:paraId="57BEA41F" w14:textId="77777777" w:rsidR="00D77DFD" w:rsidRPr="00E914FB" w:rsidRDefault="00D77DFD" w:rsidP="00D77DFD">
            <w:pPr>
              <w:rPr>
                <w:rFonts w:cstheme="minorHAnsi"/>
                <w:sz w:val="20"/>
                <w:szCs w:val="20"/>
              </w:rPr>
            </w:pPr>
          </w:p>
        </w:tc>
      </w:tr>
      <w:tr w:rsidR="00D77DFD" w:rsidRPr="00E914FB" w14:paraId="30D54521" w14:textId="77777777" w:rsidTr="00337D74">
        <w:trPr>
          <w:trHeight w:val="100"/>
        </w:trPr>
        <w:tc>
          <w:tcPr>
            <w:tcW w:w="1668" w:type="dxa"/>
            <w:vMerge/>
          </w:tcPr>
          <w:p w14:paraId="0A2DD0EE" w14:textId="77777777" w:rsidR="00D77DFD" w:rsidRPr="00E914FB" w:rsidRDefault="00D77DFD" w:rsidP="00D77DFD">
            <w:pPr>
              <w:tabs>
                <w:tab w:val="left" w:pos="567"/>
              </w:tabs>
              <w:rPr>
                <w:rFonts w:cstheme="minorHAnsi"/>
                <w:sz w:val="20"/>
                <w:szCs w:val="20"/>
              </w:rPr>
            </w:pPr>
          </w:p>
        </w:tc>
        <w:tc>
          <w:tcPr>
            <w:tcW w:w="992" w:type="dxa"/>
          </w:tcPr>
          <w:p w14:paraId="1AB4EF23"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2A46DFC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1.59</w:t>
            </w:r>
          </w:p>
          <w:p w14:paraId="7C042C8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(1.13-2.23)</w:t>
            </w:r>
          </w:p>
        </w:tc>
        <w:tc>
          <w:tcPr>
            <w:tcW w:w="1040" w:type="dxa"/>
          </w:tcPr>
          <w:p w14:paraId="472E648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1.52</w:t>
            </w:r>
          </w:p>
          <w:p w14:paraId="59D3958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(1.23-1.90)</w:t>
            </w:r>
          </w:p>
        </w:tc>
        <w:tc>
          <w:tcPr>
            <w:tcW w:w="1041" w:type="dxa"/>
          </w:tcPr>
          <w:p w14:paraId="251CAAB2"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1.43</w:t>
            </w:r>
          </w:p>
          <w:p w14:paraId="57CD472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(1.22-1.68)</w:t>
            </w:r>
          </w:p>
        </w:tc>
        <w:tc>
          <w:tcPr>
            <w:tcW w:w="3464" w:type="dxa"/>
            <w:vMerge/>
          </w:tcPr>
          <w:p w14:paraId="792F90DC" w14:textId="77777777" w:rsidR="00D77DFD" w:rsidRPr="00E914FB" w:rsidRDefault="00D77DFD" w:rsidP="00D77DFD">
            <w:pPr>
              <w:rPr>
                <w:rFonts w:cstheme="minorHAnsi"/>
                <w:sz w:val="20"/>
                <w:szCs w:val="20"/>
              </w:rPr>
            </w:pPr>
          </w:p>
        </w:tc>
      </w:tr>
      <w:tr w:rsidR="00D77DFD" w:rsidRPr="00E914FB" w14:paraId="75599D86" w14:textId="77777777" w:rsidTr="00337D74">
        <w:trPr>
          <w:trHeight w:val="100"/>
        </w:trPr>
        <w:tc>
          <w:tcPr>
            <w:tcW w:w="1668" w:type="dxa"/>
            <w:vMerge/>
          </w:tcPr>
          <w:p w14:paraId="00C9CA8D" w14:textId="77777777" w:rsidR="00D77DFD" w:rsidRPr="00E914FB" w:rsidRDefault="00D77DFD" w:rsidP="00D77DFD">
            <w:pPr>
              <w:tabs>
                <w:tab w:val="left" w:pos="567"/>
              </w:tabs>
              <w:rPr>
                <w:rFonts w:cstheme="minorHAnsi"/>
                <w:sz w:val="20"/>
                <w:szCs w:val="20"/>
              </w:rPr>
            </w:pPr>
          </w:p>
        </w:tc>
        <w:tc>
          <w:tcPr>
            <w:tcW w:w="992" w:type="dxa"/>
          </w:tcPr>
          <w:p w14:paraId="476A8602" w14:textId="7BD03CCE"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5CA3C5B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1.07</w:t>
            </w:r>
          </w:p>
          <w:p w14:paraId="11E569F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(0.92-1.24)</w:t>
            </w:r>
          </w:p>
        </w:tc>
        <w:tc>
          <w:tcPr>
            <w:tcW w:w="1040" w:type="dxa"/>
          </w:tcPr>
          <w:p w14:paraId="291E995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1.08</w:t>
            </w:r>
          </w:p>
          <w:p w14:paraId="15EEA24A"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(0.92-1.26)</w:t>
            </w:r>
          </w:p>
        </w:tc>
        <w:tc>
          <w:tcPr>
            <w:tcW w:w="1041" w:type="dxa"/>
          </w:tcPr>
          <w:p w14:paraId="7ED49D0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1.15</w:t>
            </w:r>
          </w:p>
          <w:p w14:paraId="3D987BC5"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(1.05-1.25)</w:t>
            </w:r>
          </w:p>
        </w:tc>
        <w:tc>
          <w:tcPr>
            <w:tcW w:w="3464" w:type="dxa"/>
            <w:vMerge/>
          </w:tcPr>
          <w:p w14:paraId="1DD0FBD3" w14:textId="77777777" w:rsidR="00D77DFD" w:rsidRPr="00E914FB" w:rsidRDefault="00D77DFD" w:rsidP="00D77DFD">
            <w:pPr>
              <w:rPr>
                <w:rFonts w:cstheme="minorHAnsi"/>
                <w:sz w:val="20"/>
                <w:szCs w:val="20"/>
              </w:rPr>
            </w:pPr>
          </w:p>
        </w:tc>
      </w:tr>
      <w:tr w:rsidR="00D77DFD" w:rsidRPr="00E914FB" w14:paraId="10C1CFD8" w14:textId="77777777" w:rsidTr="00337D74">
        <w:trPr>
          <w:trHeight w:val="66"/>
        </w:trPr>
        <w:tc>
          <w:tcPr>
            <w:tcW w:w="1668" w:type="dxa"/>
            <w:vMerge w:val="restart"/>
          </w:tcPr>
          <w:p w14:paraId="09FD0FA6" w14:textId="77777777" w:rsidR="00D77DFD" w:rsidRPr="00E914FB" w:rsidRDefault="00D77DFD" w:rsidP="00D77DFD">
            <w:pPr>
              <w:tabs>
                <w:tab w:val="left" w:pos="567"/>
              </w:tabs>
              <w:rPr>
                <w:rFonts w:cstheme="minorHAnsi"/>
                <w:sz w:val="20"/>
                <w:szCs w:val="20"/>
              </w:rPr>
            </w:pPr>
            <w:r w:rsidRPr="00E914FB">
              <w:rPr>
                <w:rFonts w:cstheme="minorHAnsi"/>
                <w:sz w:val="20"/>
                <w:szCs w:val="20"/>
              </w:rPr>
              <w:t>Pravastatin</w:t>
            </w:r>
          </w:p>
          <w:p w14:paraId="4C4E116B"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10 mg once daily </w:t>
            </w:r>
          </w:p>
        </w:tc>
        <w:tc>
          <w:tcPr>
            <w:tcW w:w="992" w:type="dxa"/>
          </w:tcPr>
          <w:p w14:paraId="69FF25F6" w14:textId="77777777" w:rsidR="00D77DFD" w:rsidRPr="00E914FB" w:rsidRDefault="00D77DFD" w:rsidP="00D77DFD">
            <w:pPr>
              <w:rPr>
                <w:rFonts w:cstheme="minorHAnsi"/>
                <w:sz w:val="16"/>
                <w:szCs w:val="16"/>
              </w:rPr>
            </w:pPr>
          </w:p>
        </w:tc>
        <w:tc>
          <w:tcPr>
            <w:tcW w:w="1040" w:type="dxa"/>
          </w:tcPr>
          <w:p w14:paraId="7C604460" w14:textId="77777777" w:rsidR="00D77DFD" w:rsidRPr="00E914FB" w:rsidRDefault="00D77DFD" w:rsidP="0013712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142C1A4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tcPr>
          <w:p w14:paraId="7AF9C660"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B3C38E0" w14:textId="77777777" w:rsidR="00D77DFD" w:rsidRPr="00E914FB" w:rsidRDefault="00D77DFD" w:rsidP="00D77DFD">
            <w:pPr>
              <w:tabs>
                <w:tab w:val="left" w:pos="567"/>
              </w:tabs>
              <w:rPr>
                <w:rFonts w:cstheme="minorHAnsi"/>
                <w:sz w:val="20"/>
                <w:szCs w:val="20"/>
              </w:rPr>
            </w:pPr>
            <w:r w:rsidRPr="00E914FB">
              <w:rPr>
                <w:rFonts w:cstheme="minorHAnsi"/>
                <w:sz w:val="20"/>
                <w:szCs w:val="20"/>
              </w:rPr>
              <w:t>Mechanism:  OATP1B/CYP3A4 inhibition by paritaprevir.</w:t>
            </w:r>
          </w:p>
          <w:p w14:paraId="305EC7B6" w14:textId="77777777" w:rsidR="00D77DFD" w:rsidRPr="00E914FB" w:rsidRDefault="00D77DFD" w:rsidP="00D77DFD">
            <w:pPr>
              <w:tabs>
                <w:tab w:val="left" w:pos="567"/>
              </w:tabs>
              <w:rPr>
                <w:rFonts w:cstheme="minorHAnsi"/>
                <w:sz w:val="20"/>
                <w:szCs w:val="20"/>
              </w:rPr>
            </w:pPr>
            <w:r w:rsidRPr="00E914FB">
              <w:rPr>
                <w:rFonts w:cstheme="minorHAnsi"/>
                <w:sz w:val="20"/>
                <w:szCs w:val="20"/>
              </w:rPr>
              <w:t>Reduce pravastatin dose by 50%.</w:t>
            </w:r>
          </w:p>
          <w:p w14:paraId="57E53F7F" w14:textId="77777777" w:rsidR="00D77DFD" w:rsidRPr="00E914FB" w:rsidRDefault="00D77DFD" w:rsidP="00337D74">
            <w:pPr>
              <w:tabs>
                <w:tab w:val="left" w:pos="567"/>
              </w:tabs>
              <w:rPr>
                <w:rFonts w:cstheme="minorHAnsi"/>
                <w:sz w:val="20"/>
                <w:szCs w:val="20"/>
              </w:rPr>
            </w:pPr>
          </w:p>
        </w:tc>
      </w:tr>
      <w:tr w:rsidR="00D77DFD" w:rsidRPr="00E914FB" w14:paraId="089BCD45" w14:textId="77777777" w:rsidTr="00337D74">
        <w:trPr>
          <w:trHeight w:val="66"/>
        </w:trPr>
        <w:tc>
          <w:tcPr>
            <w:tcW w:w="1668" w:type="dxa"/>
            <w:vMerge/>
          </w:tcPr>
          <w:p w14:paraId="764F49BD" w14:textId="77777777" w:rsidR="00D77DFD" w:rsidRPr="00E914FB" w:rsidRDefault="00D77DFD" w:rsidP="00D77DFD">
            <w:pPr>
              <w:tabs>
                <w:tab w:val="left" w:pos="567"/>
              </w:tabs>
              <w:rPr>
                <w:rFonts w:cstheme="minorHAnsi"/>
                <w:sz w:val="20"/>
                <w:szCs w:val="20"/>
              </w:rPr>
            </w:pPr>
          </w:p>
        </w:tc>
        <w:tc>
          <w:tcPr>
            <w:tcW w:w="992" w:type="dxa"/>
          </w:tcPr>
          <w:p w14:paraId="7C20D1E1" w14:textId="5F8E93FD"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pravastatin</w:t>
            </w:r>
          </w:p>
        </w:tc>
        <w:tc>
          <w:tcPr>
            <w:tcW w:w="1040" w:type="dxa"/>
          </w:tcPr>
          <w:p w14:paraId="1220B14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1.37</w:t>
            </w:r>
          </w:p>
          <w:p w14:paraId="0B3ECDE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(1.11-1.69)</w:t>
            </w:r>
          </w:p>
        </w:tc>
        <w:tc>
          <w:tcPr>
            <w:tcW w:w="1040" w:type="dxa"/>
          </w:tcPr>
          <w:p w14:paraId="036D3B0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1.82</w:t>
            </w:r>
          </w:p>
          <w:p w14:paraId="107F6DC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(1.60-2.08)</w:t>
            </w:r>
          </w:p>
        </w:tc>
        <w:tc>
          <w:tcPr>
            <w:tcW w:w="1041" w:type="dxa"/>
          </w:tcPr>
          <w:p w14:paraId="03A2BE5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156CC3AF" w14:textId="77777777" w:rsidR="00D77DFD" w:rsidRPr="00E914FB" w:rsidRDefault="00D77DFD" w:rsidP="00D77DFD">
            <w:pPr>
              <w:rPr>
                <w:rFonts w:cstheme="minorHAnsi"/>
                <w:sz w:val="20"/>
                <w:szCs w:val="20"/>
              </w:rPr>
            </w:pPr>
          </w:p>
        </w:tc>
      </w:tr>
      <w:tr w:rsidR="00D77DFD" w:rsidRPr="00E914FB" w14:paraId="364938D1" w14:textId="77777777" w:rsidTr="00337D74">
        <w:trPr>
          <w:trHeight w:val="66"/>
        </w:trPr>
        <w:tc>
          <w:tcPr>
            <w:tcW w:w="1668" w:type="dxa"/>
            <w:vMerge/>
          </w:tcPr>
          <w:p w14:paraId="5C1E887C" w14:textId="77777777" w:rsidR="00D77DFD" w:rsidRPr="00E914FB" w:rsidRDefault="00D77DFD" w:rsidP="00D77DFD">
            <w:pPr>
              <w:tabs>
                <w:tab w:val="left" w:pos="567"/>
              </w:tabs>
              <w:rPr>
                <w:rFonts w:cstheme="minorHAnsi"/>
                <w:sz w:val="20"/>
                <w:szCs w:val="20"/>
              </w:rPr>
            </w:pPr>
          </w:p>
        </w:tc>
        <w:tc>
          <w:tcPr>
            <w:tcW w:w="992" w:type="dxa"/>
          </w:tcPr>
          <w:p w14:paraId="1A66F4A3"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7AC3C0CB"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0.95</w:t>
            </w:r>
          </w:p>
          <w:p w14:paraId="42C812B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(0.89-1.02)</w:t>
            </w:r>
          </w:p>
        </w:tc>
        <w:tc>
          <w:tcPr>
            <w:tcW w:w="1040" w:type="dxa"/>
          </w:tcPr>
          <w:p w14:paraId="1082268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w:t>
            </w:r>
          </w:p>
          <w:p w14:paraId="6C0D108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(0.83-0.95)</w:t>
            </w:r>
          </w:p>
        </w:tc>
        <w:tc>
          <w:tcPr>
            <w:tcW w:w="1041" w:type="dxa"/>
          </w:tcPr>
          <w:p w14:paraId="4C3F5B0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0.94</w:t>
            </w:r>
          </w:p>
          <w:p w14:paraId="359371CF"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(0.89-0.99)</w:t>
            </w:r>
          </w:p>
        </w:tc>
        <w:tc>
          <w:tcPr>
            <w:tcW w:w="3464" w:type="dxa"/>
            <w:vMerge/>
          </w:tcPr>
          <w:p w14:paraId="7481E55E" w14:textId="77777777" w:rsidR="00D77DFD" w:rsidRPr="00E914FB" w:rsidRDefault="00D77DFD" w:rsidP="00D77DFD">
            <w:pPr>
              <w:rPr>
                <w:rFonts w:cstheme="minorHAnsi"/>
                <w:sz w:val="20"/>
                <w:szCs w:val="20"/>
              </w:rPr>
            </w:pPr>
          </w:p>
        </w:tc>
      </w:tr>
      <w:tr w:rsidR="00D77DFD" w:rsidRPr="00E914FB" w14:paraId="457ACF0D" w14:textId="77777777" w:rsidTr="00337D74">
        <w:trPr>
          <w:trHeight w:val="66"/>
        </w:trPr>
        <w:tc>
          <w:tcPr>
            <w:tcW w:w="1668" w:type="dxa"/>
            <w:vMerge/>
          </w:tcPr>
          <w:p w14:paraId="32157288" w14:textId="77777777" w:rsidR="00D77DFD" w:rsidRPr="00E914FB" w:rsidRDefault="00D77DFD" w:rsidP="00D77DFD">
            <w:pPr>
              <w:tabs>
                <w:tab w:val="left" w:pos="567"/>
              </w:tabs>
              <w:rPr>
                <w:rFonts w:cstheme="minorHAnsi"/>
                <w:sz w:val="20"/>
                <w:szCs w:val="20"/>
              </w:rPr>
            </w:pPr>
          </w:p>
        </w:tc>
        <w:tc>
          <w:tcPr>
            <w:tcW w:w="992" w:type="dxa"/>
          </w:tcPr>
          <w:p w14:paraId="1AF992EA" w14:textId="0E975B19"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tcPr>
          <w:p w14:paraId="7385DFDD"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1.00</w:t>
            </w:r>
          </w:p>
          <w:p w14:paraId="71EA1EB6"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(0.87-1.14)</w:t>
            </w:r>
          </w:p>
        </w:tc>
        <w:tc>
          <w:tcPr>
            <w:tcW w:w="1040" w:type="dxa"/>
          </w:tcPr>
          <w:p w14:paraId="3DA92ED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w:t>
            </w:r>
          </w:p>
          <w:p w14:paraId="1E77D32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(0.85-1.09)</w:t>
            </w:r>
          </w:p>
        </w:tc>
        <w:tc>
          <w:tcPr>
            <w:tcW w:w="1041" w:type="dxa"/>
          </w:tcPr>
          <w:p w14:paraId="75EBD368"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1.03</w:t>
            </w:r>
          </w:p>
          <w:p w14:paraId="731A39FC"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(0.91-1.15)</w:t>
            </w:r>
          </w:p>
        </w:tc>
        <w:tc>
          <w:tcPr>
            <w:tcW w:w="3464" w:type="dxa"/>
            <w:vMerge/>
          </w:tcPr>
          <w:p w14:paraId="502F6677" w14:textId="77777777" w:rsidR="00D77DFD" w:rsidRPr="00E914FB" w:rsidRDefault="00D77DFD" w:rsidP="00D77DFD">
            <w:pPr>
              <w:rPr>
                <w:rFonts w:cstheme="minorHAnsi"/>
                <w:sz w:val="20"/>
                <w:szCs w:val="20"/>
              </w:rPr>
            </w:pPr>
          </w:p>
        </w:tc>
      </w:tr>
      <w:tr w:rsidR="00D77DFD" w:rsidRPr="00E914FB" w14:paraId="2CAB9919" w14:textId="77777777" w:rsidTr="00337D74">
        <w:trPr>
          <w:trHeight w:val="66"/>
        </w:trPr>
        <w:tc>
          <w:tcPr>
            <w:tcW w:w="1668" w:type="dxa"/>
            <w:vMerge/>
          </w:tcPr>
          <w:p w14:paraId="13660E2D" w14:textId="77777777" w:rsidR="00D77DFD" w:rsidRPr="00E914FB" w:rsidRDefault="00D77DFD" w:rsidP="00D77DFD">
            <w:pPr>
              <w:tabs>
                <w:tab w:val="left" w:pos="567"/>
              </w:tabs>
              <w:rPr>
                <w:rFonts w:cstheme="minorHAnsi"/>
                <w:sz w:val="20"/>
                <w:szCs w:val="20"/>
              </w:rPr>
            </w:pPr>
          </w:p>
        </w:tc>
        <w:tc>
          <w:tcPr>
            <w:tcW w:w="992" w:type="dxa"/>
          </w:tcPr>
          <w:p w14:paraId="5AAA2D9D" w14:textId="7242FAAB"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4DA4D0F4"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0.96</w:t>
            </w:r>
          </w:p>
          <w:p w14:paraId="46F0F037"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(0.69-1.32)</w:t>
            </w:r>
          </w:p>
        </w:tc>
        <w:tc>
          <w:tcPr>
            <w:tcW w:w="1040" w:type="dxa"/>
          </w:tcPr>
          <w:p w14:paraId="243C4413"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1.13</w:t>
            </w:r>
          </w:p>
          <w:p w14:paraId="370C5B6E"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(0.92-1.38)</w:t>
            </w:r>
          </w:p>
        </w:tc>
        <w:tc>
          <w:tcPr>
            <w:tcW w:w="1041" w:type="dxa"/>
          </w:tcPr>
          <w:p w14:paraId="701C4C39"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1.39</w:t>
            </w:r>
          </w:p>
          <w:p w14:paraId="08A50891" w14:textId="77777777" w:rsidR="00D77DFD" w:rsidRPr="00E914FB" w:rsidRDefault="00D77DFD" w:rsidP="00137124">
            <w:pPr>
              <w:tabs>
                <w:tab w:val="left" w:pos="567"/>
              </w:tabs>
              <w:jc w:val="center"/>
              <w:rPr>
                <w:rFonts w:ascii="Calibri" w:hAnsi="Calibri" w:cs="Calibri"/>
                <w:sz w:val="16"/>
                <w:szCs w:val="16"/>
              </w:rPr>
            </w:pPr>
            <w:r w:rsidRPr="00E914FB">
              <w:rPr>
                <w:rFonts w:ascii="Calibri" w:hAnsi="Calibri" w:cs="Calibri"/>
                <w:sz w:val="16"/>
                <w:szCs w:val="16"/>
              </w:rPr>
              <w:t>(1.21-1.59)</w:t>
            </w:r>
          </w:p>
        </w:tc>
        <w:tc>
          <w:tcPr>
            <w:tcW w:w="3464" w:type="dxa"/>
            <w:vMerge/>
          </w:tcPr>
          <w:p w14:paraId="3E465EB2" w14:textId="77777777" w:rsidR="00D77DFD" w:rsidRPr="00E914FB" w:rsidRDefault="00D77DFD" w:rsidP="00D77DFD">
            <w:pPr>
              <w:rPr>
                <w:rFonts w:cstheme="minorHAnsi"/>
                <w:sz w:val="20"/>
                <w:szCs w:val="20"/>
              </w:rPr>
            </w:pPr>
          </w:p>
        </w:tc>
      </w:tr>
    </w:tbl>
    <w:p w14:paraId="04932778" w14:textId="77777777" w:rsidR="00885509" w:rsidRDefault="00885509">
      <w:r>
        <w:br w:type="page"/>
      </w:r>
    </w:p>
    <w:tbl>
      <w:tblPr>
        <w:tblStyle w:val="TableGrid20"/>
        <w:tblW w:w="9245" w:type="dxa"/>
        <w:tblLayout w:type="fixed"/>
        <w:tblLook w:val="04A0" w:firstRow="1" w:lastRow="0" w:firstColumn="1" w:lastColumn="0" w:noHBand="0" w:noVBand="1"/>
      </w:tblPr>
      <w:tblGrid>
        <w:gridCol w:w="1668"/>
        <w:gridCol w:w="992"/>
        <w:gridCol w:w="142"/>
        <w:gridCol w:w="898"/>
        <w:gridCol w:w="95"/>
        <w:gridCol w:w="945"/>
        <w:gridCol w:w="48"/>
        <w:gridCol w:w="993"/>
        <w:gridCol w:w="3464"/>
      </w:tblGrid>
      <w:tr w:rsidR="00D77DFD" w:rsidRPr="00E914FB" w14:paraId="1E707229" w14:textId="77777777" w:rsidTr="00A178EB">
        <w:tc>
          <w:tcPr>
            <w:tcW w:w="9245" w:type="dxa"/>
            <w:gridSpan w:val="9"/>
          </w:tcPr>
          <w:p w14:paraId="28494889" w14:textId="3DC6896E" w:rsidR="00D77DFD" w:rsidRPr="00E914FB" w:rsidRDefault="00D77DFD" w:rsidP="00D77DFD">
            <w:pPr>
              <w:rPr>
                <w:rFonts w:cstheme="minorHAnsi"/>
                <w:b/>
                <w:sz w:val="20"/>
              </w:rPr>
            </w:pPr>
            <w:r w:rsidRPr="00E914FB">
              <w:rPr>
                <w:rFonts w:cstheme="minorHAnsi"/>
                <w:b/>
                <w:sz w:val="20"/>
                <w:szCs w:val="20"/>
              </w:rPr>
              <w:lastRenderedPageBreak/>
              <w:t>Immunosuppressants</w:t>
            </w:r>
          </w:p>
        </w:tc>
      </w:tr>
      <w:tr w:rsidR="00D77DFD" w:rsidRPr="00E914FB" w14:paraId="7893F8CF" w14:textId="77777777" w:rsidTr="00337D74">
        <w:trPr>
          <w:trHeight w:val="134"/>
        </w:trPr>
        <w:tc>
          <w:tcPr>
            <w:tcW w:w="1668" w:type="dxa"/>
            <w:vMerge w:val="restart"/>
          </w:tcPr>
          <w:p w14:paraId="5AD83FD2" w14:textId="6F178D23" w:rsidR="00D77DFD" w:rsidRPr="00E914FB" w:rsidRDefault="00D77DFD" w:rsidP="00D77DFD">
            <w:pPr>
              <w:tabs>
                <w:tab w:val="left" w:pos="567"/>
              </w:tabs>
              <w:rPr>
                <w:rFonts w:cstheme="minorHAnsi"/>
                <w:sz w:val="20"/>
                <w:szCs w:val="20"/>
              </w:rPr>
            </w:pPr>
            <w:r w:rsidRPr="00E914FB">
              <w:rPr>
                <w:rFonts w:cstheme="minorHAnsi"/>
                <w:sz w:val="20"/>
                <w:szCs w:val="20"/>
              </w:rPr>
              <w:t>C</w:t>
            </w:r>
            <w:r w:rsidR="00F45463" w:rsidRPr="00E914FB">
              <w:rPr>
                <w:rFonts w:cstheme="minorHAnsi"/>
                <w:sz w:val="20"/>
                <w:szCs w:val="20"/>
              </w:rPr>
              <w:t>i</w:t>
            </w:r>
            <w:r w:rsidRPr="00E914FB">
              <w:rPr>
                <w:rFonts w:cstheme="minorHAnsi"/>
                <w:sz w:val="20"/>
                <w:szCs w:val="20"/>
              </w:rPr>
              <w:t>closporin</w:t>
            </w:r>
          </w:p>
          <w:p w14:paraId="35154C95" w14:textId="77777777" w:rsidR="00D77DFD" w:rsidRPr="00E914FB" w:rsidRDefault="00D77DFD" w:rsidP="00D77DFD">
            <w:pPr>
              <w:tabs>
                <w:tab w:val="left" w:pos="567"/>
              </w:tabs>
              <w:rPr>
                <w:rFonts w:cstheme="minorHAnsi"/>
                <w:sz w:val="20"/>
                <w:szCs w:val="20"/>
              </w:rPr>
            </w:pPr>
            <w:r w:rsidRPr="00E914FB">
              <w:rPr>
                <w:rFonts w:cstheme="minorHAnsi"/>
                <w:sz w:val="20"/>
                <w:szCs w:val="20"/>
              </w:rPr>
              <w:t>30 mg once daily single dose</w:t>
            </w:r>
            <w:r w:rsidRPr="00E914FB">
              <w:rPr>
                <w:rFonts w:cstheme="minorHAnsi"/>
                <w:sz w:val="20"/>
                <w:szCs w:val="20"/>
                <w:vertAlign w:val="superscript"/>
              </w:rPr>
              <w:t>4</w:t>
            </w:r>
          </w:p>
        </w:tc>
        <w:tc>
          <w:tcPr>
            <w:tcW w:w="992" w:type="dxa"/>
          </w:tcPr>
          <w:p w14:paraId="0D27BC2F" w14:textId="77777777" w:rsidR="00D77DFD" w:rsidRPr="00E914FB" w:rsidRDefault="00D77DFD" w:rsidP="00D77DFD">
            <w:pPr>
              <w:rPr>
                <w:rFonts w:cstheme="minorHAnsi"/>
                <w:sz w:val="16"/>
                <w:szCs w:val="16"/>
              </w:rPr>
            </w:pPr>
          </w:p>
        </w:tc>
        <w:tc>
          <w:tcPr>
            <w:tcW w:w="1040" w:type="dxa"/>
            <w:gridSpan w:val="2"/>
          </w:tcPr>
          <w:p w14:paraId="486B1890" w14:textId="77777777" w:rsidR="00D77DFD" w:rsidRPr="00E914FB" w:rsidRDefault="00D77DFD" w:rsidP="00337D7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gridSpan w:val="2"/>
          </w:tcPr>
          <w:p w14:paraId="4F9A1CB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gridSpan w:val="2"/>
          </w:tcPr>
          <w:p w14:paraId="664C4822"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17782E46" w14:textId="743C93E5" w:rsidR="00D77DFD" w:rsidRPr="00E914FB" w:rsidRDefault="00D77DFD" w:rsidP="00D77DFD">
            <w:pPr>
              <w:tabs>
                <w:tab w:val="left" w:pos="567"/>
              </w:tabs>
              <w:rPr>
                <w:rFonts w:cstheme="minorHAnsi"/>
                <w:sz w:val="20"/>
                <w:szCs w:val="20"/>
              </w:rPr>
            </w:pPr>
            <w:r w:rsidRPr="00E914FB">
              <w:rPr>
                <w:rFonts w:cstheme="minorHAnsi"/>
                <w:sz w:val="20"/>
                <w:szCs w:val="20"/>
              </w:rPr>
              <w:t>When starting co-administration with VIEKIRA PAK, give one fifth of the total daily dose of c</w:t>
            </w:r>
            <w:r w:rsidR="00F45463" w:rsidRPr="00E914FB">
              <w:rPr>
                <w:rFonts w:cstheme="minorHAnsi"/>
                <w:sz w:val="20"/>
                <w:szCs w:val="20"/>
              </w:rPr>
              <w:t>i</w:t>
            </w:r>
            <w:r w:rsidRPr="00E914FB">
              <w:rPr>
                <w:rFonts w:cstheme="minorHAnsi"/>
                <w:sz w:val="20"/>
                <w:szCs w:val="20"/>
              </w:rPr>
              <w:t>closporin once daily with VIEKIRA PAK. Monitor c</w:t>
            </w:r>
            <w:r w:rsidR="00F45463" w:rsidRPr="00E914FB">
              <w:rPr>
                <w:rFonts w:cstheme="minorHAnsi"/>
                <w:sz w:val="20"/>
                <w:szCs w:val="20"/>
              </w:rPr>
              <w:t>i</w:t>
            </w:r>
            <w:r w:rsidRPr="00E914FB">
              <w:rPr>
                <w:rFonts w:cstheme="minorHAnsi"/>
                <w:sz w:val="20"/>
                <w:szCs w:val="20"/>
              </w:rPr>
              <w:t>closporin</w:t>
            </w:r>
            <w:r w:rsidRPr="00E914FB" w:rsidDel="005706A3">
              <w:rPr>
                <w:rFonts w:cstheme="minorHAnsi"/>
                <w:sz w:val="20"/>
                <w:szCs w:val="20"/>
              </w:rPr>
              <w:t xml:space="preserve"> </w:t>
            </w:r>
            <w:r w:rsidRPr="00E914FB">
              <w:rPr>
                <w:rFonts w:cstheme="minorHAnsi"/>
                <w:sz w:val="20"/>
                <w:szCs w:val="20"/>
              </w:rPr>
              <w:t>levels and adjust dose and/or dosing frequency as needed.</w:t>
            </w:r>
          </w:p>
        </w:tc>
      </w:tr>
      <w:tr w:rsidR="00D77DFD" w:rsidRPr="00E914FB" w14:paraId="4B6A7C8A" w14:textId="77777777" w:rsidTr="00337D74">
        <w:trPr>
          <w:trHeight w:val="134"/>
        </w:trPr>
        <w:tc>
          <w:tcPr>
            <w:tcW w:w="1668" w:type="dxa"/>
            <w:vMerge/>
          </w:tcPr>
          <w:p w14:paraId="5FBD250B" w14:textId="77777777" w:rsidR="00D77DFD" w:rsidRPr="00E914FB" w:rsidRDefault="00D77DFD" w:rsidP="00D77DFD">
            <w:pPr>
              <w:rPr>
                <w:rFonts w:cstheme="minorHAnsi"/>
                <w:sz w:val="20"/>
                <w:szCs w:val="20"/>
              </w:rPr>
            </w:pPr>
          </w:p>
        </w:tc>
        <w:tc>
          <w:tcPr>
            <w:tcW w:w="992" w:type="dxa"/>
          </w:tcPr>
          <w:p w14:paraId="7642FCF8" w14:textId="53029CAB" w:rsidR="00D77DFD" w:rsidRPr="00E914FB" w:rsidRDefault="00D77DFD" w:rsidP="00F45463">
            <w:pPr>
              <w:tabs>
                <w:tab w:val="left" w:pos="567"/>
              </w:tabs>
              <w:rPr>
                <w:rFonts w:ascii="Calibri" w:hAnsi="Calibri" w:cs="Calibri"/>
                <w:sz w:val="16"/>
                <w:szCs w:val="16"/>
              </w:rPr>
            </w:pPr>
            <w:r w:rsidRPr="00E914FB">
              <w:rPr>
                <w:rFonts w:ascii="Calibri" w:hAnsi="Calibri" w:cs="Calibri"/>
                <w:sz w:val="16"/>
                <w:szCs w:val="16"/>
              </w:rPr>
              <w:t>↑ c</w:t>
            </w:r>
            <w:r w:rsidR="00F45463" w:rsidRPr="00E914FB">
              <w:rPr>
                <w:rFonts w:ascii="Calibri" w:hAnsi="Calibri" w:cs="Calibri"/>
                <w:sz w:val="16"/>
                <w:szCs w:val="16"/>
              </w:rPr>
              <w:t>i</w:t>
            </w:r>
            <w:r w:rsidRPr="00E914FB">
              <w:rPr>
                <w:rFonts w:ascii="Calibri" w:hAnsi="Calibri" w:cs="Calibri"/>
                <w:sz w:val="16"/>
                <w:szCs w:val="16"/>
              </w:rPr>
              <w:t>losporin</w:t>
            </w:r>
          </w:p>
        </w:tc>
        <w:tc>
          <w:tcPr>
            <w:tcW w:w="1040" w:type="dxa"/>
            <w:gridSpan w:val="2"/>
          </w:tcPr>
          <w:p w14:paraId="02EFBE7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1.01</w:t>
            </w:r>
          </w:p>
          <w:p w14:paraId="426AA52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(0.85-1.20)</w:t>
            </w:r>
          </w:p>
        </w:tc>
        <w:tc>
          <w:tcPr>
            <w:tcW w:w="1040" w:type="dxa"/>
            <w:gridSpan w:val="2"/>
          </w:tcPr>
          <w:p w14:paraId="104FE0A2"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5.82</w:t>
            </w:r>
          </w:p>
          <w:p w14:paraId="63696830"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(4.73-7.14)</w:t>
            </w:r>
          </w:p>
        </w:tc>
        <w:tc>
          <w:tcPr>
            <w:tcW w:w="1041" w:type="dxa"/>
            <w:gridSpan w:val="2"/>
          </w:tcPr>
          <w:p w14:paraId="5DCEE24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15.8</w:t>
            </w:r>
          </w:p>
          <w:p w14:paraId="64CB029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(13.8-18.09)</w:t>
            </w:r>
          </w:p>
        </w:tc>
        <w:tc>
          <w:tcPr>
            <w:tcW w:w="3464" w:type="dxa"/>
            <w:vMerge/>
          </w:tcPr>
          <w:p w14:paraId="5B2F94C0" w14:textId="77777777" w:rsidR="00D77DFD" w:rsidRPr="00E914FB" w:rsidRDefault="00D77DFD" w:rsidP="00D77DFD">
            <w:pPr>
              <w:rPr>
                <w:rFonts w:cstheme="minorHAnsi"/>
                <w:sz w:val="20"/>
                <w:szCs w:val="20"/>
              </w:rPr>
            </w:pPr>
          </w:p>
        </w:tc>
      </w:tr>
      <w:tr w:rsidR="00D77DFD" w:rsidRPr="00E914FB" w14:paraId="58413FD0" w14:textId="77777777" w:rsidTr="00337D74">
        <w:trPr>
          <w:trHeight w:val="134"/>
        </w:trPr>
        <w:tc>
          <w:tcPr>
            <w:tcW w:w="1668" w:type="dxa"/>
            <w:vMerge/>
          </w:tcPr>
          <w:p w14:paraId="4F389E76" w14:textId="77777777" w:rsidR="00D77DFD" w:rsidRPr="00E914FB" w:rsidRDefault="00D77DFD" w:rsidP="00D77DFD">
            <w:pPr>
              <w:rPr>
                <w:rFonts w:cstheme="minorHAnsi"/>
                <w:sz w:val="20"/>
                <w:szCs w:val="20"/>
              </w:rPr>
            </w:pPr>
          </w:p>
        </w:tc>
        <w:tc>
          <w:tcPr>
            <w:tcW w:w="992" w:type="dxa"/>
          </w:tcPr>
          <w:p w14:paraId="4A23F70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gridSpan w:val="2"/>
          </w:tcPr>
          <w:p w14:paraId="60C87912"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0.99</w:t>
            </w:r>
          </w:p>
          <w:p w14:paraId="05D983D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(0.92-1.07)</w:t>
            </w:r>
          </w:p>
        </w:tc>
        <w:tc>
          <w:tcPr>
            <w:tcW w:w="1040" w:type="dxa"/>
            <w:gridSpan w:val="2"/>
          </w:tcPr>
          <w:p w14:paraId="04A413A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1.08</w:t>
            </w:r>
          </w:p>
          <w:p w14:paraId="2592656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(1.05-1.11)</w:t>
            </w:r>
          </w:p>
        </w:tc>
        <w:tc>
          <w:tcPr>
            <w:tcW w:w="1041" w:type="dxa"/>
            <w:gridSpan w:val="2"/>
          </w:tcPr>
          <w:p w14:paraId="7C49E12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1.15</w:t>
            </w:r>
          </w:p>
          <w:p w14:paraId="3950B91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(1.08-1.23)</w:t>
            </w:r>
          </w:p>
        </w:tc>
        <w:tc>
          <w:tcPr>
            <w:tcW w:w="3464" w:type="dxa"/>
            <w:vMerge/>
          </w:tcPr>
          <w:p w14:paraId="68D897B7" w14:textId="77777777" w:rsidR="00D77DFD" w:rsidRPr="00E914FB" w:rsidRDefault="00D77DFD" w:rsidP="00D77DFD">
            <w:pPr>
              <w:rPr>
                <w:rFonts w:cstheme="minorHAnsi"/>
                <w:sz w:val="20"/>
                <w:szCs w:val="20"/>
              </w:rPr>
            </w:pPr>
          </w:p>
        </w:tc>
      </w:tr>
      <w:tr w:rsidR="00D77DFD" w:rsidRPr="00E914FB" w14:paraId="56FBE17E" w14:textId="77777777" w:rsidTr="00337D74">
        <w:trPr>
          <w:trHeight w:val="134"/>
        </w:trPr>
        <w:tc>
          <w:tcPr>
            <w:tcW w:w="1668" w:type="dxa"/>
            <w:vMerge/>
          </w:tcPr>
          <w:p w14:paraId="5A3A03D3" w14:textId="77777777" w:rsidR="00D77DFD" w:rsidRPr="00E914FB" w:rsidRDefault="00D77DFD" w:rsidP="00D77DFD">
            <w:pPr>
              <w:rPr>
                <w:rFonts w:cstheme="minorHAnsi"/>
                <w:sz w:val="20"/>
                <w:szCs w:val="20"/>
              </w:rPr>
            </w:pPr>
          </w:p>
        </w:tc>
        <w:tc>
          <w:tcPr>
            <w:tcW w:w="992" w:type="dxa"/>
          </w:tcPr>
          <w:p w14:paraId="7EB199C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gridSpan w:val="2"/>
          </w:tcPr>
          <w:p w14:paraId="7E6474B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1.44</w:t>
            </w:r>
          </w:p>
          <w:p w14:paraId="6EDEE7E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(1.16-1.78)</w:t>
            </w:r>
          </w:p>
        </w:tc>
        <w:tc>
          <w:tcPr>
            <w:tcW w:w="1040" w:type="dxa"/>
            <w:gridSpan w:val="2"/>
          </w:tcPr>
          <w:p w14:paraId="787344C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1.72</w:t>
            </w:r>
          </w:p>
          <w:p w14:paraId="7922B1F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(1.49-1.99)</w:t>
            </w:r>
          </w:p>
        </w:tc>
        <w:tc>
          <w:tcPr>
            <w:tcW w:w="1041" w:type="dxa"/>
            <w:gridSpan w:val="2"/>
          </w:tcPr>
          <w:p w14:paraId="4311BCE0"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1.85</w:t>
            </w:r>
          </w:p>
          <w:p w14:paraId="1A87B21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(1.58-2.18)</w:t>
            </w:r>
          </w:p>
        </w:tc>
        <w:tc>
          <w:tcPr>
            <w:tcW w:w="3464" w:type="dxa"/>
            <w:vMerge/>
          </w:tcPr>
          <w:p w14:paraId="62C91372" w14:textId="77777777" w:rsidR="00D77DFD" w:rsidRPr="00E914FB" w:rsidRDefault="00D77DFD" w:rsidP="00D77DFD">
            <w:pPr>
              <w:rPr>
                <w:rFonts w:cstheme="minorHAnsi"/>
                <w:sz w:val="20"/>
                <w:szCs w:val="20"/>
              </w:rPr>
            </w:pPr>
          </w:p>
        </w:tc>
      </w:tr>
      <w:tr w:rsidR="00D77DFD" w:rsidRPr="00E914FB" w14:paraId="0CD9AFC6" w14:textId="77777777" w:rsidTr="00337D74">
        <w:trPr>
          <w:trHeight w:val="134"/>
        </w:trPr>
        <w:tc>
          <w:tcPr>
            <w:tcW w:w="1668" w:type="dxa"/>
            <w:vMerge/>
          </w:tcPr>
          <w:p w14:paraId="180679E4" w14:textId="77777777" w:rsidR="00D77DFD" w:rsidRPr="00E914FB" w:rsidRDefault="00D77DFD" w:rsidP="00D77DFD">
            <w:pPr>
              <w:rPr>
                <w:rFonts w:cstheme="minorHAnsi"/>
                <w:sz w:val="20"/>
                <w:szCs w:val="20"/>
              </w:rPr>
            </w:pPr>
          </w:p>
        </w:tc>
        <w:tc>
          <w:tcPr>
            <w:tcW w:w="992" w:type="dxa"/>
          </w:tcPr>
          <w:p w14:paraId="5AC53149" w14:textId="39BE722A"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gridSpan w:val="2"/>
          </w:tcPr>
          <w:p w14:paraId="5A00921D"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0.66</w:t>
            </w:r>
          </w:p>
          <w:p w14:paraId="62F23F2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(0.58-0.75)</w:t>
            </w:r>
          </w:p>
        </w:tc>
        <w:tc>
          <w:tcPr>
            <w:tcW w:w="1040" w:type="dxa"/>
            <w:gridSpan w:val="2"/>
          </w:tcPr>
          <w:p w14:paraId="026D5BC4"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0.70</w:t>
            </w:r>
          </w:p>
          <w:p w14:paraId="38662234"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(0.65-0.76)</w:t>
            </w:r>
          </w:p>
        </w:tc>
        <w:tc>
          <w:tcPr>
            <w:tcW w:w="1041" w:type="dxa"/>
            <w:gridSpan w:val="2"/>
          </w:tcPr>
          <w:p w14:paraId="413B00F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0.76</w:t>
            </w:r>
          </w:p>
          <w:p w14:paraId="0FA170B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(0.71-0.82)</w:t>
            </w:r>
          </w:p>
        </w:tc>
        <w:tc>
          <w:tcPr>
            <w:tcW w:w="3464" w:type="dxa"/>
            <w:vMerge/>
          </w:tcPr>
          <w:p w14:paraId="3F6E7DB7" w14:textId="77777777" w:rsidR="00D77DFD" w:rsidRPr="00E914FB" w:rsidRDefault="00D77DFD" w:rsidP="00D77DFD">
            <w:pPr>
              <w:rPr>
                <w:rFonts w:cstheme="minorHAnsi"/>
                <w:sz w:val="20"/>
                <w:szCs w:val="20"/>
              </w:rPr>
            </w:pPr>
          </w:p>
        </w:tc>
      </w:tr>
      <w:tr w:rsidR="00D77DFD" w:rsidRPr="00E914FB" w14:paraId="2834881C" w14:textId="77777777" w:rsidTr="00337D74">
        <w:trPr>
          <w:trHeight w:val="66"/>
        </w:trPr>
        <w:tc>
          <w:tcPr>
            <w:tcW w:w="1668" w:type="dxa"/>
            <w:vMerge w:val="restart"/>
          </w:tcPr>
          <w:p w14:paraId="1638EDB0" w14:textId="77777777" w:rsidR="00D77DFD" w:rsidRPr="00E914FB" w:rsidRDefault="00D77DFD" w:rsidP="00D77DFD">
            <w:pPr>
              <w:tabs>
                <w:tab w:val="left" w:pos="567"/>
              </w:tabs>
              <w:rPr>
                <w:rFonts w:cstheme="minorHAnsi"/>
                <w:sz w:val="20"/>
                <w:szCs w:val="20"/>
              </w:rPr>
            </w:pPr>
            <w:r w:rsidRPr="00E914FB">
              <w:rPr>
                <w:rFonts w:cstheme="minorHAnsi"/>
                <w:sz w:val="20"/>
                <w:szCs w:val="20"/>
              </w:rPr>
              <w:t>Tacrolimus</w:t>
            </w:r>
          </w:p>
          <w:p w14:paraId="2103399A" w14:textId="77777777" w:rsidR="00D77DFD" w:rsidRPr="00E914FB" w:rsidRDefault="00D77DFD" w:rsidP="00D77DFD">
            <w:pPr>
              <w:tabs>
                <w:tab w:val="left" w:pos="567"/>
              </w:tabs>
              <w:rPr>
                <w:rFonts w:cstheme="minorHAnsi"/>
                <w:sz w:val="20"/>
                <w:szCs w:val="20"/>
              </w:rPr>
            </w:pPr>
            <w:r w:rsidRPr="00E914FB">
              <w:rPr>
                <w:rFonts w:cstheme="minorHAnsi"/>
                <w:sz w:val="20"/>
                <w:szCs w:val="20"/>
              </w:rPr>
              <w:t>2 mg single dose</w:t>
            </w:r>
          </w:p>
        </w:tc>
        <w:tc>
          <w:tcPr>
            <w:tcW w:w="992" w:type="dxa"/>
          </w:tcPr>
          <w:p w14:paraId="13C5996C" w14:textId="77777777" w:rsidR="00D77DFD" w:rsidRPr="00E914FB" w:rsidRDefault="00D77DFD" w:rsidP="00D77DFD">
            <w:pPr>
              <w:tabs>
                <w:tab w:val="left" w:pos="567"/>
              </w:tabs>
              <w:rPr>
                <w:rFonts w:ascii="Calibri" w:hAnsi="Calibri" w:cs="Calibri"/>
                <w:sz w:val="16"/>
                <w:szCs w:val="16"/>
              </w:rPr>
            </w:pPr>
          </w:p>
        </w:tc>
        <w:tc>
          <w:tcPr>
            <w:tcW w:w="1040" w:type="dxa"/>
            <w:gridSpan w:val="2"/>
          </w:tcPr>
          <w:p w14:paraId="1E9B7ADC" w14:textId="77777777" w:rsidR="00D77DFD" w:rsidRPr="00E914FB" w:rsidRDefault="00D77DFD" w:rsidP="00337D7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gridSpan w:val="2"/>
          </w:tcPr>
          <w:p w14:paraId="4DC50D5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gridSpan w:val="2"/>
          </w:tcPr>
          <w:p w14:paraId="1B9E482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2243EAAC" w14:textId="77777777" w:rsidR="00D77DFD" w:rsidRPr="00E914FB" w:rsidRDefault="00D77DFD" w:rsidP="00D77DFD">
            <w:pPr>
              <w:rPr>
                <w:rFonts w:cstheme="minorHAnsi"/>
                <w:sz w:val="20"/>
                <w:szCs w:val="20"/>
              </w:rPr>
            </w:pPr>
            <w:r w:rsidRPr="00E914FB">
              <w:rPr>
                <w:rFonts w:cstheme="minorHAnsi"/>
                <w:sz w:val="20"/>
                <w:szCs w:val="20"/>
              </w:rPr>
              <w:t>Mechanism: Effect on tacrolimus is due to CYP3A4 inhibition by ritonavir.</w:t>
            </w:r>
          </w:p>
          <w:p w14:paraId="228E99C9" w14:textId="46B1833A" w:rsidR="00D77DFD" w:rsidRPr="00E914FB" w:rsidRDefault="00D77DFD" w:rsidP="00D77DFD">
            <w:pPr>
              <w:tabs>
                <w:tab w:val="left" w:pos="567"/>
              </w:tabs>
              <w:rPr>
                <w:rFonts w:cstheme="minorHAnsi"/>
                <w:sz w:val="20"/>
                <w:szCs w:val="20"/>
              </w:rPr>
            </w:pPr>
            <w:r w:rsidRPr="00E914FB">
              <w:rPr>
                <w:rFonts w:cstheme="minorHAnsi"/>
                <w:sz w:val="20"/>
                <w:szCs w:val="20"/>
              </w:rPr>
              <w:t>When starting co-administration with VIEKIRA PAK, administer 0.5 mg tacrolimus once every week. Monitor tacrolimus levels and adjust dose and/or dosing frequency as needed.</w:t>
            </w:r>
          </w:p>
          <w:p w14:paraId="653B1F81" w14:textId="26413C4A" w:rsidR="00D77DFD" w:rsidRPr="00E914FB" w:rsidRDefault="00D77DFD" w:rsidP="00826AE6">
            <w:pPr>
              <w:tabs>
                <w:tab w:val="left" w:pos="567"/>
              </w:tabs>
              <w:rPr>
                <w:rFonts w:cstheme="minorHAnsi"/>
                <w:sz w:val="20"/>
                <w:szCs w:val="20"/>
              </w:rPr>
            </w:pPr>
          </w:p>
        </w:tc>
      </w:tr>
      <w:tr w:rsidR="00D77DFD" w:rsidRPr="00E914FB" w14:paraId="33CF2DEC" w14:textId="77777777" w:rsidTr="00337D74">
        <w:trPr>
          <w:trHeight w:val="66"/>
        </w:trPr>
        <w:tc>
          <w:tcPr>
            <w:tcW w:w="1668" w:type="dxa"/>
            <w:vMerge/>
          </w:tcPr>
          <w:p w14:paraId="02565166" w14:textId="77777777" w:rsidR="00D77DFD" w:rsidRPr="00E914FB" w:rsidRDefault="00D77DFD" w:rsidP="00D77DFD">
            <w:pPr>
              <w:tabs>
                <w:tab w:val="left" w:pos="567"/>
              </w:tabs>
              <w:rPr>
                <w:rFonts w:cstheme="minorHAnsi"/>
                <w:sz w:val="20"/>
                <w:szCs w:val="20"/>
              </w:rPr>
            </w:pPr>
          </w:p>
        </w:tc>
        <w:tc>
          <w:tcPr>
            <w:tcW w:w="992" w:type="dxa"/>
          </w:tcPr>
          <w:p w14:paraId="447D6483"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tacrolimus</w:t>
            </w:r>
          </w:p>
        </w:tc>
        <w:tc>
          <w:tcPr>
            <w:tcW w:w="1040" w:type="dxa"/>
            <w:gridSpan w:val="2"/>
          </w:tcPr>
          <w:p w14:paraId="1985C0B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3.99</w:t>
            </w:r>
          </w:p>
          <w:p w14:paraId="3B4030FC"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(3.21-4.97)</w:t>
            </w:r>
          </w:p>
        </w:tc>
        <w:tc>
          <w:tcPr>
            <w:tcW w:w="1040" w:type="dxa"/>
            <w:gridSpan w:val="2"/>
          </w:tcPr>
          <w:p w14:paraId="28A405F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57.1</w:t>
            </w:r>
          </w:p>
          <w:p w14:paraId="3785CD7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(45.5-71.7)</w:t>
            </w:r>
          </w:p>
        </w:tc>
        <w:tc>
          <w:tcPr>
            <w:tcW w:w="1041" w:type="dxa"/>
            <w:gridSpan w:val="2"/>
          </w:tcPr>
          <w:p w14:paraId="2327336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16.6</w:t>
            </w:r>
          </w:p>
          <w:p w14:paraId="31ECD27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(13.0-21.2)</w:t>
            </w:r>
          </w:p>
        </w:tc>
        <w:tc>
          <w:tcPr>
            <w:tcW w:w="3464" w:type="dxa"/>
            <w:vMerge/>
          </w:tcPr>
          <w:p w14:paraId="6552C7FD" w14:textId="77777777" w:rsidR="00D77DFD" w:rsidRPr="00E914FB" w:rsidRDefault="00D77DFD" w:rsidP="00D77DFD">
            <w:pPr>
              <w:rPr>
                <w:rFonts w:cstheme="minorHAnsi"/>
                <w:sz w:val="20"/>
                <w:szCs w:val="20"/>
              </w:rPr>
            </w:pPr>
          </w:p>
        </w:tc>
      </w:tr>
      <w:tr w:rsidR="00D77DFD" w:rsidRPr="00E914FB" w14:paraId="5D013A24" w14:textId="77777777" w:rsidTr="00337D74">
        <w:trPr>
          <w:trHeight w:val="66"/>
        </w:trPr>
        <w:tc>
          <w:tcPr>
            <w:tcW w:w="1668" w:type="dxa"/>
            <w:vMerge/>
          </w:tcPr>
          <w:p w14:paraId="2E2177A0" w14:textId="77777777" w:rsidR="00D77DFD" w:rsidRPr="00E914FB" w:rsidRDefault="00D77DFD" w:rsidP="00D77DFD">
            <w:pPr>
              <w:tabs>
                <w:tab w:val="left" w:pos="567"/>
              </w:tabs>
              <w:rPr>
                <w:rFonts w:cstheme="minorHAnsi"/>
                <w:sz w:val="20"/>
                <w:szCs w:val="20"/>
              </w:rPr>
            </w:pPr>
          </w:p>
        </w:tc>
        <w:tc>
          <w:tcPr>
            <w:tcW w:w="992" w:type="dxa"/>
          </w:tcPr>
          <w:p w14:paraId="54F6F42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gridSpan w:val="2"/>
          </w:tcPr>
          <w:p w14:paraId="2100D9B4"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0.93</w:t>
            </w:r>
          </w:p>
          <w:p w14:paraId="38AC92F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(0.88-0.99)</w:t>
            </w:r>
          </w:p>
        </w:tc>
        <w:tc>
          <w:tcPr>
            <w:tcW w:w="1040" w:type="dxa"/>
            <w:gridSpan w:val="2"/>
          </w:tcPr>
          <w:p w14:paraId="4F8E55D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0.94</w:t>
            </w:r>
          </w:p>
          <w:p w14:paraId="227FB940"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(0.89-0.98)</w:t>
            </w:r>
          </w:p>
        </w:tc>
        <w:tc>
          <w:tcPr>
            <w:tcW w:w="1041" w:type="dxa"/>
            <w:gridSpan w:val="2"/>
          </w:tcPr>
          <w:p w14:paraId="18F2A32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0.94</w:t>
            </w:r>
          </w:p>
          <w:p w14:paraId="2F6A771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(0.91-0.96)</w:t>
            </w:r>
          </w:p>
        </w:tc>
        <w:tc>
          <w:tcPr>
            <w:tcW w:w="3464" w:type="dxa"/>
            <w:vMerge/>
          </w:tcPr>
          <w:p w14:paraId="2266CE33" w14:textId="77777777" w:rsidR="00D77DFD" w:rsidRPr="00E914FB" w:rsidRDefault="00D77DFD" w:rsidP="00D77DFD">
            <w:pPr>
              <w:rPr>
                <w:rFonts w:cstheme="minorHAnsi"/>
                <w:sz w:val="20"/>
                <w:szCs w:val="20"/>
              </w:rPr>
            </w:pPr>
          </w:p>
        </w:tc>
      </w:tr>
      <w:tr w:rsidR="00D77DFD" w:rsidRPr="00E914FB" w14:paraId="76E07AC7" w14:textId="77777777" w:rsidTr="00337D74">
        <w:trPr>
          <w:trHeight w:val="66"/>
        </w:trPr>
        <w:tc>
          <w:tcPr>
            <w:tcW w:w="1668" w:type="dxa"/>
            <w:vMerge/>
          </w:tcPr>
          <w:p w14:paraId="13205916" w14:textId="77777777" w:rsidR="00D77DFD" w:rsidRPr="00E914FB" w:rsidRDefault="00D77DFD" w:rsidP="00D77DFD">
            <w:pPr>
              <w:tabs>
                <w:tab w:val="left" w:pos="567"/>
              </w:tabs>
              <w:rPr>
                <w:rFonts w:cstheme="minorHAnsi"/>
                <w:sz w:val="20"/>
                <w:szCs w:val="20"/>
              </w:rPr>
            </w:pPr>
          </w:p>
        </w:tc>
        <w:tc>
          <w:tcPr>
            <w:tcW w:w="992" w:type="dxa"/>
          </w:tcPr>
          <w:p w14:paraId="5B066AF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gridSpan w:val="2"/>
          </w:tcPr>
          <w:p w14:paraId="2041AA7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0.57</w:t>
            </w:r>
          </w:p>
          <w:p w14:paraId="12358E4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(0.42-0.78)</w:t>
            </w:r>
          </w:p>
        </w:tc>
        <w:tc>
          <w:tcPr>
            <w:tcW w:w="1040" w:type="dxa"/>
            <w:gridSpan w:val="2"/>
          </w:tcPr>
          <w:p w14:paraId="2BA09EC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0.66</w:t>
            </w:r>
          </w:p>
          <w:p w14:paraId="4BF7EF5D"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(0.54-0.81)</w:t>
            </w:r>
          </w:p>
        </w:tc>
        <w:tc>
          <w:tcPr>
            <w:tcW w:w="1041" w:type="dxa"/>
            <w:gridSpan w:val="2"/>
          </w:tcPr>
          <w:p w14:paraId="01A6B00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0.73</w:t>
            </w:r>
          </w:p>
          <w:p w14:paraId="72BBF64C"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(0.66-0.80)</w:t>
            </w:r>
          </w:p>
        </w:tc>
        <w:tc>
          <w:tcPr>
            <w:tcW w:w="3464" w:type="dxa"/>
            <w:vMerge/>
          </w:tcPr>
          <w:p w14:paraId="2FE4C82F" w14:textId="77777777" w:rsidR="00D77DFD" w:rsidRPr="00E914FB" w:rsidRDefault="00D77DFD" w:rsidP="00D77DFD">
            <w:pPr>
              <w:rPr>
                <w:rFonts w:cstheme="minorHAnsi"/>
                <w:sz w:val="20"/>
                <w:szCs w:val="20"/>
              </w:rPr>
            </w:pPr>
          </w:p>
        </w:tc>
      </w:tr>
      <w:tr w:rsidR="00D77DFD" w:rsidRPr="00E914FB" w14:paraId="3CD69078" w14:textId="77777777" w:rsidTr="00337D74">
        <w:trPr>
          <w:trHeight w:val="66"/>
        </w:trPr>
        <w:tc>
          <w:tcPr>
            <w:tcW w:w="1668" w:type="dxa"/>
            <w:vMerge/>
          </w:tcPr>
          <w:p w14:paraId="1CD31DFB" w14:textId="77777777" w:rsidR="00D77DFD" w:rsidRPr="00E914FB" w:rsidRDefault="00D77DFD" w:rsidP="00D77DFD">
            <w:pPr>
              <w:tabs>
                <w:tab w:val="left" w:pos="567"/>
              </w:tabs>
              <w:rPr>
                <w:rFonts w:cstheme="minorHAnsi"/>
                <w:sz w:val="20"/>
                <w:szCs w:val="20"/>
              </w:rPr>
            </w:pPr>
          </w:p>
        </w:tc>
        <w:tc>
          <w:tcPr>
            <w:tcW w:w="992" w:type="dxa"/>
          </w:tcPr>
          <w:p w14:paraId="1560FB1B" w14:textId="5A2E7F23"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gridSpan w:val="2"/>
          </w:tcPr>
          <w:p w14:paraId="448DE87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0.85</w:t>
            </w:r>
          </w:p>
          <w:p w14:paraId="131B024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(0.73-0.98)</w:t>
            </w:r>
          </w:p>
        </w:tc>
        <w:tc>
          <w:tcPr>
            <w:tcW w:w="1040" w:type="dxa"/>
            <w:gridSpan w:val="2"/>
          </w:tcPr>
          <w:p w14:paraId="0E3345B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0.90</w:t>
            </w:r>
          </w:p>
          <w:p w14:paraId="60067B3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(0.80-1.02)</w:t>
            </w:r>
          </w:p>
        </w:tc>
        <w:tc>
          <w:tcPr>
            <w:tcW w:w="1041" w:type="dxa"/>
            <w:gridSpan w:val="2"/>
          </w:tcPr>
          <w:p w14:paraId="73B1988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1.01</w:t>
            </w:r>
          </w:p>
          <w:p w14:paraId="7F34C7E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(0.91-1.11)</w:t>
            </w:r>
          </w:p>
        </w:tc>
        <w:tc>
          <w:tcPr>
            <w:tcW w:w="3464" w:type="dxa"/>
            <w:vMerge/>
          </w:tcPr>
          <w:p w14:paraId="26E51154" w14:textId="77777777" w:rsidR="00D77DFD" w:rsidRPr="00E914FB" w:rsidRDefault="00D77DFD" w:rsidP="00D77DFD">
            <w:pPr>
              <w:rPr>
                <w:rFonts w:cstheme="minorHAnsi"/>
                <w:sz w:val="20"/>
                <w:szCs w:val="20"/>
              </w:rPr>
            </w:pPr>
          </w:p>
        </w:tc>
      </w:tr>
      <w:tr w:rsidR="00D77DFD" w:rsidRPr="00E914FB" w14:paraId="23182322" w14:textId="77777777" w:rsidTr="00A178EB">
        <w:trPr>
          <w:trHeight w:val="124"/>
        </w:trPr>
        <w:tc>
          <w:tcPr>
            <w:tcW w:w="9245" w:type="dxa"/>
            <w:gridSpan w:val="9"/>
          </w:tcPr>
          <w:p w14:paraId="0E7113FA" w14:textId="77777777" w:rsidR="00D77DFD" w:rsidRPr="00E914FB" w:rsidRDefault="00D77DFD" w:rsidP="00D77DFD">
            <w:pPr>
              <w:tabs>
                <w:tab w:val="left" w:pos="567"/>
              </w:tabs>
              <w:rPr>
                <w:rFonts w:ascii="Times New Roman" w:hAnsi="Times New Roman" w:cstheme="minorHAnsi"/>
                <w:b/>
                <w:sz w:val="20"/>
                <w:szCs w:val="20"/>
              </w:rPr>
            </w:pPr>
            <w:r w:rsidRPr="00E914FB">
              <w:rPr>
                <w:rFonts w:cstheme="minorHAnsi"/>
                <w:b/>
                <w:sz w:val="20"/>
                <w:szCs w:val="20"/>
              </w:rPr>
              <w:t>Insulin Secretagogues</w:t>
            </w:r>
          </w:p>
        </w:tc>
      </w:tr>
      <w:tr w:rsidR="00D77DFD" w:rsidRPr="00E914FB" w14:paraId="244D6DA2" w14:textId="77777777" w:rsidTr="00337D74">
        <w:trPr>
          <w:trHeight w:val="124"/>
        </w:trPr>
        <w:tc>
          <w:tcPr>
            <w:tcW w:w="1668" w:type="dxa"/>
          </w:tcPr>
          <w:p w14:paraId="70088380" w14:textId="77777777" w:rsidR="00D77DFD" w:rsidRPr="00E914FB" w:rsidRDefault="00D77DFD" w:rsidP="00D77DFD">
            <w:pPr>
              <w:tabs>
                <w:tab w:val="left" w:pos="567"/>
              </w:tabs>
              <w:rPr>
                <w:rFonts w:cstheme="minorHAnsi"/>
                <w:sz w:val="20"/>
                <w:szCs w:val="20"/>
              </w:rPr>
            </w:pPr>
            <w:r w:rsidRPr="00E914FB">
              <w:rPr>
                <w:rFonts w:cstheme="minorHAnsi"/>
                <w:sz w:val="20"/>
                <w:szCs w:val="20"/>
              </w:rPr>
              <w:t>Repaglinide</w:t>
            </w:r>
          </w:p>
        </w:tc>
        <w:tc>
          <w:tcPr>
            <w:tcW w:w="4113" w:type="dxa"/>
            <w:gridSpan w:val="7"/>
          </w:tcPr>
          <w:p w14:paraId="11A9AF87" w14:textId="77777777" w:rsidR="00D77DFD" w:rsidRPr="00E914FB" w:rsidRDefault="00D77DFD" w:rsidP="00D77DFD">
            <w:pPr>
              <w:tabs>
                <w:tab w:val="left" w:pos="567"/>
              </w:tabs>
              <w:rPr>
                <w:rFonts w:ascii="Calibri" w:hAnsi="Calibri" w:cs="Calibri"/>
                <w:sz w:val="20"/>
                <w:szCs w:val="20"/>
              </w:rPr>
            </w:pPr>
            <w:r w:rsidRPr="00E914FB">
              <w:rPr>
                <w:rFonts w:ascii="Calibri" w:hAnsi="Calibri" w:cs="Calibri"/>
                <w:sz w:val="20"/>
                <w:szCs w:val="20"/>
              </w:rPr>
              <w:t>↑ repaglinide*</w:t>
            </w:r>
          </w:p>
          <w:p w14:paraId="35BF826B" w14:textId="77777777" w:rsidR="00D77DFD" w:rsidRPr="00E914FB" w:rsidRDefault="00D77DFD" w:rsidP="00D77DFD">
            <w:pPr>
              <w:tabs>
                <w:tab w:val="left" w:pos="567"/>
              </w:tabs>
              <w:rPr>
                <w:rFonts w:ascii="Calibri" w:hAnsi="Calibri" w:cs="Calibri"/>
                <w:sz w:val="20"/>
                <w:szCs w:val="20"/>
              </w:rPr>
            </w:pPr>
          </w:p>
        </w:tc>
        <w:tc>
          <w:tcPr>
            <w:tcW w:w="3464" w:type="dxa"/>
          </w:tcPr>
          <w:p w14:paraId="0EFB1B71" w14:textId="77777777" w:rsidR="00D77DFD" w:rsidRPr="00E914FB" w:rsidRDefault="00D77DFD" w:rsidP="00D77DFD">
            <w:pPr>
              <w:rPr>
                <w:rFonts w:cstheme="minorHAnsi"/>
                <w:sz w:val="20"/>
                <w:szCs w:val="20"/>
              </w:rPr>
            </w:pPr>
            <w:r w:rsidRPr="00E914FB">
              <w:rPr>
                <w:rFonts w:cstheme="minorHAnsi"/>
                <w:sz w:val="20"/>
                <w:szCs w:val="20"/>
              </w:rPr>
              <w:t>Mechanism:  OATP1B1 inhibition by paritaprevir.</w:t>
            </w:r>
          </w:p>
          <w:p w14:paraId="525865FD" w14:textId="77777777" w:rsidR="00D77DFD" w:rsidRPr="00E914FB" w:rsidRDefault="00D77DFD" w:rsidP="00D77DFD">
            <w:pPr>
              <w:rPr>
                <w:rFonts w:cstheme="minorHAnsi"/>
                <w:sz w:val="20"/>
                <w:szCs w:val="20"/>
              </w:rPr>
            </w:pPr>
            <w:r w:rsidRPr="00E914FB">
              <w:rPr>
                <w:rFonts w:cstheme="minorHAnsi"/>
                <w:sz w:val="20"/>
                <w:szCs w:val="20"/>
              </w:rPr>
              <w:t>Caution should be used and dose decrease maybe needed for repaglinide</w:t>
            </w:r>
          </w:p>
        </w:tc>
      </w:tr>
      <w:tr w:rsidR="00D77DFD" w:rsidRPr="00E914FB" w14:paraId="74F5AC02" w14:textId="77777777" w:rsidTr="00A178EB">
        <w:trPr>
          <w:trHeight w:val="124"/>
        </w:trPr>
        <w:tc>
          <w:tcPr>
            <w:tcW w:w="9245" w:type="dxa"/>
            <w:gridSpan w:val="9"/>
          </w:tcPr>
          <w:p w14:paraId="4973A7B5" w14:textId="1BFFE04B" w:rsidR="00D77DFD" w:rsidRPr="00E914FB" w:rsidRDefault="00D77DFD" w:rsidP="00D77DFD">
            <w:pPr>
              <w:tabs>
                <w:tab w:val="left" w:pos="567"/>
              </w:tabs>
              <w:rPr>
                <w:rFonts w:ascii="Times New Roman" w:hAnsi="Times New Roman" w:cstheme="minorHAnsi"/>
                <w:b/>
                <w:sz w:val="20"/>
                <w:szCs w:val="20"/>
              </w:rPr>
            </w:pPr>
            <w:r w:rsidRPr="00E914FB">
              <w:rPr>
                <w:rFonts w:cstheme="minorHAnsi"/>
                <w:b/>
                <w:sz w:val="20"/>
                <w:szCs w:val="20"/>
              </w:rPr>
              <w:t>Iron Chelators</w:t>
            </w:r>
          </w:p>
        </w:tc>
      </w:tr>
      <w:tr w:rsidR="00D77DFD" w:rsidRPr="00E914FB" w14:paraId="03CD25AB" w14:textId="77777777" w:rsidTr="00337D74">
        <w:trPr>
          <w:trHeight w:val="124"/>
        </w:trPr>
        <w:tc>
          <w:tcPr>
            <w:tcW w:w="1668" w:type="dxa"/>
          </w:tcPr>
          <w:p w14:paraId="0FD4C017" w14:textId="77777777" w:rsidR="00D77DFD" w:rsidRPr="00E914FB" w:rsidRDefault="00D77DFD" w:rsidP="00D77DFD">
            <w:pPr>
              <w:tabs>
                <w:tab w:val="left" w:pos="567"/>
              </w:tabs>
              <w:rPr>
                <w:rFonts w:cstheme="minorHAnsi"/>
                <w:sz w:val="20"/>
                <w:szCs w:val="20"/>
                <w:lang w:eastAsia="ja-JP"/>
              </w:rPr>
            </w:pPr>
            <w:r w:rsidRPr="00E914FB">
              <w:rPr>
                <w:rFonts w:cstheme="minorHAnsi"/>
                <w:sz w:val="20"/>
                <w:szCs w:val="20"/>
                <w:lang w:eastAsia="ja-JP"/>
              </w:rPr>
              <w:t>Deferasirox</w:t>
            </w:r>
          </w:p>
        </w:tc>
        <w:tc>
          <w:tcPr>
            <w:tcW w:w="4113" w:type="dxa"/>
            <w:gridSpan w:val="7"/>
          </w:tcPr>
          <w:p w14:paraId="6FD9F377" w14:textId="77777777" w:rsidR="00D77DFD" w:rsidRPr="00E914FB" w:rsidRDefault="00D77DFD" w:rsidP="00D77DFD">
            <w:pPr>
              <w:tabs>
                <w:tab w:val="left" w:pos="567"/>
              </w:tabs>
              <w:rPr>
                <w:rFonts w:ascii="Calibri" w:hAnsi="Calibri" w:cs="Calibri"/>
                <w:sz w:val="20"/>
                <w:szCs w:val="20"/>
              </w:rPr>
            </w:pPr>
            <w:r w:rsidRPr="00E914FB">
              <w:rPr>
                <w:rFonts w:cstheme="minorHAnsi"/>
                <w:sz w:val="20"/>
                <w:szCs w:val="20"/>
                <w:lang w:eastAsia="ja-JP"/>
              </w:rPr>
              <w:t>↑ dasabuvir*</w:t>
            </w:r>
          </w:p>
        </w:tc>
        <w:tc>
          <w:tcPr>
            <w:tcW w:w="3464" w:type="dxa"/>
          </w:tcPr>
          <w:p w14:paraId="175E1684" w14:textId="77777777" w:rsidR="00D77DFD" w:rsidRPr="00E914FB" w:rsidRDefault="00D77DFD" w:rsidP="00D77DFD">
            <w:pPr>
              <w:rPr>
                <w:rFonts w:cstheme="minorHAnsi"/>
                <w:sz w:val="20"/>
                <w:szCs w:val="20"/>
              </w:rPr>
            </w:pPr>
            <w:r w:rsidRPr="00E914FB">
              <w:rPr>
                <w:rFonts w:cstheme="minorHAnsi"/>
                <w:sz w:val="20"/>
                <w:szCs w:val="20"/>
              </w:rPr>
              <w:t>Mechanism: CYP2C8 inhibition by deferasirox.</w:t>
            </w:r>
          </w:p>
          <w:p w14:paraId="0F928A37" w14:textId="77777777" w:rsidR="00D77DFD" w:rsidRPr="00E914FB" w:rsidRDefault="00D77DFD" w:rsidP="00D77DFD">
            <w:pPr>
              <w:rPr>
                <w:rFonts w:cstheme="minorHAnsi"/>
                <w:sz w:val="20"/>
                <w:szCs w:val="20"/>
              </w:rPr>
            </w:pPr>
            <w:r w:rsidRPr="00E914FB">
              <w:rPr>
                <w:rFonts w:cstheme="minorHAnsi"/>
                <w:sz w:val="20"/>
                <w:szCs w:val="20"/>
              </w:rPr>
              <w:t>Deferasirox may increase dasabuvir exposures and should be used with caution.</w:t>
            </w:r>
          </w:p>
        </w:tc>
      </w:tr>
      <w:tr w:rsidR="00D77DFD" w:rsidRPr="00E914FB" w14:paraId="3357B82B" w14:textId="77777777" w:rsidTr="00A178EB">
        <w:trPr>
          <w:trHeight w:val="124"/>
        </w:trPr>
        <w:tc>
          <w:tcPr>
            <w:tcW w:w="9245" w:type="dxa"/>
            <w:gridSpan w:val="9"/>
          </w:tcPr>
          <w:p w14:paraId="702AC1BF" w14:textId="77777777" w:rsidR="00D77DFD" w:rsidRPr="00E914FB" w:rsidRDefault="00D77DFD" w:rsidP="00D77DFD">
            <w:pPr>
              <w:tabs>
                <w:tab w:val="left" w:pos="567"/>
              </w:tabs>
              <w:rPr>
                <w:rFonts w:cstheme="minorHAnsi"/>
                <w:b/>
                <w:sz w:val="20"/>
                <w:szCs w:val="20"/>
              </w:rPr>
            </w:pPr>
            <w:r w:rsidRPr="00E914FB">
              <w:rPr>
                <w:rFonts w:cstheme="minorHAnsi"/>
                <w:b/>
                <w:sz w:val="20"/>
                <w:szCs w:val="20"/>
              </w:rPr>
              <w:t>Medicinal Products used in Multiple Sclerosis</w:t>
            </w:r>
          </w:p>
        </w:tc>
      </w:tr>
      <w:tr w:rsidR="00D77DFD" w:rsidRPr="00E914FB" w14:paraId="2A250552" w14:textId="77777777" w:rsidTr="00337D74">
        <w:trPr>
          <w:trHeight w:val="124"/>
        </w:trPr>
        <w:tc>
          <w:tcPr>
            <w:tcW w:w="1668" w:type="dxa"/>
          </w:tcPr>
          <w:p w14:paraId="47412628" w14:textId="77777777" w:rsidR="00D77DFD" w:rsidRPr="00E914FB" w:rsidRDefault="00D77DFD" w:rsidP="00D77DFD">
            <w:pPr>
              <w:tabs>
                <w:tab w:val="left" w:pos="567"/>
              </w:tabs>
              <w:rPr>
                <w:rFonts w:cstheme="minorHAnsi"/>
                <w:sz w:val="20"/>
                <w:szCs w:val="20"/>
                <w:lang w:eastAsia="ja-JP"/>
              </w:rPr>
            </w:pPr>
            <w:r w:rsidRPr="00E914FB">
              <w:rPr>
                <w:rFonts w:cstheme="minorHAnsi"/>
                <w:sz w:val="20"/>
                <w:szCs w:val="20"/>
                <w:lang w:eastAsia="ja-JP"/>
              </w:rPr>
              <w:t>Teriflunomide</w:t>
            </w:r>
          </w:p>
        </w:tc>
        <w:tc>
          <w:tcPr>
            <w:tcW w:w="4113" w:type="dxa"/>
            <w:gridSpan w:val="7"/>
          </w:tcPr>
          <w:p w14:paraId="2961B2E3" w14:textId="77777777" w:rsidR="00D77DFD" w:rsidRPr="00E914FB" w:rsidRDefault="00D77DFD" w:rsidP="00D77DFD">
            <w:pPr>
              <w:tabs>
                <w:tab w:val="left" w:pos="567"/>
              </w:tabs>
              <w:rPr>
                <w:rFonts w:ascii="Calibri" w:hAnsi="Calibri" w:cs="Calibri"/>
                <w:sz w:val="20"/>
                <w:szCs w:val="20"/>
              </w:rPr>
            </w:pPr>
            <w:r w:rsidRPr="00E914FB">
              <w:rPr>
                <w:rFonts w:cstheme="minorHAnsi"/>
                <w:sz w:val="20"/>
                <w:szCs w:val="20"/>
                <w:lang w:eastAsia="ja-JP"/>
              </w:rPr>
              <w:t>↑ dasabuvir*</w:t>
            </w:r>
          </w:p>
        </w:tc>
        <w:tc>
          <w:tcPr>
            <w:tcW w:w="3464" w:type="dxa"/>
          </w:tcPr>
          <w:p w14:paraId="24186697" w14:textId="77777777" w:rsidR="00D77DFD" w:rsidRPr="00E914FB" w:rsidRDefault="00D77DFD" w:rsidP="00D77DFD">
            <w:pPr>
              <w:rPr>
                <w:rFonts w:cstheme="minorHAnsi"/>
                <w:sz w:val="20"/>
                <w:szCs w:val="20"/>
              </w:rPr>
            </w:pPr>
            <w:r w:rsidRPr="00E914FB">
              <w:rPr>
                <w:rFonts w:cstheme="minorHAnsi"/>
                <w:sz w:val="20"/>
                <w:szCs w:val="20"/>
              </w:rPr>
              <w:t>CYP2C8 inhibition by teriflunomide.</w:t>
            </w:r>
          </w:p>
          <w:p w14:paraId="57246434" w14:textId="77777777" w:rsidR="00D77DFD" w:rsidRPr="00E914FB" w:rsidRDefault="00D77DFD" w:rsidP="00D77DFD">
            <w:pPr>
              <w:rPr>
                <w:rFonts w:cstheme="minorHAnsi"/>
                <w:sz w:val="20"/>
                <w:szCs w:val="20"/>
              </w:rPr>
            </w:pPr>
            <w:r w:rsidRPr="00E914FB">
              <w:rPr>
                <w:rFonts w:cstheme="minorHAnsi"/>
                <w:sz w:val="20"/>
                <w:szCs w:val="20"/>
              </w:rPr>
              <w:t>Teriflunomide may increase dasabuvir exposures and should be used with caution.</w:t>
            </w:r>
          </w:p>
        </w:tc>
      </w:tr>
      <w:tr w:rsidR="00D77DFD" w:rsidRPr="00E914FB" w14:paraId="51386454" w14:textId="77777777" w:rsidTr="00A178EB">
        <w:trPr>
          <w:trHeight w:val="124"/>
        </w:trPr>
        <w:tc>
          <w:tcPr>
            <w:tcW w:w="9245" w:type="dxa"/>
            <w:gridSpan w:val="9"/>
          </w:tcPr>
          <w:p w14:paraId="6949D9E0" w14:textId="77777777" w:rsidR="00D77DFD" w:rsidRPr="00E914FB" w:rsidRDefault="00D77DFD" w:rsidP="00D77DFD">
            <w:pPr>
              <w:tabs>
                <w:tab w:val="left" w:pos="567"/>
              </w:tabs>
              <w:rPr>
                <w:rFonts w:ascii="Times New Roman" w:hAnsi="Times New Roman" w:cstheme="minorHAnsi"/>
                <w:b/>
                <w:sz w:val="20"/>
                <w:szCs w:val="20"/>
              </w:rPr>
            </w:pPr>
            <w:r w:rsidRPr="00E914FB">
              <w:rPr>
                <w:rFonts w:cstheme="minorHAnsi"/>
                <w:b/>
                <w:sz w:val="20"/>
                <w:szCs w:val="20"/>
              </w:rPr>
              <w:t>Opioids</w:t>
            </w:r>
          </w:p>
        </w:tc>
      </w:tr>
      <w:tr w:rsidR="00D77DFD" w:rsidRPr="00E914FB" w14:paraId="663F14D5" w14:textId="77777777" w:rsidTr="00337D74">
        <w:trPr>
          <w:trHeight w:val="135"/>
        </w:trPr>
        <w:tc>
          <w:tcPr>
            <w:tcW w:w="1668" w:type="dxa"/>
            <w:vMerge w:val="restart"/>
          </w:tcPr>
          <w:p w14:paraId="7B6DD150" w14:textId="77777777" w:rsidR="00D77DFD" w:rsidRPr="00E914FB" w:rsidRDefault="00D77DFD" w:rsidP="00D77DFD">
            <w:pPr>
              <w:tabs>
                <w:tab w:val="left" w:pos="567"/>
              </w:tabs>
              <w:rPr>
                <w:rFonts w:cstheme="minorHAnsi"/>
                <w:sz w:val="20"/>
                <w:szCs w:val="20"/>
              </w:rPr>
            </w:pPr>
            <w:r w:rsidRPr="00E914FB">
              <w:rPr>
                <w:rFonts w:cstheme="minorHAnsi"/>
                <w:sz w:val="20"/>
                <w:szCs w:val="20"/>
              </w:rPr>
              <w:t>Methadone</w:t>
            </w:r>
          </w:p>
          <w:p w14:paraId="3F03F25C" w14:textId="77777777" w:rsidR="00D77DFD" w:rsidRPr="00E914FB" w:rsidRDefault="00D77DFD" w:rsidP="00D77DFD">
            <w:pPr>
              <w:tabs>
                <w:tab w:val="left" w:pos="567"/>
              </w:tabs>
              <w:rPr>
                <w:rFonts w:cstheme="minorHAnsi"/>
                <w:sz w:val="20"/>
                <w:szCs w:val="20"/>
              </w:rPr>
            </w:pPr>
            <w:r w:rsidRPr="00E914FB">
              <w:rPr>
                <w:rFonts w:cstheme="minorHAnsi"/>
                <w:sz w:val="20"/>
                <w:szCs w:val="20"/>
              </w:rPr>
              <w:t>20-120 mg once daily</w:t>
            </w:r>
            <w:r w:rsidRPr="00E914FB">
              <w:rPr>
                <w:rFonts w:cstheme="minorHAnsi"/>
                <w:sz w:val="20"/>
                <w:szCs w:val="20"/>
                <w:vertAlign w:val="superscript"/>
              </w:rPr>
              <w:t>5</w:t>
            </w:r>
          </w:p>
        </w:tc>
        <w:tc>
          <w:tcPr>
            <w:tcW w:w="992" w:type="dxa"/>
          </w:tcPr>
          <w:p w14:paraId="1575767C" w14:textId="77777777" w:rsidR="00D77DFD" w:rsidRPr="00E914FB" w:rsidRDefault="00D77DFD" w:rsidP="00D77DFD">
            <w:pPr>
              <w:tabs>
                <w:tab w:val="left" w:pos="567"/>
              </w:tabs>
              <w:rPr>
                <w:rFonts w:ascii="Calibri" w:hAnsi="Calibri" w:cs="Calibri"/>
                <w:i/>
                <w:sz w:val="16"/>
                <w:szCs w:val="16"/>
              </w:rPr>
            </w:pPr>
          </w:p>
        </w:tc>
        <w:tc>
          <w:tcPr>
            <w:tcW w:w="1040" w:type="dxa"/>
            <w:gridSpan w:val="2"/>
          </w:tcPr>
          <w:p w14:paraId="564F3C53" w14:textId="77777777" w:rsidR="00D77DFD" w:rsidRPr="00E914FB" w:rsidRDefault="00D77DFD" w:rsidP="00337D7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gridSpan w:val="2"/>
          </w:tcPr>
          <w:p w14:paraId="38CA2EB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gridSpan w:val="2"/>
          </w:tcPr>
          <w:p w14:paraId="3F6F184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2402D739" w14:textId="2FB2B980" w:rsidR="00D77DFD" w:rsidRPr="00E914FB" w:rsidRDefault="00D77DFD" w:rsidP="00D77DFD">
            <w:pPr>
              <w:tabs>
                <w:tab w:val="left" w:pos="567"/>
              </w:tabs>
              <w:rPr>
                <w:rFonts w:cstheme="minorHAnsi"/>
                <w:sz w:val="20"/>
                <w:szCs w:val="20"/>
              </w:rPr>
            </w:pPr>
            <w:r w:rsidRPr="00E914FB">
              <w:rPr>
                <w:rFonts w:cstheme="minorHAnsi"/>
                <w:sz w:val="20"/>
                <w:szCs w:val="20"/>
              </w:rPr>
              <w:t>No dose adjustment is necessary for methadone.</w:t>
            </w:r>
          </w:p>
          <w:p w14:paraId="1C077C7A" w14:textId="77777777" w:rsidR="00D77DFD" w:rsidRPr="00E914FB" w:rsidRDefault="00D77DFD" w:rsidP="00D77DFD">
            <w:pPr>
              <w:tabs>
                <w:tab w:val="left" w:pos="567"/>
              </w:tabs>
              <w:rPr>
                <w:rFonts w:cstheme="minorHAnsi"/>
                <w:sz w:val="20"/>
                <w:szCs w:val="20"/>
              </w:rPr>
            </w:pPr>
          </w:p>
        </w:tc>
      </w:tr>
      <w:tr w:rsidR="00D77DFD" w:rsidRPr="00E914FB" w14:paraId="3AEAA094" w14:textId="77777777" w:rsidTr="00337D74">
        <w:trPr>
          <w:trHeight w:val="135"/>
        </w:trPr>
        <w:tc>
          <w:tcPr>
            <w:tcW w:w="1668" w:type="dxa"/>
            <w:vMerge/>
          </w:tcPr>
          <w:p w14:paraId="1D0F1848" w14:textId="77777777" w:rsidR="00D77DFD" w:rsidRPr="00E914FB" w:rsidRDefault="00D77DFD" w:rsidP="00D77DFD">
            <w:pPr>
              <w:tabs>
                <w:tab w:val="left" w:pos="567"/>
              </w:tabs>
              <w:rPr>
                <w:rFonts w:cstheme="minorHAnsi"/>
                <w:sz w:val="20"/>
                <w:szCs w:val="20"/>
              </w:rPr>
            </w:pPr>
          </w:p>
        </w:tc>
        <w:tc>
          <w:tcPr>
            <w:tcW w:w="992" w:type="dxa"/>
          </w:tcPr>
          <w:p w14:paraId="67234105" w14:textId="77777777" w:rsidR="00D77DFD" w:rsidRPr="00337D74" w:rsidRDefault="00D77DFD" w:rsidP="00D77DFD">
            <w:pPr>
              <w:tabs>
                <w:tab w:val="left" w:pos="567"/>
              </w:tabs>
              <w:rPr>
                <w:rFonts w:ascii="Calibri" w:hAnsi="Calibri" w:cs="Calibri"/>
                <w:sz w:val="16"/>
                <w:szCs w:val="16"/>
              </w:rPr>
            </w:pPr>
            <w:r w:rsidRPr="00337D74">
              <w:rPr>
                <w:rFonts w:ascii="Calibri" w:hAnsi="Calibri" w:cs="Calibri"/>
                <w:sz w:val="16"/>
                <w:szCs w:val="16"/>
              </w:rPr>
              <w:t>↔ R-Methadone</w:t>
            </w:r>
          </w:p>
        </w:tc>
        <w:tc>
          <w:tcPr>
            <w:tcW w:w="1040" w:type="dxa"/>
            <w:gridSpan w:val="2"/>
          </w:tcPr>
          <w:p w14:paraId="4E8245D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1.04</w:t>
            </w:r>
          </w:p>
          <w:p w14:paraId="76BF2272"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(0.98-1.11)</w:t>
            </w:r>
          </w:p>
        </w:tc>
        <w:tc>
          <w:tcPr>
            <w:tcW w:w="1040" w:type="dxa"/>
            <w:gridSpan w:val="2"/>
          </w:tcPr>
          <w:p w14:paraId="1D99769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1.05</w:t>
            </w:r>
          </w:p>
          <w:p w14:paraId="2367260C"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(0.98-1.11)</w:t>
            </w:r>
          </w:p>
        </w:tc>
        <w:tc>
          <w:tcPr>
            <w:tcW w:w="1041" w:type="dxa"/>
            <w:gridSpan w:val="2"/>
          </w:tcPr>
          <w:p w14:paraId="472B4DC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0.94</w:t>
            </w:r>
          </w:p>
          <w:p w14:paraId="6352FC8B"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(0.87-1.01)</w:t>
            </w:r>
          </w:p>
        </w:tc>
        <w:tc>
          <w:tcPr>
            <w:tcW w:w="3464" w:type="dxa"/>
            <w:vMerge/>
          </w:tcPr>
          <w:p w14:paraId="01AF3E03" w14:textId="77777777" w:rsidR="00D77DFD" w:rsidRPr="00E914FB" w:rsidRDefault="00D77DFD" w:rsidP="00D77DFD">
            <w:pPr>
              <w:rPr>
                <w:rFonts w:cstheme="minorHAnsi"/>
                <w:sz w:val="20"/>
                <w:szCs w:val="20"/>
              </w:rPr>
            </w:pPr>
          </w:p>
        </w:tc>
      </w:tr>
      <w:tr w:rsidR="00D77DFD" w:rsidRPr="00E914FB" w14:paraId="6FBBE489" w14:textId="77777777" w:rsidTr="00337D74">
        <w:trPr>
          <w:trHeight w:val="135"/>
        </w:trPr>
        <w:tc>
          <w:tcPr>
            <w:tcW w:w="1668" w:type="dxa"/>
            <w:vMerge/>
          </w:tcPr>
          <w:p w14:paraId="561F1D0B" w14:textId="77777777" w:rsidR="00D77DFD" w:rsidRPr="00E914FB" w:rsidRDefault="00D77DFD" w:rsidP="00D77DFD">
            <w:pPr>
              <w:tabs>
                <w:tab w:val="left" w:pos="567"/>
              </w:tabs>
              <w:rPr>
                <w:rFonts w:cstheme="minorHAnsi"/>
                <w:sz w:val="20"/>
                <w:szCs w:val="20"/>
              </w:rPr>
            </w:pPr>
          </w:p>
        </w:tc>
        <w:tc>
          <w:tcPr>
            <w:tcW w:w="992" w:type="dxa"/>
          </w:tcPr>
          <w:p w14:paraId="02AA0039" w14:textId="77777777" w:rsidR="00D77DFD" w:rsidRPr="00337D74" w:rsidRDefault="00D77DFD" w:rsidP="00D77DFD">
            <w:pPr>
              <w:tabs>
                <w:tab w:val="left" w:pos="567"/>
              </w:tabs>
              <w:rPr>
                <w:rFonts w:ascii="Calibri" w:hAnsi="Calibri" w:cs="Calibri"/>
                <w:sz w:val="16"/>
                <w:szCs w:val="16"/>
              </w:rPr>
            </w:pPr>
            <w:r w:rsidRPr="00337D74">
              <w:rPr>
                <w:rFonts w:ascii="Calibri" w:hAnsi="Calibri" w:cs="Calibri"/>
                <w:sz w:val="16"/>
                <w:szCs w:val="16"/>
              </w:rPr>
              <w:t>↔ S-Methadone</w:t>
            </w:r>
          </w:p>
        </w:tc>
        <w:tc>
          <w:tcPr>
            <w:tcW w:w="1040" w:type="dxa"/>
            <w:gridSpan w:val="2"/>
          </w:tcPr>
          <w:p w14:paraId="4ED73A4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0.99</w:t>
            </w:r>
          </w:p>
          <w:p w14:paraId="31E3E97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(0.91-1.08)</w:t>
            </w:r>
          </w:p>
        </w:tc>
        <w:tc>
          <w:tcPr>
            <w:tcW w:w="1040" w:type="dxa"/>
            <w:gridSpan w:val="2"/>
          </w:tcPr>
          <w:p w14:paraId="0F80A77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0.99</w:t>
            </w:r>
          </w:p>
          <w:p w14:paraId="55A5584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(0.89-1.09)</w:t>
            </w:r>
          </w:p>
        </w:tc>
        <w:tc>
          <w:tcPr>
            <w:tcW w:w="1041" w:type="dxa"/>
            <w:gridSpan w:val="2"/>
          </w:tcPr>
          <w:p w14:paraId="4338395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0.86</w:t>
            </w:r>
          </w:p>
          <w:p w14:paraId="5EFBA1A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(0.76-0.96)</w:t>
            </w:r>
          </w:p>
        </w:tc>
        <w:tc>
          <w:tcPr>
            <w:tcW w:w="3464" w:type="dxa"/>
            <w:vMerge/>
          </w:tcPr>
          <w:p w14:paraId="76748915" w14:textId="77777777" w:rsidR="00D77DFD" w:rsidRPr="00E914FB" w:rsidRDefault="00D77DFD" w:rsidP="00D77DFD">
            <w:pPr>
              <w:rPr>
                <w:rFonts w:cstheme="minorHAnsi"/>
                <w:sz w:val="20"/>
                <w:szCs w:val="20"/>
              </w:rPr>
            </w:pPr>
          </w:p>
        </w:tc>
      </w:tr>
      <w:tr w:rsidR="00D77DFD" w:rsidRPr="00E914FB" w14:paraId="7626C8B0" w14:textId="77777777" w:rsidTr="00337D74">
        <w:trPr>
          <w:trHeight w:val="135"/>
        </w:trPr>
        <w:tc>
          <w:tcPr>
            <w:tcW w:w="1668" w:type="dxa"/>
            <w:vMerge/>
          </w:tcPr>
          <w:p w14:paraId="163B49FE" w14:textId="77777777" w:rsidR="00D77DFD" w:rsidRPr="00E914FB" w:rsidRDefault="00D77DFD" w:rsidP="00D77DFD">
            <w:pPr>
              <w:tabs>
                <w:tab w:val="left" w:pos="567"/>
              </w:tabs>
              <w:rPr>
                <w:rFonts w:cstheme="minorHAnsi"/>
                <w:sz w:val="20"/>
                <w:szCs w:val="20"/>
              </w:rPr>
            </w:pPr>
          </w:p>
        </w:tc>
        <w:tc>
          <w:tcPr>
            <w:tcW w:w="4113" w:type="dxa"/>
            <w:gridSpan w:val="7"/>
          </w:tcPr>
          <w:p w14:paraId="7B92503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paritaprevir/ombitasvir/dasabuvir (based on the cross-study comparison)</w:t>
            </w:r>
          </w:p>
        </w:tc>
        <w:tc>
          <w:tcPr>
            <w:tcW w:w="3464" w:type="dxa"/>
            <w:vMerge/>
          </w:tcPr>
          <w:p w14:paraId="371D327D" w14:textId="77777777" w:rsidR="00D77DFD" w:rsidRPr="00E914FB" w:rsidRDefault="00D77DFD" w:rsidP="00D77DFD">
            <w:pPr>
              <w:rPr>
                <w:rFonts w:cstheme="minorHAnsi"/>
                <w:sz w:val="20"/>
                <w:szCs w:val="20"/>
              </w:rPr>
            </w:pPr>
          </w:p>
        </w:tc>
      </w:tr>
      <w:tr w:rsidR="00D77DFD" w:rsidRPr="00E914FB" w14:paraId="6E865AD3" w14:textId="77777777" w:rsidTr="00337D74">
        <w:trPr>
          <w:trHeight w:val="98"/>
        </w:trPr>
        <w:tc>
          <w:tcPr>
            <w:tcW w:w="1668" w:type="dxa"/>
            <w:vMerge w:val="restart"/>
          </w:tcPr>
          <w:p w14:paraId="48EDFBA0" w14:textId="77777777" w:rsidR="00D77DFD" w:rsidRPr="00E914FB" w:rsidRDefault="00D77DFD" w:rsidP="00D77DFD">
            <w:pPr>
              <w:tabs>
                <w:tab w:val="left" w:pos="567"/>
              </w:tabs>
              <w:rPr>
                <w:rFonts w:cstheme="minorHAnsi"/>
                <w:sz w:val="20"/>
                <w:szCs w:val="20"/>
              </w:rPr>
            </w:pPr>
            <w:r w:rsidRPr="00E914FB">
              <w:rPr>
                <w:rFonts w:cstheme="minorHAnsi"/>
                <w:sz w:val="20"/>
                <w:szCs w:val="20"/>
              </w:rPr>
              <w:t>Buprenorphine/ naloxone</w:t>
            </w:r>
          </w:p>
          <w:p w14:paraId="6CDB1458" w14:textId="77777777" w:rsidR="00D77DFD" w:rsidRPr="00E914FB" w:rsidRDefault="00D77DFD" w:rsidP="00D77DFD">
            <w:pPr>
              <w:tabs>
                <w:tab w:val="left" w:pos="567"/>
              </w:tabs>
              <w:rPr>
                <w:rFonts w:cstheme="minorHAnsi"/>
                <w:sz w:val="20"/>
                <w:szCs w:val="20"/>
              </w:rPr>
            </w:pPr>
            <w:r w:rsidRPr="00E914FB">
              <w:rPr>
                <w:rFonts w:cstheme="minorHAnsi"/>
                <w:sz w:val="20"/>
                <w:szCs w:val="20"/>
              </w:rPr>
              <w:t>4-24 mg/1-6 mg once daily</w:t>
            </w:r>
            <w:r w:rsidRPr="00E914FB">
              <w:rPr>
                <w:rFonts w:cstheme="minorHAnsi"/>
                <w:sz w:val="20"/>
                <w:szCs w:val="20"/>
                <w:vertAlign w:val="superscript"/>
              </w:rPr>
              <w:t>5</w:t>
            </w:r>
            <w:r w:rsidRPr="00E914FB">
              <w:rPr>
                <w:rFonts w:cstheme="minorHAnsi"/>
                <w:sz w:val="20"/>
                <w:szCs w:val="20"/>
              </w:rPr>
              <w:t xml:space="preserve"> </w:t>
            </w:r>
          </w:p>
        </w:tc>
        <w:tc>
          <w:tcPr>
            <w:tcW w:w="1134" w:type="dxa"/>
            <w:gridSpan w:val="2"/>
          </w:tcPr>
          <w:p w14:paraId="2BA87166" w14:textId="77777777" w:rsidR="00D77DFD" w:rsidRPr="00E914FB" w:rsidRDefault="00D77DFD" w:rsidP="00D77DFD">
            <w:pPr>
              <w:tabs>
                <w:tab w:val="left" w:pos="567"/>
              </w:tabs>
              <w:rPr>
                <w:rFonts w:ascii="Calibri" w:hAnsi="Calibri" w:cs="Calibri"/>
                <w:sz w:val="16"/>
                <w:szCs w:val="16"/>
              </w:rPr>
            </w:pPr>
          </w:p>
        </w:tc>
        <w:tc>
          <w:tcPr>
            <w:tcW w:w="993" w:type="dxa"/>
            <w:gridSpan w:val="2"/>
          </w:tcPr>
          <w:p w14:paraId="78133270" w14:textId="77777777" w:rsidR="00D77DFD" w:rsidRPr="00E914FB" w:rsidRDefault="00D77DFD" w:rsidP="00337D7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993" w:type="dxa"/>
            <w:gridSpan w:val="2"/>
          </w:tcPr>
          <w:p w14:paraId="1382F17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AUC</w:t>
            </w:r>
          </w:p>
        </w:tc>
        <w:tc>
          <w:tcPr>
            <w:tcW w:w="993" w:type="dxa"/>
          </w:tcPr>
          <w:p w14:paraId="217648F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1D9B9F7" w14:textId="76833C70" w:rsidR="00D77DFD" w:rsidRPr="00E914FB" w:rsidRDefault="00D77DFD" w:rsidP="00D77DFD">
            <w:pPr>
              <w:tabs>
                <w:tab w:val="left" w:pos="567"/>
              </w:tabs>
              <w:rPr>
                <w:rFonts w:cstheme="minorHAnsi"/>
                <w:sz w:val="20"/>
                <w:szCs w:val="20"/>
              </w:rPr>
            </w:pPr>
            <w:r w:rsidRPr="00E914FB">
              <w:rPr>
                <w:rFonts w:cstheme="minorHAnsi"/>
                <w:sz w:val="20"/>
                <w:szCs w:val="20"/>
              </w:rPr>
              <w:t>No dose adjustment is necessary for buprenorphine/naloxone.</w:t>
            </w:r>
          </w:p>
          <w:p w14:paraId="28C02634" w14:textId="77777777" w:rsidR="00D77DFD" w:rsidRPr="00E914FB" w:rsidRDefault="00D77DFD" w:rsidP="00D77DFD">
            <w:pPr>
              <w:rPr>
                <w:rFonts w:cstheme="minorHAnsi"/>
                <w:sz w:val="20"/>
                <w:szCs w:val="20"/>
              </w:rPr>
            </w:pPr>
          </w:p>
        </w:tc>
      </w:tr>
      <w:tr w:rsidR="00D77DFD" w:rsidRPr="00E914FB" w14:paraId="5C1BB73E" w14:textId="77777777" w:rsidTr="00337D74">
        <w:trPr>
          <w:trHeight w:val="98"/>
        </w:trPr>
        <w:tc>
          <w:tcPr>
            <w:tcW w:w="1668" w:type="dxa"/>
            <w:vMerge/>
          </w:tcPr>
          <w:p w14:paraId="33574ADD" w14:textId="77777777" w:rsidR="00D77DFD" w:rsidRPr="00E914FB" w:rsidRDefault="00D77DFD" w:rsidP="00D77DFD">
            <w:pPr>
              <w:tabs>
                <w:tab w:val="left" w:pos="567"/>
              </w:tabs>
              <w:rPr>
                <w:rFonts w:cstheme="minorHAnsi"/>
                <w:sz w:val="20"/>
                <w:szCs w:val="20"/>
              </w:rPr>
            </w:pPr>
          </w:p>
        </w:tc>
        <w:tc>
          <w:tcPr>
            <w:tcW w:w="1134" w:type="dxa"/>
            <w:gridSpan w:val="2"/>
          </w:tcPr>
          <w:p w14:paraId="36DFBDA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bu-prenorphine</w:t>
            </w:r>
          </w:p>
        </w:tc>
        <w:tc>
          <w:tcPr>
            <w:tcW w:w="993" w:type="dxa"/>
            <w:gridSpan w:val="2"/>
          </w:tcPr>
          <w:p w14:paraId="407B807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2.18</w:t>
            </w:r>
          </w:p>
          <w:p w14:paraId="5CFB418C"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(1.78-2.68)</w:t>
            </w:r>
          </w:p>
        </w:tc>
        <w:tc>
          <w:tcPr>
            <w:tcW w:w="993" w:type="dxa"/>
            <w:gridSpan w:val="2"/>
          </w:tcPr>
          <w:p w14:paraId="2E0E712D"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2.07</w:t>
            </w:r>
          </w:p>
          <w:p w14:paraId="7B18929A"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(1.78-2.40)</w:t>
            </w:r>
          </w:p>
        </w:tc>
        <w:tc>
          <w:tcPr>
            <w:tcW w:w="993" w:type="dxa"/>
          </w:tcPr>
          <w:p w14:paraId="78BD142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3.12</w:t>
            </w:r>
          </w:p>
          <w:p w14:paraId="08BC1AA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(2.29-4.27)</w:t>
            </w:r>
          </w:p>
        </w:tc>
        <w:tc>
          <w:tcPr>
            <w:tcW w:w="3464" w:type="dxa"/>
            <w:vMerge/>
          </w:tcPr>
          <w:p w14:paraId="33584354" w14:textId="77777777" w:rsidR="00D77DFD" w:rsidRPr="00E914FB" w:rsidRDefault="00D77DFD" w:rsidP="00D77DFD">
            <w:pPr>
              <w:rPr>
                <w:rFonts w:cstheme="minorHAnsi"/>
                <w:sz w:val="20"/>
                <w:szCs w:val="20"/>
              </w:rPr>
            </w:pPr>
          </w:p>
        </w:tc>
      </w:tr>
      <w:tr w:rsidR="00D77DFD" w:rsidRPr="00E914FB" w14:paraId="6F7219BA" w14:textId="77777777" w:rsidTr="00337D74">
        <w:trPr>
          <w:trHeight w:val="98"/>
        </w:trPr>
        <w:tc>
          <w:tcPr>
            <w:tcW w:w="1668" w:type="dxa"/>
            <w:vMerge/>
          </w:tcPr>
          <w:p w14:paraId="2E51BB89" w14:textId="77777777" w:rsidR="00D77DFD" w:rsidRPr="00E914FB" w:rsidRDefault="00D77DFD" w:rsidP="00D77DFD">
            <w:pPr>
              <w:tabs>
                <w:tab w:val="left" w:pos="567"/>
              </w:tabs>
              <w:rPr>
                <w:rFonts w:cstheme="minorHAnsi"/>
                <w:sz w:val="20"/>
                <w:szCs w:val="20"/>
              </w:rPr>
            </w:pPr>
          </w:p>
        </w:tc>
        <w:tc>
          <w:tcPr>
            <w:tcW w:w="1134" w:type="dxa"/>
            <w:gridSpan w:val="2"/>
          </w:tcPr>
          <w:p w14:paraId="109453D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norbu-prenorphine</w:t>
            </w:r>
          </w:p>
        </w:tc>
        <w:tc>
          <w:tcPr>
            <w:tcW w:w="993" w:type="dxa"/>
            <w:gridSpan w:val="2"/>
          </w:tcPr>
          <w:p w14:paraId="2560DCC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2.07</w:t>
            </w:r>
          </w:p>
          <w:p w14:paraId="1002CCA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(1.42-3.01)</w:t>
            </w:r>
          </w:p>
        </w:tc>
        <w:tc>
          <w:tcPr>
            <w:tcW w:w="993" w:type="dxa"/>
            <w:gridSpan w:val="2"/>
          </w:tcPr>
          <w:p w14:paraId="5672275D"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1.84</w:t>
            </w:r>
          </w:p>
          <w:p w14:paraId="745D0EEC"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(1.30-2.60)</w:t>
            </w:r>
          </w:p>
        </w:tc>
        <w:tc>
          <w:tcPr>
            <w:tcW w:w="993" w:type="dxa"/>
          </w:tcPr>
          <w:p w14:paraId="3112626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2.10</w:t>
            </w:r>
          </w:p>
          <w:p w14:paraId="2955EE3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(1.49-2.97)</w:t>
            </w:r>
          </w:p>
        </w:tc>
        <w:tc>
          <w:tcPr>
            <w:tcW w:w="3464" w:type="dxa"/>
            <w:vMerge/>
          </w:tcPr>
          <w:p w14:paraId="609FD9C4" w14:textId="77777777" w:rsidR="00D77DFD" w:rsidRPr="00E914FB" w:rsidRDefault="00D77DFD" w:rsidP="00D77DFD">
            <w:pPr>
              <w:rPr>
                <w:rFonts w:cstheme="minorHAnsi"/>
                <w:sz w:val="20"/>
                <w:szCs w:val="20"/>
              </w:rPr>
            </w:pPr>
          </w:p>
        </w:tc>
      </w:tr>
      <w:tr w:rsidR="00D77DFD" w:rsidRPr="00E914FB" w14:paraId="40CF5236" w14:textId="77777777" w:rsidTr="00337D74">
        <w:trPr>
          <w:trHeight w:val="98"/>
        </w:trPr>
        <w:tc>
          <w:tcPr>
            <w:tcW w:w="1668" w:type="dxa"/>
            <w:vMerge/>
          </w:tcPr>
          <w:p w14:paraId="0751F97F" w14:textId="77777777" w:rsidR="00D77DFD" w:rsidRPr="00E914FB" w:rsidRDefault="00D77DFD" w:rsidP="00D77DFD">
            <w:pPr>
              <w:tabs>
                <w:tab w:val="left" w:pos="567"/>
              </w:tabs>
              <w:rPr>
                <w:rFonts w:cstheme="minorHAnsi"/>
                <w:sz w:val="20"/>
                <w:szCs w:val="20"/>
              </w:rPr>
            </w:pPr>
          </w:p>
        </w:tc>
        <w:tc>
          <w:tcPr>
            <w:tcW w:w="1134" w:type="dxa"/>
            <w:gridSpan w:val="2"/>
          </w:tcPr>
          <w:p w14:paraId="6EDD397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naloxone</w:t>
            </w:r>
          </w:p>
        </w:tc>
        <w:tc>
          <w:tcPr>
            <w:tcW w:w="993" w:type="dxa"/>
            <w:gridSpan w:val="2"/>
          </w:tcPr>
          <w:p w14:paraId="37F1F97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1.18</w:t>
            </w:r>
          </w:p>
          <w:p w14:paraId="58FB703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(0.81-1.73)</w:t>
            </w:r>
          </w:p>
        </w:tc>
        <w:tc>
          <w:tcPr>
            <w:tcW w:w="993" w:type="dxa"/>
            <w:gridSpan w:val="2"/>
          </w:tcPr>
          <w:p w14:paraId="410DCE9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1.28</w:t>
            </w:r>
          </w:p>
          <w:p w14:paraId="49BB6F6A"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(0.92-1.79)</w:t>
            </w:r>
          </w:p>
        </w:tc>
        <w:tc>
          <w:tcPr>
            <w:tcW w:w="993" w:type="dxa"/>
          </w:tcPr>
          <w:p w14:paraId="36AE1950"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500DE9CE" w14:textId="77777777" w:rsidR="00D77DFD" w:rsidRPr="00E914FB" w:rsidRDefault="00D77DFD" w:rsidP="00D77DFD">
            <w:pPr>
              <w:rPr>
                <w:rFonts w:cstheme="minorHAnsi"/>
                <w:sz w:val="20"/>
                <w:szCs w:val="20"/>
              </w:rPr>
            </w:pPr>
          </w:p>
        </w:tc>
      </w:tr>
      <w:tr w:rsidR="00D77DFD" w:rsidRPr="00E914FB" w14:paraId="464FAC7B" w14:textId="77777777" w:rsidTr="00337D74">
        <w:trPr>
          <w:trHeight w:val="98"/>
        </w:trPr>
        <w:tc>
          <w:tcPr>
            <w:tcW w:w="1668" w:type="dxa"/>
            <w:vMerge/>
          </w:tcPr>
          <w:p w14:paraId="6C91BB4E" w14:textId="77777777" w:rsidR="00D77DFD" w:rsidRPr="00E914FB" w:rsidRDefault="00D77DFD" w:rsidP="00D77DFD">
            <w:pPr>
              <w:tabs>
                <w:tab w:val="left" w:pos="567"/>
              </w:tabs>
              <w:rPr>
                <w:rFonts w:cstheme="minorHAnsi"/>
                <w:sz w:val="20"/>
                <w:szCs w:val="20"/>
              </w:rPr>
            </w:pPr>
          </w:p>
        </w:tc>
        <w:tc>
          <w:tcPr>
            <w:tcW w:w="4113" w:type="dxa"/>
            <w:gridSpan w:val="7"/>
          </w:tcPr>
          <w:p w14:paraId="2DCB897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ombitasvir/paritaprevir/dasabuvir (based on the cross-study comparison)</w:t>
            </w:r>
          </w:p>
        </w:tc>
        <w:tc>
          <w:tcPr>
            <w:tcW w:w="3464" w:type="dxa"/>
            <w:vMerge/>
          </w:tcPr>
          <w:p w14:paraId="746448F4" w14:textId="77777777" w:rsidR="00D77DFD" w:rsidRPr="00E914FB" w:rsidRDefault="00D77DFD" w:rsidP="00D77DFD">
            <w:pPr>
              <w:rPr>
                <w:rFonts w:cstheme="minorHAnsi"/>
                <w:sz w:val="20"/>
                <w:szCs w:val="20"/>
              </w:rPr>
            </w:pPr>
          </w:p>
        </w:tc>
      </w:tr>
      <w:tr w:rsidR="00D77DFD" w:rsidRPr="00E914FB" w14:paraId="73A9E681" w14:textId="77777777" w:rsidTr="00A178EB">
        <w:tc>
          <w:tcPr>
            <w:tcW w:w="9245" w:type="dxa"/>
            <w:gridSpan w:val="9"/>
          </w:tcPr>
          <w:p w14:paraId="7998BD7A" w14:textId="77777777" w:rsidR="00D77DFD" w:rsidRPr="00E914FB" w:rsidRDefault="00D77DFD" w:rsidP="00D77DFD">
            <w:pPr>
              <w:rPr>
                <w:rFonts w:cstheme="minorHAnsi"/>
                <w:b/>
                <w:sz w:val="20"/>
                <w:szCs w:val="20"/>
              </w:rPr>
            </w:pPr>
            <w:r w:rsidRPr="00E914FB">
              <w:rPr>
                <w:rFonts w:cstheme="minorHAnsi"/>
                <w:b/>
                <w:sz w:val="20"/>
                <w:szCs w:val="20"/>
              </w:rPr>
              <w:t>Proton Pump Inhibitors</w:t>
            </w:r>
          </w:p>
        </w:tc>
      </w:tr>
      <w:tr w:rsidR="00D77DFD" w:rsidRPr="00E914FB" w14:paraId="58ACA88E" w14:textId="77777777" w:rsidTr="00337D74">
        <w:trPr>
          <w:trHeight w:val="136"/>
        </w:trPr>
        <w:tc>
          <w:tcPr>
            <w:tcW w:w="1668" w:type="dxa"/>
            <w:vMerge w:val="restart"/>
          </w:tcPr>
          <w:p w14:paraId="57FCE65C" w14:textId="77777777" w:rsidR="00D77DFD" w:rsidRPr="00E914FB" w:rsidRDefault="00D77DFD" w:rsidP="00D77DFD">
            <w:pPr>
              <w:tabs>
                <w:tab w:val="left" w:pos="567"/>
              </w:tabs>
              <w:rPr>
                <w:rFonts w:cstheme="minorHAnsi"/>
                <w:sz w:val="20"/>
                <w:szCs w:val="20"/>
              </w:rPr>
            </w:pPr>
            <w:r w:rsidRPr="00E914FB">
              <w:rPr>
                <w:rFonts w:cstheme="minorHAnsi"/>
                <w:sz w:val="20"/>
                <w:szCs w:val="20"/>
              </w:rPr>
              <w:t>Omeprazole</w:t>
            </w:r>
          </w:p>
          <w:p w14:paraId="1C1E4F3C" w14:textId="77777777" w:rsidR="00D77DFD" w:rsidRPr="00E914FB" w:rsidRDefault="00D77DFD" w:rsidP="00D77DFD">
            <w:pPr>
              <w:rPr>
                <w:rFonts w:cstheme="minorHAnsi"/>
                <w:sz w:val="20"/>
                <w:szCs w:val="20"/>
              </w:rPr>
            </w:pPr>
            <w:r w:rsidRPr="00E914FB">
              <w:rPr>
                <w:rFonts w:cstheme="minorHAnsi"/>
                <w:sz w:val="20"/>
                <w:szCs w:val="20"/>
              </w:rPr>
              <w:t>40 mg once daily</w:t>
            </w:r>
          </w:p>
        </w:tc>
        <w:tc>
          <w:tcPr>
            <w:tcW w:w="992" w:type="dxa"/>
          </w:tcPr>
          <w:p w14:paraId="51D27548" w14:textId="77777777" w:rsidR="00D77DFD" w:rsidRPr="00E914FB" w:rsidRDefault="00D77DFD" w:rsidP="00D77DFD">
            <w:pPr>
              <w:rPr>
                <w:rFonts w:cstheme="minorHAnsi"/>
                <w:sz w:val="16"/>
                <w:szCs w:val="16"/>
              </w:rPr>
            </w:pPr>
          </w:p>
        </w:tc>
        <w:tc>
          <w:tcPr>
            <w:tcW w:w="1040" w:type="dxa"/>
            <w:gridSpan w:val="2"/>
          </w:tcPr>
          <w:p w14:paraId="11EA25BF" w14:textId="77777777" w:rsidR="00D77DFD" w:rsidRPr="00E914FB" w:rsidRDefault="00D77DFD" w:rsidP="00337D74">
            <w:pPr>
              <w:tabs>
                <w:tab w:val="left" w:pos="567"/>
              </w:tabs>
              <w:jc w:val="center"/>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gridSpan w:val="2"/>
          </w:tcPr>
          <w:p w14:paraId="5EB6DB04"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AUC</w:t>
            </w:r>
          </w:p>
        </w:tc>
        <w:tc>
          <w:tcPr>
            <w:tcW w:w="1041" w:type="dxa"/>
            <w:gridSpan w:val="2"/>
          </w:tcPr>
          <w:p w14:paraId="27FCFEF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2FCF4E9C" w14:textId="77777777" w:rsidR="00D77DFD" w:rsidRPr="00E914FB" w:rsidRDefault="00D77DFD" w:rsidP="00D77DFD">
            <w:pPr>
              <w:rPr>
                <w:rFonts w:cstheme="minorHAnsi"/>
                <w:sz w:val="20"/>
                <w:szCs w:val="20"/>
              </w:rPr>
            </w:pPr>
            <w:r w:rsidRPr="00E914FB">
              <w:rPr>
                <w:rFonts w:cstheme="minorHAnsi"/>
                <w:sz w:val="20"/>
                <w:szCs w:val="20"/>
              </w:rPr>
              <w:t>Mechanism: CYP2C19 induction by ritonavir.</w:t>
            </w:r>
          </w:p>
          <w:p w14:paraId="3F078592" w14:textId="77777777" w:rsidR="00D77DFD" w:rsidRPr="00E914FB" w:rsidRDefault="00D77DFD" w:rsidP="00D77DFD">
            <w:pPr>
              <w:tabs>
                <w:tab w:val="left" w:pos="567"/>
              </w:tabs>
              <w:rPr>
                <w:rFonts w:cstheme="minorHAnsi"/>
                <w:sz w:val="20"/>
                <w:szCs w:val="20"/>
              </w:rPr>
            </w:pPr>
            <w:r w:rsidRPr="00E914FB">
              <w:rPr>
                <w:rFonts w:cstheme="minorHAnsi"/>
                <w:sz w:val="20"/>
                <w:szCs w:val="20"/>
              </w:rPr>
              <w:t>If clinically indicated higher doses of omeprazole should be used.</w:t>
            </w:r>
          </w:p>
          <w:p w14:paraId="650A56B1" w14:textId="77777777" w:rsidR="00D77DFD" w:rsidRPr="00E914FB" w:rsidRDefault="00D77DFD" w:rsidP="00337D74">
            <w:pPr>
              <w:tabs>
                <w:tab w:val="left" w:pos="567"/>
              </w:tabs>
              <w:rPr>
                <w:rFonts w:cstheme="minorHAnsi"/>
                <w:sz w:val="20"/>
                <w:szCs w:val="20"/>
              </w:rPr>
            </w:pPr>
          </w:p>
        </w:tc>
      </w:tr>
      <w:tr w:rsidR="00D77DFD" w:rsidRPr="00E914FB" w14:paraId="23973552" w14:textId="77777777" w:rsidTr="00337D74">
        <w:trPr>
          <w:trHeight w:val="136"/>
        </w:trPr>
        <w:tc>
          <w:tcPr>
            <w:tcW w:w="1668" w:type="dxa"/>
            <w:vMerge/>
          </w:tcPr>
          <w:p w14:paraId="72CB2AC5" w14:textId="77777777" w:rsidR="00D77DFD" w:rsidRPr="00E914FB" w:rsidRDefault="00D77DFD" w:rsidP="00D77DFD">
            <w:pPr>
              <w:rPr>
                <w:rFonts w:cstheme="minorHAnsi"/>
                <w:sz w:val="20"/>
                <w:szCs w:val="20"/>
              </w:rPr>
            </w:pPr>
          </w:p>
        </w:tc>
        <w:tc>
          <w:tcPr>
            <w:tcW w:w="992" w:type="dxa"/>
          </w:tcPr>
          <w:p w14:paraId="7734C9F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omeprazole</w:t>
            </w:r>
          </w:p>
        </w:tc>
        <w:tc>
          <w:tcPr>
            <w:tcW w:w="1040" w:type="dxa"/>
            <w:gridSpan w:val="2"/>
          </w:tcPr>
          <w:p w14:paraId="3F33FE7D"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0.62</w:t>
            </w:r>
          </w:p>
          <w:p w14:paraId="48B6D674"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(0.48-0.80)</w:t>
            </w:r>
          </w:p>
        </w:tc>
        <w:tc>
          <w:tcPr>
            <w:tcW w:w="1040" w:type="dxa"/>
            <w:gridSpan w:val="2"/>
          </w:tcPr>
          <w:p w14:paraId="294E003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0.62</w:t>
            </w:r>
          </w:p>
          <w:p w14:paraId="306A791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(0.51-0.75)</w:t>
            </w:r>
          </w:p>
        </w:tc>
        <w:tc>
          <w:tcPr>
            <w:tcW w:w="1041" w:type="dxa"/>
            <w:gridSpan w:val="2"/>
          </w:tcPr>
          <w:p w14:paraId="7FB576D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NA</w:t>
            </w:r>
          </w:p>
        </w:tc>
        <w:tc>
          <w:tcPr>
            <w:tcW w:w="3464" w:type="dxa"/>
            <w:vMerge/>
          </w:tcPr>
          <w:p w14:paraId="6F9E3654" w14:textId="77777777" w:rsidR="00D77DFD" w:rsidRPr="00E914FB" w:rsidRDefault="00D77DFD" w:rsidP="00D77DFD">
            <w:pPr>
              <w:rPr>
                <w:rFonts w:cstheme="minorHAnsi"/>
                <w:sz w:val="20"/>
                <w:szCs w:val="20"/>
              </w:rPr>
            </w:pPr>
          </w:p>
        </w:tc>
      </w:tr>
      <w:tr w:rsidR="00D77DFD" w:rsidRPr="00E914FB" w14:paraId="3609FE33" w14:textId="77777777" w:rsidTr="00337D74">
        <w:trPr>
          <w:trHeight w:val="136"/>
        </w:trPr>
        <w:tc>
          <w:tcPr>
            <w:tcW w:w="1668" w:type="dxa"/>
            <w:vMerge/>
          </w:tcPr>
          <w:p w14:paraId="7AE5478D" w14:textId="77777777" w:rsidR="00D77DFD" w:rsidRPr="00E914FB" w:rsidRDefault="00D77DFD" w:rsidP="00D77DFD">
            <w:pPr>
              <w:rPr>
                <w:rFonts w:cstheme="minorHAnsi"/>
                <w:sz w:val="20"/>
                <w:szCs w:val="20"/>
              </w:rPr>
            </w:pPr>
          </w:p>
        </w:tc>
        <w:tc>
          <w:tcPr>
            <w:tcW w:w="992" w:type="dxa"/>
          </w:tcPr>
          <w:p w14:paraId="48F6F85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gridSpan w:val="2"/>
          </w:tcPr>
          <w:p w14:paraId="45A1EEB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1.02</w:t>
            </w:r>
          </w:p>
          <w:p w14:paraId="704F6C12"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(0.95-1.09)</w:t>
            </w:r>
          </w:p>
        </w:tc>
        <w:tc>
          <w:tcPr>
            <w:tcW w:w="1040" w:type="dxa"/>
            <w:gridSpan w:val="2"/>
          </w:tcPr>
          <w:p w14:paraId="31F1D1F8"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1.05</w:t>
            </w:r>
          </w:p>
          <w:p w14:paraId="2510F26F"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(0.98-1.12)</w:t>
            </w:r>
          </w:p>
        </w:tc>
        <w:tc>
          <w:tcPr>
            <w:tcW w:w="1041" w:type="dxa"/>
            <w:gridSpan w:val="2"/>
          </w:tcPr>
          <w:p w14:paraId="16314FEA"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1.04</w:t>
            </w:r>
          </w:p>
          <w:p w14:paraId="7CD37156"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(0.98-1.11)</w:t>
            </w:r>
          </w:p>
        </w:tc>
        <w:tc>
          <w:tcPr>
            <w:tcW w:w="3464" w:type="dxa"/>
            <w:vMerge/>
          </w:tcPr>
          <w:p w14:paraId="56AFEC53" w14:textId="77777777" w:rsidR="00D77DFD" w:rsidRPr="00E914FB" w:rsidRDefault="00D77DFD" w:rsidP="00D77DFD">
            <w:pPr>
              <w:rPr>
                <w:rFonts w:cstheme="minorHAnsi"/>
                <w:sz w:val="20"/>
                <w:szCs w:val="20"/>
              </w:rPr>
            </w:pPr>
          </w:p>
        </w:tc>
      </w:tr>
      <w:tr w:rsidR="00D77DFD" w:rsidRPr="00E914FB" w14:paraId="3E63B161" w14:textId="77777777" w:rsidTr="00337D74">
        <w:trPr>
          <w:trHeight w:val="136"/>
        </w:trPr>
        <w:tc>
          <w:tcPr>
            <w:tcW w:w="1668" w:type="dxa"/>
            <w:vMerge/>
          </w:tcPr>
          <w:p w14:paraId="3869C065" w14:textId="77777777" w:rsidR="00D77DFD" w:rsidRPr="00E914FB" w:rsidRDefault="00D77DFD" w:rsidP="00D77DFD">
            <w:pPr>
              <w:rPr>
                <w:rFonts w:cstheme="minorHAnsi"/>
                <w:sz w:val="20"/>
                <w:szCs w:val="20"/>
              </w:rPr>
            </w:pPr>
          </w:p>
        </w:tc>
        <w:tc>
          <w:tcPr>
            <w:tcW w:w="992" w:type="dxa"/>
          </w:tcPr>
          <w:p w14:paraId="4C06C2A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gridSpan w:val="2"/>
          </w:tcPr>
          <w:p w14:paraId="3A673479"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1.19</w:t>
            </w:r>
          </w:p>
          <w:p w14:paraId="2454E6B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(1.04-1.36)</w:t>
            </w:r>
          </w:p>
        </w:tc>
        <w:tc>
          <w:tcPr>
            <w:tcW w:w="1040" w:type="dxa"/>
            <w:gridSpan w:val="2"/>
          </w:tcPr>
          <w:p w14:paraId="6822DAE2"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1.18</w:t>
            </w:r>
          </w:p>
          <w:p w14:paraId="1C33EDFD"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(1.03-1.37)</w:t>
            </w:r>
          </w:p>
        </w:tc>
        <w:tc>
          <w:tcPr>
            <w:tcW w:w="1041" w:type="dxa"/>
            <w:gridSpan w:val="2"/>
          </w:tcPr>
          <w:p w14:paraId="0F3DCD3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0.92</w:t>
            </w:r>
          </w:p>
          <w:p w14:paraId="50F77E3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(0.76-1.12)</w:t>
            </w:r>
          </w:p>
        </w:tc>
        <w:tc>
          <w:tcPr>
            <w:tcW w:w="3464" w:type="dxa"/>
            <w:vMerge/>
          </w:tcPr>
          <w:p w14:paraId="41B10042" w14:textId="77777777" w:rsidR="00D77DFD" w:rsidRPr="00E914FB" w:rsidRDefault="00D77DFD" w:rsidP="00D77DFD">
            <w:pPr>
              <w:rPr>
                <w:rFonts w:cstheme="minorHAnsi"/>
                <w:sz w:val="20"/>
                <w:szCs w:val="20"/>
              </w:rPr>
            </w:pPr>
          </w:p>
        </w:tc>
      </w:tr>
      <w:tr w:rsidR="00D77DFD" w:rsidRPr="00E914FB" w14:paraId="0EF6CDFA" w14:textId="77777777" w:rsidTr="00337D74">
        <w:trPr>
          <w:trHeight w:val="136"/>
        </w:trPr>
        <w:tc>
          <w:tcPr>
            <w:tcW w:w="1668" w:type="dxa"/>
            <w:vMerge/>
          </w:tcPr>
          <w:p w14:paraId="1198A212" w14:textId="77777777" w:rsidR="00D77DFD" w:rsidRPr="00E914FB" w:rsidRDefault="00D77DFD" w:rsidP="00D77DFD">
            <w:pPr>
              <w:rPr>
                <w:rFonts w:cstheme="minorHAnsi"/>
                <w:sz w:val="20"/>
                <w:szCs w:val="20"/>
              </w:rPr>
            </w:pPr>
          </w:p>
        </w:tc>
        <w:tc>
          <w:tcPr>
            <w:tcW w:w="992" w:type="dxa"/>
          </w:tcPr>
          <w:p w14:paraId="278E392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tc>
        <w:tc>
          <w:tcPr>
            <w:tcW w:w="1040" w:type="dxa"/>
            <w:gridSpan w:val="2"/>
          </w:tcPr>
          <w:p w14:paraId="16323707"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1.13</w:t>
            </w:r>
          </w:p>
          <w:p w14:paraId="1F75B613"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(1.03-1.25)</w:t>
            </w:r>
          </w:p>
        </w:tc>
        <w:tc>
          <w:tcPr>
            <w:tcW w:w="1040" w:type="dxa"/>
            <w:gridSpan w:val="2"/>
          </w:tcPr>
          <w:p w14:paraId="01D6C907"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1.08</w:t>
            </w:r>
          </w:p>
          <w:p w14:paraId="27EAC805"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(0.98-1.20)</w:t>
            </w:r>
          </w:p>
        </w:tc>
        <w:tc>
          <w:tcPr>
            <w:tcW w:w="1041" w:type="dxa"/>
            <w:gridSpan w:val="2"/>
          </w:tcPr>
          <w:p w14:paraId="75081D51"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1.05</w:t>
            </w:r>
          </w:p>
          <w:p w14:paraId="5359916E" w14:textId="77777777" w:rsidR="00D77DFD" w:rsidRPr="00E914FB" w:rsidRDefault="00D77DFD" w:rsidP="00337D74">
            <w:pPr>
              <w:tabs>
                <w:tab w:val="left" w:pos="567"/>
              </w:tabs>
              <w:jc w:val="center"/>
              <w:rPr>
                <w:rFonts w:ascii="Calibri" w:hAnsi="Calibri" w:cs="Calibri"/>
                <w:sz w:val="16"/>
                <w:szCs w:val="16"/>
              </w:rPr>
            </w:pPr>
            <w:r w:rsidRPr="00E914FB">
              <w:rPr>
                <w:rFonts w:ascii="Calibri" w:hAnsi="Calibri" w:cs="Calibri"/>
                <w:sz w:val="16"/>
                <w:szCs w:val="16"/>
              </w:rPr>
              <w:t>(0.93-1.19)</w:t>
            </w:r>
          </w:p>
        </w:tc>
        <w:tc>
          <w:tcPr>
            <w:tcW w:w="3464" w:type="dxa"/>
            <w:vMerge/>
          </w:tcPr>
          <w:p w14:paraId="2E2CFD1B" w14:textId="77777777" w:rsidR="00D77DFD" w:rsidRPr="00E914FB" w:rsidRDefault="00D77DFD" w:rsidP="00D77DFD">
            <w:pPr>
              <w:rPr>
                <w:rFonts w:cstheme="minorHAnsi"/>
                <w:sz w:val="20"/>
                <w:szCs w:val="20"/>
              </w:rPr>
            </w:pPr>
          </w:p>
        </w:tc>
      </w:tr>
    </w:tbl>
    <w:p w14:paraId="5644A491" w14:textId="77777777" w:rsidR="00885509" w:rsidRDefault="00885509">
      <w:r>
        <w:br w:type="page"/>
      </w:r>
    </w:p>
    <w:tbl>
      <w:tblPr>
        <w:tblStyle w:val="TableGrid20"/>
        <w:tblW w:w="9245" w:type="dxa"/>
        <w:tblLayout w:type="fixed"/>
        <w:tblLook w:val="04A0" w:firstRow="1" w:lastRow="0" w:firstColumn="1" w:lastColumn="0" w:noHBand="0" w:noVBand="1"/>
      </w:tblPr>
      <w:tblGrid>
        <w:gridCol w:w="1668"/>
        <w:gridCol w:w="992"/>
        <w:gridCol w:w="1040"/>
        <w:gridCol w:w="1040"/>
        <w:gridCol w:w="1041"/>
        <w:gridCol w:w="3464"/>
      </w:tblGrid>
      <w:tr w:rsidR="00D77DFD" w:rsidRPr="00E914FB" w14:paraId="06D6D288" w14:textId="77777777" w:rsidTr="00337D74">
        <w:tc>
          <w:tcPr>
            <w:tcW w:w="1668" w:type="dxa"/>
          </w:tcPr>
          <w:p w14:paraId="2D48A924" w14:textId="1C5DD1C1" w:rsidR="00D77DFD" w:rsidRPr="00E914FB" w:rsidRDefault="00D77DFD" w:rsidP="00D77DFD">
            <w:pPr>
              <w:tabs>
                <w:tab w:val="left" w:pos="567"/>
              </w:tabs>
              <w:rPr>
                <w:rFonts w:cstheme="minorHAnsi"/>
                <w:sz w:val="20"/>
                <w:szCs w:val="20"/>
              </w:rPr>
            </w:pPr>
            <w:r w:rsidRPr="00E914FB">
              <w:rPr>
                <w:rFonts w:cstheme="minorHAnsi"/>
                <w:sz w:val="20"/>
                <w:szCs w:val="20"/>
              </w:rPr>
              <w:lastRenderedPageBreak/>
              <w:t>Esomeprazole, Lansoprazole</w:t>
            </w:r>
          </w:p>
        </w:tc>
        <w:tc>
          <w:tcPr>
            <w:tcW w:w="4113" w:type="dxa"/>
            <w:gridSpan w:val="4"/>
          </w:tcPr>
          <w:p w14:paraId="578DA231" w14:textId="77777777" w:rsidR="00D77DFD" w:rsidRPr="00E914FB" w:rsidRDefault="00D77DFD" w:rsidP="00D77DFD">
            <w:pPr>
              <w:tabs>
                <w:tab w:val="left" w:pos="567"/>
              </w:tabs>
              <w:rPr>
                <w:rFonts w:ascii="Calibri" w:hAnsi="Calibri" w:cs="Calibri"/>
                <w:sz w:val="20"/>
                <w:szCs w:val="20"/>
              </w:rPr>
            </w:pPr>
            <w:r w:rsidRPr="00E914FB">
              <w:rPr>
                <w:rFonts w:ascii="Calibri" w:hAnsi="Calibri" w:cs="Calibri"/>
                <w:sz w:val="20"/>
                <w:szCs w:val="20"/>
              </w:rPr>
              <w:t>↓ esomeprazole*, lansoprazole*</w:t>
            </w:r>
          </w:p>
        </w:tc>
        <w:tc>
          <w:tcPr>
            <w:tcW w:w="3464" w:type="dxa"/>
          </w:tcPr>
          <w:p w14:paraId="6F942304" w14:textId="77777777" w:rsidR="00D77DFD" w:rsidRPr="00E914FB" w:rsidRDefault="00D77DFD" w:rsidP="00D77DFD">
            <w:pPr>
              <w:tabs>
                <w:tab w:val="left" w:pos="567"/>
              </w:tabs>
              <w:rPr>
                <w:rFonts w:cstheme="minorHAnsi"/>
                <w:sz w:val="20"/>
                <w:szCs w:val="20"/>
              </w:rPr>
            </w:pPr>
            <w:r w:rsidRPr="00E914FB">
              <w:rPr>
                <w:rFonts w:cstheme="minorHAnsi"/>
                <w:sz w:val="20"/>
                <w:szCs w:val="20"/>
              </w:rPr>
              <w:t>Mechanism:  CYP2C19 induction by ritonavir .</w:t>
            </w:r>
          </w:p>
          <w:p w14:paraId="21103BE7" w14:textId="77777777" w:rsidR="00D77DFD" w:rsidRPr="00E914FB" w:rsidRDefault="00D77DFD" w:rsidP="00D77DFD">
            <w:pPr>
              <w:tabs>
                <w:tab w:val="left" w:pos="567"/>
              </w:tabs>
              <w:rPr>
                <w:rFonts w:cstheme="minorHAnsi"/>
                <w:sz w:val="20"/>
                <w:szCs w:val="20"/>
              </w:rPr>
            </w:pPr>
            <w:r w:rsidRPr="00E914FB">
              <w:rPr>
                <w:rFonts w:cstheme="minorHAnsi"/>
                <w:sz w:val="20"/>
                <w:szCs w:val="20"/>
              </w:rPr>
              <w:t>If clinically indicated, higher doses of esomeprazole/lansoprazole may be needed.</w:t>
            </w:r>
          </w:p>
        </w:tc>
      </w:tr>
      <w:tr w:rsidR="00D77DFD" w:rsidRPr="00E914FB" w14:paraId="036746B8" w14:textId="77777777" w:rsidTr="00A178EB">
        <w:tc>
          <w:tcPr>
            <w:tcW w:w="9245" w:type="dxa"/>
            <w:gridSpan w:val="6"/>
          </w:tcPr>
          <w:p w14:paraId="7A575510" w14:textId="77777777" w:rsidR="00D77DFD" w:rsidRPr="00E914FB" w:rsidRDefault="00D77DFD" w:rsidP="00D77DFD">
            <w:pPr>
              <w:rPr>
                <w:rFonts w:cstheme="minorHAnsi"/>
                <w:b/>
                <w:sz w:val="20"/>
              </w:rPr>
            </w:pPr>
            <w:r w:rsidRPr="00E914FB">
              <w:rPr>
                <w:rFonts w:cstheme="minorHAnsi"/>
                <w:b/>
                <w:sz w:val="20"/>
                <w:szCs w:val="20"/>
              </w:rPr>
              <w:t>Sedatives/hypnotics</w:t>
            </w:r>
          </w:p>
        </w:tc>
      </w:tr>
      <w:tr w:rsidR="00D77DFD" w:rsidRPr="00E914FB" w14:paraId="5BC379EC" w14:textId="77777777" w:rsidTr="00337D74">
        <w:tc>
          <w:tcPr>
            <w:tcW w:w="1668" w:type="dxa"/>
          </w:tcPr>
          <w:p w14:paraId="2C10B6B8" w14:textId="77777777" w:rsidR="00D77DFD" w:rsidRPr="00E914FB" w:rsidRDefault="00D77DFD" w:rsidP="00D77DFD">
            <w:pPr>
              <w:rPr>
                <w:rFonts w:cstheme="minorHAnsi"/>
                <w:sz w:val="20"/>
                <w:szCs w:val="20"/>
              </w:rPr>
            </w:pPr>
            <w:r w:rsidRPr="00E914FB">
              <w:rPr>
                <w:rFonts w:cstheme="minorHAnsi"/>
                <w:sz w:val="20"/>
                <w:szCs w:val="20"/>
              </w:rPr>
              <w:t>Triazolam, orally administered midazolam</w:t>
            </w:r>
          </w:p>
          <w:p w14:paraId="183E7B53" w14:textId="77777777" w:rsidR="00D77DFD" w:rsidRPr="00E914FB" w:rsidRDefault="00D77DFD" w:rsidP="00D77DFD">
            <w:pPr>
              <w:rPr>
                <w:rFonts w:cstheme="minorHAnsi"/>
                <w:sz w:val="20"/>
                <w:szCs w:val="20"/>
              </w:rPr>
            </w:pPr>
          </w:p>
        </w:tc>
        <w:tc>
          <w:tcPr>
            <w:tcW w:w="4113" w:type="dxa"/>
            <w:gridSpan w:val="4"/>
          </w:tcPr>
          <w:p w14:paraId="300DE7C2" w14:textId="77777777" w:rsidR="00D77DFD" w:rsidRPr="00E914FB" w:rsidRDefault="00D77DFD" w:rsidP="00D77DFD">
            <w:pPr>
              <w:rPr>
                <w:rFonts w:cstheme="minorHAnsi"/>
                <w:sz w:val="20"/>
                <w:szCs w:val="20"/>
              </w:rPr>
            </w:pPr>
            <w:r w:rsidRPr="00E914FB">
              <w:rPr>
                <w:rFonts w:cstheme="minorHAnsi"/>
                <w:sz w:val="20"/>
                <w:szCs w:val="20"/>
              </w:rPr>
              <w:t>Large ↑ triazolam, orally administered midazolam</w:t>
            </w:r>
          </w:p>
        </w:tc>
        <w:tc>
          <w:tcPr>
            <w:tcW w:w="3464" w:type="dxa"/>
          </w:tcPr>
          <w:p w14:paraId="2080D7B1" w14:textId="23B285D5" w:rsidR="00D77DFD" w:rsidRPr="00E914FB" w:rsidRDefault="00D77DFD" w:rsidP="00D77DFD">
            <w:pPr>
              <w:rPr>
                <w:rFonts w:cstheme="minorHAnsi"/>
                <w:sz w:val="20"/>
                <w:szCs w:val="20"/>
              </w:rPr>
            </w:pPr>
            <w:r w:rsidRPr="00E914FB">
              <w:rPr>
                <w:rFonts w:cstheme="minorHAnsi"/>
                <w:sz w:val="20"/>
                <w:szCs w:val="20"/>
              </w:rPr>
              <w:t xml:space="preserve">Triazolam and orally administered midazolam are extensively </w:t>
            </w:r>
            <w:r w:rsidR="000E22D4">
              <w:rPr>
                <w:rFonts w:cstheme="minorHAnsi"/>
                <w:sz w:val="20"/>
                <w:szCs w:val="20"/>
              </w:rPr>
              <w:t>metabolised</w:t>
            </w:r>
            <w:r w:rsidRPr="00E914FB">
              <w:rPr>
                <w:rFonts w:cstheme="minorHAnsi"/>
                <w:sz w:val="20"/>
                <w:szCs w:val="20"/>
              </w:rPr>
              <w:t xml:space="preserve"> by CYP3A4. Coadministration of triazolam or orally administered midazolam with VIEKIRA PAK may cause large increases in the concentration of these benzodiazepines. The potential exists for serious and/or life threatening events such as prolonged or increased sedation or respiratory depression.</w:t>
            </w:r>
          </w:p>
          <w:p w14:paraId="09DF6F74" w14:textId="77777777" w:rsidR="00D77DFD" w:rsidRPr="00E914FB" w:rsidRDefault="00D77DFD" w:rsidP="00D77DFD">
            <w:pPr>
              <w:rPr>
                <w:rFonts w:cstheme="minorHAnsi"/>
                <w:sz w:val="20"/>
                <w:szCs w:val="20"/>
              </w:rPr>
            </w:pPr>
            <w:r w:rsidRPr="00E914FB">
              <w:rPr>
                <w:rFonts w:cstheme="minorHAnsi"/>
                <w:sz w:val="20"/>
                <w:szCs w:val="20"/>
              </w:rPr>
              <w:t>(see CONTRAINDICATIONS).</w:t>
            </w:r>
          </w:p>
        </w:tc>
      </w:tr>
      <w:tr w:rsidR="00D77DFD" w:rsidRPr="00E914FB" w14:paraId="0145BBA6" w14:textId="77777777" w:rsidTr="00337D74">
        <w:trPr>
          <w:trHeight w:val="66"/>
        </w:trPr>
        <w:tc>
          <w:tcPr>
            <w:tcW w:w="1668" w:type="dxa"/>
            <w:vMerge w:val="restart"/>
          </w:tcPr>
          <w:p w14:paraId="75294931" w14:textId="77777777" w:rsidR="00D77DFD" w:rsidRPr="00E914FB" w:rsidRDefault="00D77DFD" w:rsidP="00D77DFD">
            <w:pPr>
              <w:tabs>
                <w:tab w:val="left" w:pos="567"/>
              </w:tabs>
              <w:rPr>
                <w:rFonts w:cstheme="minorHAnsi"/>
                <w:sz w:val="20"/>
                <w:szCs w:val="20"/>
              </w:rPr>
            </w:pPr>
            <w:r w:rsidRPr="00E914FB">
              <w:rPr>
                <w:rFonts w:cstheme="minorHAnsi"/>
                <w:sz w:val="20"/>
                <w:szCs w:val="20"/>
              </w:rPr>
              <w:t>Zolpidem</w:t>
            </w:r>
          </w:p>
          <w:p w14:paraId="4BE9E3AC" w14:textId="77777777" w:rsidR="00D77DFD" w:rsidRPr="00E914FB" w:rsidRDefault="00D77DFD" w:rsidP="00D77DFD">
            <w:pPr>
              <w:rPr>
                <w:rFonts w:cstheme="minorHAnsi"/>
                <w:sz w:val="20"/>
                <w:szCs w:val="20"/>
              </w:rPr>
            </w:pPr>
            <w:r w:rsidRPr="00E914FB">
              <w:rPr>
                <w:rFonts w:cstheme="minorHAnsi"/>
                <w:sz w:val="20"/>
                <w:szCs w:val="20"/>
              </w:rPr>
              <w:t>5 mg single dose</w:t>
            </w:r>
          </w:p>
        </w:tc>
        <w:tc>
          <w:tcPr>
            <w:tcW w:w="992" w:type="dxa"/>
          </w:tcPr>
          <w:p w14:paraId="66D01586" w14:textId="77777777" w:rsidR="00D77DFD" w:rsidRPr="00E914FB" w:rsidRDefault="00D77DFD" w:rsidP="00D77DFD">
            <w:pPr>
              <w:rPr>
                <w:rFonts w:cstheme="minorHAnsi"/>
                <w:sz w:val="16"/>
                <w:szCs w:val="16"/>
              </w:rPr>
            </w:pPr>
          </w:p>
        </w:tc>
        <w:tc>
          <w:tcPr>
            <w:tcW w:w="1040" w:type="dxa"/>
          </w:tcPr>
          <w:p w14:paraId="57D69FED" w14:textId="77777777" w:rsidR="00D77DFD" w:rsidRPr="00E914FB" w:rsidRDefault="00D77DFD" w:rsidP="00D77DFD">
            <w:pPr>
              <w:tabs>
                <w:tab w:val="left" w:pos="567"/>
              </w:tabs>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5FC236A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AUC</w:t>
            </w:r>
          </w:p>
        </w:tc>
        <w:tc>
          <w:tcPr>
            <w:tcW w:w="1041" w:type="dxa"/>
          </w:tcPr>
          <w:p w14:paraId="38B8035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06658D9C" w14:textId="24C46C66" w:rsidR="00D77DFD" w:rsidRPr="00E914FB" w:rsidRDefault="00D77DFD" w:rsidP="00D77DFD">
            <w:pPr>
              <w:tabs>
                <w:tab w:val="left" w:pos="567"/>
              </w:tabs>
              <w:rPr>
                <w:rFonts w:cstheme="minorHAnsi"/>
                <w:sz w:val="20"/>
                <w:szCs w:val="20"/>
              </w:rPr>
            </w:pPr>
            <w:r w:rsidRPr="00E914FB">
              <w:rPr>
                <w:rFonts w:cstheme="minorHAnsi"/>
                <w:sz w:val="20"/>
                <w:szCs w:val="20"/>
              </w:rPr>
              <w:t>No dose adjustment is necessary for zolpidem.</w:t>
            </w:r>
          </w:p>
          <w:p w14:paraId="00F63B18" w14:textId="77777777" w:rsidR="00D77DFD" w:rsidRPr="00E914FB" w:rsidRDefault="00D77DFD" w:rsidP="00337D74">
            <w:pPr>
              <w:tabs>
                <w:tab w:val="left" w:pos="567"/>
              </w:tabs>
              <w:rPr>
                <w:rFonts w:cstheme="minorHAnsi"/>
                <w:sz w:val="20"/>
                <w:szCs w:val="20"/>
              </w:rPr>
            </w:pPr>
          </w:p>
        </w:tc>
      </w:tr>
      <w:tr w:rsidR="00D77DFD" w:rsidRPr="00E914FB" w14:paraId="5F40DF6A" w14:textId="77777777" w:rsidTr="00337D74">
        <w:trPr>
          <w:trHeight w:val="66"/>
        </w:trPr>
        <w:tc>
          <w:tcPr>
            <w:tcW w:w="1668" w:type="dxa"/>
            <w:vMerge/>
          </w:tcPr>
          <w:p w14:paraId="6B3C7E0F" w14:textId="77777777" w:rsidR="00D77DFD" w:rsidRPr="00E914FB" w:rsidRDefault="00D77DFD" w:rsidP="00D77DFD">
            <w:pPr>
              <w:tabs>
                <w:tab w:val="left" w:pos="567"/>
              </w:tabs>
              <w:rPr>
                <w:rFonts w:cstheme="minorHAnsi"/>
                <w:sz w:val="20"/>
                <w:szCs w:val="20"/>
              </w:rPr>
            </w:pPr>
          </w:p>
        </w:tc>
        <w:tc>
          <w:tcPr>
            <w:tcW w:w="992" w:type="dxa"/>
          </w:tcPr>
          <w:p w14:paraId="0ABCF7F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zolpidem</w:t>
            </w:r>
          </w:p>
          <w:p w14:paraId="0E81F9FB" w14:textId="77777777" w:rsidR="00D77DFD" w:rsidRPr="00E914FB" w:rsidRDefault="00D77DFD" w:rsidP="00D77DFD">
            <w:pPr>
              <w:tabs>
                <w:tab w:val="left" w:pos="567"/>
              </w:tabs>
              <w:rPr>
                <w:rFonts w:ascii="Calibri" w:hAnsi="Calibri" w:cs="Calibri"/>
                <w:sz w:val="16"/>
                <w:szCs w:val="16"/>
              </w:rPr>
            </w:pPr>
          </w:p>
        </w:tc>
        <w:tc>
          <w:tcPr>
            <w:tcW w:w="1040" w:type="dxa"/>
          </w:tcPr>
          <w:p w14:paraId="2B5FC29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0.94</w:t>
            </w:r>
          </w:p>
          <w:p w14:paraId="13B8DB5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(0.76-1.16)</w:t>
            </w:r>
          </w:p>
        </w:tc>
        <w:tc>
          <w:tcPr>
            <w:tcW w:w="1040" w:type="dxa"/>
          </w:tcPr>
          <w:p w14:paraId="35C48E0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0.95</w:t>
            </w:r>
          </w:p>
          <w:p w14:paraId="508A479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(0.74-1.23)</w:t>
            </w:r>
          </w:p>
        </w:tc>
        <w:tc>
          <w:tcPr>
            <w:tcW w:w="1041" w:type="dxa"/>
          </w:tcPr>
          <w:p w14:paraId="63E92E8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NA</w:t>
            </w:r>
          </w:p>
        </w:tc>
        <w:tc>
          <w:tcPr>
            <w:tcW w:w="3464" w:type="dxa"/>
            <w:vMerge/>
          </w:tcPr>
          <w:p w14:paraId="03AB574D" w14:textId="77777777" w:rsidR="00D77DFD" w:rsidRPr="00E914FB" w:rsidRDefault="00D77DFD" w:rsidP="00D77DFD">
            <w:pPr>
              <w:rPr>
                <w:rFonts w:cstheme="minorHAnsi"/>
                <w:sz w:val="20"/>
                <w:szCs w:val="20"/>
              </w:rPr>
            </w:pPr>
          </w:p>
        </w:tc>
      </w:tr>
      <w:tr w:rsidR="00D77DFD" w:rsidRPr="00E914FB" w14:paraId="794167F1" w14:textId="77777777" w:rsidTr="00337D74">
        <w:trPr>
          <w:trHeight w:val="66"/>
        </w:trPr>
        <w:tc>
          <w:tcPr>
            <w:tcW w:w="1668" w:type="dxa"/>
            <w:vMerge/>
          </w:tcPr>
          <w:p w14:paraId="56C7D96C" w14:textId="77777777" w:rsidR="00D77DFD" w:rsidRPr="00E914FB" w:rsidRDefault="00D77DFD" w:rsidP="00D77DFD">
            <w:pPr>
              <w:tabs>
                <w:tab w:val="left" w:pos="567"/>
              </w:tabs>
              <w:rPr>
                <w:rFonts w:cstheme="minorHAnsi"/>
                <w:sz w:val="20"/>
                <w:szCs w:val="20"/>
              </w:rPr>
            </w:pPr>
          </w:p>
        </w:tc>
        <w:tc>
          <w:tcPr>
            <w:tcW w:w="992" w:type="dxa"/>
          </w:tcPr>
          <w:p w14:paraId="4BECDE0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590D70B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1.07</w:t>
            </w:r>
          </w:p>
          <w:p w14:paraId="73A986E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(1.00-1.15)</w:t>
            </w:r>
          </w:p>
        </w:tc>
        <w:tc>
          <w:tcPr>
            <w:tcW w:w="1040" w:type="dxa"/>
          </w:tcPr>
          <w:p w14:paraId="49A919C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1.03</w:t>
            </w:r>
          </w:p>
          <w:p w14:paraId="774E69E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(1.00-1.07)</w:t>
            </w:r>
          </w:p>
        </w:tc>
        <w:tc>
          <w:tcPr>
            <w:tcW w:w="1041" w:type="dxa"/>
          </w:tcPr>
          <w:p w14:paraId="16421D90"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1.04</w:t>
            </w:r>
          </w:p>
          <w:p w14:paraId="0174D1D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(1.00-1.08)</w:t>
            </w:r>
          </w:p>
        </w:tc>
        <w:tc>
          <w:tcPr>
            <w:tcW w:w="3464" w:type="dxa"/>
            <w:vMerge/>
          </w:tcPr>
          <w:p w14:paraId="79A2E53E" w14:textId="77777777" w:rsidR="00D77DFD" w:rsidRPr="00E914FB" w:rsidRDefault="00D77DFD" w:rsidP="00D77DFD">
            <w:pPr>
              <w:rPr>
                <w:rFonts w:cstheme="minorHAnsi"/>
                <w:sz w:val="20"/>
                <w:szCs w:val="20"/>
              </w:rPr>
            </w:pPr>
          </w:p>
        </w:tc>
      </w:tr>
      <w:tr w:rsidR="00D77DFD" w:rsidRPr="00E914FB" w14:paraId="4726E90A" w14:textId="77777777" w:rsidTr="00337D74">
        <w:trPr>
          <w:trHeight w:val="66"/>
        </w:trPr>
        <w:tc>
          <w:tcPr>
            <w:tcW w:w="1668" w:type="dxa"/>
            <w:vMerge/>
          </w:tcPr>
          <w:p w14:paraId="5D3D8DD9" w14:textId="77777777" w:rsidR="00D77DFD" w:rsidRPr="00E914FB" w:rsidRDefault="00D77DFD" w:rsidP="00D77DFD">
            <w:pPr>
              <w:tabs>
                <w:tab w:val="left" w:pos="567"/>
              </w:tabs>
              <w:rPr>
                <w:rFonts w:cstheme="minorHAnsi"/>
                <w:sz w:val="20"/>
                <w:szCs w:val="20"/>
              </w:rPr>
            </w:pPr>
          </w:p>
        </w:tc>
        <w:tc>
          <w:tcPr>
            <w:tcW w:w="992" w:type="dxa"/>
          </w:tcPr>
          <w:p w14:paraId="1D779D1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10D169D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0.63</w:t>
            </w:r>
          </w:p>
          <w:p w14:paraId="4CD6670C"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(0.46-0.86)</w:t>
            </w:r>
          </w:p>
        </w:tc>
        <w:tc>
          <w:tcPr>
            <w:tcW w:w="1040" w:type="dxa"/>
          </w:tcPr>
          <w:p w14:paraId="583C208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0.68</w:t>
            </w:r>
          </w:p>
          <w:p w14:paraId="15B9E8B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(0.55-0.85)</w:t>
            </w:r>
          </w:p>
        </w:tc>
        <w:tc>
          <w:tcPr>
            <w:tcW w:w="1041" w:type="dxa"/>
          </w:tcPr>
          <w:p w14:paraId="1820808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1.23</w:t>
            </w:r>
          </w:p>
          <w:p w14:paraId="31EEA32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(1.10-1.38)</w:t>
            </w:r>
          </w:p>
        </w:tc>
        <w:tc>
          <w:tcPr>
            <w:tcW w:w="3464" w:type="dxa"/>
            <w:vMerge/>
          </w:tcPr>
          <w:p w14:paraId="2AF654FB" w14:textId="77777777" w:rsidR="00D77DFD" w:rsidRPr="00E914FB" w:rsidRDefault="00D77DFD" w:rsidP="00D77DFD">
            <w:pPr>
              <w:rPr>
                <w:rFonts w:cstheme="minorHAnsi"/>
                <w:sz w:val="20"/>
                <w:szCs w:val="20"/>
              </w:rPr>
            </w:pPr>
          </w:p>
        </w:tc>
      </w:tr>
      <w:tr w:rsidR="00D77DFD" w:rsidRPr="00E914FB" w14:paraId="6B120EBA" w14:textId="77777777" w:rsidTr="00337D74">
        <w:trPr>
          <w:trHeight w:val="66"/>
        </w:trPr>
        <w:tc>
          <w:tcPr>
            <w:tcW w:w="1668" w:type="dxa"/>
            <w:vMerge/>
          </w:tcPr>
          <w:p w14:paraId="3AC705E4" w14:textId="77777777" w:rsidR="00D77DFD" w:rsidRPr="00E914FB" w:rsidRDefault="00D77DFD" w:rsidP="00D77DFD">
            <w:pPr>
              <w:tabs>
                <w:tab w:val="left" w:pos="567"/>
              </w:tabs>
              <w:rPr>
                <w:rFonts w:cstheme="minorHAnsi"/>
                <w:sz w:val="20"/>
                <w:szCs w:val="20"/>
              </w:rPr>
            </w:pPr>
          </w:p>
        </w:tc>
        <w:tc>
          <w:tcPr>
            <w:tcW w:w="992" w:type="dxa"/>
          </w:tcPr>
          <w:p w14:paraId="0039CCD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p w14:paraId="4473A20E" w14:textId="77777777" w:rsidR="00D77DFD" w:rsidRPr="00E914FB" w:rsidRDefault="00D77DFD" w:rsidP="00D77DFD">
            <w:pPr>
              <w:tabs>
                <w:tab w:val="left" w:pos="567"/>
              </w:tabs>
              <w:rPr>
                <w:rFonts w:ascii="Calibri" w:hAnsi="Calibri" w:cs="Calibri"/>
                <w:sz w:val="16"/>
                <w:szCs w:val="16"/>
              </w:rPr>
            </w:pPr>
          </w:p>
        </w:tc>
        <w:tc>
          <w:tcPr>
            <w:tcW w:w="1040" w:type="dxa"/>
          </w:tcPr>
          <w:p w14:paraId="231CC00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0.93</w:t>
            </w:r>
          </w:p>
          <w:p w14:paraId="2100166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(0.84-1.03)</w:t>
            </w:r>
          </w:p>
        </w:tc>
        <w:tc>
          <w:tcPr>
            <w:tcW w:w="1040" w:type="dxa"/>
          </w:tcPr>
          <w:p w14:paraId="1B682DE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0.95</w:t>
            </w:r>
          </w:p>
          <w:p w14:paraId="06B6EC5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(0.84-1.08)</w:t>
            </w:r>
          </w:p>
        </w:tc>
        <w:tc>
          <w:tcPr>
            <w:tcW w:w="1041" w:type="dxa"/>
          </w:tcPr>
          <w:p w14:paraId="32966AA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0.92</w:t>
            </w:r>
          </w:p>
          <w:p w14:paraId="4F864B5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(0.83-1.01)</w:t>
            </w:r>
          </w:p>
        </w:tc>
        <w:tc>
          <w:tcPr>
            <w:tcW w:w="3464" w:type="dxa"/>
            <w:vMerge/>
          </w:tcPr>
          <w:p w14:paraId="6E05AEDC" w14:textId="77777777" w:rsidR="00D77DFD" w:rsidRPr="00E914FB" w:rsidRDefault="00D77DFD" w:rsidP="00D77DFD">
            <w:pPr>
              <w:rPr>
                <w:rFonts w:cstheme="minorHAnsi"/>
                <w:sz w:val="20"/>
                <w:szCs w:val="20"/>
              </w:rPr>
            </w:pPr>
          </w:p>
        </w:tc>
      </w:tr>
      <w:tr w:rsidR="00D77DFD" w:rsidRPr="00E914FB" w14:paraId="0F11DC08" w14:textId="77777777" w:rsidTr="00337D74">
        <w:trPr>
          <w:trHeight w:val="66"/>
        </w:trPr>
        <w:tc>
          <w:tcPr>
            <w:tcW w:w="1668" w:type="dxa"/>
            <w:vMerge w:val="restart"/>
          </w:tcPr>
          <w:p w14:paraId="2ECBE97C" w14:textId="77777777" w:rsidR="00D77DFD" w:rsidRPr="00E914FB" w:rsidRDefault="00D77DFD" w:rsidP="00D77DFD">
            <w:pPr>
              <w:tabs>
                <w:tab w:val="left" w:pos="567"/>
              </w:tabs>
              <w:rPr>
                <w:rFonts w:cstheme="minorHAnsi"/>
                <w:sz w:val="20"/>
                <w:szCs w:val="20"/>
              </w:rPr>
            </w:pPr>
            <w:r w:rsidRPr="00E914FB">
              <w:rPr>
                <w:rFonts w:cstheme="minorHAnsi"/>
                <w:sz w:val="20"/>
                <w:szCs w:val="20"/>
              </w:rPr>
              <w:t>Alprazolam</w:t>
            </w:r>
          </w:p>
          <w:p w14:paraId="5FC913E2" w14:textId="77777777" w:rsidR="00D77DFD" w:rsidRPr="00E914FB" w:rsidRDefault="00D77DFD" w:rsidP="00D77DFD">
            <w:pPr>
              <w:tabs>
                <w:tab w:val="left" w:pos="567"/>
              </w:tabs>
              <w:rPr>
                <w:rFonts w:cstheme="minorHAnsi"/>
                <w:sz w:val="20"/>
                <w:szCs w:val="20"/>
              </w:rPr>
            </w:pPr>
            <w:r w:rsidRPr="00E914FB">
              <w:rPr>
                <w:rFonts w:cstheme="minorHAnsi"/>
                <w:sz w:val="20"/>
                <w:szCs w:val="20"/>
              </w:rPr>
              <w:t xml:space="preserve">0.5 mg single dose  </w:t>
            </w:r>
          </w:p>
        </w:tc>
        <w:tc>
          <w:tcPr>
            <w:tcW w:w="992" w:type="dxa"/>
          </w:tcPr>
          <w:p w14:paraId="400CBD23" w14:textId="77777777" w:rsidR="00D77DFD" w:rsidRPr="00E914FB" w:rsidRDefault="00D77DFD" w:rsidP="00D77DFD">
            <w:pPr>
              <w:rPr>
                <w:rFonts w:cstheme="minorHAnsi"/>
              </w:rPr>
            </w:pPr>
          </w:p>
        </w:tc>
        <w:tc>
          <w:tcPr>
            <w:tcW w:w="1040" w:type="dxa"/>
          </w:tcPr>
          <w:p w14:paraId="43C0C11B" w14:textId="77777777" w:rsidR="00D77DFD" w:rsidRPr="00E914FB" w:rsidRDefault="00D77DFD" w:rsidP="00D77DFD">
            <w:pPr>
              <w:tabs>
                <w:tab w:val="left" w:pos="567"/>
              </w:tabs>
              <w:rPr>
                <w:rFonts w:ascii="Calibri" w:hAnsi="Calibri" w:cs="Calibri"/>
                <w:sz w:val="16"/>
                <w:szCs w:val="16"/>
                <w:vertAlign w:val="subscript"/>
              </w:rPr>
            </w:pPr>
            <w:r w:rsidRPr="00E914FB">
              <w:rPr>
                <w:rFonts w:ascii="Calibri" w:hAnsi="Calibri" w:cs="Calibri"/>
                <w:sz w:val="16"/>
                <w:szCs w:val="16"/>
              </w:rPr>
              <w:t>C</w:t>
            </w:r>
            <w:r w:rsidRPr="00E914FB">
              <w:rPr>
                <w:rFonts w:ascii="Calibri" w:hAnsi="Calibri" w:cs="Calibri"/>
                <w:sz w:val="16"/>
                <w:szCs w:val="16"/>
                <w:vertAlign w:val="subscript"/>
              </w:rPr>
              <w:t>max</w:t>
            </w:r>
          </w:p>
        </w:tc>
        <w:tc>
          <w:tcPr>
            <w:tcW w:w="1040" w:type="dxa"/>
          </w:tcPr>
          <w:p w14:paraId="54BCF70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AUC</w:t>
            </w:r>
          </w:p>
        </w:tc>
        <w:tc>
          <w:tcPr>
            <w:tcW w:w="1041" w:type="dxa"/>
          </w:tcPr>
          <w:p w14:paraId="705DE00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C</w:t>
            </w:r>
            <w:r w:rsidRPr="00E914FB">
              <w:rPr>
                <w:rFonts w:ascii="Calibri" w:hAnsi="Calibri" w:cs="Calibri"/>
                <w:sz w:val="16"/>
                <w:szCs w:val="16"/>
                <w:vertAlign w:val="subscript"/>
              </w:rPr>
              <w:t>min</w:t>
            </w:r>
          </w:p>
        </w:tc>
        <w:tc>
          <w:tcPr>
            <w:tcW w:w="3464" w:type="dxa"/>
            <w:vMerge w:val="restart"/>
          </w:tcPr>
          <w:p w14:paraId="5C681228" w14:textId="77777777" w:rsidR="00D77DFD" w:rsidRPr="00E914FB" w:rsidRDefault="00D77DFD" w:rsidP="00D77DFD">
            <w:pPr>
              <w:tabs>
                <w:tab w:val="left" w:pos="567"/>
              </w:tabs>
              <w:rPr>
                <w:rFonts w:cstheme="minorHAnsi"/>
                <w:sz w:val="20"/>
                <w:szCs w:val="20"/>
              </w:rPr>
            </w:pPr>
            <w:r w:rsidRPr="00E914FB">
              <w:rPr>
                <w:rFonts w:cstheme="minorHAnsi"/>
                <w:sz w:val="20"/>
                <w:szCs w:val="20"/>
              </w:rPr>
              <w:t>Clinical monitoring of patients is recommended. A decrease in alprazolam dose can be considered based on clinical response.</w:t>
            </w:r>
          </w:p>
          <w:p w14:paraId="1F8D696A" w14:textId="12C4FA7F" w:rsidR="00D77DFD" w:rsidRPr="00E914FB" w:rsidRDefault="00D77DFD" w:rsidP="00D77DFD">
            <w:pPr>
              <w:tabs>
                <w:tab w:val="left" w:pos="567"/>
              </w:tabs>
              <w:rPr>
                <w:rFonts w:cstheme="minorHAnsi"/>
                <w:sz w:val="20"/>
                <w:szCs w:val="20"/>
              </w:rPr>
            </w:pPr>
          </w:p>
        </w:tc>
      </w:tr>
      <w:tr w:rsidR="00D77DFD" w:rsidRPr="00E914FB" w14:paraId="3B8FCF95" w14:textId="77777777" w:rsidTr="00337D74">
        <w:trPr>
          <w:trHeight w:val="66"/>
        </w:trPr>
        <w:tc>
          <w:tcPr>
            <w:tcW w:w="1668" w:type="dxa"/>
            <w:vMerge/>
          </w:tcPr>
          <w:p w14:paraId="3B32CE30" w14:textId="77777777" w:rsidR="00D77DFD" w:rsidRPr="00E914FB" w:rsidRDefault="00D77DFD" w:rsidP="00D77DFD">
            <w:pPr>
              <w:tabs>
                <w:tab w:val="left" w:pos="567"/>
              </w:tabs>
              <w:rPr>
                <w:rFonts w:cstheme="minorHAnsi"/>
                <w:sz w:val="20"/>
                <w:szCs w:val="20"/>
              </w:rPr>
            </w:pPr>
          </w:p>
        </w:tc>
        <w:tc>
          <w:tcPr>
            <w:tcW w:w="992" w:type="dxa"/>
          </w:tcPr>
          <w:p w14:paraId="271CD28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alprazolam</w:t>
            </w:r>
          </w:p>
        </w:tc>
        <w:tc>
          <w:tcPr>
            <w:tcW w:w="1040" w:type="dxa"/>
          </w:tcPr>
          <w:p w14:paraId="17C4EBF2"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1.09</w:t>
            </w:r>
          </w:p>
          <w:p w14:paraId="789C5C2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(1.03-1.15)</w:t>
            </w:r>
          </w:p>
        </w:tc>
        <w:tc>
          <w:tcPr>
            <w:tcW w:w="1040" w:type="dxa"/>
          </w:tcPr>
          <w:p w14:paraId="2188620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1.34</w:t>
            </w:r>
          </w:p>
          <w:p w14:paraId="08260F0D"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(1.15-1.55)</w:t>
            </w:r>
          </w:p>
        </w:tc>
        <w:tc>
          <w:tcPr>
            <w:tcW w:w="1041" w:type="dxa"/>
          </w:tcPr>
          <w:p w14:paraId="371C0B0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NA</w:t>
            </w:r>
          </w:p>
        </w:tc>
        <w:tc>
          <w:tcPr>
            <w:tcW w:w="3464" w:type="dxa"/>
            <w:vMerge/>
          </w:tcPr>
          <w:p w14:paraId="49E043A4" w14:textId="77777777" w:rsidR="00D77DFD" w:rsidRPr="00E914FB" w:rsidRDefault="00D77DFD" w:rsidP="00D77DFD">
            <w:pPr>
              <w:rPr>
                <w:rFonts w:cstheme="minorHAnsi"/>
                <w:sz w:val="20"/>
                <w:szCs w:val="20"/>
              </w:rPr>
            </w:pPr>
          </w:p>
        </w:tc>
      </w:tr>
      <w:tr w:rsidR="00D77DFD" w:rsidRPr="00E914FB" w14:paraId="2F7739A4" w14:textId="77777777" w:rsidTr="00337D74">
        <w:trPr>
          <w:trHeight w:val="66"/>
        </w:trPr>
        <w:tc>
          <w:tcPr>
            <w:tcW w:w="1668" w:type="dxa"/>
            <w:vMerge/>
          </w:tcPr>
          <w:p w14:paraId="171B5B47" w14:textId="77777777" w:rsidR="00D77DFD" w:rsidRPr="00E914FB" w:rsidRDefault="00D77DFD" w:rsidP="00D77DFD">
            <w:pPr>
              <w:tabs>
                <w:tab w:val="left" w:pos="567"/>
              </w:tabs>
              <w:rPr>
                <w:rFonts w:cstheme="minorHAnsi"/>
                <w:sz w:val="20"/>
                <w:szCs w:val="20"/>
              </w:rPr>
            </w:pPr>
          </w:p>
        </w:tc>
        <w:tc>
          <w:tcPr>
            <w:tcW w:w="992" w:type="dxa"/>
          </w:tcPr>
          <w:p w14:paraId="0F89659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ombitasvir</w:t>
            </w:r>
          </w:p>
        </w:tc>
        <w:tc>
          <w:tcPr>
            <w:tcW w:w="1040" w:type="dxa"/>
          </w:tcPr>
          <w:p w14:paraId="250B57E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0.98</w:t>
            </w:r>
          </w:p>
          <w:p w14:paraId="3F38110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(0.93-1.04)</w:t>
            </w:r>
          </w:p>
        </w:tc>
        <w:tc>
          <w:tcPr>
            <w:tcW w:w="1040" w:type="dxa"/>
          </w:tcPr>
          <w:p w14:paraId="64F2511F"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w:t>
            </w:r>
          </w:p>
          <w:p w14:paraId="3F1EFDB6"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(0.96-1.04)</w:t>
            </w:r>
          </w:p>
        </w:tc>
        <w:tc>
          <w:tcPr>
            <w:tcW w:w="1041" w:type="dxa"/>
          </w:tcPr>
          <w:p w14:paraId="22F7F4BA"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0.98</w:t>
            </w:r>
          </w:p>
          <w:p w14:paraId="1D74539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(0.93-1.04)</w:t>
            </w:r>
          </w:p>
        </w:tc>
        <w:tc>
          <w:tcPr>
            <w:tcW w:w="3464" w:type="dxa"/>
            <w:vMerge/>
          </w:tcPr>
          <w:p w14:paraId="12B7C7C3" w14:textId="77777777" w:rsidR="00D77DFD" w:rsidRPr="00E914FB" w:rsidRDefault="00D77DFD" w:rsidP="00D77DFD">
            <w:pPr>
              <w:rPr>
                <w:rFonts w:cstheme="minorHAnsi"/>
                <w:sz w:val="20"/>
                <w:szCs w:val="20"/>
              </w:rPr>
            </w:pPr>
          </w:p>
        </w:tc>
      </w:tr>
      <w:tr w:rsidR="00D77DFD" w:rsidRPr="00E914FB" w14:paraId="7C5AA53F" w14:textId="77777777" w:rsidTr="00337D74">
        <w:trPr>
          <w:trHeight w:val="66"/>
        </w:trPr>
        <w:tc>
          <w:tcPr>
            <w:tcW w:w="1668" w:type="dxa"/>
            <w:vMerge/>
          </w:tcPr>
          <w:p w14:paraId="0BEB0C18" w14:textId="77777777" w:rsidR="00D77DFD" w:rsidRPr="00E914FB" w:rsidRDefault="00D77DFD" w:rsidP="00D77DFD">
            <w:pPr>
              <w:tabs>
                <w:tab w:val="left" w:pos="567"/>
              </w:tabs>
              <w:rPr>
                <w:rFonts w:cstheme="minorHAnsi"/>
                <w:sz w:val="20"/>
                <w:szCs w:val="20"/>
              </w:rPr>
            </w:pPr>
          </w:p>
        </w:tc>
        <w:tc>
          <w:tcPr>
            <w:tcW w:w="992" w:type="dxa"/>
          </w:tcPr>
          <w:p w14:paraId="533B9B1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paritaprevir</w:t>
            </w:r>
          </w:p>
        </w:tc>
        <w:tc>
          <w:tcPr>
            <w:tcW w:w="1040" w:type="dxa"/>
          </w:tcPr>
          <w:p w14:paraId="30B94E7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0.91</w:t>
            </w:r>
          </w:p>
          <w:p w14:paraId="50042344"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(0.64-1.31)</w:t>
            </w:r>
          </w:p>
        </w:tc>
        <w:tc>
          <w:tcPr>
            <w:tcW w:w="1040" w:type="dxa"/>
          </w:tcPr>
          <w:p w14:paraId="49C9C11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0.96</w:t>
            </w:r>
          </w:p>
          <w:p w14:paraId="5C0183F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(0.73-1.27)</w:t>
            </w:r>
          </w:p>
        </w:tc>
        <w:tc>
          <w:tcPr>
            <w:tcW w:w="1041" w:type="dxa"/>
          </w:tcPr>
          <w:p w14:paraId="412FA6AB"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1.12</w:t>
            </w:r>
          </w:p>
          <w:p w14:paraId="5C19BA19"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(1.02-1.23)</w:t>
            </w:r>
          </w:p>
        </w:tc>
        <w:tc>
          <w:tcPr>
            <w:tcW w:w="3464" w:type="dxa"/>
            <w:vMerge/>
          </w:tcPr>
          <w:p w14:paraId="620531F6" w14:textId="77777777" w:rsidR="00D77DFD" w:rsidRPr="00E914FB" w:rsidRDefault="00D77DFD" w:rsidP="00D77DFD">
            <w:pPr>
              <w:rPr>
                <w:rFonts w:cstheme="minorHAnsi"/>
                <w:sz w:val="20"/>
                <w:szCs w:val="20"/>
              </w:rPr>
            </w:pPr>
          </w:p>
        </w:tc>
      </w:tr>
      <w:tr w:rsidR="00D77DFD" w:rsidRPr="00E914FB" w14:paraId="2505DDA7" w14:textId="77777777" w:rsidTr="00337D74">
        <w:trPr>
          <w:trHeight w:val="66"/>
        </w:trPr>
        <w:tc>
          <w:tcPr>
            <w:tcW w:w="1668" w:type="dxa"/>
            <w:vMerge/>
          </w:tcPr>
          <w:p w14:paraId="3C825DE5" w14:textId="77777777" w:rsidR="00D77DFD" w:rsidRPr="00E914FB" w:rsidRDefault="00D77DFD" w:rsidP="00D77DFD">
            <w:pPr>
              <w:tabs>
                <w:tab w:val="left" w:pos="567"/>
              </w:tabs>
              <w:rPr>
                <w:rFonts w:cstheme="minorHAnsi"/>
                <w:sz w:val="20"/>
                <w:szCs w:val="20"/>
              </w:rPr>
            </w:pPr>
          </w:p>
        </w:tc>
        <w:tc>
          <w:tcPr>
            <w:tcW w:w="992" w:type="dxa"/>
          </w:tcPr>
          <w:p w14:paraId="7058E55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 dasabuvir</w:t>
            </w:r>
          </w:p>
          <w:p w14:paraId="1D6341EE" w14:textId="77777777" w:rsidR="00D77DFD" w:rsidRPr="00E914FB" w:rsidRDefault="00D77DFD" w:rsidP="00D77DFD">
            <w:pPr>
              <w:tabs>
                <w:tab w:val="left" w:pos="567"/>
              </w:tabs>
              <w:rPr>
                <w:rFonts w:ascii="Calibri" w:hAnsi="Calibri" w:cs="Calibri"/>
                <w:sz w:val="16"/>
                <w:szCs w:val="16"/>
              </w:rPr>
            </w:pPr>
          </w:p>
        </w:tc>
        <w:tc>
          <w:tcPr>
            <w:tcW w:w="1040" w:type="dxa"/>
          </w:tcPr>
          <w:p w14:paraId="03E4FC97"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0.93</w:t>
            </w:r>
          </w:p>
          <w:p w14:paraId="02BAD805"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(0.83-1.04)</w:t>
            </w:r>
          </w:p>
        </w:tc>
        <w:tc>
          <w:tcPr>
            <w:tcW w:w="1040" w:type="dxa"/>
          </w:tcPr>
          <w:p w14:paraId="54FDDCE8"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0.98</w:t>
            </w:r>
          </w:p>
          <w:p w14:paraId="2A1086C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(0.87-1.11)</w:t>
            </w:r>
          </w:p>
        </w:tc>
        <w:tc>
          <w:tcPr>
            <w:tcW w:w="1041" w:type="dxa"/>
          </w:tcPr>
          <w:p w14:paraId="570E55C1"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1.00</w:t>
            </w:r>
          </w:p>
          <w:p w14:paraId="5BFCBD6E" w14:textId="77777777" w:rsidR="00D77DFD" w:rsidRPr="00E914FB" w:rsidRDefault="00D77DFD" w:rsidP="00D77DFD">
            <w:pPr>
              <w:tabs>
                <w:tab w:val="left" w:pos="567"/>
              </w:tabs>
              <w:rPr>
                <w:rFonts w:ascii="Calibri" w:hAnsi="Calibri" w:cs="Calibri"/>
                <w:sz w:val="16"/>
                <w:szCs w:val="16"/>
              </w:rPr>
            </w:pPr>
            <w:r w:rsidRPr="00E914FB">
              <w:rPr>
                <w:rFonts w:ascii="Calibri" w:hAnsi="Calibri" w:cs="Calibri"/>
                <w:sz w:val="16"/>
                <w:szCs w:val="16"/>
              </w:rPr>
              <w:t>(0.87-1.15)</w:t>
            </w:r>
          </w:p>
        </w:tc>
        <w:tc>
          <w:tcPr>
            <w:tcW w:w="3464" w:type="dxa"/>
            <w:vMerge/>
          </w:tcPr>
          <w:p w14:paraId="09FC0985" w14:textId="77777777" w:rsidR="00D77DFD" w:rsidRPr="00E914FB" w:rsidRDefault="00D77DFD" w:rsidP="00D77DFD">
            <w:pPr>
              <w:rPr>
                <w:rFonts w:cstheme="minorHAnsi"/>
                <w:sz w:val="20"/>
                <w:szCs w:val="20"/>
              </w:rPr>
            </w:pPr>
          </w:p>
        </w:tc>
      </w:tr>
      <w:tr w:rsidR="00D77DFD" w:rsidRPr="00E914FB" w14:paraId="5DC12A99" w14:textId="77777777" w:rsidTr="00A178EB">
        <w:tc>
          <w:tcPr>
            <w:tcW w:w="9245" w:type="dxa"/>
            <w:gridSpan w:val="6"/>
          </w:tcPr>
          <w:p w14:paraId="6D151B31" w14:textId="77777777" w:rsidR="00D77DFD" w:rsidRPr="00E914FB" w:rsidRDefault="00D77DFD" w:rsidP="00D77DFD">
            <w:pPr>
              <w:rPr>
                <w:rFonts w:cstheme="minorHAnsi"/>
                <w:b/>
                <w:sz w:val="20"/>
                <w:szCs w:val="20"/>
              </w:rPr>
            </w:pPr>
            <w:r w:rsidRPr="00E914FB">
              <w:rPr>
                <w:rFonts w:cstheme="minorHAnsi"/>
                <w:b/>
                <w:sz w:val="20"/>
                <w:szCs w:val="20"/>
              </w:rPr>
              <w:t>Thyroid Hormones</w:t>
            </w:r>
          </w:p>
        </w:tc>
      </w:tr>
      <w:tr w:rsidR="00D77DFD" w:rsidRPr="00E914FB" w14:paraId="5F4D2FCF" w14:textId="77777777" w:rsidTr="00337D74">
        <w:tc>
          <w:tcPr>
            <w:tcW w:w="1668" w:type="dxa"/>
          </w:tcPr>
          <w:p w14:paraId="568C1CE7" w14:textId="77777777" w:rsidR="00D77DFD" w:rsidRPr="00E914FB" w:rsidRDefault="00D77DFD" w:rsidP="00D77DFD">
            <w:pPr>
              <w:tabs>
                <w:tab w:val="left" w:pos="567"/>
              </w:tabs>
              <w:rPr>
                <w:rFonts w:cstheme="minorHAnsi"/>
                <w:sz w:val="20"/>
                <w:szCs w:val="20"/>
              </w:rPr>
            </w:pPr>
            <w:r w:rsidRPr="00E914FB">
              <w:rPr>
                <w:rFonts w:cstheme="minorHAnsi"/>
                <w:sz w:val="20"/>
                <w:szCs w:val="20"/>
              </w:rPr>
              <w:t>Levothyroxine</w:t>
            </w:r>
          </w:p>
        </w:tc>
        <w:tc>
          <w:tcPr>
            <w:tcW w:w="4113" w:type="dxa"/>
            <w:gridSpan w:val="4"/>
          </w:tcPr>
          <w:p w14:paraId="583DA448" w14:textId="77777777" w:rsidR="00D77DFD" w:rsidRPr="00E914FB" w:rsidRDefault="00D77DFD" w:rsidP="00D77DFD">
            <w:pPr>
              <w:tabs>
                <w:tab w:val="left" w:pos="567"/>
              </w:tabs>
              <w:rPr>
                <w:rFonts w:ascii="Calibri" w:hAnsi="Calibri" w:cs="Calibri"/>
                <w:sz w:val="20"/>
                <w:szCs w:val="20"/>
              </w:rPr>
            </w:pPr>
            <w:r w:rsidRPr="00E914FB">
              <w:rPr>
                <w:rFonts w:ascii="Calibri" w:hAnsi="Calibri" w:cs="Calibri"/>
                <w:sz w:val="20"/>
                <w:szCs w:val="20"/>
              </w:rPr>
              <w:t>↑ levothyroxine*</w:t>
            </w:r>
          </w:p>
        </w:tc>
        <w:tc>
          <w:tcPr>
            <w:tcW w:w="3464" w:type="dxa"/>
          </w:tcPr>
          <w:p w14:paraId="4FD43A3E" w14:textId="77777777" w:rsidR="00D77DFD" w:rsidRPr="00E914FB" w:rsidRDefault="00D77DFD" w:rsidP="00D77DFD">
            <w:pPr>
              <w:rPr>
                <w:rFonts w:cstheme="minorHAnsi"/>
                <w:sz w:val="20"/>
                <w:szCs w:val="20"/>
              </w:rPr>
            </w:pPr>
            <w:r w:rsidRPr="00E914FB">
              <w:rPr>
                <w:rFonts w:cstheme="minorHAnsi"/>
                <w:sz w:val="20"/>
                <w:szCs w:val="20"/>
              </w:rPr>
              <w:t>Mechanism:  UGT1A1 inhibition by paritaprevir, ombitasvir and dasabuvir.</w:t>
            </w:r>
          </w:p>
          <w:p w14:paraId="1BCB3F6E" w14:textId="77777777" w:rsidR="00D77DFD" w:rsidRPr="00E914FB" w:rsidRDefault="00D77DFD" w:rsidP="00D77DFD">
            <w:pPr>
              <w:tabs>
                <w:tab w:val="left" w:pos="567"/>
              </w:tabs>
              <w:rPr>
                <w:rFonts w:cstheme="minorHAnsi"/>
                <w:sz w:val="20"/>
                <w:szCs w:val="20"/>
              </w:rPr>
            </w:pPr>
            <w:r w:rsidRPr="00E914FB">
              <w:rPr>
                <w:rFonts w:cstheme="minorHAnsi"/>
                <w:sz w:val="20"/>
                <w:szCs w:val="20"/>
              </w:rPr>
              <w:t>Clinical monitoring and dose adjustment may be required for levothyroxine.</w:t>
            </w:r>
          </w:p>
        </w:tc>
      </w:tr>
      <w:tr w:rsidR="00D77DFD" w:rsidRPr="00E914FB" w14:paraId="7113EFB9" w14:textId="77777777" w:rsidTr="00A178EB">
        <w:tc>
          <w:tcPr>
            <w:tcW w:w="9245" w:type="dxa"/>
            <w:gridSpan w:val="6"/>
          </w:tcPr>
          <w:p w14:paraId="2F2FF1AA" w14:textId="77777777" w:rsidR="00D77DFD" w:rsidRPr="00E914FB" w:rsidRDefault="00D77DFD" w:rsidP="00D77DFD">
            <w:pPr>
              <w:numPr>
                <w:ilvl w:val="0"/>
                <w:numId w:val="39"/>
              </w:numPr>
              <w:rPr>
                <w:rFonts w:cstheme="minorHAnsi"/>
                <w:sz w:val="18"/>
                <w:szCs w:val="18"/>
              </w:rPr>
            </w:pPr>
            <w:r w:rsidRPr="00E914FB">
              <w:rPr>
                <w:rFonts w:cstheme="minorHAnsi"/>
                <w:sz w:val="18"/>
                <w:szCs w:val="18"/>
              </w:rPr>
              <w:t>Not studied; expected effect.</w:t>
            </w:r>
          </w:p>
          <w:p w14:paraId="5D56DBF3" w14:textId="77777777" w:rsidR="00D77DFD" w:rsidRPr="00E914FB" w:rsidRDefault="00D77DFD" w:rsidP="00D77DFD">
            <w:pPr>
              <w:numPr>
                <w:ilvl w:val="0"/>
                <w:numId w:val="38"/>
              </w:numPr>
              <w:rPr>
                <w:rFonts w:cstheme="minorHAnsi"/>
                <w:sz w:val="18"/>
                <w:szCs w:val="18"/>
              </w:rPr>
            </w:pPr>
            <w:r w:rsidRPr="00E914FB">
              <w:rPr>
                <w:rFonts w:cstheme="minorHAnsi"/>
                <w:sz w:val="18"/>
                <w:szCs w:val="18"/>
              </w:rPr>
              <w:t>Drug interaction study carried out with paritaprevir/ritonavir + dasabuvir combination.</w:t>
            </w:r>
          </w:p>
          <w:p w14:paraId="6840E745" w14:textId="77777777" w:rsidR="00D77DFD" w:rsidRPr="00E914FB" w:rsidRDefault="00D77DFD" w:rsidP="00D77DFD">
            <w:pPr>
              <w:numPr>
                <w:ilvl w:val="0"/>
                <w:numId w:val="38"/>
              </w:numPr>
              <w:rPr>
                <w:rFonts w:ascii="Calibri" w:hAnsi="Calibri" w:cs="Calibri"/>
                <w:sz w:val="18"/>
                <w:szCs w:val="18"/>
              </w:rPr>
            </w:pPr>
            <w:r w:rsidRPr="00E914FB">
              <w:rPr>
                <w:rFonts w:ascii="Calibri" w:hAnsi="Calibri" w:cs="Calibri"/>
                <w:sz w:val="18"/>
                <w:szCs w:val="18"/>
              </w:rPr>
              <w:t>Lopinavir/ritonavir 800/200 mg once daily (administered in the evening) was also administered with VIEKIRA PAK. The effect on C</w:t>
            </w:r>
            <w:r w:rsidRPr="00E914FB">
              <w:rPr>
                <w:rFonts w:ascii="Calibri" w:hAnsi="Calibri" w:cs="Calibri"/>
                <w:sz w:val="18"/>
                <w:szCs w:val="18"/>
                <w:vertAlign w:val="subscript"/>
              </w:rPr>
              <w:t xml:space="preserve">max </w:t>
            </w:r>
            <w:r w:rsidRPr="00E914FB">
              <w:rPr>
                <w:rFonts w:ascii="Calibri" w:hAnsi="Calibri" w:cs="Calibri"/>
                <w:sz w:val="18"/>
                <w:szCs w:val="18"/>
              </w:rPr>
              <w:t>and AUC of DAAs and lopinavir was similar to that observed when lopinavir/ritonavir 400/100 mg twice daily was administered with VIEKIRA PAK.</w:t>
            </w:r>
          </w:p>
          <w:p w14:paraId="1CF534C9" w14:textId="77777777" w:rsidR="00D77DFD" w:rsidRPr="00E914FB" w:rsidRDefault="00D77DFD" w:rsidP="00D77DFD">
            <w:pPr>
              <w:numPr>
                <w:ilvl w:val="0"/>
                <w:numId w:val="38"/>
              </w:numPr>
              <w:rPr>
                <w:rFonts w:ascii="Calibri" w:hAnsi="Calibri" w:cs="Calibri"/>
                <w:sz w:val="18"/>
                <w:szCs w:val="18"/>
              </w:rPr>
            </w:pPr>
            <w:r w:rsidRPr="00E914FB">
              <w:rPr>
                <w:rFonts w:ascii="Calibri" w:hAnsi="Calibri" w:cs="Calibri"/>
                <w:sz w:val="18"/>
                <w:szCs w:val="18"/>
              </w:rPr>
              <w:t>Rilpivirine was also administered in the evening with food and at night 4 hours after dinner with VIEKIRA PAK in other two arms in the study. The effect on rilpivirine exposures was similar to that observed when rilpivirine was administered in the morning with food with VIEKIRA PAK (shown in the table above).</w:t>
            </w:r>
          </w:p>
          <w:p w14:paraId="05F6BA05" w14:textId="77777777" w:rsidR="00D77DFD" w:rsidRPr="00E914FB" w:rsidRDefault="00D77DFD" w:rsidP="00D77DFD">
            <w:pPr>
              <w:numPr>
                <w:ilvl w:val="0"/>
                <w:numId w:val="38"/>
              </w:numPr>
              <w:rPr>
                <w:rFonts w:ascii="Calibri" w:hAnsi="Calibri" w:cs="Calibri"/>
                <w:sz w:val="18"/>
                <w:szCs w:val="18"/>
              </w:rPr>
            </w:pPr>
            <w:r w:rsidRPr="00E914FB">
              <w:rPr>
                <w:rFonts w:ascii="Calibri" w:hAnsi="Calibri" w:cs="Calibri"/>
                <w:sz w:val="18"/>
                <w:szCs w:val="18"/>
              </w:rPr>
              <w:t xml:space="preserve">Cyclosporin 100 mg dosed alone and 30 mg administered with VIEKIRA PAK. Dose normalized cyclosporine ratios are shown for interaction with VIEKIRA PAK. </w:t>
            </w:r>
          </w:p>
          <w:p w14:paraId="654B11BA" w14:textId="77777777" w:rsidR="00D77DFD" w:rsidRPr="00E914FB" w:rsidRDefault="00D77DFD" w:rsidP="00D77DFD">
            <w:pPr>
              <w:numPr>
                <w:ilvl w:val="0"/>
                <w:numId w:val="38"/>
              </w:numPr>
              <w:rPr>
                <w:rFonts w:ascii="Calibri" w:hAnsi="Calibri" w:cs="Calibri"/>
                <w:sz w:val="18"/>
                <w:szCs w:val="18"/>
              </w:rPr>
            </w:pPr>
            <w:r w:rsidRPr="00E914FB">
              <w:rPr>
                <w:rFonts w:ascii="Calibri" w:hAnsi="Calibri" w:cs="Calibri"/>
                <w:sz w:val="18"/>
                <w:szCs w:val="18"/>
              </w:rPr>
              <w:t>Dose normalised parameters reported for methadone, buprenorphine and naloxone.</w:t>
            </w:r>
          </w:p>
          <w:p w14:paraId="0BF40A74" w14:textId="77777777" w:rsidR="00D77DFD" w:rsidRPr="00E914FB" w:rsidRDefault="00D77DFD" w:rsidP="00D77DFD">
            <w:pPr>
              <w:tabs>
                <w:tab w:val="left" w:pos="567"/>
              </w:tabs>
              <w:rPr>
                <w:rFonts w:ascii="Calibri" w:hAnsi="Calibri" w:cs="Calibri"/>
                <w:sz w:val="18"/>
                <w:szCs w:val="18"/>
              </w:rPr>
            </w:pPr>
          </w:p>
          <w:p w14:paraId="2C41BD9D" w14:textId="77777777" w:rsidR="00D77DFD" w:rsidRPr="00E914FB" w:rsidRDefault="00D77DFD" w:rsidP="00D77DFD">
            <w:pPr>
              <w:rPr>
                <w:rFonts w:cstheme="minorHAnsi"/>
                <w:sz w:val="20"/>
                <w:szCs w:val="20"/>
              </w:rPr>
            </w:pPr>
            <w:r w:rsidRPr="00E914FB">
              <w:rPr>
                <w:rFonts w:ascii="Calibri" w:hAnsi="Calibri" w:cs="Calibri"/>
                <w:sz w:val="18"/>
                <w:szCs w:val="18"/>
              </w:rPr>
              <w:t>Note: Doses used for VIEKIRA PAK were: ombitasvir 25 mg, paritaprevir 150 mg, ritonavir 100 mg, once daily and dasabuvir 400 mg twice daily or 250 mg twice daily. The dasabuvir exposures obtained with the 400 mg formulation and the 250 mg tablet are similar. VIEKIRA PAK was administered as multiple doses in all the drug interaction studies except the drug interaction studies with carbamazepine, gemfibrozil and ketoconazole.</w:t>
            </w:r>
          </w:p>
        </w:tc>
      </w:tr>
    </w:tbl>
    <w:p w14:paraId="72FDC9DD" w14:textId="77777777" w:rsidR="00737043" w:rsidRPr="00E914FB" w:rsidRDefault="00737043" w:rsidP="00885509">
      <w:pPr>
        <w:pStyle w:val="Heading1"/>
      </w:pPr>
      <w:bookmarkStart w:id="24" w:name="_Toc383787412"/>
      <w:r w:rsidRPr="00E914FB">
        <w:lastRenderedPageBreak/>
        <w:t>Adverse Effects</w:t>
      </w:r>
      <w:bookmarkEnd w:id="24"/>
    </w:p>
    <w:p w14:paraId="0D360538" w14:textId="77777777" w:rsidR="00737043" w:rsidRPr="00E914FB" w:rsidRDefault="00737043" w:rsidP="00885509">
      <w:pPr>
        <w:pStyle w:val="Heading2Unnumbered"/>
        <w:rPr>
          <w:sz w:val="22"/>
          <w:szCs w:val="22"/>
          <w:lang w:val="en-AU"/>
        </w:rPr>
      </w:pPr>
      <w:r w:rsidRPr="00E914FB">
        <w:rPr>
          <w:sz w:val="22"/>
          <w:szCs w:val="22"/>
          <w:lang w:val="en-AU"/>
        </w:rPr>
        <w:t xml:space="preserve">Clinical Trials Experience </w:t>
      </w:r>
    </w:p>
    <w:p w14:paraId="6C72F867" w14:textId="34E929E4" w:rsidR="00737043" w:rsidRPr="00E914FB" w:rsidRDefault="00737043" w:rsidP="00885509">
      <w:pPr>
        <w:spacing w:line="240" w:lineRule="auto"/>
        <w:jc w:val="both"/>
        <w:rPr>
          <w:rFonts w:cs="Arial"/>
        </w:rPr>
      </w:pPr>
      <w:bookmarkStart w:id="25" w:name="p90055241370612716"/>
      <w:bookmarkEnd w:id="25"/>
      <w:r w:rsidRPr="00E914FB">
        <w:rPr>
          <w:rFonts w:cs="Arial"/>
        </w:rPr>
        <w:t xml:space="preserve">Because clinical trials are conducted under widely varying conditions, adverse reaction rates observed in clinical trials of </w:t>
      </w:r>
      <w:r w:rsidR="00222E29" w:rsidRPr="00E914FB">
        <w:rPr>
          <w:rFonts w:cs="Arial"/>
        </w:rPr>
        <w:t>VIEKIRA PAK</w:t>
      </w:r>
      <w:r w:rsidRPr="00E914FB">
        <w:rPr>
          <w:rFonts w:cs="Arial"/>
        </w:rPr>
        <w:t xml:space="preserve"> cannot be directly compared to rates in the clinical trials of another drug and may not reflect the rates observed in practice.</w:t>
      </w:r>
    </w:p>
    <w:p w14:paraId="11B07710" w14:textId="77777777" w:rsidR="00737043" w:rsidRPr="00E914FB" w:rsidRDefault="00737043" w:rsidP="00885509">
      <w:pPr>
        <w:spacing w:line="240" w:lineRule="auto"/>
        <w:rPr>
          <w:rFonts w:cs="Arial"/>
        </w:rPr>
      </w:pPr>
      <w:bookmarkStart w:id="26" w:name="p95029291393274642"/>
      <w:bookmarkStart w:id="27" w:name="p952114291393274658"/>
      <w:bookmarkEnd w:id="26"/>
      <w:bookmarkEnd w:id="27"/>
      <w:r w:rsidRPr="00E914FB">
        <w:rPr>
          <w:rFonts w:cs="Arial"/>
        </w:rPr>
        <w:t>The safety summary is based on pooled data from phase 2 and 3 clinical trials in more than 2,600 subjects who received VIEKIRA PAK with or without ribavirin.</w:t>
      </w:r>
    </w:p>
    <w:p w14:paraId="39D46D04" w14:textId="77777777" w:rsidR="00737043" w:rsidRPr="00E914FB" w:rsidRDefault="00737043" w:rsidP="00885509">
      <w:pPr>
        <w:spacing w:line="240" w:lineRule="auto"/>
        <w:rPr>
          <w:rFonts w:cs="Arial"/>
          <w:u w:val="single"/>
        </w:rPr>
      </w:pPr>
      <w:bookmarkStart w:id="28" w:name="p43966291393274759"/>
      <w:bookmarkEnd w:id="28"/>
      <w:r w:rsidRPr="00E914FB">
        <w:rPr>
          <w:rFonts w:cs="Arial"/>
          <w:u w:val="single"/>
        </w:rPr>
        <w:t>VIEKIRA PAK with Ribavirin in Subjects with Genotype 1 Hepatitis C Infection (including subjects with cirrhosis)</w:t>
      </w:r>
    </w:p>
    <w:p w14:paraId="256701E1" w14:textId="3B4015C2" w:rsidR="00737043" w:rsidRPr="00E914FB" w:rsidRDefault="00737043" w:rsidP="00885509">
      <w:pPr>
        <w:spacing w:line="240" w:lineRule="auto"/>
        <w:jc w:val="both"/>
        <w:rPr>
          <w:rFonts w:cs="Arial"/>
        </w:rPr>
      </w:pPr>
      <w:bookmarkStart w:id="29" w:name="p3255014291395751462"/>
      <w:bookmarkEnd w:id="29"/>
      <w:r w:rsidRPr="00E914FB">
        <w:rPr>
          <w:rFonts w:cs="Arial"/>
        </w:rPr>
        <w:t xml:space="preserve">In subjects receiving </w:t>
      </w:r>
      <w:r w:rsidR="00222E29" w:rsidRPr="00E914FB">
        <w:rPr>
          <w:rFonts w:cs="Arial"/>
        </w:rPr>
        <w:t>VIEKIRA PAK</w:t>
      </w:r>
      <w:r w:rsidRPr="00E914FB">
        <w:rPr>
          <w:rFonts w:cs="Arial"/>
        </w:rPr>
        <w:t>, the most commonly reported adverse reactions (greater than 20% of subjects) were fatigue and nausea. The proportion of subjects who permanently discontinued treatment due to adverse events was 1.2% (25/2,044). 1.3% (27/2,044) of subjects interrupted treatment due to adverse events. 7.7% (158/2,044) of subjects had ribavirin dose reductions due to adverse events.</w:t>
      </w:r>
    </w:p>
    <w:p w14:paraId="7BBFDCE4" w14:textId="29CAA3DE" w:rsidR="00737043" w:rsidRPr="00E914FB" w:rsidRDefault="00737043" w:rsidP="00885509">
      <w:pPr>
        <w:spacing w:line="240" w:lineRule="auto"/>
        <w:jc w:val="both"/>
        <w:rPr>
          <w:rFonts w:cs="Arial"/>
        </w:rPr>
      </w:pPr>
      <w:bookmarkStart w:id="30" w:name="p43894291393274815"/>
      <w:bookmarkEnd w:id="30"/>
      <w:r w:rsidRPr="00E914FB">
        <w:rPr>
          <w:rFonts w:cs="Arial"/>
        </w:rPr>
        <w:t xml:space="preserve">The safety profile of VIEKIRA PAK </w:t>
      </w:r>
      <w:r w:rsidR="00121A33" w:rsidRPr="00E914FB">
        <w:rPr>
          <w:rFonts w:cs="Arial"/>
        </w:rPr>
        <w:t xml:space="preserve">with </w:t>
      </w:r>
      <w:r w:rsidRPr="00E914FB">
        <w:rPr>
          <w:rFonts w:cs="Arial"/>
        </w:rPr>
        <w:t>ribavirin in subjects with cirrhosis was similar to that of subjects without cirrhosis.</w:t>
      </w:r>
    </w:p>
    <w:p w14:paraId="0A8A13F6" w14:textId="77777777" w:rsidR="00737043" w:rsidRPr="00E914FB" w:rsidRDefault="00737043" w:rsidP="00885509">
      <w:pPr>
        <w:spacing w:line="240" w:lineRule="auto"/>
        <w:rPr>
          <w:rFonts w:cs="Arial"/>
          <w:u w:val="single"/>
        </w:rPr>
      </w:pPr>
      <w:bookmarkStart w:id="31" w:name="p46093291393274699"/>
      <w:bookmarkEnd w:id="31"/>
      <w:r w:rsidRPr="00E914FB">
        <w:rPr>
          <w:rFonts w:cs="Arial"/>
          <w:u w:val="single"/>
        </w:rPr>
        <w:t>VIEKIRA PAK without Ribavirin in Subjects with Genotype 1 Hepatitis C Infection</w:t>
      </w:r>
    </w:p>
    <w:p w14:paraId="6E2C84E1" w14:textId="238F7B6A" w:rsidR="00737043" w:rsidRPr="00E914FB" w:rsidRDefault="00737043" w:rsidP="00885509">
      <w:pPr>
        <w:spacing w:line="240" w:lineRule="auto"/>
      </w:pPr>
      <w:bookmarkStart w:id="32" w:name="p358530291395761018"/>
      <w:bookmarkEnd w:id="32"/>
      <w:r w:rsidRPr="00E914FB">
        <w:t xml:space="preserve">In subjects receiving VIEKIRA PAK without ribavirin, pruritus was the only identified adverse reaction (of reactions that occurred in </w:t>
      </w:r>
      <w:r w:rsidRPr="00E914FB">
        <w:rPr>
          <w:rFonts w:cstheme="minorHAnsi"/>
        </w:rPr>
        <w:t>≥</w:t>
      </w:r>
      <w:r w:rsidRPr="00E914FB">
        <w:t xml:space="preserve"> 5% of subjects )when a comparison of subjects who received VIEKIRA PAK without RBV was made to studies which included both </w:t>
      </w:r>
      <w:r w:rsidR="00222E29" w:rsidRPr="00E914FB">
        <w:t>VIEKIRA PAK</w:t>
      </w:r>
      <w:r w:rsidRPr="00E914FB">
        <w:t xml:space="preserve"> </w:t>
      </w:r>
      <w:r w:rsidR="00E33767" w:rsidRPr="00E914FB">
        <w:t xml:space="preserve">with ribavirin </w:t>
      </w:r>
      <w:r w:rsidRPr="00E914FB">
        <w:t>and placebo.</w:t>
      </w:r>
    </w:p>
    <w:p w14:paraId="3CF294A3" w14:textId="77777777" w:rsidR="00737043" w:rsidRPr="00E914FB" w:rsidRDefault="00737043" w:rsidP="00885509">
      <w:pPr>
        <w:spacing w:line="240" w:lineRule="auto"/>
        <w:jc w:val="both"/>
        <w:rPr>
          <w:rFonts w:cs="Arial"/>
        </w:rPr>
      </w:pPr>
      <w:r w:rsidRPr="00E914FB">
        <w:rPr>
          <w:rStyle w:val="CommentReference"/>
          <w:rFonts w:ascii="Times New Roman" w:hAnsi="Times New Roman" w:cs="Times New Roman"/>
        </w:rPr>
        <w:t> </w:t>
      </w:r>
      <w:r w:rsidRPr="00E914FB">
        <w:rPr>
          <w:rFonts w:cs="Arial"/>
        </w:rPr>
        <w:t>The proportion of subjects who permanently discontinued treatment due to adverse events was 0.3% (2/588). 0.5% (3/588) subjects had treatment interruptions due to adverse events.</w:t>
      </w:r>
    </w:p>
    <w:bookmarkStart w:id="33" w:name="p358544291395761055"/>
    <w:bookmarkEnd w:id="33"/>
    <w:p w14:paraId="413D1671" w14:textId="4D4E5A73" w:rsidR="00737043" w:rsidRPr="00E914FB" w:rsidRDefault="00737043" w:rsidP="00885509">
      <w:pPr>
        <w:spacing w:line="240" w:lineRule="auto"/>
        <w:jc w:val="both"/>
        <w:rPr>
          <w:rFonts w:cs="Arial"/>
        </w:rPr>
      </w:pPr>
      <w:r w:rsidRPr="00E914FB">
        <w:rPr>
          <w:rFonts w:cs="Arial"/>
        </w:rPr>
        <w:fldChar w:fldCharType="begin"/>
      </w:r>
      <w:r w:rsidRPr="00E914FB">
        <w:rPr>
          <w:rFonts w:cs="Arial"/>
        </w:rPr>
        <w:instrText xml:space="preserve"> HYPERLINK "" \l "table_2" \o "gtc:Link" </w:instrText>
      </w:r>
      <w:r w:rsidRPr="00E914FB">
        <w:rPr>
          <w:rFonts w:cs="Arial"/>
        </w:rPr>
        <w:fldChar w:fldCharType="separate"/>
      </w:r>
      <w:r w:rsidRPr="00E914FB">
        <w:rPr>
          <w:rStyle w:val="gtclinktext12"/>
          <w:rFonts w:cs="Arial"/>
        </w:rPr>
        <w:t xml:space="preserve">Table </w:t>
      </w:r>
      <w:r w:rsidRPr="00E914FB">
        <w:rPr>
          <w:rFonts w:cs="Arial"/>
        </w:rPr>
        <w:fldChar w:fldCharType="end"/>
      </w:r>
      <w:r w:rsidRPr="00E914FB">
        <w:rPr>
          <w:rFonts w:cs="Arial"/>
        </w:rPr>
        <w:t>1</w:t>
      </w:r>
      <w:r w:rsidR="00B96A78" w:rsidRPr="00E914FB">
        <w:rPr>
          <w:rFonts w:cs="Arial"/>
        </w:rPr>
        <w:t>3</w:t>
      </w:r>
      <w:r w:rsidRPr="00E914FB">
        <w:rPr>
          <w:rFonts w:cs="Arial"/>
        </w:rPr>
        <w:t xml:space="preserve"> lists adverse drug reactions from two randomised placebo-controlled trials (SAPPHIRE I and SAPPHIRE II) that occurred with at least 5% higher frequency among subjects receiving VIEKIRA PAK in combination with ribavirin compared to subjects receiving placebo, regardless of relationship to </w:t>
      </w:r>
      <w:r w:rsidR="00222E29" w:rsidRPr="00E914FB">
        <w:rPr>
          <w:rFonts w:cs="Arial"/>
        </w:rPr>
        <w:t>VIEKIRA PAK</w:t>
      </w:r>
      <w:r w:rsidRPr="00E914FB">
        <w:rPr>
          <w:rFonts w:cs="Arial"/>
        </w:rPr>
        <w:t xml:space="preserve">. In addition, </w:t>
      </w:r>
      <w:r w:rsidR="00121A33" w:rsidRPr="00E914FB">
        <w:rPr>
          <w:rFonts w:cs="Arial"/>
        </w:rPr>
        <w:t xml:space="preserve">Table </w:t>
      </w:r>
      <w:r w:rsidR="00046BFF" w:rsidRPr="00E914FB">
        <w:rPr>
          <w:rFonts w:cs="Arial"/>
        </w:rPr>
        <w:t>1</w:t>
      </w:r>
      <w:hyperlink w:anchor="table_2" w:tooltip="gtc:Link" w:history="1">
        <w:r w:rsidR="00046BFF" w:rsidRPr="00E914FB">
          <w:rPr>
            <w:rStyle w:val="gtclinktext12"/>
            <w:rFonts w:cs="Arial"/>
          </w:rPr>
          <w:t>3</w:t>
        </w:r>
      </w:hyperlink>
      <w:r w:rsidR="00046BFF" w:rsidRPr="00E914FB">
        <w:rPr>
          <w:rFonts w:cs="Arial"/>
        </w:rPr>
        <w:t xml:space="preserve"> </w:t>
      </w:r>
      <w:r w:rsidRPr="00E914FB">
        <w:rPr>
          <w:rFonts w:cs="Arial"/>
        </w:rPr>
        <w:t xml:space="preserve">includes rates of these adverse events from three trials in which subjects received VIEKIRA PAK with or without ribavirin (PEARL II, PEARL III, and PEARL IV), and rates of these adverse events from the trial in subjects with cirrhosis who received VIEKIRA PAK </w:t>
      </w:r>
      <w:r w:rsidR="00363010">
        <w:rPr>
          <w:rFonts w:cs="Arial"/>
        </w:rPr>
        <w:t>or VIEKIRA PAK-RBV</w:t>
      </w:r>
      <w:r w:rsidRPr="00E914FB">
        <w:rPr>
          <w:rFonts w:cs="Arial"/>
        </w:rPr>
        <w:t xml:space="preserve"> for 12 or 24 weeks (TURQUOISE II). A side-by-side tabulation is provided to simplify presentation; direct comparisons should not be made across trials that differ in design.</w:t>
      </w:r>
    </w:p>
    <w:p w14:paraId="0322A46C" w14:textId="77777777" w:rsidR="00885509" w:rsidRDefault="00885509">
      <w:pPr>
        <w:rPr>
          <w:rFonts w:cstheme="minorHAnsi"/>
          <w:b/>
        </w:rPr>
      </w:pPr>
      <w:r>
        <w:rPr>
          <w:rFonts w:cstheme="minorHAnsi"/>
          <w:b/>
        </w:rPr>
        <w:br w:type="page"/>
      </w:r>
    </w:p>
    <w:p w14:paraId="5F92D619" w14:textId="7786A2DB" w:rsidR="00737043" w:rsidRPr="00E914FB" w:rsidRDefault="00737043" w:rsidP="00885509">
      <w:pPr>
        <w:spacing w:line="240" w:lineRule="auto"/>
        <w:rPr>
          <w:rFonts w:cstheme="minorHAnsi"/>
          <w:b/>
        </w:rPr>
      </w:pPr>
      <w:r w:rsidRPr="00E914FB">
        <w:rPr>
          <w:rFonts w:cstheme="minorHAnsi"/>
          <w:b/>
        </w:rPr>
        <w:lastRenderedPageBreak/>
        <w:t>Table 1</w:t>
      </w:r>
      <w:r w:rsidR="00121436">
        <w:rPr>
          <w:rFonts w:cstheme="minorHAnsi"/>
          <w:b/>
        </w:rPr>
        <w:t>4</w:t>
      </w:r>
      <w:r w:rsidRPr="00E914FB">
        <w:rPr>
          <w:rFonts w:cstheme="minorHAnsi"/>
          <w:b/>
        </w:rPr>
        <w:t xml:space="preserve">:  Side-by-Side Tabulation of Adverse Event Rates in Phase 3 Trials Based on Adverse Reactions* (All Grades)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439"/>
        <w:gridCol w:w="1662"/>
        <w:gridCol w:w="964"/>
        <w:gridCol w:w="1662"/>
        <w:gridCol w:w="1276"/>
        <w:gridCol w:w="2053"/>
      </w:tblGrid>
      <w:tr w:rsidR="00737043" w:rsidRPr="00E914FB" w14:paraId="1E5C9418" w14:textId="77777777" w:rsidTr="00890582">
        <w:trPr>
          <w:tblHeade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1F2C7040" w14:textId="77777777" w:rsidR="00737043" w:rsidRPr="00E914FB" w:rsidRDefault="00737043" w:rsidP="00890582">
            <w:pPr>
              <w:spacing w:after="0" w:line="300" w:lineRule="auto"/>
              <w:rPr>
                <w:rFonts w:cstheme="minorHAnsi"/>
                <w:sz w:val="20"/>
                <w:szCs w:val="20"/>
              </w:rPr>
            </w:pPr>
            <w:r w:rsidRPr="00E914FB">
              <w:rPr>
                <w:rFonts w:cstheme="minorHAnsi"/>
                <w:sz w:val="20"/>
                <w:szCs w:val="20"/>
              </w:rPr>
              <w:t> </w:t>
            </w:r>
          </w:p>
        </w:tc>
        <w:tc>
          <w:tcPr>
            <w:tcW w:w="2722" w:type="dxa"/>
            <w:gridSpan w:val="2"/>
            <w:tcBorders>
              <w:top w:val="single" w:sz="6" w:space="0" w:color="000000"/>
              <w:left w:val="single" w:sz="6" w:space="0" w:color="000000"/>
              <w:bottom w:val="single" w:sz="6" w:space="0" w:color="000000"/>
              <w:right w:val="single" w:sz="6" w:space="0" w:color="000000"/>
            </w:tcBorders>
            <w:hideMark/>
          </w:tcPr>
          <w:p w14:paraId="06DB01B3" w14:textId="77777777" w:rsidR="00737043" w:rsidRPr="00E914FB" w:rsidRDefault="00737043" w:rsidP="00890582">
            <w:pPr>
              <w:spacing w:after="0" w:line="300" w:lineRule="auto"/>
              <w:jc w:val="center"/>
              <w:rPr>
                <w:rFonts w:cstheme="minorHAnsi"/>
                <w:sz w:val="20"/>
                <w:szCs w:val="20"/>
              </w:rPr>
            </w:pPr>
            <w:r w:rsidRPr="00E914FB">
              <w:rPr>
                <w:rFonts w:cstheme="minorHAnsi"/>
                <w:b/>
                <w:sz w:val="20"/>
                <w:szCs w:val="20"/>
              </w:rPr>
              <w:t>SAPPHIRE I and II</w:t>
            </w:r>
          </w:p>
        </w:tc>
        <w:tc>
          <w:tcPr>
            <w:tcW w:w="3046" w:type="dxa"/>
            <w:gridSpan w:val="2"/>
            <w:tcBorders>
              <w:top w:val="single" w:sz="6" w:space="0" w:color="000000"/>
              <w:left w:val="single" w:sz="6" w:space="0" w:color="000000"/>
              <w:bottom w:val="single" w:sz="6" w:space="0" w:color="000000"/>
              <w:right w:val="single" w:sz="6" w:space="0" w:color="000000"/>
            </w:tcBorders>
            <w:hideMark/>
          </w:tcPr>
          <w:p w14:paraId="1ADCD738" w14:textId="77777777" w:rsidR="00737043" w:rsidRPr="00E914FB" w:rsidRDefault="00737043" w:rsidP="00890582">
            <w:pPr>
              <w:spacing w:after="0" w:line="300" w:lineRule="auto"/>
              <w:jc w:val="center"/>
              <w:rPr>
                <w:rFonts w:cstheme="minorHAnsi"/>
                <w:sz w:val="20"/>
                <w:szCs w:val="20"/>
              </w:rPr>
            </w:pPr>
            <w:r w:rsidRPr="00E914FB">
              <w:rPr>
                <w:rFonts w:cstheme="minorHAnsi"/>
                <w:b/>
                <w:sz w:val="20"/>
                <w:szCs w:val="20"/>
              </w:rPr>
              <w:t>PEARL II, III and IV</w:t>
            </w:r>
          </w:p>
        </w:tc>
        <w:tc>
          <w:tcPr>
            <w:tcW w:w="2129" w:type="dxa"/>
            <w:tcBorders>
              <w:top w:val="single" w:sz="6" w:space="0" w:color="000000"/>
              <w:left w:val="single" w:sz="6" w:space="0" w:color="000000"/>
              <w:bottom w:val="single" w:sz="6" w:space="0" w:color="000000"/>
              <w:right w:val="single" w:sz="6" w:space="0" w:color="000000"/>
            </w:tcBorders>
            <w:hideMark/>
          </w:tcPr>
          <w:p w14:paraId="253932BF" w14:textId="77777777" w:rsidR="00737043" w:rsidRPr="00E914FB" w:rsidRDefault="00737043" w:rsidP="00890582">
            <w:pPr>
              <w:spacing w:after="0" w:line="300" w:lineRule="auto"/>
              <w:jc w:val="center"/>
              <w:rPr>
                <w:rFonts w:cstheme="minorHAnsi"/>
                <w:sz w:val="20"/>
                <w:szCs w:val="20"/>
              </w:rPr>
            </w:pPr>
            <w:r w:rsidRPr="00E914FB">
              <w:rPr>
                <w:rFonts w:cstheme="minorHAnsi"/>
                <w:b/>
                <w:sz w:val="20"/>
                <w:szCs w:val="20"/>
              </w:rPr>
              <w:t>TURQUOISE II</w:t>
            </w:r>
            <w:r w:rsidRPr="00E914FB">
              <w:rPr>
                <w:rFonts w:cstheme="minorHAnsi"/>
                <w:b/>
                <w:sz w:val="20"/>
                <w:szCs w:val="20"/>
              </w:rPr>
              <w:br/>
              <w:t>(subjects with cirrhosis)</w:t>
            </w:r>
          </w:p>
        </w:tc>
      </w:tr>
      <w:tr w:rsidR="00737043" w:rsidRPr="00E914FB" w14:paraId="08D06E97" w14:textId="77777777" w:rsidTr="00890582">
        <w:trPr>
          <w:tblHeade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60AA13DD" w14:textId="77777777" w:rsidR="00737043" w:rsidRPr="00E914FB" w:rsidRDefault="00737043" w:rsidP="00890582">
            <w:pPr>
              <w:spacing w:after="0" w:line="300" w:lineRule="auto"/>
              <w:jc w:val="center"/>
              <w:rPr>
                <w:rFonts w:cstheme="minorHAnsi"/>
                <w:sz w:val="20"/>
                <w:szCs w:val="20"/>
              </w:rPr>
            </w:pPr>
            <w:r w:rsidRPr="00E914FB">
              <w:rPr>
                <w:rFonts w:cstheme="minorHAnsi"/>
                <w:b/>
                <w:sz w:val="20"/>
                <w:szCs w:val="20"/>
              </w:rPr>
              <w:t>Adverse Reaction</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77C8F97F" w14:textId="77777777" w:rsidR="00737043" w:rsidRPr="00E914FB" w:rsidRDefault="00737043" w:rsidP="00890582">
            <w:pPr>
              <w:spacing w:after="0" w:line="300" w:lineRule="auto"/>
              <w:jc w:val="center"/>
              <w:rPr>
                <w:rFonts w:cstheme="minorHAnsi"/>
                <w:b/>
                <w:sz w:val="20"/>
                <w:szCs w:val="20"/>
              </w:rPr>
            </w:pPr>
            <w:r w:rsidRPr="00E914FB">
              <w:rPr>
                <w:rFonts w:cstheme="minorHAnsi"/>
                <w:b/>
                <w:sz w:val="20"/>
                <w:szCs w:val="20"/>
              </w:rPr>
              <w:t xml:space="preserve">VIEKIRA PAK + RBV </w:t>
            </w:r>
            <w:r w:rsidRPr="00E914FB">
              <w:rPr>
                <w:rFonts w:cstheme="minorHAnsi"/>
                <w:b/>
                <w:sz w:val="20"/>
                <w:szCs w:val="20"/>
              </w:rPr>
              <w:br/>
              <w:t>12 Weeks</w:t>
            </w:r>
            <w:r w:rsidRPr="00E914FB">
              <w:rPr>
                <w:rFonts w:cstheme="minorHAnsi"/>
                <w:b/>
                <w:sz w:val="20"/>
                <w:szCs w:val="20"/>
              </w:rPr>
              <w:br/>
              <w:t xml:space="preserve">N = 770 </w:t>
            </w:r>
            <w:r w:rsidRPr="00E914FB">
              <w:rPr>
                <w:rFonts w:cstheme="minorHAnsi"/>
                <w:b/>
                <w:sz w:val="20"/>
                <w:szCs w:val="20"/>
              </w:rPr>
              <w:br/>
              <w:t>n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741872C5" w14:textId="77777777" w:rsidR="00737043" w:rsidRPr="00E914FB" w:rsidRDefault="00737043" w:rsidP="00890582">
            <w:pPr>
              <w:spacing w:after="0" w:line="300" w:lineRule="auto"/>
              <w:jc w:val="center"/>
              <w:rPr>
                <w:rFonts w:cstheme="minorHAnsi"/>
                <w:b/>
                <w:sz w:val="20"/>
                <w:szCs w:val="20"/>
              </w:rPr>
            </w:pPr>
            <w:r w:rsidRPr="00E914FB">
              <w:rPr>
                <w:rFonts w:cstheme="minorHAnsi"/>
                <w:b/>
                <w:sz w:val="20"/>
                <w:szCs w:val="20"/>
              </w:rPr>
              <w:t xml:space="preserve">Placebo </w:t>
            </w:r>
            <w:r w:rsidRPr="00E914FB">
              <w:rPr>
                <w:rFonts w:cstheme="minorHAnsi"/>
                <w:b/>
                <w:sz w:val="20"/>
                <w:szCs w:val="20"/>
              </w:rPr>
              <w:br/>
              <w:t>12 Weeks</w:t>
            </w:r>
            <w:r w:rsidRPr="00E914FB">
              <w:rPr>
                <w:rFonts w:cstheme="minorHAnsi"/>
                <w:b/>
                <w:sz w:val="20"/>
                <w:szCs w:val="20"/>
              </w:rPr>
              <w:br/>
              <w:t xml:space="preserve">N = 255 </w:t>
            </w:r>
            <w:r w:rsidRPr="00E914FB">
              <w:rPr>
                <w:rFonts w:cstheme="minorHAnsi"/>
                <w:b/>
                <w:sz w:val="20"/>
                <w:szCs w:val="20"/>
              </w:rPr>
              <w:br/>
              <w:t>n (%)</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68F7F683" w14:textId="77777777" w:rsidR="00737043" w:rsidRPr="00E914FB" w:rsidRDefault="00737043" w:rsidP="00890582">
            <w:pPr>
              <w:spacing w:after="0" w:line="300" w:lineRule="auto"/>
              <w:jc w:val="center"/>
              <w:rPr>
                <w:rFonts w:cstheme="minorHAnsi"/>
                <w:b/>
                <w:sz w:val="20"/>
                <w:szCs w:val="20"/>
              </w:rPr>
            </w:pPr>
            <w:r w:rsidRPr="00E914FB">
              <w:rPr>
                <w:rFonts w:cstheme="minorHAnsi"/>
                <w:b/>
                <w:sz w:val="20"/>
                <w:szCs w:val="20"/>
              </w:rPr>
              <w:t>VIEKIRA PAK + RBV</w:t>
            </w:r>
            <w:r w:rsidRPr="00E914FB">
              <w:rPr>
                <w:rFonts w:cstheme="minorHAnsi"/>
                <w:b/>
                <w:sz w:val="20"/>
                <w:szCs w:val="20"/>
              </w:rPr>
              <w:br/>
              <w:t xml:space="preserve">12 Weeks </w:t>
            </w:r>
            <w:r w:rsidRPr="00E914FB">
              <w:rPr>
                <w:rFonts w:cstheme="minorHAnsi"/>
                <w:b/>
                <w:sz w:val="20"/>
                <w:szCs w:val="20"/>
              </w:rPr>
              <w:br/>
              <w:t xml:space="preserve">N = 401 </w:t>
            </w:r>
            <w:r w:rsidRPr="00E914FB">
              <w:rPr>
                <w:rFonts w:cstheme="minorHAnsi"/>
                <w:b/>
                <w:sz w:val="20"/>
                <w:szCs w:val="20"/>
              </w:rPr>
              <w:br/>
              <w:t>n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0BB8DEAD" w14:textId="77777777" w:rsidR="00737043" w:rsidRPr="00E914FB" w:rsidRDefault="00737043" w:rsidP="00890582">
            <w:pPr>
              <w:spacing w:after="0" w:line="300" w:lineRule="auto"/>
              <w:jc w:val="center"/>
              <w:rPr>
                <w:rFonts w:cstheme="minorHAnsi"/>
                <w:b/>
                <w:sz w:val="20"/>
                <w:szCs w:val="20"/>
              </w:rPr>
            </w:pPr>
            <w:r w:rsidRPr="00E914FB">
              <w:rPr>
                <w:rFonts w:cstheme="minorHAnsi"/>
                <w:b/>
                <w:sz w:val="20"/>
                <w:szCs w:val="20"/>
              </w:rPr>
              <w:t>VIEKIRA PAK</w:t>
            </w:r>
            <w:r w:rsidRPr="00E914FB">
              <w:rPr>
                <w:rFonts w:cstheme="minorHAnsi"/>
                <w:b/>
                <w:sz w:val="20"/>
                <w:szCs w:val="20"/>
              </w:rPr>
              <w:br/>
              <w:t xml:space="preserve">12 Weeks </w:t>
            </w:r>
            <w:r w:rsidRPr="00E914FB">
              <w:rPr>
                <w:rFonts w:cstheme="minorHAnsi"/>
                <w:b/>
                <w:sz w:val="20"/>
                <w:szCs w:val="20"/>
              </w:rPr>
              <w:br/>
              <w:t xml:space="preserve">N = 509 </w:t>
            </w:r>
            <w:r w:rsidRPr="00E914FB">
              <w:rPr>
                <w:rFonts w:cstheme="minorHAnsi"/>
                <w:b/>
                <w:sz w:val="20"/>
                <w:szCs w:val="20"/>
              </w:rPr>
              <w:br/>
              <w:t>n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4E435994" w14:textId="77777777" w:rsidR="00737043" w:rsidRPr="00E914FB" w:rsidRDefault="00737043" w:rsidP="00890582">
            <w:pPr>
              <w:spacing w:after="0" w:line="300" w:lineRule="auto"/>
              <w:jc w:val="center"/>
              <w:rPr>
                <w:rFonts w:cstheme="minorHAnsi"/>
                <w:b/>
                <w:sz w:val="20"/>
                <w:szCs w:val="20"/>
              </w:rPr>
            </w:pPr>
            <w:r w:rsidRPr="00E914FB">
              <w:rPr>
                <w:rFonts w:cstheme="minorHAnsi"/>
                <w:b/>
                <w:sz w:val="20"/>
                <w:szCs w:val="20"/>
              </w:rPr>
              <w:t xml:space="preserve">VIEKIRA PAK + RBV </w:t>
            </w:r>
            <w:r w:rsidRPr="00E914FB">
              <w:rPr>
                <w:rFonts w:cstheme="minorHAnsi"/>
                <w:b/>
                <w:sz w:val="20"/>
                <w:szCs w:val="20"/>
              </w:rPr>
              <w:br/>
              <w:t>12 or 24 Weeks</w:t>
            </w:r>
            <w:r w:rsidRPr="00E914FB">
              <w:rPr>
                <w:rFonts w:cstheme="minorHAnsi"/>
                <w:b/>
                <w:sz w:val="20"/>
                <w:szCs w:val="20"/>
              </w:rPr>
              <w:br/>
              <w:t>N = 380</w:t>
            </w:r>
            <w:r w:rsidRPr="00E914FB">
              <w:rPr>
                <w:rFonts w:cstheme="minorHAnsi"/>
                <w:b/>
                <w:sz w:val="20"/>
                <w:szCs w:val="20"/>
              </w:rPr>
              <w:br/>
              <w:t>n (%)</w:t>
            </w:r>
          </w:p>
        </w:tc>
      </w:tr>
      <w:tr w:rsidR="00737043" w:rsidRPr="00E914FB" w14:paraId="4D14228E" w14:textId="77777777" w:rsidTr="00890582">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3F2F58F1"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Fatigue</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1673F756"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263 (34.2)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79E4534A"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67 (26.3)</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475C2ECD"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120 (29.9)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367C3E1F"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135 (26.5)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57680852"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148 (38.9) </w:t>
            </w:r>
          </w:p>
        </w:tc>
      </w:tr>
      <w:tr w:rsidR="00737043" w:rsidRPr="00E914FB" w14:paraId="2E688315" w14:textId="77777777" w:rsidTr="00890582">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187E8997"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Nausea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49711DD4"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172 (22.3)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13921BCB"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38 (14.9) </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6741030D"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63 (15.7)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441EEE6D"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43 (8.4)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71ADAA3B"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72 (18.9)</w:t>
            </w:r>
          </w:p>
        </w:tc>
      </w:tr>
      <w:tr w:rsidR="00737043" w:rsidRPr="00E914FB" w14:paraId="1AFFC2ED" w14:textId="77777777" w:rsidTr="00890582">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7A799ACF"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Pruritus</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63503C4"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121 (15.7)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5ADE46C0"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11 (4.3)</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1C4D17B5"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48 (12.0)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54933A11"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31 (6.1)**</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2F278AAC"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71 (18.7) </w:t>
            </w:r>
          </w:p>
        </w:tc>
      </w:tr>
      <w:tr w:rsidR="00737043" w:rsidRPr="00E914FB" w14:paraId="4AE0399A" w14:textId="77777777" w:rsidTr="00890582">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60E5BACA"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Insomnia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683BB62A"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108 (14.0)</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55C860D8"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19 (7.5) </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0338146A"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49 (12.2) </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1973E719"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26 (5.1)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0E757398"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63 (16.6) </w:t>
            </w:r>
          </w:p>
        </w:tc>
      </w:tr>
      <w:tr w:rsidR="00737043" w:rsidRPr="00E914FB" w14:paraId="62FE8B4F" w14:textId="77777777" w:rsidTr="00890582">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170EA94E"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Asthenia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2881DF71"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104 (13.5) </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1965BE2E"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17 (6.7)</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6F3DB32A"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36 (9.0)</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2D0F44E6"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20 (3.9) </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3DD301F3"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 xml:space="preserve">51 (13.4) </w:t>
            </w:r>
          </w:p>
        </w:tc>
      </w:tr>
      <w:tr w:rsidR="00737043" w:rsidRPr="00E914FB" w14:paraId="1A066673" w14:textId="77777777" w:rsidTr="00890582">
        <w:trPr>
          <w:jc w:val="center"/>
        </w:trPr>
        <w:tc>
          <w:tcPr>
            <w:tcW w:w="1493" w:type="dxa"/>
            <w:tcBorders>
              <w:top w:val="single" w:sz="6" w:space="0" w:color="000000"/>
              <w:left w:val="single" w:sz="6" w:space="0" w:color="000000"/>
              <w:bottom w:val="single" w:sz="6" w:space="0" w:color="000000"/>
              <w:right w:val="single" w:sz="6" w:space="0" w:color="000000"/>
            </w:tcBorders>
            <w:vAlign w:val="center"/>
            <w:hideMark/>
          </w:tcPr>
          <w:p w14:paraId="5A335334"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Anaemia</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7E0BD53E"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41 (5.3)</w:t>
            </w:r>
          </w:p>
        </w:tc>
        <w:tc>
          <w:tcPr>
            <w:tcW w:w="999" w:type="dxa"/>
            <w:tcBorders>
              <w:top w:val="single" w:sz="6" w:space="0" w:color="000000"/>
              <w:left w:val="single" w:sz="6" w:space="0" w:color="000000"/>
              <w:bottom w:val="single" w:sz="6" w:space="0" w:color="000000"/>
              <w:right w:val="single" w:sz="6" w:space="0" w:color="000000"/>
            </w:tcBorders>
            <w:vAlign w:val="center"/>
            <w:hideMark/>
          </w:tcPr>
          <w:p w14:paraId="2700A62F"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0</w:t>
            </w:r>
          </w:p>
        </w:tc>
        <w:tc>
          <w:tcPr>
            <w:tcW w:w="1723" w:type="dxa"/>
            <w:tcBorders>
              <w:top w:val="single" w:sz="6" w:space="0" w:color="000000"/>
              <w:left w:val="single" w:sz="6" w:space="0" w:color="000000"/>
              <w:bottom w:val="single" w:sz="6" w:space="0" w:color="000000"/>
              <w:right w:val="single" w:sz="6" w:space="0" w:color="000000"/>
            </w:tcBorders>
            <w:vAlign w:val="center"/>
            <w:hideMark/>
          </w:tcPr>
          <w:p w14:paraId="5EF419E3"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30 (7.5)</w:t>
            </w:r>
          </w:p>
        </w:tc>
        <w:tc>
          <w:tcPr>
            <w:tcW w:w="1323" w:type="dxa"/>
            <w:tcBorders>
              <w:top w:val="single" w:sz="6" w:space="0" w:color="000000"/>
              <w:left w:val="single" w:sz="6" w:space="0" w:color="000000"/>
              <w:bottom w:val="single" w:sz="6" w:space="0" w:color="000000"/>
              <w:right w:val="single" w:sz="6" w:space="0" w:color="000000"/>
            </w:tcBorders>
            <w:vAlign w:val="center"/>
            <w:hideMark/>
          </w:tcPr>
          <w:p w14:paraId="5591F7E0"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1 (0.2)</w:t>
            </w:r>
          </w:p>
        </w:tc>
        <w:tc>
          <w:tcPr>
            <w:tcW w:w="2129" w:type="dxa"/>
            <w:tcBorders>
              <w:top w:val="single" w:sz="6" w:space="0" w:color="000000"/>
              <w:left w:val="single" w:sz="6" w:space="0" w:color="000000"/>
              <w:bottom w:val="single" w:sz="6" w:space="0" w:color="000000"/>
              <w:right w:val="single" w:sz="6" w:space="0" w:color="000000"/>
            </w:tcBorders>
            <w:vAlign w:val="center"/>
            <w:hideMark/>
          </w:tcPr>
          <w:p w14:paraId="5BDF211E" w14:textId="77777777" w:rsidR="00737043" w:rsidRPr="00E914FB" w:rsidRDefault="00737043" w:rsidP="00890582">
            <w:pPr>
              <w:spacing w:after="0" w:line="300" w:lineRule="auto"/>
              <w:jc w:val="center"/>
              <w:rPr>
                <w:rFonts w:cstheme="minorHAnsi"/>
                <w:sz w:val="20"/>
                <w:szCs w:val="20"/>
              </w:rPr>
            </w:pPr>
            <w:r w:rsidRPr="00E914FB">
              <w:rPr>
                <w:rFonts w:cstheme="minorHAnsi"/>
                <w:sz w:val="20"/>
                <w:szCs w:val="20"/>
              </w:rPr>
              <w:t>34 (8.9)</w:t>
            </w:r>
          </w:p>
        </w:tc>
      </w:tr>
      <w:tr w:rsidR="00737043" w:rsidRPr="00E914FB" w14:paraId="31896D83" w14:textId="77777777" w:rsidTr="00890582">
        <w:trPr>
          <w:jc w:val="center"/>
        </w:trPr>
        <w:tc>
          <w:tcPr>
            <w:tcW w:w="9390" w:type="dxa"/>
            <w:gridSpan w:val="6"/>
            <w:tcBorders>
              <w:top w:val="single" w:sz="6" w:space="0" w:color="000000"/>
              <w:left w:val="single" w:sz="6" w:space="0" w:color="000000"/>
              <w:bottom w:val="single" w:sz="6" w:space="0" w:color="000000"/>
              <w:right w:val="single" w:sz="6" w:space="0" w:color="000000"/>
            </w:tcBorders>
            <w:vAlign w:val="center"/>
            <w:hideMark/>
          </w:tcPr>
          <w:p w14:paraId="0295087F" w14:textId="75AEB1C7" w:rsidR="00737043" w:rsidRPr="00E914FB" w:rsidRDefault="00737043" w:rsidP="00737043">
            <w:pPr>
              <w:numPr>
                <w:ilvl w:val="0"/>
                <w:numId w:val="9"/>
              </w:numPr>
              <w:spacing w:after="0" w:line="300" w:lineRule="auto"/>
              <w:ind w:left="360"/>
              <w:rPr>
                <w:rFonts w:cstheme="minorHAnsi"/>
                <w:sz w:val="20"/>
                <w:szCs w:val="20"/>
              </w:rPr>
            </w:pPr>
            <w:bookmarkStart w:id="34" w:name="l502248291396470358"/>
            <w:bookmarkEnd w:id="34"/>
            <w:r w:rsidRPr="00E914FB">
              <w:rPr>
                <w:rFonts w:cstheme="minorHAnsi"/>
                <w:sz w:val="20"/>
                <w:szCs w:val="20"/>
              </w:rPr>
              <w:t>*Adverse drug reactions for Viekira Pak</w:t>
            </w:r>
            <w:r w:rsidR="00E33767" w:rsidRPr="00E914FB">
              <w:rPr>
                <w:rFonts w:cstheme="minorHAnsi"/>
                <w:sz w:val="20"/>
                <w:szCs w:val="20"/>
              </w:rPr>
              <w:t xml:space="preserve"> with ribavirin</w:t>
            </w:r>
            <w:r w:rsidRPr="00E914FB">
              <w:rPr>
                <w:rFonts w:cstheme="minorHAnsi"/>
                <w:sz w:val="20"/>
                <w:szCs w:val="20"/>
              </w:rPr>
              <w:t xml:space="preserve"> listed are those with a 5% higher frequency among subjects receiving VIEKIRA PAK in combination with ribavirin compared to subjects receiving placebo in SAPPHIRE I and II.</w:t>
            </w:r>
          </w:p>
          <w:p w14:paraId="2A73A4E3" w14:textId="07D3EAC8" w:rsidR="00737043" w:rsidRPr="00E914FB" w:rsidRDefault="00737043" w:rsidP="00737043">
            <w:pPr>
              <w:numPr>
                <w:ilvl w:val="0"/>
                <w:numId w:val="9"/>
              </w:numPr>
              <w:spacing w:after="0" w:line="300" w:lineRule="auto"/>
              <w:ind w:left="360"/>
              <w:rPr>
                <w:rFonts w:cstheme="minorHAnsi"/>
                <w:sz w:val="20"/>
                <w:szCs w:val="20"/>
                <w:u w:val="single"/>
              </w:rPr>
            </w:pPr>
            <w:r w:rsidRPr="00E914FB">
              <w:rPr>
                <w:rFonts w:cstheme="minorHAnsi"/>
                <w:sz w:val="20"/>
                <w:szCs w:val="20"/>
              </w:rPr>
              <w:t>** Adverse drug reaction for VIEKIRA PAK defined as the subset of ADRs for the VIEKIRA PAK- RBV for which the risk difference (</w:t>
            </w:r>
            <w:r w:rsidR="00222E29" w:rsidRPr="00E914FB">
              <w:rPr>
                <w:rFonts w:cstheme="minorHAnsi"/>
                <w:sz w:val="20"/>
                <w:szCs w:val="20"/>
              </w:rPr>
              <w:t>VIEKIRA PAK</w:t>
            </w:r>
            <w:r w:rsidR="00476FDD" w:rsidRPr="00E914FB">
              <w:rPr>
                <w:rFonts w:cstheme="minorHAnsi"/>
                <w:sz w:val="20"/>
                <w:szCs w:val="20"/>
              </w:rPr>
              <w:t>-RBV</w:t>
            </w:r>
            <w:r w:rsidRPr="00E914FB">
              <w:rPr>
                <w:rFonts w:cstheme="minorHAnsi"/>
                <w:sz w:val="20"/>
                <w:szCs w:val="20"/>
              </w:rPr>
              <w:t xml:space="preserve"> minus VIEKIRA PAK) in PEARL II, III, and IV was at least 5.0 % lower than the risk difference (</w:t>
            </w:r>
            <w:r w:rsidR="00222E29" w:rsidRPr="00E914FB">
              <w:rPr>
                <w:rFonts w:cstheme="minorHAnsi"/>
                <w:sz w:val="20"/>
                <w:szCs w:val="20"/>
              </w:rPr>
              <w:t>VIEKIRA PAK</w:t>
            </w:r>
            <w:r w:rsidRPr="00E914FB">
              <w:rPr>
                <w:rFonts w:cstheme="minorHAnsi"/>
                <w:sz w:val="20"/>
                <w:szCs w:val="20"/>
              </w:rPr>
              <w:t xml:space="preserve"> minus placebo) in SAPPHIRE I and II.</w:t>
            </w:r>
            <w:r w:rsidRPr="00E914FB">
              <w:rPr>
                <w:rFonts w:cstheme="minorHAnsi"/>
                <w:sz w:val="20"/>
                <w:szCs w:val="20"/>
                <w:u w:val="single"/>
              </w:rPr>
              <w:t> </w:t>
            </w:r>
          </w:p>
        </w:tc>
      </w:tr>
    </w:tbl>
    <w:p w14:paraId="003B0B4B" w14:textId="77777777" w:rsidR="00737043" w:rsidRPr="00E914FB" w:rsidRDefault="00737043" w:rsidP="00737043">
      <w:pPr>
        <w:spacing w:after="0" w:line="300" w:lineRule="auto"/>
        <w:rPr>
          <w:rFonts w:cstheme="minorHAnsi"/>
          <w:sz w:val="20"/>
          <w:szCs w:val="20"/>
        </w:rPr>
      </w:pPr>
    </w:p>
    <w:p w14:paraId="742CE168" w14:textId="77777777" w:rsidR="00737043" w:rsidRPr="00E914FB" w:rsidRDefault="00737043" w:rsidP="00885509">
      <w:pPr>
        <w:spacing w:line="240" w:lineRule="auto"/>
        <w:jc w:val="both"/>
        <w:rPr>
          <w:rFonts w:cs="Arial"/>
        </w:rPr>
      </w:pPr>
      <w:r w:rsidRPr="00E914FB">
        <w:rPr>
          <w:rFonts w:cs="Arial"/>
        </w:rPr>
        <w:t>The majority of adverse events in the Phase 3 clinical trials were of grade 1 severity. The safety profile of VIEKIRA PAK with ribavirin was consistent with the known safety profile of ribavirin.</w:t>
      </w:r>
    </w:p>
    <w:p w14:paraId="78D05694" w14:textId="2ED38AAE" w:rsidR="00737043" w:rsidRPr="00E914FB" w:rsidRDefault="00737043" w:rsidP="00885509">
      <w:pPr>
        <w:spacing w:line="240" w:lineRule="auto"/>
        <w:jc w:val="both"/>
        <w:rPr>
          <w:rFonts w:cs="Arial"/>
        </w:rPr>
      </w:pPr>
      <w:bookmarkStart w:id="35" w:name="p1178010291393357834"/>
      <w:bookmarkEnd w:id="35"/>
      <w:r w:rsidRPr="00E914FB">
        <w:rPr>
          <w:rFonts w:cs="Arial"/>
        </w:rPr>
        <w:t>In addition to the adverse reaction listed in Table 1</w:t>
      </w:r>
      <w:r w:rsidR="00D26E79">
        <w:rPr>
          <w:rFonts w:cs="Arial"/>
        </w:rPr>
        <w:t>4</w:t>
      </w:r>
      <w:r w:rsidRPr="00E914FB">
        <w:rPr>
          <w:rFonts w:cs="Arial"/>
        </w:rPr>
        <w:t>, treatment-emergent adverse events that occurred with at least 2% frequency and less than 5% higher frequency among subjects receiving VIEKIRA PAK</w:t>
      </w:r>
      <w:r w:rsidR="00363010">
        <w:rPr>
          <w:rFonts w:cs="Arial"/>
        </w:rPr>
        <w:t>-RBV</w:t>
      </w:r>
      <w:r w:rsidRPr="00E914FB">
        <w:rPr>
          <w:rFonts w:cs="Arial"/>
        </w:rPr>
        <w:t xml:space="preserve"> compared to subjects receiving placebo (SAPPHIRE I and II), are listed below by system organ class.</w:t>
      </w:r>
    </w:p>
    <w:tbl>
      <w:tblPr>
        <w:tblStyle w:val="TableGrid"/>
        <w:tblW w:w="0" w:type="auto"/>
        <w:jc w:val="center"/>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6"/>
        <w:gridCol w:w="4301"/>
      </w:tblGrid>
      <w:tr w:rsidR="00737043" w:rsidRPr="00E914FB" w14:paraId="0DA2A552" w14:textId="77777777" w:rsidTr="00332D7B">
        <w:trPr>
          <w:jc w:val="center"/>
        </w:trPr>
        <w:tc>
          <w:tcPr>
            <w:tcW w:w="4646" w:type="dxa"/>
          </w:tcPr>
          <w:p w14:paraId="6B966752"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Gastrointestinal Disorders:</w:t>
            </w:r>
          </w:p>
        </w:tc>
        <w:tc>
          <w:tcPr>
            <w:tcW w:w="4301" w:type="dxa"/>
          </w:tcPr>
          <w:p w14:paraId="0406A2DD"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Diarrhoea and vomiting</w:t>
            </w:r>
          </w:p>
        </w:tc>
      </w:tr>
      <w:tr w:rsidR="00737043" w:rsidRPr="00E914FB" w14:paraId="4AA0FCF8" w14:textId="77777777" w:rsidTr="00332D7B">
        <w:trPr>
          <w:jc w:val="center"/>
        </w:trPr>
        <w:tc>
          <w:tcPr>
            <w:tcW w:w="4646" w:type="dxa"/>
          </w:tcPr>
          <w:p w14:paraId="33ACF4A3"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Investigations:</w:t>
            </w:r>
          </w:p>
        </w:tc>
        <w:tc>
          <w:tcPr>
            <w:tcW w:w="4301" w:type="dxa"/>
          </w:tcPr>
          <w:p w14:paraId="0D31CD63"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Haemoglobin decreased</w:t>
            </w:r>
          </w:p>
        </w:tc>
      </w:tr>
      <w:tr w:rsidR="00737043" w:rsidRPr="00E914FB" w14:paraId="739AB101" w14:textId="77777777" w:rsidTr="00332D7B">
        <w:trPr>
          <w:jc w:val="center"/>
        </w:trPr>
        <w:tc>
          <w:tcPr>
            <w:tcW w:w="4646" w:type="dxa"/>
          </w:tcPr>
          <w:p w14:paraId="1D15A42A"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Metabolism and Nutrition Disorders:</w:t>
            </w:r>
          </w:p>
        </w:tc>
        <w:tc>
          <w:tcPr>
            <w:tcW w:w="4301" w:type="dxa"/>
          </w:tcPr>
          <w:p w14:paraId="6247B294"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Decreased appetite</w:t>
            </w:r>
          </w:p>
        </w:tc>
      </w:tr>
      <w:tr w:rsidR="00737043" w:rsidRPr="00E914FB" w14:paraId="7F524A00" w14:textId="77777777" w:rsidTr="00332D7B">
        <w:trPr>
          <w:jc w:val="center"/>
        </w:trPr>
        <w:tc>
          <w:tcPr>
            <w:tcW w:w="4646" w:type="dxa"/>
          </w:tcPr>
          <w:p w14:paraId="10855A05"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Nervous System Disorders:</w:t>
            </w:r>
          </w:p>
        </w:tc>
        <w:tc>
          <w:tcPr>
            <w:tcW w:w="4301" w:type="dxa"/>
          </w:tcPr>
          <w:p w14:paraId="66DB1F72"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Dizziness and headache</w:t>
            </w:r>
          </w:p>
        </w:tc>
      </w:tr>
      <w:tr w:rsidR="00737043" w:rsidRPr="00E914FB" w14:paraId="17202F05" w14:textId="77777777" w:rsidTr="00332D7B">
        <w:trPr>
          <w:jc w:val="center"/>
        </w:trPr>
        <w:tc>
          <w:tcPr>
            <w:tcW w:w="4646" w:type="dxa"/>
          </w:tcPr>
          <w:p w14:paraId="12EDF04B"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Psychiatric Disorders:</w:t>
            </w:r>
          </w:p>
        </w:tc>
        <w:tc>
          <w:tcPr>
            <w:tcW w:w="4301" w:type="dxa"/>
          </w:tcPr>
          <w:p w14:paraId="4D281E53"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 xml:space="preserve">Sleep disorder </w:t>
            </w:r>
          </w:p>
        </w:tc>
      </w:tr>
      <w:tr w:rsidR="00737043" w:rsidRPr="00E914FB" w14:paraId="3AC688ED" w14:textId="77777777" w:rsidTr="00332D7B">
        <w:trPr>
          <w:jc w:val="center"/>
        </w:trPr>
        <w:tc>
          <w:tcPr>
            <w:tcW w:w="4646" w:type="dxa"/>
          </w:tcPr>
          <w:p w14:paraId="48B896A0"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Respiratory, Thoracic and Mediastinal Disorders:</w:t>
            </w:r>
          </w:p>
        </w:tc>
        <w:tc>
          <w:tcPr>
            <w:tcW w:w="4301" w:type="dxa"/>
          </w:tcPr>
          <w:p w14:paraId="6C7760B9"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Cough and dyspnoea</w:t>
            </w:r>
          </w:p>
        </w:tc>
      </w:tr>
      <w:tr w:rsidR="00737043" w:rsidRPr="00E914FB" w14:paraId="1A24BFF0" w14:textId="77777777" w:rsidTr="00332D7B">
        <w:trPr>
          <w:jc w:val="center"/>
        </w:trPr>
        <w:tc>
          <w:tcPr>
            <w:tcW w:w="4646" w:type="dxa"/>
          </w:tcPr>
          <w:p w14:paraId="6D7FBF57" w14:textId="77777777" w:rsidR="00737043" w:rsidRPr="00E914FB" w:rsidRDefault="00737043" w:rsidP="00885509">
            <w:pPr>
              <w:pStyle w:val="GTCBodyTextAlignLeft"/>
              <w:spacing w:before="0" w:after="0" w:line="240" w:lineRule="auto"/>
              <w:rPr>
                <w:rFonts w:asciiTheme="minorHAnsi" w:hAnsiTheme="minorHAnsi" w:cstheme="minorHAnsi"/>
                <w:b/>
                <w:szCs w:val="22"/>
                <w:lang w:val="en-AU"/>
              </w:rPr>
            </w:pPr>
            <w:r w:rsidRPr="00E914FB">
              <w:rPr>
                <w:rStyle w:val="gtcitalic5"/>
                <w:rFonts w:asciiTheme="minorHAnsi" w:hAnsiTheme="minorHAnsi" w:cstheme="minorHAnsi"/>
                <w:b/>
                <w:sz w:val="22"/>
                <w:szCs w:val="22"/>
                <w:lang w:val="en-AU"/>
              </w:rPr>
              <w:t>Skin and Subcutaneous Tissue Disorders:</w:t>
            </w:r>
          </w:p>
        </w:tc>
        <w:tc>
          <w:tcPr>
            <w:tcW w:w="4301" w:type="dxa"/>
          </w:tcPr>
          <w:p w14:paraId="58DC653D" w14:textId="77777777" w:rsidR="00737043" w:rsidRPr="00E914FB" w:rsidRDefault="00737043" w:rsidP="00885509">
            <w:pPr>
              <w:pStyle w:val="GTCBodyTextAlignLeft"/>
              <w:spacing w:before="0" w:after="0" w:line="240" w:lineRule="auto"/>
              <w:rPr>
                <w:rFonts w:asciiTheme="minorHAnsi" w:hAnsiTheme="minorHAnsi" w:cstheme="minorHAnsi"/>
                <w:szCs w:val="22"/>
                <w:lang w:val="en-AU"/>
              </w:rPr>
            </w:pPr>
            <w:r w:rsidRPr="00E914FB">
              <w:rPr>
                <w:rFonts w:asciiTheme="minorHAnsi" w:hAnsiTheme="minorHAnsi" w:cstheme="minorHAnsi"/>
                <w:sz w:val="22"/>
                <w:szCs w:val="22"/>
                <w:lang w:val="en-AU"/>
              </w:rPr>
              <w:t>Dry skin,</w:t>
            </w:r>
            <w:r w:rsidRPr="00E914FB">
              <w:rPr>
                <w:rStyle w:val="gtcitalic5"/>
                <w:rFonts w:asciiTheme="minorHAnsi" w:hAnsiTheme="minorHAnsi" w:cstheme="minorHAnsi"/>
                <w:sz w:val="22"/>
                <w:szCs w:val="22"/>
                <w:lang w:val="en-AU"/>
              </w:rPr>
              <w:t xml:space="preserve"> </w:t>
            </w:r>
            <w:r w:rsidRPr="00E914FB">
              <w:rPr>
                <w:rFonts w:asciiTheme="minorHAnsi" w:hAnsiTheme="minorHAnsi" w:cstheme="minorHAnsi"/>
                <w:sz w:val="22"/>
                <w:szCs w:val="22"/>
                <w:lang w:val="en-AU"/>
              </w:rPr>
              <w:t>and rash</w:t>
            </w:r>
          </w:p>
        </w:tc>
      </w:tr>
    </w:tbl>
    <w:p w14:paraId="25E7FD0B" w14:textId="77777777" w:rsidR="004B65C5" w:rsidRPr="00E914FB" w:rsidRDefault="004B65C5" w:rsidP="00885509">
      <w:pPr>
        <w:pStyle w:val="Heading1"/>
      </w:pPr>
      <w:bookmarkStart w:id="36" w:name="_Toc383787413"/>
      <w:r w:rsidRPr="00E914FB">
        <w:t>Dosage and Administration</w:t>
      </w:r>
      <w:bookmarkEnd w:id="36"/>
    </w:p>
    <w:p w14:paraId="60A17DC7" w14:textId="750CA937" w:rsidR="004B65C5" w:rsidRPr="00E914FB" w:rsidRDefault="004B65C5" w:rsidP="00885509">
      <w:pPr>
        <w:spacing w:line="240" w:lineRule="auto"/>
        <w:jc w:val="both"/>
        <w:rPr>
          <w:rFonts w:cs="Arial"/>
        </w:rPr>
      </w:pPr>
      <w:r w:rsidRPr="00E914FB">
        <w:rPr>
          <w:rFonts w:cs="Arial"/>
        </w:rPr>
        <w:t xml:space="preserve">VIEKIRA PAK </w:t>
      </w:r>
      <w:r w:rsidR="00100553" w:rsidRPr="00E914FB">
        <w:rPr>
          <w:rFonts w:cs="Arial"/>
        </w:rPr>
        <w:t xml:space="preserve">is </w:t>
      </w:r>
      <w:r w:rsidRPr="00E914FB">
        <w:rPr>
          <w:rFonts w:cs="Arial"/>
        </w:rPr>
        <w:t xml:space="preserve">paritaprevir/ritonavir/ombitasvir fixed dose combination tablets copackaged with dasabuvir tablets. </w:t>
      </w:r>
    </w:p>
    <w:p w14:paraId="2E631E6D" w14:textId="77777777" w:rsidR="004B65C5" w:rsidRPr="00E914FB" w:rsidRDefault="004B65C5" w:rsidP="00885509">
      <w:pPr>
        <w:spacing w:line="240" w:lineRule="auto"/>
        <w:jc w:val="both"/>
        <w:rPr>
          <w:rFonts w:cs="Arial"/>
        </w:rPr>
      </w:pPr>
      <w:r w:rsidRPr="00E914FB">
        <w:rPr>
          <w:rFonts w:cs="Arial"/>
        </w:rPr>
        <w:t>Ombitasvir/paritaprevir/ritonavir tablets must be administered with dasabuvir tablets.</w:t>
      </w:r>
    </w:p>
    <w:p w14:paraId="2B92FAFD" w14:textId="77777777" w:rsidR="004B65C5" w:rsidRPr="00E914FB" w:rsidRDefault="004B65C5" w:rsidP="00885509">
      <w:pPr>
        <w:pStyle w:val="Heading2Unnumbered"/>
        <w:rPr>
          <w:b w:val="0"/>
          <w:lang w:val="en-AU"/>
        </w:rPr>
      </w:pPr>
      <w:r w:rsidRPr="00E914FB">
        <w:rPr>
          <w:sz w:val="22"/>
          <w:szCs w:val="22"/>
          <w:lang w:val="en-AU"/>
        </w:rPr>
        <w:lastRenderedPageBreak/>
        <w:t>Recommended Dose in Adults</w:t>
      </w:r>
    </w:p>
    <w:p w14:paraId="40B38903" w14:textId="77777777" w:rsidR="004B65C5" w:rsidRPr="00E914FB" w:rsidRDefault="004B65C5" w:rsidP="00885509">
      <w:pPr>
        <w:spacing w:line="240" w:lineRule="auto"/>
        <w:rPr>
          <w:rFonts w:eastAsia="TimesNewRoman" w:cs="Arial"/>
          <w:lang w:eastAsia="ja-JP"/>
        </w:rPr>
      </w:pPr>
      <w:r w:rsidRPr="00E914FB">
        <w:rPr>
          <w:rFonts w:eastAsia="TimesNewRoman" w:cs="Arial"/>
          <w:lang w:eastAsia="ja-JP"/>
        </w:rPr>
        <w:t>The recommended oral dose of VIEKIRA PAK is two paritaprevir/ritonavir/ombitasvir 75/50/12.5 mg tablets once daily (in the morning) and one dasabuvir 250 mg tablet twice daily (morning and evening).</w:t>
      </w:r>
    </w:p>
    <w:p w14:paraId="798D6794" w14:textId="07E8CFF1" w:rsidR="006E0367" w:rsidRPr="00E914FB" w:rsidRDefault="004B65C5" w:rsidP="00885509">
      <w:pPr>
        <w:spacing w:line="240" w:lineRule="auto"/>
        <w:jc w:val="both"/>
        <w:rPr>
          <w:rFonts w:eastAsia="TimesNewRoman" w:cs="Arial"/>
          <w:lang w:eastAsia="ja-JP"/>
        </w:rPr>
      </w:pPr>
      <w:r w:rsidRPr="00E914FB">
        <w:rPr>
          <w:rFonts w:cs="Arial"/>
        </w:rPr>
        <w:t xml:space="preserve">VIEKIRA PAK is used in </w:t>
      </w:r>
      <w:r w:rsidR="006E0367" w:rsidRPr="00E914FB">
        <w:rPr>
          <w:rFonts w:cs="Arial"/>
        </w:rPr>
        <w:t xml:space="preserve">non-cirrhotic </w:t>
      </w:r>
      <w:r w:rsidR="00337D74">
        <w:rPr>
          <w:rFonts w:cs="Arial"/>
        </w:rPr>
        <w:t>g</w:t>
      </w:r>
      <w:r w:rsidR="006E0367" w:rsidRPr="00E914FB">
        <w:rPr>
          <w:rFonts w:cs="Arial"/>
        </w:rPr>
        <w:t>enotype 1b</w:t>
      </w:r>
      <w:r w:rsidR="00337D74">
        <w:rPr>
          <w:rFonts w:cs="Arial"/>
        </w:rPr>
        <w:t>-</w:t>
      </w:r>
      <w:r w:rsidR="00CE020A">
        <w:rPr>
          <w:rFonts w:cs="Arial"/>
        </w:rPr>
        <w:t>infected patients</w:t>
      </w:r>
      <w:r w:rsidR="006E0367" w:rsidRPr="00E914FB">
        <w:rPr>
          <w:rFonts w:cs="Arial"/>
        </w:rPr>
        <w:t xml:space="preserve">, and can be considered as a therapeutic option for non-cirrhotic, treatment-naïve patients with genotype 1a infection (see </w:t>
      </w:r>
      <w:r w:rsidR="006E0367" w:rsidRPr="00E914FB">
        <w:rPr>
          <w:rFonts w:cs="Arial"/>
          <w:caps/>
        </w:rPr>
        <w:t>Clinical Trials</w:t>
      </w:r>
      <w:r w:rsidR="00337D74">
        <w:rPr>
          <w:rFonts w:cs="Arial"/>
        </w:rPr>
        <w:t xml:space="preserve"> and </w:t>
      </w:r>
      <w:r w:rsidR="00121436">
        <w:rPr>
          <w:rFonts w:cs="Arial"/>
        </w:rPr>
        <w:t>Table 15</w:t>
      </w:r>
      <w:r w:rsidR="006E0367" w:rsidRPr="00E914FB">
        <w:rPr>
          <w:rFonts w:cs="Arial"/>
        </w:rPr>
        <w:t>).</w:t>
      </w:r>
    </w:p>
    <w:p w14:paraId="233FE5E2" w14:textId="1AE58CCD" w:rsidR="004B65C5" w:rsidRPr="00E914FB" w:rsidRDefault="004B65C5" w:rsidP="00885509">
      <w:pPr>
        <w:spacing w:line="240" w:lineRule="auto"/>
        <w:jc w:val="both"/>
        <w:rPr>
          <w:rFonts w:eastAsia="TimesNewRoman" w:cs="Arial"/>
          <w:lang w:eastAsia="ja-JP"/>
        </w:rPr>
      </w:pPr>
      <w:r w:rsidRPr="00E914FB">
        <w:rPr>
          <w:rFonts w:eastAsia="TimesNewRoman"/>
          <w:lang w:eastAsia="ja-JP"/>
        </w:rPr>
        <w:t>Patients should be instructed to swallow the tablets whole (i.e. patients should not chew, break or dissolve the tablet</w:t>
      </w:r>
      <w:r w:rsidR="006E0367" w:rsidRPr="00E914FB">
        <w:rPr>
          <w:rFonts w:eastAsia="TimesNewRoman"/>
          <w:lang w:eastAsia="ja-JP"/>
        </w:rPr>
        <w:t>s</w:t>
      </w:r>
      <w:r w:rsidRPr="00E914FB">
        <w:rPr>
          <w:rFonts w:eastAsia="TimesNewRoman"/>
          <w:lang w:eastAsia="ja-JP"/>
        </w:rPr>
        <w:t>).</w:t>
      </w:r>
    </w:p>
    <w:p w14:paraId="6562CBB7" w14:textId="192E022D" w:rsidR="004B65C5" w:rsidRPr="00E914FB" w:rsidRDefault="004B65C5" w:rsidP="00885509">
      <w:pPr>
        <w:spacing w:line="240" w:lineRule="auto"/>
        <w:jc w:val="both"/>
        <w:rPr>
          <w:rStyle w:val="gtcitalic2"/>
          <w:rFonts w:cs="Arial"/>
          <w:i w:val="0"/>
        </w:rPr>
      </w:pPr>
      <w:r w:rsidRPr="00E914FB">
        <w:rPr>
          <w:rFonts w:cs="Arial"/>
        </w:rPr>
        <w:t xml:space="preserve">To maximise absorption, </w:t>
      </w:r>
      <w:r w:rsidR="00222E29" w:rsidRPr="00E914FB">
        <w:rPr>
          <w:rFonts w:cs="Arial"/>
        </w:rPr>
        <w:t>VIEKIRA PAK</w:t>
      </w:r>
      <w:r w:rsidRPr="00E914FB">
        <w:rPr>
          <w:rFonts w:cs="Arial"/>
        </w:rPr>
        <w:t xml:space="preserve"> should be taken with food without regard to fat or calorie content </w:t>
      </w:r>
      <w:r w:rsidRPr="00E914FB">
        <w:rPr>
          <w:rFonts w:eastAsia="TimesNewRoman" w:cs="Arial"/>
          <w:lang w:eastAsia="ja-JP"/>
        </w:rPr>
        <w:t xml:space="preserve">(see </w:t>
      </w:r>
      <w:r w:rsidRPr="00E914FB">
        <w:rPr>
          <w:rStyle w:val="gtcitalic2"/>
          <w:rFonts w:cs="Arial"/>
          <w:i w:val="0"/>
        </w:rPr>
        <w:t>PHARMACOLOGY</w:t>
      </w:r>
      <w:r w:rsidRPr="00E914FB">
        <w:rPr>
          <w:rStyle w:val="gtcitalic2"/>
          <w:rFonts w:cs="Arial"/>
        </w:rPr>
        <w:t>).</w:t>
      </w:r>
    </w:p>
    <w:p w14:paraId="1A2E29AA" w14:textId="3FE68F50" w:rsidR="004B65C5" w:rsidRPr="00E914FB" w:rsidRDefault="00121436" w:rsidP="00885509">
      <w:pPr>
        <w:spacing w:line="240" w:lineRule="auto"/>
        <w:jc w:val="both"/>
        <w:rPr>
          <w:rFonts w:cs="Arial"/>
        </w:rPr>
      </w:pPr>
      <w:r>
        <w:rPr>
          <w:rFonts w:cs="Arial"/>
        </w:rPr>
        <w:t>Table 15</w:t>
      </w:r>
      <w:r w:rsidR="004B65C5" w:rsidRPr="00E914FB">
        <w:rPr>
          <w:rFonts w:cs="Arial"/>
        </w:rPr>
        <w:t xml:space="preserve"> shows the recommended treatment regimen and duration based on patient population.</w:t>
      </w:r>
    </w:p>
    <w:p w14:paraId="78010DBC" w14:textId="387B4A1D" w:rsidR="004B65C5" w:rsidRPr="00E914FB" w:rsidRDefault="00121436" w:rsidP="004B65C5">
      <w:pPr>
        <w:rPr>
          <w:rFonts w:cs="Arial"/>
          <w:b/>
        </w:rPr>
      </w:pPr>
      <w:r>
        <w:rPr>
          <w:rFonts w:cs="Arial"/>
          <w:b/>
        </w:rPr>
        <w:t>Table 15</w:t>
      </w:r>
      <w:r w:rsidR="004B65C5" w:rsidRPr="00E914FB">
        <w:rPr>
          <w:rFonts w:cs="Arial"/>
          <w:b/>
        </w:rPr>
        <w:t>:  Treatment Regimen and Duration by Patient Population</w:t>
      </w:r>
    </w:p>
    <w:tbl>
      <w:tblPr>
        <w:tblW w:w="8656" w:type="dxa"/>
        <w:jc w:val="center"/>
        <w:tblInd w:w="-832" w:type="dxa"/>
        <w:tblLayout w:type="fixed"/>
        <w:tblCellMar>
          <w:left w:w="0" w:type="dxa"/>
          <w:right w:w="0" w:type="dxa"/>
        </w:tblCellMar>
        <w:tblLook w:val="04A0" w:firstRow="1" w:lastRow="0" w:firstColumn="1" w:lastColumn="0" w:noHBand="0" w:noVBand="1"/>
      </w:tblPr>
      <w:tblGrid>
        <w:gridCol w:w="3070"/>
        <w:gridCol w:w="1884"/>
        <w:gridCol w:w="1538"/>
        <w:gridCol w:w="2164"/>
      </w:tblGrid>
      <w:tr w:rsidR="004B65C5" w:rsidRPr="00E914FB" w14:paraId="688E382A" w14:textId="77777777" w:rsidTr="00890582">
        <w:trPr>
          <w:trHeight w:val="358"/>
          <w:jc w:val="center"/>
        </w:trPr>
        <w:tc>
          <w:tcPr>
            <w:tcW w:w="3070"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5B78E13A" w14:textId="77777777" w:rsidR="004B65C5" w:rsidRPr="00E914FB" w:rsidRDefault="004B65C5" w:rsidP="00890582">
            <w:pPr>
              <w:spacing w:after="0" w:line="300" w:lineRule="auto"/>
              <w:jc w:val="center"/>
              <w:rPr>
                <w:rFonts w:cs="Arial"/>
                <w:b/>
                <w:sz w:val="20"/>
              </w:rPr>
            </w:pPr>
            <w:r w:rsidRPr="00E914FB">
              <w:rPr>
                <w:rFonts w:cs="Arial"/>
                <w:b/>
                <w:sz w:val="20"/>
              </w:rPr>
              <w:t>Patient Population</w:t>
            </w:r>
          </w:p>
        </w:tc>
        <w:tc>
          <w:tcPr>
            <w:tcW w:w="1884" w:type="dxa"/>
            <w:tcBorders>
              <w:top w:val="single" w:sz="8" w:space="0" w:color="000000"/>
              <w:left w:val="nil"/>
              <w:bottom w:val="single" w:sz="4" w:space="0" w:color="auto"/>
              <w:right w:val="single" w:sz="8" w:space="0" w:color="000000"/>
            </w:tcBorders>
            <w:tcMar>
              <w:top w:w="72" w:type="dxa"/>
              <w:left w:w="144" w:type="dxa"/>
              <w:bottom w:w="72" w:type="dxa"/>
              <w:right w:w="144" w:type="dxa"/>
            </w:tcMar>
            <w:hideMark/>
          </w:tcPr>
          <w:p w14:paraId="4765588B" w14:textId="77777777" w:rsidR="004B65C5" w:rsidRPr="00E914FB" w:rsidRDefault="004B65C5" w:rsidP="00890582">
            <w:pPr>
              <w:spacing w:after="0" w:line="300" w:lineRule="auto"/>
              <w:jc w:val="center"/>
              <w:rPr>
                <w:rFonts w:eastAsia="Calibri" w:cs="Arial"/>
                <w:sz w:val="20"/>
              </w:rPr>
            </w:pPr>
            <w:r w:rsidRPr="00E914FB">
              <w:rPr>
                <w:rFonts w:cs="Arial"/>
                <w:b/>
                <w:bCs/>
                <w:color w:val="000000"/>
                <w:sz w:val="20"/>
              </w:rPr>
              <w:t>Treatment</w:t>
            </w:r>
          </w:p>
        </w:tc>
        <w:tc>
          <w:tcPr>
            <w:tcW w:w="1538" w:type="dxa"/>
            <w:tcBorders>
              <w:top w:val="single" w:sz="8" w:space="0" w:color="000000"/>
              <w:left w:val="nil"/>
              <w:bottom w:val="single" w:sz="4" w:space="0" w:color="auto"/>
              <w:right w:val="single" w:sz="8" w:space="0" w:color="000000"/>
            </w:tcBorders>
            <w:tcMar>
              <w:top w:w="72" w:type="dxa"/>
              <w:left w:w="144" w:type="dxa"/>
              <w:bottom w:w="72" w:type="dxa"/>
              <w:right w:w="144" w:type="dxa"/>
            </w:tcMar>
            <w:hideMark/>
          </w:tcPr>
          <w:p w14:paraId="1602AA9C" w14:textId="77777777" w:rsidR="004B65C5" w:rsidRPr="00E914FB" w:rsidRDefault="004B65C5" w:rsidP="00890582">
            <w:pPr>
              <w:spacing w:after="0" w:line="300" w:lineRule="auto"/>
              <w:jc w:val="center"/>
              <w:rPr>
                <w:rFonts w:eastAsia="Calibri" w:cs="Arial"/>
                <w:sz w:val="20"/>
              </w:rPr>
            </w:pPr>
            <w:r w:rsidRPr="00E914FB">
              <w:rPr>
                <w:rFonts w:cs="Arial"/>
                <w:b/>
                <w:bCs/>
                <w:color w:val="000000"/>
                <w:sz w:val="20"/>
              </w:rPr>
              <w:t>Duration</w:t>
            </w:r>
          </w:p>
        </w:tc>
        <w:tc>
          <w:tcPr>
            <w:tcW w:w="2164" w:type="dxa"/>
            <w:tcBorders>
              <w:top w:val="single" w:sz="8" w:space="0" w:color="000000"/>
              <w:left w:val="nil"/>
              <w:bottom w:val="single" w:sz="4" w:space="0" w:color="auto"/>
              <w:right w:val="single" w:sz="8" w:space="0" w:color="000000"/>
            </w:tcBorders>
          </w:tcPr>
          <w:p w14:paraId="7F57DB8A" w14:textId="22F43F57" w:rsidR="004B65C5" w:rsidRPr="00E914FB" w:rsidRDefault="004B65C5" w:rsidP="00890582">
            <w:pPr>
              <w:spacing w:after="0" w:line="300" w:lineRule="auto"/>
              <w:ind w:left="127"/>
              <w:jc w:val="center"/>
              <w:rPr>
                <w:rFonts w:cs="Arial"/>
                <w:b/>
                <w:bCs/>
                <w:color w:val="000000"/>
                <w:sz w:val="20"/>
              </w:rPr>
            </w:pPr>
            <w:r w:rsidRPr="00E914FB">
              <w:rPr>
                <w:rFonts w:cs="Arial"/>
                <w:b/>
                <w:bCs/>
                <w:color w:val="000000"/>
                <w:sz w:val="20"/>
              </w:rPr>
              <w:t>Ribavirin Dosage</w:t>
            </w:r>
          </w:p>
        </w:tc>
      </w:tr>
      <w:tr w:rsidR="004B65C5" w:rsidRPr="00E914FB" w14:paraId="2CA31AFD" w14:textId="77777777" w:rsidTr="00046BFF">
        <w:trPr>
          <w:trHeight w:val="488"/>
          <w:jc w:val="center"/>
        </w:trPr>
        <w:tc>
          <w:tcPr>
            <w:tcW w:w="3070"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hideMark/>
          </w:tcPr>
          <w:p w14:paraId="330D86D7" w14:textId="77777777" w:rsidR="004B65C5" w:rsidRPr="00E914FB" w:rsidRDefault="004B65C5" w:rsidP="00890582">
            <w:pPr>
              <w:spacing w:after="0" w:line="300" w:lineRule="auto"/>
              <w:jc w:val="center"/>
              <w:rPr>
                <w:rFonts w:cstheme="minorHAnsi"/>
                <w:b/>
                <w:bCs/>
                <w:sz w:val="20"/>
                <w:szCs w:val="20"/>
              </w:rPr>
            </w:pPr>
            <w:r w:rsidRPr="00E914FB">
              <w:rPr>
                <w:rFonts w:cstheme="minorHAnsi"/>
                <w:b/>
                <w:bCs/>
                <w:sz w:val="20"/>
                <w:szCs w:val="20"/>
              </w:rPr>
              <w:t xml:space="preserve">Genotype 1b, </w:t>
            </w:r>
          </w:p>
          <w:p w14:paraId="28FAA8F1" w14:textId="77777777" w:rsidR="004B65C5" w:rsidRPr="00E914FB" w:rsidRDefault="004B65C5" w:rsidP="00890582">
            <w:pPr>
              <w:spacing w:after="0" w:line="300" w:lineRule="auto"/>
              <w:jc w:val="center"/>
              <w:rPr>
                <w:rFonts w:eastAsia="Calibri" w:cstheme="minorHAnsi"/>
                <w:b/>
                <w:sz w:val="20"/>
                <w:szCs w:val="20"/>
              </w:rPr>
            </w:pPr>
            <w:r w:rsidRPr="00E914FB">
              <w:rPr>
                <w:rFonts w:cstheme="minorHAnsi"/>
                <w:b/>
                <w:bCs/>
                <w:sz w:val="20"/>
                <w:szCs w:val="20"/>
              </w:rPr>
              <w:t xml:space="preserve">without cirrhosis </w:t>
            </w:r>
          </w:p>
        </w:tc>
        <w:tc>
          <w:tcPr>
            <w:tcW w:w="1884"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3330004A" w14:textId="77777777" w:rsidR="004B65C5" w:rsidRPr="00E914FB" w:rsidRDefault="004B65C5" w:rsidP="00890582">
            <w:pPr>
              <w:spacing w:after="0" w:line="300" w:lineRule="auto"/>
              <w:jc w:val="center"/>
              <w:rPr>
                <w:rFonts w:eastAsia="Calibri" w:cstheme="minorHAnsi"/>
                <w:sz w:val="20"/>
                <w:szCs w:val="20"/>
              </w:rPr>
            </w:pPr>
            <w:r w:rsidRPr="00E914FB">
              <w:rPr>
                <w:rFonts w:cstheme="minorHAnsi"/>
                <w:color w:val="000000"/>
                <w:sz w:val="20"/>
                <w:szCs w:val="20"/>
              </w:rPr>
              <w:t>VIEKIRA PAK</w:t>
            </w:r>
          </w:p>
        </w:tc>
        <w:tc>
          <w:tcPr>
            <w:tcW w:w="1538"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5387EF72" w14:textId="77777777" w:rsidR="004B65C5" w:rsidRPr="00E914FB" w:rsidRDefault="004B65C5" w:rsidP="00890582">
            <w:pPr>
              <w:tabs>
                <w:tab w:val="left" w:pos="3173"/>
              </w:tabs>
              <w:spacing w:after="0" w:line="300" w:lineRule="auto"/>
              <w:jc w:val="center"/>
              <w:rPr>
                <w:rFonts w:eastAsia="Calibri" w:cstheme="minorHAnsi"/>
                <w:sz w:val="20"/>
                <w:szCs w:val="20"/>
              </w:rPr>
            </w:pPr>
            <w:r w:rsidRPr="00E914FB">
              <w:rPr>
                <w:rFonts w:cstheme="minorHAnsi"/>
                <w:color w:val="000000"/>
                <w:sz w:val="20"/>
                <w:szCs w:val="20"/>
              </w:rPr>
              <w:t>12 weeks</w:t>
            </w:r>
          </w:p>
        </w:tc>
        <w:tc>
          <w:tcPr>
            <w:tcW w:w="2164" w:type="dxa"/>
            <w:tcBorders>
              <w:top w:val="single" w:sz="4" w:space="0" w:color="auto"/>
              <w:left w:val="nil"/>
              <w:bottom w:val="single" w:sz="4" w:space="0" w:color="auto"/>
              <w:right w:val="single" w:sz="8" w:space="0" w:color="000000"/>
            </w:tcBorders>
            <w:vAlign w:val="center"/>
          </w:tcPr>
          <w:p w14:paraId="20F9DD14" w14:textId="0F2EC34D" w:rsidR="004B65C5" w:rsidRPr="00E914FB" w:rsidRDefault="004B65C5" w:rsidP="00046BFF">
            <w:pPr>
              <w:widowControl w:val="0"/>
              <w:autoSpaceDE w:val="0"/>
              <w:autoSpaceDN w:val="0"/>
              <w:adjustRightInd w:val="0"/>
              <w:spacing w:after="0" w:line="300" w:lineRule="auto"/>
              <w:ind w:left="127" w:right="166"/>
              <w:jc w:val="center"/>
              <w:rPr>
                <w:rFonts w:cstheme="minorHAnsi"/>
                <w:color w:val="000000"/>
                <w:sz w:val="20"/>
                <w:szCs w:val="20"/>
              </w:rPr>
            </w:pPr>
            <w:r w:rsidRPr="00E914FB">
              <w:rPr>
                <w:rFonts w:cstheme="minorHAnsi"/>
                <w:color w:val="000000"/>
                <w:sz w:val="20"/>
                <w:szCs w:val="20"/>
              </w:rPr>
              <w:t>NA</w:t>
            </w:r>
          </w:p>
        </w:tc>
      </w:tr>
      <w:tr w:rsidR="004B65C5" w:rsidRPr="00E914FB" w14:paraId="05E5E155" w14:textId="77777777" w:rsidTr="00046BFF">
        <w:trPr>
          <w:trHeight w:val="728"/>
          <w:jc w:val="center"/>
        </w:trPr>
        <w:tc>
          <w:tcPr>
            <w:tcW w:w="3070"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vAlign w:val="center"/>
            <w:hideMark/>
          </w:tcPr>
          <w:p w14:paraId="084F23C5" w14:textId="16ECA322" w:rsidR="004B65C5" w:rsidRPr="00E914FB" w:rsidRDefault="004B65C5" w:rsidP="00046BFF">
            <w:pPr>
              <w:pStyle w:val="NoSpacing"/>
              <w:jc w:val="center"/>
              <w:rPr>
                <w:rFonts w:asciiTheme="minorHAnsi" w:hAnsiTheme="minorHAnsi" w:cstheme="minorHAnsi"/>
                <w:b/>
                <w:sz w:val="20"/>
                <w:lang w:val="en-AU"/>
              </w:rPr>
            </w:pPr>
            <w:r w:rsidRPr="00E914FB">
              <w:rPr>
                <w:rFonts w:asciiTheme="minorHAnsi" w:hAnsiTheme="minorHAnsi" w:cstheme="minorHAnsi"/>
                <w:b/>
                <w:sz w:val="20"/>
                <w:lang w:val="en-AU"/>
              </w:rPr>
              <w:t>Genotype 1a,</w:t>
            </w:r>
          </w:p>
          <w:p w14:paraId="5F1BF775" w14:textId="77777777" w:rsidR="004B65C5" w:rsidRPr="00E914FB" w:rsidRDefault="004B65C5" w:rsidP="00046BFF">
            <w:pPr>
              <w:pStyle w:val="NoSpacing"/>
              <w:jc w:val="center"/>
              <w:rPr>
                <w:rFonts w:asciiTheme="minorHAnsi" w:eastAsia="Calibri" w:hAnsiTheme="minorHAnsi" w:cstheme="minorHAnsi"/>
                <w:b/>
                <w:sz w:val="20"/>
                <w:lang w:val="en-AU"/>
              </w:rPr>
            </w:pPr>
            <w:r w:rsidRPr="00E914FB">
              <w:rPr>
                <w:rFonts w:asciiTheme="minorHAnsi" w:hAnsiTheme="minorHAnsi" w:cstheme="minorHAnsi"/>
                <w:b/>
                <w:sz w:val="20"/>
                <w:lang w:val="en-AU"/>
              </w:rPr>
              <w:t>without cirrhosis</w:t>
            </w:r>
          </w:p>
        </w:tc>
        <w:tc>
          <w:tcPr>
            <w:tcW w:w="1884"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4EF13ADD" w14:textId="77777777" w:rsidR="004B65C5" w:rsidRPr="00E914FB" w:rsidRDefault="004B65C5" w:rsidP="00046BFF">
            <w:pPr>
              <w:pStyle w:val="NoSpacing"/>
              <w:rPr>
                <w:rFonts w:asciiTheme="minorHAnsi" w:eastAsia="Calibri" w:hAnsiTheme="minorHAnsi" w:cstheme="minorHAnsi"/>
                <w:sz w:val="20"/>
                <w:lang w:val="en-AU"/>
              </w:rPr>
            </w:pPr>
            <w:r w:rsidRPr="00E914FB">
              <w:rPr>
                <w:rFonts w:asciiTheme="minorHAnsi" w:hAnsiTheme="minorHAnsi" w:cstheme="minorHAnsi"/>
                <w:color w:val="000000"/>
                <w:sz w:val="20"/>
                <w:lang w:val="en-AU"/>
              </w:rPr>
              <w:t>VIEKIRA PAK- RBV*</w:t>
            </w:r>
          </w:p>
        </w:tc>
        <w:tc>
          <w:tcPr>
            <w:tcW w:w="1538"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hideMark/>
          </w:tcPr>
          <w:p w14:paraId="176C17B0" w14:textId="77777777" w:rsidR="004B65C5" w:rsidRPr="00E914FB" w:rsidRDefault="004B65C5" w:rsidP="00046BFF">
            <w:pPr>
              <w:pStyle w:val="NoSpacing"/>
              <w:jc w:val="center"/>
              <w:rPr>
                <w:rFonts w:asciiTheme="minorHAnsi" w:eastAsia="Calibri" w:hAnsiTheme="minorHAnsi" w:cstheme="minorHAnsi"/>
                <w:sz w:val="20"/>
                <w:lang w:val="en-AU"/>
              </w:rPr>
            </w:pPr>
            <w:r w:rsidRPr="00E914FB">
              <w:rPr>
                <w:rFonts w:asciiTheme="minorHAnsi" w:hAnsiTheme="minorHAnsi" w:cstheme="minorHAnsi"/>
                <w:color w:val="000000"/>
                <w:sz w:val="20"/>
                <w:lang w:val="en-AU"/>
              </w:rPr>
              <w:t>12 weeks</w:t>
            </w:r>
          </w:p>
        </w:tc>
        <w:tc>
          <w:tcPr>
            <w:tcW w:w="2164" w:type="dxa"/>
            <w:tcBorders>
              <w:top w:val="single" w:sz="4" w:space="0" w:color="auto"/>
              <w:left w:val="nil"/>
              <w:bottom w:val="single" w:sz="4" w:space="0" w:color="auto"/>
              <w:right w:val="single" w:sz="8" w:space="0" w:color="000000"/>
            </w:tcBorders>
          </w:tcPr>
          <w:p w14:paraId="28D587E4" w14:textId="10071A85" w:rsidR="004B65C5" w:rsidRPr="00E914FB" w:rsidRDefault="004B65C5" w:rsidP="00046BFF">
            <w:pPr>
              <w:pStyle w:val="NoSpacing"/>
              <w:rPr>
                <w:rFonts w:asciiTheme="minorHAnsi" w:hAnsiTheme="minorHAnsi" w:cstheme="minorHAnsi"/>
                <w:sz w:val="20"/>
                <w:lang w:val="en-AU"/>
              </w:rPr>
            </w:pPr>
            <w:r w:rsidRPr="00E914FB">
              <w:rPr>
                <w:rFonts w:asciiTheme="minorHAnsi" w:hAnsiTheme="minorHAnsi" w:cstheme="minorHAnsi"/>
                <w:sz w:val="20"/>
                <w:lang w:val="en-AU"/>
              </w:rPr>
              <w:t xml:space="preserve">&lt; 75 kg = 1000 mg </w:t>
            </w:r>
          </w:p>
          <w:p w14:paraId="22CAFE36" w14:textId="7B9126F8" w:rsidR="004B65C5" w:rsidRPr="00E914FB" w:rsidRDefault="004B65C5" w:rsidP="00046BFF">
            <w:pPr>
              <w:pStyle w:val="NoSpacing"/>
              <w:rPr>
                <w:rFonts w:asciiTheme="minorHAnsi" w:hAnsiTheme="minorHAnsi" w:cstheme="minorHAnsi"/>
                <w:sz w:val="20"/>
                <w:lang w:val="en-AU"/>
              </w:rPr>
            </w:pPr>
          </w:p>
          <w:p w14:paraId="608722ED" w14:textId="0A910350" w:rsidR="004B65C5" w:rsidRPr="00E914FB" w:rsidRDefault="004B65C5" w:rsidP="00046BFF">
            <w:pPr>
              <w:pStyle w:val="NoSpacing"/>
              <w:rPr>
                <w:rFonts w:asciiTheme="minorHAnsi" w:hAnsiTheme="minorHAnsi" w:cstheme="minorHAnsi"/>
                <w:sz w:val="20"/>
                <w:lang w:val="en-AU"/>
              </w:rPr>
            </w:pPr>
            <w:r w:rsidRPr="00E914FB">
              <w:rPr>
                <w:rFonts w:asciiTheme="minorHAnsi" w:hAnsiTheme="minorHAnsi" w:cstheme="minorHAnsi"/>
                <w:sz w:val="20"/>
                <w:lang w:val="en-AU"/>
              </w:rPr>
              <w:t>≥ 75 kg = 1200 mg</w:t>
            </w:r>
          </w:p>
          <w:p w14:paraId="3B53B89D" w14:textId="7838DA44" w:rsidR="004B65C5" w:rsidRPr="00E914FB" w:rsidRDefault="004B65C5" w:rsidP="00046BFF">
            <w:pPr>
              <w:pStyle w:val="NoSpacing"/>
              <w:rPr>
                <w:rFonts w:asciiTheme="minorHAnsi" w:hAnsiTheme="minorHAnsi" w:cstheme="minorHAnsi"/>
                <w:sz w:val="20"/>
                <w:lang w:val="en-AU"/>
              </w:rPr>
            </w:pPr>
          </w:p>
          <w:p w14:paraId="15DE22B3" w14:textId="381A6A79" w:rsidR="004B65C5" w:rsidRPr="00E914FB" w:rsidRDefault="004B65C5" w:rsidP="00046BFF">
            <w:pPr>
              <w:pStyle w:val="NoSpacing"/>
              <w:rPr>
                <w:rFonts w:asciiTheme="minorHAnsi" w:hAnsiTheme="minorHAnsi" w:cstheme="minorHAnsi"/>
                <w:sz w:val="20"/>
                <w:lang w:val="en-AU"/>
              </w:rPr>
            </w:pPr>
            <w:r w:rsidRPr="00E914FB">
              <w:rPr>
                <w:rFonts w:asciiTheme="minorHAnsi" w:hAnsiTheme="minorHAnsi" w:cstheme="minorHAnsi"/>
                <w:sz w:val="20"/>
                <w:lang w:val="en-AU"/>
              </w:rPr>
              <w:t>Ribavirin is to be taken in two doses, morning and evening</w:t>
            </w:r>
          </w:p>
        </w:tc>
      </w:tr>
      <w:tr w:rsidR="004B65C5" w:rsidRPr="00E914FB" w14:paraId="29EB45D7" w14:textId="77777777" w:rsidTr="00046BFF">
        <w:trPr>
          <w:trHeight w:val="1112"/>
          <w:jc w:val="center"/>
        </w:trPr>
        <w:tc>
          <w:tcPr>
            <w:tcW w:w="3070" w:type="dxa"/>
            <w:tcBorders>
              <w:top w:val="single" w:sz="4" w:space="0" w:color="auto"/>
              <w:left w:val="single" w:sz="8" w:space="0" w:color="000000"/>
              <w:bottom w:val="single" w:sz="4" w:space="0" w:color="auto"/>
              <w:right w:val="single" w:sz="8" w:space="0" w:color="000000"/>
            </w:tcBorders>
            <w:tcMar>
              <w:top w:w="72" w:type="dxa"/>
              <w:left w:w="144" w:type="dxa"/>
              <w:bottom w:w="72" w:type="dxa"/>
              <w:right w:w="144" w:type="dxa"/>
            </w:tcMar>
            <w:vAlign w:val="center"/>
          </w:tcPr>
          <w:p w14:paraId="5F02251C" w14:textId="0F3B05E7" w:rsidR="004B65C5" w:rsidRPr="00E914FB" w:rsidRDefault="004B65C5" w:rsidP="00046BFF">
            <w:pPr>
              <w:pStyle w:val="NoSpacing"/>
              <w:jc w:val="center"/>
              <w:rPr>
                <w:rFonts w:asciiTheme="minorHAnsi" w:hAnsiTheme="minorHAnsi" w:cstheme="minorHAnsi"/>
                <w:b/>
                <w:sz w:val="20"/>
                <w:lang w:val="en-AU"/>
              </w:rPr>
            </w:pPr>
            <w:r w:rsidRPr="00E914FB">
              <w:rPr>
                <w:rFonts w:asciiTheme="minorHAnsi" w:hAnsiTheme="minorHAnsi" w:cstheme="minorHAnsi"/>
                <w:b/>
                <w:sz w:val="20"/>
                <w:lang w:val="en-AU"/>
              </w:rPr>
              <w:t>Genotype 1</w:t>
            </w:r>
          </w:p>
          <w:p w14:paraId="70569BF4" w14:textId="77777777" w:rsidR="004B65C5" w:rsidRPr="00E914FB" w:rsidRDefault="004B65C5" w:rsidP="00046BFF">
            <w:pPr>
              <w:pStyle w:val="NoSpacing"/>
              <w:jc w:val="center"/>
              <w:rPr>
                <w:rFonts w:asciiTheme="minorHAnsi" w:hAnsiTheme="minorHAnsi" w:cstheme="minorHAnsi"/>
                <w:b/>
                <w:sz w:val="20"/>
                <w:lang w:val="en-AU"/>
              </w:rPr>
            </w:pPr>
            <w:r w:rsidRPr="00E914FB">
              <w:rPr>
                <w:rFonts w:asciiTheme="minorHAnsi" w:hAnsiTheme="minorHAnsi" w:cstheme="minorHAnsi"/>
                <w:b/>
                <w:sz w:val="20"/>
                <w:lang w:val="en-AU"/>
              </w:rPr>
              <w:t>with cirrhosis</w:t>
            </w:r>
          </w:p>
        </w:tc>
        <w:tc>
          <w:tcPr>
            <w:tcW w:w="1884"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tcPr>
          <w:p w14:paraId="45A9D85A" w14:textId="77777777" w:rsidR="004B65C5" w:rsidRPr="00E914FB" w:rsidRDefault="004B65C5" w:rsidP="00046BFF">
            <w:pPr>
              <w:pStyle w:val="NoSpacing"/>
              <w:rPr>
                <w:rFonts w:asciiTheme="minorHAnsi" w:eastAsia="Calibri" w:hAnsiTheme="minorHAnsi" w:cstheme="minorHAnsi"/>
                <w:sz w:val="20"/>
                <w:lang w:val="en-AU"/>
              </w:rPr>
            </w:pPr>
            <w:r w:rsidRPr="00E914FB">
              <w:rPr>
                <w:rFonts w:asciiTheme="minorHAnsi" w:hAnsiTheme="minorHAnsi" w:cstheme="minorHAnsi"/>
                <w:color w:val="000000"/>
                <w:sz w:val="20"/>
                <w:lang w:val="en-AU"/>
              </w:rPr>
              <w:t xml:space="preserve">VIEKIRA PAK- RBV </w:t>
            </w:r>
          </w:p>
        </w:tc>
        <w:tc>
          <w:tcPr>
            <w:tcW w:w="1538" w:type="dxa"/>
            <w:tcBorders>
              <w:top w:val="single" w:sz="4" w:space="0" w:color="auto"/>
              <w:left w:val="nil"/>
              <w:bottom w:val="single" w:sz="4" w:space="0" w:color="auto"/>
              <w:right w:val="single" w:sz="8" w:space="0" w:color="000000"/>
            </w:tcBorders>
            <w:tcMar>
              <w:top w:w="72" w:type="dxa"/>
              <w:left w:w="144" w:type="dxa"/>
              <w:bottom w:w="72" w:type="dxa"/>
              <w:right w:w="144" w:type="dxa"/>
            </w:tcMar>
            <w:vAlign w:val="center"/>
          </w:tcPr>
          <w:p w14:paraId="1FDDC027" w14:textId="77777777" w:rsidR="004B65C5" w:rsidRPr="00E914FB" w:rsidRDefault="004B65C5" w:rsidP="00046BFF">
            <w:pPr>
              <w:pStyle w:val="NoSpacing"/>
              <w:jc w:val="center"/>
              <w:rPr>
                <w:rFonts w:asciiTheme="minorHAnsi" w:eastAsia="Calibri" w:hAnsiTheme="minorHAnsi" w:cstheme="minorHAnsi"/>
                <w:sz w:val="20"/>
                <w:lang w:val="en-AU"/>
              </w:rPr>
            </w:pPr>
            <w:r w:rsidRPr="00E914FB">
              <w:rPr>
                <w:rFonts w:asciiTheme="minorHAnsi" w:hAnsiTheme="minorHAnsi" w:cstheme="minorHAnsi"/>
                <w:color w:val="000000"/>
                <w:sz w:val="20"/>
                <w:lang w:val="en-AU"/>
              </w:rPr>
              <w:t>12 weeks</w:t>
            </w:r>
            <w:r w:rsidRPr="00E914FB">
              <w:rPr>
                <w:rFonts w:asciiTheme="minorHAnsi" w:hAnsiTheme="minorHAnsi" w:cstheme="minorHAnsi"/>
                <w:sz w:val="20"/>
                <w:vertAlign w:val="superscript"/>
                <w:lang w:val="en-AU"/>
              </w:rPr>
              <w:t>†</w:t>
            </w:r>
          </w:p>
        </w:tc>
        <w:tc>
          <w:tcPr>
            <w:tcW w:w="2164" w:type="dxa"/>
            <w:tcBorders>
              <w:top w:val="single" w:sz="4" w:space="0" w:color="auto"/>
              <w:left w:val="nil"/>
              <w:bottom w:val="single" w:sz="4" w:space="0" w:color="auto"/>
              <w:right w:val="single" w:sz="8" w:space="0" w:color="000000"/>
            </w:tcBorders>
          </w:tcPr>
          <w:p w14:paraId="19214846" w14:textId="687382E4" w:rsidR="004B65C5" w:rsidRPr="00E914FB" w:rsidRDefault="004B65C5" w:rsidP="00046BFF">
            <w:pPr>
              <w:pStyle w:val="NoSpacing"/>
              <w:rPr>
                <w:rFonts w:asciiTheme="minorHAnsi" w:hAnsiTheme="minorHAnsi" w:cstheme="minorHAnsi"/>
                <w:sz w:val="20"/>
                <w:lang w:val="en-AU"/>
              </w:rPr>
            </w:pPr>
            <w:r w:rsidRPr="00E914FB">
              <w:rPr>
                <w:rFonts w:asciiTheme="minorHAnsi" w:hAnsiTheme="minorHAnsi" w:cstheme="minorHAnsi"/>
                <w:sz w:val="20"/>
                <w:lang w:val="en-AU"/>
              </w:rPr>
              <w:t>&lt; 75 kg = 1000 mg</w:t>
            </w:r>
          </w:p>
          <w:p w14:paraId="2CDE706F" w14:textId="327143FD" w:rsidR="004B65C5" w:rsidRPr="00E914FB" w:rsidRDefault="004B65C5" w:rsidP="00046BFF">
            <w:pPr>
              <w:pStyle w:val="NoSpacing"/>
              <w:rPr>
                <w:rFonts w:asciiTheme="minorHAnsi" w:hAnsiTheme="minorHAnsi" w:cstheme="minorHAnsi"/>
                <w:sz w:val="20"/>
                <w:lang w:val="en-AU"/>
              </w:rPr>
            </w:pPr>
          </w:p>
          <w:p w14:paraId="6C8C2558" w14:textId="3E4A0E9C" w:rsidR="004B65C5" w:rsidRPr="00E914FB" w:rsidRDefault="004B65C5" w:rsidP="00046BFF">
            <w:pPr>
              <w:pStyle w:val="NoSpacing"/>
              <w:rPr>
                <w:rFonts w:asciiTheme="minorHAnsi" w:hAnsiTheme="minorHAnsi" w:cstheme="minorHAnsi"/>
                <w:sz w:val="20"/>
                <w:lang w:val="en-AU"/>
              </w:rPr>
            </w:pPr>
            <w:r w:rsidRPr="00E914FB">
              <w:rPr>
                <w:rFonts w:asciiTheme="minorHAnsi" w:hAnsiTheme="minorHAnsi" w:cstheme="minorHAnsi"/>
                <w:sz w:val="20"/>
                <w:lang w:val="en-AU"/>
              </w:rPr>
              <w:t>≥ 75 kg = 1200 mg</w:t>
            </w:r>
          </w:p>
          <w:p w14:paraId="578184B2" w14:textId="3A1F5E60" w:rsidR="004B65C5" w:rsidRPr="00E914FB" w:rsidRDefault="004B65C5" w:rsidP="00046BFF">
            <w:pPr>
              <w:pStyle w:val="NoSpacing"/>
              <w:rPr>
                <w:rFonts w:asciiTheme="minorHAnsi" w:hAnsiTheme="minorHAnsi" w:cstheme="minorHAnsi"/>
                <w:sz w:val="20"/>
                <w:lang w:val="en-AU"/>
              </w:rPr>
            </w:pPr>
          </w:p>
          <w:p w14:paraId="1ECC97E1" w14:textId="60744B56" w:rsidR="004B65C5" w:rsidRPr="00E914FB" w:rsidRDefault="004B65C5" w:rsidP="00046BFF">
            <w:pPr>
              <w:pStyle w:val="NoSpacing"/>
              <w:rPr>
                <w:rFonts w:asciiTheme="minorHAnsi" w:hAnsiTheme="minorHAnsi" w:cstheme="minorHAnsi"/>
                <w:sz w:val="20"/>
                <w:lang w:val="en-AU"/>
              </w:rPr>
            </w:pPr>
            <w:r w:rsidRPr="00E914FB">
              <w:rPr>
                <w:rFonts w:asciiTheme="minorHAnsi" w:hAnsiTheme="minorHAnsi" w:cstheme="minorHAnsi"/>
                <w:sz w:val="20"/>
                <w:lang w:val="en-AU"/>
              </w:rPr>
              <w:t>Ribavirin is to be taken in two doses, morning and evening</w:t>
            </w:r>
          </w:p>
        </w:tc>
      </w:tr>
      <w:tr w:rsidR="004B65C5" w:rsidRPr="00E914FB" w14:paraId="6BE48DC1" w14:textId="77777777" w:rsidTr="00890582">
        <w:trPr>
          <w:trHeight w:val="495"/>
          <w:jc w:val="center"/>
        </w:trPr>
        <w:tc>
          <w:tcPr>
            <w:tcW w:w="8656" w:type="dxa"/>
            <w:gridSpan w:val="4"/>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1E31E4D" w14:textId="77777777" w:rsidR="004B65C5" w:rsidRPr="00E914FB" w:rsidRDefault="004B65C5" w:rsidP="00890582">
            <w:pPr>
              <w:spacing w:after="0" w:line="300" w:lineRule="auto"/>
              <w:ind w:left="522" w:hanging="522"/>
              <w:jc w:val="both"/>
              <w:rPr>
                <w:rFonts w:cs="Arial"/>
                <w:sz w:val="20"/>
                <w:szCs w:val="20"/>
              </w:rPr>
            </w:pPr>
            <w:r w:rsidRPr="00E914FB">
              <w:rPr>
                <w:rFonts w:cs="Arial"/>
                <w:sz w:val="20"/>
                <w:szCs w:val="20"/>
              </w:rPr>
              <w:t xml:space="preserve">* </w:t>
            </w:r>
            <w:r w:rsidRPr="00E914FB">
              <w:rPr>
                <w:rFonts w:cs="Arial"/>
                <w:sz w:val="20"/>
                <w:szCs w:val="20"/>
              </w:rPr>
              <w:tab/>
              <w:t xml:space="preserve">VIEKIRA PAK without ribavirin can be considered as a therapeutic option for treatment-naïve patients with genotype 1a infection without cirrhosis (see </w:t>
            </w:r>
            <w:r w:rsidRPr="00E914FB">
              <w:rPr>
                <w:rFonts w:cs="Arial"/>
                <w:caps/>
                <w:sz w:val="20"/>
                <w:szCs w:val="20"/>
              </w:rPr>
              <w:t>Clinical Trials</w:t>
            </w:r>
            <w:r w:rsidRPr="00E914FB">
              <w:rPr>
                <w:rFonts w:cs="Arial"/>
                <w:sz w:val="20"/>
                <w:szCs w:val="20"/>
              </w:rPr>
              <w:t>)</w:t>
            </w:r>
            <w:r w:rsidRPr="00E914FB">
              <w:rPr>
                <w:rFonts w:cs="Arial"/>
                <w:i/>
                <w:sz w:val="20"/>
                <w:szCs w:val="20"/>
              </w:rPr>
              <w:t xml:space="preserve">. </w:t>
            </w:r>
            <w:r w:rsidRPr="00E914FB">
              <w:rPr>
                <w:rFonts w:cs="Arial"/>
                <w:sz w:val="20"/>
                <w:szCs w:val="20"/>
              </w:rPr>
              <w:t xml:space="preserve">Treatment decision should be guided by an assessment of the potential benefits and risks </w:t>
            </w:r>
            <w:r w:rsidRPr="00E914FB">
              <w:rPr>
                <w:sz w:val="20"/>
                <w:szCs w:val="20"/>
              </w:rPr>
              <w:t>and available alternative therapies</w:t>
            </w:r>
            <w:r w:rsidRPr="00E914FB">
              <w:t xml:space="preserve"> </w:t>
            </w:r>
            <w:r w:rsidRPr="00E914FB">
              <w:rPr>
                <w:rFonts w:cs="Arial"/>
                <w:sz w:val="20"/>
                <w:szCs w:val="20"/>
              </w:rPr>
              <w:t xml:space="preserve">for the individual patient. </w:t>
            </w:r>
          </w:p>
          <w:p w14:paraId="410E379B" w14:textId="77777777" w:rsidR="004B65C5" w:rsidRPr="00E914FB" w:rsidRDefault="004B65C5" w:rsidP="00890582">
            <w:pPr>
              <w:spacing w:after="0" w:line="300" w:lineRule="auto"/>
              <w:ind w:left="522" w:hanging="522"/>
              <w:jc w:val="both"/>
              <w:rPr>
                <w:rFonts w:cs="Arial"/>
                <w:i/>
                <w:sz w:val="20"/>
                <w:szCs w:val="20"/>
              </w:rPr>
            </w:pPr>
            <w:r w:rsidRPr="00E914FB">
              <w:rPr>
                <w:rFonts w:cs="Arial"/>
                <w:sz w:val="20"/>
                <w:szCs w:val="20"/>
                <w:vertAlign w:val="superscript"/>
              </w:rPr>
              <w:t xml:space="preserve">† </w:t>
            </w:r>
            <w:r w:rsidRPr="00E914FB">
              <w:rPr>
                <w:rFonts w:cs="Arial"/>
                <w:sz w:val="20"/>
                <w:szCs w:val="20"/>
                <w:vertAlign w:val="superscript"/>
              </w:rPr>
              <w:tab/>
            </w:r>
            <w:r w:rsidRPr="00E914FB">
              <w:rPr>
                <w:rFonts w:cs="Arial"/>
                <w:sz w:val="20"/>
                <w:szCs w:val="20"/>
              </w:rPr>
              <w:t xml:space="preserve">24 weeks of VIEKIRA PAK–RBV is recommended for patients with genotype 1a-infection with cirrhosis who have had a previous null response to pegIFN and ribavirin (see </w:t>
            </w:r>
            <w:r w:rsidRPr="00E914FB">
              <w:rPr>
                <w:rFonts w:cs="Arial"/>
                <w:caps/>
                <w:sz w:val="20"/>
                <w:szCs w:val="20"/>
              </w:rPr>
              <w:t>Clinical Trials</w:t>
            </w:r>
            <w:r w:rsidRPr="00E914FB">
              <w:rPr>
                <w:rFonts w:cs="Arial"/>
                <w:sz w:val="20"/>
                <w:szCs w:val="20"/>
              </w:rPr>
              <w:t>)</w:t>
            </w:r>
            <w:r w:rsidRPr="00E914FB">
              <w:rPr>
                <w:rFonts w:cs="Arial"/>
                <w:i/>
                <w:sz w:val="20"/>
                <w:szCs w:val="20"/>
              </w:rPr>
              <w:t>.</w:t>
            </w:r>
          </w:p>
          <w:p w14:paraId="597801A9" w14:textId="665E2B62" w:rsidR="004B65C5" w:rsidRPr="00E914FB" w:rsidRDefault="004B65C5" w:rsidP="00890582">
            <w:pPr>
              <w:spacing w:after="0" w:line="300" w:lineRule="auto"/>
              <w:ind w:left="522" w:hanging="522"/>
              <w:jc w:val="both"/>
              <w:rPr>
                <w:rFonts w:cs="Arial"/>
                <w:sz w:val="20"/>
              </w:rPr>
            </w:pPr>
            <w:r w:rsidRPr="00E914FB">
              <w:rPr>
                <w:rFonts w:cs="Arial"/>
                <w:sz w:val="20"/>
                <w:szCs w:val="20"/>
              </w:rPr>
              <w:t xml:space="preserve">Note: </w:t>
            </w:r>
            <w:r w:rsidR="00222E29" w:rsidRPr="00E914FB">
              <w:rPr>
                <w:rFonts w:cs="Arial"/>
                <w:sz w:val="20"/>
                <w:szCs w:val="20"/>
              </w:rPr>
              <w:t>VIEKIRA PAK</w:t>
            </w:r>
            <w:r w:rsidR="00046BFF" w:rsidRPr="00E914FB">
              <w:rPr>
                <w:rFonts w:cs="Arial"/>
                <w:sz w:val="20"/>
                <w:szCs w:val="20"/>
              </w:rPr>
              <w:t>-RBV</w:t>
            </w:r>
            <w:r w:rsidRPr="00E914FB">
              <w:rPr>
                <w:rFonts w:cs="Arial"/>
                <w:sz w:val="20"/>
                <w:szCs w:val="20"/>
              </w:rPr>
              <w:t xml:space="preserve"> is recommended in patients with an unknown genotype 1 subtype or with mixed genotype 1 infection.</w:t>
            </w:r>
          </w:p>
        </w:tc>
      </w:tr>
    </w:tbl>
    <w:p w14:paraId="3A1F0B64" w14:textId="77777777" w:rsidR="004B65C5" w:rsidRPr="00E914FB" w:rsidRDefault="004B65C5" w:rsidP="004B65C5">
      <w:pPr>
        <w:rPr>
          <w:rFonts w:cs="Arial"/>
        </w:rPr>
      </w:pPr>
    </w:p>
    <w:p w14:paraId="5404D2EB" w14:textId="45B33ED8" w:rsidR="004B65C5" w:rsidRPr="00E914FB" w:rsidRDefault="00222E29" w:rsidP="00885509">
      <w:pPr>
        <w:spacing w:line="240" w:lineRule="auto"/>
        <w:jc w:val="both"/>
        <w:rPr>
          <w:rFonts w:cs="Arial"/>
        </w:rPr>
      </w:pPr>
      <w:r w:rsidRPr="00E914FB">
        <w:rPr>
          <w:rFonts w:eastAsia="TimesNewRoman" w:cs="Arial"/>
        </w:rPr>
        <w:t>VIEKIRA PAK</w:t>
      </w:r>
      <w:r w:rsidR="004B65C5" w:rsidRPr="00E914FB">
        <w:rPr>
          <w:rFonts w:cs="Arial"/>
        </w:rPr>
        <w:t xml:space="preserve"> should be taken as directed for the prescribed duration, without interruption</w:t>
      </w:r>
      <w:r w:rsidR="00046BFF" w:rsidRPr="00E914FB">
        <w:rPr>
          <w:rFonts w:cs="Arial"/>
        </w:rPr>
        <w:t>.</w:t>
      </w:r>
      <w:r w:rsidR="004B65C5" w:rsidRPr="00E914FB">
        <w:rPr>
          <w:rFonts w:cs="Arial"/>
        </w:rPr>
        <w:t xml:space="preserve"> </w:t>
      </w:r>
    </w:p>
    <w:p w14:paraId="0C0C25C1" w14:textId="77777777" w:rsidR="00737043" w:rsidRPr="00E914FB" w:rsidRDefault="00737043" w:rsidP="00885509">
      <w:pPr>
        <w:spacing w:line="240" w:lineRule="auto"/>
        <w:jc w:val="both"/>
        <w:rPr>
          <w:rFonts w:cs="Arial"/>
          <w:u w:val="single"/>
        </w:rPr>
      </w:pPr>
      <w:r w:rsidRPr="00E914FB">
        <w:rPr>
          <w:rFonts w:cs="Arial"/>
          <w:u w:val="single"/>
        </w:rPr>
        <w:t>Missed Dose</w:t>
      </w:r>
    </w:p>
    <w:p w14:paraId="4911025A" w14:textId="207D0F93" w:rsidR="00737043" w:rsidRPr="00E914FB" w:rsidRDefault="00737043" w:rsidP="00885509">
      <w:pPr>
        <w:spacing w:line="240" w:lineRule="auto"/>
        <w:jc w:val="both"/>
        <w:rPr>
          <w:rFonts w:cstheme="minorHAnsi"/>
        </w:rPr>
      </w:pPr>
      <w:r w:rsidRPr="00E914FB">
        <w:rPr>
          <w:rFonts w:cstheme="minorHAnsi"/>
        </w:rPr>
        <w:lastRenderedPageBreak/>
        <w:t>Inform patients that in case a dose of paritaprevir, ritonavir, ombitasvir is missed, the prescribed dose can be taken within 12 hours.</w:t>
      </w:r>
    </w:p>
    <w:p w14:paraId="2C941B1A" w14:textId="2A7D0AEE" w:rsidR="00737043" w:rsidRPr="00E914FB" w:rsidRDefault="00737043" w:rsidP="00885509">
      <w:pPr>
        <w:spacing w:line="240" w:lineRule="auto"/>
        <w:jc w:val="both"/>
        <w:rPr>
          <w:rFonts w:cstheme="minorHAnsi"/>
        </w:rPr>
      </w:pPr>
      <w:r w:rsidRPr="00E914FB">
        <w:rPr>
          <w:rFonts w:cstheme="minorHAnsi"/>
        </w:rPr>
        <w:t>In case a dose of dasabuvir is missed, the prescribed dose can be taken within 6 hours.</w:t>
      </w:r>
    </w:p>
    <w:p w14:paraId="48E07735" w14:textId="77777777" w:rsidR="00737043" w:rsidRPr="00E914FB" w:rsidRDefault="00737043" w:rsidP="00885509">
      <w:pPr>
        <w:spacing w:line="240" w:lineRule="auto"/>
        <w:jc w:val="both"/>
        <w:rPr>
          <w:rFonts w:cstheme="minorHAnsi"/>
        </w:rPr>
      </w:pPr>
      <w:r w:rsidRPr="00E914FB">
        <w:rPr>
          <w:rFonts w:cstheme="minorHAnsi"/>
        </w:rPr>
        <w:t>If more than 12 hours has passed since ombitasvir, paritaprevir, ritonavir is usually taken or more than 6 hours has passed since dasabuvir is usually taken, the missed dose should NOT be taken and the patient should take the next dose as per the usual dosing schedule.</w:t>
      </w:r>
    </w:p>
    <w:p w14:paraId="664A0006" w14:textId="4ADF13ED" w:rsidR="00737043" w:rsidRDefault="00737043" w:rsidP="00885509">
      <w:pPr>
        <w:spacing w:line="240" w:lineRule="auto"/>
        <w:jc w:val="both"/>
        <w:rPr>
          <w:rFonts w:cstheme="minorHAnsi"/>
        </w:rPr>
      </w:pPr>
      <w:r w:rsidRPr="00E914FB">
        <w:rPr>
          <w:rFonts w:cstheme="minorHAnsi"/>
        </w:rPr>
        <w:t>Instruct patients not to take more than their prescribed dose of VIEKIRA PAK to make up for a missed dose</w:t>
      </w:r>
      <w:r w:rsidR="0042520A" w:rsidRPr="00E914FB">
        <w:rPr>
          <w:rFonts w:cstheme="minorHAnsi"/>
        </w:rPr>
        <w:t>.</w:t>
      </w:r>
    </w:p>
    <w:p w14:paraId="47C49325" w14:textId="5B83147E" w:rsidR="00737043" w:rsidRPr="00E914FB" w:rsidRDefault="00737043" w:rsidP="00885509">
      <w:pPr>
        <w:pStyle w:val="Heading2Unnumbered"/>
        <w:rPr>
          <w:b w:val="0"/>
          <w:bCs w:val="0"/>
          <w:w w:val="103"/>
          <w:lang w:val="en-AU"/>
        </w:rPr>
      </w:pPr>
      <w:r w:rsidRPr="00E914FB">
        <w:rPr>
          <w:sz w:val="22"/>
          <w:szCs w:val="22"/>
          <w:lang w:val="en-AU"/>
        </w:rPr>
        <w:t>Use</w:t>
      </w:r>
      <w:r w:rsidRPr="00E914FB">
        <w:rPr>
          <w:spacing w:val="10"/>
          <w:sz w:val="22"/>
          <w:szCs w:val="22"/>
          <w:lang w:val="en-AU"/>
        </w:rPr>
        <w:t xml:space="preserve"> </w:t>
      </w:r>
      <w:r w:rsidRPr="00E914FB">
        <w:rPr>
          <w:sz w:val="22"/>
          <w:szCs w:val="22"/>
          <w:lang w:val="en-AU"/>
        </w:rPr>
        <w:t>in</w:t>
      </w:r>
      <w:r w:rsidRPr="00E914FB">
        <w:rPr>
          <w:spacing w:val="7"/>
          <w:sz w:val="22"/>
          <w:szCs w:val="22"/>
          <w:lang w:val="en-AU"/>
        </w:rPr>
        <w:t xml:space="preserve"> </w:t>
      </w:r>
      <w:r w:rsidRPr="00E914FB">
        <w:rPr>
          <w:sz w:val="22"/>
          <w:szCs w:val="22"/>
          <w:lang w:val="en-AU"/>
        </w:rPr>
        <w:t>Special</w:t>
      </w:r>
      <w:r w:rsidRPr="00E914FB">
        <w:rPr>
          <w:spacing w:val="20"/>
          <w:sz w:val="22"/>
          <w:szCs w:val="22"/>
          <w:lang w:val="en-AU"/>
        </w:rPr>
        <w:t xml:space="preserve"> </w:t>
      </w:r>
      <w:r w:rsidRPr="00E914FB">
        <w:rPr>
          <w:w w:val="103"/>
          <w:sz w:val="22"/>
          <w:szCs w:val="22"/>
          <w:lang w:val="en-AU"/>
        </w:rPr>
        <w:t>Populations</w:t>
      </w:r>
    </w:p>
    <w:p w14:paraId="5B4DC66F" w14:textId="77777777" w:rsidR="00737043" w:rsidRPr="00E914FB" w:rsidRDefault="00737043" w:rsidP="00885509">
      <w:pPr>
        <w:widowControl w:val="0"/>
        <w:autoSpaceDE w:val="0"/>
        <w:autoSpaceDN w:val="0"/>
        <w:adjustRightInd w:val="0"/>
        <w:spacing w:line="240" w:lineRule="auto"/>
        <w:ind w:right="157"/>
        <w:rPr>
          <w:rFonts w:cs="Arial"/>
          <w:u w:val="single"/>
        </w:rPr>
      </w:pPr>
      <w:r w:rsidRPr="00E914FB">
        <w:rPr>
          <w:rFonts w:cs="Arial"/>
          <w:u w:val="single"/>
        </w:rPr>
        <w:t>Hepatic Impairment</w:t>
      </w:r>
    </w:p>
    <w:p w14:paraId="51C281EA" w14:textId="5874C5C7" w:rsidR="00737043" w:rsidRPr="00E914FB" w:rsidRDefault="00737043" w:rsidP="00885509">
      <w:pPr>
        <w:spacing w:line="240" w:lineRule="auto"/>
        <w:jc w:val="both"/>
        <w:rPr>
          <w:rFonts w:cs="Arial"/>
        </w:rPr>
      </w:pPr>
      <w:r w:rsidRPr="00E914FB">
        <w:rPr>
          <w:rFonts w:cs="Arial"/>
        </w:rPr>
        <w:t xml:space="preserve">No dose adjustment of </w:t>
      </w:r>
      <w:r w:rsidR="00222E29" w:rsidRPr="00E914FB">
        <w:rPr>
          <w:rFonts w:cs="Arial"/>
        </w:rPr>
        <w:t>VIEKIRA PAK</w:t>
      </w:r>
      <w:r w:rsidRPr="00E914FB">
        <w:rPr>
          <w:rFonts w:cs="Arial"/>
        </w:rPr>
        <w:t xml:space="preserve"> is required in patients with mild hepatic impairment (Child-Pugh A). The safety and efficacy of </w:t>
      </w:r>
      <w:r w:rsidR="00222E29" w:rsidRPr="00E914FB">
        <w:rPr>
          <w:rFonts w:cs="Arial"/>
        </w:rPr>
        <w:t>VIEKIRA PAK</w:t>
      </w:r>
      <w:r w:rsidRPr="00E914FB">
        <w:rPr>
          <w:rFonts w:cs="Arial"/>
        </w:rPr>
        <w:t xml:space="preserve"> have not been established in HCV-infected patients with moderate hepatic impairment (Child-Pugh B); however, no dose adjustment is expected to be required based on pharmacokinetic studies. </w:t>
      </w:r>
      <w:r w:rsidR="00222E29" w:rsidRPr="00E914FB">
        <w:rPr>
          <w:rFonts w:cs="Arial"/>
        </w:rPr>
        <w:t>VIEKIRA PAK</w:t>
      </w:r>
      <w:r w:rsidRPr="00E914FB">
        <w:rPr>
          <w:rFonts w:cs="Arial"/>
        </w:rPr>
        <w:t xml:space="preserve"> is contraindicated in patients with severe hepatic impairment (Child-Pugh C).</w:t>
      </w:r>
    </w:p>
    <w:p w14:paraId="24620931" w14:textId="555C58E0" w:rsidR="00737043" w:rsidRPr="00E914FB" w:rsidRDefault="00737043" w:rsidP="00885509">
      <w:pPr>
        <w:widowControl w:val="0"/>
        <w:autoSpaceDE w:val="0"/>
        <w:autoSpaceDN w:val="0"/>
        <w:adjustRightInd w:val="0"/>
        <w:spacing w:line="240" w:lineRule="auto"/>
        <w:ind w:right="175"/>
        <w:jc w:val="both"/>
        <w:rPr>
          <w:rFonts w:cs="Arial"/>
          <w:bCs/>
          <w:spacing w:val="29"/>
          <w:u w:val="single"/>
        </w:rPr>
      </w:pPr>
      <w:r w:rsidRPr="00E914FB">
        <w:rPr>
          <w:rFonts w:cs="Arial"/>
          <w:bCs/>
          <w:u w:val="single"/>
        </w:rPr>
        <w:t>R</w:t>
      </w:r>
      <w:r w:rsidRPr="00E914FB">
        <w:rPr>
          <w:rFonts w:cs="Arial"/>
          <w:bCs/>
          <w:spacing w:val="1"/>
          <w:u w:val="single"/>
        </w:rPr>
        <w:t>e</w:t>
      </w:r>
      <w:r w:rsidRPr="00E914FB">
        <w:rPr>
          <w:rFonts w:cs="Arial"/>
          <w:bCs/>
          <w:u w:val="single"/>
        </w:rPr>
        <w:t>nal</w:t>
      </w:r>
      <w:r w:rsidRPr="00E914FB">
        <w:rPr>
          <w:rFonts w:cs="Arial"/>
          <w:bCs/>
          <w:spacing w:val="11"/>
          <w:u w:val="single"/>
        </w:rPr>
        <w:t xml:space="preserve"> </w:t>
      </w:r>
      <w:r w:rsidRPr="00E914FB">
        <w:rPr>
          <w:rFonts w:cs="Arial"/>
          <w:bCs/>
          <w:u w:val="single"/>
        </w:rPr>
        <w:t>Imp</w:t>
      </w:r>
      <w:r w:rsidRPr="00E914FB">
        <w:rPr>
          <w:rFonts w:cs="Arial"/>
          <w:bCs/>
          <w:spacing w:val="1"/>
          <w:u w:val="single"/>
        </w:rPr>
        <w:t>a</w:t>
      </w:r>
      <w:r w:rsidRPr="00E914FB">
        <w:rPr>
          <w:rFonts w:cs="Arial"/>
          <w:bCs/>
          <w:u w:val="single"/>
        </w:rPr>
        <w:t>irmen</w:t>
      </w:r>
      <w:r w:rsidRPr="00E914FB">
        <w:rPr>
          <w:rFonts w:cs="Arial"/>
          <w:bCs/>
          <w:spacing w:val="1"/>
          <w:u w:val="single"/>
        </w:rPr>
        <w:t>t</w:t>
      </w:r>
    </w:p>
    <w:p w14:paraId="60076EB2" w14:textId="6B0C43A9" w:rsidR="00737043" w:rsidRPr="00E914FB" w:rsidRDefault="00737043" w:rsidP="00885509">
      <w:pPr>
        <w:spacing w:line="240" w:lineRule="auto"/>
        <w:jc w:val="both"/>
        <w:rPr>
          <w:rFonts w:cs="Arial"/>
        </w:rPr>
      </w:pPr>
      <w:r w:rsidRPr="00E914FB">
        <w:t>Based on the pharmacokinetic data in HCV uninfected subjects</w:t>
      </w:r>
      <w:r w:rsidR="00840FF8" w:rsidRPr="00E914FB">
        <w:t xml:space="preserve"> (n=24)</w:t>
      </w:r>
      <w:r w:rsidRPr="00E914FB">
        <w:t xml:space="preserve">, no dose adjustment of </w:t>
      </w:r>
      <w:r w:rsidR="00222E29" w:rsidRPr="00E914FB">
        <w:t>VIEKIRA PAK</w:t>
      </w:r>
      <w:r w:rsidRPr="00E914FB">
        <w:t xml:space="preserve"> is recommended in subjects with mild, moderate or severe renal impairment. The efficacy and safety of </w:t>
      </w:r>
      <w:r w:rsidR="00C24FEE" w:rsidRPr="00E914FB">
        <w:t>VIEKIRA PAK</w:t>
      </w:r>
      <w:r w:rsidRPr="00E914FB">
        <w:t xml:space="preserve"> have not been evaluated in HCV-infected subjects with moderate or severe renal impairment. </w:t>
      </w:r>
      <w:r w:rsidRPr="00E914FB">
        <w:rPr>
          <w:rFonts w:cs="Arial"/>
        </w:rPr>
        <w:t>VIEKIRA PAK has not been studied in patients on dialysis.</w:t>
      </w:r>
    </w:p>
    <w:p w14:paraId="798F4DE3" w14:textId="77777777" w:rsidR="00737043" w:rsidRPr="00E914FB" w:rsidRDefault="00737043" w:rsidP="00885509">
      <w:pPr>
        <w:pStyle w:val="Heading1"/>
      </w:pPr>
      <w:bookmarkStart w:id="37" w:name="_Toc383787414"/>
      <w:r w:rsidRPr="00E914FB">
        <w:t>Overdosage</w:t>
      </w:r>
      <w:bookmarkEnd w:id="37"/>
    </w:p>
    <w:p w14:paraId="09ABEB03" w14:textId="77777777" w:rsidR="00737043" w:rsidRPr="00E914FB" w:rsidRDefault="00737043" w:rsidP="00885509">
      <w:pPr>
        <w:spacing w:line="240" w:lineRule="auto"/>
        <w:jc w:val="both"/>
        <w:rPr>
          <w:rFonts w:cs="Arial"/>
        </w:rPr>
      </w:pPr>
      <w:r w:rsidRPr="00E914FB">
        <w:rPr>
          <w:rFonts w:cs="Arial"/>
        </w:rPr>
        <w:t>The highest documented single dose administered to healthy volunteers was 400 mg for paritaprevir (with 100 mg ritonavir), 200 mg for ritonavir (with 100 mg paritaprevir), 350 mg for ombitasvir and 2000 mg for dasabuvir. In case of overdose, it is recommended that the patient be monitored for any signs or symptoms of adverse reactions and appropriate symptomatic treatment instituted immediately.</w:t>
      </w:r>
    </w:p>
    <w:p w14:paraId="2F9AC1A0" w14:textId="3F3DF85C" w:rsidR="00DA417B" w:rsidRPr="00E914FB" w:rsidRDefault="00737043" w:rsidP="00885509">
      <w:pPr>
        <w:spacing w:line="240" w:lineRule="auto"/>
        <w:rPr>
          <w:rFonts w:cs="Arial"/>
        </w:rPr>
      </w:pPr>
      <w:r w:rsidRPr="00E914FB">
        <w:rPr>
          <w:rFonts w:cs="Arial"/>
        </w:rPr>
        <w:t>For information on the management of overdose in Australia contact the Poison Information Centre on 131126 and in New Zealand call 0800 764 766.</w:t>
      </w:r>
    </w:p>
    <w:p w14:paraId="2F9AC1A1" w14:textId="77777777" w:rsidR="00DA417B" w:rsidRPr="00E914FB" w:rsidRDefault="00356BCD" w:rsidP="00885509">
      <w:pPr>
        <w:pStyle w:val="Heading1"/>
      </w:pPr>
      <w:bookmarkStart w:id="38" w:name="_Toc383787415"/>
      <w:r w:rsidRPr="00E914FB">
        <w:t>Presentation and Storage Conditions</w:t>
      </w:r>
      <w:bookmarkEnd w:id="38"/>
    </w:p>
    <w:p w14:paraId="48D418EA" w14:textId="46ACA87A" w:rsidR="001E4F0C" w:rsidRPr="00E914FB" w:rsidRDefault="001E4F0C" w:rsidP="00885509">
      <w:pPr>
        <w:pStyle w:val="Heading2Unnumbered"/>
        <w:rPr>
          <w:lang w:val="en-AU"/>
        </w:rPr>
      </w:pPr>
      <w:r w:rsidRPr="00E914FB">
        <w:rPr>
          <w:sz w:val="22"/>
          <w:szCs w:val="22"/>
          <w:lang w:val="en-AU"/>
        </w:rPr>
        <w:t>Presentation</w:t>
      </w:r>
    </w:p>
    <w:p w14:paraId="2F9AC1A2" w14:textId="790635BE" w:rsidR="00DA417B" w:rsidRPr="00E914FB" w:rsidRDefault="00356BCD" w:rsidP="00885509">
      <w:pPr>
        <w:spacing w:line="240" w:lineRule="auto"/>
        <w:jc w:val="both"/>
        <w:rPr>
          <w:rFonts w:cs="Arial"/>
        </w:rPr>
      </w:pPr>
      <w:r w:rsidRPr="00E914FB">
        <w:rPr>
          <w:rFonts w:cs="Arial"/>
        </w:rPr>
        <w:t xml:space="preserve">Paritaprevir/ritonavir/ombitasvir 75/50/12.5 mg tablets are pink-coloured, film-coated, oblong biconvex shaped, debossed with “AV1” on one side. </w:t>
      </w:r>
    </w:p>
    <w:p w14:paraId="2F9AC1A3" w14:textId="77777777" w:rsidR="00DA417B" w:rsidRPr="00E914FB" w:rsidRDefault="00356BCD" w:rsidP="00885509">
      <w:pPr>
        <w:spacing w:line="240" w:lineRule="auto"/>
        <w:rPr>
          <w:rFonts w:cs="Arial"/>
        </w:rPr>
      </w:pPr>
      <w:r w:rsidRPr="00E914FB">
        <w:rPr>
          <w:rFonts w:cs="Arial"/>
        </w:rPr>
        <w:t>Dasabuvir 250 mg tablets are beige-coloured, film-coated, oval-shaped, debossed with “AV2” on one side</w:t>
      </w:r>
    </w:p>
    <w:p w14:paraId="2F9AC1A7" w14:textId="6B3255D7" w:rsidR="00DA417B" w:rsidRPr="00E914FB" w:rsidRDefault="00356BCD" w:rsidP="00885509">
      <w:pPr>
        <w:spacing w:line="240" w:lineRule="auto"/>
        <w:jc w:val="both"/>
        <w:rPr>
          <w:rFonts w:cs="Arial"/>
        </w:rPr>
      </w:pPr>
      <w:r w:rsidRPr="00E914FB">
        <w:rPr>
          <w:rFonts w:cs="Arial"/>
        </w:rPr>
        <w:t>VIEKIRA PAK is dispensed in a monthly carton for a total of 28 days of therapy.  Each monthly carton contains four weekly cartons.  Each weekly carton contains seven daily dose packs.  Each daily dose pack contains four tablets: two 75</w:t>
      </w:r>
      <w:r w:rsidR="00A94378" w:rsidRPr="00E914FB">
        <w:rPr>
          <w:rFonts w:cs="Arial"/>
        </w:rPr>
        <w:t xml:space="preserve"> </w:t>
      </w:r>
      <w:r w:rsidRPr="00E914FB">
        <w:rPr>
          <w:rFonts w:cs="Arial"/>
        </w:rPr>
        <w:t>mg/50</w:t>
      </w:r>
      <w:r w:rsidR="00A94378" w:rsidRPr="00E914FB">
        <w:rPr>
          <w:rFonts w:cs="Arial"/>
        </w:rPr>
        <w:t xml:space="preserve"> </w:t>
      </w:r>
      <w:r w:rsidRPr="00E914FB">
        <w:rPr>
          <w:rFonts w:cs="Arial"/>
        </w:rPr>
        <w:t>mg/12.5</w:t>
      </w:r>
      <w:r w:rsidR="00A94378" w:rsidRPr="00E914FB">
        <w:rPr>
          <w:rFonts w:cs="Arial"/>
        </w:rPr>
        <w:t xml:space="preserve"> </w:t>
      </w:r>
      <w:r w:rsidRPr="00E914FB">
        <w:rPr>
          <w:rFonts w:cs="Arial"/>
        </w:rPr>
        <w:t xml:space="preserve">mg paritaprevir/ritonavir/ombitasvir tablets and two 250mg dasabuvir tablets in PVC/PE/PCTFE(Aclar)/Al blisters, and indicates which tablets need to be taken in the morning and evening.  </w:t>
      </w:r>
    </w:p>
    <w:p w14:paraId="4775CF23" w14:textId="77777777" w:rsidR="001E4F0C" w:rsidRPr="00E914FB" w:rsidRDefault="001E4F0C" w:rsidP="00885509">
      <w:pPr>
        <w:pStyle w:val="Heading2Unnumbered"/>
        <w:rPr>
          <w:lang w:val="en-AU"/>
        </w:rPr>
      </w:pPr>
      <w:r w:rsidRPr="00E914FB">
        <w:rPr>
          <w:sz w:val="22"/>
          <w:szCs w:val="22"/>
          <w:lang w:val="en-AU"/>
        </w:rPr>
        <w:lastRenderedPageBreak/>
        <w:t>Storage Conditions</w:t>
      </w:r>
    </w:p>
    <w:p w14:paraId="2F9AC1A8" w14:textId="481FC92D" w:rsidR="00DA417B" w:rsidRPr="00E914FB" w:rsidRDefault="00356BCD" w:rsidP="00885509">
      <w:pPr>
        <w:spacing w:line="240" w:lineRule="auto"/>
        <w:jc w:val="both"/>
        <w:rPr>
          <w:rFonts w:cs="Arial"/>
        </w:rPr>
      </w:pPr>
      <w:r w:rsidRPr="00E914FB">
        <w:rPr>
          <w:rFonts w:cs="Arial"/>
        </w:rPr>
        <w:t>Store below 25°C in a dry place.</w:t>
      </w:r>
    </w:p>
    <w:p w14:paraId="185A4C39" w14:textId="77777777" w:rsidR="002E5210" w:rsidRDefault="002E5210" w:rsidP="00885509">
      <w:pPr>
        <w:spacing w:line="240" w:lineRule="auto"/>
        <w:rPr>
          <w:rFonts w:ascii="Arial" w:eastAsia="Times New Roman" w:hAnsi="Arial" w:cs="Times New Roman"/>
          <w:b/>
          <w:caps/>
          <w:sz w:val="24"/>
          <w:szCs w:val="20"/>
        </w:rPr>
      </w:pPr>
      <w:bookmarkStart w:id="39" w:name="_Toc383787416"/>
      <w:r>
        <w:br w:type="page"/>
      </w:r>
    </w:p>
    <w:p w14:paraId="2F9AC1B0" w14:textId="36E55E2A" w:rsidR="00DA417B" w:rsidRPr="00E914FB" w:rsidRDefault="00356BCD" w:rsidP="00885509">
      <w:pPr>
        <w:pStyle w:val="Heading1"/>
      </w:pPr>
      <w:r w:rsidRPr="00E914FB">
        <w:lastRenderedPageBreak/>
        <w:t>Name and Address of the Sponsor</w:t>
      </w:r>
      <w:bookmarkEnd w:id="39"/>
    </w:p>
    <w:p w14:paraId="2F9AC1B1" w14:textId="77777777" w:rsidR="00DA417B" w:rsidRPr="00E914FB" w:rsidRDefault="00356BCD" w:rsidP="00885509">
      <w:pPr>
        <w:spacing w:after="0" w:line="240" w:lineRule="auto"/>
        <w:rPr>
          <w:rFonts w:cs="Arial"/>
        </w:rPr>
      </w:pPr>
      <w:r w:rsidRPr="00E914FB">
        <w:rPr>
          <w:rFonts w:cs="Arial"/>
        </w:rPr>
        <w:t>AbbVie Pty Ltd</w:t>
      </w:r>
    </w:p>
    <w:p w14:paraId="2F9AC1B2" w14:textId="77777777" w:rsidR="00DA417B" w:rsidRPr="00E914FB" w:rsidRDefault="00356BCD" w:rsidP="00885509">
      <w:pPr>
        <w:spacing w:after="0" w:line="240" w:lineRule="auto"/>
        <w:rPr>
          <w:rFonts w:cs="Arial"/>
        </w:rPr>
      </w:pPr>
      <w:r w:rsidRPr="00E914FB">
        <w:rPr>
          <w:rFonts w:cs="Arial"/>
        </w:rPr>
        <w:t>Level 7, 241 O’Riordan Street</w:t>
      </w:r>
    </w:p>
    <w:p w14:paraId="2F9AC1B3" w14:textId="77777777" w:rsidR="00DA417B" w:rsidRPr="00E914FB" w:rsidRDefault="00356BCD" w:rsidP="00885509">
      <w:pPr>
        <w:spacing w:after="0" w:line="240" w:lineRule="auto"/>
        <w:rPr>
          <w:rFonts w:cs="Arial"/>
        </w:rPr>
      </w:pPr>
      <w:r w:rsidRPr="00E914FB">
        <w:rPr>
          <w:rFonts w:cs="Arial"/>
        </w:rPr>
        <w:t>Mascot NSW 2020</w:t>
      </w:r>
    </w:p>
    <w:p w14:paraId="2F9AC1B4" w14:textId="77777777" w:rsidR="00DA417B" w:rsidRPr="00E914FB" w:rsidRDefault="00356BCD" w:rsidP="00885509">
      <w:pPr>
        <w:spacing w:after="0" w:line="240" w:lineRule="auto"/>
        <w:rPr>
          <w:rFonts w:cs="Arial"/>
        </w:rPr>
      </w:pPr>
      <w:r w:rsidRPr="00E914FB">
        <w:rPr>
          <w:rFonts w:cs="Arial"/>
        </w:rPr>
        <w:t>Australia</w:t>
      </w:r>
    </w:p>
    <w:p w14:paraId="2F9AC1B5" w14:textId="77777777" w:rsidR="00DA417B" w:rsidRPr="00E914FB" w:rsidRDefault="00DA417B" w:rsidP="00885509">
      <w:pPr>
        <w:spacing w:after="0" w:line="240" w:lineRule="auto"/>
        <w:rPr>
          <w:rFonts w:cs="Arial"/>
        </w:rPr>
      </w:pPr>
    </w:p>
    <w:p w14:paraId="2F9AC1B6" w14:textId="77777777" w:rsidR="00DA417B" w:rsidRPr="00E914FB" w:rsidRDefault="00356BCD" w:rsidP="00885509">
      <w:pPr>
        <w:spacing w:after="0" w:line="240" w:lineRule="auto"/>
        <w:rPr>
          <w:rFonts w:cs="Arial"/>
        </w:rPr>
      </w:pPr>
      <w:r w:rsidRPr="00E914FB">
        <w:rPr>
          <w:rFonts w:cs="Arial"/>
        </w:rPr>
        <w:t>AbbVie Limited</w:t>
      </w:r>
    </w:p>
    <w:p w14:paraId="2F9AC1B7" w14:textId="77777777" w:rsidR="00DA417B" w:rsidRPr="00E914FB" w:rsidRDefault="00356BCD" w:rsidP="00885509">
      <w:pPr>
        <w:spacing w:after="0" w:line="240" w:lineRule="auto"/>
        <w:rPr>
          <w:rFonts w:cs="Arial"/>
        </w:rPr>
      </w:pPr>
      <w:r w:rsidRPr="00E914FB">
        <w:rPr>
          <w:rFonts w:cs="Arial"/>
        </w:rPr>
        <w:t>6</w:t>
      </w:r>
      <w:r w:rsidRPr="00E914FB">
        <w:rPr>
          <w:rFonts w:cs="Arial"/>
          <w:vertAlign w:val="superscript"/>
        </w:rPr>
        <w:t>th</w:t>
      </w:r>
      <w:r w:rsidRPr="00E914FB">
        <w:rPr>
          <w:rFonts w:cs="Arial"/>
        </w:rPr>
        <w:t xml:space="preserve"> Floor, 156-158 Victoria St</w:t>
      </w:r>
    </w:p>
    <w:p w14:paraId="2F9AC1B8" w14:textId="77777777" w:rsidR="00DA417B" w:rsidRPr="00E914FB" w:rsidRDefault="00356BCD" w:rsidP="00885509">
      <w:pPr>
        <w:spacing w:after="0" w:line="240" w:lineRule="auto"/>
        <w:rPr>
          <w:rFonts w:cs="Arial"/>
        </w:rPr>
      </w:pPr>
      <w:r w:rsidRPr="00E914FB">
        <w:rPr>
          <w:rFonts w:cs="Arial"/>
        </w:rPr>
        <w:t>Wellington, 6011</w:t>
      </w:r>
    </w:p>
    <w:p w14:paraId="2F9AC1B9" w14:textId="77777777" w:rsidR="00DA417B" w:rsidRPr="00E914FB" w:rsidRDefault="00356BCD" w:rsidP="00885509">
      <w:pPr>
        <w:spacing w:after="0" w:line="240" w:lineRule="auto"/>
        <w:rPr>
          <w:rFonts w:cs="Arial"/>
        </w:rPr>
      </w:pPr>
      <w:r w:rsidRPr="00E914FB">
        <w:rPr>
          <w:rFonts w:cs="Arial"/>
        </w:rPr>
        <w:t>New Zealand</w:t>
      </w:r>
    </w:p>
    <w:p w14:paraId="2F9AC1BA" w14:textId="77777777" w:rsidR="00DA417B" w:rsidRPr="00E914FB" w:rsidRDefault="00356BCD" w:rsidP="00885509">
      <w:pPr>
        <w:pStyle w:val="Heading1"/>
      </w:pPr>
      <w:bookmarkStart w:id="40" w:name="_Toc383787417"/>
      <w:r w:rsidRPr="00E914FB">
        <w:t>Poison Schedule of the Medicine</w:t>
      </w:r>
      <w:bookmarkEnd w:id="40"/>
    </w:p>
    <w:p w14:paraId="2F9AC1BB" w14:textId="77777777" w:rsidR="00DA417B" w:rsidRPr="00E914FB" w:rsidRDefault="00356BCD" w:rsidP="00885509">
      <w:pPr>
        <w:spacing w:line="240" w:lineRule="auto"/>
        <w:rPr>
          <w:rFonts w:cs="Arial"/>
        </w:rPr>
      </w:pPr>
      <w:r w:rsidRPr="00E914FB">
        <w:rPr>
          <w:rFonts w:cs="Arial"/>
        </w:rPr>
        <w:t xml:space="preserve">Prescription Only Medicine </w:t>
      </w:r>
    </w:p>
    <w:p w14:paraId="2F9AC1BC" w14:textId="77777777" w:rsidR="00DA417B" w:rsidRPr="00E914FB" w:rsidRDefault="00356BCD" w:rsidP="00885509">
      <w:pPr>
        <w:spacing w:line="240" w:lineRule="auto"/>
        <w:rPr>
          <w:rFonts w:cs="Arial"/>
        </w:rPr>
      </w:pPr>
      <w:r w:rsidRPr="00E914FB">
        <w:rPr>
          <w:rFonts w:cs="Arial"/>
        </w:rPr>
        <w:t>Schedule 4</w:t>
      </w:r>
    </w:p>
    <w:p w14:paraId="2F9AC1BD" w14:textId="77777777" w:rsidR="00DA417B" w:rsidRPr="00E914FB" w:rsidRDefault="00356BCD" w:rsidP="00885509">
      <w:pPr>
        <w:pStyle w:val="Heading1"/>
      </w:pPr>
      <w:bookmarkStart w:id="41" w:name="_Toc383787418"/>
      <w:r w:rsidRPr="00E914FB">
        <w:t>Date of first inclusion in the ARTG</w:t>
      </w:r>
      <w:bookmarkEnd w:id="41"/>
    </w:p>
    <w:p w14:paraId="2F9AC1BF" w14:textId="145D468C" w:rsidR="00DA417B" w:rsidRPr="00E914FB" w:rsidRDefault="006200CD" w:rsidP="00885509">
      <w:pPr>
        <w:spacing w:line="240" w:lineRule="auto"/>
        <w:rPr>
          <w:rFonts w:cs="Arial"/>
        </w:rPr>
      </w:pPr>
      <w:r>
        <w:rPr>
          <w:rFonts w:cs="Arial"/>
        </w:rPr>
        <w:t>10 July 2015</w:t>
      </w:r>
    </w:p>
    <w:p w14:paraId="2F9AC1C0" w14:textId="77777777" w:rsidR="00DA417B" w:rsidRPr="00E914FB" w:rsidRDefault="00356BCD" w:rsidP="00885509">
      <w:pPr>
        <w:pStyle w:val="Heading1"/>
      </w:pPr>
      <w:bookmarkStart w:id="42" w:name="_Toc383787419"/>
      <w:r w:rsidRPr="00E914FB">
        <w:t>Date of most recent amendment</w:t>
      </w:r>
      <w:bookmarkEnd w:id="42"/>
    </w:p>
    <w:p w14:paraId="2F9AC1C3" w14:textId="0E231AAB" w:rsidR="00DA417B" w:rsidRPr="00E914FB" w:rsidRDefault="006200CD" w:rsidP="00885509">
      <w:pPr>
        <w:spacing w:line="240" w:lineRule="auto"/>
        <w:rPr>
          <w:rFonts w:cs="Arial"/>
        </w:rPr>
      </w:pPr>
      <w:r>
        <w:rPr>
          <w:rFonts w:cs="Arial"/>
        </w:rPr>
        <w:t>N/A</w:t>
      </w:r>
      <w:bookmarkStart w:id="43" w:name="_GoBack"/>
      <w:bookmarkEnd w:id="43"/>
    </w:p>
    <w:sectPr w:rsidR="00DA417B" w:rsidRPr="00E914FB">
      <w:headerReference w:type="default" r:id="rId19"/>
      <w:footerReference w:type="default" r:id="rId20"/>
      <w:pgSz w:w="11906" w:h="16838"/>
      <w:pgMar w:top="1440" w:right="1440" w:bottom="1134" w:left="1440"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8BF55" w14:textId="77777777" w:rsidR="00837D40" w:rsidRDefault="00837D40">
      <w:pPr>
        <w:spacing w:after="0" w:line="240" w:lineRule="auto"/>
      </w:pPr>
      <w:r>
        <w:separator/>
      </w:r>
    </w:p>
  </w:endnote>
  <w:endnote w:type="continuationSeparator" w:id="0">
    <w:p w14:paraId="66EBEF4C" w14:textId="77777777" w:rsidR="00837D40" w:rsidRDefault="00837D40">
      <w:pPr>
        <w:spacing w:after="0" w:line="240" w:lineRule="auto"/>
      </w:pPr>
      <w:r>
        <w:continuationSeparator/>
      </w:r>
    </w:p>
  </w:endnote>
  <w:endnote w:type="continuationNotice" w:id="1">
    <w:p w14:paraId="5E8E9C36" w14:textId="77777777" w:rsidR="00837D40" w:rsidRDefault="00837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roman"/>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37D40" w14:paraId="2F9AC252" w14:textId="77777777">
      <w:tc>
        <w:tcPr>
          <w:tcW w:w="3080" w:type="dxa"/>
        </w:tcPr>
        <w:p w14:paraId="2F9AC24E" w14:textId="132563C5" w:rsidR="00837D40" w:rsidRDefault="00837D40">
          <w:pPr>
            <w:pStyle w:val="Footer"/>
            <w:rPr>
              <w:rFonts w:asciiTheme="minorHAnsi" w:hAnsiTheme="minorHAnsi" w:cstheme="minorHAnsi"/>
              <w:sz w:val="18"/>
              <w:szCs w:val="18"/>
            </w:rPr>
          </w:pPr>
          <w:r>
            <w:rPr>
              <w:rFonts w:asciiTheme="minorHAnsi" w:hAnsiTheme="minorHAnsi" w:cstheme="minorHAnsi"/>
              <w:sz w:val="18"/>
              <w:szCs w:val="18"/>
            </w:rPr>
            <w:t>VIEKIRA PAK</w:t>
          </w:r>
        </w:p>
        <w:p w14:paraId="2F9AC24F" w14:textId="5D79E286" w:rsidR="00837D40" w:rsidRDefault="005D10B4" w:rsidP="005D10B4">
          <w:pPr>
            <w:pStyle w:val="Footer"/>
            <w:rPr>
              <w:rFonts w:asciiTheme="minorHAnsi" w:hAnsiTheme="minorHAnsi" w:cstheme="minorHAnsi"/>
              <w:sz w:val="18"/>
              <w:szCs w:val="18"/>
            </w:rPr>
          </w:pPr>
          <w:r>
            <w:rPr>
              <w:rFonts w:asciiTheme="minorHAnsi" w:hAnsiTheme="minorHAnsi" w:cstheme="minorHAnsi"/>
              <w:sz w:val="18"/>
              <w:szCs w:val="18"/>
            </w:rPr>
            <w:t>Version 01</w:t>
          </w:r>
        </w:p>
      </w:tc>
      <w:tc>
        <w:tcPr>
          <w:tcW w:w="3081" w:type="dxa"/>
        </w:tcPr>
        <w:p w14:paraId="2F9AC250" w14:textId="2B8BDB0D" w:rsidR="00837D40" w:rsidRDefault="008D08E8" w:rsidP="0013761A">
          <w:pPr>
            <w:pStyle w:val="Footer"/>
            <w:jc w:val="center"/>
            <w:rPr>
              <w:rFonts w:asciiTheme="minorHAnsi" w:hAnsiTheme="minorHAnsi" w:cstheme="minorHAnsi"/>
              <w:sz w:val="18"/>
              <w:szCs w:val="18"/>
            </w:rPr>
          </w:pPr>
          <w:r>
            <w:rPr>
              <w:rFonts w:asciiTheme="minorHAnsi" w:hAnsiTheme="minorHAnsi" w:cstheme="minorHAnsi"/>
              <w:sz w:val="18"/>
              <w:szCs w:val="18"/>
            </w:rPr>
            <w:t xml:space="preserve">10 July </w:t>
          </w:r>
          <w:r w:rsidR="00837D40">
            <w:rPr>
              <w:rFonts w:asciiTheme="minorHAnsi" w:hAnsiTheme="minorHAnsi" w:cstheme="minorHAnsi"/>
              <w:sz w:val="18"/>
              <w:szCs w:val="18"/>
            </w:rPr>
            <w:t>2015</w:t>
          </w:r>
        </w:p>
      </w:tc>
      <w:tc>
        <w:tcPr>
          <w:tcW w:w="3081" w:type="dxa"/>
        </w:tcPr>
        <w:p w14:paraId="2F9AC251" w14:textId="5B104BD4" w:rsidR="00837D40" w:rsidRDefault="00837D40">
          <w:pPr>
            <w:pStyle w:val="Footer"/>
            <w:jc w:val="right"/>
            <w:rPr>
              <w:rFonts w:asciiTheme="minorHAnsi" w:hAnsiTheme="minorHAnsi" w:cstheme="minorHAnsi"/>
              <w:sz w:val="18"/>
              <w:szCs w:val="18"/>
            </w:rPr>
          </w:pPr>
          <w:r w:rsidRPr="00030FF5">
            <w:rPr>
              <w:rFonts w:cstheme="minorHAnsi"/>
              <w:noProof/>
              <w:sz w:val="18"/>
              <w:szCs w:val="18"/>
            </w:rPr>
            <w:fldChar w:fldCharType="begin"/>
          </w:r>
          <w:r w:rsidRPr="00030FF5">
            <w:rPr>
              <w:rFonts w:cstheme="minorHAnsi"/>
              <w:noProof/>
              <w:sz w:val="18"/>
              <w:szCs w:val="18"/>
            </w:rPr>
            <w:instrText xml:space="preserve"> PAGE   \* MERGEFORMAT </w:instrText>
          </w:r>
          <w:r w:rsidRPr="00030FF5">
            <w:rPr>
              <w:rFonts w:cstheme="minorHAnsi"/>
              <w:noProof/>
              <w:sz w:val="18"/>
              <w:szCs w:val="18"/>
            </w:rPr>
            <w:fldChar w:fldCharType="separate"/>
          </w:r>
          <w:r w:rsidR="008B54FF">
            <w:rPr>
              <w:rFonts w:cstheme="minorHAnsi"/>
              <w:noProof/>
              <w:sz w:val="18"/>
              <w:szCs w:val="18"/>
            </w:rPr>
            <w:t>1</w:t>
          </w:r>
          <w:r w:rsidRPr="00030FF5">
            <w:rPr>
              <w:rFonts w:cstheme="minorHAnsi"/>
              <w:noProof/>
              <w:sz w:val="18"/>
              <w:szCs w:val="18"/>
            </w:rPr>
            <w:fldChar w:fldCharType="end"/>
          </w:r>
          <w:r>
            <w:rPr>
              <w:rFonts w:cstheme="minorHAnsi"/>
              <w:noProof/>
              <w:sz w:val="18"/>
              <w:szCs w:val="18"/>
            </w:rPr>
            <w:t xml:space="preserve"> of 42</w:t>
          </w:r>
        </w:p>
      </w:tc>
    </w:tr>
  </w:tbl>
  <w:p w14:paraId="2F9AC253" w14:textId="77777777" w:rsidR="00837D40" w:rsidRDefault="00837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DEA6" w14:textId="77777777" w:rsidR="00837D40" w:rsidRDefault="00837D40">
      <w:pPr>
        <w:spacing w:after="0" w:line="240" w:lineRule="auto"/>
      </w:pPr>
      <w:r>
        <w:separator/>
      </w:r>
    </w:p>
  </w:footnote>
  <w:footnote w:type="continuationSeparator" w:id="0">
    <w:p w14:paraId="248886E0" w14:textId="77777777" w:rsidR="00837D40" w:rsidRDefault="00837D40">
      <w:pPr>
        <w:spacing w:after="0" w:line="240" w:lineRule="auto"/>
      </w:pPr>
      <w:r>
        <w:continuationSeparator/>
      </w:r>
    </w:p>
  </w:footnote>
  <w:footnote w:type="continuationNotice" w:id="1">
    <w:p w14:paraId="4D810360" w14:textId="77777777" w:rsidR="00837D40" w:rsidRDefault="00837D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shd w:val="clear" w:color="auto" w:fill="E4F2E0"/>
      <w:tblCellMar>
        <w:left w:w="0" w:type="dxa"/>
        <w:right w:w="0" w:type="dxa"/>
      </w:tblCellMar>
      <w:tblLook w:val="04A0" w:firstRow="1" w:lastRow="0" w:firstColumn="1" w:lastColumn="0" w:noHBand="0" w:noVBand="1"/>
    </w:tblPr>
    <w:tblGrid>
      <w:gridCol w:w="8720"/>
    </w:tblGrid>
    <w:tr w:rsidR="008B54FF" w:rsidRPr="00263244" w14:paraId="73EDA614" w14:textId="77777777" w:rsidTr="000A51A2">
      <w:tc>
        <w:tcPr>
          <w:tcW w:w="8720" w:type="dxa"/>
          <w:tcBorders>
            <w:top w:val="single" w:sz="8" w:space="0" w:color="000000"/>
            <w:left w:val="single" w:sz="8" w:space="0" w:color="000000"/>
            <w:bottom w:val="single" w:sz="8" w:space="0" w:color="000000"/>
            <w:right w:val="single" w:sz="8" w:space="0" w:color="000000"/>
          </w:tcBorders>
          <w:shd w:val="clear" w:color="auto" w:fill="E4F2E0"/>
          <w:tcMar>
            <w:top w:w="0" w:type="dxa"/>
            <w:left w:w="108" w:type="dxa"/>
            <w:bottom w:w="0" w:type="dxa"/>
            <w:right w:w="108" w:type="dxa"/>
          </w:tcMar>
          <w:hideMark/>
        </w:tcPr>
        <w:p w14:paraId="12FFA1C4" w14:textId="77777777" w:rsidR="008B54FF" w:rsidRPr="00263244" w:rsidRDefault="008B54FF" w:rsidP="000A51A2">
          <w:pPr>
            <w:spacing w:before="40" w:after="40"/>
            <w:rPr>
              <w:rFonts w:ascii="Cambria" w:hAnsi="Cambria"/>
              <w:b/>
              <w:bCs/>
              <w:sz w:val="18"/>
              <w:szCs w:val="18"/>
            </w:rPr>
          </w:pPr>
          <w:r w:rsidRPr="00263244">
            <w:rPr>
              <w:rFonts w:ascii="Cambria" w:hAnsi="Cambria"/>
              <w:b/>
              <w:bCs/>
              <w:sz w:val="18"/>
              <w:szCs w:val="18"/>
            </w:rPr>
            <w:t xml:space="preserve">Attachment 1: Product information </w:t>
          </w:r>
          <w:proofErr w:type="spellStart"/>
          <w:r w:rsidRPr="00263244">
            <w:rPr>
              <w:rFonts w:ascii="Cambria" w:hAnsi="Cambria"/>
              <w:b/>
              <w:sz w:val="18"/>
              <w:szCs w:val="18"/>
            </w:rPr>
            <w:t>AusPAR</w:t>
          </w:r>
          <w:proofErr w:type="spellEnd"/>
          <w:r w:rsidRPr="00263244">
            <w:rPr>
              <w:rFonts w:ascii="Cambria" w:hAnsi="Cambria"/>
              <w:b/>
              <w:sz w:val="18"/>
              <w:szCs w:val="18"/>
            </w:rPr>
            <w:t xml:space="preserve"> VIEKIRA PAK - </w:t>
          </w:r>
          <w:proofErr w:type="spellStart"/>
          <w:r w:rsidRPr="00263244">
            <w:rPr>
              <w:rFonts w:ascii="Cambria" w:hAnsi="Cambria"/>
              <w:b/>
              <w:sz w:val="18"/>
              <w:szCs w:val="18"/>
            </w:rPr>
            <w:t>Paritaprevir</w:t>
          </w:r>
          <w:proofErr w:type="spellEnd"/>
          <w:r w:rsidRPr="00263244">
            <w:rPr>
              <w:rFonts w:ascii="Cambria" w:hAnsi="Cambria"/>
              <w:b/>
              <w:sz w:val="18"/>
              <w:szCs w:val="18"/>
            </w:rPr>
            <w:t xml:space="preserve"> / Ritonavir / </w:t>
          </w:r>
          <w:proofErr w:type="spellStart"/>
          <w:r w:rsidRPr="00263244">
            <w:rPr>
              <w:rFonts w:ascii="Cambria" w:hAnsi="Cambria"/>
              <w:b/>
              <w:sz w:val="18"/>
              <w:szCs w:val="18"/>
            </w:rPr>
            <w:t>Ombitasvir</w:t>
          </w:r>
          <w:proofErr w:type="spellEnd"/>
          <w:r w:rsidRPr="00263244">
            <w:rPr>
              <w:rFonts w:ascii="Cambria" w:hAnsi="Cambria"/>
              <w:b/>
              <w:sz w:val="18"/>
              <w:szCs w:val="18"/>
            </w:rPr>
            <w:t xml:space="preserve"> and </w:t>
          </w:r>
          <w:proofErr w:type="spellStart"/>
          <w:r w:rsidRPr="00263244">
            <w:rPr>
              <w:rFonts w:ascii="Cambria" w:hAnsi="Cambria"/>
              <w:b/>
              <w:sz w:val="18"/>
              <w:szCs w:val="18"/>
            </w:rPr>
            <w:t>Dasabuvir</w:t>
          </w:r>
          <w:proofErr w:type="spellEnd"/>
          <w:r w:rsidRPr="00263244">
            <w:rPr>
              <w:rFonts w:ascii="Cambria" w:hAnsi="Cambria"/>
              <w:b/>
              <w:sz w:val="18"/>
              <w:szCs w:val="18"/>
            </w:rPr>
            <w:t xml:space="preserve"> (as Sodium Salt) - </w:t>
          </w:r>
          <w:proofErr w:type="spellStart"/>
          <w:r w:rsidRPr="00263244">
            <w:rPr>
              <w:rFonts w:ascii="Cambria" w:hAnsi="Cambria"/>
              <w:b/>
              <w:sz w:val="18"/>
              <w:szCs w:val="18"/>
            </w:rPr>
            <w:t>AbbVie</w:t>
          </w:r>
          <w:proofErr w:type="spellEnd"/>
          <w:r w:rsidRPr="00263244">
            <w:rPr>
              <w:rFonts w:ascii="Cambria" w:hAnsi="Cambria"/>
              <w:b/>
              <w:sz w:val="18"/>
              <w:szCs w:val="18"/>
            </w:rPr>
            <w:t xml:space="preserve"> Pty Ltd - PM-2014-01436-1-2 FINAL 24 March 2017</w:t>
          </w:r>
          <w:r w:rsidRPr="00263244">
            <w:rPr>
              <w:rFonts w:ascii="Cambria" w:hAnsi="Cambria"/>
              <w:b/>
              <w:bCs/>
              <w:sz w:val="18"/>
              <w:szCs w:val="18"/>
            </w:rPr>
            <w:t xml:space="preserve">. This Product Information was approved at the time this </w:t>
          </w:r>
          <w:proofErr w:type="spellStart"/>
          <w:r w:rsidRPr="00263244">
            <w:rPr>
              <w:rFonts w:ascii="Cambria" w:hAnsi="Cambria"/>
              <w:b/>
              <w:bCs/>
              <w:sz w:val="18"/>
              <w:szCs w:val="18"/>
            </w:rPr>
            <w:t>AusPAR</w:t>
          </w:r>
          <w:proofErr w:type="spellEnd"/>
          <w:r w:rsidRPr="00263244">
            <w:rPr>
              <w:rFonts w:ascii="Cambria" w:hAnsi="Cambria"/>
              <w:b/>
              <w:bCs/>
              <w:sz w:val="18"/>
              <w:szCs w:val="18"/>
            </w:rPr>
            <w:t xml:space="preserve"> was published.</w:t>
          </w:r>
        </w:p>
      </w:tc>
    </w:tr>
  </w:tbl>
  <w:p w14:paraId="4C74CE6C" w14:textId="77777777" w:rsidR="005D10B4" w:rsidRDefault="005D1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BC57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3D220BC"/>
    <w:lvl w:ilvl="0">
      <w:start w:val="1"/>
      <w:numFmt w:val="decimal"/>
      <w:pStyle w:val="ListNumber4"/>
      <w:lvlText w:val="%1."/>
      <w:lvlJc w:val="left"/>
      <w:pPr>
        <w:tabs>
          <w:tab w:val="num" w:pos="1440"/>
        </w:tabs>
        <w:ind w:left="1440" w:hanging="360"/>
      </w:pPr>
    </w:lvl>
  </w:abstractNum>
  <w:abstractNum w:abstractNumId="2">
    <w:nsid w:val="FFFFFF80"/>
    <w:multiLevelType w:val="singleLevel"/>
    <w:tmpl w:val="D51045B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1480E68A"/>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8BA24148"/>
    <w:lvl w:ilvl="0">
      <w:start w:val="1"/>
      <w:numFmt w:val="bullet"/>
      <w:lvlText w:val=""/>
      <w:lvlJc w:val="left"/>
      <w:pPr>
        <w:tabs>
          <w:tab w:val="num" w:pos="926"/>
        </w:tabs>
        <w:ind w:left="926" w:hanging="360"/>
      </w:pPr>
      <w:rPr>
        <w:rFonts w:ascii="Symbol" w:hAnsi="Symbol" w:hint="default"/>
      </w:rPr>
    </w:lvl>
  </w:abstractNum>
  <w:abstractNum w:abstractNumId="5">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6">
    <w:nsid w:val="01566958"/>
    <w:multiLevelType w:val="hybridMultilevel"/>
    <w:tmpl w:val="F174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9A2C4E"/>
    <w:multiLevelType w:val="singleLevel"/>
    <w:tmpl w:val="A52E7380"/>
    <w:name w:val="ABLL1"/>
    <w:lvl w:ilvl="0">
      <w:start w:val="1"/>
      <w:numFmt w:val="lowerLetter"/>
      <w:pStyle w:val="ListLetter"/>
      <w:lvlText w:val="%1."/>
      <w:lvlJc w:val="left"/>
      <w:pPr>
        <w:tabs>
          <w:tab w:val="num" w:pos="720"/>
        </w:tabs>
        <w:ind w:left="720" w:hanging="360"/>
      </w:pPr>
      <w:rPr>
        <w:rFonts w:ascii="Times New Roman" w:eastAsia="MS Mincho" w:hAnsi="Times New Roman" w:cs="Times New Roman" w:hint="eastAsia"/>
        <w:b w:val="0"/>
        <w:i w:val="0"/>
        <w:caps w:val="0"/>
        <w:sz w:val="24"/>
        <w:u w:val="none"/>
        <w:vertAlign w:val="baseline"/>
      </w:rPr>
    </w:lvl>
  </w:abstractNum>
  <w:abstractNum w:abstractNumId="8">
    <w:nsid w:val="020E0EA1"/>
    <w:multiLevelType w:val="singleLevel"/>
    <w:tmpl w:val="BFB2C1BC"/>
    <w:name w:val="ABLB3"/>
    <w:lvl w:ilvl="0">
      <w:start w:val="1"/>
      <w:numFmt w:val="bullet"/>
      <w:pStyle w:val="ListBullet3"/>
      <w:lvlText w:val="●"/>
      <w:lvlJc w:val="left"/>
      <w:pPr>
        <w:tabs>
          <w:tab w:val="num" w:pos="1800"/>
        </w:tabs>
        <w:ind w:left="1800" w:hanging="360"/>
      </w:pPr>
      <w:rPr>
        <w:rFonts w:ascii="Times New Roman" w:hAnsi="Times New Roman" w:cs="Times New Roman"/>
        <w:b w:val="0"/>
        <w:i w:val="0"/>
        <w:caps w:val="0"/>
        <w:sz w:val="24"/>
        <w:u w:val="none"/>
        <w:vertAlign w:val="baseline"/>
      </w:rPr>
    </w:lvl>
  </w:abstractNum>
  <w:abstractNum w:abstractNumId="9">
    <w:nsid w:val="02406E5D"/>
    <w:multiLevelType w:val="hybridMultilevel"/>
    <w:tmpl w:val="D3AE5822"/>
    <w:lvl w:ilvl="0" w:tplc="E604B088">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25D4742"/>
    <w:multiLevelType w:val="hybridMultilevel"/>
    <w:tmpl w:val="5A3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F709B9"/>
    <w:multiLevelType w:val="hybridMultilevel"/>
    <w:tmpl w:val="64B84EB4"/>
    <w:lvl w:ilvl="0" w:tplc="0C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69667C0"/>
    <w:multiLevelType w:val="hybridMultilevel"/>
    <w:tmpl w:val="1F76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55009C"/>
    <w:multiLevelType w:val="hybridMultilevel"/>
    <w:tmpl w:val="D0A86C18"/>
    <w:lvl w:ilvl="0" w:tplc="72300A8A">
      <w:start w:val="19"/>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8A970A9"/>
    <w:multiLevelType w:val="singleLevel"/>
    <w:tmpl w:val="460A83CC"/>
    <w:name w:val="ABLB2"/>
    <w:lvl w:ilvl="0">
      <w:start w:val="1"/>
      <w:numFmt w:val="bullet"/>
      <w:pStyle w:val="ListBullet2"/>
      <w:lvlText w:val="○"/>
      <w:lvlJc w:val="left"/>
      <w:pPr>
        <w:tabs>
          <w:tab w:val="num" w:pos="1440"/>
        </w:tabs>
        <w:ind w:left="1440" w:hanging="360"/>
      </w:pPr>
      <w:rPr>
        <w:rFonts w:ascii="Times New Roman" w:hAnsi="Times New Roman" w:cs="Times New Roman"/>
        <w:b w:val="0"/>
        <w:i w:val="0"/>
        <w:caps w:val="0"/>
        <w:sz w:val="24"/>
        <w:u w:val="none"/>
        <w:vertAlign w:val="baseline"/>
      </w:rPr>
    </w:lvl>
  </w:abstractNum>
  <w:abstractNum w:abstractNumId="15">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BC81CB2"/>
    <w:multiLevelType w:val="hybridMultilevel"/>
    <w:tmpl w:val="73727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0F82A22"/>
    <w:multiLevelType w:val="hybridMultilevel"/>
    <w:tmpl w:val="430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CE4F7D"/>
    <w:multiLevelType w:val="hybridMultilevel"/>
    <w:tmpl w:val="530C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176325"/>
    <w:multiLevelType w:val="hybridMultilevel"/>
    <w:tmpl w:val="7FAEDB5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A6594A"/>
    <w:multiLevelType w:val="hybridMultilevel"/>
    <w:tmpl w:val="95D6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4C9267B"/>
    <w:multiLevelType w:val="hybridMultilevel"/>
    <w:tmpl w:val="2304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780D95"/>
    <w:multiLevelType w:val="singleLevel"/>
    <w:tmpl w:val="FCCCA8FC"/>
    <w:name w:val="AB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23">
    <w:nsid w:val="1DB14154"/>
    <w:multiLevelType w:val="hybridMultilevel"/>
    <w:tmpl w:val="12A4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FC16FB8"/>
    <w:multiLevelType w:val="hybridMultilevel"/>
    <w:tmpl w:val="7B803C54"/>
    <w:lvl w:ilvl="0" w:tplc="84BA724C">
      <w:start w:val="1"/>
      <w:numFmt w:val="lowerLetter"/>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062406"/>
    <w:multiLevelType w:val="hybridMultilevel"/>
    <w:tmpl w:val="545E034C"/>
    <w:lvl w:ilvl="0" w:tplc="240C2F16">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22EA216B"/>
    <w:multiLevelType w:val="hybridMultilevel"/>
    <w:tmpl w:val="6B784E78"/>
    <w:lvl w:ilvl="0" w:tplc="307A0CB8">
      <w:start w:val="1"/>
      <w:numFmt w:val="bullet"/>
      <w:lvlText w:val="o"/>
      <w:lvlJc w:val="left"/>
      <w:pPr>
        <w:tabs>
          <w:tab w:val="num" w:pos="360"/>
        </w:tabs>
        <w:ind w:left="360" w:hanging="360"/>
      </w:pPr>
      <w:rPr>
        <w:rFonts w:ascii="Courier New" w:hAnsi="Courier New"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23F82793"/>
    <w:multiLevelType w:val="hybridMultilevel"/>
    <w:tmpl w:val="F3B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FF1643"/>
    <w:multiLevelType w:val="hybridMultilevel"/>
    <w:tmpl w:val="9A1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4895136"/>
    <w:multiLevelType w:val="hybridMultilevel"/>
    <w:tmpl w:val="9DC0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48D752B"/>
    <w:multiLevelType w:val="hybridMultilevel"/>
    <w:tmpl w:val="933E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B01C5D"/>
    <w:multiLevelType w:val="hybridMultilevel"/>
    <w:tmpl w:val="C088A946"/>
    <w:lvl w:ilvl="0" w:tplc="6E3A405E">
      <w:start w:val="1"/>
      <w:numFmt w:val="bullet"/>
      <w:lvlText w:val="•"/>
      <w:lvlJc w:val="left"/>
      <w:pPr>
        <w:tabs>
          <w:tab w:val="num" w:pos="720"/>
        </w:tabs>
        <w:ind w:left="720" w:hanging="360"/>
      </w:pPr>
      <w:rPr>
        <w:rFonts w:ascii="Arial" w:hAnsi="Arial" w:hint="default"/>
      </w:rPr>
    </w:lvl>
    <w:lvl w:ilvl="1" w:tplc="D4429D12" w:tentative="1">
      <w:start w:val="1"/>
      <w:numFmt w:val="bullet"/>
      <w:lvlText w:val="•"/>
      <w:lvlJc w:val="left"/>
      <w:pPr>
        <w:tabs>
          <w:tab w:val="num" w:pos="1440"/>
        </w:tabs>
        <w:ind w:left="1440" w:hanging="360"/>
      </w:pPr>
      <w:rPr>
        <w:rFonts w:ascii="Arial" w:hAnsi="Arial" w:hint="default"/>
      </w:rPr>
    </w:lvl>
    <w:lvl w:ilvl="2" w:tplc="3EE8DC1E" w:tentative="1">
      <w:start w:val="1"/>
      <w:numFmt w:val="bullet"/>
      <w:lvlText w:val="•"/>
      <w:lvlJc w:val="left"/>
      <w:pPr>
        <w:tabs>
          <w:tab w:val="num" w:pos="2160"/>
        </w:tabs>
        <w:ind w:left="2160" w:hanging="360"/>
      </w:pPr>
      <w:rPr>
        <w:rFonts w:ascii="Arial" w:hAnsi="Arial" w:hint="default"/>
      </w:rPr>
    </w:lvl>
    <w:lvl w:ilvl="3" w:tplc="EA4C0B1A" w:tentative="1">
      <w:start w:val="1"/>
      <w:numFmt w:val="bullet"/>
      <w:lvlText w:val="•"/>
      <w:lvlJc w:val="left"/>
      <w:pPr>
        <w:tabs>
          <w:tab w:val="num" w:pos="2880"/>
        </w:tabs>
        <w:ind w:left="2880" w:hanging="360"/>
      </w:pPr>
      <w:rPr>
        <w:rFonts w:ascii="Arial" w:hAnsi="Arial" w:hint="default"/>
      </w:rPr>
    </w:lvl>
    <w:lvl w:ilvl="4" w:tplc="1FDCBDEA" w:tentative="1">
      <w:start w:val="1"/>
      <w:numFmt w:val="bullet"/>
      <w:lvlText w:val="•"/>
      <w:lvlJc w:val="left"/>
      <w:pPr>
        <w:tabs>
          <w:tab w:val="num" w:pos="3600"/>
        </w:tabs>
        <w:ind w:left="3600" w:hanging="360"/>
      </w:pPr>
      <w:rPr>
        <w:rFonts w:ascii="Arial" w:hAnsi="Arial" w:hint="default"/>
      </w:rPr>
    </w:lvl>
    <w:lvl w:ilvl="5" w:tplc="5FD4B604" w:tentative="1">
      <w:start w:val="1"/>
      <w:numFmt w:val="bullet"/>
      <w:lvlText w:val="•"/>
      <w:lvlJc w:val="left"/>
      <w:pPr>
        <w:tabs>
          <w:tab w:val="num" w:pos="4320"/>
        </w:tabs>
        <w:ind w:left="4320" w:hanging="360"/>
      </w:pPr>
      <w:rPr>
        <w:rFonts w:ascii="Arial" w:hAnsi="Arial" w:hint="default"/>
      </w:rPr>
    </w:lvl>
    <w:lvl w:ilvl="6" w:tplc="6A024D12" w:tentative="1">
      <w:start w:val="1"/>
      <w:numFmt w:val="bullet"/>
      <w:lvlText w:val="•"/>
      <w:lvlJc w:val="left"/>
      <w:pPr>
        <w:tabs>
          <w:tab w:val="num" w:pos="5040"/>
        </w:tabs>
        <w:ind w:left="5040" w:hanging="360"/>
      </w:pPr>
      <w:rPr>
        <w:rFonts w:ascii="Arial" w:hAnsi="Arial" w:hint="default"/>
      </w:rPr>
    </w:lvl>
    <w:lvl w:ilvl="7" w:tplc="1226A14E" w:tentative="1">
      <w:start w:val="1"/>
      <w:numFmt w:val="bullet"/>
      <w:lvlText w:val="•"/>
      <w:lvlJc w:val="left"/>
      <w:pPr>
        <w:tabs>
          <w:tab w:val="num" w:pos="5760"/>
        </w:tabs>
        <w:ind w:left="5760" w:hanging="360"/>
      </w:pPr>
      <w:rPr>
        <w:rFonts w:ascii="Arial" w:hAnsi="Arial" w:hint="default"/>
      </w:rPr>
    </w:lvl>
    <w:lvl w:ilvl="8" w:tplc="CA5C9F94" w:tentative="1">
      <w:start w:val="1"/>
      <w:numFmt w:val="bullet"/>
      <w:lvlText w:val="•"/>
      <w:lvlJc w:val="left"/>
      <w:pPr>
        <w:tabs>
          <w:tab w:val="num" w:pos="6480"/>
        </w:tabs>
        <w:ind w:left="6480" w:hanging="360"/>
      </w:pPr>
      <w:rPr>
        <w:rFonts w:ascii="Arial" w:hAnsi="Arial" w:hint="default"/>
      </w:rPr>
    </w:lvl>
  </w:abstractNum>
  <w:abstractNum w:abstractNumId="33">
    <w:nsid w:val="24E17AEB"/>
    <w:multiLevelType w:val="hybridMultilevel"/>
    <w:tmpl w:val="C13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8C7565"/>
    <w:multiLevelType w:val="hybridMultilevel"/>
    <w:tmpl w:val="01B2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7157A89"/>
    <w:multiLevelType w:val="hybridMultilevel"/>
    <w:tmpl w:val="2C60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801782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292642CA"/>
    <w:multiLevelType w:val="hybridMultilevel"/>
    <w:tmpl w:val="0F42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A07376"/>
    <w:multiLevelType w:val="hybridMultilevel"/>
    <w:tmpl w:val="383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A662F3"/>
    <w:multiLevelType w:val="hybridMultilevel"/>
    <w:tmpl w:val="95A461C0"/>
    <w:lvl w:ilvl="0" w:tplc="240C2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BAE7BF1"/>
    <w:multiLevelType w:val="singleLevel"/>
    <w:tmpl w:val="BFF22482"/>
    <w:name w:val="ABAP"/>
    <w:lvl w:ilvl="0">
      <w:start w:val="1"/>
      <w:numFmt w:val="upperLetter"/>
      <w:pStyle w:val="Appendix"/>
      <w:lvlText w:val="Appendix %1."/>
      <w:lvlJc w:val="left"/>
      <w:pPr>
        <w:tabs>
          <w:tab w:val="num" w:pos="1728"/>
        </w:tabs>
        <w:ind w:left="1728" w:hanging="1728"/>
      </w:pPr>
      <w:rPr>
        <w:rFonts w:ascii="Times New Roman" w:hAnsi="Times New Roman" w:cs="Times New Roman"/>
        <w:b/>
        <w:i w:val="0"/>
        <w:caps w:val="0"/>
        <w:sz w:val="24"/>
        <w:u w:val="none"/>
        <w:vertAlign w:val="baseline"/>
      </w:rPr>
    </w:lvl>
  </w:abstractNum>
  <w:abstractNum w:abstractNumId="41">
    <w:nsid w:val="2C1673BB"/>
    <w:multiLevelType w:val="singleLevel"/>
    <w:tmpl w:val="41EC6502"/>
    <w:name w:val="ABLB1"/>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2">
    <w:nsid w:val="2EBC23E9"/>
    <w:multiLevelType w:val="hybridMultilevel"/>
    <w:tmpl w:val="971ED6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30723EF3"/>
    <w:multiLevelType w:val="multilevel"/>
    <w:tmpl w:val="5F8E5B3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4">
    <w:nsid w:val="30B12A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2786611"/>
    <w:multiLevelType w:val="multilevel"/>
    <w:tmpl w:val="EDD82A00"/>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6">
    <w:nsid w:val="331620BF"/>
    <w:multiLevelType w:val="hybridMultilevel"/>
    <w:tmpl w:val="07A6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3C71DEC"/>
    <w:multiLevelType w:val="hybridMultilevel"/>
    <w:tmpl w:val="CA269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nsid w:val="3457223B"/>
    <w:multiLevelType w:val="hybridMultilevel"/>
    <w:tmpl w:val="F2068DEC"/>
    <w:lvl w:ilvl="0" w:tplc="7124F35A">
      <w:start w:val="4"/>
      <w:numFmt w:val="bullet"/>
      <w:lvlText w:val="-"/>
      <w:lvlJc w:val="left"/>
      <w:pPr>
        <w:ind w:left="720" w:hanging="360"/>
      </w:pPr>
      <w:rPr>
        <w:rFonts w:ascii="Times New Roman" w:eastAsia="TimesNew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35CC21DE"/>
    <w:multiLevelType w:val="multilevel"/>
    <w:tmpl w:val="DD22223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0">
    <w:nsid w:val="36BF7729"/>
    <w:multiLevelType w:val="hybridMultilevel"/>
    <w:tmpl w:val="CCA8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87621D"/>
    <w:multiLevelType w:val="hybridMultilevel"/>
    <w:tmpl w:val="CA64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8AF452F"/>
    <w:multiLevelType w:val="hybridMultilevel"/>
    <w:tmpl w:val="C6AEAD86"/>
    <w:lvl w:ilvl="0" w:tplc="240C2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8E031D2"/>
    <w:multiLevelType w:val="hybridMultilevel"/>
    <w:tmpl w:val="FE3E5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220220"/>
    <w:multiLevelType w:val="singleLevel"/>
    <w:tmpl w:val="B59E1D16"/>
    <w:name w:val="ABLL2"/>
    <w:lvl w:ilvl="0">
      <w:start w:val="1"/>
      <w:numFmt w:val="lowerLetter"/>
      <w:pStyle w:val="ListLetter2"/>
      <w:lvlText w:val="%1."/>
      <w:lvlJc w:val="left"/>
      <w:pPr>
        <w:tabs>
          <w:tab w:val="num" w:pos="1440"/>
        </w:tabs>
        <w:ind w:left="1440" w:hanging="360"/>
      </w:pPr>
      <w:rPr>
        <w:rFonts w:ascii="Times New Roman" w:eastAsia="MS Mincho" w:hAnsi="Times New Roman" w:cs="Times New Roman" w:hint="eastAsia"/>
        <w:b w:val="0"/>
        <w:i w:val="0"/>
        <w:caps w:val="0"/>
        <w:sz w:val="24"/>
        <w:u w:val="none"/>
        <w:vertAlign w:val="baseline"/>
      </w:rPr>
    </w:lvl>
  </w:abstractNum>
  <w:abstractNum w:abstractNumId="55">
    <w:nsid w:val="3A3709D8"/>
    <w:multiLevelType w:val="hybridMultilevel"/>
    <w:tmpl w:val="BF663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3BBD0D83"/>
    <w:multiLevelType w:val="hybridMultilevel"/>
    <w:tmpl w:val="FDE6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10B0450"/>
    <w:multiLevelType w:val="singleLevel"/>
    <w:tmpl w:val="17B86FA6"/>
    <w:name w:val="ABRE"/>
    <w:lvl w:ilvl="0">
      <w:start w:val="1"/>
      <w:numFmt w:val="decimal"/>
      <w:pStyle w:val="References"/>
      <w:lvlText w:val="%1."/>
      <w:lvlJc w:val="right"/>
      <w:pPr>
        <w:tabs>
          <w:tab w:val="num" w:pos="648"/>
        </w:tabs>
        <w:ind w:left="648" w:hanging="360"/>
      </w:pPr>
      <w:rPr>
        <w:rFonts w:ascii="Times New Roman" w:hAnsi="Times New Roman" w:cs="Times New Roman"/>
        <w:b w:val="0"/>
        <w:i w:val="0"/>
        <w:caps w:val="0"/>
        <w:sz w:val="24"/>
        <w:u w:val="none"/>
        <w:vertAlign w:val="baseline"/>
      </w:rPr>
    </w:lvl>
  </w:abstractNum>
  <w:abstractNum w:abstractNumId="58">
    <w:nsid w:val="42FD22C2"/>
    <w:multiLevelType w:val="multilevel"/>
    <w:tmpl w:val="3F0409D8"/>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9">
    <w:nsid w:val="45BA20CC"/>
    <w:multiLevelType w:val="multilevel"/>
    <w:tmpl w:val="CAEAEE14"/>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0">
    <w:nsid w:val="48F10360"/>
    <w:multiLevelType w:val="hybridMultilevel"/>
    <w:tmpl w:val="8CCE3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BCB7CE4"/>
    <w:multiLevelType w:val="hybridMultilevel"/>
    <w:tmpl w:val="24A41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nsid w:val="4E6405D1"/>
    <w:multiLevelType w:val="hybridMultilevel"/>
    <w:tmpl w:val="4CCE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16F5CDD"/>
    <w:multiLevelType w:val="hybridMultilevel"/>
    <w:tmpl w:val="B6765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524970C6"/>
    <w:multiLevelType w:val="hybridMultilevel"/>
    <w:tmpl w:val="A9E0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D27EC7"/>
    <w:multiLevelType w:val="multilevel"/>
    <w:tmpl w:val="E5E2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6">
    <w:nsid w:val="583D7421"/>
    <w:multiLevelType w:val="hybridMultilevel"/>
    <w:tmpl w:val="DF68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5B296D7B"/>
    <w:multiLevelType w:val="hybridMultilevel"/>
    <w:tmpl w:val="CA269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8">
    <w:nsid w:val="5BA1040B"/>
    <w:multiLevelType w:val="hybridMultilevel"/>
    <w:tmpl w:val="914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EA249EB"/>
    <w:multiLevelType w:val="hybridMultilevel"/>
    <w:tmpl w:val="120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B947C3"/>
    <w:multiLevelType w:val="hybridMultilevel"/>
    <w:tmpl w:val="7FC42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63BB38D7"/>
    <w:multiLevelType w:val="hybridMultilevel"/>
    <w:tmpl w:val="C4765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3D945E2"/>
    <w:multiLevelType w:val="hybridMultilevel"/>
    <w:tmpl w:val="B342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55779C1"/>
    <w:multiLevelType w:val="hybridMultilevel"/>
    <w:tmpl w:val="D3AE5822"/>
    <w:lvl w:ilvl="0" w:tplc="E604B088">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665F061D"/>
    <w:multiLevelType w:val="hybridMultilevel"/>
    <w:tmpl w:val="8D7E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6727CC9"/>
    <w:multiLevelType w:val="singleLevel"/>
    <w:tmpl w:val="097C5A86"/>
    <w:name w:val="ABLN2"/>
    <w:lvl w:ilvl="0">
      <w:start w:val="1"/>
      <w:numFmt w:val="lowerLetter"/>
      <w:pStyle w:val="ListNumber2"/>
      <w:lvlText w:val="%1."/>
      <w:lvlJc w:val="right"/>
      <w:pPr>
        <w:tabs>
          <w:tab w:val="num" w:pos="1440"/>
        </w:tabs>
        <w:ind w:left="1440" w:hanging="360"/>
      </w:pPr>
      <w:rPr>
        <w:rFonts w:ascii="Times New Roman" w:eastAsia="MS Mincho" w:hAnsi="Times New Roman" w:cs="Times New Roman" w:hint="eastAsia"/>
        <w:b w:val="0"/>
        <w:i w:val="0"/>
        <w:caps w:val="0"/>
        <w:sz w:val="24"/>
        <w:u w:val="none"/>
        <w:vertAlign w:val="baseline"/>
      </w:rPr>
    </w:lvl>
  </w:abstractNum>
  <w:abstractNum w:abstractNumId="76">
    <w:nsid w:val="671F5245"/>
    <w:multiLevelType w:val="multilevel"/>
    <w:tmpl w:val="D8EED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7">
    <w:nsid w:val="6AF16CFA"/>
    <w:multiLevelType w:val="hybridMultilevel"/>
    <w:tmpl w:val="A9E0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nsid w:val="6B34669B"/>
    <w:multiLevelType w:val="hybridMultilevel"/>
    <w:tmpl w:val="7A64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BB30D55"/>
    <w:multiLevelType w:val="hybridMultilevel"/>
    <w:tmpl w:val="5C36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DAC27CD"/>
    <w:multiLevelType w:val="hybridMultilevel"/>
    <w:tmpl w:val="1640D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F543F69"/>
    <w:multiLevelType w:val="hybridMultilevel"/>
    <w:tmpl w:val="C940108C"/>
    <w:lvl w:ilvl="0" w:tplc="A6F6DCFA">
      <w:start w:val="1"/>
      <w:numFmt w:val="bullet"/>
      <w:lvlText w:val="o"/>
      <w:lvlJc w:val="left"/>
      <w:pPr>
        <w:tabs>
          <w:tab w:val="num" w:pos="360"/>
        </w:tabs>
        <w:ind w:left="360" w:hanging="360"/>
      </w:pPr>
      <w:rPr>
        <w:rFonts w:ascii="Courier New" w:hAnsi="Courier New"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0787DD8"/>
    <w:multiLevelType w:val="singleLevel"/>
    <w:tmpl w:val="D1D093F6"/>
    <w:name w:val="ABLN1"/>
    <w:lvl w:ilvl="0">
      <w:start w:val="1"/>
      <w:numFmt w:val="decimal"/>
      <w:pStyle w:val="ListNumber"/>
      <w:lvlText w:val="%1."/>
      <w:lvlJc w:val="right"/>
      <w:pPr>
        <w:tabs>
          <w:tab w:val="num" w:pos="648"/>
        </w:tabs>
        <w:ind w:left="648" w:hanging="360"/>
      </w:pPr>
      <w:rPr>
        <w:rFonts w:ascii="Times New Roman" w:eastAsia="MS Mincho" w:hAnsi="Times New Roman" w:cs="Times New Roman" w:hint="eastAsia"/>
        <w:b w:val="0"/>
        <w:i w:val="0"/>
        <w:caps w:val="0"/>
        <w:sz w:val="24"/>
        <w:u w:val="none"/>
        <w:vertAlign w:val="baseline"/>
      </w:rPr>
    </w:lvl>
  </w:abstractNum>
  <w:abstractNum w:abstractNumId="84">
    <w:nsid w:val="709A0604"/>
    <w:multiLevelType w:val="hybridMultilevel"/>
    <w:tmpl w:val="FCF4D3C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nsid w:val="7237032D"/>
    <w:multiLevelType w:val="hybridMultilevel"/>
    <w:tmpl w:val="A5BE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2DC43A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37B0BE8"/>
    <w:multiLevelType w:val="singleLevel"/>
    <w:tmpl w:val="AA4C9E6C"/>
    <w:name w:val="AB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baseline"/>
      </w:rPr>
    </w:lvl>
  </w:abstractNum>
  <w:abstractNum w:abstractNumId="88">
    <w:nsid w:val="75B02D23"/>
    <w:multiLevelType w:val="multilevel"/>
    <w:tmpl w:val="99BC67D6"/>
    <w:lvl w:ilvl="0">
      <w:start w:val="1"/>
      <w:numFmt w:val="decimal"/>
      <w:lvlText w:val=""/>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9">
    <w:nsid w:val="7A711277"/>
    <w:multiLevelType w:val="multilevel"/>
    <w:tmpl w:val="AA0E75B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7B6351D2"/>
    <w:multiLevelType w:val="singleLevel"/>
    <w:tmpl w:val="A5703126"/>
    <w:name w:val="ABLL3"/>
    <w:lvl w:ilvl="0">
      <w:start w:val="1"/>
      <w:numFmt w:val="lowerLetter"/>
      <w:pStyle w:val="ListLetter3"/>
      <w:lvlText w:val="%1."/>
      <w:lvlJc w:val="left"/>
      <w:pPr>
        <w:tabs>
          <w:tab w:val="num" w:pos="2160"/>
        </w:tabs>
        <w:ind w:left="2160" w:hanging="360"/>
      </w:pPr>
      <w:rPr>
        <w:rFonts w:ascii="Times New Roman" w:eastAsia="MS Mincho" w:hAnsi="Times New Roman" w:cs="Times New Roman" w:hint="eastAsia"/>
        <w:b w:val="0"/>
        <w:i w:val="0"/>
        <w:caps w:val="0"/>
        <w:sz w:val="24"/>
        <w:u w:val="none"/>
        <w:vertAlign w:val="baseline"/>
      </w:rPr>
    </w:lvl>
  </w:abstractNum>
  <w:abstractNum w:abstractNumId="91">
    <w:nsid w:val="7F9B2093"/>
    <w:multiLevelType w:val="singleLevel"/>
    <w:tmpl w:val="C07868B2"/>
    <w:name w:val="ABLN3"/>
    <w:lvl w:ilvl="0">
      <w:start w:val="1"/>
      <w:numFmt w:val="lowerRoman"/>
      <w:pStyle w:val="ListNumber3"/>
      <w:lvlText w:val="%1."/>
      <w:lvlJc w:val="right"/>
      <w:pPr>
        <w:tabs>
          <w:tab w:val="num" w:pos="2160"/>
        </w:tabs>
        <w:ind w:left="2160" w:hanging="180"/>
      </w:pPr>
      <w:rPr>
        <w:rFonts w:ascii="Times New Roman" w:eastAsia="MS Mincho" w:hAnsi="Times New Roman" w:cs="Times New Roman" w:hint="eastAsia"/>
        <w:b w:val="0"/>
        <w:i w:val="0"/>
        <w:caps w:val="0"/>
        <w:sz w:val="24"/>
        <w:u w:val="none"/>
        <w:vertAlign w:val="baseline"/>
      </w:rPr>
    </w:lvl>
  </w:abstractNum>
  <w:num w:numId="1">
    <w:abstractNumId w:val="60"/>
  </w:num>
  <w:num w:numId="2">
    <w:abstractNumId w:val="85"/>
  </w:num>
  <w:num w:numId="3">
    <w:abstractNumId w:val="61"/>
  </w:num>
  <w:num w:numId="4">
    <w:abstractNumId w:val="9"/>
  </w:num>
  <w:num w:numId="5">
    <w:abstractNumId w:val="5"/>
  </w:num>
  <w:num w:numId="6">
    <w:abstractNumId w:val="70"/>
  </w:num>
  <w:num w:numId="7">
    <w:abstractNumId w:val="66"/>
  </w:num>
  <w:num w:numId="8">
    <w:abstractNumId w:val="72"/>
  </w:num>
  <w:num w:numId="9">
    <w:abstractNumId w:val="59"/>
  </w:num>
  <w:num w:numId="10">
    <w:abstractNumId w:val="84"/>
  </w:num>
  <w:num w:numId="11">
    <w:abstractNumId w:val="45"/>
  </w:num>
  <w:num w:numId="12">
    <w:abstractNumId w:val="65"/>
  </w:num>
  <w:num w:numId="13">
    <w:abstractNumId w:val="88"/>
  </w:num>
  <w:num w:numId="14">
    <w:abstractNumId w:val="50"/>
  </w:num>
  <w:num w:numId="15">
    <w:abstractNumId w:val="63"/>
  </w:num>
  <w:num w:numId="16">
    <w:abstractNumId w:val="83"/>
  </w:num>
  <w:num w:numId="17">
    <w:abstractNumId w:val="14"/>
  </w:num>
  <w:num w:numId="18">
    <w:abstractNumId w:val="8"/>
  </w:num>
  <w:num w:numId="19">
    <w:abstractNumId w:val="75"/>
  </w:num>
  <w:num w:numId="20">
    <w:abstractNumId w:val="91"/>
  </w:num>
  <w:num w:numId="21">
    <w:abstractNumId w:val="7"/>
  </w:num>
  <w:num w:numId="22">
    <w:abstractNumId w:val="54"/>
  </w:num>
  <w:num w:numId="23">
    <w:abstractNumId w:val="90"/>
  </w:num>
  <w:num w:numId="24">
    <w:abstractNumId w:val="40"/>
  </w:num>
  <w:num w:numId="25">
    <w:abstractNumId w:val="57"/>
  </w:num>
  <w:num w:numId="26">
    <w:abstractNumId w:val="22"/>
  </w:num>
  <w:num w:numId="27">
    <w:abstractNumId w:val="87"/>
  </w:num>
  <w:num w:numId="28">
    <w:abstractNumId w:val="3"/>
  </w:num>
  <w:num w:numId="29">
    <w:abstractNumId w:val="2"/>
  </w:num>
  <w:num w:numId="30">
    <w:abstractNumId w:val="1"/>
  </w:num>
  <w:num w:numId="31">
    <w:abstractNumId w:val="0"/>
  </w:num>
  <w:num w:numId="32">
    <w:abstractNumId w:val="36"/>
  </w:num>
  <w:num w:numId="33">
    <w:abstractNumId w:val="44"/>
  </w:num>
  <w:num w:numId="34">
    <w:abstractNumId w:val="86"/>
  </w:num>
  <w:num w:numId="35">
    <w:abstractNumId w:val="77"/>
  </w:num>
  <w:num w:numId="36">
    <w:abstractNumId w:val="49"/>
  </w:num>
  <w:num w:numId="37">
    <w:abstractNumId w:val="43"/>
  </w:num>
  <w:num w:numId="38">
    <w:abstractNumId w:val="18"/>
  </w:num>
  <w:num w:numId="39">
    <w:abstractNumId w:val="13"/>
  </w:num>
  <w:num w:numId="40">
    <w:abstractNumId w:val="73"/>
  </w:num>
  <w:num w:numId="41">
    <w:abstractNumId w:val="6"/>
  </w:num>
  <w:num w:numId="42">
    <w:abstractNumId w:val="46"/>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0"/>
  </w:num>
  <w:num w:numId="46">
    <w:abstractNumId w:val="15"/>
  </w:num>
  <w:num w:numId="47">
    <w:abstractNumId w:val="82"/>
  </w:num>
  <w:num w:numId="48">
    <w:abstractNumId w:val="41"/>
  </w:num>
  <w:num w:numId="49">
    <w:abstractNumId w:val="89"/>
  </w:num>
  <w:num w:numId="50">
    <w:abstractNumId w:val="53"/>
  </w:num>
  <w:num w:numId="51">
    <w:abstractNumId w:val="51"/>
  </w:num>
  <w:num w:numId="52">
    <w:abstractNumId w:val="80"/>
  </w:num>
  <w:num w:numId="53">
    <w:abstractNumId w:val="31"/>
  </w:num>
  <w:num w:numId="54">
    <w:abstractNumId w:val="42"/>
  </w:num>
  <w:num w:numId="55">
    <w:abstractNumId w:val="17"/>
  </w:num>
  <w:num w:numId="56">
    <w:abstractNumId w:val="69"/>
  </w:num>
  <w:num w:numId="57">
    <w:abstractNumId w:val="21"/>
  </w:num>
  <w:num w:numId="58">
    <w:abstractNumId w:val="28"/>
  </w:num>
  <w:num w:numId="59">
    <w:abstractNumId w:val="32"/>
  </w:num>
  <w:num w:numId="60">
    <w:abstractNumId w:val="24"/>
  </w:num>
  <w:num w:numId="61">
    <w:abstractNumId w:val="33"/>
  </w:num>
  <w:num w:numId="62">
    <w:abstractNumId w:val="39"/>
  </w:num>
  <w:num w:numId="63">
    <w:abstractNumId w:val="52"/>
  </w:num>
  <w:num w:numId="64">
    <w:abstractNumId w:val="16"/>
  </w:num>
  <w:num w:numId="65">
    <w:abstractNumId w:val="34"/>
  </w:num>
  <w:num w:numId="66">
    <w:abstractNumId w:val="74"/>
  </w:num>
  <w:num w:numId="67">
    <w:abstractNumId w:val="12"/>
  </w:num>
  <w:num w:numId="68">
    <w:abstractNumId w:val="62"/>
  </w:num>
  <w:num w:numId="69">
    <w:abstractNumId w:val="20"/>
  </w:num>
  <w:num w:numId="70">
    <w:abstractNumId w:val="35"/>
  </w:num>
  <w:num w:numId="71">
    <w:abstractNumId w:val="10"/>
  </w:num>
  <w:num w:numId="72">
    <w:abstractNumId w:val="23"/>
  </w:num>
  <w:num w:numId="73">
    <w:abstractNumId w:val="68"/>
  </w:num>
  <w:num w:numId="74">
    <w:abstractNumId w:val="78"/>
  </w:num>
  <w:num w:numId="75">
    <w:abstractNumId w:val="58"/>
  </w:num>
  <w:num w:numId="76">
    <w:abstractNumId w:val="27"/>
  </w:num>
  <w:num w:numId="77">
    <w:abstractNumId w:val="76"/>
  </w:num>
  <w:num w:numId="78">
    <w:abstractNumId w:val="79"/>
  </w:num>
  <w:num w:numId="79">
    <w:abstractNumId w:val="71"/>
  </w:num>
  <w:num w:numId="80">
    <w:abstractNumId w:val="25"/>
  </w:num>
  <w:num w:numId="81">
    <w:abstractNumId w:val="48"/>
  </w:num>
  <w:num w:numId="82">
    <w:abstractNumId w:val="4"/>
  </w:num>
  <w:num w:numId="83">
    <w:abstractNumId w:val="38"/>
  </w:num>
  <w:num w:numId="84">
    <w:abstractNumId w:val="37"/>
  </w:num>
  <w:num w:numId="85">
    <w:abstractNumId w:val="64"/>
  </w:num>
  <w:num w:numId="86">
    <w:abstractNumId w:val="19"/>
  </w:num>
  <w:num w:numId="87">
    <w:abstractNumId w:val="11"/>
  </w:num>
  <w:num w:numId="88">
    <w:abstractNumId w:val="26"/>
  </w:num>
  <w:num w:numId="89">
    <w:abstractNumId w:val="81"/>
  </w:num>
  <w:num w:numId="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num>
  <w:num w:numId="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7B"/>
    <w:rsid w:val="00011FAE"/>
    <w:rsid w:val="000137DE"/>
    <w:rsid w:val="000217F9"/>
    <w:rsid w:val="00030FF5"/>
    <w:rsid w:val="000410B2"/>
    <w:rsid w:val="00046BFF"/>
    <w:rsid w:val="000532DA"/>
    <w:rsid w:val="00060B57"/>
    <w:rsid w:val="00061188"/>
    <w:rsid w:val="00064267"/>
    <w:rsid w:val="000C730F"/>
    <w:rsid w:val="000D1D28"/>
    <w:rsid w:val="000D4637"/>
    <w:rsid w:val="000D473D"/>
    <w:rsid w:val="000E22D4"/>
    <w:rsid w:val="000E52CD"/>
    <w:rsid w:val="000F2CCB"/>
    <w:rsid w:val="000F4CF2"/>
    <w:rsid w:val="00100553"/>
    <w:rsid w:val="00111D23"/>
    <w:rsid w:val="00114BCC"/>
    <w:rsid w:val="00121436"/>
    <w:rsid w:val="00121A33"/>
    <w:rsid w:val="00133567"/>
    <w:rsid w:val="00136D06"/>
    <w:rsid w:val="00137124"/>
    <w:rsid w:val="0013761A"/>
    <w:rsid w:val="00137AC2"/>
    <w:rsid w:val="00145D3A"/>
    <w:rsid w:val="001726F4"/>
    <w:rsid w:val="00187E4D"/>
    <w:rsid w:val="00192D88"/>
    <w:rsid w:val="001960FC"/>
    <w:rsid w:val="001B1225"/>
    <w:rsid w:val="001B2FA3"/>
    <w:rsid w:val="001B5E15"/>
    <w:rsid w:val="001B6991"/>
    <w:rsid w:val="001C2EA1"/>
    <w:rsid w:val="001D1242"/>
    <w:rsid w:val="001E19AA"/>
    <w:rsid w:val="001E4F0C"/>
    <w:rsid w:val="001F0C8A"/>
    <w:rsid w:val="001F10ED"/>
    <w:rsid w:val="00207867"/>
    <w:rsid w:val="00207B69"/>
    <w:rsid w:val="002115AC"/>
    <w:rsid w:val="00211D2D"/>
    <w:rsid w:val="00222E29"/>
    <w:rsid w:val="002312D2"/>
    <w:rsid w:val="002429E5"/>
    <w:rsid w:val="00250064"/>
    <w:rsid w:val="0026770B"/>
    <w:rsid w:val="002710AC"/>
    <w:rsid w:val="00273408"/>
    <w:rsid w:val="00275A84"/>
    <w:rsid w:val="00282066"/>
    <w:rsid w:val="002C756C"/>
    <w:rsid w:val="002D5035"/>
    <w:rsid w:val="002E4DD1"/>
    <w:rsid w:val="002E5210"/>
    <w:rsid w:val="002E70CC"/>
    <w:rsid w:val="002F22D4"/>
    <w:rsid w:val="002F6A47"/>
    <w:rsid w:val="002F7F8F"/>
    <w:rsid w:val="00304FB0"/>
    <w:rsid w:val="00307C05"/>
    <w:rsid w:val="003148D2"/>
    <w:rsid w:val="0032479B"/>
    <w:rsid w:val="00332629"/>
    <w:rsid w:val="00332D7B"/>
    <w:rsid w:val="00337D74"/>
    <w:rsid w:val="00347894"/>
    <w:rsid w:val="00356BCD"/>
    <w:rsid w:val="00363010"/>
    <w:rsid w:val="003A2BCE"/>
    <w:rsid w:val="003A76CB"/>
    <w:rsid w:val="003B15CB"/>
    <w:rsid w:val="003B1B06"/>
    <w:rsid w:val="003C3B0F"/>
    <w:rsid w:val="003C42DA"/>
    <w:rsid w:val="003D0EEC"/>
    <w:rsid w:val="003D3ED1"/>
    <w:rsid w:val="003D4AF2"/>
    <w:rsid w:val="003E2010"/>
    <w:rsid w:val="00403B1A"/>
    <w:rsid w:val="00403BA4"/>
    <w:rsid w:val="004040C6"/>
    <w:rsid w:val="00414DA8"/>
    <w:rsid w:val="00422F85"/>
    <w:rsid w:val="00424F5B"/>
    <w:rsid w:val="0042520A"/>
    <w:rsid w:val="00446896"/>
    <w:rsid w:val="004504AA"/>
    <w:rsid w:val="00457D69"/>
    <w:rsid w:val="00476ECA"/>
    <w:rsid w:val="00476FDD"/>
    <w:rsid w:val="004A5402"/>
    <w:rsid w:val="004B65C5"/>
    <w:rsid w:val="004C1B0A"/>
    <w:rsid w:val="004C22A7"/>
    <w:rsid w:val="004C50E7"/>
    <w:rsid w:val="004C71CD"/>
    <w:rsid w:val="004D2A4B"/>
    <w:rsid w:val="004D3A2C"/>
    <w:rsid w:val="004E7BBE"/>
    <w:rsid w:val="004F043E"/>
    <w:rsid w:val="00504860"/>
    <w:rsid w:val="00504ECC"/>
    <w:rsid w:val="00507DF3"/>
    <w:rsid w:val="00531E24"/>
    <w:rsid w:val="00532153"/>
    <w:rsid w:val="00537F7F"/>
    <w:rsid w:val="0054317A"/>
    <w:rsid w:val="00562824"/>
    <w:rsid w:val="00563640"/>
    <w:rsid w:val="0057222F"/>
    <w:rsid w:val="00574760"/>
    <w:rsid w:val="00582204"/>
    <w:rsid w:val="0058547E"/>
    <w:rsid w:val="005900D6"/>
    <w:rsid w:val="005963E1"/>
    <w:rsid w:val="005B2011"/>
    <w:rsid w:val="005D10B4"/>
    <w:rsid w:val="005D28EE"/>
    <w:rsid w:val="005F1D39"/>
    <w:rsid w:val="005F234C"/>
    <w:rsid w:val="005F2E75"/>
    <w:rsid w:val="006014CE"/>
    <w:rsid w:val="006159F3"/>
    <w:rsid w:val="00616B95"/>
    <w:rsid w:val="006200CD"/>
    <w:rsid w:val="006248EB"/>
    <w:rsid w:val="006260EF"/>
    <w:rsid w:val="00627307"/>
    <w:rsid w:val="006747B1"/>
    <w:rsid w:val="006847A0"/>
    <w:rsid w:val="006858E4"/>
    <w:rsid w:val="0069418E"/>
    <w:rsid w:val="006A1C0F"/>
    <w:rsid w:val="006A46EB"/>
    <w:rsid w:val="006A53B2"/>
    <w:rsid w:val="006B33C1"/>
    <w:rsid w:val="006B4D1E"/>
    <w:rsid w:val="006B6056"/>
    <w:rsid w:val="006C48CE"/>
    <w:rsid w:val="006C6E33"/>
    <w:rsid w:val="006D1C56"/>
    <w:rsid w:val="006E0367"/>
    <w:rsid w:val="006F165C"/>
    <w:rsid w:val="006F32A7"/>
    <w:rsid w:val="006F3A3A"/>
    <w:rsid w:val="0071060B"/>
    <w:rsid w:val="0071084C"/>
    <w:rsid w:val="00714993"/>
    <w:rsid w:val="0073256F"/>
    <w:rsid w:val="00737043"/>
    <w:rsid w:val="007467F9"/>
    <w:rsid w:val="0075457D"/>
    <w:rsid w:val="00775DC4"/>
    <w:rsid w:val="00780D27"/>
    <w:rsid w:val="00786CF8"/>
    <w:rsid w:val="007A13AC"/>
    <w:rsid w:val="007B169A"/>
    <w:rsid w:val="007B5311"/>
    <w:rsid w:val="007D470C"/>
    <w:rsid w:val="007D7042"/>
    <w:rsid w:val="00801630"/>
    <w:rsid w:val="00802471"/>
    <w:rsid w:val="00810B5B"/>
    <w:rsid w:val="00823129"/>
    <w:rsid w:val="00826AE6"/>
    <w:rsid w:val="00832337"/>
    <w:rsid w:val="00836833"/>
    <w:rsid w:val="00837D40"/>
    <w:rsid w:val="00840FF8"/>
    <w:rsid w:val="00841ECB"/>
    <w:rsid w:val="008649A8"/>
    <w:rsid w:val="00871740"/>
    <w:rsid w:val="00871F1B"/>
    <w:rsid w:val="00885509"/>
    <w:rsid w:val="00890582"/>
    <w:rsid w:val="00891927"/>
    <w:rsid w:val="0089328F"/>
    <w:rsid w:val="008B54FF"/>
    <w:rsid w:val="008C08C3"/>
    <w:rsid w:val="008C7E9E"/>
    <w:rsid w:val="008D08E8"/>
    <w:rsid w:val="008E56D1"/>
    <w:rsid w:val="008E764C"/>
    <w:rsid w:val="00917052"/>
    <w:rsid w:val="00917DE4"/>
    <w:rsid w:val="00921D8D"/>
    <w:rsid w:val="00932AED"/>
    <w:rsid w:val="00934488"/>
    <w:rsid w:val="009354A4"/>
    <w:rsid w:val="0094175E"/>
    <w:rsid w:val="009451D1"/>
    <w:rsid w:val="00955993"/>
    <w:rsid w:val="00956B07"/>
    <w:rsid w:val="00960892"/>
    <w:rsid w:val="009609DB"/>
    <w:rsid w:val="00977F9E"/>
    <w:rsid w:val="00980464"/>
    <w:rsid w:val="00980D03"/>
    <w:rsid w:val="00987672"/>
    <w:rsid w:val="009974D2"/>
    <w:rsid w:val="009A2B73"/>
    <w:rsid w:val="009A2F23"/>
    <w:rsid w:val="009A34D9"/>
    <w:rsid w:val="009A5FEF"/>
    <w:rsid w:val="009A62C1"/>
    <w:rsid w:val="009B75A1"/>
    <w:rsid w:val="009C185A"/>
    <w:rsid w:val="009C59D4"/>
    <w:rsid w:val="009C7C4C"/>
    <w:rsid w:val="009D2C75"/>
    <w:rsid w:val="009D5EF0"/>
    <w:rsid w:val="009E66A2"/>
    <w:rsid w:val="009F38B3"/>
    <w:rsid w:val="00A102DA"/>
    <w:rsid w:val="00A178EB"/>
    <w:rsid w:val="00A27A53"/>
    <w:rsid w:val="00A35743"/>
    <w:rsid w:val="00A45431"/>
    <w:rsid w:val="00A605E1"/>
    <w:rsid w:val="00A6076A"/>
    <w:rsid w:val="00A60A74"/>
    <w:rsid w:val="00A7022D"/>
    <w:rsid w:val="00A73FDD"/>
    <w:rsid w:val="00A74A3E"/>
    <w:rsid w:val="00A802B5"/>
    <w:rsid w:val="00A93FC6"/>
    <w:rsid w:val="00A94378"/>
    <w:rsid w:val="00AA67F0"/>
    <w:rsid w:val="00AB3C18"/>
    <w:rsid w:val="00AC2397"/>
    <w:rsid w:val="00AC7890"/>
    <w:rsid w:val="00AD3F40"/>
    <w:rsid w:val="00AE1E4A"/>
    <w:rsid w:val="00AE266B"/>
    <w:rsid w:val="00AE45A9"/>
    <w:rsid w:val="00AE6275"/>
    <w:rsid w:val="00AF014F"/>
    <w:rsid w:val="00AF6317"/>
    <w:rsid w:val="00B0322F"/>
    <w:rsid w:val="00B039C5"/>
    <w:rsid w:val="00B03B83"/>
    <w:rsid w:val="00B05056"/>
    <w:rsid w:val="00B203CB"/>
    <w:rsid w:val="00B21A06"/>
    <w:rsid w:val="00B27518"/>
    <w:rsid w:val="00B33618"/>
    <w:rsid w:val="00B352E3"/>
    <w:rsid w:val="00B36617"/>
    <w:rsid w:val="00B40B9C"/>
    <w:rsid w:val="00B60A6C"/>
    <w:rsid w:val="00B65E63"/>
    <w:rsid w:val="00B66BA6"/>
    <w:rsid w:val="00B96A78"/>
    <w:rsid w:val="00BB2391"/>
    <w:rsid w:val="00BC7B8B"/>
    <w:rsid w:val="00BC7D74"/>
    <w:rsid w:val="00BD0519"/>
    <w:rsid w:val="00BD43B5"/>
    <w:rsid w:val="00BE17EA"/>
    <w:rsid w:val="00BF7DE1"/>
    <w:rsid w:val="00C07391"/>
    <w:rsid w:val="00C13DCE"/>
    <w:rsid w:val="00C22629"/>
    <w:rsid w:val="00C24FEE"/>
    <w:rsid w:val="00C33C0A"/>
    <w:rsid w:val="00C36213"/>
    <w:rsid w:val="00C52126"/>
    <w:rsid w:val="00C537DA"/>
    <w:rsid w:val="00C563EF"/>
    <w:rsid w:val="00C57900"/>
    <w:rsid w:val="00C762D4"/>
    <w:rsid w:val="00C87E6F"/>
    <w:rsid w:val="00CA1359"/>
    <w:rsid w:val="00CA2C0D"/>
    <w:rsid w:val="00CA322A"/>
    <w:rsid w:val="00CA388B"/>
    <w:rsid w:val="00CC2E40"/>
    <w:rsid w:val="00CC32CC"/>
    <w:rsid w:val="00CC431E"/>
    <w:rsid w:val="00CD0524"/>
    <w:rsid w:val="00CD1D56"/>
    <w:rsid w:val="00CD38E8"/>
    <w:rsid w:val="00CE020A"/>
    <w:rsid w:val="00CF5464"/>
    <w:rsid w:val="00D00005"/>
    <w:rsid w:val="00D14CBE"/>
    <w:rsid w:val="00D23AAE"/>
    <w:rsid w:val="00D25401"/>
    <w:rsid w:val="00D26E79"/>
    <w:rsid w:val="00D31339"/>
    <w:rsid w:val="00D3220C"/>
    <w:rsid w:val="00D35311"/>
    <w:rsid w:val="00D50436"/>
    <w:rsid w:val="00D550DC"/>
    <w:rsid w:val="00D63965"/>
    <w:rsid w:val="00D6488D"/>
    <w:rsid w:val="00D66A3D"/>
    <w:rsid w:val="00D67CC9"/>
    <w:rsid w:val="00D70B20"/>
    <w:rsid w:val="00D76401"/>
    <w:rsid w:val="00D77DFD"/>
    <w:rsid w:val="00D80C24"/>
    <w:rsid w:val="00D83AA6"/>
    <w:rsid w:val="00D9317F"/>
    <w:rsid w:val="00D945FA"/>
    <w:rsid w:val="00D94B2C"/>
    <w:rsid w:val="00DA417B"/>
    <w:rsid w:val="00DB49B6"/>
    <w:rsid w:val="00DC7C25"/>
    <w:rsid w:val="00DD1D5F"/>
    <w:rsid w:val="00DE20A7"/>
    <w:rsid w:val="00DE71D4"/>
    <w:rsid w:val="00DF06AA"/>
    <w:rsid w:val="00E005B3"/>
    <w:rsid w:val="00E20C71"/>
    <w:rsid w:val="00E33767"/>
    <w:rsid w:val="00E4492D"/>
    <w:rsid w:val="00E44E21"/>
    <w:rsid w:val="00E44FE1"/>
    <w:rsid w:val="00E45BAC"/>
    <w:rsid w:val="00E55B11"/>
    <w:rsid w:val="00E650BE"/>
    <w:rsid w:val="00E662FB"/>
    <w:rsid w:val="00E809B9"/>
    <w:rsid w:val="00E914FB"/>
    <w:rsid w:val="00E939C0"/>
    <w:rsid w:val="00E94F6E"/>
    <w:rsid w:val="00E954C4"/>
    <w:rsid w:val="00E9715C"/>
    <w:rsid w:val="00EA3D54"/>
    <w:rsid w:val="00EA7618"/>
    <w:rsid w:val="00EB0FF0"/>
    <w:rsid w:val="00EB3388"/>
    <w:rsid w:val="00EB7000"/>
    <w:rsid w:val="00EC3CFA"/>
    <w:rsid w:val="00EC48AB"/>
    <w:rsid w:val="00EC6F5C"/>
    <w:rsid w:val="00EE5A93"/>
    <w:rsid w:val="00F02AA4"/>
    <w:rsid w:val="00F1289D"/>
    <w:rsid w:val="00F14992"/>
    <w:rsid w:val="00F30BF7"/>
    <w:rsid w:val="00F315D6"/>
    <w:rsid w:val="00F43247"/>
    <w:rsid w:val="00F43BF0"/>
    <w:rsid w:val="00F45463"/>
    <w:rsid w:val="00F55CA5"/>
    <w:rsid w:val="00F5616E"/>
    <w:rsid w:val="00F61105"/>
    <w:rsid w:val="00F625CC"/>
    <w:rsid w:val="00F65879"/>
    <w:rsid w:val="00F722BA"/>
    <w:rsid w:val="00F727DE"/>
    <w:rsid w:val="00F77927"/>
    <w:rsid w:val="00F95FAC"/>
    <w:rsid w:val="00F97344"/>
    <w:rsid w:val="00FA014F"/>
    <w:rsid w:val="00FA1B4E"/>
    <w:rsid w:val="00FB087B"/>
    <w:rsid w:val="00FB3EFD"/>
    <w:rsid w:val="00FC4F7B"/>
    <w:rsid w:val="00FD4AE1"/>
    <w:rsid w:val="00FE067E"/>
    <w:rsid w:val="00FE0DA1"/>
    <w:rsid w:val="00FE1CEC"/>
    <w:rsid w:val="00FE4E0F"/>
    <w:rsid w:val="00FE58FE"/>
    <w:rsid w:val="00FF0982"/>
    <w:rsid w:val="00FF7649"/>
    <w:rsid w:val="00FF7A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9A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60" w:line="240" w:lineRule="auto"/>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D4AE1"/>
    <w:pPr>
      <w:keepNext/>
      <w:tabs>
        <w:tab w:val="left" w:pos="567"/>
        <w:tab w:val="num" w:pos="1440"/>
      </w:tabs>
      <w:spacing w:before="240" w:after="60" w:line="240" w:lineRule="auto"/>
      <w:ind w:left="720" w:hanging="432"/>
      <w:outlineLvl w:val="2"/>
    </w:pPr>
    <w:rPr>
      <w:rFonts w:ascii="Arial" w:eastAsia="Times New Roman" w:hAnsi="Arial" w:cs="Arial"/>
      <w:b/>
      <w:bCs/>
      <w:sz w:val="26"/>
      <w:szCs w:val="26"/>
      <w:lang w:val="en-GB"/>
    </w:rPr>
  </w:style>
  <w:style w:type="paragraph" w:styleId="Heading4">
    <w:name w:val="heading 4"/>
    <w:basedOn w:val="Normal"/>
    <w:link w:val="Heading4Char"/>
    <w:qFormat/>
    <w:rsid w:val="00FD4AE1"/>
    <w:pPr>
      <w:tabs>
        <w:tab w:val="num" w:pos="1440"/>
      </w:tabs>
      <w:spacing w:before="100" w:beforeAutospacing="1" w:after="100" w:afterAutospacing="1" w:line="240" w:lineRule="auto"/>
      <w:ind w:left="864" w:hanging="144"/>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rsid w:val="00FD4AE1"/>
    <w:pPr>
      <w:tabs>
        <w:tab w:val="num" w:pos="1800"/>
      </w:tabs>
      <w:spacing w:before="240" w:beforeAutospacing="1" w:after="60" w:afterAutospacing="1" w:line="240" w:lineRule="auto"/>
      <w:ind w:left="1008" w:hanging="432"/>
      <w:outlineLvl w:val="4"/>
    </w:pPr>
    <w:rPr>
      <w:rFonts w:ascii="Times New Roman" w:eastAsia="Times New Roman" w:hAnsi="Times New Roman" w:cs="Times New Roman"/>
      <w:b/>
      <w:bCs/>
      <w:i/>
      <w:iCs/>
      <w:sz w:val="26"/>
      <w:szCs w:val="26"/>
      <w:lang w:val="en-US"/>
    </w:rPr>
  </w:style>
  <w:style w:type="paragraph" w:styleId="Heading6">
    <w:name w:val="heading 6"/>
    <w:next w:val="Paragraph"/>
    <w:link w:val="Heading6Char"/>
    <w:qFormat/>
    <w:rsid w:val="00FD4AE1"/>
    <w:pPr>
      <w:keepNext/>
      <w:keepLines/>
      <w:tabs>
        <w:tab w:val="num" w:pos="2160"/>
      </w:tabs>
      <w:spacing w:before="120" w:after="240" w:line="240" w:lineRule="auto"/>
      <w:ind w:left="1152" w:hanging="432"/>
      <w:outlineLvl w:val="5"/>
    </w:pPr>
    <w:rPr>
      <w:rFonts w:ascii="Arial" w:eastAsia="MS Gothic" w:hAnsi="Arial" w:cs="Arial"/>
      <w:b/>
      <w:bCs/>
      <w:szCs w:val="24"/>
      <w:lang w:val="en-US" w:eastAsia="ja-JP"/>
    </w:rPr>
  </w:style>
  <w:style w:type="paragraph" w:styleId="Heading7">
    <w:name w:val="heading 7"/>
    <w:basedOn w:val="Normal"/>
    <w:next w:val="Normal"/>
    <w:link w:val="Heading7Char"/>
    <w:qFormat/>
    <w:rsid w:val="00FD4AE1"/>
    <w:pPr>
      <w:tabs>
        <w:tab w:val="num" w:pos="2520"/>
      </w:tabs>
      <w:spacing w:before="240" w:after="60" w:line="240" w:lineRule="auto"/>
      <w:ind w:left="1296" w:hanging="288"/>
      <w:outlineLvl w:val="6"/>
    </w:pPr>
    <w:rPr>
      <w:rFonts w:ascii="Times New Roman" w:eastAsia="Times New Roman" w:hAnsi="Times New Roman" w:cs="Times New Roman"/>
      <w:sz w:val="24"/>
      <w:szCs w:val="24"/>
      <w:lang w:val="en-GB"/>
    </w:rPr>
  </w:style>
  <w:style w:type="paragraph" w:styleId="Heading8">
    <w:name w:val="heading 8"/>
    <w:next w:val="Paragraph"/>
    <w:link w:val="Heading8Char"/>
    <w:qFormat/>
    <w:rsid w:val="00FD4AE1"/>
    <w:pPr>
      <w:keepNext/>
      <w:keepLines/>
      <w:tabs>
        <w:tab w:val="num" w:pos="2880"/>
      </w:tabs>
      <w:spacing w:before="120" w:after="240" w:line="240" w:lineRule="auto"/>
      <w:ind w:left="1440" w:hanging="432"/>
      <w:outlineLvl w:val="7"/>
    </w:pPr>
    <w:rPr>
      <w:rFonts w:ascii="Arial" w:eastAsia="MS Gothic" w:hAnsi="Arial" w:cs="Arial"/>
      <w:bCs/>
      <w:i/>
      <w:szCs w:val="24"/>
      <w:lang w:val="en-US" w:eastAsia="ja-JP"/>
    </w:rPr>
  </w:style>
  <w:style w:type="paragraph" w:styleId="Heading9">
    <w:name w:val="heading 9"/>
    <w:next w:val="Paragraph"/>
    <w:link w:val="Heading9Char"/>
    <w:qFormat/>
    <w:rsid w:val="00FD4AE1"/>
    <w:pPr>
      <w:keepNext/>
      <w:keepLines/>
      <w:tabs>
        <w:tab w:val="num" w:pos="3240"/>
      </w:tabs>
      <w:spacing w:before="120" w:after="240" w:line="240" w:lineRule="auto"/>
      <w:ind w:left="1584" w:hanging="144"/>
      <w:outlineLvl w:val="8"/>
    </w:pPr>
    <w:rPr>
      <w:rFonts w:ascii="Arial" w:eastAsia="MS Gothic" w:hAnsi="Arial" w:cs="Arial"/>
      <w:bCs/>
      <w: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Pr>
      <w:rFonts w:ascii="Arial" w:eastAsia="Times New Roman" w:hAnsi="Arial" w:cs="Arial"/>
      <w:b/>
      <w:bCs/>
      <w:caps/>
      <w:kern w:val="28"/>
      <w:sz w:val="28"/>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Pr>
      <w:rFonts w:ascii="Arial" w:eastAsia="Times New Roman" w:hAnsi="Arial" w:cs="Arial"/>
      <w:b/>
      <w:caps/>
      <w:sz w:val="24"/>
      <w:szCs w:val="24"/>
    </w:rPr>
  </w:style>
  <w:style w:type="character" w:customStyle="1" w:styleId="Heading1Char">
    <w:name w:val="Heading 1 Char"/>
    <w:basedOn w:val="DefaultParagraphFont"/>
    <w:link w:val="Heading1"/>
    <w:rPr>
      <w:rFonts w:ascii="Arial" w:eastAsia="Times New Roman" w:hAnsi="Arial" w:cs="Times New Roman"/>
      <w:b/>
      <w:caps/>
      <w:sz w:val="24"/>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gtcitalic10">
    <w:name w:val="gtcitalic10"/>
    <w:rPr>
      <w:i/>
      <w:iCs/>
    </w:rPr>
  </w:style>
  <w:style w:type="character" w:customStyle="1" w:styleId="gtcsubscript">
    <w:name w:val="gtcsubscript"/>
    <w:basedOn w:val="DefaultParagraphFont"/>
  </w:style>
  <w:style w:type="character" w:customStyle="1" w:styleId="gtcbold2">
    <w:name w:val="gtcbold2"/>
    <w:rPr>
      <w:b/>
      <w:bCs/>
    </w:rPr>
  </w:style>
  <w:style w:type="character" w:styleId="Hyperlink">
    <w:name w:val="Hyperlink"/>
    <w:unhideWhenUsed/>
    <w:rPr>
      <w:color w:val="0000FF"/>
      <w:u w:val="single"/>
    </w:rPr>
  </w:style>
  <w:style w:type="character" w:styleId="CommentReference">
    <w:name w:val="annotation reference"/>
    <w:uiPriority w:val="99"/>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ymbol">
    <w:name w:val="Table Footnote Symbol"/>
    <w:pPr>
      <w:keepLines/>
      <w:tabs>
        <w:tab w:val="left" w:pos="360"/>
      </w:tabs>
      <w:spacing w:before="40" w:after="0" w:line="240" w:lineRule="exact"/>
      <w:ind w:left="360" w:hanging="360"/>
    </w:pPr>
    <w:rPr>
      <w:rFonts w:ascii="Times New Roman" w:eastAsia="MS Mincho" w:hAnsi="Times New Roman" w:cs="Times New Roman"/>
      <w:sz w:val="18"/>
      <w:szCs w:val="18"/>
      <w:lang w:val="en-US" w:eastAsia="ja-JP"/>
    </w:rPr>
  </w:style>
  <w:style w:type="paragraph" w:customStyle="1" w:styleId="GTCBodyText">
    <w:name w:val="GTC Body Text"/>
    <w:basedOn w:val="Normal"/>
    <w:pPr>
      <w:spacing w:before="240" w:after="240" w:line="216" w:lineRule="auto"/>
      <w:jc w:val="both"/>
    </w:pPr>
    <w:rPr>
      <w:rFonts w:ascii="Times New Roman" w:eastAsia="Times New Roman" w:hAnsi="Times New Roman" w:cs="Times New Roman"/>
      <w:sz w:val="24"/>
      <w:szCs w:val="24"/>
      <w:lang w:val="en-US"/>
    </w:rPr>
  </w:style>
  <w:style w:type="paragraph" w:customStyle="1" w:styleId="TableLeft">
    <w:name w:val="Table Left"/>
    <w:link w:val="TableLeftChar"/>
    <w:uiPriority w:val="99"/>
    <w:pPr>
      <w:keepNext/>
      <w:keepLines/>
      <w:tabs>
        <w:tab w:val="left" w:pos="360"/>
      </w:tabs>
      <w:spacing w:before="40" w:after="40" w:line="240" w:lineRule="exact"/>
    </w:pPr>
    <w:rPr>
      <w:rFonts w:ascii="Times New Roman" w:eastAsia="MS Mincho" w:hAnsi="Times New Roman" w:cs="Times New Roman"/>
      <w:sz w:val="20"/>
      <w:szCs w:val="20"/>
      <w:lang w:val="en-US" w:eastAsia="ja-JP"/>
    </w:rPr>
  </w:style>
  <w:style w:type="character" w:customStyle="1" w:styleId="TableLeftChar">
    <w:name w:val="Table Left Char"/>
    <w:link w:val="TableLeft"/>
    <w:uiPriority w:val="99"/>
    <w:rPr>
      <w:rFonts w:ascii="Times New Roman" w:eastAsia="MS Mincho" w:hAnsi="Times New Roman" w:cs="Times New Roman"/>
      <w:sz w:val="20"/>
      <w:szCs w:val="20"/>
      <w:lang w:val="en-US" w:eastAsia="ja-JP"/>
    </w:rPr>
  </w:style>
  <w:style w:type="paragraph" w:customStyle="1" w:styleId="TableLeft9">
    <w:name w:val="Table Left 9"/>
    <w:pPr>
      <w:keepNext/>
      <w:keepLines/>
      <w:tabs>
        <w:tab w:val="left" w:pos="360"/>
      </w:tabs>
      <w:spacing w:before="40" w:after="40" w:line="220" w:lineRule="exact"/>
    </w:pPr>
    <w:rPr>
      <w:rFonts w:ascii="Times New Roman" w:eastAsia="MS Mincho" w:hAnsi="Times New Roman" w:cs="Times New Roman"/>
      <w:sz w:val="18"/>
      <w:szCs w:val="18"/>
      <w:lang w:val="en-US" w:eastAsia="ja-JP"/>
    </w:rPr>
  </w:style>
  <w:style w:type="paragraph" w:customStyle="1" w:styleId="Paragraph">
    <w:name w:val="Paragraph"/>
    <w:link w:val="ParagraphChar"/>
    <w:uiPriority w:val="99"/>
    <w:pPr>
      <w:spacing w:after="240" w:line="360" w:lineRule="exact"/>
    </w:pPr>
    <w:rPr>
      <w:rFonts w:ascii="Times New Roman" w:eastAsia="MS Mincho" w:hAnsi="Times New Roman" w:cs="Times New Roman"/>
      <w:sz w:val="24"/>
      <w:szCs w:val="24"/>
      <w:lang w:val="en-US" w:eastAsia="ja-JP"/>
    </w:rPr>
  </w:style>
  <w:style w:type="character" w:customStyle="1" w:styleId="ParagraphChar">
    <w:name w:val="Paragraph Char"/>
    <w:link w:val="Paragraph"/>
    <w:uiPriority w:val="99"/>
    <w:rPr>
      <w:rFonts w:ascii="Times New Roman" w:eastAsia="MS Mincho" w:hAnsi="Times New Roman" w:cs="Times New Roman"/>
      <w:sz w:val="24"/>
      <w:szCs w:val="24"/>
      <w:lang w:val="en-US" w:eastAsia="ja-JP"/>
    </w:rPr>
  </w:style>
  <w:style w:type="paragraph" w:styleId="CommentText">
    <w:name w:val="annotation text"/>
    <w:basedOn w:val="Normal"/>
    <w:link w:val="CommentTextChar1"/>
    <w:uiPriority w:val="99"/>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rPr>
      <w:sz w:val="20"/>
      <w:szCs w:val="20"/>
    </w:rPr>
  </w:style>
  <w:style w:type="character" w:customStyle="1" w:styleId="CommentTextChar1">
    <w:name w:val="Comment Text Char1"/>
    <w:link w:val="CommentText"/>
    <w:uiPriority w:val="99"/>
    <w:locked/>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styleId="ListBullet">
    <w:name w:val="List Bullet"/>
    <w:basedOn w:val="Normal"/>
    <w:autoRedefine/>
    <w:uiPriority w:val="99"/>
    <w:pPr>
      <w:numPr>
        <w:numId w:val="5"/>
      </w:numPr>
      <w:spacing w:after="60" w:line="240" w:lineRule="auto"/>
      <w:jc w:val="both"/>
    </w:pPr>
    <w:rPr>
      <w:rFonts w:ascii="Arial" w:eastAsia="Times New Roman" w:hAnsi="Arial" w:cs="Times New Roman"/>
      <w:szCs w:val="20"/>
    </w:rPr>
  </w:style>
  <w:style w:type="character" w:customStyle="1" w:styleId="gtcitalic2">
    <w:name w:val="gtcitalic2"/>
    <w:rPr>
      <w:i/>
      <w:iCs/>
    </w:rPr>
  </w:style>
  <w:style w:type="paragraph" w:customStyle="1" w:styleId="TableCenter">
    <w:name w:val="Table Center"/>
    <w:uiPriority w:val="99"/>
    <w:pPr>
      <w:keepNext/>
      <w:keepLines/>
      <w:spacing w:before="40" w:after="40" w:line="240" w:lineRule="exact"/>
      <w:jc w:val="center"/>
    </w:pPr>
    <w:rPr>
      <w:rFonts w:ascii="Times New Roman" w:eastAsia="MS Mincho" w:hAnsi="Times New Roman" w:cs="Times New Roman"/>
      <w:sz w:val="20"/>
      <w:szCs w:val="20"/>
      <w:lang w:val="en-US" w:eastAsia="ja-JP"/>
    </w:rPr>
  </w:style>
  <w:style w:type="paragraph" w:customStyle="1" w:styleId="GTCTableText">
    <w:name w:val="GTC Table Text"/>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6">
    <w:name w:val="CM6"/>
    <w:basedOn w:val="Default"/>
    <w:next w:val="Default"/>
    <w:pPr>
      <w:spacing w:line="183" w:lineRule="atLeast"/>
    </w:pPr>
    <w:rPr>
      <w:color w:val="auto"/>
    </w:rPr>
  </w:style>
  <w:style w:type="paragraph" w:customStyle="1" w:styleId="gtcbodytext0">
    <w:name w:val="gtcbodytex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linktext12">
    <w:name w:val="gtclinktext12"/>
    <w:rPr>
      <w:strike w:val="0"/>
      <w:dstrike w:val="0"/>
      <w:u w:val="none"/>
      <w:effect w:val="none"/>
    </w:rPr>
  </w:style>
  <w:style w:type="paragraph" w:customStyle="1" w:styleId="gtctabletitleotherwise">
    <w:name w:val="gtctabletitleotherwise"/>
    <w:basedOn w:val="Normal"/>
    <w:pPr>
      <w:spacing w:after="0" w:line="240" w:lineRule="auto"/>
      <w:jc w:val="center"/>
    </w:pPr>
    <w:rPr>
      <w:rFonts w:ascii="Times New Roman" w:eastAsia="Times New Roman" w:hAnsi="Times New Roman" w:cs="Times New Roman"/>
      <w:b/>
      <w:bCs/>
      <w:sz w:val="24"/>
      <w:szCs w:val="24"/>
      <w:lang w:val="en-US"/>
    </w:rPr>
  </w:style>
  <w:style w:type="paragraph" w:customStyle="1" w:styleId="GTCBodyTextAlignLeft">
    <w:name w:val="GTC Body Text Align Lef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italic5">
    <w:name w:val="gtcitalic5"/>
    <w:basedOn w:val="DefaultParagraphFon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unhideWhenUsed/>
    <w:pPr>
      <w:spacing w:before="0" w:beforeAutospacing="0" w:after="200" w:afterAutospacing="0"/>
    </w:pPr>
    <w:rPr>
      <w:rFonts w:asciiTheme="minorHAnsi" w:eastAsiaTheme="minorHAnsi" w:hAnsiTheme="minorHAnsi" w:cstheme="minorBidi"/>
      <w:b/>
      <w:bCs/>
      <w:lang w:val="en-AU"/>
    </w:rPr>
  </w:style>
  <w:style w:type="character" w:customStyle="1" w:styleId="CommentSubjectChar">
    <w:name w:val="Comment Subject Char"/>
    <w:basedOn w:val="CommentTextChar1"/>
    <w:link w:val="CommentSubject"/>
    <w:uiPriority w:val="99"/>
    <w:rPr>
      <w:rFonts w:ascii="Times New Roman" w:eastAsia="Times New Roman" w:hAnsi="Times New Roman" w:cs="Times New Roman"/>
      <w:b/>
      <w:bCs/>
      <w:sz w:val="20"/>
      <w:szCs w:val="20"/>
      <w:lang w:val="en-US"/>
    </w:rPr>
  </w:style>
  <w:style w:type="paragraph" w:styleId="Revision">
    <w:name w:val="Revision"/>
    <w:hidden/>
    <w:uiPriority w:val="99"/>
    <w:semiHidden/>
    <w:rsid w:val="00422F85"/>
    <w:pPr>
      <w:spacing w:after="0" w:line="240" w:lineRule="auto"/>
    </w:pPr>
  </w:style>
  <w:style w:type="character" w:customStyle="1" w:styleId="Heading3Char">
    <w:name w:val="Heading 3 Char"/>
    <w:basedOn w:val="DefaultParagraphFont"/>
    <w:link w:val="Heading3"/>
    <w:rsid w:val="00FD4AE1"/>
    <w:rPr>
      <w:rFonts w:ascii="Arial" w:eastAsia="Times New Roman" w:hAnsi="Arial" w:cs="Arial"/>
      <w:b/>
      <w:bCs/>
      <w:sz w:val="26"/>
      <w:szCs w:val="26"/>
      <w:lang w:val="en-GB"/>
    </w:rPr>
  </w:style>
  <w:style w:type="character" w:customStyle="1" w:styleId="Heading4Char">
    <w:name w:val="Heading 4 Char"/>
    <w:basedOn w:val="DefaultParagraphFont"/>
    <w:link w:val="Heading4"/>
    <w:rsid w:val="00FD4AE1"/>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FD4AE1"/>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D4AE1"/>
    <w:rPr>
      <w:rFonts w:ascii="Arial" w:eastAsia="MS Gothic" w:hAnsi="Arial" w:cs="Arial"/>
      <w:b/>
      <w:bCs/>
      <w:szCs w:val="24"/>
      <w:lang w:val="en-US" w:eastAsia="ja-JP"/>
    </w:rPr>
  </w:style>
  <w:style w:type="character" w:customStyle="1" w:styleId="Heading7Char">
    <w:name w:val="Heading 7 Char"/>
    <w:basedOn w:val="DefaultParagraphFont"/>
    <w:link w:val="Heading7"/>
    <w:rsid w:val="00FD4AE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D4AE1"/>
    <w:rPr>
      <w:rFonts w:ascii="Arial" w:eastAsia="MS Gothic" w:hAnsi="Arial" w:cs="Arial"/>
      <w:bCs/>
      <w:i/>
      <w:szCs w:val="24"/>
      <w:lang w:val="en-US" w:eastAsia="ja-JP"/>
    </w:rPr>
  </w:style>
  <w:style w:type="character" w:customStyle="1" w:styleId="Heading9Char">
    <w:name w:val="Heading 9 Char"/>
    <w:basedOn w:val="DefaultParagraphFont"/>
    <w:link w:val="Heading9"/>
    <w:rsid w:val="00FD4AE1"/>
    <w:rPr>
      <w:rFonts w:ascii="Arial" w:eastAsia="MS Gothic" w:hAnsi="Arial" w:cs="Arial"/>
      <w:bCs/>
      <w:i/>
      <w:szCs w:val="24"/>
      <w:lang w:val="en-US" w:eastAsia="ja-JP"/>
    </w:rPr>
  </w:style>
  <w:style w:type="paragraph" w:customStyle="1" w:styleId="gtcunderline">
    <w:name w:val="gtcunderline"/>
    <w:basedOn w:val="Normal"/>
    <w:rsid w:val="00FD4AE1"/>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MemoHeaderStyle">
    <w:name w:val="MemoHeaderStyle"/>
    <w:basedOn w:val="Normal"/>
    <w:next w:val="Normal"/>
    <w:rsid w:val="00FD4AE1"/>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rsid w:val="00FD4AE1"/>
  </w:style>
  <w:style w:type="paragraph" w:styleId="BodyText">
    <w:name w:val="Body Text"/>
    <w:basedOn w:val="Normal"/>
    <w:link w:val="BodyTextChar"/>
    <w:rsid w:val="00FD4AE1"/>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FD4AE1"/>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FD4AE1"/>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rsid w:val="00FD4AE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FD4AE1"/>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FD4AE1"/>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sid w:val="00FD4AE1"/>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FD4AE1"/>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FD4AE1"/>
    <w:rPr>
      <w:rFonts w:ascii="Verdana" w:eastAsia="Verdana" w:hAnsi="Verdana" w:cs="Verdana"/>
      <w:sz w:val="18"/>
      <w:szCs w:val="18"/>
      <w:lang w:val="en-GB" w:eastAsia="en-GB"/>
    </w:rPr>
  </w:style>
  <w:style w:type="paragraph" w:customStyle="1" w:styleId="TableheadingrowsAgency">
    <w:name w:val="Table heading rows (Agency)"/>
    <w:basedOn w:val="BodytextAgency"/>
    <w:rsid w:val="00FD4AE1"/>
    <w:pPr>
      <w:keepNext/>
    </w:pPr>
    <w:rPr>
      <w:rFonts w:eastAsia="Times New Roman"/>
      <w:b/>
    </w:rPr>
  </w:style>
  <w:style w:type="paragraph" w:customStyle="1" w:styleId="TabletextrowsAgency">
    <w:name w:val="Table text rows (Agency)"/>
    <w:basedOn w:val="Normal"/>
    <w:rsid w:val="00FD4AE1"/>
    <w:pPr>
      <w:spacing w:after="0" w:line="280" w:lineRule="exact"/>
    </w:pPr>
    <w:rPr>
      <w:rFonts w:ascii="Verdana" w:eastAsia="Times New Roman" w:hAnsi="Verdana" w:cs="Verdana"/>
      <w:sz w:val="18"/>
      <w:szCs w:val="18"/>
      <w:lang w:val="en-GB" w:eastAsia="zh-CN"/>
    </w:rPr>
  </w:style>
  <w:style w:type="character" w:customStyle="1" w:styleId="gtcitalic4">
    <w:name w:val="gtcitalic4"/>
    <w:rsid w:val="00FD4AE1"/>
    <w:rPr>
      <w:i/>
      <w:iCs/>
    </w:rPr>
  </w:style>
  <w:style w:type="character" w:customStyle="1" w:styleId="GTCLinkText27">
    <w:name w:val="GTC Link Text27"/>
    <w:rsid w:val="00FD4AE1"/>
    <w:rPr>
      <w:strike w:val="0"/>
      <w:dstrike w:val="0"/>
      <w:u w:val="none"/>
      <w:effect w:val="none"/>
    </w:rPr>
  </w:style>
  <w:style w:type="paragraph" w:customStyle="1" w:styleId="msolistparagraph0">
    <w:name w:val="msolistparagraph"/>
    <w:basedOn w:val="Normal"/>
    <w:rsid w:val="00FD4AE1"/>
    <w:pPr>
      <w:spacing w:after="0" w:line="240" w:lineRule="auto"/>
      <w:ind w:left="720"/>
    </w:pPr>
    <w:rPr>
      <w:rFonts w:ascii="Calibri" w:eastAsia="Calibri" w:hAnsi="Calibri" w:cs="Times New Roman"/>
      <w:lang w:val="en-US" w:eastAsia="ja-JP"/>
    </w:rPr>
  </w:style>
  <w:style w:type="paragraph" w:customStyle="1" w:styleId="EMEANormal">
    <w:name w:val="EMEA Normal"/>
    <w:link w:val="EMEANormalChar"/>
    <w:rsid w:val="00FD4AE1"/>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EMEANormalChar">
    <w:name w:val="EMEA Normal Char"/>
    <w:link w:val="EMEANormal"/>
    <w:rsid w:val="00FD4AE1"/>
    <w:rPr>
      <w:rFonts w:ascii="Times New Roman" w:eastAsia="Times New Roman" w:hAnsi="Times New Roman" w:cs="Times New Roman"/>
      <w:szCs w:val="20"/>
      <w:lang w:val="en-US"/>
    </w:rPr>
  </w:style>
  <w:style w:type="character" w:customStyle="1" w:styleId="bold2">
    <w:name w:val="bold2"/>
    <w:rsid w:val="00FD4AE1"/>
    <w:rPr>
      <w:b/>
      <w:bCs/>
    </w:rPr>
  </w:style>
  <w:style w:type="table" w:customStyle="1" w:styleId="TablegridAgencyblack">
    <w:name w:val="Table grid (Agency) black"/>
    <w:basedOn w:val="TableNormal"/>
    <w:semiHidden/>
    <w:rsid w:val="00FD4AE1"/>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rsid w:val="00FD4AE1"/>
    <w:rPr>
      <w:color w:val="800080"/>
      <w:u w:val="single"/>
    </w:rPr>
  </w:style>
  <w:style w:type="paragraph" w:customStyle="1" w:styleId="atictinsert">
    <w:name w:val="atictinsert"/>
    <w:basedOn w:val="Normal"/>
    <w:rsid w:val="00FD4AE1"/>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greyshadedtext">
    <w:name w:val="gtcgreyshadedtext"/>
    <w:basedOn w:val="Normal"/>
    <w:rsid w:val="00FD4AE1"/>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Head">
    <w:name w:val="Table Head"/>
    <w:rsid w:val="00FD4AE1"/>
    <w:pPr>
      <w:keepNext/>
      <w:keepLines/>
      <w:tabs>
        <w:tab w:val="left" w:pos="360"/>
      </w:tabs>
      <w:spacing w:before="40" w:after="40" w:line="240" w:lineRule="exact"/>
    </w:pPr>
    <w:rPr>
      <w:rFonts w:ascii="Times New Roman" w:eastAsia="MS Mincho" w:hAnsi="Times New Roman" w:cs="Times New Roman"/>
      <w:b/>
      <w:bCs/>
      <w:sz w:val="20"/>
      <w:szCs w:val="20"/>
      <w:lang w:val="en-US" w:eastAsia="ja-JP"/>
    </w:rPr>
  </w:style>
  <w:style w:type="paragraph" w:customStyle="1" w:styleId="gtcbodytextalignleft0">
    <w:name w:val="gtcbodytextalignleft"/>
    <w:basedOn w:val="Normal"/>
    <w:rsid w:val="00FD4AE1"/>
    <w:pPr>
      <w:spacing w:before="240" w:after="240" w:line="300" w:lineRule="auto"/>
    </w:pPr>
    <w:rPr>
      <w:rFonts w:ascii="Times New Roman" w:eastAsia="Times New Roman" w:hAnsi="Times New Roman" w:cs="Times New Roman"/>
      <w:sz w:val="24"/>
      <w:szCs w:val="24"/>
      <w:lang w:val="en-US"/>
    </w:rPr>
  </w:style>
  <w:style w:type="paragraph" w:customStyle="1" w:styleId="gtcbodytextalignright">
    <w:name w:val="gtcbodytextalignright"/>
    <w:basedOn w:val="Normal"/>
    <w:rsid w:val="00FD4AE1"/>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
    <w:name w:val="gtcbodytextaligncenter"/>
    <w:basedOn w:val="Normal"/>
    <w:rsid w:val="00FD4AE1"/>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
    <w:name w:val="gtcbodytextalignjustify"/>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
    <w:name w:val="gtcbodytextalignindent"/>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
    <w:name w:val="gtcgreyshadedinparagraph"/>
    <w:basedOn w:val="Normal"/>
    <w:rsid w:val="00FD4AE1"/>
    <w:pPr>
      <w:shd w:val="clear" w:color="auto" w:fill="C0C0C0"/>
      <w:spacing w:before="240" w:after="240" w:line="300" w:lineRule="auto"/>
    </w:pPr>
    <w:rPr>
      <w:rFonts w:ascii="Times New Roman" w:eastAsia="Times New Roman" w:hAnsi="Times New Roman" w:cs="Times New Roman"/>
      <w:sz w:val="24"/>
      <w:szCs w:val="24"/>
      <w:lang w:val="en-US"/>
    </w:rPr>
  </w:style>
  <w:style w:type="paragraph" w:customStyle="1" w:styleId="gtcheadingcentered">
    <w:name w:val="gtcheadingcentered"/>
    <w:basedOn w:val="Normal"/>
    <w:rsid w:val="00FD4AE1"/>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plrtitle">
    <w:name w:val="gtcplrtitle"/>
    <w:basedOn w:val="Normal"/>
    <w:rsid w:val="00FD4AE1"/>
    <w:pPr>
      <w:spacing w:before="60" w:after="60" w:line="240" w:lineRule="auto"/>
    </w:pPr>
    <w:rPr>
      <w:rFonts w:ascii="Times New Roman" w:eastAsia="Times New Roman" w:hAnsi="Times New Roman" w:cs="Times New Roman"/>
      <w:b/>
      <w:bCs/>
      <w:sz w:val="18"/>
      <w:szCs w:val="18"/>
      <w:lang w:val="en-US"/>
    </w:rPr>
  </w:style>
  <w:style w:type="paragraph" w:customStyle="1" w:styleId="gtcfigurecaption">
    <w:name w:val="gtcfigurecaption"/>
    <w:basedOn w:val="Normal"/>
    <w:rsid w:val="00FD4AE1"/>
    <w:pPr>
      <w:spacing w:before="120" w:after="120" w:line="240" w:lineRule="auto"/>
    </w:pPr>
    <w:rPr>
      <w:rFonts w:ascii="Times New Roman" w:eastAsia="Times New Roman" w:hAnsi="Times New Roman" w:cs="Times New Roman"/>
      <w:b/>
      <w:bCs/>
      <w:sz w:val="24"/>
      <w:szCs w:val="24"/>
      <w:lang w:val="en-US"/>
    </w:rPr>
  </w:style>
  <w:style w:type="paragraph" w:customStyle="1" w:styleId="gtcfigurecaptionleft">
    <w:name w:val="gtcfigurecaptionleft"/>
    <w:basedOn w:val="Normal"/>
    <w:rsid w:val="00FD4AE1"/>
    <w:pPr>
      <w:spacing w:before="120" w:after="120" w:line="240" w:lineRule="auto"/>
    </w:pPr>
    <w:rPr>
      <w:rFonts w:ascii="Times New Roman" w:eastAsia="Times New Roman" w:hAnsi="Times New Roman" w:cs="Times New Roman"/>
      <w:b/>
      <w:bCs/>
      <w:sz w:val="24"/>
      <w:szCs w:val="24"/>
      <w:lang w:val="en-US"/>
    </w:rPr>
  </w:style>
  <w:style w:type="paragraph" w:customStyle="1" w:styleId="gtcannotation">
    <w:name w:val="gtcannotation"/>
    <w:basedOn w:val="Normal"/>
    <w:rsid w:val="00FD4AE1"/>
    <w:pPr>
      <w:spacing w:before="60" w:after="60" w:line="240" w:lineRule="auto"/>
    </w:pPr>
    <w:rPr>
      <w:rFonts w:ascii="Times New Roman" w:eastAsia="Times New Roman" w:hAnsi="Times New Roman" w:cs="Times New Roman"/>
      <w:color w:val="006633"/>
      <w:sz w:val="20"/>
      <w:szCs w:val="20"/>
      <w:lang w:val="en-US"/>
    </w:rPr>
  </w:style>
  <w:style w:type="paragraph" w:customStyle="1" w:styleId="gtcannotationhl">
    <w:name w:val="gtcannotationhl"/>
    <w:basedOn w:val="Normal"/>
    <w:rsid w:val="00FD4AE1"/>
    <w:pPr>
      <w:spacing w:before="100" w:beforeAutospacing="1" w:after="100" w:afterAutospacing="1" w:line="240" w:lineRule="auto"/>
    </w:pPr>
    <w:rPr>
      <w:rFonts w:ascii="Times New Roman" w:eastAsia="Times New Roman" w:hAnsi="Times New Roman" w:cs="Times New Roman"/>
      <w:color w:val="006633"/>
      <w:sz w:val="16"/>
      <w:szCs w:val="16"/>
      <w:lang w:val="en-US"/>
    </w:rPr>
  </w:style>
  <w:style w:type="paragraph" w:customStyle="1" w:styleId="gtchighlighttextboxedwarnings">
    <w:name w:val="gtchighlighttextboxedwarnings"/>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ighlighttext">
    <w:name w:val="gtchighlight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ld">
    <w:name w:val="gtcbold"/>
    <w:basedOn w:val="Normal"/>
    <w:rsid w:val="00FD4AE1"/>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gtcitalic">
    <w:name w:val="gtcitalic"/>
    <w:basedOn w:val="Normal"/>
    <w:rsid w:val="00FD4AE1"/>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gtcstrikethrough">
    <w:name w:val="gtcstrikethrough"/>
    <w:basedOn w:val="Normal"/>
    <w:rsid w:val="00FD4AE1"/>
    <w:pPr>
      <w:spacing w:before="100" w:beforeAutospacing="1" w:after="100" w:afterAutospacing="1" w:line="240" w:lineRule="auto"/>
    </w:pPr>
    <w:rPr>
      <w:rFonts w:ascii="Times New Roman" w:eastAsia="Times New Roman" w:hAnsi="Times New Roman" w:cs="Times New Roman"/>
      <w:strike/>
      <w:sz w:val="24"/>
      <w:szCs w:val="24"/>
      <w:lang w:val="en-US"/>
    </w:rPr>
  </w:style>
  <w:style w:type="paragraph" w:customStyle="1" w:styleId="gtcsmallcaps">
    <w:name w:val="gtcsmallcaps"/>
    <w:basedOn w:val="Normal"/>
    <w:rsid w:val="00FD4AE1"/>
    <w:pPr>
      <w:spacing w:before="100" w:beforeAutospacing="1" w:after="100" w:afterAutospacing="1" w:line="240" w:lineRule="auto"/>
    </w:pPr>
    <w:rPr>
      <w:rFonts w:ascii="Times New Roman" w:eastAsia="Times New Roman" w:hAnsi="Times New Roman" w:cs="Times New Roman"/>
      <w:smallCaps/>
      <w:sz w:val="24"/>
      <w:szCs w:val="24"/>
      <w:lang w:val="en-US"/>
    </w:rPr>
  </w:style>
  <w:style w:type="paragraph" w:customStyle="1" w:styleId="atictdelete">
    <w:name w:val="atictdelete"/>
    <w:basedOn w:val="Normal"/>
    <w:rsid w:val="00FD4AE1"/>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atictchange">
    <w:name w:val="atictchange"/>
    <w:basedOn w:val="Normal"/>
    <w:rsid w:val="00FD4AE1"/>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linkunderlined">
    <w:name w:val="gtclinkunderlined"/>
    <w:basedOn w:val="Normal"/>
    <w:rsid w:val="00FD4AE1"/>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gtclinktext">
    <w:name w:val="gtclink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mageinsert">
    <w:name w:val="gtcimageinsert"/>
    <w:basedOn w:val="Normal"/>
    <w:rsid w:val="00FD4AE1"/>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imagedelete">
    <w:name w:val="gtcimagedelete"/>
    <w:basedOn w:val="Normal"/>
    <w:rsid w:val="00FD4AE1"/>
    <w:pPr>
      <w:pBdr>
        <w:top w:val="single" w:sz="48" w:space="0" w:color="0000FF"/>
        <w:left w:val="single" w:sz="48" w:space="0" w:color="0000FF"/>
        <w:bottom w:val="single" w:sz="48" w:space="0" w:color="0000FF"/>
        <w:right w:val="single" w:sz="48" w:space="0" w:color="0000FF"/>
      </w:pBd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gtcimage">
    <w:name w:val="gtcimage"/>
    <w:basedOn w:val="Normal"/>
    <w:rsid w:val="00FD4AE1"/>
    <w:pPr>
      <w:pBdr>
        <w:top w:val="single" w:sz="48" w:space="0" w:color="FFFFFF"/>
        <w:left w:val="single" w:sz="48" w:space="0" w:color="FFFFFF"/>
        <w:bottom w:val="single" w:sz="48" w:space="0" w:color="FFFFFF"/>
        <w:right w:val="single" w:sz="48" w:space="0" w:color="FFFFF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
    <w:name w:val="gtclist"/>
    <w:basedOn w:val="Normal"/>
    <w:rsid w:val="00FD4AE1"/>
    <w:pPr>
      <w:spacing w:before="40" w:after="40" w:line="240" w:lineRule="auto"/>
    </w:pPr>
    <w:rPr>
      <w:rFonts w:ascii="Times New Roman" w:eastAsia="Times New Roman" w:hAnsi="Times New Roman" w:cs="Times New Roman"/>
      <w:sz w:val="24"/>
      <w:szCs w:val="24"/>
      <w:lang w:val="en-US"/>
    </w:rPr>
  </w:style>
  <w:style w:type="paragraph" w:customStyle="1" w:styleId="gtcliststylenone">
    <w:name w:val="gtcliststylenone"/>
    <w:basedOn w:val="Normal"/>
    <w:rsid w:val="00FD4AE1"/>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
    <w:name w:val="gtcliststylecircl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
    <w:name w:val="gtcliststyledis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
    <w:name w:val="gtcliststylesquar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
    <w:name w:val="gtcliststylelittleroman"/>
    <w:basedOn w:val="Normal"/>
    <w:rsid w:val="00FD4AE1"/>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
    <w:name w:val="gtcliststylebigroman"/>
    <w:basedOn w:val="Normal"/>
    <w:rsid w:val="00FD4AE1"/>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
    <w:name w:val="gtcliststylelittlealpha"/>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alpha">
    <w:name w:val="gtcliststylebigalpha"/>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
    <w:name w:val="gtcliststylearabi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
    <w:name w:val="gtclisttext"/>
    <w:basedOn w:val="Normal"/>
    <w:rsid w:val="00FD4AE1"/>
    <w:pPr>
      <w:spacing w:before="120" w:after="120" w:line="300" w:lineRule="auto"/>
    </w:pPr>
    <w:rPr>
      <w:rFonts w:ascii="Times New Roman" w:eastAsia="Times New Roman" w:hAnsi="Times New Roman" w:cs="Times New Roman"/>
      <w:sz w:val="24"/>
      <w:szCs w:val="24"/>
      <w:lang w:val="en-US"/>
    </w:rPr>
  </w:style>
  <w:style w:type="paragraph" w:customStyle="1" w:styleId="gtclisttextinserted">
    <w:name w:val="gtclisttextinserted"/>
    <w:basedOn w:val="Normal"/>
    <w:rsid w:val="00FD4AE1"/>
    <w:pPr>
      <w:spacing w:before="120" w:after="120" w:line="300" w:lineRule="auto"/>
    </w:pPr>
    <w:rPr>
      <w:rFonts w:ascii="Times New Roman" w:eastAsia="Times New Roman" w:hAnsi="Times New Roman" w:cs="Times New Roman"/>
      <w:color w:val="FF0000"/>
      <w:sz w:val="24"/>
      <w:szCs w:val="24"/>
      <w:u w:val="double"/>
      <w:lang w:val="en-US"/>
    </w:rPr>
  </w:style>
  <w:style w:type="paragraph" w:customStyle="1" w:styleId="gtclisttextdeleted">
    <w:name w:val="gtclisttextdeleted"/>
    <w:basedOn w:val="Normal"/>
    <w:rsid w:val="00FD4AE1"/>
    <w:pPr>
      <w:spacing w:before="120" w:after="120" w:line="300" w:lineRule="auto"/>
    </w:pPr>
    <w:rPr>
      <w:rFonts w:ascii="Times New Roman" w:eastAsia="Times New Roman" w:hAnsi="Times New Roman" w:cs="Times New Roman"/>
      <w:strike/>
      <w:color w:val="FF0000"/>
      <w:sz w:val="24"/>
      <w:szCs w:val="24"/>
      <w:lang w:val="en-US"/>
    </w:rPr>
  </w:style>
  <w:style w:type="paragraph" w:customStyle="1" w:styleId="gtclisttextleft">
    <w:name w:val="gtclisttextleft"/>
    <w:basedOn w:val="Normal"/>
    <w:rsid w:val="00FD4AE1"/>
    <w:pPr>
      <w:spacing w:before="120" w:after="120" w:line="300" w:lineRule="auto"/>
    </w:pPr>
    <w:rPr>
      <w:rFonts w:ascii="Times New Roman" w:eastAsia="Times New Roman" w:hAnsi="Times New Roman" w:cs="Times New Roman"/>
      <w:sz w:val="24"/>
      <w:szCs w:val="24"/>
      <w:lang w:val="en-US"/>
    </w:rPr>
  </w:style>
  <w:style w:type="paragraph" w:customStyle="1" w:styleId="gtclisttextstylenone">
    <w:name w:val="gtclisttextstylenone"/>
    <w:basedOn w:val="Normal"/>
    <w:rsid w:val="00FD4AE1"/>
    <w:pPr>
      <w:spacing w:before="120" w:after="120" w:line="300" w:lineRule="auto"/>
    </w:pPr>
    <w:rPr>
      <w:rFonts w:ascii="Times New Roman" w:eastAsia="Times New Roman" w:hAnsi="Times New Roman" w:cs="Times New Roman"/>
      <w:sz w:val="24"/>
      <w:szCs w:val="24"/>
      <w:lang w:val="en-US"/>
    </w:rPr>
  </w:style>
  <w:style w:type="paragraph" w:customStyle="1" w:styleId="gtchighlightparagraph">
    <w:name w:val="gtchighlightparagraph"/>
    <w:basedOn w:val="Normal"/>
    <w:rsid w:val="00FD4AE1"/>
    <w:pPr>
      <w:spacing w:before="120" w:after="0" w:line="240" w:lineRule="auto"/>
    </w:pPr>
    <w:rPr>
      <w:rFonts w:ascii="Times New Roman" w:eastAsia="Times New Roman" w:hAnsi="Times New Roman" w:cs="Times New Roman"/>
      <w:sz w:val="16"/>
      <w:szCs w:val="16"/>
      <w:lang w:val="en-US"/>
    </w:rPr>
  </w:style>
  <w:style w:type="paragraph" w:customStyle="1" w:styleId="gtchighlightboxedwarningtable">
    <w:name w:val="gtchighlightboxedwarningtable"/>
    <w:basedOn w:val="Normal"/>
    <w:rsid w:val="00FD4AE1"/>
    <w:pPr>
      <w:pBdr>
        <w:top w:val="single" w:sz="2" w:space="2" w:color="000000"/>
        <w:left w:val="single" w:sz="2" w:space="2" w:color="000000"/>
        <w:bottom w:val="single" w:sz="2" w:space="2" w:color="000000"/>
        <w:right w:val="single" w:sz="2" w:space="2" w:color="000000"/>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highlighttextbold">
    <w:name w:val="gtchighlighttextbold"/>
    <w:basedOn w:val="Normal"/>
    <w:rsid w:val="00FD4AE1"/>
    <w:pPr>
      <w:spacing w:before="60" w:after="60" w:line="240" w:lineRule="auto"/>
    </w:pPr>
    <w:rPr>
      <w:rFonts w:ascii="Times New Roman" w:eastAsia="Times New Roman" w:hAnsi="Times New Roman" w:cs="Times New Roman"/>
      <w:b/>
      <w:bCs/>
      <w:sz w:val="16"/>
      <w:szCs w:val="16"/>
      <w:lang w:val="en-US"/>
    </w:rPr>
  </w:style>
  <w:style w:type="paragraph" w:customStyle="1" w:styleId="gtcparagraphlefthl">
    <w:name w:val="gtcparagraphlefthl"/>
    <w:basedOn w:val="Normal"/>
    <w:rsid w:val="00FD4AE1"/>
    <w:pPr>
      <w:spacing w:after="0" w:line="240" w:lineRule="auto"/>
    </w:pPr>
    <w:rPr>
      <w:rFonts w:ascii="Times New Roman" w:eastAsia="Times New Roman" w:hAnsi="Times New Roman" w:cs="Times New Roman"/>
      <w:sz w:val="16"/>
      <w:szCs w:val="16"/>
      <w:lang w:val="en-US"/>
    </w:rPr>
  </w:style>
  <w:style w:type="paragraph" w:customStyle="1" w:styleId="gtcparagraphrighthl">
    <w:name w:val="gtcparagraphrighthl"/>
    <w:basedOn w:val="Normal"/>
    <w:rsid w:val="00FD4AE1"/>
    <w:pPr>
      <w:spacing w:after="0" w:line="240" w:lineRule="auto"/>
      <w:jc w:val="right"/>
    </w:pPr>
    <w:rPr>
      <w:rFonts w:ascii="Times New Roman" w:eastAsia="Times New Roman" w:hAnsi="Times New Roman" w:cs="Times New Roman"/>
      <w:sz w:val="16"/>
      <w:szCs w:val="16"/>
      <w:lang w:val="en-US"/>
    </w:rPr>
  </w:style>
  <w:style w:type="paragraph" w:customStyle="1" w:styleId="gtcparagraphcenterhl">
    <w:name w:val="gtcparagraphcenterhl"/>
    <w:basedOn w:val="Normal"/>
    <w:rsid w:val="00FD4AE1"/>
    <w:pPr>
      <w:spacing w:after="0" w:line="240" w:lineRule="auto"/>
      <w:jc w:val="center"/>
    </w:pPr>
    <w:rPr>
      <w:rFonts w:ascii="Times New Roman" w:eastAsia="Times New Roman" w:hAnsi="Times New Roman" w:cs="Times New Roman"/>
      <w:sz w:val="16"/>
      <w:szCs w:val="16"/>
      <w:lang w:val="en-US"/>
    </w:rPr>
  </w:style>
  <w:style w:type="paragraph" w:customStyle="1" w:styleId="gtcparagraphjustifyhl">
    <w:name w:val="gtcparagraphjustifyhl"/>
    <w:basedOn w:val="Normal"/>
    <w:rsid w:val="00FD4AE1"/>
    <w:pPr>
      <w:spacing w:after="0" w:line="240" w:lineRule="auto"/>
      <w:jc w:val="both"/>
    </w:pPr>
    <w:rPr>
      <w:rFonts w:ascii="Times New Roman" w:eastAsia="Times New Roman" w:hAnsi="Times New Roman" w:cs="Times New Roman"/>
      <w:sz w:val="16"/>
      <w:szCs w:val="16"/>
      <w:lang w:val="en-US"/>
    </w:rPr>
  </w:style>
  <w:style w:type="paragraph" w:customStyle="1" w:styleId="gtclistcirclehl-bw">
    <w:name w:val="gtclistcirclehl-bw"/>
    <w:basedOn w:val="Normal"/>
    <w:rsid w:val="00FD4AE1"/>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circlehl">
    <w:name w:val="gtclistcirclehl"/>
    <w:basedOn w:val="Normal"/>
    <w:rsid w:val="00FD4AE1"/>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dischl-bw">
    <w:name w:val="gtclistdischl-bw"/>
    <w:basedOn w:val="Normal"/>
    <w:rsid w:val="00FD4AE1"/>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dischl">
    <w:name w:val="gtclistdischl"/>
    <w:basedOn w:val="Normal"/>
    <w:rsid w:val="00FD4AE1"/>
    <w:pPr>
      <w:tabs>
        <w:tab w:val="num" w:pos="0"/>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bw">
    <w:name w:val="gtclistsquarehl-bw"/>
    <w:basedOn w:val="Normal"/>
    <w:rsid w:val="00FD4AE1"/>
    <w:pPr>
      <w:tabs>
        <w:tab w:val="num" w:pos="72"/>
        <w:tab w:val="left" w:pos="360"/>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
    <w:name w:val="gtclistsquarehl"/>
    <w:basedOn w:val="Normal"/>
    <w:rsid w:val="00FD4AE1"/>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bw">
    <w:name w:val="gtclistlittleromanhl-bw"/>
    <w:basedOn w:val="Normal"/>
    <w:rsid w:val="00FD4AE1"/>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
    <w:name w:val="gtclistlittleromanhl"/>
    <w:basedOn w:val="Normal"/>
    <w:rsid w:val="00FD4AE1"/>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bw">
    <w:name w:val="gtclistbigromanhl-bw"/>
    <w:basedOn w:val="Normal"/>
    <w:rsid w:val="00FD4AE1"/>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
    <w:name w:val="gtclistbigromanhl"/>
    <w:basedOn w:val="Normal"/>
    <w:rsid w:val="00FD4AE1"/>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bw">
    <w:name w:val="gtclistlittlealphahl-bw"/>
    <w:basedOn w:val="Normal"/>
    <w:rsid w:val="00FD4AE1"/>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
    <w:name w:val="gtclistlittlealphahl"/>
    <w:basedOn w:val="Normal"/>
    <w:rsid w:val="00FD4AE1"/>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ctlistbigalphahl-bw">
    <w:name w:val="gctlistbigalphahl-bw"/>
    <w:basedOn w:val="Normal"/>
    <w:rsid w:val="00FD4AE1"/>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bigalphahl">
    <w:name w:val="gtclistbigalphahl"/>
    <w:basedOn w:val="Normal"/>
    <w:rsid w:val="00FD4AE1"/>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bw">
    <w:name w:val="gtclistarabichl-bw"/>
    <w:basedOn w:val="Normal"/>
    <w:rsid w:val="00FD4AE1"/>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
    <w:name w:val="gtclistarabichl"/>
    <w:basedOn w:val="Normal"/>
    <w:rsid w:val="00FD4AE1"/>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texthl">
    <w:name w:val="gtclisttexthl"/>
    <w:basedOn w:val="Normal"/>
    <w:rsid w:val="00FD4AE1"/>
    <w:pPr>
      <w:spacing w:after="0" w:line="240" w:lineRule="auto"/>
    </w:pPr>
    <w:rPr>
      <w:rFonts w:ascii="Times New Roman" w:eastAsia="Times New Roman" w:hAnsi="Times New Roman" w:cs="Times New Roman"/>
      <w:sz w:val="16"/>
      <w:szCs w:val="16"/>
      <w:lang w:val="en-US"/>
    </w:rPr>
  </w:style>
  <w:style w:type="paragraph" w:customStyle="1" w:styleId="gtclisttexthlinserted">
    <w:name w:val="gtclisttexthlinserted"/>
    <w:basedOn w:val="Normal"/>
    <w:rsid w:val="00FD4AE1"/>
    <w:pPr>
      <w:spacing w:after="0" w:line="240" w:lineRule="auto"/>
    </w:pPr>
    <w:rPr>
      <w:rFonts w:ascii="Times New Roman" w:eastAsia="Times New Roman" w:hAnsi="Times New Roman" w:cs="Times New Roman"/>
      <w:color w:val="FF0000"/>
      <w:sz w:val="16"/>
      <w:szCs w:val="16"/>
      <w:u w:val="double"/>
      <w:lang w:val="en-US"/>
    </w:rPr>
  </w:style>
  <w:style w:type="paragraph" w:customStyle="1" w:styleId="gtclisttexthldeleted">
    <w:name w:val="gtclisttexthldeleted"/>
    <w:basedOn w:val="Normal"/>
    <w:rsid w:val="00FD4AE1"/>
    <w:pPr>
      <w:spacing w:after="0" w:line="240" w:lineRule="auto"/>
    </w:pPr>
    <w:rPr>
      <w:rFonts w:ascii="Times New Roman" w:eastAsia="Times New Roman" w:hAnsi="Times New Roman" w:cs="Times New Roman"/>
      <w:strike/>
      <w:color w:val="0000FF"/>
      <w:sz w:val="16"/>
      <w:szCs w:val="16"/>
      <w:lang w:val="en-US"/>
    </w:rPr>
  </w:style>
  <w:style w:type="paragraph" w:customStyle="1" w:styleId="gtctabletitlealignlefthl">
    <w:name w:val="gtctabletitlealignleft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alignrighthl">
    <w:name w:val="gtctabletitlealignrighthl"/>
    <w:basedOn w:val="Normal"/>
    <w:rsid w:val="00FD4AE1"/>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gtctabletitleotherwisehl">
    <w:name w:val="gtctabletitleotherwise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insertmarkuphl">
    <w:name w:val="gtctabletitleinsertmarkuphl"/>
    <w:basedOn w:val="Normal"/>
    <w:rsid w:val="00FD4AE1"/>
    <w:pPr>
      <w:spacing w:before="100" w:beforeAutospacing="1" w:after="100" w:afterAutospacing="1" w:line="240" w:lineRule="auto"/>
    </w:pPr>
    <w:rPr>
      <w:rFonts w:ascii="Times New Roman" w:eastAsia="Times New Roman" w:hAnsi="Times New Roman" w:cs="Times New Roman"/>
      <w:color w:val="FF0000"/>
      <w:sz w:val="16"/>
      <w:szCs w:val="16"/>
      <w:u w:val="double"/>
      <w:lang w:val="en-US"/>
    </w:rPr>
  </w:style>
  <w:style w:type="paragraph" w:customStyle="1" w:styleId="gtctabletitledeletemarkuphl">
    <w:name w:val="gtctabletitledeletemarkuphl"/>
    <w:basedOn w:val="Normal"/>
    <w:rsid w:val="00FD4AE1"/>
    <w:pPr>
      <w:spacing w:before="100" w:beforeAutospacing="1" w:after="100" w:afterAutospacing="1" w:line="240" w:lineRule="auto"/>
    </w:pPr>
    <w:rPr>
      <w:rFonts w:ascii="Times New Roman" w:eastAsia="Times New Roman" w:hAnsi="Times New Roman" w:cs="Times New Roman"/>
      <w:strike/>
      <w:color w:val="0000FF"/>
      <w:sz w:val="16"/>
      <w:szCs w:val="16"/>
      <w:lang w:val="en-US"/>
    </w:rPr>
  </w:style>
  <w:style w:type="paragraph" w:customStyle="1" w:styleId="gtcproductprofile">
    <w:name w:val="gtcproductprofile"/>
    <w:basedOn w:val="Normal"/>
    <w:rsid w:val="00FD4AE1"/>
    <w:pPr>
      <w:shd w:val="clear" w:color="auto" w:fill="FFFF99"/>
      <w:spacing w:before="240" w:after="240" w:line="240" w:lineRule="auto"/>
    </w:pPr>
    <w:rPr>
      <w:rFonts w:ascii="Times New Roman" w:eastAsia="Times New Roman" w:hAnsi="Times New Roman" w:cs="Times New Roman"/>
      <w:sz w:val="24"/>
      <w:szCs w:val="24"/>
      <w:lang w:val="en-US"/>
    </w:rPr>
  </w:style>
  <w:style w:type="paragraph" w:customStyle="1" w:styleId="gtcprofileinfo">
    <w:name w:val="gtcprofileinfo"/>
    <w:basedOn w:val="Normal"/>
    <w:rsid w:val="00FD4AE1"/>
    <w:pPr>
      <w:spacing w:after="0" w:line="240" w:lineRule="auto"/>
    </w:pPr>
    <w:rPr>
      <w:rFonts w:ascii="Times New Roman" w:eastAsia="Times New Roman" w:hAnsi="Times New Roman" w:cs="Times New Roman"/>
      <w:color w:val="808080"/>
      <w:sz w:val="24"/>
      <w:szCs w:val="24"/>
      <w:lang w:val="en-US"/>
    </w:rPr>
  </w:style>
  <w:style w:type="paragraph" w:customStyle="1" w:styleId="gtcgenericlabeldiv">
    <w:name w:val="gtcgenericlabeldiv"/>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genericlabel">
    <w:name w:val="gtcgenericlabel"/>
    <w:basedOn w:val="Normal"/>
    <w:rsid w:val="00FD4AE1"/>
    <w:pPr>
      <w:spacing w:before="120" w:after="0" w:line="240" w:lineRule="auto"/>
    </w:pPr>
    <w:rPr>
      <w:rFonts w:ascii="Times New Roman" w:eastAsia="Times New Roman" w:hAnsi="Times New Roman" w:cs="Times New Roman"/>
      <w:sz w:val="16"/>
      <w:szCs w:val="16"/>
      <w:lang w:val="en-US"/>
    </w:rPr>
  </w:style>
  <w:style w:type="paragraph" w:customStyle="1" w:styleId="gtcgenericlabeltoc">
    <w:name w:val="gtcgenericlabeltoc"/>
    <w:basedOn w:val="Normal"/>
    <w:rsid w:val="00FD4AE1"/>
    <w:pPr>
      <w:spacing w:before="120" w:after="0" w:line="240" w:lineRule="auto"/>
    </w:pPr>
    <w:rPr>
      <w:rFonts w:ascii="Times New Roman" w:eastAsia="Times New Roman" w:hAnsi="Times New Roman" w:cs="Times New Roman"/>
      <w:sz w:val="16"/>
      <w:szCs w:val="16"/>
      <w:lang w:val="en-US"/>
    </w:rPr>
  </w:style>
  <w:style w:type="paragraph" w:customStyle="1" w:styleId="gtcsectionbreak">
    <w:name w:val="gtcsectionbreak"/>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break">
    <w:name w:val="gtcpagebreak"/>
    <w:basedOn w:val="Normal"/>
    <w:rsid w:val="00FD4AE1"/>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sectionbreak">
    <w:name w:val="gtcpagesectionbreak"/>
    <w:basedOn w:val="Normal"/>
    <w:rsid w:val="00FD4AE1"/>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itleleft">
    <w:name w:val="gtctitleleft"/>
    <w:basedOn w:val="Normal"/>
    <w:rsid w:val="00FD4AE1"/>
    <w:pPr>
      <w:spacing w:before="120" w:after="120" w:line="240" w:lineRule="auto"/>
    </w:pPr>
    <w:rPr>
      <w:rFonts w:ascii="Times New Roman" w:eastAsia="Times New Roman" w:hAnsi="Times New Roman" w:cs="Times New Roman"/>
      <w:b/>
      <w:bCs/>
      <w:sz w:val="28"/>
      <w:szCs w:val="28"/>
      <w:lang w:val="en-US"/>
    </w:rPr>
  </w:style>
  <w:style w:type="paragraph" w:customStyle="1" w:styleId="gtctitleright">
    <w:name w:val="gtctitleright"/>
    <w:basedOn w:val="Normal"/>
    <w:rsid w:val="00FD4AE1"/>
    <w:pPr>
      <w:spacing w:before="120" w:after="120" w:line="240" w:lineRule="auto"/>
      <w:jc w:val="right"/>
    </w:pPr>
    <w:rPr>
      <w:rFonts w:ascii="Times New Roman" w:eastAsia="Times New Roman" w:hAnsi="Times New Roman" w:cs="Times New Roman"/>
      <w:b/>
      <w:bCs/>
      <w:sz w:val="28"/>
      <w:szCs w:val="28"/>
      <w:lang w:val="en-US"/>
    </w:rPr>
  </w:style>
  <w:style w:type="paragraph" w:customStyle="1" w:styleId="gtctitlecenter">
    <w:name w:val="gtctitlecenter"/>
    <w:basedOn w:val="Normal"/>
    <w:rsid w:val="00FD4AE1"/>
    <w:pPr>
      <w:spacing w:before="120" w:after="120" w:line="240" w:lineRule="auto"/>
      <w:jc w:val="center"/>
    </w:pPr>
    <w:rPr>
      <w:rFonts w:ascii="Times New Roman" w:eastAsia="Times New Roman" w:hAnsi="Times New Roman" w:cs="Times New Roman"/>
      <w:b/>
      <w:bCs/>
      <w:sz w:val="28"/>
      <w:szCs w:val="28"/>
      <w:lang w:val="en-US"/>
    </w:rPr>
  </w:style>
  <w:style w:type="paragraph" w:customStyle="1" w:styleId="gtctitlejustify">
    <w:name w:val="gtctitlejustify"/>
    <w:basedOn w:val="Normal"/>
    <w:rsid w:val="00FD4AE1"/>
    <w:pPr>
      <w:spacing w:before="120" w:after="120" w:line="240" w:lineRule="auto"/>
      <w:jc w:val="both"/>
    </w:pPr>
    <w:rPr>
      <w:rFonts w:ascii="Times New Roman" w:eastAsia="Times New Roman" w:hAnsi="Times New Roman" w:cs="Times New Roman"/>
      <w:b/>
      <w:bCs/>
      <w:sz w:val="28"/>
      <w:szCs w:val="28"/>
      <w:lang w:val="en-US"/>
    </w:rPr>
  </w:style>
  <w:style w:type="paragraph" w:customStyle="1" w:styleId="gtcheading1">
    <w:name w:val="gtcheading1"/>
    <w:basedOn w:val="Normal"/>
    <w:rsid w:val="00FD4AE1"/>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1d">
    <w:name w:val="gtcheading1d"/>
    <w:basedOn w:val="Normal"/>
    <w:rsid w:val="00FD4AE1"/>
    <w:pPr>
      <w:keepNext/>
      <w:spacing w:before="240" w:after="240" w:line="240" w:lineRule="auto"/>
    </w:pPr>
    <w:rPr>
      <w:rFonts w:ascii="Times New Roman" w:eastAsia="Times New Roman" w:hAnsi="Times New Roman" w:cs="Times New Roman"/>
      <w:b/>
      <w:bCs/>
      <w:caps/>
      <w:strike/>
      <w:color w:val="FF0000"/>
      <w:sz w:val="24"/>
      <w:szCs w:val="24"/>
      <w:lang w:val="en-US"/>
    </w:rPr>
  </w:style>
  <w:style w:type="paragraph" w:customStyle="1" w:styleId="gtcheading1i">
    <w:name w:val="gtcheading1i"/>
    <w:basedOn w:val="Normal"/>
    <w:rsid w:val="00FD4AE1"/>
    <w:pPr>
      <w:keepNext/>
      <w:spacing w:before="240" w:after="240" w:line="240" w:lineRule="auto"/>
    </w:pPr>
    <w:rPr>
      <w:rFonts w:ascii="Times New Roman" w:eastAsia="Times New Roman" w:hAnsi="Times New Roman" w:cs="Times New Roman"/>
      <w:b/>
      <w:bCs/>
      <w:caps/>
      <w:color w:val="FF0000"/>
      <w:sz w:val="24"/>
      <w:szCs w:val="24"/>
      <w:lang w:val="en-US"/>
    </w:rPr>
  </w:style>
  <w:style w:type="paragraph" w:customStyle="1" w:styleId="gtcheading2">
    <w:name w:val="gtcheading2"/>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2d">
    <w:name w:val="gtcheading2d"/>
    <w:basedOn w:val="Normal"/>
    <w:rsid w:val="00FD4AE1"/>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2i">
    <w:name w:val="gtcheading2i"/>
    <w:basedOn w:val="Normal"/>
    <w:rsid w:val="00FD4AE1"/>
    <w:pPr>
      <w:keepNext/>
      <w:spacing w:before="240" w:after="240" w:line="240" w:lineRule="auto"/>
    </w:pPr>
    <w:rPr>
      <w:rFonts w:ascii="Times New Roman" w:eastAsia="Times New Roman" w:hAnsi="Times New Roman" w:cs="Times New Roman"/>
      <w:b/>
      <w:bCs/>
      <w:color w:val="FF0000"/>
      <w:sz w:val="24"/>
      <w:szCs w:val="24"/>
      <w:lang w:val="en-US"/>
    </w:rPr>
  </w:style>
  <w:style w:type="paragraph" w:customStyle="1" w:styleId="gtcheading3">
    <w:name w:val="gtcheading3"/>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d">
    <w:name w:val="gtcheading3d"/>
    <w:basedOn w:val="Normal"/>
    <w:rsid w:val="00FD4AE1"/>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3i">
    <w:name w:val="gtcheading3i"/>
    <w:basedOn w:val="Normal"/>
    <w:rsid w:val="00FD4AE1"/>
    <w:pPr>
      <w:keepNext/>
      <w:spacing w:before="240" w:after="240" w:line="240" w:lineRule="auto"/>
    </w:pPr>
    <w:rPr>
      <w:rFonts w:ascii="Times New Roman" w:eastAsia="Times New Roman" w:hAnsi="Times New Roman" w:cs="Times New Roman"/>
      <w:color w:val="FF0000"/>
      <w:sz w:val="24"/>
      <w:szCs w:val="24"/>
      <w:lang w:val="en-US"/>
    </w:rPr>
  </w:style>
  <w:style w:type="paragraph" w:customStyle="1" w:styleId="gtcheading4">
    <w:name w:val="gtcheading4"/>
    <w:basedOn w:val="Normal"/>
    <w:rsid w:val="00FD4AE1"/>
    <w:pPr>
      <w:keepNext/>
      <w:spacing w:before="240" w:after="240" w:line="240" w:lineRule="auto"/>
    </w:pPr>
    <w:rPr>
      <w:rFonts w:ascii="Times New Roman" w:eastAsia="Times New Roman" w:hAnsi="Times New Roman" w:cs="Times New Roman"/>
      <w:i/>
      <w:iCs/>
      <w:sz w:val="24"/>
      <w:szCs w:val="24"/>
      <w:lang w:val="en-US"/>
    </w:rPr>
  </w:style>
  <w:style w:type="paragraph" w:customStyle="1" w:styleId="gtcheading4d">
    <w:name w:val="gtcheading4d"/>
    <w:basedOn w:val="Normal"/>
    <w:rsid w:val="00FD4AE1"/>
    <w:pPr>
      <w:keepNext/>
      <w:spacing w:before="240" w:after="240" w:line="240" w:lineRule="auto"/>
    </w:pPr>
    <w:rPr>
      <w:rFonts w:ascii="Times New Roman" w:eastAsia="Times New Roman" w:hAnsi="Times New Roman" w:cs="Times New Roman"/>
      <w:i/>
      <w:iCs/>
      <w:strike/>
      <w:color w:val="FF0000"/>
      <w:sz w:val="24"/>
      <w:szCs w:val="24"/>
      <w:lang w:val="en-US"/>
    </w:rPr>
  </w:style>
  <w:style w:type="paragraph" w:customStyle="1" w:styleId="gtcheading4i">
    <w:name w:val="gtcheading4i"/>
    <w:basedOn w:val="Normal"/>
    <w:rsid w:val="00FD4AE1"/>
    <w:pPr>
      <w:keepNext/>
      <w:spacing w:before="240" w:after="240" w:line="240" w:lineRule="auto"/>
    </w:pPr>
    <w:rPr>
      <w:rFonts w:ascii="Times New Roman" w:eastAsia="Times New Roman" w:hAnsi="Times New Roman" w:cs="Times New Roman"/>
      <w:i/>
      <w:iCs/>
      <w:color w:val="FF0000"/>
      <w:sz w:val="24"/>
      <w:szCs w:val="24"/>
      <w:lang w:val="en-US"/>
    </w:rPr>
  </w:style>
  <w:style w:type="paragraph" w:customStyle="1" w:styleId="gtctextsectiondepth1">
    <w:name w:val="gtctextsectiondepth1"/>
    <w:basedOn w:val="Normal"/>
    <w:rsid w:val="00FD4AE1"/>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textsectiondepth2">
    <w:name w:val="gtctextsectiondepth2"/>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3">
    <w:name w:val="gtctextsectiondepth3"/>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4">
    <w:name w:val="gtctextsectiondepth4"/>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5">
    <w:name w:val="gtctextsectiondepth5"/>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6">
    <w:name w:val="gtctextsectiondepth6"/>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7">
    <w:name w:val="gtctextsectiondepth7"/>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8">
    <w:name w:val="gtctextsectiondepth8"/>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9">
    <w:name w:val="gtctextsectiondepth9"/>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standardtext">
    <w:name w:val="gtcstandardtext"/>
    <w:basedOn w:val="Normal"/>
    <w:rsid w:val="00FD4AE1"/>
    <w:pPr>
      <w:spacing w:before="240" w:after="240" w:line="240" w:lineRule="auto"/>
    </w:pPr>
    <w:rPr>
      <w:rFonts w:ascii="Times New Roman" w:eastAsia="Times New Roman" w:hAnsi="Times New Roman" w:cs="Times New Roman"/>
      <w:color w:val="0000FF"/>
      <w:sz w:val="24"/>
      <w:szCs w:val="24"/>
      <w:lang w:val="en-US"/>
    </w:rPr>
  </w:style>
  <w:style w:type="paragraph" w:customStyle="1" w:styleId="gtccaption">
    <w:name w:val="gtccaption"/>
    <w:basedOn w:val="Normal"/>
    <w:rsid w:val="00FD4AE1"/>
    <w:pPr>
      <w:spacing w:before="240" w:after="240" w:line="240" w:lineRule="auto"/>
    </w:pPr>
    <w:rPr>
      <w:rFonts w:ascii="Times New Roman" w:eastAsia="Times New Roman" w:hAnsi="Times New Roman" w:cs="Times New Roman"/>
      <w:caps/>
      <w:sz w:val="24"/>
      <w:szCs w:val="24"/>
      <w:lang w:val="en-US"/>
    </w:rPr>
  </w:style>
  <w:style w:type="paragraph" w:customStyle="1" w:styleId="gtclist-bw">
    <w:name w:val="gtclist-bw"/>
    <w:basedOn w:val="Normal"/>
    <w:rsid w:val="00FD4AE1"/>
    <w:pPr>
      <w:spacing w:before="40" w:after="40" w:line="240" w:lineRule="auto"/>
    </w:pPr>
    <w:rPr>
      <w:rFonts w:ascii="Times New Roman" w:eastAsia="Times New Roman" w:hAnsi="Times New Roman" w:cs="Times New Roman"/>
      <w:sz w:val="24"/>
      <w:szCs w:val="24"/>
      <w:lang w:val="en-US"/>
    </w:rPr>
  </w:style>
  <w:style w:type="paragraph" w:customStyle="1" w:styleId="gtctabletitlealignleft">
    <w:name w:val="gtctabletitlealignleft"/>
    <w:basedOn w:val="Normal"/>
    <w:rsid w:val="00FD4AE1"/>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alignright">
    <w:name w:val="gtctabletitlealignright"/>
    <w:basedOn w:val="Normal"/>
    <w:rsid w:val="00FD4AE1"/>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gtctabletitleinsertmarkup">
    <w:name w:val="gtctabletitleinsertmarkup"/>
    <w:basedOn w:val="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markup">
    <w:name w:val="gtctabletitledeletemarkup"/>
    <w:basedOn w:val="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tableheadertextleftrule">
    <w:name w:val="gtctableheadertextleftrule"/>
    <w:basedOn w:val="Normal"/>
    <w:rsid w:val="00FD4AE1"/>
    <w:pPr>
      <w:pBdr>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rule">
    <w:name w:val="gtctableheadertextrightrule"/>
    <w:basedOn w:val="Normal"/>
    <w:rsid w:val="00FD4AE1"/>
    <w:pPr>
      <w:pBdr>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toprule">
    <w:name w:val="gtctableheadertexttoprule"/>
    <w:basedOn w:val="Normal"/>
    <w:rsid w:val="00FD4AE1"/>
    <w:pPr>
      <w:pBdr>
        <w:top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bottomrule">
    <w:name w:val="gtctableheadertextbottomrule"/>
    <w:basedOn w:val="Normal"/>
    <w:rsid w:val="00FD4AE1"/>
    <w:pPr>
      <w:pBdr>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rule">
    <w:name w:val="gtctableheadertextleftrightrule"/>
    <w:basedOn w:val="Normal"/>
    <w:rsid w:val="00FD4AE1"/>
    <w:pPr>
      <w:pBdr>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toprule">
    <w:name w:val="gtctableheadertextlefttoprule"/>
    <w:basedOn w:val="Normal"/>
    <w:rsid w:val="00FD4AE1"/>
    <w:pPr>
      <w:pBdr>
        <w:top w:val="single" w:sz="6" w:space="0" w:color="000000"/>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bottomrule">
    <w:name w:val="gtctableheadertextleftbottomrule"/>
    <w:basedOn w:val="Normal"/>
    <w:rsid w:val="00FD4AE1"/>
    <w:pPr>
      <w:pBdr>
        <w:left w:val="single" w:sz="6" w:space="0" w:color="000000"/>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rule">
    <w:name w:val="gtctableheadertextrighttoprule"/>
    <w:basedOn w:val="Normal"/>
    <w:rsid w:val="00FD4AE1"/>
    <w:pPr>
      <w:pBdr>
        <w:top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bottomrule">
    <w:name w:val="gtctableheadertextrightbottomrule"/>
    <w:basedOn w:val="Normal"/>
    <w:rsid w:val="00FD4AE1"/>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rule">
    <w:name w:val="gtctableheadertextleftrighttoprule"/>
    <w:basedOn w:val="Normal"/>
    <w:rsid w:val="00FD4AE1"/>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bottomrule">
    <w:name w:val="gtctableheadertextleftrightbottomrule"/>
    <w:basedOn w:val="Normal"/>
    <w:rsid w:val="00FD4AE1"/>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bottomrule">
    <w:name w:val="gtctableheadertextrighttopbottomrule"/>
    <w:basedOn w:val="Normal"/>
    <w:rsid w:val="00FD4AE1"/>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bottomrule">
    <w:name w:val="gtctableheadertextleftrighttopbottomrule"/>
    <w:basedOn w:val="Normal"/>
    <w:rsid w:val="00FD4AE1"/>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norule">
    <w:name w:val="gtctableheadertextnorule"/>
    <w:basedOn w:val="Normal"/>
    <w:rsid w:val="00FD4AE1"/>
    <w:pP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datatextleftrule">
    <w:name w:val="gtctabledatatextleftrule"/>
    <w:basedOn w:val="Normal"/>
    <w:rsid w:val="00FD4AE1"/>
    <w:pPr>
      <w:pBdr>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rule">
    <w:name w:val="gtctabledatatextrightrule"/>
    <w:basedOn w:val="Normal"/>
    <w:rsid w:val="00FD4AE1"/>
    <w:pPr>
      <w:pBdr>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toprule">
    <w:name w:val="gtctabledatatexttoprule"/>
    <w:basedOn w:val="Normal"/>
    <w:rsid w:val="00FD4AE1"/>
    <w:pPr>
      <w:pBdr>
        <w:top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bottomrule">
    <w:name w:val="gtctabledatatextbottomrule"/>
    <w:basedOn w:val="Normal"/>
    <w:rsid w:val="00FD4AE1"/>
    <w:pPr>
      <w:pBdr>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rule">
    <w:name w:val="gtctabledatatextleftrightrule"/>
    <w:basedOn w:val="Normal"/>
    <w:rsid w:val="00FD4AE1"/>
    <w:pPr>
      <w:pBdr>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toprule">
    <w:name w:val="gtctabledatatextlefttoprule"/>
    <w:basedOn w:val="Normal"/>
    <w:rsid w:val="00FD4AE1"/>
    <w:pPr>
      <w:pBdr>
        <w:top w:val="single" w:sz="6" w:space="0" w:color="000000"/>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bottomrule">
    <w:name w:val="gtctabledatatextleftbottomrule"/>
    <w:basedOn w:val="Normal"/>
    <w:rsid w:val="00FD4AE1"/>
    <w:pPr>
      <w:pBdr>
        <w:left w:val="single" w:sz="6" w:space="0" w:color="000000"/>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rule">
    <w:name w:val="gtctabledatatextrighttoprule"/>
    <w:basedOn w:val="Normal"/>
    <w:rsid w:val="00FD4AE1"/>
    <w:pPr>
      <w:pBdr>
        <w:top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bottomrule">
    <w:name w:val="gtctabledatatextrightbottomrule"/>
    <w:basedOn w:val="Normal"/>
    <w:rsid w:val="00FD4AE1"/>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rule">
    <w:name w:val="gtctabledatatextleftrighttoprule"/>
    <w:basedOn w:val="Normal"/>
    <w:rsid w:val="00FD4AE1"/>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bottomrule">
    <w:name w:val="gtctabledatatextleftrightbottomrule"/>
    <w:basedOn w:val="Normal"/>
    <w:rsid w:val="00FD4AE1"/>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bottomrule">
    <w:name w:val="gtctabledatatextrighttopbottomrule"/>
    <w:basedOn w:val="Normal"/>
    <w:rsid w:val="00FD4AE1"/>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bottomrule">
    <w:name w:val="gtctabledatatextleftrighttopbottomrule"/>
    <w:basedOn w:val="Normal"/>
    <w:rsid w:val="00FD4AE1"/>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norule">
    <w:name w:val="gtctabledatatextnorule"/>
    <w:basedOn w:val="Normal"/>
    <w:rsid w:val="00FD4AE1"/>
    <w:pPr>
      <w:spacing w:before="60" w:after="60" w:line="300" w:lineRule="auto"/>
      <w:jc w:val="center"/>
    </w:pPr>
    <w:rPr>
      <w:rFonts w:ascii="Times New Roman" w:eastAsia="Times New Roman" w:hAnsi="Times New Roman" w:cs="Times New Roman"/>
      <w:sz w:val="20"/>
      <w:szCs w:val="20"/>
      <w:lang w:val="en-US"/>
    </w:rPr>
  </w:style>
  <w:style w:type="paragraph" w:customStyle="1" w:styleId="gtcsuperscripthl">
    <w:name w:val="gtcsuperscript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subscripthl">
    <w:name w:val="gtcsubscript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inserted">
    <w:name w:val="inserted"/>
    <w:basedOn w:val="Normal"/>
    <w:rsid w:val="00FD4AE1"/>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deleted">
    <w:name w:val="deleted"/>
    <w:basedOn w:val="Normal"/>
    <w:rsid w:val="00FD4AE1"/>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reason">
    <w:name w:val="gtcreason"/>
    <w:basedOn w:val="Normal"/>
    <w:rsid w:val="00FD4AE1"/>
    <w:pPr>
      <w:spacing w:before="100" w:beforeAutospacing="1" w:after="100" w:afterAutospacing="1" w:line="240" w:lineRule="auto"/>
    </w:pPr>
    <w:rPr>
      <w:rFonts w:ascii="Times New Roman" w:eastAsia="Times New Roman" w:hAnsi="Times New Roman" w:cs="Times New Roman"/>
      <w:color w:val="008000"/>
      <w:sz w:val="24"/>
      <w:szCs w:val="24"/>
      <w:lang w:val="en-US"/>
    </w:rPr>
  </w:style>
  <w:style w:type="paragraph" w:customStyle="1" w:styleId="gtcalternatetext">
    <w:name w:val="gtcalternatetext"/>
    <w:basedOn w:val="Normal"/>
    <w:rsid w:val="00FD4AE1"/>
    <w:pP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gtchacomment">
    <w:name w:val="gtchacomment"/>
    <w:basedOn w:val="Normal"/>
    <w:rsid w:val="00FD4AE1"/>
    <w:pPr>
      <w:shd w:val="clear" w:color="auto" w:fill="CC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originaltext">
    <w:name w:val="gtcoriginaltext"/>
    <w:basedOn w:val="Normal"/>
    <w:rsid w:val="00FD4AE1"/>
    <w:pPr>
      <w:shd w:val="clear" w:color="auto"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text">
    <w:name w:val="gtcinternalcommenttext"/>
    <w:basedOn w:val="Normal"/>
    <w:rsid w:val="00FD4AE1"/>
    <w:pPr>
      <w:shd w:val="clear" w:color="auto" w:fill="FFC0C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
    <w:name w:val="gtcinternalcomment"/>
    <w:basedOn w:val="Normal"/>
    <w:rsid w:val="00FD4AE1"/>
    <w:pPr>
      <w:shd w:val="clear" w:color="auto" w:fill="FFC0CB"/>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cngeneral">
    <w:name w:val="cn_general"/>
    <w:basedOn w:val="Normal"/>
    <w:rsid w:val="00FD4AE1"/>
    <w:pPr>
      <w:spacing w:before="100" w:beforeAutospacing="1" w:after="100" w:afterAutospacing="1" w:line="240" w:lineRule="auto"/>
    </w:pPr>
    <w:rPr>
      <w:rFonts w:ascii="Times New Roman" w:eastAsia="Times New Roman" w:hAnsi="Times New Roman" w:cs="Times New Roman"/>
      <w:lang w:val="en-US"/>
    </w:rPr>
  </w:style>
  <w:style w:type="paragraph" w:customStyle="1" w:styleId="cncomprow">
    <w:name w:val="cn_comprow"/>
    <w:basedOn w:val="Normal"/>
    <w:rsid w:val="00FD4AE1"/>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compheaderrow">
    <w:name w:val="cn_compheaderrow"/>
    <w:basedOn w:val="Normal"/>
    <w:rsid w:val="00FD4AE1"/>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outerhl-bw">
    <w:name w:val="gtclistouterhl-bw"/>
    <w:basedOn w:val="Normal"/>
    <w:rsid w:val="00FD4AE1"/>
    <w:pPr>
      <w:spacing w:before="100" w:beforeAutospacing="1" w:after="100" w:afterAutospacing="1" w:line="240" w:lineRule="auto"/>
      <w:ind w:left="540"/>
    </w:pPr>
    <w:rPr>
      <w:rFonts w:ascii="Times New Roman" w:eastAsia="Times New Roman" w:hAnsi="Times New Roman" w:cs="Times New Roman"/>
      <w:sz w:val="24"/>
      <w:szCs w:val="24"/>
      <w:lang w:val="en-US"/>
    </w:rPr>
  </w:style>
  <w:style w:type="paragraph" w:customStyle="1" w:styleId="gtclistouterhl">
    <w:name w:val="gtclistouterhl"/>
    <w:basedOn w:val="Normal"/>
    <w:rsid w:val="00FD4AE1"/>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outer">
    <w:name w:val="gtclistouter"/>
    <w:basedOn w:val="Normal"/>
    <w:rsid w:val="00FD4AE1"/>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innerhl">
    <w:name w:val="gtclistinnerhl"/>
    <w:basedOn w:val="Normal"/>
    <w:rsid w:val="00FD4AE1"/>
    <w:pPr>
      <w:spacing w:after="0" w:line="240" w:lineRule="auto"/>
      <w:ind w:left="-360"/>
    </w:pPr>
    <w:rPr>
      <w:rFonts w:ascii="Times New Roman" w:eastAsia="Times New Roman" w:hAnsi="Times New Roman" w:cs="Times New Roman"/>
      <w:sz w:val="24"/>
      <w:szCs w:val="24"/>
      <w:lang w:val="en-US"/>
    </w:rPr>
  </w:style>
  <w:style w:type="paragraph" w:customStyle="1" w:styleId="gtclistinner">
    <w:name w:val="gtclistinner"/>
    <w:basedOn w:val="Normal"/>
    <w:rsid w:val="00FD4AE1"/>
    <w:pPr>
      <w:spacing w:after="0" w:line="240" w:lineRule="auto"/>
      <w:ind w:left="-360"/>
    </w:pPr>
    <w:rPr>
      <w:rFonts w:ascii="Times New Roman" w:eastAsia="Times New Roman" w:hAnsi="Times New Roman" w:cs="Times New Roman"/>
      <w:sz w:val="24"/>
      <w:szCs w:val="24"/>
      <w:lang w:val="en-US"/>
    </w:rPr>
  </w:style>
  <w:style w:type="paragraph" w:customStyle="1" w:styleId="gtcleftalign">
    <w:name w:val="gtcleftalign"/>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centeralign">
    <w:name w:val="gtccenteralign"/>
    <w:basedOn w:val="Normal"/>
    <w:rsid w:val="00FD4AE1"/>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entred">
    <w:name w:val="centred"/>
    <w:basedOn w:val="Normal"/>
    <w:rsid w:val="00FD4AE1"/>
    <w:pPr>
      <w:suppressAutoHyphens/>
      <w:spacing w:after="0" w:line="240" w:lineRule="auto"/>
      <w:jc w:val="center"/>
    </w:pPr>
    <w:rPr>
      <w:rFonts w:ascii="Times New Roman" w:eastAsia="Times New Roman" w:hAnsi="Times New Roman" w:cs="Times New Roman"/>
      <w:b/>
      <w:szCs w:val="24"/>
      <w:lang w:val="en-GB"/>
    </w:rPr>
  </w:style>
  <w:style w:type="paragraph" w:customStyle="1" w:styleId="leftaligned">
    <w:name w:val="leftaligned"/>
    <w:basedOn w:val="Normal"/>
    <w:rsid w:val="00FD4AE1"/>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paragraph" w:customStyle="1" w:styleId="BMCENTRED">
    <w:name w:val="BM CENTRED"/>
    <w:basedOn w:val="Normal"/>
    <w:rsid w:val="00FD4AE1"/>
    <w:pPr>
      <w:suppressAutoHyphens/>
      <w:spacing w:after="0" w:line="240" w:lineRule="auto"/>
      <w:jc w:val="center"/>
    </w:pPr>
    <w:rPr>
      <w:rFonts w:ascii="Times New Roman" w:eastAsia="Times New Roman" w:hAnsi="Times New Roman" w:cs="Times New Roman"/>
      <w:b/>
      <w:szCs w:val="24"/>
      <w:lang w:val="en-GB"/>
    </w:rPr>
  </w:style>
  <w:style w:type="paragraph" w:customStyle="1" w:styleId="bmleftaligned">
    <w:name w:val="bmleftaligned"/>
    <w:basedOn w:val="Normal"/>
    <w:rsid w:val="00FD4AE1"/>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character" w:customStyle="1" w:styleId="gtcgreyshadedtext1">
    <w:name w:val="gtcgreyshadedtext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
    <w:name w:val="gtcannotation1"/>
    <w:rsid w:val="00FD4AE1"/>
    <w:rPr>
      <w:color w:val="006633"/>
      <w:sz w:val="20"/>
      <w:szCs w:val="20"/>
    </w:rPr>
  </w:style>
  <w:style w:type="character" w:customStyle="1" w:styleId="gtcannotationhl1">
    <w:name w:val="gtcannotationhl1"/>
    <w:rsid w:val="00FD4AE1"/>
    <w:rPr>
      <w:color w:val="006633"/>
      <w:sz w:val="16"/>
      <w:szCs w:val="16"/>
    </w:rPr>
  </w:style>
  <w:style w:type="paragraph" w:customStyle="1" w:styleId="gtchighlighttextboxedwarnings1">
    <w:name w:val="gtchighlighttextboxedwarnings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
    <w:name w:val="gtchighlighttext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
    <w:name w:val="gtcgreyshadedtext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
    <w:name w:val="gtcannotation2"/>
    <w:rsid w:val="00FD4AE1"/>
    <w:rPr>
      <w:color w:val="006633"/>
      <w:sz w:val="20"/>
      <w:szCs w:val="20"/>
    </w:rPr>
  </w:style>
  <w:style w:type="character" w:customStyle="1" w:styleId="gtcannotationhl2">
    <w:name w:val="gtcannotationhl2"/>
    <w:rsid w:val="00FD4AE1"/>
    <w:rPr>
      <w:color w:val="006633"/>
      <w:sz w:val="16"/>
      <w:szCs w:val="16"/>
    </w:rPr>
  </w:style>
  <w:style w:type="paragraph" w:customStyle="1" w:styleId="gtchighlighttextboxedwarnings2">
    <w:name w:val="gtchighlighttextboxedwarnings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
    <w:name w:val="gtchighlighttext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italic1">
    <w:name w:val="gtcitalic1"/>
    <w:rsid w:val="00FD4AE1"/>
    <w:rPr>
      <w:i/>
      <w:iCs/>
    </w:rPr>
  </w:style>
  <w:style w:type="character" w:customStyle="1" w:styleId="gtcgreyshadedtext3">
    <w:name w:val="gtcgreyshadedtext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
    <w:name w:val="gtcannotation3"/>
    <w:rsid w:val="00FD4AE1"/>
    <w:rPr>
      <w:color w:val="006633"/>
      <w:sz w:val="20"/>
      <w:szCs w:val="20"/>
    </w:rPr>
  </w:style>
  <w:style w:type="character" w:customStyle="1" w:styleId="gtcannotationhl3">
    <w:name w:val="gtcannotationhl3"/>
    <w:rsid w:val="00FD4AE1"/>
    <w:rPr>
      <w:color w:val="006633"/>
      <w:sz w:val="16"/>
      <w:szCs w:val="16"/>
    </w:rPr>
  </w:style>
  <w:style w:type="paragraph" w:customStyle="1" w:styleId="gtchighlighttextboxedwarnings3">
    <w:name w:val="gtchighlighttextboxedwarnings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
    <w:name w:val="gtchighlighttext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highlightparagraph1">
    <w:name w:val="gtchighlightparagraph1"/>
    <w:rsid w:val="00FD4AE1"/>
    <w:rPr>
      <w:sz w:val="16"/>
      <w:szCs w:val="16"/>
    </w:rPr>
  </w:style>
  <w:style w:type="character" w:customStyle="1" w:styleId="gtcgreyshadedtext4">
    <w:name w:val="gtcgreyshadedtext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
    <w:name w:val="gtcannotation4"/>
    <w:rsid w:val="00FD4AE1"/>
    <w:rPr>
      <w:color w:val="006633"/>
      <w:sz w:val="20"/>
      <w:szCs w:val="20"/>
    </w:rPr>
  </w:style>
  <w:style w:type="character" w:customStyle="1" w:styleId="gtcannotationhl4">
    <w:name w:val="gtcannotationhl4"/>
    <w:rsid w:val="00FD4AE1"/>
    <w:rPr>
      <w:color w:val="006633"/>
      <w:sz w:val="16"/>
      <w:szCs w:val="16"/>
    </w:rPr>
  </w:style>
  <w:style w:type="paragraph" w:customStyle="1" w:styleId="gtchighlighttextboxedwarnings4">
    <w:name w:val="gtchighlighttextboxedwarnings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
    <w:name w:val="gtchighlighttext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highlightparagraph2">
    <w:name w:val="gtchighlightparagraph2"/>
    <w:rsid w:val="00FD4AE1"/>
    <w:rPr>
      <w:sz w:val="16"/>
      <w:szCs w:val="16"/>
    </w:rPr>
  </w:style>
  <w:style w:type="paragraph" w:customStyle="1" w:styleId="gtchighlighttextregular">
    <w:name w:val="gtchighlighttextregular"/>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tcgreyshadedtext5">
    <w:name w:val="gtcgreyshadedtext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5">
    <w:name w:val="gtcannotation5"/>
    <w:rsid w:val="00FD4AE1"/>
    <w:rPr>
      <w:color w:val="006633"/>
      <w:sz w:val="20"/>
      <w:szCs w:val="20"/>
    </w:rPr>
  </w:style>
  <w:style w:type="character" w:customStyle="1" w:styleId="gtcannotationhl5">
    <w:name w:val="gtcannotationhl5"/>
    <w:rsid w:val="00FD4AE1"/>
    <w:rPr>
      <w:color w:val="006633"/>
      <w:sz w:val="16"/>
      <w:szCs w:val="16"/>
    </w:rPr>
  </w:style>
  <w:style w:type="paragraph" w:customStyle="1" w:styleId="gtchighlighttextboxedwarnings5">
    <w:name w:val="gtchighlighttextboxedwarnings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5">
    <w:name w:val="gtchighlighttext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6">
    <w:name w:val="gtcgreyshadedtext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6">
    <w:name w:val="gtcannotation6"/>
    <w:rsid w:val="00FD4AE1"/>
    <w:rPr>
      <w:color w:val="006633"/>
      <w:sz w:val="20"/>
      <w:szCs w:val="20"/>
    </w:rPr>
  </w:style>
  <w:style w:type="character" w:customStyle="1" w:styleId="gtcannotationhl6">
    <w:name w:val="gtcannotationhl6"/>
    <w:rsid w:val="00FD4AE1"/>
    <w:rPr>
      <w:color w:val="006633"/>
      <w:sz w:val="16"/>
      <w:szCs w:val="16"/>
    </w:rPr>
  </w:style>
  <w:style w:type="paragraph" w:customStyle="1" w:styleId="gtchighlighttextboxedwarnings6">
    <w:name w:val="gtchighlighttextboxedwarnings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6">
    <w:name w:val="gtchighlighttext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7">
    <w:name w:val="gtcgreyshadedtext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7">
    <w:name w:val="gtcannotation7"/>
    <w:rsid w:val="00FD4AE1"/>
    <w:rPr>
      <w:color w:val="006633"/>
      <w:sz w:val="20"/>
      <w:szCs w:val="20"/>
    </w:rPr>
  </w:style>
  <w:style w:type="character" w:customStyle="1" w:styleId="gtcannotationhl7">
    <w:name w:val="gtcannotationhl7"/>
    <w:rsid w:val="00FD4AE1"/>
    <w:rPr>
      <w:color w:val="006633"/>
      <w:sz w:val="16"/>
      <w:szCs w:val="16"/>
    </w:rPr>
  </w:style>
  <w:style w:type="paragraph" w:customStyle="1" w:styleId="gtchighlighttextboxedwarnings7">
    <w:name w:val="gtchighlighttextboxedwarnings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7">
    <w:name w:val="gtchighlighttext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8">
    <w:name w:val="gtcgreyshadedtext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8">
    <w:name w:val="gtcannotation8"/>
    <w:rsid w:val="00FD4AE1"/>
    <w:rPr>
      <w:color w:val="006633"/>
      <w:sz w:val="20"/>
      <w:szCs w:val="20"/>
    </w:rPr>
  </w:style>
  <w:style w:type="character" w:customStyle="1" w:styleId="gtcannotationhl8">
    <w:name w:val="gtcannotationhl8"/>
    <w:rsid w:val="00FD4AE1"/>
    <w:rPr>
      <w:color w:val="006633"/>
      <w:sz w:val="16"/>
      <w:szCs w:val="16"/>
    </w:rPr>
  </w:style>
  <w:style w:type="paragraph" w:customStyle="1" w:styleId="gtchighlighttextboxedwarnings8">
    <w:name w:val="gtchighlighttextboxedwarnings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8">
    <w:name w:val="gtchighlighttext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1">
    <w:name w:val="gtcbold1"/>
    <w:rsid w:val="00FD4AE1"/>
    <w:rPr>
      <w:b/>
      <w:bCs/>
    </w:rPr>
  </w:style>
  <w:style w:type="character" w:customStyle="1" w:styleId="gtclinktext1">
    <w:name w:val="gtclinktext1"/>
    <w:rsid w:val="00FD4AE1"/>
    <w:rPr>
      <w:strike w:val="0"/>
      <w:dstrike w:val="0"/>
      <w:u w:val="none"/>
      <w:effect w:val="none"/>
    </w:rPr>
  </w:style>
  <w:style w:type="character" w:customStyle="1" w:styleId="gtcgreyshadedtext9">
    <w:name w:val="gtcgreyshadedtext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9">
    <w:name w:val="gtcannotation9"/>
    <w:rsid w:val="00FD4AE1"/>
    <w:rPr>
      <w:color w:val="006633"/>
      <w:sz w:val="20"/>
      <w:szCs w:val="20"/>
    </w:rPr>
  </w:style>
  <w:style w:type="character" w:customStyle="1" w:styleId="gtcannotationhl9">
    <w:name w:val="gtcannotationhl9"/>
    <w:rsid w:val="00FD4AE1"/>
    <w:rPr>
      <w:color w:val="006633"/>
      <w:sz w:val="16"/>
      <w:szCs w:val="16"/>
    </w:rPr>
  </w:style>
  <w:style w:type="paragraph" w:customStyle="1" w:styleId="gtchighlighttextboxedwarnings9">
    <w:name w:val="gtchighlighttextboxedwarnings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9">
    <w:name w:val="gtchighlighttext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0">
    <w:name w:val="gtcgreyshadedtext1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0">
    <w:name w:val="gtcannotation10"/>
    <w:rsid w:val="00FD4AE1"/>
    <w:rPr>
      <w:color w:val="006633"/>
      <w:sz w:val="20"/>
      <w:szCs w:val="20"/>
    </w:rPr>
  </w:style>
  <w:style w:type="character" w:customStyle="1" w:styleId="gtcannotationhl10">
    <w:name w:val="gtcannotationhl10"/>
    <w:rsid w:val="00FD4AE1"/>
    <w:rPr>
      <w:color w:val="006633"/>
      <w:sz w:val="16"/>
      <w:szCs w:val="16"/>
    </w:rPr>
  </w:style>
  <w:style w:type="paragraph" w:customStyle="1" w:styleId="gtchighlighttextboxedwarnings10">
    <w:name w:val="gtchighlighttextboxedwarnings1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0">
    <w:name w:val="gtchighlighttext1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1">
    <w:name w:val="gtcgreyshadedtext1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1">
    <w:name w:val="gtcannotation11"/>
    <w:rsid w:val="00FD4AE1"/>
    <w:rPr>
      <w:color w:val="006633"/>
      <w:sz w:val="20"/>
      <w:szCs w:val="20"/>
    </w:rPr>
  </w:style>
  <w:style w:type="character" w:customStyle="1" w:styleId="gtcannotationhl11">
    <w:name w:val="gtcannotationhl11"/>
    <w:rsid w:val="00FD4AE1"/>
    <w:rPr>
      <w:color w:val="006633"/>
      <w:sz w:val="16"/>
      <w:szCs w:val="16"/>
    </w:rPr>
  </w:style>
  <w:style w:type="paragraph" w:customStyle="1" w:styleId="gtchighlighttextboxedwarnings11">
    <w:name w:val="gtchighlighttextboxedwarnings1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1">
    <w:name w:val="gtchighlighttext1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linktext2">
    <w:name w:val="gtclinktext2"/>
    <w:rsid w:val="00FD4AE1"/>
    <w:rPr>
      <w:strike w:val="0"/>
      <w:dstrike w:val="0"/>
      <w:u w:val="none"/>
      <w:effect w:val="none"/>
    </w:rPr>
  </w:style>
  <w:style w:type="character" w:customStyle="1" w:styleId="gtcgreyshadedtext12">
    <w:name w:val="gtcgreyshadedtext1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2">
    <w:name w:val="gtcannotation12"/>
    <w:rsid w:val="00FD4AE1"/>
    <w:rPr>
      <w:color w:val="006633"/>
      <w:sz w:val="20"/>
      <w:szCs w:val="20"/>
    </w:rPr>
  </w:style>
  <w:style w:type="character" w:customStyle="1" w:styleId="gtcannotationhl12">
    <w:name w:val="gtcannotationhl12"/>
    <w:rsid w:val="00FD4AE1"/>
    <w:rPr>
      <w:color w:val="006633"/>
      <w:sz w:val="16"/>
      <w:szCs w:val="16"/>
    </w:rPr>
  </w:style>
  <w:style w:type="paragraph" w:customStyle="1" w:styleId="gtchighlighttextboxedwarnings12">
    <w:name w:val="gtchighlighttextboxedwarnings1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2">
    <w:name w:val="gtchighlighttext1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3">
    <w:name w:val="gtcgreyshadedtext1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3">
    <w:name w:val="gtcannotation13"/>
    <w:rsid w:val="00FD4AE1"/>
    <w:rPr>
      <w:color w:val="006633"/>
      <w:sz w:val="20"/>
      <w:szCs w:val="20"/>
    </w:rPr>
  </w:style>
  <w:style w:type="character" w:customStyle="1" w:styleId="gtcannotationhl13">
    <w:name w:val="gtcannotationhl13"/>
    <w:rsid w:val="00FD4AE1"/>
    <w:rPr>
      <w:color w:val="006633"/>
      <w:sz w:val="16"/>
      <w:szCs w:val="16"/>
    </w:rPr>
  </w:style>
  <w:style w:type="paragraph" w:customStyle="1" w:styleId="gtchighlighttextboxedwarnings13">
    <w:name w:val="gtchighlighttextboxedwarnings1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3">
    <w:name w:val="gtchighlighttext1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4">
    <w:name w:val="gtcgreyshadedtext1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4">
    <w:name w:val="gtcannotation14"/>
    <w:rsid w:val="00FD4AE1"/>
    <w:rPr>
      <w:color w:val="006633"/>
      <w:sz w:val="20"/>
      <w:szCs w:val="20"/>
    </w:rPr>
  </w:style>
  <w:style w:type="character" w:customStyle="1" w:styleId="gtcannotationhl14">
    <w:name w:val="gtcannotationhl14"/>
    <w:rsid w:val="00FD4AE1"/>
    <w:rPr>
      <w:color w:val="006633"/>
      <w:sz w:val="16"/>
      <w:szCs w:val="16"/>
    </w:rPr>
  </w:style>
  <w:style w:type="paragraph" w:customStyle="1" w:styleId="gtchighlighttextboxedwarnings14">
    <w:name w:val="gtchighlighttextboxedwarnings1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4">
    <w:name w:val="gtchighlighttext1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5">
    <w:name w:val="gtcgreyshadedtext1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5">
    <w:name w:val="gtcannotation15"/>
    <w:rsid w:val="00FD4AE1"/>
    <w:rPr>
      <w:color w:val="006633"/>
      <w:sz w:val="20"/>
      <w:szCs w:val="20"/>
    </w:rPr>
  </w:style>
  <w:style w:type="character" w:customStyle="1" w:styleId="gtcannotationhl15">
    <w:name w:val="gtcannotationhl15"/>
    <w:rsid w:val="00FD4AE1"/>
    <w:rPr>
      <w:color w:val="006633"/>
      <w:sz w:val="16"/>
      <w:szCs w:val="16"/>
    </w:rPr>
  </w:style>
  <w:style w:type="paragraph" w:customStyle="1" w:styleId="gtchighlighttextboxedwarnings15">
    <w:name w:val="gtchighlighttextboxedwarnings1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5">
    <w:name w:val="gtchighlighttext1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3">
    <w:name w:val="gtcbold3"/>
    <w:rsid w:val="00FD4AE1"/>
    <w:rPr>
      <w:b/>
      <w:bCs/>
    </w:rPr>
  </w:style>
  <w:style w:type="character" w:customStyle="1" w:styleId="gtclinktext3">
    <w:name w:val="gtclinktext3"/>
    <w:rsid w:val="00FD4AE1"/>
    <w:rPr>
      <w:strike w:val="0"/>
      <w:dstrike w:val="0"/>
      <w:u w:val="none"/>
      <w:effect w:val="none"/>
    </w:rPr>
  </w:style>
  <w:style w:type="character" w:customStyle="1" w:styleId="gtcitalic3">
    <w:name w:val="gtcitalic3"/>
    <w:rsid w:val="00FD4AE1"/>
    <w:rPr>
      <w:i/>
      <w:iCs/>
    </w:rPr>
  </w:style>
  <w:style w:type="character" w:customStyle="1" w:styleId="gtcgreyshadedtext16">
    <w:name w:val="gtcgreyshadedtext1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6">
    <w:name w:val="gtcannotation16"/>
    <w:rsid w:val="00FD4AE1"/>
    <w:rPr>
      <w:color w:val="006633"/>
      <w:sz w:val="20"/>
      <w:szCs w:val="20"/>
    </w:rPr>
  </w:style>
  <w:style w:type="character" w:customStyle="1" w:styleId="gtcannotationhl16">
    <w:name w:val="gtcannotationhl16"/>
    <w:rsid w:val="00FD4AE1"/>
    <w:rPr>
      <w:color w:val="006633"/>
      <w:sz w:val="16"/>
      <w:szCs w:val="16"/>
    </w:rPr>
  </w:style>
  <w:style w:type="paragraph" w:customStyle="1" w:styleId="gtchighlighttextboxedwarnings16">
    <w:name w:val="gtchighlighttextboxedwarnings1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6">
    <w:name w:val="gtchighlighttext1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7">
    <w:name w:val="gtcgreyshadedtext1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7">
    <w:name w:val="gtcannotation17"/>
    <w:rsid w:val="00FD4AE1"/>
    <w:rPr>
      <w:color w:val="006633"/>
      <w:sz w:val="20"/>
      <w:szCs w:val="20"/>
    </w:rPr>
  </w:style>
  <w:style w:type="character" w:customStyle="1" w:styleId="gtcannotationhl17">
    <w:name w:val="gtcannotationhl17"/>
    <w:rsid w:val="00FD4AE1"/>
    <w:rPr>
      <w:color w:val="006633"/>
      <w:sz w:val="16"/>
      <w:szCs w:val="16"/>
    </w:rPr>
  </w:style>
  <w:style w:type="paragraph" w:customStyle="1" w:styleId="gtchighlighttextboxedwarnings17">
    <w:name w:val="gtchighlighttextboxedwarnings1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7">
    <w:name w:val="gtchighlighttext1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4">
    <w:name w:val="gtcbold4"/>
    <w:rsid w:val="00FD4AE1"/>
    <w:rPr>
      <w:b/>
      <w:bCs/>
    </w:rPr>
  </w:style>
  <w:style w:type="character" w:customStyle="1" w:styleId="gtclinktext4">
    <w:name w:val="gtclinktext4"/>
    <w:rsid w:val="00FD4AE1"/>
    <w:rPr>
      <w:strike w:val="0"/>
      <w:dstrike w:val="0"/>
      <w:u w:val="none"/>
      <w:effect w:val="none"/>
    </w:rPr>
  </w:style>
  <w:style w:type="character" w:customStyle="1" w:styleId="gtcgreyshadedtext18">
    <w:name w:val="gtcgreyshadedtext1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8">
    <w:name w:val="gtcannotation18"/>
    <w:rsid w:val="00FD4AE1"/>
    <w:rPr>
      <w:color w:val="006633"/>
      <w:sz w:val="20"/>
      <w:szCs w:val="20"/>
    </w:rPr>
  </w:style>
  <w:style w:type="character" w:customStyle="1" w:styleId="gtcannotationhl18">
    <w:name w:val="gtcannotationhl18"/>
    <w:rsid w:val="00FD4AE1"/>
    <w:rPr>
      <w:color w:val="006633"/>
      <w:sz w:val="16"/>
      <w:szCs w:val="16"/>
    </w:rPr>
  </w:style>
  <w:style w:type="paragraph" w:customStyle="1" w:styleId="gtchighlighttextboxedwarnings18">
    <w:name w:val="gtchighlighttextboxedwarnings1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8">
    <w:name w:val="gtchighlighttext1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9">
    <w:name w:val="gtcgreyshadedtext1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9">
    <w:name w:val="gtcannotation19"/>
    <w:rsid w:val="00FD4AE1"/>
    <w:rPr>
      <w:color w:val="006633"/>
      <w:sz w:val="20"/>
      <w:szCs w:val="20"/>
    </w:rPr>
  </w:style>
  <w:style w:type="character" w:customStyle="1" w:styleId="gtcannotationhl19">
    <w:name w:val="gtcannotationhl19"/>
    <w:rsid w:val="00FD4AE1"/>
    <w:rPr>
      <w:color w:val="006633"/>
      <w:sz w:val="16"/>
      <w:szCs w:val="16"/>
    </w:rPr>
  </w:style>
  <w:style w:type="paragraph" w:customStyle="1" w:styleId="gtchighlighttextboxedwarnings19">
    <w:name w:val="gtchighlighttextboxedwarnings1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9">
    <w:name w:val="gtchighlighttext1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5">
    <w:name w:val="gtcbold5"/>
    <w:rsid w:val="00FD4AE1"/>
    <w:rPr>
      <w:b/>
      <w:bCs/>
    </w:rPr>
  </w:style>
  <w:style w:type="character" w:customStyle="1" w:styleId="gtcgreyshadedtext20">
    <w:name w:val="gtcgreyshadedtext2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0">
    <w:name w:val="gtcannotation20"/>
    <w:rsid w:val="00FD4AE1"/>
    <w:rPr>
      <w:color w:val="006633"/>
      <w:sz w:val="20"/>
      <w:szCs w:val="20"/>
    </w:rPr>
  </w:style>
  <w:style w:type="character" w:customStyle="1" w:styleId="gtcannotationhl20">
    <w:name w:val="gtcannotationhl20"/>
    <w:rsid w:val="00FD4AE1"/>
    <w:rPr>
      <w:color w:val="006633"/>
      <w:sz w:val="16"/>
      <w:szCs w:val="16"/>
    </w:rPr>
  </w:style>
  <w:style w:type="paragraph" w:customStyle="1" w:styleId="gtchighlighttextboxedwarnings20">
    <w:name w:val="gtchighlighttextboxedwarnings2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0">
    <w:name w:val="gtchighlighttext2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1">
    <w:name w:val="gtcgreyshadedtext2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1">
    <w:name w:val="gtcannotation21"/>
    <w:rsid w:val="00FD4AE1"/>
    <w:rPr>
      <w:color w:val="006633"/>
      <w:sz w:val="20"/>
      <w:szCs w:val="20"/>
    </w:rPr>
  </w:style>
  <w:style w:type="character" w:customStyle="1" w:styleId="gtcannotationhl21">
    <w:name w:val="gtcannotationhl21"/>
    <w:rsid w:val="00FD4AE1"/>
    <w:rPr>
      <w:color w:val="006633"/>
      <w:sz w:val="16"/>
      <w:szCs w:val="16"/>
    </w:rPr>
  </w:style>
  <w:style w:type="paragraph" w:customStyle="1" w:styleId="gtchighlighttextboxedwarnings21">
    <w:name w:val="gtchighlighttextboxedwarnings2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1">
    <w:name w:val="gtchighlighttext2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6">
    <w:name w:val="gtcbold6"/>
    <w:rsid w:val="00FD4AE1"/>
    <w:rPr>
      <w:b/>
      <w:bCs/>
    </w:rPr>
  </w:style>
  <w:style w:type="character" w:customStyle="1" w:styleId="gtcgreyshadedtext22">
    <w:name w:val="gtcgreyshadedtext2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2">
    <w:name w:val="gtcannotation22"/>
    <w:rsid w:val="00FD4AE1"/>
    <w:rPr>
      <w:color w:val="006633"/>
      <w:sz w:val="20"/>
      <w:szCs w:val="20"/>
    </w:rPr>
  </w:style>
  <w:style w:type="character" w:customStyle="1" w:styleId="gtcannotationhl22">
    <w:name w:val="gtcannotationhl22"/>
    <w:rsid w:val="00FD4AE1"/>
    <w:rPr>
      <w:color w:val="006633"/>
      <w:sz w:val="16"/>
      <w:szCs w:val="16"/>
    </w:rPr>
  </w:style>
  <w:style w:type="paragraph" w:customStyle="1" w:styleId="gtchighlighttextboxedwarnings22">
    <w:name w:val="gtchighlighttextboxedwarnings2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2">
    <w:name w:val="gtchighlighttext2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3">
    <w:name w:val="gtcgreyshadedtext2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3">
    <w:name w:val="gtcannotation23"/>
    <w:rsid w:val="00FD4AE1"/>
    <w:rPr>
      <w:color w:val="006633"/>
      <w:sz w:val="20"/>
      <w:szCs w:val="20"/>
    </w:rPr>
  </w:style>
  <w:style w:type="character" w:customStyle="1" w:styleId="gtcannotationhl23">
    <w:name w:val="gtcannotationhl23"/>
    <w:rsid w:val="00FD4AE1"/>
    <w:rPr>
      <w:color w:val="006633"/>
      <w:sz w:val="16"/>
      <w:szCs w:val="16"/>
    </w:rPr>
  </w:style>
  <w:style w:type="paragraph" w:customStyle="1" w:styleId="gtchighlighttextboxedwarnings23">
    <w:name w:val="gtchighlighttextboxedwarnings2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3">
    <w:name w:val="gtchighlighttext2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4">
    <w:name w:val="gtcgreyshadedtext2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4">
    <w:name w:val="gtcannotation24"/>
    <w:rsid w:val="00FD4AE1"/>
    <w:rPr>
      <w:color w:val="006633"/>
      <w:sz w:val="20"/>
      <w:szCs w:val="20"/>
    </w:rPr>
  </w:style>
  <w:style w:type="character" w:customStyle="1" w:styleId="gtcannotationhl24">
    <w:name w:val="gtcannotationhl24"/>
    <w:rsid w:val="00FD4AE1"/>
    <w:rPr>
      <w:color w:val="006633"/>
      <w:sz w:val="16"/>
      <w:szCs w:val="16"/>
    </w:rPr>
  </w:style>
  <w:style w:type="paragraph" w:customStyle="1" w:styleId="gtchighlighttextboxedwarnings24">
    <w:name w:val="gtchighlighttextboxedwarnings2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4">
    <w:name w:val="gtchighlighttext2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5">
    <w:name w:val="gtcgreyshadedtext2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5">
    <w:name w:val="gtcannotation25"/>
    <w:rsid w:val="00FD4AE1"/>
    <w:rPr>
      <w:color w:val="006633"/>
      <w:sz w:val="20"/>
      <w:szCs w:val="20"/>
    </w:rPr>
  </w:style>
  <w:style w:type="character" w:customStyle="1" w:styleId="gtcannotationhl25">
    <w:name w:val="gtcannotationhl25"/>
    <w:rsid w:val="00FD4AE1"/>
    <w:rPr>
      <w:color w:val="006633"/>
      <w:sz w:val="16"/>
      <w:szCs w:val="16"/>
    </w:rPr>
  </w:style>
  <w:style w:type="paragraph" w:customStyle="1" w:styleId="gtchighlighttextboxedwarnings25">
    <w:name w:val="gtchighlighttextboxedwarnings2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5">
    <w:name w:val="gtchighlighttext2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italic6">
    <w:name w:val="gtcitalic6"/>
    <w:rsid w:val="00FD4AE1"/>
    <w:rPr>
      <w:i/>
      <w:iCs/>
    </w:rPr>
  </w:style>
  <w:style w:type="character" w:customStyle="1" w:styleId="gtcgreyshadedtext26">
    <w:name w:val="gtcgreyshadedtext2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6">
    <w:name w:val="gtcannotation26"/>
    <w:rsid w:val="00FD4AE1"/>
    <w:rPr>
      <w:color w:val="006633"/>
      <w:sz w:val="20"/>
      <w:szCs w:val="20"/>
    </w:rPr>
  </w:style>
  <w:style w:type="character" w:customStyle="1" w:styleId="gtcannotationhl26">
    <w:name w:val="gtcannotationhl26"/>
    <w:rsid w:val="00FD4AE1"/>
    <w:rPr>
      <w:color w:val="006633"/>
      <w:sz w:val="16"/>
      <w:szCs w:val="16"/>
    </w:rPr>
  </w:style>
  <w:style w:type="paragraph" w:customStyle="1" w:styleId="gtchighlighttextboxedwarnings26">
    <w:name w:val="gtchighlighttextboxedwarnings2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6">
    <w:name w:val="gtchighlighttext2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7">
    <w:name w:val="gtcgreyshadedtext2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7">
    <w:name w:val="gtcannotation27"/>
    <w:rsid w:val="00FD4AE1"/>
    <w:rPr>
      <w:color w:val="006633"/>
      <w:sz w:val="20"/>
      <w:szCs w:val="20"/>
    </w:rPr>
  </w:style>
  <w:style w:type="character" w:customStyle="1" w:styleId="gtcannotationhl27">
    <w:name w:val="gtcannotationhl27"/>
    <w:rsid w:val="00FD4AE1"/>
    <w:rPr>
      <w:color w:val="006633"/>
      <w:sz w:val="16"/>
      <w:szCs w:val="16"/>
    </w:rPr>
  </w:style>
  <w:style w:type="paragraph" w:customStyle="1" w:styleId="gtchighlighttextboxedwarnings27">
    <w:name w:val="gtchighlighttextboxedwarnings2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7">
    <w:name w:val="gtchighlighttext2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8">
    <w:name w:val="gtcgreyshadedtext2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8">
    <w:name w:val="gtcannotation28"/>
    <w:rsid w:val="00FD4AE1"/>
    <w:rPr>
      <w:color w:val="006633"/>
      <w:sz w:val="20"/>
      <w:szCs w:val="20"/>
    </w:rPr>
  </w:style>
  <w:style w:type="character" w:customStyle="1" w:styleId="gtcannotationhl28">
    <w:name w:val="gtcannotationhl28"/>
    <w:rsid w:val="00FD4AE1"/>
    <w:rPr>
      <w:color w:val="006633"/>
      <w:sz w:val="16"/>
      <w:szCs w:val="16"/>
    </w:rPr>
  </w:style>
  <w:style w:type="paragraph" w:customStyle="1" w:styleId="gtchighlighttextboxedwarnings28">
    <w:name w:val="gtchighlighttextboxedwarnings2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8">
    <w:name w:val="gtchighlighttext2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9">
    <w:name w:val="gtcgreyshadedtext2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9">
    <w:name w:val="gtcannotation29"/>
    <w:rsid w:val="00FD4AE1"/>
    <w:rPr>
      <w:color w:val="006633"/>
      <w:sz w:val="20"/>
      <w:szCs w:val="20"/>
    </w:rPr>
  </w:style>
  <w:style w:type="character" w:customStyle="1" w:styleId="gtcannotationhl29">
    <w:name w:val="gtcannotationhl29"/>
    <w:rsid w:val="00FD4AE1"/>
    <w:rPr>
      <w:color w:val="006633"/>
      <w:sz w:val="16"/>
      <w:szCs w:val="16"/>
    </w:rPr>
  </w:style>
  <w:style w:type="paragraph" w:customStyle="1" w:styleId="gtchighlighttextboxedwarnings29">
    <w:name w:val="gtchighlighttextboxedwarnings2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9">
    <w:name w:val="gtchighlighttext2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0">
    <w:name w:val="gtcgreyshadedtext3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0">
    <w:name w:val="gtcannotation30"/>
    <w:rsid w:val="00FD4AE1"/>
    <w:rPr>
      <w:color w:val="006633"/>
      <w:sz w:val="20"/>
      <w:szCs w:val="20"/>
    </w:rPr>
  </w:style>
  <w:style w:type="character" w:customStyle="1" w:styleId="gtcannotationhl30">
    <w:name w:val="gtcannotationhl30"/>
    <w:rsid w:val="00FD4AE1"/>
    <w:rPr>
      <w:color w:val="006633"/>
      <w:sz w:val="16"/>
      <w:szCs w:val="16"/>
    </w:rPr>
  </w:style>
  <w:style w:type="paragraph" w:customStyle="1" w:styleId="gtchighlighttextboxedwarnings30">
    <w:name w:val="gtchighlighttextboxedwarnings3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0">
    <w:name w:val="gtchighlighttext3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1">
    <w:name w:val="gtcgreyshadedtext3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1">
    <w:name w:val="gtcannotation31"/>
    <w:rsid w:val="00FD4AE1"/>
    <w:rPr>
      <w:color w:val="006633"/>
      <w:sz w:val="20"/>
      <w:szCs w:val="20"/>
    </w:rPr>
  </w:style>
  <w:style w:type="character" w:customStyle="1" w:styleId="gtcannotationhl31">
    <w:name w:val="gtcannotationhl31"/>
    <w:rsid w:val="00FD4AE1"/>
    <w:rPr>
      <w:color w:val="006633"/>
      <w:sz w:val="16"/>
      <w:szCs w:val="16"/>
    </w:rPr>
  </w:style>
  <w:style w:type="paragraph" w:customStyle="1" w:styleId="gtchighlighttextboxedwarnings31">
    <w:name w:val="gtchighlighttextboxedwarnings3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1">
    <w:name w:val="gtchighlighttext3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italic7">
    <w:name w:val="gtcitalic7"/>
    <w:rsid w:val="00FD4AE1"/>
    <w:rPr>
      <w:i/>
      <w:iCs/>
    </w:rPr>
  </w:style>
  <w:style w:type="character" w:customStyle="1" w:styleId="gtcgreyshadedtext32">
    <w:name w:val="gtcgreyshadedtext3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2">
    <w:name w:val="gtcannotation32"/>
    <w:rsid w:val="00FD4AE1"/>
    <w:rPr>
      <w:color w:val="006633"/>
      <w:sz w:val="20"/>
      <w:szCs w:val="20"/>
    </w:rPr>
  </w:style>
  <w:style w:type="character" w:customStyle="1" w:styleId="gtcannotationhl32">
    <w:name w:val="gtcannotationhl32"/>
    <w:rsid w:val="00FD4AE1"/>
    <w:rPr>
      <w:color w:val="006633"/>
      <w:sz w:val="16"/>
      <w:szCs w:val="16"/>
    </w:rPr>
  </w:style>
  <w:style w:type="paragraph" w:customStyle="1" w:styleId="gtchighlighttextboxedwarnings32">
    <w:name w:val="gtchighlighttextboxedwarnings3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2">
    <w:name w:val="gtchighlighttext3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3">
    <w:name w:val="gtcgreyshadedtext3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3">
    <w:name w:val="gtcannotation33"/>
    <w:rsid w:val="00FD4AE1"/>
    <w:rPr>
      <w:color w:val="006633"/>
      <w:sz w:val="20"/>
      <w:szCs w:val="20"/>
    </w:rPr>
  </w:style>
  <w:style w:type="character" w:customStyle="1" w:styleId="gtcannotationhl33">
    <w:name w:val="gtcannotationhl33"/>
    <w:rsid w:val="00FD4AE1"/>
    <w:rPr>
      <w:color w:val="006633"/>
      <w:sz w:val="16"/>
      <w:szCs w:val="16"/>
    </w:rPr>
  </w:style>
  <w:style w:type="paragraph" w:customStyle="1" w:styleId="gtchighlighttextboxedwarnings33">
    <w:name w:val="gtchighlighttextboxedwarnings3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3">
    <w:name w:val="gtchighlighttext3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4">
    <w:name w:val="gtcgreyshadedtext3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4">
    <w:name w:val="gtcannotation34"/>
    <w:rsid w:val="00FD4AE1"/>
    <w:rPr>
      <w:color w:val="006633"/>
      <w:sz w:val="20"/>
      <w:szCs w:val="20"/>
    </w:rPr>
  </w:style>
  <w:style w:type="character" w:customStyle="1" w:styleId="gtcannotationhl34">
    <w:name w:val="gtcannotationhl34"/>
    <w:rsid w:val="00FD4AE1"/>
    <w:rPr>
      <w:color w:val="006633"/>
      <w:sz w:val="16"/>
      <w:szCs w:val="16"/>
    </w:rPr>
  </w:style>
  <w:style w:type="paragraph" w:customStyle="1" w:styleId="gtchighlighttextboxedwarnings34">
    <w:name w:val="gtchighlighttextboxedwarnings3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4">
    <w:name w:val="gtchighlighttext3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5">
    <w:name w:val="gtcgreyshadedtext3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5">
    <w:name w:val="gtcannotation35"/>
    <w:rsid w:val="00FD4AE1"/>
    <w:rPr>
      <w:color w:val="006633"/>
      <w:sz w:val="20"/>
      <w:szCs w:val="20"/>
    </w:rPr>
  </w:style>
  <w:style w:type="character" w:customStyle="1" w:styleId="gtcannotationhl35">
    <w:name w:val="gtcannotationhl35"/>
    <w:rsid w:val="00FD4AE1"/>
    <w:rPr>
      <w:color w:val="006633"/>
      <w:sz w:val="16"/>
      <w:szCs w:val="16"/>
    </w:rPr>
  </w:style>
  <w:style w:type="paragraph" w:customStyle="1" w:styleId="gtchighlighttextboxedwarnings35">
    <w:name w:val="gtchighlighttextboxedwarnings3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5">
    <w:name w:val="gtchighlighttext3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6">
    <w:name w:val="gtcgreyshadedtext3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6">
    <w:name w:val="gtcannotation36"/>
    <w:rsid w:val="00FD4AE1"/>
    <w:rPr>
      <w:color w:val="006633"/>
      <w:sz w:val="20"/>
      <w:szCs w:val="20"/>
    </w:rPr>
  </w:style>
  <w:style w:type="character" w:customStyle="1" w:styleId="gtcannotationhl36">
    <w:name w:val="gtcannotationhl36"/>
    <w:rsid w:val="00FD4AE1"/>
    <w:rPr>
      <w:color w:val="006633"/>
      <w:sz w:val="16"/>
      <w:szCs w:val="16"/>
    </w:rPr>
  </w:style>
  <w:style w:type="paragraph" w:customStyle="1" w:styleId="gtchighlighttextboxedwarnings36">
    <w:name w:val="gtchighlighttextboxedwarnings3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6">
    <w:name w:val="gtchighlighttext3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7">
    <w:name w:val="gtcgreyshadedtext3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7">
    <w:name w:val="gtcannotation37"/>
    <w:rsid w:val="00FD4AE1"/>
    <w:rPr>
      <w:color w:val="006633"/>
      <w:sz w:val="20"/>
      <w:szCs w:val="20"/>
    </w:rPr>
  </w:style>
  <w:style w:type="character" w:customStyle="1" w:styleId="gtcannotationhl37">
    <w:name w:val="gtcannotationhl37"/>
    <w:rsid w:val="00FD4AE1"/>
    <w:rPr>
      <w:color w:val="006633"/>
      <w:sz w:val="16"/>
      <w:szCs w:val="16"/>
    </w:rPr>
  </w:style>
  <w:style w:type="paragraph" w:customStyle="1" w:styleId="gtchighlighttextboxedwarnings37">
    <w:name w:val="gtchighlighttextboxedwarnings3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7">
    <w:name w:val="gtchighlighttext3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8">
    <w:name w:val="gtcgreyshadedtext3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8">
    <w:name w:val="gtcannotation38"/>
    <w:rsid w:val="00FD4AE1"/>
    <w:rPr>
      <w:color w:val="006633"/>
      <w:sz w:val="20"/>
      <w:szCs w:val="20"/>
    </w:rPr>
  </w:style>
  <w:style w:type="character" w:customStyle="1" w:styleId="gtcannotationhl38">
    <w:name w:val="gtcannotationhl38"/>
    <w:rsid w:val="00FD4AE1"/>
    <w:rPr>
      <w:color w:val="006633"/>
      <w:sz w:val="16"/>
      <w:szCs w:val="16"/>
    </w:rPr>
  </w:style>
  <w:style w:type="paragraph" w:customStyle="1" w:styleId="gtchighlighttextboxedwarnings38">
    <w:name w:val="gtchighlighttextboxedwarnings3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8">
    <w:name w:val="gtchighlighttext3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9">
    <w:name w:val="gtcgreyshadedtext3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9">
    <w:name w:val="gtcannotation39"/>
    <w:rsid w:val="00FD4AE1"/>
    <w:rPr>
      <w:color w:val="006633"/>
      <w:sz w:val="20"/>
      <w:szCs w:val="20"/>
    </w:rPr>
  </w:style>
  <w:style w:type="character" w:customStyle="1" w:styleId="gtcannotationhl39">
    <w:name w:val="gtcannotationhl39"/>
    <w:rsid w:val="00FD4AE1"/>
    <w:rPr>
      <w:color w:val="006633"/>
      <w:sz w:val="16"/>
      <w:szCs w:val="16"/>
    </w:rPr>
  </w:style>
  <w:style w:type="paragraph" w:customStyle="1" w:styleId="gtchighlighttextboxedwarnings39">
    <w:name w:val="gtchighlighttextboxedwarnings3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9">
    <w:name w:val="gtchighlighttext3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0">
    <w:name w:val="gtcgreyshadedtext4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0">
    <w:name w:val="gtcannotation40"/>
    <w:rsid w:val="00FD4AE1"/>
    <w:rPr>
      <w:color w:val="006633"/>
      <w:sz w:val="20"/>
      <w:szCs w:val="20"/>
    </w:rPr>
  </w:style>
  <w:style w:type="character" w:customStyle="1" w:styleId="gtcannotationhl40">
    <w:name w:val="gtcannotationhl40"/>
    <w:rsid w:val="00FD4AE1"/>
    <w:rPr>
      <w:color w:val="006633"/>
      <w:sz w:val="16"/>
      <w:szCs w:val="16"/>
    </w:rPr>
  </w:style>
  <w:style w:type="paragraph" w:customStyle="1" w:styleId="gtchighlighttextboxedwarnings40">
    <w:name w:val="gtchighlighttextboxedwarnings4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0">
    <w:name w:val="gtchighlighttext4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1">
    <w:name w:val="gtcgreyshadedtext4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1">
    <w:name w:val="gtcannotation41"/>
    <w:rsid w:val="00FD4AE1"/>
    <w:rPr>
      <w:color w:val="006633"/>
      <w:sz w:val="20"/>
      <w:szCs w:val="20"/>
    </w:rPr>
  </w:style>
  <w:style w:type="character" w:customStyle="1" w:styleId="gtcannotationhl41">
    <w:name w:val="gtcannotationhl41"/>
    <w:rsid w:val="00FD4AE1"/>
    <w:rPr>
      <w:color w:val="006633"/>
      <w:sz w:val="16"/>
      <w:szCs w:val="16"/>
    </w:rPr>
  </w:style>
  <w:style w:type="paragraph" w:customStyle="1" w:styleId="gtchighlighttextboxedwarnings41">
    <w:name w:val="gtchighlighttextboxedwarnings4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1">
    <w:name w:val="gtchighlighttext4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2">
    <w:name w:val="gtcgreyshadedtext4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2">
    <w:name w:val="gtcannotation42"/>
    <w:rsid w:val="00FD4AE1"/>
    <w:rPr>
      <w:color w:val="006633"/>
      <w:sz w:val="20"/>
      <w:szCs w:val="20"/>
    </w:rPr>
  </w:style>
  <w:style w:type="character" w:customStyle="1" w:styleId="gtcannotationhl42">
    <w:name w:val="gtcannotationhl42"/>
    <w:rsid w:val="00FD4AE1"/>
    <w:rPr>
      <w:color w:val="006633"/>
      <w:sz w:val="16"/>
      <w:szCs w:val="16"/>
    </w:rPr>
  </w:style>
  <w:style w:type="paragraph" w:customStyle="1" w:styleId="gtchighlighttextboxedwarnings42">
    <w:name w:val="gtchighlighttextboxedwarnings4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2">
    <w:name w:val="gtchighlighttext4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3">
    <w:name w:val="gtcgreyshadedtext4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3">
    <w:name w:val="gtcannotation43"/>
    <w:rsid w:val="00FD4AE1"/>
    <w:rPr>
      <w:color w:val="006633"/>
      <w:sz w:val="20"/>
      <w:szCs w:val="20"/>
    </w:rPr>
  </w:style>
  <w:style w:type="character" w:customStyle="1" w:styleId="gtcannotationhl43">
    <w:name w:val="gtcannotationhl43"/>
    <w:rsid w:val="00FD4AE1"/>
    <w:rPr>
      <w:color w:val="006633"/>
      <w:sz w:val="16"/>
      <w:szCs w:val="16"/>
    </w:rPr>
  </w:style>
  <w:style w:type="paragraph" w:customStyle="1" w:styleId="gtchighlighttextboxedwarnings43">
    <w:name w:val="gtchighlighttextboxedwarnings4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3">
    <w:name w:val="gtchighlighttext4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LinkText19">
    <w:name w:val="GTC Link Text19"/>
    <w:rsid w:val="00FD4AE1"/>
    <w:rPr>
      <w:strike w:val="0"/>
      <w:dstrike w:val="0"/>
      <w:u w:val="none"/>
      <w:effect w:val="none"/>
    </w:rPr>
  </w:style>
  <w:style w:type="character" w:customStyle="1" w:styleId="GTCLinkText21">
    <w:name w:val="GTC Link Text21"/>
    <w:rsid w:val="00FD4AE1"/>
    <w:rPr>
      <w:strike w:val="0"/>
      <w:dstrike w:val="0"/>
      <w:u w:val="none"/>
      <w:effect w:val="none"/>
    </w:rPr>
  </w:style>
  <w:style w:type="character" w:customStyle="1" w:styleId="gtcsuperscript">
    <w:name w:val="gtcsuperscript"/>
    <w:rsid w:val="00FD4AE1"/>
  </w:style>
  <w:style w:type="paragraph" w:customStyle="1" w:styleId="GTCHeadingAppendix">
    <w:name w:val="GTC Heading Appendix"/>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eadingCentered0">
    <w:name w:val="GTC Heading Centered"/>
    <w:basedOn w:val="Normal"/>
    <w:rsid w:val="00FD4AE1"/>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BWHeadingLeft">
    <w:name w:val="GTC BW Heading Left"/>
    <w:basedOn w:val="Normal"/>
    <w:rsid w:val="00FD4AE1"/>
    <w:pPr>
      <w:spacing w:before="240" w:after="240" w:line="240" w:lineRule="auto"/>
    </w:pPr>
    <w:rPr>
      <w:rFonts w:ascii="Times New Roman" w:eastAsia="Times New Roman" w:hAnsi="Times New Roman" w:cs="Times New Roman"/>
      <w:b/>
      <w:bCs/>
      <w:caps/>
      <w:sz w:val="24"/>
      <w:szCs w:val="24"/>
      <w:lang w:val="en-US"/>
    </w:rPr>
  </w:style>
  <w:style w:type="paragraph" w:customStyle="1" w:styleId="GTCPLRTitle0">
    <w:name w:val="GTC PLR Title"/>
    <w:basedOn w:val="Normal"/>
    <w:rsid w:val="00FD4AE1"/>
    <w:pPr>
      <w:spacing w:before="60" w:after="60" w:line="240" w:lineRule="auto"/>
    </w:pPr>
    <w:rPr>
      <w:rFonts w:ascii="Times New Roman" w:eastAsia="Times New Roman" w:hAnsi="Times New Roman" w:cs="Times New Roman"/>
      <w:b/>
      <w:bCs/>
      <w:sz w:val="18"/>
      <w:szCs w:val="18"/>
      <w:lang w:val="en-US"/>
    </w:rPr>
  </w:style>
  <w:style w:type="paragraph" w:customStyle="1" w:styleId="GTCLink">
    <w:name w:val="GTC Link"/>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Header">
    <w:name w:val="GTC Table Header"/>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dyTextAlignRight0">
    <w:name w:val="GTC Body Text Align Right"/>
    <w:basedOn w:val="Normal"/>
    <w:rsid w:val="00FD4AE1"/>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0">
    <w:name w:val="GTC Body Text Align Center"/>
    <w:basedOn w:val="Normal"/>
    <w:rsid w:val="00FD4AE1"/>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0">
    <w:name w:val="GTC Body Text Align Justify"/>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0">
    <w:name w:val="GTC Body Text Align Indent"/>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0">
    <w:name w:val="GTC Grey Shaded In Paragraph"/>
    <w:basedOn w:val="Normal"/>
    <w:rsid w:val="00FD4AE1"/>
    <w:pPr>
      <w:shd w:val="clear" w:color="auto" w:fill="C0C0C0"/>
      <w:spacing w:before="240" w:after="240" w:line="300" w:lineRule="auto"/>
      <w:jc w:val="both"/>
    </w:pPr>
    <w:rPr>
      <w:rFonts w:ascii="Times New Roman" w:eastAsia="Times New Roman" w:hAnsi="Times New Roman" w:cs="Times New Roman"/>
      <w:sz w:val="24"/>
      <w:szCs w:val="24"/>
      <w:lang w:val="en-US"/>
    </w:rPr>
  </w:style>
  <w:style w:type="paragraph" w:customStyle="1" w:styleId="GTCFooter">
    <w:name w:val="GTC Footer"/>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FootnoteText">
    <w:name w:val="GTC Footnote 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Annotation0">
    <w:name w:val="GTCAnnotation"/>
    <w:basedOn w:val="Normal"/>
    <w:rsid w:val="00FD4AE1"/>
    <w:pPr>
      <w:spacing w:before="60" w:after="60" w:line="240" w:lineRule="auto"/>
      <w:ind w:left="576" w:hanging="576"/>
    </w:pPr>
    <w:rPr>
      <w:rFonts w:ascii="Times New Roman" w:eastAsia="Times New Roman" w:hAnsi="Times New Roman" w:cs="Times New Roman"/>
      <w:sz w:val="20"/>
      <w:szCs w:val="20"/>
      <w:lang w:val="en-US"/>
    </w:rPr>
  </w:style>
  <w:style w:type="paragraph" w:customStyle="1" w:styleId="GTCTitle">
    <w:name w:val="GTC Title"/>
    <w:basedOn w:val="Normal"/>
    <w:rsid w:val="00FD4AE1"/>
    <w:pPr>
      <w:spacing w:before="120" w:after="120" w:line="240" w:lineRule="auto"/>
      <w:jc w:val="both"/>
    </w:pPr>
    <w:rPr>
      <w:rFonts w:ascii="Times New Roman" w:eastAsia="Times New Roman" w:hAnsi="Times New Roman" w:cs="Times New Roman"/>
      <w:b/>
      <w:bCs/>
      <w:sz w:val="36"/>
      <w:szCs w:val="36"/>
      <w:lang w:val="en-US"/>
    </w:rPr>
  </w:style>
  <w:style w:type="paragraph" w:customStyle="1" w:styleId="GTCHeading10">
    <w:name w:val="GTC Heading 1"/>
    <w:next w:val="GTCBodyText"/>
    <w:rsid w:val="00FD4AE1"/>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20">
    <w:name w:val="GTC Heading 2"/>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0">
    <w:name w:val="GTC Heading 3"/>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40">
    <w:name w:val="GTC Heading 4"/>
    <w:basedOn w:val="Normal"/>
    <w:rsid w:val="00FD4AE1"/>
    <w:pPr>
      <w:keepNext/>
      <w:spacing w:before="240" w:after="240" w:line="240" w:lineRule="auto"/>
    </w:pPr>
    <w:rPr>
      <w:rFonts w:ascii="Times New Roman" w:eastAsia="Times New Roman" w:hAnsi="Times New Roman" w:cs="Times New Roman"/>
      <w:b/>
      <w:bCs/>
      <w:i/>
      <w:iCs/>
      <w:sz w:val="24"/>
      <w:szCs w:val="24"/>
      <w:lang w:val="en-US"/>
    </w:rPr>
  </w:style>
  <w:style w:type="paragraph" w:customStyle="1" w:styleId="GTCLinkText0">
    <w:name w:val="GTC Link 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0">
    <w:name w:val="GTC List Text"/>
    <w:basedOn w:val="GTCBodyText"/>
    <w:rsid w:val="00FD4AE1"/>
    <w:pPr>
      <w:spacing w:before="120" w:after="120" w:line="300" w:lineRule="auto"/>
      <w:jc w:val="left"/>
    </w:pPr>
  </w:style>
  <w:style w:type="paragraph" w:customStyle="1" w:styleId="GTCTableListText">
    <w:name w:val="GTC Table List Text"/>
    <w:basedOn w:val="GTCBodyText"/>
    <w:rsid w:val="00FD4AE1"/>
    <w:pPr>
      <w:spacing w:before="120" w:after="120" w:line="300" w:lineRule="auto"/>
      <w:jc w:val="left"/>
    </w:pPr>
    <w:rPr>
      <w:sz w:val="20"/>
      <w:szCs w:val="20"/>
    </w:rPr>
  </w:style>
  <w:style w:type="paragraph" w:customStyle="1" w:styleId="GTCListTextHighlights">
    <w:name w:val="GTC List Text Highlights"/>
    <w:basedOn w:val="Normal"/>
    <w:rsid w:val="00FD4AE1"/>
    <w:pPr>
      <w:spacing w:after="0" w:line="240" w:lineRule="auto"/>
    </w:pPr>
    <w:rPr>
      <w:rFonts w:ascii="Times New Roman" w:eastAsia="Times New Roman" w:hAnsi="Times New Roman" w:cs="Times New Roman"/>
      <w:sz w:val="16"/>
      <w:szCs w:val="16"/>
      <w:lang w:val="en-US"/>
    </w:rPr>
  </w:style>
  <w:style w:type="paragraph" w:customStyle="1" w:styleId="GTCListStyleNone0">
    <w:name w:val="GTC List Style Non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0">
    <w:name w:val="GTC List Style Circl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0">
    <w:name w:val="GTC List Style Dis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0">
    <w:name w:val="GTC List Style Squar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0">
    <w:name w:val="GTC List Style LittleRoman"/>
    <w:basedOn w:val="Normal"/>
    <w:rsid w:val="00FD4AE1"/>
    <w:pPr>
      <w:tabs>
        <w:tab w:val="num" w:pos="1008"/>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0">
    <w:name w:val="GTC List Style BigRoman"/>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0">
    <w:name w:val="GTC List Style LittleAlpha"/>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0">
    <w:name w:val="GTC List Style Arabi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Otherwise0">
    <w:name w:val="GTC Table Title Otherwise"/>
    <w:basedOn w:val="Normal"/>
    <w:rsid w:val="00FD4AE1"/>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Insert">
    <w:name w:val="GTC Table Title Insert"/>
    <w:basedOn w:val="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
    <w:name w:val="GTC Table Title Delete"/>
    <w:basedOn w:val="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OutlineNumbering">
    <w:name w:val="GTC Outline Numbering"/>
    <w:basedOn w:val="GTCListText0"/>
    <w:rsid w:val="00FD4AE1"/>
    <w:pPr>
      <w:spacing w:before="100" w:beforeAutospacing="1" w:after="100" w:afterAutospacing="1" w:line="240" w:lineRule="auto"/>
    </w:pPr>
  </w:style>
  <w:style w:type="paragraph" w:customStyle="1" w:styleId="GTCBullets">
    <w:name w:val="GTC Bullets"/>
    <w:basedOn w:val="GTCOutlineNumbering"/>
    <w:rsid w:val="00FD4AE1"/>
  </w:style>
  <w:style w:type="character" w:customStyle="1" w:styleId="GTCGreyShadedText0">
    <w:name w:val="GTC Grey Shaded Text"/>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FootnoteText1">
    <w:name w:val="GTC Footnote Text1"/>
    <w:rsid w:val="00FD4AE1"/>
  </w:style>
  <w:style w:type="table" w:customStyle="1" w:styleId="GTCTitle1">
    <w:name w:val="GTC Title1"/>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
    <w:name w:val="GTC Title2"/>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
    <w:name w:val="GTC Title3"/>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
    <w:name w:val="GTC Title4"/>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
    <w:name w:val="GTC Heading 11"/>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
    <w:name w:val="GTC Heading 21"/>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
    <w:name w:val="GTC Heading 31"/>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
    <w:name w:val="GTC Heading 41"/>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0">
    <w:name w:val="GTC Link Text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
    <w:name w:val="GTC List Text1"/>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
    <w:name w:val="GTC Table List Text1"/>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
    <w:name w:val="GTC List Text Highlights1"/>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
    <w:name w:val="GTC List Style None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
    <w:name w:val="GTC List Style Circle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
    <w:name w:val="GTC List Style Disc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
    <w:name w:val="GTC List Style Square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
    <w:name w:val="GTC List Style LittleRoman1"/>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
    <w:name w:val="GTC List Style BigRoman1"/>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
    <w:name w:val="GTC List Style LittleAlpha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
    <w:name w:val="GTC List Style BigRoman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
    <w:name w:val="GTC List Style Arabic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
    <w:name w:val="GTC Table Title Otherwise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
    <w:name w:val="GTC Table Title Insert1"/>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
    <w:name w:val="GTC Table Title Delete1"/>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a">
    <w:name w:val="GTC Annotation"/>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
    <w:name w:val="GTC Outline Numbering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
    <w:name w:val="GTC Bullets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HighlightTextBoxedWarnings0">
    <w:name w:val="GTC Highlight Text Boxed Warnings"/>
    <w:basedOn w:val="Normal"/>
    <w:rsid w:val="00FD4AE1"/>
    <w:pPr>
      <w:spacing w:before="40" w:after="40" w:line="192" w:lineRule="auto"/>
      <w:jc w:val="both"/>
    </w:pPr>
    <w:rPr>
      <w:rFonts w:ascii="Times New Roman" w:eastAsia="Times New Roman" w:hAnsi="Times New Roman" w:cs="Times New Roman"/>
      <w:sz w:val="16"/>
      <w:szCs w:val="16"/>
      <w:lang w:val="en-US"/>
    </w:rPr>
  </w:style>
  <w:style w:type="paragraph" w:customStyle="1" w:styleId="GTCHighlightText0">
    <w:name w:val="GTC Highlight Text"/>
    <w:basedOn w:val="Normal"/>
    <w:rsid w:val="00FD4AE1"/>
    <w:pPr>
      <w:spacing w:before="40" w:after="40" w:line="192" w:lineRule="auto"/>
      <w:jc w:val="both"/>
    </w:pPr>
    <w:rPr>
      <w:rFonts w:ascii="Times New Roman" w:eastAsia="Times New Roman" w:hAnsi="Times New Roman" w:cs="Times New Roman"/>
      <w:sz w:val="16"/>
      <w:szCs w:val="16"/>
      <w:lang w:val="en-US"/>
    </w:rPr>
  </w:style>
  <w:style w:type="paragraph" w:customStyle="1" w:styleId="Heading10">
    <w:name w:val="Heading1"/>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1">
    <w:name w:val="GTC Section Title 1"/>
    <w:basedOn w:val="TableNormal"/>
    <w:rsid w:val="00FD4AE1"/>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paragraph" w:customStyle="1" w:styleId="Heading20">
    <w:name w:val="Heading2"/>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2">
    <w:name w:val="GTC Section Title 2"/>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30">
    <w:name w:val="Heading3"/>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3">
    <w:name w:val="GTC Section Title 3"/>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40">
    <w:name w:val="Heading4"/>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4">
    <w:name w:val="GTC Section Title 4"/>
    <w:basedOn w:val="TableNormal"/>
    <w:rsid w:val="00FD4AE1"/>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paragraph" w:customStyle="1" w:styleId="Heading50">
    <w:name w:val="Heading5"/>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5">
    <w:name w:val="GTC Section Title 5"/>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60">
    <w:name w:val="Heading6"/>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6">
    <w:name w:val="GTC Section Title 6"/>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70">
    <w:name w:val="Heading7"/>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7">
    <w:name w:val="GTC Section Title 7"/>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80">
    <w:name w:val="Heading8"/>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8">
    <w:name w:val="GTC Section Title 8"/>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90">
    <w:name w:val="Heading9"/>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9">
    <w:name w:val="GTC Section Title 9"/>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GTCTableTitle">
    <w:name w:val="GTC Table Title"/>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Data">
    <w:name w:val="GTC Table Title Data"/>
    <w:basedOn w:val="GTCTableTitle"/>
    <w:rsid w:val="00FD4AE1"/>
  </w:style>
  <w:style w:type="paragraph" w:customStyle="1" w:styleId="GTCFigureCaption0">
    <w:name w:val="GTC Figure Caption"/>
    <w:basedOn w:val="GTCTableTitle"/>
    <w:rsid w:val="00FD4AE1"/>
    <w:pPr>
      <w:spacing w:before="120" w:beforeAutospacing="0" w:after="120" w:afterAutospacing="0"/>
    </w:pPr>
    <w:rPr>
      <w:sz w:val="20"/>
      <w:szCs w:val="20"/>
    </w:rPr>
  </w:style>
  <w:style w:type="paragraph" w:customStyle="1" w:styleId="GTCSectionTitle11">
    <w:name w:val="GTC Section Title 11"/>
    <w:basedOn w:val="Heading10"/>
    <w:rsid w:val="00FD4AE1"/>
    <w:pPr>
      <w:keepNext/>
      <w:spacing w:before="240" w:beforeAutospacing="0" w:after="240" w:afterAutospacing="0"/>
    </w:pPr>
    <w:rPr>
      <w:b/>
      <w:bCs/>
      <w:caps/>
    </w:rPr>
  </w:style>
  <w:style w:type="paragraph" w:customStyle="1" w:styleId="GTCSectionTitle21">
    <w:name w:val="GTC Section Title 21"/>
    <w:basedOn w:val="Heading20"/>
    <w:rsid w:val="00FD4AE1"/>
    <w:pPr>
      <w:keepNext/>
      <w:spacing w:before="240" w:beforeAutospacing="0" w:after="240" w:afterAutospacing="0"/>
    </w:pPr>
    <w:rPr>
      <w:b/>
      <w:bCs/>
    </w:rPr>
  </w:style>
  <w:style w:type="paragraph" w:customStyle="1" w:styleId="GTCSectionTitle31">
    <w:name w:val="GTC Section Title 31"/>
    <w:basedOn w:val="Heading30"/>
    <w:rsid w:val="00FD4AE1"/>
    <w:pPr>
      <w:keepNext/>
      <w:spacing w:before="240" w:beforeAutospacing="0" w:after="240" w:afterAutospacing="0"/>
    </w:pPr>
    <w:rPr>
      <w:b/>
      <w:bCs/>
    </w:rPr>
  </w:style>
  <w:style w:type="paragraph" w:customStyle="1" w:styleId="GTCSectionTitle41">
    <w:name w:val="GTC Section Title 41"/>
    <w:basedOn w:val="Heading40"/>
    <w:rsid w:val="00FD4AE1"/>
    <w:pPr>
      <w:keepNext/>
      <w:spacing w:before="240" w:beforeAutospacing="0" w:after="240" w:afterAutospacing="0"/>
    </w:pPr>
    <w:rPr>
      <w:b/>
      <w:bCs/>
      <w:i/>
    </w:rPr>
  </w:style>
  <w:style w:type="paragraph" w:customStyle="1" w:styleId="GTCSectionTitle51">
    <w:name w:val="GTC Section Title 51"/>
    <w:basedOn w:val="Heading50"/>
    <w:rsid w:val="00FD4AE1"/>
    <w:pPr>
      <w:spacing w:before="240" w:beforeAutospacing="0" w:after="240" w:afterAutospacing="0"/>
    </w:pPr>
    <w:rPr>
      <w:b/>
      <w:bCs/>
    </w:rPr>
  </w:style>
  <w:style w:type="paragraph" w:customStyle="1" w:styleId="GTCSectionTitle61">
    <w:name w:val="GTC Section Title 61"/>
    <w:basedOn w:val="Heading60"/>
    <w:rsid w:val="00FD4AE1"/>
    <w:pPr>
      <w:spacing w:before="240" w:beforeAutospacing="0" w:after="240" w:afterAutospacing="0"/>
    </w:pPr>
    <w:rPr>
      <w:b/>
      <w:bCs/>
    </w:rPr>
  </w:style>
  <w:style w:type="paragraph" w:customStyle="1" w:styleId="GTCSectionTitle71">
    <w:name w:val="GTC Section Title 71"/>
    <w:basedOn w:val="Heading70"/>
    <w:rsid w:val="00FD4AE1"/>
    <w:pPr>
      <w:spacing w:before="240" w:beforeAutospacing="0" w:after="240" w:afterAutospacing="0"/>
    </w:pPr>
    <w:rPr>
      <w:b/>
      <w:bCs/>
    </w:rPr>
  </w:style>
  <w:style w:type="paragraph" w:customStyle="1" w:styleId="GTCSectionTitle81">
    <w:name w:val="GTC Section Title 81"/>
    <w:basedOn w:val="Heading80"/>
    <w:rsid w:val="00FD4AE1"/>
    <w:pPr>
      <w:spacing w:before="240" w:beforeAutospacing="0" w:after="240" w:afterAutospacing="0"/>
    </w:pPr>
    <w:rPr>
      <w:b/>
      <w:bCs/>
    </w:rPr>
  </w:style>
  <w:style w:type="paragraph" w:customStyle="1" w:styleId="GTCSectionTitle91">
    <w:name w:val="GTC Section Title 91"/>
    <w:basedOn w:val="Heading90"/>
    <w:rsid w:val="00FD4AE1"/>
    <w:pPr>
      <w:spacing w:before="240" w:beforeAutospacing="0" w:after="240" w:afterAutospacing="0"/>
    </w:pPr>
    <w:rPr>
      <w:b/>
      <w:bCs/>
    </w:rPr>
  </w:style>
  <w:style w:type="character" w:customStyle="1" w:styleId="GTCFootnoteText2">
    <w:name w:val="GTC Footnote Text2"/>
    <w:rsid w:val="00FD4AE1"/>
  </w:style>
  <w:style w:type="table" w:customStyle="1" w:styleId="GTCTitle5">
    <w:name w:val="GTC Title5"/>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
    <w:name w:val="GTC Title6"/>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
    <w:name w:val="GTC Title7"/>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
    <w:name w:val="GTC Title8"/>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
    <w:name w:val="GTC Heading 12"/>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
    <w:name w:val="GTC Heading 22"/>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
    <w:name w:val="GTC Heading 32"/>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
    <w:name w:val="GTC Heading 42"/>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0">
    <w:name w:val="GTC Link Text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
    <w:name w:val="GTC List Text2"/>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
    <w:name w:val="GTC Table List Text2"/>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
    <w:name w:val="GTC List Text Highlights2"/>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
    <w:name w:val="GTC List Style None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
    <w:name w:val="GTC List Style Circle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
    <w:name w:val="GTC List Style Disc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
    <w:name w:val="GTC List Style Square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
    <w:name w:val="GTC List Style LittleRoman2"/>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
    <w:name w:val="GTC List Style BigRoman3"/>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
    <w:name w:val="GTC List Style LittleAlpha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
    <w:name w:val="GTC List Style BigRoman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
    <w:name w:val="GTC List Style Arabic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
    <w:name w:val="GTC Table Title Otherwise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
    <w:name w:val="GTC Table Title Insert2"/>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
    <w:name w:val="GTC Table Title Delete2"/>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
    <w:name w:val="GTC Outline Numbering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
    <w:name w:val="GTC Bullets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2">
    <w:name w:val="GTC Section Title 12"/>
    <w:basedOn w:val="Heading10"/>
    <w:rsid w:val="00FD4AE1"/>
    <w:pPr>
      <w:keepNext/>
      <w:spacing w:before="240" w:beforeAutospacing="0" w:after="240" w:afterAutospacing="0"/>
    </w:pPr>
    <w:rPr>
      <w:b/>
      <w:bCs/>
      <w:caps/>
    </w:rPr>
  </w:style>
  <w:style w:type="paragraph" w:customStyle="1" w:styleId="GTCSectionTitle22">
    <w:name w:val="GTC Section Title 22"/>
    <w:basedOn w:val="Heading20"/>
    <w:rsid w:val="00FD4AE1"/>
    <w:pPr>
      <w:keepNext/>
      <w:spacing w:before="240" w:beforeAutospacing="0" w:after="240" w:afterAutospacing="0"/>
    </w:pPr>
    <w:rPr>
      <w:b/>
      <w:bCs/>
    </w:rPr>
  </w:style>
  <w:style w:type="paragraph" w:customStyle="1" w:styleId="GTCSectionTitle32">
    <w:name w:val="GTC Section Title 32"/>
    <w:basedOn w:val="Heading30"/>
    <w:rsid w:val="00FD4AE1"/>
    <w:pPr>
      <w:keepNext/>
      <w:spacing w:before="240" w:beforeAutospacing="0" w:after="240" w:afterAutospacing="0"/>
    </w:pPr>
    <w:rPr>
      <w:b/>
      <w:bCs/>
    </w:rPr>
  </w:style>
  <w:style w:type="paragraph" w:customStyle="1" w:styleId="GTCSectionTitle42">
    <w:name w:val="GTC Section Title 42"/>
    <w:basedOn w:val="Heading40"/>
    <w:rsid w:val="00FD4AE1"/>
    <w:pPr>
      <w:keepNext/>
      <w:spacing w:before="240" w:beforeAutospacing="0" w:after="240" w:afterAutospacing="0"/>
    </w:pPr>
    <w:rPr>
      <w:b/>
      <w:bCs/>
      <w:i/>
    </w:rPr>
  </w:style>
  <w:style w:type="paragraph" w:customStyle="1" w:styleId="GTCSectionTitle52">
    <w:name w:val="GTC Section Title 52"/>
    <w:basedOn w:val="Heading50"/>
    <w:rsid w:val="00FD4AE1"/>
    <w:pPr>
      <w:spacing w:before="240" w:beforeAutospacing="0" w:after="240" w:afterAutospacing="0"/>
    </w:pPr>
    <w:rPr>
      <w:b/>
      <w:bCs/>
    </w:rPr>
  </w:style>
  <w:style w:type="paragraph" w:customStyle="1" w:styleId="GTCSectionTitle62">
    <w:name w:val="GTC Section Title 62"/>
    <w:basedOn w:val="Heading60"/>
    <w:rsid w:val="00FD4AE1"/>
    <w:pPr>
      <w:spacing w:before="240" w:beforeAutospacing="0" w:after="240" w:afterAutospacing="0"/>
    </w:pPr>
    <w:rPr>
      <w:b/>
      <w:bCs/>
    </w:rPr>
  </w:style>
  <w:style w:type="paragraph" w:customStyle="1" w:styleId="GTCSectionTitle72">
    <w:name w:val="GTC Section Title 72"/>
    <w:basedOn w:val="Heading70"/>
    <w:rsid w:val="00FD4AE1"/>
    <w:pPr>
      <w:spacing w:before="240" w:beforeAutospacing="0" w:after="240" w:afterAutospacing="0"/>
    </w:pPr>
    <w:rPr>
      <w:b/>
      <w:bCs/>
    </w:rPr>
  </w:style>
  <w:style w:type="paragraph" w:customStyle="1" w:styleId="GTCSectionTitle82">
    <w:name w:val="GTC Section Title 82"/>
    <w:basedOn w:val="Heading80"/>
    <w:rsid w:val="00FD4AE1"/>
    <w:pPr>
      <w:spacing w:before="240" w:beforeAutospacing="0" w:after="240" w:afterAutospacing="0"/>
    </w:pPr>
    <w:rPr>
      <w:b/>
      <w:bCs/>
    </w:rPr>
  </w:style>
  <w:style w:type="paragraph" w:customStyle="1" w:styleId="GTCSectionTitle92">
    <w:name w:val="GTC Section Title 92"/>
    <w:basedOn w:val="Heading90"/>
    <w:rsid w:val="00FD4AE1"/>
    <w:pPr>
      <w:spacing w:before="240" w:beforeAutospacing="0" w:after="240" w:afterAutospacing="0"/>
    </w:pPr>
    <w:rPr>
      <w:b/>
      <w:bCs/>
    </w:rPr>
  </w:style>
  <w:style w:type="character" w:customStyle="1" w:styleId="GTCFootnoteText3">
    <w:name w:val="GTC Footnote Text3"/>
    <w:rsid w:val="00FD4AE1"/>
  </w:style>
  <w:style w:type="table" w:customStyle="1" w:styleId="GTCTitle9">
    <w:name w:val="GTC Title9"/>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
    <w:name w:val="GTC Title10"/>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
    <w:name w:val="GTC Title11"/>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
    <w:name w:val="GTC Title12"/>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
    <w:name w:val="GTC Heading 13"/>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
    <w:name w:val="GTC Heading 23"/>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
    <w:name w:val="GTC Heading 33"/>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
    <w:name w:val="GTC Heading 43"/>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0">
    <w:name w:val="GTC Link Text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
    <w:name w:val="GTC List Text3"/>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
    <w:name w:val="GTC Table List Text3"/>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
    <w:name w:val="GTC List Text Highlights3"/>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
    <w:name w:val="GTC List Style None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
    <w:name w:val="GTC List Style Circle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
    <w:name w:val="GTC List Style Disc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
    <w:name w:val="GTC List Style Square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
    <w:name w:val="GTC List Style LittleRoman3"/>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
    <w:name w:val="GTC List Style BigRoman5"/>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
    <w:name w:val="GTC List Style LittleAlpha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
    <w:name w:val="GTC List Style BigRoman6"/>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
    <w:name w:val="GTC List Style Arabic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
    <w:name w:val="GTC Table Title Otherwise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
    <w:name w:val="GTC Table Title Insert3"/>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
    <w:name w:val="GTC Table Title Delete3"/>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
    <w:name w:val="GTC Outline Numbering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
    <w:name w:val="GTC Bullets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3">
    <w:name w:val="GTC Section Title 13"/>
    <w:basedOn w:val="Heading10"/>
    <w:rsid w:val="00FD4AE1"/>
    <w:pPr>
      <w:keepNext/>
      <w:spacing w:before="240" w:beforeAutospacing="0" w:after="240" w:afterAutospacing="0"/>
    </w:pPr>
    <w:rPr>
      <w:b/>
      <w:bCs/>
      <w:caps/>
    </w:rPr>
  </w:style>
  <w:style w:type="paragraph" w:customStyle="1" w:styleId="GTCSectionTitle23">
    <w:name w:val="GTC Section Title 23"/>
    <w:basedOn w:val="Heading20"/>
    <w:rsid w:val="00FD4AE1"/>
    <w:pPr>
      <w:keepNext/>
      <w:spacing w:before="240" w:beforeAutospacing="0" w:after="240" w:afterAutospacing="0"/>
    </w:pPr>
    <w:rPr>
      <w:b/>
      <w:bCs/>
    </w:rPr>
  </w:style>
  <w:style w:type="paragraph" w:customStyle="1" w:styleId="GTCSectionTitle33">
    <w:name w:val="GTC Section Title 33"/>
    <w:basedOn w:val="Heading30"/>
    <w:rsid w:val="00FD4AE1"/>
    <w:pPr>
      <w:keepNext/>
      <w:spacing w:before="240" w:beforeAutospacing="0" w:after="240" w:afterAutospacing="0"/>
    </w:pPr>
    <w:rPr>
      <w:b/>
      <w:bCs/>
    </w:rPr>
  </w:style>
  <w:style w:type="paragraph" w:customStyle="1" w:styleId="GTCSectionTitle43">
    <w:name w:val="GTC Section Title 43"/>
    <w:basedOn w:val="Heading40"/>
    <w:rsid w:val="00FD4AE1"/>
    <w:pPr>
      <w:keepNext/>
      <w:spacing w:before="240" w:beforeAutospacing="0" w:after="240" w:afterAutospacing="0"/>
    </w:pPr>
    <w:rPr>
      <w:b/>
      <w:bCs/>
      <w:i/>
    </w:rPr>
  </w:style>
  <w:style w:type="paragraph" w:customStyle="1" w:styleId="GTCSectionTitle53">
    <w:name w:val="GTC Section Title 53"/>
    <w:basedOn w:val="Heading50"/>
    <w:rsid w:val="00FD4AE1"/>
    <w:pPr>
      <w:spacing w:before="240" w:beforeAutospacing="0" w:after="240" w:afterAutospacing="0"/>
    </w:pPr>
    <w:rPr>
      <w:b/>
      <w:bCs/>
    </w:rPr>
  </w:style>
  <w:style w:type="paragraph" w:customStyle="1" w:styleId="GTCSectionTitle63">
    <w:name w:val="GTC Section Title 63"/>
    <w:basedOn w:val="Heading60"/>
    <w:rsid w:val="00FD4AE1"/>
    <w:pPr>
      <w:spacing w:before="240" w:beforeAutospacing="0" w:after="240" w:afterAutospacing="0"/>
    </w:pPr>
    <w:rPr>
      <w:b/>
      <w:bCs/>
    </w:rPr>
  </w:style>
  <w:style w:type="paragraph" w:customStyle="1" w:styleId="GTCSectionTitle73">
    <w:name w:val="GTC Section Title 73"/>
    <w:basedOn w:val="Heading70"/>
    <w:rsid w:val="00FD4AE1"/>
    <w:pPr>
      <w:spacing w:before="240" w:beforeAutospacing="0" w:after="240" w:afterAutospacing="0"/>
    </w:pPr>
    <w:rPr>
      <w:b/>
      <w:bCs/>
    </w:rPr>
  </w:style>
  <w:style w:type="paragraph" w:customStyle="1" w:styleId="GTCSectionTitle83">
    <w:name w:val="GTC Section Title 83"/>
    <w:basedOn w:val="Heading80"/>
    <w:rsid w:val="00FD4AE1"/>
    <w:pPr>
      <w:spacing w:before="240" w:beforeAutospacing="0" w:after="240" w:afterAutospacing="0"/>
    </w:pPr>
    <w:rPr>
      <w:b/>
      <w:bCs/>
    </w:rPr>
  </w:style>
  <w:style w:type="paragraph" w:customStyle="1" w:styleId="GTCSectionTitle93">
    <w:name w:val="GTC Section Title 93"/>
    <w:basedOn w:val="Heading90"/>
    <w:rsid w:val="00FD4AE1"/>
    <w:pPr>
      <w:spacing w:before="240" w:beforeAutospacing="0" w:after="240" w:afterAutospacing="0"/>
    </w:pPr>
    <w:rPr>
      <w:b/>
      <w:bCs/>
    </w:rPr>
  </w:style>
  <w:style w:type="character" w:customStyle="1" w:styleId="GTCFootnoteText4">
    <w:name w:val="GTC Footnote Text4"/>
    <w:rsid w:val="00FD4AE1"/>
  </w:style>
  <w:style w:type="table" w:customStyle="1" w:styleId="GTCTitle13">
    <w:name w:val="GTC Title13"/>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
    <w:name w:val="GTC Title14"/>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
    <w:name w:val="GTC Title15"/>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
    <w:name w:val="GTC Title16"/>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
    <w:name w:val="GTC Heading 14"/>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
    <w:name w:val="GTC Heading 24"/>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
    <w:name w:val="GTC Heading 34"/>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
    <w:name w:val="GTC Heading 44"/>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0">
    <w:name w:val="GTC Link Text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
    <w:name w:val="GTC List Text4"/>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
    <w:name w:val="GTC Table List Text4"/>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
    <w:name w:val="GTC List Text Highlights4"/>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
    <w:name w:val="GTC List Style None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
    <w:name w:val="GTC List Style Circle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
    <w:name w:val="GTC List Style Disc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
    <w:name w:val="GTC List Style Square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
    <w:name w:val="GTC List Style LittleRoman4"/>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
    <w:name w:val="GTC List Style BigRoman7"/>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
    <w:name w:val="GTC List Style LittleAlpha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
    <w:name w:val="GTC List Style BigRoman8"/>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
    <w:name w:val="GTC List Style Arabic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
    <w:name w:val="GTC Table Title Otherwise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
    <w:name w:val="GTC Table Title Insert4"/>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
    <w:name w:val="GTC Table Title Delete4"/>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
    <w:name w:val="GTC Outline Numbering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
    <w:name w:val="GTC Bullets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first">
    <w:name w:val="firs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Left025">
    <w:name w:val="Normal + Left:  0.25&quot;"/>
    <w:basedOn w:val="Normal"/>
    <w:rsid w:val="00FD4AE1"/>
    <w:pPr>
      <w:spacing w:after="0" w:line="240" w:lineRule="auto"/>
      <w:ind w:left="360"/>
    </w:pPr>
    <w:rPr>
      <w:rFonts w:ascii="Times New Roman" w:eastAsia="Times New Roman" w:hAnsi="Times New Roman" w:cs="Times New Roman"/>
      <w:sz w:val="24"/>
      <w:szCs w:val="24"/>
      <w:lang w:val="en-US"/>
    </w:rPr>
  </w:style>
  <w:style w:type="paragraph" w:customStyle="1" w:styleId="CM49">
    <w:name w:val="CM49"/>
    <w:basedOn w:val="Default"/>
    <w:next w:val="Default"/>
    <w:rsid w:val="00FD4AE1"/>
    <w:rPr>
      <w:color w:val="auto"/>
    </w:rPr>
  </w:style>
  <w:style w:type="character" w:customStyle="1" w:styleId="sup2">
    <w:name w:val="sup2"/>
    <w:rsid w:val="00FD4AE1"/>
    <w:rPr>
      <w:sz w:val="19"/>
      <w:szCs w:val="19"/>
    </w:rPr>
  </w:style>
  <w:style w:type="character" w:customStyle="1" w:styleId="italics6">
    <w:name w:val="italics6"/>
    <w:rsid w:val="00FD4AE1"/>
    <w:rPr>
      <w:i/>
      <w:iCs/>
    </w:rPr>
  </w:style>
  <w:style w:type="character" w:customStyle="1" w:styleId="underline5">
    <w:name w:val="underline5"/>
    <w:rsid w:val="00FD4AE1"/>
    <w:rPr>
      <w:i w:val="0"/>
      <w:iCs w:val="0"/>
      <w:u w:val="single"/>
    </w:rPr>
  </w:style>
  <w:style w:type="paragraph" w:customStyle="1" w:styleId="CM11">
    <w:name w:val="CM11"/>
    <w:basedOn w:val="Default"/>
    <w:next w:val="Default"/>
    <w:rsid w:val="00FD4AE1"/>
    <w:pPr>
      <w:spacing w:line="231" w:lineRule="atLeast"/>
    </w:pPr>
    <w:rPr>
      <w:color w:val="auto"/>
      <w:lang w:eastAsia="ja-JP"/>
    </w:rPr>
  </w:style>
  <w:style w:type="character" w:customStyle="1" w:styleId="xmchange">
    <w:name w:val="xmchange"/>
    <w:rsid w:val="00FD4AE1"/>
  </w:style>
  <w:style w:type="character" w:customStyle="1" w:styleId="GTCLinkText31">
    <w:name w:val="GTC Link Text31"/>
    <w:rsid w:val="00FD4AE1"/>
    <w:rPr>
      <w:strike w:val="0"/>
      <w:dstrike w:val="0"/>
      <w:u w:val="none"/>
      <w:effect w:val="none"/>
    </w:rPr>
  </w:style>
  <w:style w:type="paragraph" w:customStyle="1" w:styleId="TableText">
    <w:name w:val="Table Text"/>
    <w:basedOn w:val="Default"/>
    <w:next w:val="Default"/>
    <w:rsid w:val="00FD4AE1"/>
    <w:rPr>
      <w:color w:val="auto"/>
    </w:rPr>
  </w:style>
  <w:style w:type="paragraph" w:customStyle="1" w:styleId="CM12">
    <w:name w:val="CM12"/>
    <w:basedOn w:val="Default"/>
    <w:next w:val="Default"/>
    <w:uiPriority w:val="99"/>
    <w:rsid w:val="00FD4AE1"/>
    <w:rPr>
      <w:color w:val="auto"/>
    </w:rPr>
  </w:style>
  <w:style w:type="paragraph" w:customStyle="1" w:styleId="CM14">
    <w:name w:val="CM14"/>
    <w:basedOn w:val="Default"/>
    <w:next w:val="Default"/>
    <w:uiPriority w:val="99"/>
    <w:rsid w:val="00FD4AE1"/>
    <w:pPr>
      <w:spacing w:line="183" w:lineRule="atLeast"/>
    </w:pPr>
    <w:rPr>
      <w:color w:val="auto"/>
    </w:rPr>
  </w:style>
  <w:style w:type="character" w:customStyle="1" w:styleId="GTCLinkText5">
    <w:name w:val="GTC Link Text5"/>
    <w:rsid w:val="00FD4AE1"/>
    <w:rPr>
      <w:strike w:val="0"/>
      <w:dstrike w:val="0"/>
      <w:u w:val="none"/>
      <w:effect w:val="none"/>
    </w:rPr>
  </w:style>
  <w:style w:type="character" w:customStyle="1" w:styleId="gtcunderline1">
    <w:name w:val="gtcunderline1"/>
    <w:rsid w:val="00FD4AE1"/>
    <w:rPr>
      <w:u w:val="single"/>
    </w:rPr>
  </w:style>
  <w:style w:type="character" w:customStyle="1" w:styleId="GTCLinkText7">
    <w:name w:val="GTC Link Text7"/>
    <w:rsid w:val="00FD4AE1"/>
    <w:rPr>
      <w:strike w:val="0"/>
      <w:dstrike w:val="0"/>
      <w:u w:val="none"/>
      <w:effect w:val="none"/>
    </w:rPr>
  </w:style>
  <w:style w:type="character" w:customStyle="1" w:styleId="gtcunderline2">
    <w:name w:val="gtcunderline2"/>
    <w:rsid w:val="00FD4AE1"/>
    <w:rPr>
      <w:u w:val="single"/>
    </w:rPr>
  </w:style>
  <w:style w:type="character" w:customStyle="1" w:styleId="GTCLinkText9">
    <w:name w:val="GTC Link Text9"/>
    <w:rsid w:val="00FD4AE1"/>
    <w:rPr>
      <w:strike w:val="0"/>
      <w:dstrike w:val="0"/>
      <w:u w:val="none"/>
      <w:effect w:val="none"/>
    </w:rPr>
  </w:style>
  <w:style w:type="character" w:customStyle="1" w:styleId="gtcunderline3">
    <w:name w:val="gtcunderline3"/>
    <w:rsid w:val="00FD4AE1"/>
    <w:rPr>
      <w:u w:val="single"/>
    </w:rPr>
  </w:style>
  <w:style w:type="character" w:customStyle="1" w:styleId="GTCLinkText11">
    <w:name w:val="GTC Link Text11"/>
    <w:rsid w:val="00FD4AE1"/>
    <w:rPr>
      <w:strike w:val="0"/>
      <w:dstrike w:val="0"/>
      <w:u w:val="none"/>
      <w:effect w:val="none"/>
    </w:rPr>
  </w:style>
  <w:style w:type="character" w:customStyle="1" w:styleId="GTCLinkText13">
    <w:name w:val="GTC Link Text13"/>
    <w:rsid w:val="00FD4AE1"/>
    <w:rPr>
      <w:strike w:val="0"/>
      <w:dstrike w:val="0"/>
      <w:u w:val="none"/>
      <w:effect w:val="none"/>
    </w:rPr>
  </w:style>
  <w:style w:type="character" w:customStyle="1" w:styleId="gtchighlightparagraph3">
    <w:name w:val="gtchighlightparagraph3"/>
    <w:rsid w:val="00FD4AE1"/>
    <w:rPr>
      <w:sz w:val="16"/>
      <w:szCs w:val="16"/>
    </w:rPr>
  </w:style>
  <w:style w:type="character" w:customStyle="1" w:styleId="GTCLinkText15">
    <w:name w:val="GTC Link Text15"/>
    <w:rsid w:val="00FD4AE1"/>
    <w:rPr>
      <w:strike w:val="0"/>
      <w:dstrike w:val="0"/>
      <w:u w:val="none"/>
      <w:effect w:val="none"/>
    </w:rPr>
  </w:style>
  <w:style w:type="character" w:customStyle="1" w:styleId="gtchighlightparagraph4">
    <w:name w:val="gtchighlightparagraph4"/>
    <w:rsid w:val="00FD4AE1"/>
    <w:rPr>
      <w:sz w:val="16"/>
      <w:szCs w:val="16"/>
    </w:rPr>
  </w:style>
  <w:style w:type="character" w:customStyle="1" w:styleId="GTCLinkText17">
    <w:name w:val="GTC Link Text17"/>
    <w:rsid w:val="00FD4AE1"/>
    <w:rPr>
      <w:strike w:val="0"/>
      <w:dstrike w:val="0"/>
      <w:u w:val="none"/>
      <w:effect w:val="none"/>
    </w:rPr>
  </w:style>
  <w:style w:type="character" w:customStyle="1" w:styleId="gtchighlightparagraph5">
    <w:name w:val="gtchighlightparagraph5"/>
    <w:rsid w:val="00FD4AE1"/>
    <w:rPr>
      <w:sz w:val="16"/>
      <w:szCs w:val="16"/>
    </w:rPr>
  </w:style>
  <w:style w:type="character" w:customStyle="1" w:styleId="apple-converted-space">
    <w:name w:val="apple-converted-space"/>
    <w:rsid w:val="00FD4AE1"/>
  </w:style>
  <w:style w:type="character" w:customStyle="1" w:styleId="gtcbold7">
    <w:name w:val="gtcbold7"/>
    <w:rsid w:val="00FD4AE1"/>
    <w:rPr>
      <w:b/>
      <w:bCs/>
    </w:rPr>
  </w:style>
  <w:style w:type="character" w:customStyle="1" w:styleId="gtcbold8">
    <w:name w:val="gtcbold8"/>
    <w:rsid w:val="00FD4AE1"/>
    <w:rPr>
      <w:b/>
      <w:bCs/>
    </w:rPr>
  </w:style>
  <w:style w:type="character" w:customStyle="1" w:styleId="gtcbold10">
    <w:name w:val="gtcbold10"/>
    <w:rsid w:val="00FD4AE1"/>
    <w:rPr>
      <w:b/>
      <w:bCs/>
    </w:rPr>
  </w:style>
  <w:style w:type="character" w:customStyle="1" w:styleId="gtcbold11">
    <w:name w:val="gtcbold11"/>
    <w:rsid w:val="00FD4AE1"/>
    <w:rPr>
      <w:b/>
      <w:bCs/>
    </w:rPr>
  </w:style>
  <w:style w:type="character" w:customStyle="1" w:styleId="gtcbold12">
    <w:name w:val="gtcbold12"/>
    <w:rsid w:val="00FD4AE1"/>
    <w:rPr>
      <w:b/>
      <w:bCs/>
    </w:rPr>
  </w:style>
  <w:style w:type="character" w:customStyle="1" w:styleId="gtcbold13">
    <w:name w:val="gtcbold13"/>
    <w:rsid w:val="00FD4AE1"/>
    <w:rPr>
      <w:b/>
      <w:bCs/>
    </w:rPr>
  </w:style>
  <w:style w:type="character" w:customStyle="1" w:styleId="gtcbold14">
    <w:name w:val="gtcbold14"/>
    <w:rsid w:val="00FD4AE1"/>
    <w:rPr>
      <w:b/>
      <w:bCs/>
    </w:rPr>
  </w:style>
  <w:style w:type="character" w:customStyle="1" w:styleId="gtcbold16">
    <w:name w:val="gtcbold16"/>
    <w:rsid w:val="00FD4AE1"/>
    <w:rPr>
      <w:b/>
      <w:bCs/>
    </w:rPr>
  </w:style>
  <w:style w:type="character" w:customStyle="1" w:styleId="gtcbold17">
    <w:name w:val="gtcbold17"/>
    <w:rsid w:val="00FD4AE1"/>
    <w:rPr>
      <w:b/>
      <w:bCs/>
    </w:rPr>
  </w:style>
  <w:style w:type="character" w:customStyle="1" w:styleId="gtcbold19">
    <w:name w:val="gtcbold19"/>
    <w:rsid w:val="00FD4AE1"/>
    <w:rPr>
      <w:b/>
      <w:bCs/>
    </w:rPr>
  </w:style>
  <w:style w:type="character" w:customStyle="1" w:styleId="gtcbold21">
    <w:name w:val="gtcbold21"/>
    <w:rsid w:val="00FD4AE1"/>
    <w:rPr>
      <w:b/>
      <w:bCs/>
    </w:rPr>
  </w:style>
  <w:style w:type="paragraph" w:customStyle="1" w:styleId="CM5">
    <w:name w:val="CM5"/>
    <w:basedOn w:val="Default"/>
    <w:next w:val="Default"/>
    <w:uiPriority w:val="99"/>
    <w:rsid w:val="00FD4AE1"/>
    <w:pPr>
      <w:spacing w:line="188" w:lineRule="atLeast"/>
    </w:pPr>
    <w:rPr>
      <w:color w:val="auto"/>
    </w:rPr>
  </w:style>
  <w:style w:type="table" w:customStyle="1" w:styleId="TableGrid1">
    <w:name w:val="Table Grid1"/>
    <w:basedOn w:val="TableNormal"/>
    <w:next w:val="TableGrid"/>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D4AE1"/>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FD4AE1"/>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Normal"/>
    <w:uiPriority w:val="66"/>
    <w:rsid w:val="00FD4AE1"/>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M51">
    <w:name w:val="CM51"/>
    <w:basedOn w:val="Default"/>
    <w:next w:val="Default"/>
    <w:uiPriority w:val="99"/>
    <w:rsid w:val="00FD4AE1"/>
    <w:rPr>
      <w:rFonts w:ascii="Verdana" w:hAnsi="Verdana"/>
      <w:color w:val="auto"/>
    </w:rPr>
  </w:style>
  <w:style w:type="paragraph" w:customStyle="1" w:styleId="EMEABullet">
    <w:name w:val="EMEA Bullet"/>
    <w:link w:val="EMEABulletChar"/>
    <w:rsid w:val="00FD4AE1"/>
    <w:pPr>
      <w:tabs>
        <w:tab w:val="num" w:pos="567"/>
      </w:tabs>
      <w:suppressAutoHyphens/>
      <w:spacing w:after="0" w:line="240" w:lineRule="auto"/>
      <w:ind w:left="567" w:hanging="567"/>
    </w:pPr>
    <w:rPr>
      <w:rFonts w:ascii="Times New Roman" w:eastAsia="Times New Roman" w:hAnsi="Times New Roman" w:cs="Times New Roman"/>
      <w:szCs w:val="20"/>
      <w:lang w:val="en-US"/>
    </w:rPr>
  </w:style>
  <w:style w:type="character" w:customStyle="1" w:styleId="EMEABulletChar">
    <w:name w:val="EMEA Bullet Char"/>
    <w:link w:val="EMEABullet"/>
    <w:rsid w:val="00FD4AE1"/>
    <w:rPr>
      <w:rFonts w:ascii="Times New Roman" w:eastAsia="Times New Roman" w:hAnsi="Times New Roman" w:cs="Times New Roman"/>
      <w:szCs w:val="20"/>
      <w:lang w:val="en-US"/>
    </w:rPr>
  </w:style>
  <w:style w:type="paragraph" w:customStyle="1" w:styleId="CM41">
    <w:name w:val="CM41"/>
    <w:basedOn w:val="Default"/>
    <w:next w:val="Default"/>
    <w:uiPriority w:val="99"/>
    <w:rsid w:val="00FD4AE1"/>
    <w:pPr>
      <w:spacing w:line="268" w:lineRule="atLeast"/>
    </w:pPr>
    <w:rPr>
      <w:rFonts w:ascii="Verdana" w:hAnsi="Verdana"/>
      <w:color w:val="auto"/>
    </w:rPr>
  </w:style>
  <w:style w:type="paragraph" w:customStyle="1" w:styleId="CM42">
    <w:name w:val="CM42"/>
    <w:basedOn w:val="Default"/>
    <w:next w:val="Default"/>
    <w:uiPriority w:val="99"/>
    <w:rsid w:val="00FD4AE1"/>
    <w:rPr>
      <w:rFonts w:ascii="Arial" w:hAnsi="Arial" w:cs="Arial"/>
      <w:color w:val="auto"/>
    </w:rPr>
  </w:style>
  <w:style w:type="paragraph" w:customStyle="1" w:styleId="CM24">
    <w:name w:val="CM24"/>
    <w:basedOn w:val="Default"/>
    <w:next w:val="Default"/>
    <w:uiPriority w:val="99"/>
    <w:rsid w:val="00FD4AE1"/>
    <w:rPr>
      <w:color w:val="auto"/>
    </w:rPr>
  </w:style>
  <w:style w:type="paragraph" w:customStyle="1" w:styleId="CM38">
    <w:name w:val="CM38"/>
    <w:basedOn w:val="Default"/>
    <w:next w:val="Default"/>
    <w:uiPriority w:val="99"/>
    <w:rsid w:val="00FD4AE1"/>
    <w:rPr>
      <w:rFonts w:ascii="Arial" w:hAnsi="Arial" w:cs="Arial"/>
      <w:color w:val="auto"/>
    </w:rPr>
  </w:style>
  <w:style w:type="paragraph" w:customStyle="1" w:styleId="CM16">
    <w:name w:val="CM16"/>
    <w:basedOn w:val="Default"/>
    <w:next w:val="Default"/>
    <w:uiPriority w:val="99"/>
    <w:rsid w:val="00FD4AE1"/>
    <w:pPr>
      <w:spacing w:line="186" w:lineRule="atLeast"/>
    </w:pPr>
    <w:rPr>
      <w:color w:val="auto"/>
    </w:rPr>
  </w:style>
  <w:style w:type="paragraph" w:styleId="ListNumber">
    <w:name w:val="List Number"/>
    <w:rsid w:val="00FD4AE1"/>
    <w:pPr>
      <w:numPr>
        <w:numId w:val="16"/>
      </w:numPr>
      <w:spacing w:before="120" w:after="120" w:line="360" w:lineRule="exact"/>
    </w:pPr>
    <w:rPr>
      <w:rFonts w:ascii="Times New Roman" w:eastAsia="MS Mincho" w:hAnsi="Times New Roman" w:cs="Times New Roman"/>
      <w:sz w:val="24"/>
      <w:szCs w:val="24"/>
      <w:lang w:val="en-US" w:eastAsia="ja-JP"/>
    </w:rPr>
  </w:style>
  <w:style w:type="paragraph" w:customStyle="1" w:styleId="TitleSideBoldUnderline">
    <w:name w:val="Title Side Bold Underline"/>
    <w:next w:val="Paragraph"/>
    <w:rsid w:val="00FD4AE1"/>
    <w:pPr>
      <w:keepNext/>
      <w:keepLines/>
      <w:spacing w:after="240" w:line="240" w:lineRule="auto"/>
    </w:pPr>
    <w:rPr>
      <w:rFonts w:ascii="Times New Roman" w:eastAsia="MS Mincho" w:hAnsi="Times New Roman" w:cs="Times New Roman"/>
      <w:b/>
      <w:bCs/>
      <w:sz w:val="24"/>
      <w:szCs w:val="24"/>
      <w:u w:val="single"/>
      <w:lang w:val="en-US" w:eastAsia="ja-JP"/>
    </w:rPr>
  </w:style>
  <w:style w:type="paragraph" w:customStyle="1" w:styleId="TableTitle">
    <w:name w:val="Table Title"/>
    <w:next w:val="TableLeft"/>
    <w:link w:val="TableTitleChar"/>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character" w:customStyle="1" w:styleId="TableTitleChar">
    <w:name w:val="Table Title Char"/>
    <w:link w:val="TableTitle"/>
    <w:locked/>
    <w:rsid w:val="00FD4AE1"/>
    <w:rPr>
      <w:rFonts w:ascii="Times New Roman" w:eastAsia="MS Mincho" w:hAnsi="Times New Roman" w:cs="Times New Roman"/>
      <w:b/>
      <w:bCs/>
      <w:sz w:val="24"/>
      <w:szCs w:val="24"/>
      <w:lang w:val="en-US" w:eastAsia="ja-JP"/>
    </w:rPr>
  </w:style>
  <w:style w:type="paragraph" w:customStyle="1" w:styleId="CM43">
    <w:name w:val="CM43"/>
    <w:basedOn w:val="Default"/>
    <w:next w:val="Default"/>
    <w:uiPriority w:val="99"/>
    <w:rsid w:val="00FD4AE1"/>
    <w:rPr>
      <w:color w:val="auto"/>
    </w:rPr>
  </w:style>
  <w:style w:type="paragraph" w:customStyle="1" w:styleId="CM39">
    <w:name w:val="CM39"/>
    <w:basedOn w:val="Default"/>
    <w:next w:val="Default"/>
    <w:uiPriority w:val="99"/>
    <w:rsid w:val="00FD4AE1"/>
    <w:rPr>
      <w:rFonts w:ascii="Arial" w:hAnsi="Arial" w:cs="Arial"/>
      <w:color w:val="auto"/>
    </w:rPr>
  </w:style>
  <w:style w:type="paragraph" w:customStyle="1" w:styleId="CM44">
    <w:name w:val="CM44"/>
    <w:basedOn w:val="Default"/>
    <w:next w:val="Default"/>
    <w:uiPriority w:val="99"/>
    <w:rsid w:val="00FD4AE1"/>
    <w:rPr>
      <w:rFonts w:ascii="Arial" w:hAnsi="Arial" w:cs="Arial"/>
      <w:color w:val="auto"/>
    </w:rPr>
  </w:style>
  <w:style w:type="paragraph" w:customStyle="1" w:styleId="CM8">
    <w:name w:val="CM8"/>
    <w:basedOn w:val="Default"/>
    <w:next w:val="Default"/>
    <w:uiPriority w:val="99"/>
    <w:rsid w:val="00FD4AE1"/>
    <w:pPr>
      <w:spacing w:line="186" w:lineRule="atLeast"/>
    </w:pPr>
    <w:rPr>
      <w:color w:val="auto"/>
    </w:rPr>
  </w:style>
  <w:style w:type="paragraph" w:customStyle="1" w:styleId="ListEnd">
    <w:name w:val="List End"/>
    <w:rsid w:val="00FD4AE1"/>
    <w:pPr>
      <w:spacing w:after="0" w:line="240" w:lineRule="auto"/>
    </w:pPr>
    <w:rPr>
      <w:rFonts w:ascii="Times New Roman" w:eastAsia="MS Mincho" w:hAnsi="Times New Roman" w:cs="Times New Roman"/>
      <w:sz w:val="24"/>
      <w:szCs w:val="24"/>
      <w:lang w:val="en-US" w:eastAsia="ja-JP"/>
    </w:rPr>
  </w:style>
  <w:style w:type="character" w:customStyle="1" w:styleId="GTCLinkText29">
    <w:name w:val="GTC Link Text29"/>
    <w:rsid w:val="00FD4AE1"/>
    <w:rPr>
      <w:strike w:val="0"/>
      <w:dstrike w:val="0"/>
      <w:u w:val="none"/>
      <w:effect w:val="none"/>
    </w:rPr>
  </w:style>
  <w:style w:type="paragraph" w:customStyle="1" w:styleId="HeaderText">
    <w:name w:val="HeaderText"/>
    <w:rsid w:val="00FD4AE1"/>
    <w:pPr>
      <w:keepLines/>
      <w:spacing w:after="0" w:line="240" w:lineRule="auto"/>
    </w:pPr>
    <w:rPr>
      <w:rFonts w:ascii="Times New Roman" w:eastAsia="MS Mincho" w:hAnsi="Times New Roman" w:cs="Times New Roman"/>
      <w:sz w:val="20"/>
      <w:szCs w:val="20"/>
      <w:lang w:val="en-US" w:eastAsia="ja-JP"/>
    </w:rPr>
  </w:style>
  <w:style w:type="paragraph" w:customStyle="1" w:styleId="ParagraphSingle">
    <w:name w:val="Paragraph Single"/>
    <w:next w:val="Paragraph"/>
    <w:rsid w:val="00FD4AE1"/>
    <w:pPr>
      <w:spacing w:after="240" w:line="240" w:lineRule="auto"/>
    </w:pPr>
    <w:rPr>
      <w:rFonts w:ascii="Times New Roman" w:eastAsia="MS Mincho" w:hAnsi="Times New Roman" w:cs="Times New Roman"/>
      <w:sz w:val="24"/>
      <w:szCs w:val="24"/>
      <w:lang w:val="en-US" w:eastAsia="ja-JP"/>
    </w:rPr>
  </w:style>
  <w:style w:type="paragraph" w:customStyle="1" w:styleId="Heading4Unnumbered">
    <w:name w:val="Heading 4 Unnumbered"/>
    <w:next w:val="Paragraph"/>
    <w:rsid w:val="00FD4AE1"/>
    <w:pPr>
      <w:keepNext/>
      <w:keepLines/>
      <w:tabs>
        <w:tab w:val="left" w:pos="1800"/>
      </w:tabs>
      <w:spacing w:before="120" w:after="240" w:line="240" w:lineRule="auto"/>
      <w:ind w:left="1800" w:hanging="1800"/>
      <w:outlineLvl w:val="3"/>
    </w:pPr>
    <w:rPr>
      <w:rFonts w:ascii="Arial" w:eastAsia="MS Gothic" w:hAnsi="Arial" w:cs="Arial"/>
      <w:b/>
      <w:bCs/>
      <w:sz w:val="24"/>
      <w:szCs w:val="24"/>
      <w:lang w:val="en-US" w:eastAsia="ja-JP"/>
    </w:rPr>
  </w:style>
  <w:style w:type="character" w:customStyle="1" w:styleId="Instructions">
    <w:name w:val="Instructions"/>
    <w:rsid w:val="00FD4AE1"/>
    <w:rPr>
      <w:b w:val="0"/>
      <w:i/>
      <w:vanish/>
      <w:color w:val="008000"/>
      <w:u w:val="none"/>
      <w:vertAlign w:val="baseline"/>
      <w:lang w:val="en-US" w:eastAsia="ja-JP"/>
    </w:rPr>
  </w:style>
  <w:style w:type="paragraph" w:customStyle="1" w:styleId="Heading1Unnumbered">
    <w:name w:val="Heading 1 Unnumbered"/>
    <w:next w:val="Paragraph"/>
    <w:rsid w:val="00FD4AE1"/>
    <w:pPr>
      <w:keepNext/>
      <w:keepLines/>
      <w:tabs>
        <w:tab w:val="left" w:pos="1800"/>
      </w:tabs>
      <w:spacing w:before="120" w:after="240" w:line="240" w:lineRule="auto"/>
      <w:ind w:left="1800" w:hanging="1800"/>
      <w:outlineLvl w:val="0"/>
    </w:pPr>
    <w:rPr>
      <w:rFonts w:ascii="Arial" w:eastAsia="MS Gothic" w:hAnsi="Arial" w:cs="Arial"/>
      <w:b/>
      <w:bCs/>
      <w:sz w:val="28"/>
      <w:szCs w:val="28"/>
      <w:lang w:val="en-US" w:eastAsia="ja-JP"/>
    </w:rPr>
  </w:style>
  <w:style w:type="paragraph" w:customStyle="1" w:styleId="Heading2Unnumbered">
    <w:name w:val="Heading 2 Unnumbered"/>
    <w:next w:val="Paragraph"/>
    <w:rsid w:val="00FD4AE1"/>
    <w:pPr>
      <w:keepNext/>
      <w:keepLines/>
      <w:tabs>
        <w:tab w:val="left" w:pos="1800"/>
      </w:tabs>
      <w:spacing w:before="120" w:after="240" w:line="240" w:lineRule="auto"/>
      <w:ind w:left="1800" w:hanging="1800"/>
      <w:outlineLvl w:val="1"/>
    </w:pPr>
    <w:rPr>
      <w:rFonts w:ascii="Arial" w:eastAsia="MS Gothic" w:hAnsi="Arial" w:cs="Arial"/>
      <w:b/>
      <w:bCs/>
      <w:sz w:val="24"/>
      <w:szCs w:val="24"/>
      <w:lang w:val="en-US" w:eastAsia="ja-JP"/>
    </w:rPr>
  </w:style>
  <w:style w:type="paragraph" w:customStyle="1" w:styleId="Heading3Unnumbered">
    <w:name w:val="Heading 3 Unnumbered"/>
    <w:next w:val="Paragraph"/>
    <w:rsid w:val="00FD4AE1"/>
    <w:pPr>
      <w:keepNext/>
      <w:keepLines/>
      <w:tabs>
        <w:tab w:val="left" w:pos="1800"/>
      </w:tabs>
      <w:spacing w:before="120" w:after="240" w:line="240" w:lineRule="auto"/>
      <w:ind w:left="1800" w:hanging="1800"/>
      <w:outlineLvl w:val="2"/>
    </w:pPr>
    <w:rPr>
      <w:rFonts w:ascii="Arial" w:eastAsia="MS Gothic" w:hAnsi="Arial" w:cs="Arial"/>
      <w:b/>
      <w:bCs/>
      <w:sz w:val="24"/>
      <w:szCs w:val="24"/>
      <w:lang w:val="en-US" w:eastAsia="ja-JP"/>
    </w:rPr>
  </w:style>
  <w:style w:type="paragraph" w:customStyle="1" w:styleId="Heading3NoTOC">
    <w:name w:val="Heading 3 No TOC"/>
    <w:next w:val="Paragraph"/>
    <w:rsid w:val="00FD4AE1"/>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customStyle="1" w:styleId="HeaderLandscape">
    <w:name w:val="HeaderLandscape"/>
    <w:next w:val="Paragraph"/>
    <w:rsid w:val="00FD4AE1"/>
    <w:pPr>
      <w:keepLines/>
      <w:pBdr>
        <w:bottom w:val="single" w:sz="4" w:space="1" w:color="auto"/>
      </w:pBdr>
      <w:tabs>
        <w:tab w:val="center" w:pos="6480"/>
        <w:tab w:val="right" w:pos="12960"/>
      </w:tabs>
      <w:spacing w:after="40" w:line="240" w:lineRule="auto"/>
    </w:pPr>
    <w:rPr>
      <w:rFonts w:ascii="Times New Roman" w:eastAsia="MS Mincho" w:hAnsi="Times New Roman" w:cs="Times New Roman"/>
      <w:sz w:val="20"/>
      <w:szCs w:val="20"/>
      <w:lang w:val="en-US" w:eastAsia="ja-JP"/>
    </w:rPr>
  </w:style>
  <w:style w:type="paragraph" w:customStyle="1" w:styleId="CaptionContinued">
    <w:name w:val="Caption Continued"/>
    <w:next w:val="Paragraph"/>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numbering" w:customStyle="1" w:styleId="1111110">
    <w:name w:val="111111"/>
    <w:rsid w:val="00FD4AE1"/>
  </w:style>
  <w:style w:type="numbering" w:customStyle="1" w:styleId="1ai0">
    <w:name w:val="1ai"/>
    <w:rsid w:val="00FD4AE1"/>
  </w:style>
  <w:style w:type="numbering" w:customStyle="1" w:styleId="ArticleSection0">
    <w:name w:val="ArticleSection"/>
    <w:rsid w:val="00FD4AE1"/>
  </w:style>
  <w:style w:type="numbering" w:styleId="111111">
    <w:name w:val="Outline List 2"/>
    <w:basedOn w:val="NoList"/>
    <w:rsid w:val="00FD4AE1"/>
    <w:pPr>
      <w:numPr>
        <w:numId w:val="32"/>
      </w:numPr>
    </w:pPr>
  </w:style>
  <w:style w:type="numbering" w:styleId="1ai">
    <w:name w:val="Outline List 1"/>
    <w:basedOn w:val="NoList"/>
    <w:rsid w:val="00FD4AE1"/>
    <w:pPr>
      <w:numPr>
        <w:numId w:val="33"/>
      </w:numPr>
    </w:pPr>
  </w:style>
  <w:style w:type="numbering" w:styleId="ArticleSection">
    <w:name w:val="Outline List 3"/>
    <w:basedOn w:val="NoList"/>
    <w:rsid w:val="00FD4AE1"/>
    <w:pPr>
      <w:numPr>
        <w:numId w:val="34"/>
      </w:numPr>
    </w:pPr>
  </w:style>
  <w:style w:type="paragraph" w:styleId="BlockText">
    <w:name w:val="Block Text"/>
    <w:basedOn w:val="Normal"/>
    <w:rsid w:val="00FD4AE1"/>
    <w:pPr>
      <w:spacing w:after="120" w:line="240" w:lineRule="auto"/>
      <w:ind w:left="1440" w:right="1440"/>
    </w:pPr>
    <w:rPr>
      <w:rFonts w:ascii="Times New Roman" w:eastAsia="MS Mincho" w:hAnsi="Times New Roman" w:cs="Times New Roman"/>
      <w:sz w:val="24"/>
      <w:szCs w:val="24"/>
      <w:lang w:val="en-US" w:eastAsia="ja-JP"/>
    </w:rPr>
  </w:style>
  <w:style w:type="paragraph" w:styleId="BodyText2">
    <w:name w:val="Body Text 2"/>
    <w:basedOn w:val="Normal"/>
    <w:link w:val="BodyText2Char"/>
    <w:rsid w:val="00FD4AE1"/>
    <w:pPr>
      <w:spacing w:after="120" w:line="480" w:lineRule="auto"/>
    </w:pPr>
    <w:rPr>
      <w:rFonts w:ascii="Times New Roman" w:eastAsia="MS Mincho" w:hAnsi="Times New Roman" w:cs="Times New Roman"/>
      <w:sz w:val="24"/>
      <w:szCs w:val="24"/>
      <w:lang w:val="en-US" w:eastAsia="ja-JP"/>
    </w:rPr>
  </w:style>
  <w:style w:type="character" w:customStyle="1" w:styleId="BodyText2Char">
    <w:name w:val="Body Text 2 Char"/>
    <w:basedOn w:val="DefaultParagraphFont"/>
    <w:link w:val="BodyText2"/>
    <w:rsid w:val="00FD4AE1"/>
    <w:rPr>
      <w:rFonts w:ascii="Times New Roman" w:eastAsia="MS Mincho" w:hAnsi="Times New Roman" w:cs="Times New Roman"/>
      <w:sz w:val="24"/>
      <w:szCs w:val="24"/>
      <w:lang w:val="en-US" w:eastAsia="ja-JP"/>
    </w:rPr>
  </w:style>
  <w:style w:type="paragraph" w:styleId="BodyText3">
    <w:name w:val="Body Text 3"/>
    <w:basedOn w:val="Normal"/>
    <w:link w:val="BodyText3Char"/>
    <w:rsid w:val="00FD4AE1"/>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sid w:val="00FD4AE1"/>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rsid w:val="00FD4AE1"/>
    <w:pPr>
      <w:spacing w:after="120"/>
      <w:ind w:firstLine="210"/>
    </w:pPr>
    <w:rPr>
      <w:rFonts w:eastAsia="MS Mincho"/>
      <w:i w:val="0"/>
      <w:color w:val="auto"/>
      <w:sz w:val="24"/>
      <w:szCs w:val="24"/>
      <w:lang w:val="en-US" w:eastAsia="ja-JP"/>
    </w:rPr>
  </w:style>
  <w:style w:type="character" w:customStyle="1" w:styleId="BodyTextFirstIndentChar">
    <w:name w:val="Body Text First Indent Char"/>
    <w:basedOn w:val="BodyTextChar"/>
    <w:link w:val="BodyTextFirstIndent"/>
    <w:rsid w:val="00FD4AE1"/>
    <w:rPr>
      <w:rFonts w:ascii="Times New Roman" w:eastAsia="MS Mincho" w:hAnsi="Times New Roman" w:cs="Times New Roman"/>
      <w:i w:val="0"/>
      <w:color w:val="008000"/>
      <w:sz w:val="24"/>
      <w:szCs w:val="24"/>
      <w:lang w:val="en-US" w:eastAsia="ja-JP"/>
    </w:rPr>
  </w:style>
  <w:style w:type="paragraph" w:styleId="BodyTextIndent">
    <w:name w:val="Body Text Indent"/>
    <w:basedOn w:val="Normal"/>
    <w:link w:val="BodyTextIndentChar"/>
    <w:rsid w:val="00FD4AE1"/>
    <w:pPr>
      <w:spacing w:after="120" w:line="240" w:lineRule="auto"/>
      <w:ind w:left="360"/>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rsid w:val="00FD4AE1"/>
    <w:rPr>
      <w:rFonts w:ascii="Times New Roman" w:eastAsia="MS Mincho" w:hAnsi="Times New Roman" w:cs="Times New Roman"/>
      <w:sz w:val="24"/>
      <w:szCs w:val="24"/>
      <w:lang w:val="en-US" w:eastAsia="ja-JP"/>
    </w:rPr>
  </w:style>
  <w:style w:type="paragraph" w:styleId="BodyTextFirstIndent2">
    <w:name w:val="Body Text First Indent 2"/>
    <w:basedOn w:val="BodyTextIndent"/>
    <w:link w:val="BodyTextFirstIndent2Char"/>
    <w:rsid w:val="00FD4AE1"/>
    <w:pPr>
      <w:ind w:firstLine="210"/>
    </w:pPr>
  </w:style>
  <w:style w:type="character" w:customStyle="1" w:styleId="BodyTextFirstIndent2Char">
    <w:name w:val="Body Text First Indent 2 Char"/>
    <w:basedOn w:val="BodyTextIndentChar"/>
    <w:link w:val="BodyTextFirstIndent2"/>
    <w:rsid w:val="00FD4AE1"/>
    <w:rPr>
      <w:rFonts w:ascii="Times New Roman" w:eastAsia="MS Mincho" w:hAnsi="Times New Roman" w:cs="Times New Roman"/>
      <w:sz w:val="24"/>
      <w:szCs w:val="24"/>
      <w:lang w:val="en-US" w:eastAsia="ja-JP"/>
    </w:rPr>
  </w:style>
  <w:style w:type="paragraph" w:styleId="BodyTextIndent2">
    <w:name w:val="Body Text Indent 2"/>
    <w:basedOn w:val="Normal"/>
    <w:link w:val="BodyTextIndent2Char"/>
    <w:rsid w:val="00FD4AE1"/>
    <w:pPr>
      <w:spacing w:after="120" w:line="480" w:lineRule="auto"/>
      <w:ind w:left="360"/>
    </w:pPr>
    <w:rPr>
      <w:rFonts w:ascii="Times New Roman" w:eastAsia="MS Mincho" w:hAnsi="Times New Roman" w:cs="Times New Roman"/>
      <w:sz w:val="24"/>
      <w:szCs w:val="24"/>
      <w:lang w:val="en-US" w:eastAsia="ja-JP"/>
    </w:rPr>
  </w:style>
  <w:style w:type="character" w:customStyle="1" w:styleId="BodyTextIndent2Char">
    <w:name w:val="Body Text Indent 2 Char"/>
    <w:basedOn w:val="DefaultParagraphFont"/>
    <w:link w:val="BodyTextIndent2"/>
    <w:rsid w:val="00FD4AE1"/>
    <w:rPr>
      <w:rFonts w:ascii="Times New Roman" w:eastAsia="MS Mincho" w:hAnsi="Times New Roman" w:cs="Times New Roman"/>
      <w:sz w:val="24"/>
      <w:szCs w:val="24"/>
      <w:lang w:val="en-US" w:eastAsia="ja-JP"/>
    </w:rPr>
  </w:style>
  <w:style w:type="paragraph" w:styleId="BodyTextIndent3">
    <w:name w:val="Body Text Indent 3"/>
    <w:basedOn w:val="Normal"/>
    <w:link w:val="BodyTextIndent3Char"/>
    <w:rsid w:val="00FD4AE1"/>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sid w:val="00FD4AE1"/>
    <w:rPr>
      <w:rFonts w:ascii="Times New Roman" w:eastAsia="MS Mincho" w:hAnsi="Times New Roman" w:cs="Times New Roman"/>
      <w:sz w:val="16"/>
      <w:szCs w:val="16"/>
      <w:lang w:val="en-US" w:eastAsia="ja-JP"/>
    </w:rPr>
  </w:style>
  <w:style w:type="paragraph" w:styleId="Closing">
    <w:name w:val="Closing"/>
    <w:basedOn w:val="Normal"/>
    <w:link w:val="ClosingChar"/>
    <w:rsid w:val="00FD4AE1"/>
    <w:pPr>
      <w:spacing w:after="0" w:line="240" w:lineRule="auto"/>
      <w:ind w:left="4320"/>
    </w:pPr>
    <w:rPr>
      <w:rFonts w:ascii="Times New Roman" w:eastAsia="MS Mincho" w:hAnsi="Times New Roman" w:cs="Times New Roman"/>
      <w:sz w:val="24"/>
      <w:szCs w:val="24"/>
      <w:lang w:val="en-US" w:eastAsia="ja-JP"/>
    </w:rPr>
  </w:style>
  <w:style w:type="character" w:customStyle="1" w:styleId="ClosingChar">
    <w:name w:val="Closing Char"/>
    <w:basedOn w:val="DefaultParagraphFont"/>
    <w:link w:val="Closing"/>
    <w:rsid w:val="00FD4AE1"/>
    <w:rPr>
      <w:rFonts w:ascii="Times New Roman" w:eastAsia="MS Mincho" w:hAnsi="Times New Roman" w:cs="Times New Roman"/>
      <w:sz w:val="24"/>
      <w:szCs w:val="24"/>
      <w:lang w:val="en-US" w:eastAsia="ja-JP"/>
    </w:rPr>
  </w:style>
  <w:style w:type="paragraph" w:styleId="Date">
    <w:name w:val="Date"/>
    <w:basedOn w:val="Normal"/>
    <w:next w:val="Normal"/>
    <w:link w:val="DateChar"/>
    <w:rsid w:val="00FD4AE1"/>
    <w:pPr>
      <w:spacing w:after="0" w:line="240" w:lineRule="auto"/>
    </w:pPr>
    <w:rPr>
      <w:rFonts w:ascii="Times New Roman" w:eastAsia="MS Mincho" w:hAnsi="Times New Roman" w:cs="Times New Roman"/>
      <w:sz w:val="24"/>
      <w:szCs w:val="24"/>
      <w:lang w:val="en-US" w:eastAsia="ja-JP"/>
    </w:rPr>
  </w:style>
  <w:style w:type="character" w:customStyle="1" w:styleId="DateChar">
    <w:name w:val="Date Char"/>
    <w:basedOn w:val="DefaultParagraphFont"/>
    <w:link w:val="Date"/>
    <w:rsid w:val="00FD4AE1"/>
    <w:rPr>
      <w:rFonts w:ascii="Times New Roman" w:eastAsia="MS Mincho" w:hAnsi="Times New Roman" w:cs="Times New Roman"/>
      <w:sz w:val="24"/>
      <w:szCs w:val="24"/>
      <w:lang w:val="en-US" w:eastAsia="ja-JP"/>
    </w:rPr>
  </w:style>
  <w:style w:type="paragraph" w:styleId="E-mailSignature">
    <w:name w:val="E-mail Signature"/>
    <w:basedOn w:val="Normal"/>
    <w:link w:val="E-mailSignatureChar"/>
    <w:rsid w:val="00FD4AE1"/>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rsid w:val="00FD4AE1"/>
    <w:rPr>
      <w:rFonts w:ascii="Times New Roman" w:eastAsia="MS Mincho" w:hAnsi="Times New Roman" w:cs="Times New Roman"/>
      <w:sz w:val="24"/>
      <w:szCs w:val="24"/>
      <w:lang w:val="en-US" w:eastAsia="ja-JP"/>
    </w:rPr>
  </w:style>
  <w:style w:type="character" w:styleId="Emphasis">
    <w:name w:val="Emphasis"/>
    <w:qFormat/>
    <w:rsid w:val="00FD4AE1"/>
    <w:rPr>
      <w:i/>
      <w:iCs/>
    </w:rPr>
  </w:style>
  <w:style w:type="character" w:styleId="EndnoteReference">
    <w:name w:val="endnote reference"/>
    <w:rsid w:val="00FD4AE1"/>
    <w:rPr>
      <w:b w:val="0"/>
      <w:i w:val="0"/>
      <w:color w:val="auto"/>
      <w:sz w:val="18"/>
      <w:szCs w:val="18"/>
      <w:u w:val="none"/>
      <w:vertAlign w:val="superscript"/>
      <w:lang w:val="en-US" w:eastAsia="ja-JP"/>
    </w:rPr>
  </w:style>
  <w:style w:type="paragraph" w:styleId="EndnoteText">
    <w:name w:val="endnote text"/>
    <w:link w:val="EndnoteTextChar"/>
    <w:rsid w:val="00FD4AE1"/>
    <w:pPr>
      <w:spacing w:after="0" w:line="240" w:lineRule="auto"/>
    </w:pPr>
    <w:rPr>
      <w:rFonts w:ascii="Times New Roman" w:eastAsia="MS Mincho" w:hAnsi="Times New Roman" w:cs="Times New Roman"/>
      <w:sz w:val="18"/>
      <w:szCs w:val="18"/>
      <w:lang w:val="en-US" w:eastAsia="ja-JP"/>
    </w:rPr>
  </w:style>
  <w:style w:type="character" w:customStyle="1" w:styleId="EndnoteTextChar">
    <w:name w:val="Endnote Text Char"/>
    <w:basedOn w:val="DefaultParagraphFont"/>
    <w:link w:val="EndnoteText"/>
    <w:rsid w:val="00FD4AE1"/>
    <w:rPr>
      <w:rFonts w:ascii="Times New Roman" w:eastAsia="MS Mincho" w:hAnsi="Times New Roman" w:cs="Times New Roman"/>
      <w:sz w:val="18"/>
      <w:szCs w:val="18"/>
      <w:lang w:val="en-US" w:eastAsia="ja-JP"/>
    </w:rPr>
  </w:style>
  <w:style w:type="paragraph" w:styleId="EnvelopeAddress">
    <w:name w:val="envelope address"/>
    <w:basedOn w:val="Normal"/>
    <w:rsid w:val="00FD4AE1"/>
    <w:pPr>
      <w:framePr w:w="7920" w:h="1980" w:hRule="exact" w:hSpace="180" w:wrap="auto" w:hAnchor="page" w:xAlign="center" w:yAlign="bottom"/>
      <w:spacing w:after="0" w:line="240" w:lineRule="auto"/>
      <w:ind w:left="2880"/>
    </w:pPr>
    <w:rPr>
      <w:rFonts w:ascii="Arial" w:eastAsia="MS Mincho" w:hAnsi="Arial" w:cs="Arial"/>
      <w:sz w:val="24"/>
      <w:szCs w:val="24"/>
      <w:lang w:val="en-US" w:eastAsia="ja-JP"/>
    </w:rPr>
  </w:style>
  <w:style w:type="paragraph" w:styleId="EnvelopeReturn">
    <w:name w:val="envelope return"/>
    <w:basedOn w:val="Normal"/>
    <w:rsid w:val="00FD4AE1"/>
    <w:pPr>
      <w:spacing w:after="0" w:line="240" w:lineRule="auto"/>
    </w:pPr>
    <w:rPr>
      <w:rFonts w:ascii="Arial" w:eastAsia="MS Mincho" w:hAnsi="Arial" w:cs="Arial"/>
      <w:sz w:val="20"/>
      <w:szCs w:val="20"/>
      <w:lang w:val="en-US" w:eastAsia="ja-JP"/>
    </w:rPr>
  </w:style>
  <w:style w:type="character" w:styleId="FootnoteReference">
    <w:name w:val="footnote reference"/>
    <w:rsid w:val="00FD4AE1"/>
    <w:rPr>
      <w:b w:val="0"/>
      <w:i w:val="0"/>
      <w:color w:val="auto"/>
      <w:sz w:val="20"/>
      <w:szCs w:val="18"/>
      <w:u w:val="none"/>
      <w:vertAlign w:val="baseline"/>
      <w:lang w:val="en-US" w:eastAsia="ja-JP"/>
    </w:rPr>
  </w:style>
  <w:style w:type="paragraph" w:styleId="FootnoteText">
    <w:name w:val="footnote text"/>
    <w:link w:val="FootnoteTextChar"/>
    <w:rsid w:val="00FD4AE1"/>
    <w:pPr>
      <w:tabs>
        <w:tab w:val="left" w:pos="360"/>
      </w:tabs>
      <w:spacing w:after="0" w:line="240" w:lineRule="auto"/>
      <w:ind w:left="360" w:hanging="360"/>
    </w:pPr>
    <w:rPr>
      <w:rFonts w:ascii="Times New Roman" w:eastAsia="MS Mincho" w:hAnsi="Times New Roman" w:cs="Times New Roman"/>
      <w:sz w:val="18"/>
      <w:szCs w:val="18"/>
      <w:lang w:val="en-US" w:eastAsia="ja-JP"/>
    </w:rPr>
  </w:style>
  <w:style w:type="character" w:customStyle="1" w:styleId="FootnoteTextChar">
    <w:name w:val="Footnote Text Char"/>
    <w:basedOn w:val="DefaultParagraphFont"/>
    <w:link w:val="FootnoteText"/>
    <w:rsid w:val="00FD4AE1"/>
    <w:rPr>
      <w:rFonts w:ascii="Times New Roman" w:eastAsia="MS Mincho" w:hAnsi="Times New Roman" w:cs="Times New Roman"/>
      <w:sz w:val="18"/>
      <w:szCs w:val="18"/>
      <w:lang w:val="en-US" w:eastAsia="ja-JP"/>
    </w:rPr>
  </w:style>
  <w:style w:type="character" w:styleId="HTMLAcronym">
    <w:name w:val="HTML Acronym"/>
    <w:rsid w:val="00FD4AE1"/>
  </w:style>
  <w:style w:type="paragraph" w:styleId="HTMLAddress">
    <w:name w:val="HTML Address"/>
    <w:basedOn w:val="Normal"/>
    <w:link w:val="HTMLAddressChar"/>
    <w:rsid w:val="00FD4AE1"/>
    <w:pPr>
      <w:spacing w:after="0" w:line="240" w:lineRule="auto"/>
    </w:pPr>
    <w:rPr>
      <w:rFonts w:ascii="Times New Roman" w:eastAsia="MS Mincho" w:hAnsi="Times New Roman" w:cs="Times New Roman"/>
      <w:i/>
      <w:iCs/>
      <w:sz w:val="24"/>
      <w:szCs w:val="24"/>
      <w:lang w:val="en-US" w:eastAsia="ja-JP"/>
    </w:rPr>
  </w:style>
  <w:style w:type="character" w:customStyle="1" w:styleId="HTMLAddressChar">
    <w:name w:val="HTML Address Char"/>
    <w:basedOn w:val="DefaultParagraphFont"/>
    <w:link w:val="HTMLAddress"/>
    <w:rsid w:val="00FD4AE1"/>
    <w:rPr>
      <w:rFonts w:ascii="Times New Roman" w:eastAsia="MS Mincho" w:hAnsi="Times New Roman" w:cs="Times New Roman"/>
      <w:i/>
      <w:iCs/>
      <w:sz w:val="24"/>
      <w:szCs w:val="24"/>
      <w:lang w:val="en-US" w:eastAsia="ja-JP"/>
    </w:rPr>
  </w:style>
  <w:style w:type="character" w:styleId="HTMLCite">
    <w:name w:val="HTML Cite"/>
    <w:rsid w:val="00FD4AE1"/>
    <w:rPr>
      <w:i/>
      <w:iCs/>
    </w:rPr>
  </w:style>
  <w:style w:type="character" w:styleId="HTMLCode">
    <w:name w:val="HTML Code"/>
    <w:rsid w:val="00FD4AE1"/>
    <w:rPr>
      <w:rFonts w:ascii="Courier New" w:hAnsi="Courier New" w:cs="Courier New"/>
      <w:sz w:val="20"/>
      <w:szCs w:val="20"/>
    </w:rPr>
  </w:style>
  <w:style w:type="character" w:styleId="HTMLDefinition">
    <w:name w:val="HTML Definition"/>
    <w:rsid w:val="00FD4AE1"/>
    <w:rPr>
      <w:i/>
      <w:iCs/>
    </w:rPr>
  </w:style>
  <w:style w:type="character" w:styleId="HTMLKeyboard">
    <w:name w:val="HTML Keyboard"/>
    <w:rsid w:val="00FD4AE1"/>
    <w:rPr>
      <w:rFonts w:ascii="Courier New" w:hAnsi="Courier New" w:cs="Courier New"/>
      <w:sz w:val="20"/>
      <w:szCs w:val="20"/>
    </w:rPr>
  </w:style>
  <w:style w:type="paragraph" w:styleId="HTMLPreformatted">
    <w:name w:val="HTML Preformatted"/>
    <w:basedOn w:val="Normal"/>
    <w:link w:val="HTMLPreformattedChar"/>
    <w:rsid w:val="00FD4AE1"/>
    <w:pPr>
      <w:spacing w:after="0" w:line="240" w:lineRule="auto"/>
    </w:pPr>
    <w:rPr>
      <w:rFonts w:ascii="Courier New" w:eastAsia="MS Mincho" w:hAnsi="Courier New" w:cs="Courier New"/>
      <w:sz w:val="20"/>
      <w:szCs w:val="20"/>
      <w:lang w:val="en-US" w:eastAsia="ja-JP"/>
    </w:rPr>
  </w:style>
  <w:style w:type="character" w:customStyle="1" w:styleId="HTMLPreformattedChar">
    <w:name w:val="HTML Preformatted Char"/>
    <w:basedOn w:val="DefaultParagraphFont"/>
    <w:link w:val="HTMLPreformatted"/>
    <w:rsid w:val="00FD4AE1"/>
    <w:rPr>
      <w:rFonts w:ascii="Courier New" w:eastAsia="MS Mincho" w:hAnsi="Courier New" w:cs="Courier New"/>
      <w:sz w:val="20"/>
      <w:szCs w:val="20"/>
      <w:lang w:val="en-US" w:eastAsia="ja-JP"/>
    </w:rPr>
  </w:style>
  <w:style w:type="character" w:styleId="HTMLSample">
    <w:name w:val="HTML Sample"/>
    <w:rsid w:val="00FD4AE1"/>
    <w:rPr>
      <w:rFonts w:ascii="Courier New" w:hAnsi="Courier New" w:cs="Courier New"/>
    </w:rPr>
  </w:style>
  <w:style w:type="character" w:styleId="HTMLTypewriter">
    <w:name w:val="HTML Typewriter"/>
    <w:rsid w:val="00FD4AE1"/>
    <w:rPr>
      <w:rFonts w:ascii="Courier New" w:hAnsi="Courier New" w:cs="Courier New"/>
      <w:sz w:val="20"/>
      <w:szCs w:val="20"/>
    </w:rPr>
  </w:style>
  <w:style w:type="character" w:styleId="HTMLVariable">
    <w:name w:val="HTML Variable"/>
    <w:rsid w:val="00FD4AE1"/>
    <w:rPr>
      <w:i/>
      <w:iCs/>
    </w:rPr>
  </w:style>
  <w:style w:type="character" w:styleId="LineNumber">
    <w:name w:val="line number"/>
    <w:rsid w:val="00FD4AE1"/>
  </w:style>
  <w:style w:type="paragraph" w:styleId="List">
    <w:name w:val="List"/>
    <w:basedOn w:val="Normal"/>
    <w:rsid w:val="00FD4AE1"/>
    <w:pPr>
      <w:spacing w:after="0" w:line="240" w:lineRule="auto"/>
      <w:ind w:left="360" w:hanging="360"/>
    </w:pPr>
    <w:rPr>
      <w:rFonts w:ascii="Times New Roman" w:eastAsia="MS Mincho" w:hAnsi="Times New Roman" w:cs="Times New Roman"/>
      <w:sz w:val="24"/>
      <w:szCs w:val="24"/>
      <w:lang w:val="en-US" w:eastAsia="ja-JP"/>
    </w:rPr>
  </w:style>
  <w:style w:type="paragraph" w:styleId="List2">
    <w:name w:val="List 2"/>
    <w:basedOn w:val="Normal"/>
    <w:rsid w:val="00FD4AE1"/>
    <w:pPr>
      <w:spacing w:after="0" w:line="240" w:lineRule="auto"/>
      <w:ind w:left="720" w:hanging="360"/>
    </w:pPr>
    <w:rPr>
      <w:rFonts w:ascii="Times New Roman" w:eastAsia="MS Mincho" w:hAnsi="Times New Roman" w:cs="Times New Roman"/>
      <w:sz w:val="24"/>
      <w:szCs w:val="24"/>
      <w:lang w:val="en-US" w:eastAsia="ja-JP"/>
    </w:rPr>
  </w:style>
  <w:style w:type="paragraph" w:styleId="List3">
    <w:name w:val="List 3"/>
    <w:basedOn w:val="Normal"/>
    <w:rsid w:val="00FD4AE1"/>
    <w:pPr>
      <w:spacing w:after="0" w:line="240" w:lineRule="auto"/>
      <w:ind w:left="1080" w:hanging="360"/>
    </w:pPr>
    <w:rPr>
      <w:rFonts w:ascii="Times New Roman" w:eastAsia="MS Mincho" w:hAnsi="Times New Roman" w:cs="Times New Roman"/>
      <w:sz w:val="24"/>
      <w:szCs w:val="24"/>
      <w:lang w:val="en-US" w:eastAsia="ja-JP"/>
    </w:rPr>
  </w:style>
  <w:style w:type="paragraph" w:styleId="List4">
    <w:name w:val="List 4"/>
    <w:basedOn w:val="Normal"/>
    <w:rsid w:val="00FD4AE1"/>
    <w:pPr>
      <w:spacing w:after="0" w:line="240" w:lineRule="auto"/>
      <w:ind w:left="1440" w:hanging="360"/>
    </w:pPr>
    <w:rPr>
      <w:rFonts w:ascii="Times New Roman" w:eastAsia="MS Mincho" w:hAnsi="Times New Roman" w:cs="Times New Roman"/>
      <w:sz w:val="24"/>
      <w:szCs w:val="24"/>
      <w:lang w:val="en-US" w:eastAsia="ja-JP"/>
    </w:rPr>
  </w:style>
  <w:style w:type="paragraph" w:styleId="List5">
    <w:name w:val="List 5"/>
    <w:basedOn w:val="Normal"/>
    <w:rsid w:val="00FD4AE1"/>
    <w:pPr>
      <w:spacing w:after="0" w:line="240" w:lineRule="auto"/>
      <w:ind w:left="1800" w:hanging="360"/>
    </w:pPr>
    <w:rPr>
      <w:rFonts w:ascii="Times New Roman" w:eastAsia="MS Mincho" w:hAnsi="Times New Roman" w:cs="Times New Roman"/>
      <w:sz w:val="24"/>
      <w:szCs w:val="24"/>
      <w:lang w:val="en-US" w:eastAsia="ja-JP"/>
    </w:rPr>
  </w:style>
  <w:style w:type="paragraph" w:styleId="ListContinue">
    <w:name w:val="List Continue"/>
    <w:basedOn w:val="Normal"/>
    <w:rsid w:val="00FD4AE1"/>
    <w:pPr>
      <w:spacing w:after="120" w:line="240" w:lineRule="auto"/>
      <w:ind w:left="360"/>
    </w:pPr>
    <w:rPr>
      <w:rFonts w:ascii="Times New Roman" w:eastAsia="MS Mincho" w:hAnsi="Times New Roman" w:cs="Times New Roman"/>
      <w:sz w:val="24"/>
      <w:szCs w:val="24"/>
      <w:lang w:val="en-US" w:eastAsia="ja-JP"/>
    </w:rPr>
  </w:style>
  <w:style w:type="paragraph" w:styleId="ListContinue2">
    <w:name w:val="List Continue 2"/>
    <w:basedOn w:val="Normal"/>
    <w:rsid w:val="00FD4AE1"/>
    <w:pPr>
      <w:spacing w:after="120" w:line="240" w:lineRule="auto"/>
      <w:ind w:left="720"/>
    </w:pPr>
    <w:rPr>
      <w:rFonts w:ascii="Times New Roman" w:eastAsia="MS Mincho" w:hAnsi="Times New Roman" w:cs="Times New Roman"/>
      <w:sz w:val="24"/>
      <w:szCs w:val="24"/>
      <w:lang w:val="en-US" w:eastAsia="ja-JP"/>
    </w:rPr>
  </w:style>
  <w:style w:type="paragraph" w:styleId="ListContinue3">
    <w:name w:val="List Continue 3"/>
    <w:basedOn w:val="Normal"/>
    <w:rsid w:val="00FD4AE1"/>
    <w:pPr>
      <w:spacing w:after="120" w:line="240" w:lineRule="auto"/>
      <w:ind w:left="1080"/>
    </w:pPr>
    <w:rPr>
      <w:rFonts w:ascii="Times New Roman" w:eastAsia="MS Mincho" w:hAnsi="Times New Roman" w:cs="Times New Roman"/>
      <w:sz w:val="24"/>
      <w:szCs w:val="24"/>
      <w:lang w:val="en-US" w:eastAsia="ja-JP"/>
    </w:rPr>
  </w:style>
  <w:style w:type="paragraph" w:styleId="ListContinue4">
    <w:name w:val="List Continue 4"/>
    <w:basedOn w:val="Normal"/>
    <w:rsid w:val="00FD4AE1"/>
    <w:pPr>
      <w:spacing w:after="120" w:line="240" w:lineRule="auto"/>
      <w:ind w:left="1440"/>
    </w:pPr>
    <w:rPr>
      <w:rFonts w:ascii="Times New Roman" w:eastAsia="MS Mincho" w:hAnsi="Times New Roman" w:cs="Times New Roman"/>
      <w:sz w:val="24"/>
      <w:szCs w:val="24"/>
      <w:lang w:val="en-US" w:eastAsia="ja-JP"/>
    </w:rPr>
  </w:style>
  <w:style w:type="paragraph" w:styleId="ListContinue5">
    <w:name w:val="List Continue 5"/>
    <w:basedOn w:val="Normal"/>
    <w:rsid w:val="00FD4AE1"/>
    <w:pPr>
      <w:spacing w:after="120" w:line="240" w:lineRule="auto"/>
      <w:ind w:left="1800"/>
    </w:pPr>
    <w:rPr>
      <w:rFonts w:ascii="Times New Roman" w:eastAsia="MS Mincho" w:hAnsi="Times New Roman" w:cs="Times New Roman"/>
      <w:sz w:val="24"/>
      <w:szCs w:val="24"/>
      <w:lang w:val="en-US" w:eastAsia="ja-JP"/>
    </w:rPr>
  </w:style>
  <w:style w:type="paragraph" w:styleId="MessageHeader">
    <w:name w:val="Message Header"/>
    <w:basedOn w:val="Normal"/>
    <w:link w:val="MessageHeaderChar"/>
    <w:rsid w:val="00FD4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MS Mincho" w:hAnsi="Arial" w:cs="Arial"/>
      <w:sz w:val="24"/>
      <w:szCs w:val="24"/>
      <w:lang w:val="en-US" w:eastAsia="ja-JP"/>
    </w:rPr>
  </w:style>
  <w:style w:type="character" w:customStyle="1" w:styleId="MessageHeaderChar">
    <w:name w:val="Message Header Char"/>
    <w:basedOn w:val="DefaultParagraphFont"/>
    <w:link w:val="MessageHeader"/>
    <w:rsid w:val="00FD4AE1"/>
    <w:rPr>
      <w:rFonts w:ascii="Arial" w:eastAsia="MS Mincho" w:hAnsi="Arial" w:cs="Arial"/>
      <w:sz w:val="24"/>
      <w:szCs w:val="24"/>
      <w:shd w:val="pct20" w:color="auto" w:fill="auto"/>
      <w:lang w:val="en-US" w:eastAsia="ja-JP"/>
    </w:rPr>
  </w:style>
  <w:style w:type="paragraph" w:styleId="NormalIndent">
    <w:name w:val="Normal Indent"/>
    <w:basedOn w:val="Normal"/>
    <w:rsid w:val="00FD4AE1"/>
    <w:pPr>
      <w:spacing w:after="0" w:line="240" w:lineRule="auto"/>
      <w:ind w:left="720"/>
    </w:pPr>
    <w:rPr>
      <w:rFonts w:ascii="Times New Roman" w:eastAsia="MS Mincho" w:hAnsi="Times New Roman" w:cs="Times New Roman"/>
      <w:sz w:val="24"/>
      <w:szCs w:val="24"/>
      <w:lang w:val="en-US" w:eastAsia="ja-JP"/>
    </w:rPr>
  </w:style>
  <w:style w:type="paragraph" w:styleId="NoteHeading">
    <w:name w:val="Note Heading"/>
    <w:basedOn w:val="Normal"/>
    <w:next w:val="Normal"/>
    <w:link w:val="NoteHeadingChar"/>
    <w:rsid w:val="00FD4AE1"/>
    <w:pPr>
      <w:spacing w:after="0" w:line="240" w:lineRule="auto"/>
    </w:pPr>
    <w:rPr>
      <w:rFonts w:ascii="Times New Roman" w:eastAsia="MS Mincho" w:hAnsi="Times New Roman" w:cs="Times New Roman"/>
      <w:sz w:val="24"/>
      <w:szCs w:val="24"/>
      <w:lang w:val="en-US" w:eastAsia="ja-JP"/>
    </w:rPr>
  </w:style>
  <w:style w:type="character" w:customStyle="1" w:styleId="NoteHeadingChar">
    <w:name w:val="Note Heading Char"/>
    <w:basedOn w:val="DefaultParagraphFont"/>
    <w:link w:val="NoteHeading"/>
    <w:rsid w:val="00FD4AE1"/>
    <w:rPr>
      <w:rFonts w:ascii="Times New Roman" w:eastAsia="MS Mincho" w:hAnsi="Times New Roman" w:cs="Times New Roman"/>
      <w:sz w:val="24"/>
      <w:szCs w:val="24"/>
      <w:lang w:val="en-US" w:eastAsia="ja-JP"/>
    </w:rPr>
  </w:style>
  <w:style w:type="paragraph" w:styleId="PlainText">
    <w:name w:val="Plain Text"/>
    <w:basedOn w:val="Normal"/>
    <w:link w:val="PlainTextChar"/>
    <w:rsid w:val="00FD4AE1"/>
    <w:pPr>
      <w:spacing w:after="0" w:line="240" w:lineRule="auto"/>
    </w:pPr>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rsid w:val="00FD4AE1"/>
    <w:rPr>
      <w:rFonts w:ascii="Courier New" w:eastAsia="MS Mincho" w:hAnsi="Courier New" w:cs="Courier New"/>
      <w:sz w:val="20"/>
      <w:szCs w:val="20"/>
      <w:lang w:val="en-US" w:eastAsia="ja-JP"/>
    </w:rPr>
  </w:style>
  <w:style w:type="paragraph" w:styleId="Salutation">
    <w:name w:val="Salutation"/>
    <w:basedOn w:val="Normal"/>
    <w:next w:val="Normal"/>
    <w:link w:val="SalutationChar"/>
    <w:rsid w:val="00FD4AE1"/>
    <w:pPr>
      <w:spacing w:after="0" w:line="240" w:lineRule="auto"/>
    </w:pPr>
    <w:rPr>
      <w:rFonts w:ascii="Times New Roman" w:eastAsia="MS Mincho" w:hAnsi="Times New Roman" w:cs="Times New Roman"/>
      <w:sz w:val="24"/>
      <w:szCs w:val="24"/>
      <w:lang w:val="en-US" w:eastAsia="ja-JP"/>
    </w:rPr>
  </w:style>
  <w:style w:type="character" w:customStyle="1" w:styleId="SalutationChar">
    <w:name w:val="Salutation Char"/>
    <w:basedOn w:val="DefaultParagraphFont"/>
    <w:link w:val="Salutation"/>
    <w:rsid w:val="00FD4AE1"/>
    <w:rPr>
      <w:rFonts w:ascii="Times New Roman" w:eastAsia="MS Mincho" w:hAnsi="Times New Roman" w:cs="Times New Roman"/>
      <w:sz w:val="24"/>
      <w:szCs w:val="24"/>
      <w:lang w:val="en-US" w:eastAsia="ja-JP"/>
    </w:rPr>
  </w:style>
  <w:style w:type="paragraph" w:styleId="Signature">
    <w:name w:val="Signature"/>
    <w:basedOn w:val="Normal"/>
    <w:link w:val="SignatureChar"/>
    <w:rsid w:val="00FD4AE1"/>
    <w:pPr>
      <w:spacing w:after="0" w:line="240" w:lineRule="auto"/>
      <w:ind w:left="4320"/>
    </w:pPr>
    <w:rPr>
      <w:rFonts w:ascii="Times New Roman" w:eastAsia="MS Mincho" w:hAnsi="Times New Roman" w:cs="Times New Roman"/>
      <w:sz w:val="24"/>
      <w:szCs w:val="24"/>
      <w:lang w:val="en-US" w:eastAsia="ja-JP"/>
    </w:rPr>
  </w:style>
  <w:style w:type="character" w:customStyle="1" w:styleId="SignatureChar">
    <w:name w:val="Signature Char"/>
    <w:basedOn w:val="DefaultParagraphFont"/>
    <w:link w:val="Signature"/>
    <w:rsid w:val="00FD4AE1"/>
    <w:rPr>
      <w:rFonts w:ascii="Times New Roman" w:eastAsia="MS Mincho" w:hAnsi="Times New Roman" w:cs="Times New Roman"/>
      <w:sz w:val="24"/>
      <w:szCs w:val="24"/>
      <w:lang w:val="en-US" w:eastAsia="ja-JP"/>
    </w:rPr>
  </w:style>
  <w:style w:type="character" w:styleId="Strong">
    <w:name w:val="Strong"/>
    <w:qFormat/>
    <w:rsid w:val="00FD4AE1"/>
    <w:rPr>
      <w:b/>
      <w:bCs/>
    </w:rPr>
  </w:style>
  <w:style w:type="table" w:styleId="Table3Deffects1">
    <w:name w:val="Table 3D effects 1"/>
    <w:basedOn w:val="TableNormal"/>
    <w:rsid w:val="00FD4AE1"/>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4AE1"/>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4AE1"/>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4AE1"/>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4AE1"/>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4AE1"/>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4AE1"/>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4AE1"/>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4AE1"/>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4AE1"/>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4AE1"/>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4AE1"/>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4AE1"/>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4AE1"/>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4AE1"/>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4AE1"/>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4AE1"/>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table" w:styleId="TableProfessional">
    <w:name w:val="Table Professional"/>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4AE1"/>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4AE1"/>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4AE1"/>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4AE1"/>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4AE1"/>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4AE1"/>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4AE1"/>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b/>
      <w:sz w:val="28"/>
      <w:szCs w:val="24"/>
      <w:lang w:val="en-US" w:eastAsia="ja-JP"/>
    </w:rPr>
  </w:style>
  <w:style w:type="paragraph" w:styleId="TOC2">
    <w:name w:val="toc 2"/>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3">
    <w:name w:val="toc 3"/>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4">
    <w:name w:val="toc 4"/>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5">
    <w:name w:val="toc 5"/>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6">
    <w:name w:val="toc 6"/>
    <w:next w:val="Paragraph"/>
    <w:rsid w:val="00FD4AE1"/>
    <w:pPr>
      <w:keepLines/>
      <w:tabs>
        <w:tab w:val="right" w:leader="dot" w:pos="9000"/>
      </w:tabs>
      <w:spacing w:before="60" w:after="60" w:line="280" w:lineRule="exact"/>
      <w:ind w:left="1440" w:right="360"/>
    </w:pPr>
    <w:rPr>
      <w:rFonts w:ascii="Times New Roman" w:eastAsia="MS Mincho" w:hAnsi="Times New Roman" w:cs="Times New Roman"/>
      <w:sz w:val="24"/>
      <w:szCs w:val="24"/>
      <w:lang w:val="en-US" w:eastAsia="ja-JP"/>
    </w:rPr>
  </w:style>
  <w:style w:type="paragraph" w:styleId="TOC7">
    <w:name w:val="toc 7"/>
    <w:next w:val="Paragraph"/>
    <w:rsid w:val="00FD4AE1"/>
    <w:pPr>
      <w:keepLines/>
      <w:tabs>
        <w:tab w:val="right" w:leader="dot" w:pos="9000"/>
      </w:tabs>
      <w:spacing w:before="60" w:after="60" w:line="280" w:lineRule="exact"/>
      <w:ind w:left="1680" w:right="360"/>
    </w:pPr>
    <w:rPr>
      <w:rFonts w:ascii="Times New Roman" w:eastAsia="MS Mincho" w:hAnsi="Times New Roman" w:cs="Times New Roman"/>
      <w:sz w:val="24"/>
      <w:szCs w:val="24"/>
      <w:lang w:val="en-US" w:eastAsia="ja-JP"/>
    </w:rPr>
  </w:style>
  <w:style w:type="paragraph" w:styleId="TOC8">
    <w:name w:val="toc 8"/>
    <w:next w:val="Paragraph"/>
    <w:rsid w:val="00FD4AE1"/>
    <w:pPr>
      <w:keepLines/>
      <w:tabs>
        <w:tab w:val="right" w:leader="dot" w:pos="9000"/>
      </w:tabs>
      <w:spacing w:before="60" w:after="60" w:line="280" w:lineRule="exact"/>
      <w:ind w:left="1920" w:right="360"/>
    </w:pPr>
    <w:rPr>
      <w:rFonts w:ascii="Times New Roman" w:eastAsia="MS Mincho" w:hAnsi="Times New Roman" w:cs="Times New Roman"/>
      <w:sz w:val="24"/>
      <w:szCs w:val="24"/>
      <w:lang w:val="en-US" w:eastAsia="ja-JP"/>
    </w:rPr>
  </w:style>
  <w:style w:type="paragraph" w:styleId="TOC9">
    <w:name w:val="toc 9"/>
    <w:next w:val="Paragraph"/>
    <w:rsid w:val="00FD4AE1"/>
    <w:pPr>
      <w:keepLines/>
      <w:tabs>
        <w:tab w:val="right" w:leader="dot" w:pos="9000"/>
      </w:tabs>
      <w:spacing w:before="60" w:after="60" w:line="280" w:lineRule="exact"/>
      <w:ind w:left="2160" w:right="360"/>
    </w:pPr>
    <w:rPr>
      <w:rFonts w:ascii="Times New Roman" w:eastAsia="MS Mincho" w:hAnsi="Times New Roman" w:cs="Times New Roman"/>
      <w:sz w:val="24"/>
      <w:szCs w:val="24"/>
      <w:lang w:val="en-US" w:eastAsia="ja-JP"/>
    </w:rPr>
  </w:style>
  <w:style w:type="paragraph" w:customStyle="1" w:styleId="FooterLandscape">
    <w:name w:val="FooterLandscape"/>
    <w:next w:val="Paragraph"/>
    <w:rsid w:val="00FD4AE1"/>
    <w:pPr>
      <w:keepLines/>
      <w:pBdr>
        <w:top w:val="single" w:sz="4" w:space="1" w:color="auto"/>
      </w:pBdr>
      <w:spacing w:before="120" w:after="140" w:line="240" w:lineRule="auto"/>
      <w:jc w:val="right"/>
    </w:pPr>
    <w:rPr>
      <w:rFonts w:ascii="Times New Roman" w:eastAsia="MS Mincho" w:hAnsi="Times New Roman" w:cs="Times New Roman"/>
      <w:sz w:val="20"/>
      <w:szCs w:val="20"/>
      <w:lang w:val="en-US" w:eastAsia="ja-JP"/>
    </w:rPr>
  </w:style>
  <w:style w:type="paragraph" w:styleId="ListBullet2">
    <w:name w:val="List Bullet 2"/>
    <w:rsid w:val="00FD4AE1"/>
    <w:pPr>
      <w:numPr>
        <w:numId w:val="17"/>
      </w:numPr>
      <w:spacing w:before="60" w:after="60" w:line="320" w:lineRule="exact"/>
    </w:pPr>
    <w:rPr>
      <w:rFonts w:ascii="Times New Roman" w:eastAsia="MS Mincho" w:hAnsi="Times New Roman" w:cs="Times New Roman"/>
      <w:sz w:val="24"/>
      <w:szCs w:val="24"/>
      <w:lang w:val="en-US" w:eastAsia="ja-JP"/>
    </w:rPr>
  </w:style>
  <w:style w:type="paragraph" w:styleId="ListBullet3">
    <w:name w:val="List Bullet 3"/>
    <w:rsid w:val="00FD4AE1"/>
    <w:pPr>
      <w:numPr>
        <w:numId w:val="18"/>
      </w:numPr>
      <w:spacing w:before="60" w:after="60" w:line="320" w:lineRule="exact"/>
    </w:pPr>
    <w:rPr>
      <w:rFonts w:ascii="Times New Roman" w:eastAsia="MS Mincho" w:hAnsi="Times New Roman" w:cs="Times New Roman"/>
      <w:sz w:val="24"/>
      <w:szCs w:val="24"/>
      <w:lang w:val="en-US" w:eastAsia="ja-JP"/>
    </w:rPr>
  </w:style>
  <w:style w:type="paragraph" w:styleId="ListBullet4">
    <w:name w:val="List Bullet 4"/>
    <w:basedOn w:val="Normal"/>
    <w:rsid w:val="00FD4AE1"/>
    <w:pPr>
      <w:numPr>
        <w:numId w:val="28"/>
      </w:numPr>
      <w:spacing w:after="0" w:line="240" w:lineRule="auto"/>
      <w:contextualSpacing/>
    </w:pPr>
    <w:rPr>
      <w:rFonts w:ascii="Times New Roman" w:eastAsia="MS Mincho" w:hAnsi="Times New Roman" w:cs="Times New Roman"/>
      <w:sz w:val="24"/>
      <w:szCs w:val="24"/>
      <w:lang w:val="en-US" w:eastAsia="ja-JP"/>
    </w:rPr>
  </w:style>
  <w:style w:type="paragraph" w:styleId="ListBullet5">
    <w:name w:val="List Bullet 5"/>
    <w:basedOn w:val="Normal"/>
    <w:rsid w:val="00FD4AE1"/>
    <w:pPr>
      <w:numPr>
        <w:numId w:val="29"/>
      </w:numPr>
      <w:spacing w:after="0" w:line="240" w:lineRule="auto"/>
      <w:contextualSpacing/>
    </w:pPr>
    <w:rPr>
      <w:rFonts w:ascii="Times New Roman" w:eastAsia="MS Mincho" w:hAnsi="Times New Roman" w:cs="Times New Roman"/>
      <w:sz w:val="24"/>
      <w:szCs w:val="24"/>
      <w:lang w:val="en-US" w:eastAsia="ja-JP"/>
    </w:rPr>
  </w:style>
  <w:style w:type="paragraph" w:styleId="ListNumber4">
    <w:name w:val="List Number 4"/>
    <w:basedOn w:val="Normal"/>
    <w:rsid w:val="00FD4AE1"/>
    <w:pPr>
      <w:numPr>
        <w:numId w:val="30"/>
      </w:numPr>
      <w:spacing w:after="0" w:line="240" w:lineRule="auto"/>
      <w:contextualSpacing/>
    </w:pPr>
    <w:rPr>
      <w:rFonts w:ascii="Times New Roman" w:eastAsia="MS Mincho" w:hAnsi="Times New Roman" w:cs="Times New Roman"/>
      <w:sz w:val="24"/>
      <w:szCs w:val="24"/>
      <w:lang w:val="en-US" w:eastAsia="ja-JP"/>
    </w:rPr>
  </w:style>
  <w:style w:type="paragraph" w:styleId="ListNumber5">
    <w:name w:val="List Number 5"/>
    <w:basedOn w:val="Normal"/>
    <w:rsid w:val="00FD4AE1"/>
    <w:pPr>
      <w:numPr>
        <w:numId w:val="31"/>
      </w:numPr>
      <w:spacing w:after="0" w:line="240" w:lineRule="auto"/>
      <w:contextualSpacing/>
    </w:pPr>
    <w:rPr>
      <w:rFonts w:ascii="Times New Roman" w:eastAsia="MS Mincho" w:hAnsi="Times New Roman" w:cs="Times New Roman"/>
      <w:sz w:val="24"/>
      <w:szCs w:val="24"/>
      <w:lang w:val="en-US" w:eastAsia="ja-JP"/>
    </w:rPr>
  </w:style>
  <w:style w:type="paragraph" w:styleId="ListNumber2">
    <w:name w:val="List Number 2"/>
    <w:rsid w:val="00FD4AE1"/>
    <w:pPr>
      <w:numPr>
        <w:numId w:val="19"/>
      </w:numPr>
      <w:spacing w:before="120" w:after="120" w:line="360" w:lineRule="exact"/>
    </w:pPr>
    <w:rPr>
      <w:rFonts w:ascii="Times New Roman" w:eastAsia="MS Mincho" w:hAnsi="Times New Roman" w:cs="Times New Roman"/>
      <w:sz w:val="24"/>
      <w:szCs w:val="24"/>
      <w:lang w:val="en-US" w:eastAsia="ja-JP"/>
    </w:rPr>
  </w:style>
  <w:style w:type="paragraph" w:styleId="ListNumber3">
    <w:name w:val="List Number 3"/>
    <w:rsid w:val="00FD4AE1"/>
    <w:pPr>
      <w:numPr>
        <w:numId w:val="20"/>
      </w:numPr>
      <w:spacing w:before="120" w:after="120" w:line="360" w:lineRule="exact"/>
    </w:pPr>
    <w:rPr>
      <w:rFonts w:ascii="Times New Roman" w:eastAsia="MS Mincho" w:hAnsi="Times New Roman" w:cs="Times New Roman"/>
      <w:sz w:val="24"/>
      <w:szCs w:val="24"/>
      <w:lang w:val="en-US" w:eastAsia="ja-JP"/>
    </w:rPr>
  </w:style>
  <w:style w:type="paragraph" w:customStyle="1" w:styleId="ListLetter">
    <w:name w:val="List Letter"/>
    <w:rsid w:val="00FD4AE1"/>
    <w:pPr>
      <w:numPr>
        <w:numId w:val="21"/>
      </w:numPr>
      <w:spacing w:before="60" w:after="60" w:line="360" w:lineRule="exact"/>
    </w:pPr>
    <w:rPr>
      <w:rFonts w:ascii="Times New Roman" w:eastAsia="MS Mincho" w:hAnsi="Times New Roman" w:cs="Times New Roman"/>
      <w:sz w:val="24"/>
      <w:szCs w:val="24"/>
      <w:lang w:val="en-US" w:eastAsia="ja-JP"/>
    </w:rPr>
  </w:style>
  <w:style w:type="paragraph" w:customStyle="1" w:styleId="ListLetter2">
    <w:name w:val="List Letter 2"/>
    <w:rsid w:val="00FD4AE1"/>
    <w:pPr>
      <w:numPr>
        <w:numId w:val="22"/>
      </w:numPr>
      <w:spacing w:before="60" w:after="60" w:line="360" w:lineRule="exact"/>
    </w:pPr>
    <w:rPr>
      <w:rFonts w:ascii="Times New Roman" w:eastAsia="MS Mincho" w:hAnsi="Times New Roman" w:cs="Times New Roman"/>
      <w:sz w:val="24"/>
      <w:szCs w:val="24"/>
      <w:lang w:val="en-US" w:eastAsia="ja-JP"/>
    </w:rPr>
  </w:style>
  <w:style w:type="paragraph" w:customStyle="1" w:styleId="ListLetter3">
    <w:name w:val="List Letter 3"/>
    <w:rsid w:val="00FD4AE1"/>
    <w:pPr>
      <w:numPr>
        <w:numId w:val="23"/>
      </w:numPr>
      <w:spacing w:before="60" w:after="60" w:line="360" w:lineRule="exact"/>
    </w:pPr>
    <w:rPr>
      <w:rFonts w:ascii="Times New Roman" w:eastAsia="MS Mincho" w:hAnsi="Times New Roman" w:cs="Times New Roman"/>
      <w:sz w:val="24"/>
      <w:szCs w:val="24"/>
      <w:lang w:val="en-US" w:eastAsia="ja-JP"/>
    </w:rPr>
  </w:style>
  <w:style w:type="character" w:customStyle="1" w:styleId="UserTips">
    <w:name w:val="User Tips"/>
    <w:rsid w:val="00FD4AE1"/>
    <w:rPr>
      <w:b w:val="0"/>
      <w:i/>
      <w:vanish/>
      <w:color w:val="FF6600"/>
      <w:u w:val="none"/>
      <w:vertAlign w:val="baseline"/>
      <w:lang w:val="en-US" w:eastAsia="ja-JP"/>
    </w:rPr>
  </w:style>
  <w:style w:type="paragraph" w:customStyle="1" w:styleId="Appendix">
    <w:name w:val="Appendix"/>
    <w:next w:val="Paragraph"/>
    <w:rsid w:val="00FD4AE1"/>
    <w:pPr>
      <w:keepNext/>
      <w:keepLines/>
      <w:pageBreakBefore/>
      <w:numPr>
        <w:numId w:val="24"/>
      </w:numPr>
      <w:spacing w:after="240" w:line="280" w:lineRule="exact"/>
    </w:pPr>
    <w:rPr>
      <w:rFonts w:ascii="Times New Roman" w:eastAsia="MS Mincho" w:hAnsi="Times New Roman" w:cs="Times New Roman"/>
      <w:b/>
      <w:bCs/>
      <w:sz w:val="24"/>
      <w:szCs w:val="24"/>
      <w:lang w:val="en-US" w:eastAsia="ja-JP"/>
    </w:rPr>
  </w:style>
  <w:style w:type="paragraph" w:customStyle="1" w:styleId="References">
    <w:name w:val="References"/>
    <w:rsid w:val="00FD4AE1"/>
    <w:pPr>
      <w:numPr>
        <w:numId w:val="25"/>
      </w:numPr>
      <w:spacing w:before="60" w:after="60" w:line="360" w:lineRule="exact"/>
    </w:pPr>
    <w:rPr>
      <w:rFonts w:ascii="Times New Roman" w:eastAsia="MS Mincho" w:hAnsi="Times New Roman" w:cs="Times New Roman"/>
      <w:sz w:val="24"/>
      <w:szCs w:val="24"/>
      <w:lang w:val="en-US" w:eastAsia="ja-JP"/>
    </w:rPr>
  </w:style>
  <w:style w:type="paragraph" w:customStyle="1" w:styleId="TableFootnote">
    <w:name w:val="Table Footnote"/>
    <w:rsid w:val="00FD4AE1"/>
    <w:pPr>
      <w:keepLines/>
      <w:numPr>
        <w:numId w:val="26"/>
      </w:numPr>
      <w:spacing w:before="40" w:after="0" w:line="240" w:lineRule="exact"/>
    </w:pPr>
    <w:rPr>
      <w:rFonts w:ascii="Times New Roman" w:eastAsia="MS Mincho" w:hAnsi="Times New Roman" w:cs="Times New Roman"/>
      <w:sz w:val="18"/>
      <w:szCs w:val="18"/>
      <w:lang w:val="en-US" w:eastAsia="ja-JP"/>
    </w:rPr>
  </w:style>
  <w:style w:type="paragraph" w:customStyle="1" w:styleId="TableFootnoteLetter">
    <w:name w:val="Table Footnote Letter"/>
    <w:rsid w:val="00FD4AE1"/>
    <w:pPr>
      <w:keepLines/>
      <w:numPr>
        <w:numId w:val="27"/>
      </w:numPr>
      <w:spacing w:before="40" w:after="0" w:line="240" w:lineRule="exact"/>
    </w:pPr>
    <w:rPr>
      <w:rFonts w:ascii="Times New Roman" w:eastAsia="MS Mincho" w:hAnsi="Times New Roman" w:cs="Times New Roman"/>
      <w:sz w:val="18"/>
      <w:szCs w:val="18"/>
      <w:lang w:val="en-US" w:eastAsia="ja-JP"/>
    </w:rPr>
  </w:style>
  <w:style w:type="paragraph" w:customStyle="1" w:styleId="Address">
    <w:name w:val="Address"/>
    <w:next w:val="Paragraph"/>
    <w:rsid w:val="00FD4AE1"/>
    <w:pPr>
      <w:keepLines/>
      <w:spacing w:before="120" w:after="120" w:line="240" w:lineRule="auto"/>
      <w:ind w:left="864"/>
    </w:pPr>
    <w:rPr>
      <w:rFonts w:ascii="Times New Roman" w:eastAsia="MS Mincho" w:hAnsi="Times New Roman" w:cs="Times New Roman"/>
      <w:sz w:val="24"/>
      <w:szCs w:val="24"/>
      <w:lang w:val="en-US" w:eastAsia="ja-JP"/>
    </w:rPr>
  </w:style>
  <w:style w:type="paragraph" w:styleId="Caption">
    <w:name w:val="caption"/>
    <w:basedOn w:val="Normal"/>
    <w:next w:val="Normal"/>
    <w:qFormat/>
    <w:rsid w:val="00FD4AE1"/>
    <w:pPr>
      <w:spacing w:before="120" w:after="120" w:line="240" w:lineRule="auto"/>
    </w:pPr>
    <w:rPr>
      <w:rFonts w:ascii="Times New Roman" w:eastAsia="MS Mincho" w:hAnsi="Times New Roman" w:cs="Times New Roman"/>
      <w:b/>
      <w:bCs/>
      <w:sz w:val="20"/>
      <w:szCs w:val="20"/>
      <w:lang w:val="en-US" w:eastAsia="ja-JP"/>
    </w:rPr>
  </w:style>
  <w:style w:type="paragraph" w:customStyle="1" w:styleId="TOCSection">
    <w:name w:val="TOC Section"/>
    <w:next w:val="TableofFigures"/>
    <w:rsid w:val="00FD4AE1"/>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TOCTitle">
    <w:name w:val="TOC Title"/>
    <w:next w:val="TOC1"/>
    <w:rsid w:val="00FD4AE1"/>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Figure">
    <w:name w:val="Figure"/>
    <w:next w:val="Paragraph"/>
    <w:rsid w:val="00FD4AE1"/>
    <w:pPr>
      <w:spacing w:after="240" w:line="240" w:lineRule="auto"/>
      <w:jc w:val="center"/>
    </w:pPr>
    <w:rPr>
      <w:rFonts w:ascii="Times New Roman" w:eastAsia="MS Mincho" w:hAnsi="Times New Roman" w:cs="Times New Roman"/>
      <w:sz w:val="24"/>
      <w:szCs w:val="24"/>
      <w:lang w:val="en-US" w:eastAsia="ja-JP"/>
    </w:rPr>
  </w:style>
  <w:style w:type="paragraph" w:customStyle="1" w:styleId="EquationTitle">
    <w:name w:val="Equation Title"/>
    <w:next w:val="Equation"/>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Title">
    <w:name w:val="Figure Title"/>
    <w:next w:val="Figure"/>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EndofTextTitle">
    <w:name w:val="Figure End of Text Title"/>
    <w:next w:val="Figure"/>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EndofTextTitle">
    <w:name w:val="Table End of Text Title"/>
    <w:next w:val="Paragraph"/>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ontinued">
    <w:name w:val="Table Title Continued"/>
    <w:next w:val="TableLeft"/>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enter">
    <w:name w:val="Table Title Center"/>
    <w:next w:val="Paragraph"/>
    <w:rsid w:val="00FD4AE1"/>
    <w:pPr>
      <w:keepNext/>
      <w:keepLines/>
      <w:spacing w:after="240" w:line="240" w:lineRule="auto"/>
      <w:jc w:val="center"/>
    </w:pPr>
    <w:rPr>
      <w:rFonts w:ascii="Times New Roman" w:eastAsia="MS Mincho" w:hAnsi="Times New Roman" w:cs="Times New Roman"/>
      <w:b/>
      <w:bCs/>
      <w:sz w:val="24"/>
      <w:szCs w:val="24"/>
      <w:lang w:val="en-US" w:eastAsia="ja-JP"/>
    </w:rPr>
  </w:style>
  <w:style w:type="character" w:customStyle="1" w:styleId="Citation">
    <w:name w:val="Citation"/>
    <w:rsid w:val="00FD4AE1"/>
    <w:rPr>
      <w:color w:val="auto"/>
      <w:vertAlign w:val="superscript"/>
      <w:lang w:val="en-US" w:eastAsia="ja-JP"/>
    </w:rPr>
  </w:style>
  <w:style w:type="paragraph" w:customStyle="1" w:styleId="Heading1NoTOC">
    <w:name w:val="Heading 1 No TOC"/>
    <w:next w:val="Paragraph"/>
    <w:rsid w:val="00FD4AE1"/>
    <w:pPr>
      <w:keepNext/>
      <w:keepLines/>
      <w:tabs>
        <w:tab w:val="left" w:pos="1800"/>
      </w:tabs>
      <w:spacing w:before="120" w:after="240" w:line="240" w:lineRule="auto"/>
    </w:pPr>
    <w:rPr>
      <w:rFonts w:ascii="Arial" w:eastAsia="MS Gothic" w:hAnsi="Arial" w:cs="Arial"/>
      <w:b/>
      <w:bCs/>
      <w:sz w:val="28"/>
      <w:szCs w:val="28"/>
      <w:lang w:val="en-US" w:eastAsia="ja-JP"/>
    </w:rPr>
  </w:style>
  <w:style w:type="paragraph" w:customStyle="1" w:styleId="Heading2NoTOC">
    <w:name w:val="Heading 2 No TOC"/>
    <w:next w:val="Paragraph"/>
    <w:rsid w:val="00FD4AE1"/>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styleId="DocumentMap">
    <w:name w:val="Document Map"/>
    <w:basedOn w:val="Normal"/>
    <w:link w:val="DocumentMapChar"/>
    <w:rsid w:val="00FD4AE1"/>
    <w:pPr>
      <w:shd w:val="clear" w:color="auto" w:fill="000080"/>
      <w:spacing w:after="0" w:line="240" w:lineRule="auto"/>
    </w:pPr>
    <w:rPr>
      <w:rFonts w:ascii="Tahoma" w:eastAsia="MS Mincho" w:hAnsi="Tahoma" w:cs="Tahoma"/>
      <w:sz w:val="20"/>
      <w:szCs w:val="20"/>
      <w:lang w:val="en-US" w:eastAsia="ja-JP"/>
    </w:rPr>
  </w:style>
  <w:style w:type="character" w:customStyle="1" w:styleId="DocumentMapChar">
    <w:name w:val="Document Map Char"/>
    <w:basedOn w:val="DefaultParagraphFont"/>
    <w:link w:val="DocumentMap"/>
    <w:rsid w:val="00FD4AE1"/>
    <w:rPr>
      <w:rFonts w:ascii="Tahoma" w:eastAsia="MS Mincho" w:hAnsi="Tahoma" w:cs="Tahoma"/>
      <w:sz w:val="20"/>
      <w:szCs w:val="20"/>
      <w:shd w:val="clear" w:color="auto" w:fill="000080"/>
      <w:lang w:val="en-US" w:eastAsia="ja-JP"/>
    </w:rPr>
  </w:style>
  <w:style w:type="paragraph" w:styleId="Index1">
    <w:name w:val="index 1"/>
    <w:basedOn w:val="Normal"/>
    <w:next w:val="Normal"/>
    <w:rsid w:val="00FD4AE1"/>
    <w:pPr>
      <w:spacing w:after="0" w:line="240" w:lineRule="auto"/>
      <w:ind w:left="240" w:hanging="240"/>
    </w:pPr>
    <w:rPr>
      <w:rFonts w:ascii="Times New Roman" w:eastAsia="MS Mincho" w:hAnsi="Times New Roman" w:cs="Times New Roman"/>
      <w:sz w:val="24"/>
      <w:szCs w:val="24"/>
      <w:lang w:val="en-US" w:eastAsia="ja-JP"/>
    </w:rPr>
  </w:style>
  <w:style w:type="paragraph" w:styleId="Index2">
    <w:name w:val="index 2"/>
    <w:basedOn w:val="Normal"/>
    <w:next w:val="Normal"/>
    <w:rsid w:val="00FD4AE1"/>
    <w:pPr>
      <w:spacing w:after="0" w:line="240" w:lineRule="auto"/>
      <w:ind w:left="480" w:hanging="240"/>
    </w:pPr>
    <w:rPr>
      <w:rFonts w:ascii="Times New Roman" w:eastAsia="MS Mincho" w:hAnsi="Times New Roman" w:cs="Times New Roman"/>
      <w:sz w:val="24"/>
      <w:szCs w:val="24"/>
      <w:lang w:val="en-US" w:eastAsia="ja-JP"/>
    </w:rPr>
  </w:style>
  <w:style w:type="paragraph" w:styleId="Index3">
    <w:name w:val="index 3"/>
    <w:basedOn w:val="Normal"/>
    <w:next w:val="Normal"/>
    <w:rsid w:val="00FD4AE1"/>
    <w:pPr>
      <w:spacing w:after="0" w:line="240" w:lineRule="auto"/>
      <w:ind w:left="720" w:hanging="240"/>
    </w:pPr>
    <w:rPr>
      <w:rFonts w:ascii="Times New Roman" w:eastAsia="MS Mincho" w:hAnsi="Times New Roman" w:cs="Times New Roman"/>
      <w:sz w:val="24"/>
      <w:szCs w:val="24"/>
      <w:lang w:val="en-US" w:eastAsia="ja-JP"/>
    </w:rPr>
  </w:style>
  <w:style w:type="paragraph" w:styleId="Index4">
    <w:name w:val="index 4"/>
    <w:basedOn w:val="Normal"/>
    <w:next w:val="Normal"/>
    <w:rsid w:val="00FD4AE1"/>
    <w:pPr>
      <w:spacing w:after="0" w:line="240" w:lineRule="auto"/>
      <w:ind w:left="960" w:hanging="240"/>
    </w:pPr>
    <w:rPr>
      <w:rFonts w:ascii="Times New Roman" w:eastAsia="MS Mincho" w:hAnsi="Times New Roman" w:cs="Times New Roman"/>
      <w:sz w:val="24"/>
      <w:szCs w:val="24"/>
      <w:lang w:val="en-US" w:eastAsia="ja-JP"/>
    </w:rPr>
  </w:style>
  <w:style w:type="paragraph" w:styleId="Index5">
    <w:name w:val="index 5"/>
    <w:basedOn w:val="Normal"/>
    <w:next w:val="Normal"/>
    <w:rsid w:val="00FD4AE1"/>
    <w:pPr>
      <w:spacing w:after="0" w:line="240" w:lineRule="auto"/>
      <w:ind w:left="1200" w:hanging="240"/>
    </w:pPr>
    <w:rPr>
      <w:rFonts w:ascii="Times New Roman" w:eastAsia="MS Mincho" w:hAnsi="Times New Roman" w:cs="Times New Roman"/>
      <w:sz w:val="24"/>
      <w:szCs w:val="24"/>
      <w:lang w:val="en-US" w:eastAsia="ja-JP"/>
    </w:rPr>
  </w:style>
  <w:style w:type="paragraph" w:styleId="Index6">
    <w:name w:val="index 6"/>
    <w:basedOn w:val="Normal"/>
    <w:next w:val="Normal"/>
    <w:rsid w:val="00FD4AE1"/>
    <w:pPr>
      <w:spacing w:after="0" w:line="240" w:lineRule="auto"/>
      <w:ind w:left="1440" w:hanging="240"/>
    </w:pPr>
    <w:rPr>
      <w:rFonts w:ascii="Times New Roman" w:eastAsia="MS Mincho" w:hAnsi="Times New Roman" w:cs="Times New Roman"/>
      <w:sz w:val="24"/>
      <w:szCs w:val="24"/>
      <w:lang w:val="en-US" w:eastAsia="ja-JP"/>
    </w:rPr>
  </w:style>
  <w:style w:type="paragraph" w:styleId="Index7">
    <w:name w:val="index 7"/>
    <w:basedOn w:val="Normal"/>
    <w:next w:val="Normal"/>
    <w:rsid w:val="00FD4AE1"/>
    <w:pPr>
      <w:spacing w:after="0" w:line="240" w:lineRule="auto"/>
      <w:ind w:left="1680" w:hanging="240"/>
    </w:pPr>
    <w:rPr>
      <w:rFonts w:ascii="Times New Roman" w:eastAsia="MS Mincho" w:hAnsi="Times New Roman" w:cs="Times New Roman"/>
      <w:sz w:val="24"/>
      <w:szCs w:val="24"/>
      <w:lang w:val="en-US" w:eastAsia="ja-JP"/>
    </w:rPr>
  </w:style>
  <w:style w:type="paragraph" w:styleId="Index8">
    <w:name w:val="index 8"/>
    <w:basedOn w:val="Normal"/>
    <w:next w:val="Normal"/>
    <w:rsid w:val="00FD4AE1"/>
    <w:pPr>
      <w:spacing w:after="0" w:line="240" w:lineRule="auto"/>
      <w:ind w:left="1920" w:hanging="240"/>
    </w:pPr>
    <w:rPr>
      <w:rFonts w:ascii="Times New Roman" w:eastAsia="MS Mincho" w:hAnsi="Times New Roman" w:cs="Times New Roman"/>
      <w:sz w:val="24"/>
      <w:szCs w:val="24"/>
      <w:lang w:val="en-US" w:eastAsia="ja-JP"/>
    </w:rPr>
  </w:style>
  <w:style w:type="paragraph" w:styleId="Index9">
    <w:name w:val="index 9"/>
    <w:basedOn w:val="Normal"/>
    <w:next w:val="Normal"/>
    <w:rsid w:val="00FD4AE1"/>
    <w:pPr>
      <w:spacing w:after="0" w:line="240" w:lineRule="auto"/>
      <w:ind w:left="2160" w:hanging="240"/>
    </w:pPr>
    <w:rPr>
      <w:rFonts w:ascii="Times New Roman" w:eastAsia="MS Mincho" w:hAnsi="Times New Roman" w:cs="Times New Roman"/>
      <w:sz w:val="24"/>
      <w:szCs w:val="24"/>
      <w:lang w:val="en-US" w:eastAsia="ja-JP"/>
    </w:rPr>
  </w:style>
  <w:style w:type="paragraph" w:styleId="IndexHeading">
    <w:name w:val="index heading"/>
    <w:basedOn w:val="Normal"/>
    <w:next w:val="Index1"/>
    <w:rsid w:val="00FD4AE1"/>
    <w:pPr>
      <w:spacing w:after="0" w:line="240" w:lineRule="auto"/>
    </w:pPr>
    <w:rPr>
      <w:rFonts w:ascii="Arial" w:eastAsia="MS Mincho" w:hAnsi="Arial" w:cs="Arial"/>
      <w:b/>
      <w:bCs/>
      <w:sz w:val="24"/>
      <w:szCs w:val="24"/>
      <w:lang w:val="en-US" w:eastAsia="ja-JP"/>
    </w:rPr>
  </w:style>
  <w:style w:type="paragraph" w:styleId="MacroText">
    <w:name w:val="macro"/>
    <w:link w:val="MacroTextChar"/>
    <w:rsid w:val="00FD4AE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rsid w:val="00FD4AE1"/>
    <w:rPr>
      <w:rFonts w:ascii="Courier New" w:eastAsia="MS Mincho" w:hAnsi="Courier New" w:cs="Courier New"/>
      <w:sz w:val="20"/>
      <w:szCs w:val="20"/>
      <w:lang w:val="en-US" w:eastAsia="ja-JP"/>
    </w:rPr>
  </w:style>
  <w:style w:type="paragraph" w:styleId="TableofAuthorities">
    <w:name w:val="table of authorities"/>
    <w:basedOn w:val="Normal"/>
    <w:next w:val="Normal"/>
    <w:rsid w:val="00FD4AE1"/>
    <w:pPr>
      <w:spacing w:after="0" w:line="240" w:lineRule="auto"/>
      <w:ind w:left="240" w:hanging="240"/>
    </w:pPr>
    <w:rPr>
      <w:rFonts w:ascii="Times New Roman" w:eastAsia="MS Mincho" w:hAnsi="Times New Roman" w:cs="Times New Roman"/>
      <w:sz w:val="24"/>
      <w:szCs w:val="24"/>
      <w:lang w:val="en-US" w:eastAsia="ja-JP"/>
    </w:rPr>
  </w:style>
  <w:style w:type="paragraph" w:styleId="TOAHeading">
    <w:name w:val="toa heading"/>
    <w:basedOn w:val="Normal"/>
    <w:next w:val="Normal"/>
    <w:rsid w:val="00FD4AE1"/>
    <w:pPr>
      <w:spacing w:before="120" w:after="0" w:line="240" w:lineRule="auto"/>
    </w:pPr>
    <w:rPr>
      <w:rFonts w:ascii="Arial" w:eastAsia="MS Mincho" w:hAnsi="Arial" w:cs="Arial"/>
      <w:b/>
      <w:bCs/>
      <w:sz w:val="24"/>
      <w:szCs w:val="24"/>
      <w:lang w:val="en-US" w:eastAsia="ja-JP"/>
    </w:rPr>
  </w:style>
  <w:style w:type="paragraph" w:customStyle="1" w:styleId="Heading5Unnumbered">
    <w:name w:val="Heading 5 Unnumbered"/>
    <w:next w:val="Paragraph"/>
    <w:rsid w:val="00FD4AE1"/>
    <w:pPr>
      <w:keepNext/>
      <w:keepLines/>
      <w:tabs>
        <w:tab w:val="left" w:pos="1800"/>
      </w:tabs>
      <w:spacing w:before="120" w:after="240" w:line="240" w:lineRule="auto"/>
      <w:ind w:left="1800" w:hanging="1800"/>
      <w:outlineLvl w:val="4"/>
    </w:pPr>
    <w:rPr>
      <w:rFonts w:ascii="Arial" w:eastAsia="MS Gothic" w:hAnsi="Arial" w:cs="Arial"/>
      <w:b/>
      <w:sz w:val="24"/>
      <w:szCs w:val="30"/>
      <w:lang w:val="en-US" w:eastAsia="ja-JP"/>
    </w:rPr>
  </w:style>
  <w:style w:type="paragraph" w:customStyle="1" w:styleId="Equation">
    <w:name w:val="Equation"/>
    <w:next w:val="Paragraph"/>
    <w:rsid w:val="00FD4AE1"/>
    <w:pPr>
      <w:keepLines/>
      <w:spacing w:after="120" w:line="240" w:lineRule="auto"/>
      <w:jc w:val="center"/>
    </w:pPr>
    <w:rPr>
      <w:rFonts w:ascii="Times New Roman" w:eastAsia="Times New Roman" w:hAnsi="Times New Roman" w:cs="Arial"/>
      <w:sz w:val="24"/>
      <w:szCs w:val="24"/>
      <w:lang w:val="en-US"/>
    </w:rPr>
  </w:style>
  <w:style w:type="paragraph" w:customStyle="1" w:styleId="EMEABodyText">
    <w:name w:val="EMEA Body Text"/>
    <w:basedOn w:val="Normal"/>
    <w:link w:val="EMEABodyTextChar"/>
    <w:rsid w:val="00FD4AE1"/>
    <w:pPr>
      <w:spacing w:after="0" w:line="240" w:lineRule="auto"/>
    </w:pPr>
    <w:rPr>
      <w:rFonts w:ascii="Times New Roman" w:eastAsia="Times New Roman" w:hAnsi="Times New Roman" w:cs="Times New Roman"/>
      <w:szCs w:val="20"/>
      <w:lang w:val="x-none"/>
    </w:rPr>
  </w:style>
  <w:style w:type="character" w:customStyle="1" w:styleId="EMEABodyTextChar">
    <w:name w:val="EMEA Body Text Char"/>
    <w:link w:val="EMEABodyText"/>
    <w:rsid w:val="00FD4AE1"/>
    <w:rPr>
      <w:rFonts w:ascii="Times New Roman" w:eastAsia="Times New Roman" w:hAnsi="Times New Roman" w:cs="Times New Roman"/>
      <w:szCs w:val="20"/>
      <w:lang w:val="x-none"/>
    </w:rPr>
  </w:style>
  <w:style w:type="paragraph" w:customStyle="1" w:styleId="Liststycke">
    <w:name w:val="Liststycke"/>
    <w:basedOn w:val="Normal"/>
    <w:uiPriority w:val="34"/>
    <w:qFormat/>
    <w:rsid w:val="00FD4AE1"/>
    <w:pPr>
      <w:tabs>
        <w:tab w:val="left" w:pos="567"/>
      </w:tabs>
      <w:spacing w:after="0" w:line="240" w:lineRule="auto"/>
      <w:ind w:left="720"/>
      <w:contextualSpacing/>
    </w:pPr>
    <w:rPr>
      <w:rFonts w:ascii="Times New Roman" w:eastAsia="Times New Roman" w:hAnsi="Times New Roman" w:cs="Times New Roman"/>
      <w:szCs w:val="20"/>
      <w:lang w:val="en-GB"/>
    </w:rPr>
  </w:style>
  <w:style w:type="table" w:customStyle="1" w:styleId="Ljusskuggning-dekorfrg1">
    <w:name w:val="Ljus skuggning - dekorfärg 1"/>
    <w:basedOn w:val="TableNormal"/>
    <w:uiPriority w:val="60"/>
    <w:rsid w:val="00FD4AE1"/>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
    <w:name w:val="Ljus skuggning"/>
    <w:basedOn w:val="TableNormal"/>
    <w:uiPriority w:val="60"/>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
    <w:name w:val="Ljus skuggning - dekorfärg 3"/>
    <w:basedOn w:val="TableNormal"/>
    <w:uiPriority w:val="60"/>
    <w:rsid w:val="00FD4AE1"/>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
    <w:name w:val="Mellanmörk skuggning 2 - dekorfärg 2"/>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
    <w:name w:val="Färgat rutnät - dekorfärg 3"/>
    <w:basedOn w:val="TableNormal"/>
    <w:uiPriority w:val="73"/>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
    <w:name w:val="Mellanmörk lista 2 - dekorfärg 3"/>
    <w:basedOn w:val="TableNormal"/>
    <w:uiPriority w:val="66"/>
    <w:rsid w:val="00FD4AE1"/>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
    <w:name w:val="Mellanmörk skuggning 2 - dekorfärg 5"/>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
    <w:name w:val="Mellanmörkt rutnät 3 - dekorfärg 5"/>
    <w:basedOn w:val="TableNormal"/>
    <w:uiPriority w:val="69"/>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stBullet7">
    <w:name w:val="List Bullet 7"/>
    <w:rsid w:val="00FD4AE1"/>
    <w:pPr>
      <w:tabs>
        <w:tab w:val="num" w:pos="3240"/>
      </w:tabs>
      <w:spacing w:before="60" w:after="60" w:line="320" w:lineRule="exact"/>
      <w:ind w:left="3240" w:hanging="360"/>
    </w:pPr>
    <w:rPr>
      <w:rFonts w:ascii="Times New Roman" w:eastAsia="MS Mincho" w:hAnsi="Times New Roman" w:cs="Times New Roman"/>
      <w:sz w:val="24"/>
      <w:szCs w:val="24"/>
      <w:lang w:val="en-US" w:eastAsia="ja-JP"/>
    </w:rPr>
  </w:style>
  <w:style w:type="character" w:customStyle="1" w:styleId="cit">
    <w:name w:val="cit"/>
    <w:rsid w:val="00FD4AE1"/>
  </w:style>
  <w:style w:type="paragraph" w:customStyle="1" w:styleId="CM2">
    <w:name w:val="CM2"/>
    <w:basedOn w:val="Default"/>
    <w:next w:val="Default"/>
    <w:uiPriority w:val="99"/>
    <w:rsid w:val="00FD4AE1"/>
    <w:pPr>
      <w:spacing w:line="268" w:lineRule="atLeast"/>
    </w:pPr>
    <w:rPr>
      <w:color w:val="auto"/>
    </w:rPr>
  </w:style>
  <w:style w:type="character" w:customStyle="1" w:styleId="slug-pub-date3">
    <w:name w:val="slug-pub-date3"/>
    <w:rsid w:val="00FD4AE1"/>
    <w:rPr>
      <w:b/>
      <w:bCs/>
    </w:rPr>
  </w:style>
  <w:style w:type="character" w:customStyle="1" w:styleId="slug-vol">
    <w:name w:val="slug-vol"/>
    <w:rsid w:val="00FD4AE1"/>
  </w:style>
  <w:style w:type="character" w:customStyle="1" w:styleId="slug-issue">
    <w:name w:val="slug-issue"/>
    <w:rsid w:val="00FD4AE1"/>
  </w:style>
  <w:style w:type="character" w:customStyle="1" w:styleId="slug-pages3">
    <w:name w:val="slug-pages3"/>
    <w:rsid w:val="00FD4AE1"/>
    <w:rPr>
      <w:b/>
      <w:bCs/>
    </w:rPr>
  </w:style>
  <w:style w:type="character" w:customStyle="1" w:styleId="maintitle">
    <w:name w:val="maintitle"/>
    <w:rsid w:val="00FD4AE1"/>
  </w:style>
  <w:style w:type="character" w:customStyle="1" w:styleId="name2">
    <w:name w:val="name2"/>
    <w:rsid w:val="00FD4AE1"/>
  </w:style>
  <w:style w:type="character" w:customStyle="1" w:styleId="xref-sep2">
    <w:name w:val="xref-sep2"/>
    <w:rsid w:val="00FD4AE1"/>
  </w:style>
  <w:style w:type="paragraph" w:styleId="Bibliography">
    <w:name w:val="Bibliography"/>
    <w:basedOn w:val="Normal"/>
    <w:next w:val="Normal"/>
    <w:uiPriority w:val="37"/>
    <w:semiHidden/>
    <w:unhideWhenUsed/>
    <w:rsid w:val="00FD4AE1"/>
    <w:pPr>
      <w:tabs>
        <w:tab w:val="left" w:pos="567"/>
      </w:tabs>
      <w:spacing w:after="0" w:line="24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rsid w:val="00FD4AE1"/>
    <w:pPr>
      <w:pBdr>
        <w:bottom w:val="single" w:sz="4" w:space="4" w:color="4F81BD"/>
      </w:pBdr>
      <w:tabs>
        <w:tab w:val="left" w:pos="567"/>
      </w:tabs>
      <w:spacing w:before="200" w:after="280" w:line="240" w:lineRule="auto"/>
      <w:ind w:left="936" w:right="936"/>
    </w:pPr>
    <w:rPr>
      <w:rFonts w:ascii="Times New Roman" w:eastAsia="Times New Roman" w:hAnsi="Times New Roman" w:cs="Times New Roman"/>
      <w:b/>
      <w:bCs/>
      <w:i/>
      <w:iCs/>
      <w:color w:val="4F81BD"/>
      <w:szCs w:val="20"/>
      <w:lang w:val="en-GB"/>
    </w:rPr>
  </w:style>
  <w:style w:type="character" w:customStyle="1" w:styleId="IntenseQuoteChar">
    <w:name w:val="Intense Quote Char"/>
    <w:basedOn w:val="DefaultParagraphFont"/>
    <w:link w:val="IntenseQuote"/>
    <w:uiPriority w:val="30"/>
    <w:rsid w:val="00FD4AE1"/>
    <w:rPr>
      <w:rFonts w:ascii="Times New Roman" w:eastAsia="Times New Roman" w:hAnsi="Times New Roman" w:cs="Times New Roman"/>
      <w:b/>
      <w:bCs/>
      <w:i/>
      <w:iCs/>
      <w:color w:val="4F81BD"/>
      <w:szCs w:val="20"/>
      <w:lang w:val="en-GB"/>
    </w:rPr>
  </w:style>
  <w:style w:type="paragraph" w:styleId="NoSpacing">
    <w:name w:val="No Spacing"/>
    <w:uiPriority w:val="1"/>
    <w:qFormat/>
    <w:rsid w:val="00FD4AE1"/>
    <w:pPr>
      <w:tabs>
        <w:tab w:val="left" w:pos="567"/>
      </w:tabs>
      <w:spacing w:after="0" w:line="240" w:lineRule="auto"/>
    </w:pPr>
    <w:rPr>
      <w:rFonts w:ascii="Times New Roman" w:eastAsia="Times New Roman" w:hAnsi="Times New Roman" w:cs="Times New Roman"/>
      <w:szCs w:val="20"/>
      <w:lang w:val="en-GB"/>
    </w:rPr>
  </w:style>
  <w:style w:type="paragraph" w:styleId="Quote">
    <w:name w:val="Quote"/>
    <w:basedOn w:val="Normal"/>
    <w:next w:val="Normal"/>
    <w:link w:val="QuoteChar"/>
    <w:uiPriority w:val="29"/>
    <w:qFormat/>
    <w:rsid w:val="00FD4AE1"/>
    <w:pPr>
      <w:tabs>
        <w:tab w:val="left" w:pos="567"/>
      </w:tabs>
      <w:spacing w:after="0" w:line="240" w:lineRule="auto"/>
    </w:pPr>
    <w:rPr>
      <w:rFonts w:ascii="Times New Roman" w:eastAsia="Times New Roman" w:hAnsi="Times New Roman" w:cs="Times New Roman"/>
      <w:i/>
      <w:iCs/>
      <w:color w:val="000000"/>
      <w:szCs w:val="20"/>
      <w:lang w:val="en-GB"/>
    </w:rPr>
  </w:style>
  <w:style w:type="character" w:customStyle="1" w:styleId="QuoteChar">
    <w:name w:val="Quote Char"/>
    <w:basedOn w:val="DefaultParagraphFont"/>
    <w:link w:val="Quote"/>
    <w:uiPriority w:val="29"/>
    <w:rsid w:val="00FD4AE1"/>
    <w:rPr>
      <w:rFonts w:ascii="Times New Roman" w:eastAsia="Times New Roman" w:hAnsi="Times New Roman" w:cs="Times New Roman"/>
      <w:i/>
      <w:iCs/>
      <w:color w:val="000000"/>
      <w:szCs w:val="20"/>
      <w:lang w:val="en-GB"/>
    </w:rPr>
  </w:style>
  <w:style w:type="paragraph" w:styleId="TOCHeading">
    <w:name w:val="TOC Heading"/>
    <w:basedOn w:val="Heading1"/>
    <w:next w:val="Normal"/>
    <w:uiPriority w:val="39"/>
    <w:qFormat/>
    <w:rsid w:val="00FD4AE1"/>
    <w:pPr>
      <w:tabs>
        <w:tab w:val="left" w:pos="567"/>
      </w:tabs>
      <w:jc w:val="left"/>
      <w:outlineLvl w:val="9"/>
    </w:pPr>
    <w:rPr>
      <w:rFonts w:ascii="Cambria" w:hAnsi="Cambria"/>
      <w:bCs/>
      <w:caps w:val="0"/>
      <w:kern w:val="32"/>
      <w:sz w:val="32"/>
      <w:szCs w:val="32"/>
      <w:lang w:val="en-GB"/>
    </w:rPr>
  </w:style>
  <w:style w:type="character" w:styleId="SubtleEmphasis">
    <w:name w:val="Subtle Emphasis"/>
    <w:basedOn w:val="DefaultParagraphFont"/>
    <w:uiPriority w:val="19"/>
    <w:qFormat/>
    <w:rsid w:val="005900D6"/>
    <w:rPr>
      <w:i/>
      <w:iCs/>
      <w:color w:val="808080" w:themeColor="text1" w:themeTint="7F"/>
    </w:rPr>
  </w:style>
  <w:style w:type="numbering" w:customStyle="1" w:styleId="NoList1">
    <w:name w:val="No List1"/>
    <w:next w:val="NoList"/>
    <w:uiPriority w:val="99"/>
    <w:semiHidden/>
    <w:unhideWhenUsed/>
    <w:rsid w:val="008C08C3"/>
  </w:style>
  <w:style w:type="table" w:customStyle="1" w:styleId="TableGrid20">
    <w:name w:val="Table Grid2"/>
    <w:basedOn w:val="TableNormal"/>
    <w:next w:val="TableGrid"/>
    <w:uiPriority w:val="59"/>
    <w:rsid w:val="008C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217F9"/>
  </w:style>
  <w:style w:type="table" w:customStyle="1" w:styleId="TableGrid30">
    <w:name w:val="Table Grid3"/>
    <w:basedOn w:val="TableNormal"/>
    <w:next w:val="TableGrid"/>
    <w:uiPriority w:val="59"/>
    <w:rsid w:val="000217F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basedOn w:val="TableNormal"/>
    <w:semiHidden/>
    <w:rsid w:val="000217F9"/>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GTCTitle17">
    <w:name w:val="GTC Title17"/>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1">
    <w:name w:val="GTC Title2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1">
    <w:name w:val="GTC Title3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1">
    <w:name w:val="GTC Title4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1">
    <w:name w:val="GTC Heading 11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1">
    <w:name w:val="GTC Heading 21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1">
    <w:name w:val="GTC Heading 31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1">
    <w:name w:val="GTC Heading 41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20">
    <w:name w:val="GTC Link Text12"/>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1">
    <w:name w:val="GTC List Text1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1">
    <w:name w:val="GTC Table List Text1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1">
    <w:name w:val="GTC List Text Highlights1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1">
    <w:name w:val="GTC List Style None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1">
    <w:name w:val="GTC List Style Circle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1">
    <w:name w:val="GTC List Style Disc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1">
    <w:name w:val="GTC List Style Square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1">
    <w:name w:val="GTC List Style LittleRoman1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1">
    <w:name w:val="GTC List Style BigRoman1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1">
    <w:name w:val="GTC List Style LittleAlpha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1">
    <w:name w:val="GTC List Style BigRoman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1">
    <w:name w:val="GTC List Style Arabic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1">
    <w:name w:val="GTC Table Title Otherwise1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1">
    <w:name w:val="GTC Table Title Insert1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1">
    <w:name w:val="GTC Table Title Delete1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1a">
    <w:name w:val="GTC Annotation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1">
    <w:name w:val="GTC Outline Numbering1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1">
    <w:name w:val="GTC Bullets1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SectionTitle14">
    <w:name w:val="GTC Section Title 14"/>
    <w:basedOn w:val="TableNormal"/>
    <w:rsid w:val="000217F9"/>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table" w:customStyle="1" w:styleId="GTCSectionTitle24">
    <w:name w:val="GTC Section Title 24"/>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34">
    <w:name w:val="GTC Section Title 34"/>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44">
    <w:name w:val="GTC Section Title 44"/>
    <w:basedOn w:val="TableNormal"/>
    <w:rsid w:val="000217F9"/>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table" w:customStyle="1" w:styleId="GTCSectionTitle54">
    <w:name w:val="GTC Section Title 5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64">
    <w:name w:val="GTC Section Title 6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74">
    <w:name w:val="GTC Section Title 7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84">
    <w:name w:val="GTC Section Title 8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94">
    <w:name w:val="GTC Section Title 9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Title51">
    <w:name w:val="GTC Title51"/>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1">
    <w:name w:val="GTC Title6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1">
    <w:name w:val="GTC Title7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1">
    <w:name w:val="GTC Title8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1">
    <w:name w:val="GTC Heading 12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1">
    <w:name w:val="GTC Heading 22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1">
    <w:name w:val="GTC Heading 32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1">
    <w:name w:val="GTC Heading 42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2">
    <w:name w:val="GTC Link Text22"/>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1">
    <w:name w:val="GTC List Text2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1">
    <w:name w:val="GTC Table List Text2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1">
    <w:name w:val="GTC List Text Highlights2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1">
    <w:name w:val="GTC List Style None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1">
    <w:name w:val="GTC List Style Circle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1">
    <w:name w:val="GTC List Style Disc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1">
    <w:name w:val="GTC List Style Square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1">
    <w:name w:val="GTC List Style LittleRoman2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1">
    <w:name w:val="GTC List Style BigRoman3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1">
    <w:name w:val="GTC List Style LittleAlpha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1">
    <w:name w:val="GTC List Style BigRoman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1">
    <w:name w:val="GTC List Style Arabic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1">
    <w:name w:val="GTC Table Title Otherwise2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1">
    <w:name w:val="GTC Table Title Insert2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1">
    <w:name w:val="GTC Table Title Delete2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1">
    <w:name w:val="GTC Outline Numbering2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1">
    <w:name w:val="GTC Bullets2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91">
    <w:name w:val="GTC Title91"/>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1">
    <w:name w:val="GTC Title10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1">
    <w:name w:val="GTC Title11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1">
    <w:name w:val="GTC Title12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1">
    <w:name w:val="GTC Heading 13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1">
    <w:name w:val="GTC Heading 23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1">
    <w:name w:val="GTC Heading 33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1">
    <w:name w:val="GTC Heading 43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2">
    <w:name w:val="GTC Link Text32"/>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1">
    <w:name w:val="GTC List Text3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1">
    <w:name w:val="GTC Table List Text3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1">
    <w:name w:val="GTC List Text Highlights3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1">
    <w:name w:val="GTC List Style None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1">
    <w:name w:val="GTC List Style Circle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1">
    <w:name w:val="GTC List Style Disc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1">
    <w:name w:val="GTC List Style Square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1">
    <w:name w:val="GTC List Style LittleRoman3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1">
    <w:name w:val="GTC List Style BigRoman5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1">
    <w:name w:val="GTC List Style LittleAlpha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1">
    <w:name w:val="GTC List Style BigRoman6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1">
    <w:name w:val="GTC List Style Arabic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1">
    <w:name w:val="GTC Table Title Otherwise3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1">
    <w:name w:val="GTC Table Title Insert3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1">
    <w:name w:val="GTC Table Title Delete3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1">
    <w:name w:val="GTC Outline Numbering3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1">
    <w:name w:val="GTC Bullets3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131">
    <w:name w:val="GTC Title131"/>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1">
    <w:name w:val="GTC Title14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1">
    <w:name w:val="GTC Title15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1">
    <w:name w:val="GTC Title16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1">
    <w:name w:val="GTC Heading 14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1">
    <w:name w:val="GTC Heading 24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1">
    <w:name w:val="GTC Heading 34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1">
    <w:name w:val="GTC Heading 44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1">
    <w:name w:val="GTC Link Text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1">
    <w:name w:val="GTC List Text4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1">
    <w:name w:val="GTC Table List Text4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1">
    <w:name w:val="GTC List Text Highlights4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1">
    <w:name w:val="GTC List Style None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1">
    <w:name w:val="GTC List Style Circle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1">
    <w:name w:val="GTC List Style Disc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1">
    <w:name w:val="GTC List Style Square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1">
    <w:name w:val="GTC List Style LittleRoman4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1">
    <w:name w:val="GTC List Style BigRoman7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1">
    <w:name w:val="GTC List Style LittleAlpha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1">
    <w:name w:val="GTC List Style BigRoman8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1">
    <w:name w:val="GTC List Style Arabic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1">
    <w:name w:val="GTC Table Title Otherwise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1">
    <w:name w:val="GTC Table Title Insert4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1">
    <w:name w:val="GTC Table Title Delete4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1">
    <w:name w:val="GTC Outline Numbering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1">
    <w:name w:val="GTC Bullets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TableGrid11">
    <w:name w:val="Table Grid11"/>
    <w:basedOn w:val="TableNormal"/>
    <w:next w:val="TableGrid"/>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0217F9"/>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next w:val="LightShading"/>
    <w:uiPriority w:val="60"/>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TableNormal"/>
    <w:next w:val="LightShading-Accent3"/>
    <w:uiPriority w:val="60"/>
    <w:rsid w:val="000217F9"/>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1">
    <w:name w:val="Medium Shading 2 - Accent 21"/>
    <w:basedOn w:val="TableNormal"/>
    <w:next w:val="MediumShading2-Accent2"/>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diumList2-Accent31">
    <w:name w:val="Medium List 2 - Accent 31"/>
    <w:basedOn w:val="TableNormal"/>
    <w:next w:val="MediumList2-Accent3"/>
    <w:uiPriority w:val="66"/>
    <w:rsid w:val="000217F9"/>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Shading2-Accent51">
    <w:name w:val="Medium Shading 2 - Accent 51"/>
    <w:basedOn w:val="TableNormal"/>
    <w:next w:val="MediumShading2-Accent5"/>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next w:val="MediumGrid3-Accent5"/>
    <w:uiPriority w:val="69"/>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1">
    <w:name w:val="1111111"/>
    <w:rsid w:val="000217F9"/>
  </w:style>
  <w:style w:type="numbering" w:customStyle="1" w:styleId="1ai1">
    <w:name w:val="1ai1"/>
    <w:rsid w:val="000217F9"/>
  </w:style>
  <w:style w:type="numbering" w:customStyle="1" w:styleId="ArticleSection1">
    <w:name w:val="ArticleSection1"/>
    <w:rsid w:val="000217F9"/>
  </w:style>
  <w:style w:type="numbering" w:customStyle="1" w:styleId="11111110">
    <w:name w:val="1 / 1.1 / 1.1.11"/>
    <w:basedOn w:val="NoList"/>
    <w:next w:val="111111"/>
    <w:rsid w:val="000217F9"/>
  </w:style>
  <w:style w:type="numbering" w:customStyle="1" w:styleId="1ai10">
    <w:name w:val="1 / a / i1"/>
    <w:basedOn w:val="NoList"/>
    <w:next w:val="1ai"/>
    <w:rsid w:val="000217F9"/>
  </w:style>
  <w:style w:type="numbering" w:customStyle="1" w:styleId="ArticleSection10">
    <w:name w:val="Article / Section1"/>
    <w:basedOn w:val="NoList"/>
    <w:next w:val="ArticleSection"/>
    <w:rsid w:val="000217F9"/>
  </w:style>
  <w:style w:type="table" w:customStyle="1" w:styleId="Table3Deffects11">
    <w:name w:val="Table 3D effects 11"/>
    <w:basedOn w:val="TableNormal"/>
    <w:next w:val="Table3Deffects1"/>
    <w:rsid w:val="000217F9"/>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0217F9"/>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0217F9"/>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217F9"/>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0217F9"/>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0217F9"/>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0217F9"/>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0217F9"/>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0217F9"/>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0217F9"/>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0217F9"/>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0217F9"/>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0217F9"/>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0217F9"/>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0217F9"/>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0217F9"/>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0217F9"/>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0217F9"/>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0217F9"/>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0217F9"/>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0217F9"/>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0217F9"/>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0217F9"/>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0217F9"/>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0217F9"/>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0217F9"/>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0217F9"/>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0217F9"/>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0217F9"/>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217F9"/>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217F9"/>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0217F9"/>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0217F9"/>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0217F9"/>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jusskuggning-dekorfrg11">
    <w:name w:val="Ljus skuggning - dekorfärg 11"/>
    <w:basedOn w:val="TableNormal"/>
    <w:uiPriority w:val="60"/>
    <w:rsid w:val="000217F9"/>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1">
    <w:name w:val="Ljus skuggning1"/>
    <w:basedOn w:val="TableNormal"/>
    <w:uiPriority w:val="60"/>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1">
    <w:name w:val="Ljus skuggning - dekorfärg 31"/>
    <w:basedOn w:val="TableNormal"/>
    <w:uiPriority w:val="60"/>
    <w:rsid w:val="000217F9"/>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1">
    <w:name w:val="Mellanmörk skuggning 2 - dekorfärg 21"/>
    <w:basedOn w:val="TableNormal"/>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1">
    <w:name w:val="Färgat rutnät - dekorfärg 31"/>
    <w:basedOn w:val="TableNormal"/>
    <w:uiPriority w:val="73"/>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1">
    <w:name w:val="Mellanmörk lista 2 - dekorfärg 31"/>
    <w:basedOn w:val="TableNormal"/>
    <w:uiPriority w:val="66"/>
    <w:rsid w:val="000217F9"/>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1">
    <w:name w:val="Mellanmörk skuggning 2 - dekorfärg 51"/>
    <w:basedOn w:val="TableNormal"/>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1">
    <w:name w:val="Mellanmörkt rutnät 3 - dekorfärg 51"/>
    <w:basedOn w:val="TableNormal"/>
    <w:uiPriority w:val="69"/>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11">
    <w:name w:val="No List11"/>
    <w:next w:val="NoList"/>
    <w:uiPriority w:val="99"/>
    <w:semiHidden/>
    <w:unhideWhenUsed/>
    <w:rsid w:val="000217F9"/>
  </w:style>
  <w:style w:type="table" w:customStyle="1" w:styleId="TableGrid210">
    <w:name w:val="Table Grid21"/>
    <w:basedOn w:val="TableNormal"/>
    <w:next w:val="TableGrid"/>
    <w:uiPriority w:val="59"/>
    <w:rsid w:val="0002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lankline">
    <w:name w:val="gtcblankline"/>
    <w:basedOn w:val="Normal"/>
    <w:rsid w:val="000217F9"/>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before="240" w:after="60" w:line="240" w:lineRule="auto"/>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D4AE1"/>
    <w:pPr>
      <w:keepNext/>
      <w:tabs>
        <w:tab w:val="left" w:pos="567"/>
        <w:tab w:val="num" w:pos="1440"/>
      </w:tabs>
      <w:spacing w:before="240" w:after="60" w:line="240" w:lineRule="auto"/>
      <w:ind w:left="720" w:hanging="432"/>
      <w:outlineLvl w:val="2"/>
    </w:pPr>
    <w:rPr>
      <w:rFonts w:ascii="Arial" w:eastAsia="Times New Roman" w:hAnsi="Arial" w:cs="Arial"/>
      <w:b/>
      <w:bCs/>
      <w:sz w:val="26"/>
      <w:szCs w:val="26"/>
      <w:lang w:val="en-GB"/>
    </w:rPr>
  </w:style>
  <w:style w:type="paragraph" w:styleId="Heading4">
    <w:name w:val="heading 4"/>
    <w:basedOn w:val="Normal"/>
    <w:link w:val="Heading4Char"/>
    <w:qFormat/>
    <w:rsid w:val="00FD4AE1"/>
    <w:pPr>
      <w:tabs>
        <w:tab w:val="num" w:pos="1440"/>
      </w:tabs>
      <w:spacing w:before="100" w:beforeAutospacing="1" w:after="100" w:afterAutospacing="1" w:line="240" w:lineRule="auto"/>
      <w:ind w:left="864" w:hanging="144"/>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qFormat/>
    <w:rsid w:val="00FD4AE1"/>
    <w:pPr>
      <w:tabs>
        <w:tab w:val="num" w:pos="1800"/>
      </w:tabs>
      <w:spacing w:before="240" w:beforeAutospacing="1" w:after="60" w:afterAutospacing="1" w:line="240" w:lineRule="auto"/>
      <w:ind w:left="1008" w:hanging="432"/>
      <w:outlineLvl w:val="4"/>
    </w:pPr>
    <w:rPr>
      <w:rFonts w:ascii="Times New Roman" w:eastAsia="Times New Roman" w:hAnsi="Times New Roman" w:cs="Times New Roman"/>
      <w:b/>
      <w:bCs/>
      <w:i/>
      <w:iCs/>
      <w:sz w:val="26"/>
      <w:szCs w:val="26"/>
      <w:lang w:val="en-US"/>
    </w:rPr>
  </w:style>
  <w:style w:type="paragraph" w:styleId="Heading6">
    <w:name w:val="heading 6"/>
    <w:next w:val="Paragraph"/>
    <w:link w:val="Heading6Char"/>
    <w:qFormat/>
    <w:rsid w:val="00FD4AE1"/>
    <w:pPr>
      <w:keepNext/>
      <w:keepLines/>
      <w:tabs>
        <w:tab w:val="num" w:pos="2160"/>
      </w:tabs>
      <w:spacing w:before="120" w:after="240" w:line="240" w:lineRule="auto"/>
      <w:ind w:left="1152" w:hanging="432"/>
      <w:outlineLvl w:val="5"/>
    </w:pPr>
    <w:rPr>
      <w:rFonts w:ascii="Arial" w:eastAsia="MS Gothic" w:hAnsi="Arial" w:cs="Arial"/>
      <w:b/>
      <w:bCs/>
      <w:szCs w:val="24"/>
      <w:lang w:val="en-US" w:eastAsia="ja-JP"/>
    </w:rPr>
  </w:style>
  <w:style w:type="paragraph" w:styleId="Heading7">
    <w:name w:val="heading 7"/>
    <w:basedOn w:val="Normal"/>
    <w:next w:val="Normal"/>
    <w:link w:val="Heading7Char"/>
    <w:qFormat/>
    <w:rsid w:val="00FD4AE1"/>
    <w:pPr>
      <w:tabs>
        <w:tab w:val="num" w:pos="2520"/>
      </w:tabs>
      <w:spacing w:before="240" w:after="60" w:line="240" w:lineRule="auto"/>
      <w:ind w:left="1296" w:hanging="288"/>
      <w:outlineLvl w:val="6"/>
    </w:pPr>
    <w:rPr>
      <w:rFonts w:ascii="Times New Roman" w:eastAsia="Times New Roman" w:hAnsi="Times New Roman" w:cs="Times New Roman"/>
      <w:sz w:val="24"/>
      <w:szCs w:val="24"/>
      <w:lang w:val="en-GB"/>
    </w:rPr>
  </w:style>
  <w:style w:type="paragraph" w:styleId="Heading8">
    <w:name w:val="heading 8"/>
    <w:next w:val="Paragraph"/>
    <w:link w:val="Heading8Char"/>
    <w:qFormat/>
    <w:rsid w:val="00FD4AE1"/>
    <w:pPr>
      <w:keepNext/>
      <w:keepLines/>
      <w:tabs>
        <w:tab w:val="num" w:pos="2880"/>
      </w:tabs>
      <w:spacing w:before="120" w:after="240" w:line="240" w:lineRule="auto"/>
      <w:ind w:left="1440" w:hanging="432"/>
      <w:outlineLvl w:val="7"/>
    </w:pPr>
    <w:rPr>
      <w:rFonts w:ascii="Arial" w:eastAsia="MS Gothic" w:hAnsi="Arial" w:cs="Arial"/>
      <w:bCs/>
      <w:i/>
      <w:szCs w:val="24"/>
      <w:lang w:val="en-US" w:eastAsia="ja-JP"/>
    </w:rPr>
  </w:style>
  <w:style w:type="paragraph" w:styleId="Heading9">
    <w:name w:val="heading 9"/>
    <w:next w:val="Paragraph"/>
    <w:link w:val="Heading9Char"/>
    <w:qFormat/>
    <w:rsid w:val="00FD4AE1"/>
    <w:pPr>
      <w:keepNext/>
      <w:keepLines/>
      <w:tabs>
        <w:tab w:val="num" w:pos="3240"/>
      </w:tabs>
      <w:spacing w:before="120" w:after="240" w:line="240" w:lineRule="auto"/>
      <w:ind w:left="1584" w:hanging="144"/>
      <w:outlineLvl w:val="8"/>
    </w:pPr>
    <w:rPr>
      <w:rFonts w:ascii="Arial" w:eastAsia="MS Gothic" w:hAnsi="Arial" w:cs="Arial"/>
      <w:bCs/>
      <w:i/>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240" w:lineRule="auto"/>
      <w:jc w:val="center"/>
      <w:outlineLvl w:val="0"/>
    </w:pPr>
    <w:rPr>
      <w:rFonts w:ascii="Arial" w:eastAsia="Times New Roman" w:hAnsi="Arial" w:cs="Arial"/>
      <w:b/>
      <w:bCs/>
      <w:caps/>
      <w:kern w:val="28"/>
      <w:sz w:val="28"/>
      <w:szCs w:val="32"/>
    </w:rPr>
  </w:style>
  <w:style w:type="character" w:customStyle="1" w:styleId="TitleChar">
    <w:name w:val="Title Char"/>
    <w:basedOn w:val="DefaultParagraphFont"/>
    <w:link w:val="Title"/>
    <w:rPr>
      <w:rFonts w:ascii="Arial" w:eastAsia="Times New Roman" w:hAnsi="Arial" w:cs="Arial"/>
      <w:b/>
      <w:bCs/>
      <w:caps/>
      <w:kern w:val="28"/>
      <w:sz w:val="28"/>
      <w:szCs w:val="32"/>
    </w:rPr>
  </w:style>
  <w:style w:type="paragraph" w:styleId="Subtitle">
    <w:name w:val="Subtitle"/>
    <w:basedOn w:val="Normal"/>
    <w:link w:val="SubtitleChar"/>
    <w:qFormat/>
    <w:pPr>
      <w:spacing w:after="6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Pr>
      <w:rFonts w:ascii="Arial" w:eastAsia="Times New Roman" w:hAnsi="Arial" w:cs="Arial"/>
      <w:b/>
      <w:caps/>
      <w:sz w:val="24"/>
      <w:szCs w:val="24"/>
    </w:rPr>
  </w:style>
  <w:style w:type="character" w:customStyle="1" w:styleId="Heading1Char">
    <w:name w:val="Heading 1 Char"/>
    <w:basedOn w:val="DefaultParagraphFont"/>
    <w:link w:val="Heading1"/>
    <w:rPr>
      <w:rFonts w:ascii="Arial" w:eastAsia="Times New Roman" w:hAnsi="Arial" w:cs="Times New Roman"/>
      <w:b/>
      <w:caps/>
      <w:sz w:val="24"/>
      <w:szCs w:val="20"/>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gtcitalic10">
    <w:name w:val="gtcitalic10"/>
    <w:rPr>
      <w:i/>
      <w:iCs/>
    </w:rPr>
  </w:style>
  <w:style w:type="character" w:customStyle="1" w:styleId="gtcsubscript">
    <w:name w:val="gtcsubscript"/>
    <w:basedOn w:val="DefaultParagraphFont"/>
  </w:style>
  <w:style w:type="character" w:customStyle="1" w:styleId="gtcbold2">
    <w:name w:val="gtcbold2"/>
    <w:rPr>
      <w:b/>
      <w:bCs/>
    </w:rPr>
  </w:style>
  <w:style w:type="character" w:styleId="Hyperlink">
    <w:name w:val="Hyperlink"/>
    <w:unhideWhenUsed/>
    <w:rPr>
      <w:color w:val="0000FF"/>
      <w:u w:val="single"/>
    </w:rPr>
  </w:style>
  <w:style w:type="character" w:styleId="CommentReference">
    <w:name w:val="annotation reference"/>
    <w:uiPriority w:val="99"/>
    <w:rPr>
      <w:sz w:val="16"/>
      <w:szCs w:val="16"/>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ymbol">
    <w:name w:val="Table Footnote Symbol"/>
    <w:pPr>
      <w:keepLines/>
      <w:tabs>
        <w:tab w:val="left" w:pos="360"/>
      </w:tabs>
      <w:spacing w:before="40" w:after="0" w:line="240" w:lineRule="exact"/>
      <w:ind w:left="360" w:hanging="360"/>
    </w:pPr>
    <w:rPr>
      <w:rFonts w:ascii="Times New Roman" w:eastAsia="MS Mincho" w:hAnsi="Times New Roman" w:cs="Times New Roman"/>
      <w:sz w:val="18"/>
      <w:szCs w:val="18"/>
      <w:lang w:val="en-US" w:eastAsia="ja-JP"/>
    </w:rPr>
  </w:style>
  <w:style w:type="paragraph" w:customStyle="1" w:styleId="GTCBodyText">
    <w:name w:val="GTC Body Text"/>
    <w:basedOn w:val="Normal"/>
    <w:pPr>
      <w:spacing w:before="240" w:after="240" w:line="216" w:lineRule="auto"/>
      <w:jc w:val="both"/>
    </w:pPr>
    <w:rPr>
      <w:rFonts w:ascii="Times New Roman" w:eastAsia="Times New Roman" w:hAnsi="Times New Roman" w:cs="Times New Roman"/>
      <w:sz w:val="24"/>
      <w:szCs w:val="24"/>
      <w:lang w:val="en-US"/>
    </w:rPr>
  </w:style>
  <w:style w:type="paragraph" w:customStyle="1" w:styleId="TableLeft">
    <w:name w:val="Table Left"/>
    <w:link w:val="TableLeftChar"/>
    <w:uiPriority w:val="99"/>
    <w:pPr>
      <w:keepNext/>
      <w:keepLines/>
      <w:tabs>
        <w:tab w:val="left" w:pos="360"/>
      </w:tabs>
      <w:spacing w:before="40" w:after="40" w:line="240" w:lineRule="exact"/>
    </w:pPr>
    <w:rPr>
      <w:rFonts w:ascii="Times New Roman" w:eastAsia="MS Mincho" w:hAnsi="Times New Roman" w:cs="Times New Roman"/>
      <w:sz w:val="20"/>
      <w:szCs w:val="20"/>
      <w:lang w:val="en-US" w:eastAsia="ja-JP"/>
    </w:rPr>
  </w:style>
  <w:style w:type="character" w:customStyle="1" w:styleId="TableLeftChar">
    <w:name w:val="Table Left Char"/>
    <w:link w:val="TableLeft"/>
    <w:uiPriority w:val="99"/>
    <w:rPr>
      <w:rFonts w:ascii="Times New Roman" w:eastAsia="MS Mincho" w:hAnsi="Times New Roman" w:cs="Times New Roman"/>
      <w:sz w:val="20"/>
      <w:szCs w:val="20"/>
      <w:lang w:val="en-US" w:eastAsia="ja-JP"/>
    </w:rPr>
  </w:style>
  <w:style w:type="paragraph" w:customStyle="1" w:styleId="TableLeft9">
    <w:name w:val="Table Left 9"/>
    <w:pPr>
      <w:keepNext/>
      <w:keepLines/>
      <w:tabs>
        <w:tab w:val="left" w:pos="360"/>
      </w:tabs>
      <w:spacing w:before="40" w:after="40" w:line="220" w:lineRule="exact"/>
    </w:pPr>
    <w:rPr>
      <w:rFonts w:ascii="Times New Roman" w:eastAsia="MS Mincho" w:hAnsi="Times New Roman" w:cs="Times New Roman"/>
      <w:sz w:val="18"/>
      <w:szCs w:val="18"/>
      <w:lang w:val="en-US" w:eastAsia="ja-JP"/>
    </w:rPr>
  </w:style>
  <w:style w:type="paragraph" w:customStyle="1" w:styleId="Paragraph">
    <w:name w:val="Paragraph"/>
    <w:link w:val="ParagraphChar"/>
    <w:uiPriority w:val="99"/>
    <w:pPr>
      <w:spacing w:after="240" w:line="360" w:lineRule="exact"/>
    </w:pPr>
    <w:rPr>
      <w:rFonts w:ascii="Times New Roman" w:eastAsia="MS Mincho" w:hAnsi="Times New Roman" w:cs="Times New Roman"/>
      <w:sz w:val="24"/>
      <w:szCs w:val="24"/>
      <w:lang w:val="en-US" w:eastAsia="ja-JP"/>
    </w:rPr>
  </w:style>
  <w:style w:type="character" w:customStyle="1" w:styleId="ParagraphChar">
    <w:name w:val="Paragraph Char"/>
    <w:link w:val="Paragraph"/>
    <w:uiPriority w:val="99"/>
    <w:rPr>
      <w:rFonts w:ascii="Times New Roman" w:eastAsia="MS Mincho" w:hAnsi="Times New Roman" w:cs="Times New Roman"/>
      <w:sz w:val="24"/>
      <w:szCs w:val="24"/>
      <w:lang w:val="en-US" w:eastAsia="ja-JP"/>
    </w:rPr>
  </w:style>
  <w:style w:type="paragraph" w:styleId="CommentText">
    <w:name w:val="annotation text"/>
    <w:basedOn w:val="Normal"/>
    <w:link w:val="CommentTextChar1"/>
    <w:uiPriority w:val="99"/>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uiPriority w:val="99"/>
    <w:rPr>
      <w:sz w:val="20"/>
      <w:szCs w:val="20"/>
    </w:rPr>
  </w:style>
  <w:style w:type="character" w:customStyle="1" w:styleId="CommentTextChar1">
    <w:name w:val="Comment Text Char1"/>
    <w:link w:val="CommentText"/>
    <w:uiPriority w:val="99"/>
    <w:locked/>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styleId="ListBullet">
    <w:name w:val="List Bullet"/>
    <w:basedOn w:val="Normal"/>
    <w:autoRedefine/>
    <w:uiPriority w:val="99"/>
    <w:pPr>
      <w:numPr>
        <w:numId w:val="5"/>
      </w:numPr>
      <w:spacing w:after="60" w:line="240" w:lineRule="auto"/>
      <w:jc w:val="both"/>
    </w:pPr>
    <w:rPr>
      <w:rFonts w:ascii="Arial" w:eastAsia="Times New Roman" w:hAnsi="Arial" w:cs="Times New Roman"/>
      <w:szCs w:val="20"/>
    </w:rPr>
  </w:style>
  <w:style w:type="character" w:customStyle="1" w:styleId="gtcitalic2">
    <w:name w:val="gtcitalic2"/>
    <w:rPr>
      <w:i/>
      <w:iCs/>
    </w:rPr>
  </w:style>
  <w:style w:type="paragraph" w:customStyle="1" w:styleId="TableCenter">
    <w:name w:val="Table Center"/>
    <w:uiPriority w:val="99"/>
    <w:pPr>
      <w:keepNext/>
      <w:keepLines/>
      <w:spacing w:before="40" w:after="40" w:line="240" w:lineRule="exact"/>
      <w:jc w:val="center"/>
    </w:pPr>
    <w:rPr>
      <w:rFonts w:ascii="Times New Roman" w:eastAsia="MS Mincho" w:hAnsi="Times New Roman" w:cs="Times New Roman"/>
      <w:sz w:val="20"/>
      <w:szCs w:val="20"/>
      <w:lang w:val="en-US" w:eastAsia="ja-JP"/>
    </w:rPr>
  </w:style>
  <w:style w:type="paragraph" w:customStyle="1" w:styleId="GTCTableText">
    <w:name w:val="GTC Table Text"/>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6">
    <w:name w:val="CM6"/>
    <w:basedOn w:val="Default"/>
    <w:next w:val="Default"/>
    <w:pPr>
      <w:spacing w:line="183" w:lineRule="atLeast"/>
    </w:pPr>
    <w:rPr>
      <w:color w:val="auto"/>
    </w:rPr>
  </w:style>
  <w:style w:type="paragraph" w:customStyle="1" w:styleId="gtcbodytext0">
    <w:name w:val="gtcbodytex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linktext12">
    <w:name w:val="gtclinktext12"/>
    <w:rPr>
      <w:strike w:val="0"/>
      <w:dstrike w:val="0"/>
      <w:u w:val="none"/>
      <w:effect w:val="none"/>
    </w:rPr>
  </w:style>
  <w:style w:type="paragraph" w:customStyle="1" w:styleId="gtctabletitleotherwise">
    <w:name w:val="gtctabletitleotherwise"/>
    <w:basedOn w:val="Normal"/>
    <w:pPr>
      <w:spacing w:after="0" w:line="240" w:lineRule="auto"/>
      <w:jc w:val="center"/>
    </w:pPr>
    <w:rPr>
      <w:rFonts w:ascii="Times New Roman" w:eastAsia="Times New Roman" w:hAnsi="Times New Roman" w:cs="Times New Roman"/>
      <w:b/>
      <w:bCs/>
      <w:sz w:val="24"/>
      <w:szCs w:val="24"/>
      <w:lang w:val="en-US"/>
    </w:rPr>
  </w:style>
  <w:style w:type="paragraph" w:customStyle="1" w:styleId="GTCBodyTextAlignLeft">
    <w:name w:val="GTC Body Text Align Left"/>
    <w:basedOn w:val="Normal"/>
    <w:pPr>
      <w:spacing w:before="240" w:after="240" w:line="300" w:lineRule="auto"/>
    </w:pPr>
    <w:rPr>
      <w:rFonts w:ascii="Times New Roman" w:eastAsia="Times New Roman" w:hAnsi="Times New Roman" w:cs="Times New Roman"/>
      <w:sz w:val="24"/>
      <w:szCs w:val="24"/>
      <w:lang w:val="en-US"/>
    </w:rPr>
  </w:style>
  <w:style w:type="character" w:customStyle="1" w:styleId="gtcitalic5">
    <w:name w:val="gtcitalic5"/>
    <w:basedOn w:val="DefaultParagraphFon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unhideWhenUsed/>
    <w:pPr>
      <w:spacing w:before="0" w:beforeAutospacing="0" w:after="200" w:afterAutospacing="0"/>
    </w:pPr>
    <w:rPr>
      <w:rFonts w:asciiTheme="minorHAnsi" w:eastAsiaTheme="minorHAnsi" w:hAnsiTheme="minorHAnsi" w:cstheme="minorBidi"/>
      <w:b/>
      <w:bCs/>
      <w:lang w:val="en-AU"/>
    </w:rPr>
  </w:style>
  <w:style w:type="character" w:customStyle="1" w:styleId="CommentSubjectChar">
    <w:name w:val="Comment Subject Char"/>
    <w:basedOn w:val="CommentTextChar1"/>
    <w:link w:val="CommentSubject"/>
    <w:uiPriority w:val="99"/>
    <w:rPr>
      <w:rFonts w:ascii="Times New Roman" w:eastAsia="Times New Roman" w:hAnsi="Times New Roman" w:cs="Times New Roman"/>
      <w:b/>
      <w:bCs/>
      <w:sz w:val="20"/>
      <w:szCs w:val="20"/>
      <w:lang w:val="en-US"/>
    </w:rPr>
  </w:style>
  <w:style w:type="paragraph" w:styleId="Revision">
    <w:name w:val="Revision"/>
    <w:hidden/>
    <w:uiPriority w:val="99"/>
    <w:semiHidden/>
    <w:rsid w:val="00422F85"/>
    <w:pPr>
      <w:spacing w:after="0" w:line="240" w:lineRule="auto"/>
    </w:pPr>
  </w:style>
  <w:style w:type="character" w:customStyle="1" w:styleId="Heading3Char">
    <w:name w:val="Heading 3 Char"/>
    <w:basedOn w:val="DefaultParagraphFont"/>
    <w:link w:val="Heading3"/>
    <w:rsid w:val="00FD4AE1"/>
    <w:rPr>
      <w:rFonts w:ascii="Arial" w:eastAsia="Times New Roman" w:hAnsi="Arial" w:cs="Arial"/>
      <w:b/>
      <w:bCs/>
      <w:sz w:val="26"/>
      <w:szCs w:val="26"/>
      <w:lang w:val="en-GB"/>
    </w:rPr>
  </w:style>
  <w:style w:type="character" w:customStyle="1" w:styleId="Heading4Char">
    <w:name w:val="Heading 4 Char"/>
    <w:basedOn w:val="DefaultParagraphFont"/>
    <w:link w:val="Heading4"/>
    <w:rsid w:val="00FD4AE1"/>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FD4AE1"/>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FD4AE1"/>
    <w:rPr>
      <w:rFonts w:ascii="Arial" w:eastAsia="MS Gothic" w:hAnsi="Arial" w:cs="Arial"/>
      <w:b/>
      <w:bCs/>
      <w:szCs w:val="24"/>
      <w:lang w:val="en-US" w:eastAsia="ja-JP"/>
    </w:rPr>
  </w:style>
  <w:style w:type="character" w:customStyle="1" w:styleId="Heading7Char">
    <w:name w:val="Heading 7 Char"/>
    <w:basedOn w:val="DefaultParagraphFont"/>
    <w:link w:val="Heading7"/>
    <w:rsid w:val="00FD4AE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D4AE1"/>
    <w:rPr>
      <w:rFonts w:ascii="Arial" w:eastAsia="MS Gothic" w:hAnsi="Arial" w:cs="Arial"/>
      <w:bCs/>
      <w:i/>
      <w:szCs w:val="24"/>
      <w:lang w:val="en-US" w:eastAsia="ja-JP"/>
    </w:rPr>
  </w:style>
  <w:style w:type="character" w:customStyle="1" w:styleId="Heading9Char">
    <w:name w:val="Heading 9 Char"/>
    <w:basedOn w:val="DefaultParagraphFont"/>
    <w:link w:val="Heading9"/>
    <w:rsid w:val="00FD4AE1"/>
    <w:rPr>
      <w:rFonts w:ascii="Arial" w:eastAsia="MS Gothic" w:hAnsi="Arial" w:cs="Arial"/>
      <w:bCs/>
      <w:i/>
      <w:szCs w:val="24"/>
      <w:lang w:val="en-US" w:eastAsia="ja-JP"/>
    </w:rPr>
  </w:style>
  <w:style w:type="paragraph" w:customStyle="1" w:styleId="gtcunderline">
    <w:name w:val="gtcunderline"/>
    <w:basedOn w:val="Normal"/>
    <w:rsid w:val="00FD4AE1"/>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MemoHeaderStyle">
    <w:name w:val="MemoHeaderStyle"/>
    <w:basedOn w:val="Normal"/>
    <w:next w:val="Normal"/>
    <w:rsid w:val="00FD4AE1"/>
    <w:pPr>
      <w:tabs>
        <w:tab w:val="left" w:pos="567"/>
      </w:tabs>
      <w:spacing w:after="0" w:line="120" w:lineRule="atLeast"/>
      <w:ind w:left="1418"/>
      <w:jc w:val="both"/>
    </w:pPr>
    <w:rPr>
      <w:rFonts w:ascii="Arial" w:eastAsia="Times New Roman" w:hAnsi="Arial" w:cs="Times New Roman"/>
      <w:b/>
      <w:smallCaps/>
      <w:szCs w:val="20"/>
      <w:lang w:val="en-GB"/>
    </w:rPr>
  </w:style>
  <w:style w:type="character" w:styleId="PageNumber">
    <w:name w:val="page number"/>
    <w:basedOn w:val="DefaultParagraphFont"/>
    <w:rsid w:val="00FD4AE1"/>
  </w:style>
  <w:style w:type="paragraph" w:styleId="BodyText">
    <w:name w:val="Body Text"/>
    <w:basedOn w:val="Normal"/>
    <w:link w:val="BodyTextChar"/>
    <w:rsid w:val="00FD4AE1"/>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FD4AE1"/>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FD4AE1"/>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rsid w:val="00FD4AE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FD4AE1"/>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FD4AE1"/>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sid w:val="00FD4AE1"/>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FD4AE1"/>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FD4AE1"/>
    <w:rPr>
      <w:rFonts w:ascii="Verdana" w:eastAsia="Verdana" w:hAnsi="Verdana" w:cs="Verdana"/>
      <w:sz w:val="18"/>
      <w:szCs w:val="18"/>
      <w:lang w:val="en-GB" w:eastAsia="en-GB"/>
    </w:rPr>
  </w:style>
  <w:style w:type="paragraph" w:customStyle="1" w:styleId="TableheadingrowsAgency">
    <w:name w:val="Table heading rows (Agency)"/>
    <w:basedOn w:val="BodytextAgency"/>
    <w:rsid w:val="00FD4AE1"/>
    <w:pPr>
      <w:keepNext/>
    </w:pPr>
    <w:rPr>
      <w:rFonts w:eastAsia="Times New Roman"/>
      <w:b/>
    </w:rPr>
  </w:style>
  <w:style w:type="paragraph" w:customStyle="1" w:styleId="TabletextrowsAgency">
    <w:name w:val="Table text rows (Agency)"/>
    <w:basedOn w:val="Normal"/>
    <w:rsid w:val="00FD4AE1"/>
    <w:pPr>
      <w:spacing w:after="0" w:line="280" w:lineRule="exact"/>
    </w:pPr>
    <w:rPr>
      <w:rFonts w:ascii="Verdana" w:eastAsia="Times New Roman" w:hAnsi="Verdana" w:cs="Verdana"/>
      <w:sz w:val="18"/>
      <w:szCs w:val="18"/>
      <w:lang w:val="en-GB" w:eastAsia="zh-CN"/>
    </w:rPr>
  </w:style>
  <w:style w:type="character" w:customStyle="1" w:styleId="gtcitalic4">
    <w:name w:val="gtcitalic4"/>
    <w:rsid w:val="00FD4AE1"/>
    <w:rPr>
      <w:i/>
      <w:iCs/>
    </w:rPr>
  </w:style>
  <w:style w:type="character" w:customStyle="1" w:styleId="GTCLinkText27">
    <w:name w:val="GTC Link Text27"/>
    <w:rsid w:val="00FD4AE1"/>
    <w:rPr>
      <w:strike w:val="0"/>
      <w:dstrike w:val="0"/>
      <w:u w:val="none"/>
      <w:effect w:val="none"/>
    </w:rPr>
  </w:style>
  <w:style w:type="paragraph" w:customStyle="1" w:styleId="msolistparagraph0">
    <w:name w:val="msolistparagraph"/>
    <w:basedOn w:val="Normal"/>
    <w:rsid w:val="00FD4AE1"/>
    <w:pPr>
      <w:spacing w:after="0" w:line="240" w:lineRule="auto"/>
      <w:ind w:left="720"/>
    </w:pPr>
    <w:rPr>
      <w:rFonts w:ascii="Calibri" w:eastAsia="Calibri" w:hAnsi="Calibri" w:cs="Times New Roman"/>
      <w:lang w:val="en-US" w:eastAsia="ja-JP"/>
    </w:rPr>
  </w:style>
  <w:style w:type="paragraph" w:customStyle="1" w:styleId="EMEANormal">
    <w:name w:val="EMEA Normal"/>
    <w:link w:val="EMEANormalChar"/>
    <w:rsid w:val="00FD4AE1"/>
    <w:pPr>
      <w:tabs>
        <w:tab w:val="left" w:pos="562"/>
      </w:tabs>
      <w:suppressAutoHyphens/>
      <w:spacing w:after="0" w:line="240" w:lineRule="auto"/>
    </w:pPr>
    <w:rPr>
      <w:rFonts w:ascii="Times New Roman" w:eastAsia="Times New Roman" w:hAnsi="Times New Roman" w:cs="Times New Roman"/>
      <w:szCs w:val="20"/>
      <w:lang w:val="en-US"/>
    </w:rPr>
  </w:style>
  <w:style w:type="character" w:customStyle="1" w:styleId="EMEANormalChar">
    <w:name w:val="EMEA Normal Char"/>
    <w:link w:val="EMEANormal"/>
    <w:rsid w:val="00FD4AE1"/>
    <w:rPr>
      <w:rFonts w:ascii="Times New Roman" w:eastAsia="Times New Roman" w:hAnsi="Times New Roman" w:cs="Times New Roman"/>
      <w:szCs w:val="20"/>
      <w:lang w:val="en-US"/>
    </w:rPr>
  </w:style>
  <w:style w:type="character" w:customStyle="1" w:styleId="bold2">
    <w:name w:val="bold2"/>
    <w:rsid w:val="00FD4AE1"/>
    <w:rPr>
      <w:b/>
      <w:bCs/>
    </w:rPr>
  </w:style>
  <w:style w:type="table" w:customStyle="1" w:styleId="TablegridAgencyblack">
    <w:name w:val="Table grid (Agency) black"/>
    <w:basedOn w:val="TableNormal"/>
    <w:semiHidden/>
    <w:rsid w:val="00FD4AE1"/>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FollowedHyperlink">
    <w:name w:val="FollowedHyperlink"/>
    <w:rsid w:val="00FD4AE1"/>
    <w:rPr>
      <w:color w:val="800080"/>
      <w:u w:val="single"/>
    </w:rPr>
  </w:style>
  <w:style w:type="paragraph" w:customStyle="1" w:styleId="atictinsert">
    <w:name w:val="atictinsert"/>
    <w:basedOn w:val="Normal"/>
    <w:rsid w:val="00FD4AE1"/>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greyshadedtext">
    <w:name w:val="gtcgreyshadedtext"/>
    <w:basedOn w:val="Normal"/>
    <w:rsid w:val="00FD4AE1"/>
    <w:pPr>
      <w:shd w:val="clear" w:color="auto"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Head">
    <w:name w:val="Table Head"/>
    <w:rsid w:val="00FD4AE1"/>
    <w:pPr>
      <w:keepNext/>
      <w:keepLines/>
      <w:tabs>
        <w:tab w:val="left" w:pos="360"/>
      </w:tabs>
      <w:spacing w:before="40" w:after="40" w:line="240" w:lineRule="exact"/>
    </w:pPr>
    <w:rPr>
      <w:rFonts w:ascii="Times New Roman" w:eastAsia="MS Mincho" w:hAnsi="Times New Roman" w:cs="Times New Roman"/>
      <w:b/>
      <w:bCs/>
      <w:sz w:val="20"/>
      <w:szCs w:val="20"/>
      <w:lang w:val="en-US" w:eastAsia="ja-JP"/>
    </w:rPr>
  </w:style>
  <w:style w:type="paragraph" w:customStyle="1" w:styleId="gtcbodytextalignleft0">
    <w:name w:val="gtcbodytextalignleft"/>
    <w:basedOn w:val="Normal"/>
    <w:rsid w:val="00FD4AE1"/>
    <w:pPr>
      <w:spacing w:before="240" w:after="240" w:line="300" w:lineRule="auto"/>
    </w:pPr>
    <w:rPr>
      <w:rFonts w:ascii="Times New Roman" w:eastAsia="Times New Roman" w:hAnsi="Times New Roman" w:cs="Times New Roman"/>
      <w:sz w:val="24"/>
      <w:szCs w:val="24"/>
      <w:lang w:val="en-US"/>
    </w:rPr>
  </w:style>
  <w:style w:type="paragraph" w:customStyle="1" w:styleId="gtcbodytextalignright">
    <w:name w:val="gtcbodytextalignright"/>
    <w:basedOn w:val="Normal"/>
    <w:rsid w:val="00FD4AE1"/>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
    <w:name w:val="gtcbodytextaligncenter"/>
    <w:basedOn w:val="Normal"/>
    <w:rsid w:val="00FD4AE1"/>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
    <w:name w:val="gtcbodytextalignjustify"/>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
    <w:name w:val="gtcbodytextalignindent"/>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
    <w:name w:val="gtcgreyshadedinparagraph"/>
    <w:basedOn w:val="Normal"/>
    <w:rsid w:val="00FD4AE1"/>
    <w:pPr>
      <w:shd w:val="clear" w:color="auto" w:fill="C0C0C0"/>
      <w:spacing w:before="240" w:after="240" w:line="300" w:lineRule="auto"/>
    </w:pPr>
    <w:rPr>
      <w:rFonts w:ascii="Times New Roman" w:eastAsia="Times New Roman" w:hAnsi="Times New Roman" w:cs="Times New Roman"/>
      <w:sz w:val="24"/>
      <w:szCs w:val="24"/>
      <w:lang w:val="en-US"/>
    </w:rPr>
  </w:style>
  <w:style w:type="paragraph" w:customStyle="1" w:styleId="gtcheadingcentered">
    <w:name w:val="gtcheadingcentered"/>
    <w:basedOn w:val="Normal"/>
    <w:rsid w:val="00FD4AE1"/>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plrtitle">
    <w:name w:val="gtcplrtitle"/>
    <w:basedOn w:val="Normal"/>
    <w:rsid w:val="00FD4AE1"/>
    <w:pPr>
      <w:spacing w:before="60" w:after="60" w:line="240" w:lineRule="auto"/>
    </w:pPr>
    <w:rPr>
      <w:rFonts w:ascii="Times New Roman" w:eastAsia="Times New Roman" w:hAnsi="Times New Roman" w:cs="Times New Roman"/>
      <w:b/>
      <w:bCs/>
      <w:sz w:val="18"/>
      <w:szCs w:val="18"/>
      <w:lang w:val="en-US"/>
    </w:rPr>
  </w:style>
  <w:style w:type="paragraph" w:customStyle="1" w:styleId="gtcfigurecaption">
    <w:name w:val="gtcfigurecaption"/>
    <w:basedOn w:val="Normal"/>
    <w:rsid w:val="00FD4AE1"/>
    <w:pPr>
      <w:spacing w:before="120" w:after="120" w:line="240" w:lineRule="auto"/>
    </w:pPr>
    <w:rPr>
      <w:rFonts w:ascii="Times New Roman" w:eastAsia="Times New Roman" w:hAnsi="Times New Roman" w:cs="Times New Roman"/>
      <w:b/>
      <w:bCs/>
      <w:sz w:val="24"/>
      <w:szCs w:val="24"/>
      <w:lang w:val="en-US"/>
    </w:rPr>
  </w:style>
  <w:style w:type="paragraph" w:customStyle="1" w:styleId="gtcfigurecaptionleft">
    <w:name w:val="gtcfigurecaptionleft"/>
    <w:basedOn w:val="Normal"/>
    <w:rsid w:val="00FD4AE1"/>
    <w:pPr>
      <w:spacing w:before="120" w:after="120" w:line="240" w:lineRule="auto"/>
    </w:pPr>
    <w:rPr>
      <w:rFonts w:ascii="Times New Roman" w:eastAsia="Times New Roman" w:hAnsi="Times New Roman" w:cs="Times New Roman"/>
      <w:b/>
      <w:bCs/>
      <w:sz w:val="24"/>
      <w:szCs w:val="24"/>
      <w:lang w:val="en-US"/>
    </w:rPr>
  </w:style>
  <w:style w:type="paragraph" w:customStyle="1" w:styleId="gtcannotation">
    <w:name w:val="gtcannotation"/>
    <w:basedOn w:val="Normal"/>
    <w:rsid w:val="00FD4AE1"/>
    <w:pPr>
      <w:spacing w:before="60" w:after="60" w:line="240" w:lineRule="auto"/>
    </w:pPr>
    <w:rPr>
      <w:rFonts w:ascii="Times New Roman" w:eastAsia="Times New Roman" w:hAnsi="Times New Roman" w:cs="Times New Roman"/>
      <w:color w:val="006633"/>
      <w:sz w:val="20"/>
      <w:szCs w:val="20"/>
      <w:lang w:val="en-US"/>
    </w:rPr>
  </w:style>
  <w:style w:type="paragraph" w:customStyle="1" w:styleId="gtcannotationhl">
    <w:name w:val="gtcannotationhl"/>
    <w:basedOn w:val="Normal"/>
    <w:rsid w:val="00FD4AE1"/>
    <w:pPr>
      <w:spacing w:before="100" w:beforeAutospacing="1" w:after="100" w:afterAutospacing="1" w:line="240" w:lineRule="auto"/>
    </w:pPr>
    <w:rPr>
      <w:rFonts w:ascii="Times New Roman" w:eastAsia="Times New Roman" w:hAnsi="Times New Roman" w:cs="Times New Roman"/>
      <w:color w:val="006633"/>
      <w:sz w:val="16"/>
      <w:szCs w:val="16"/>
      <w:lang w:val="en-US"/>
    </w:rPr>
  </w:style>
  <w:style w:type="paragraph" w:customStyle="1" w:styleId="gtchighlighttextboxedwarnings">
    <w:name w:val="gtchighlighttextboxedwarnings"/>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ighlighttext">
    <w:name w:val="gtchighlight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ld">
    <w:name w:val="gtcbold"/>
    <w:basedOn w:val="Normal"/>
    <w:rsid w:val="00FD4AE1"/>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gtcitalic">
    <w:name w:val="gtcitalic"/>
    <w:basedOn w:val="Normal"/>
    <w:rsid w:val="00FD4AE1"/>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gtcstrikethrough">
    <w:name w:val="gtcstrikethrough"/>
    <w:basedOn w:val="Normal"/>
    <w:rsid w:val="00FD4AE1"/>
    <w:pPr>
      <w:spacing w:before="100" w:beforeAutospacing="1" w:after="100" w:afterAutospacing="1" w:line="240" w:lineRule="auto"/>
    </w:pPr>
    <w:rPr>
      <w:rFonts w:ascii="Times New Roman" w:eastAsia="Times New Roman" w:hAnsi="Times New Roman" w:cs="Times New Roman"/>
      <w:strike/>
      <w:sz w:val="24"/>
      <w:szCs w:val="24"/>
      <w:lang w:val="en-US"/>
    </w:rPr>
  </w:style>
  <w:style w:type="paragraph" w:customStyle="1" w:styleId="gtcsmallcaps">
    <w:name w:val="gtcsmallcaps"/>
    <w:basedOn w:val="Normal"/>
    <w:rsid w:val="00FD4AE1"/>
    <w:pPr>
      <w:spacing w:before="100" w:beforeAutospacing="1" w:after="100" w:afterAutospacing="1" w:line="240" w:lineRule="auto"/>
    </w:pPr>
    <w:rPr>
      <w:rFonts w:ascii="Times New Roman" w:eastAsia="Times New Roman" w:hAnsi="Times New Roman" w:cs="Times New Roman"/>
      <w:smallCaps/>
      <w:sz w:val="24"/>
      <w:szCs w:val="24"/>
      <w:lang w:val="en-US"/>
    </w:rPr>
  </w:style>
  <w:style w:type="paragraph" w:customStyle="1" w:styleId="atictdelete">
    <w:name w:val="atictdelete"/>
    <w:basedOn w:val="Normal"/>
    <w:rsid w:val="00FD4AE1"/>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atictchange">
    <w:name w:val="atictchange"/>
    <w:basedOn w:val="Normal"/>
    <w:rsid w:val="00FD4AE1"/>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linkunderlined">
    <w:name w:val="gtclinkunderlined"/>
    <w:basedOn w:val="Normal"/>
    <w:rsid w:val="00FD4AE1"/>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gtclinktext">
    <w:name w:val="gtclink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mageinsert">
    <w:name w:val="gtcimageinsert"/>
    <w:basedOn w:val="Normal"/>
    <w:rsid w:val="00FD4AE1"/>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gtcimagedelete">
    <w:name w:val="gtcimagedelete"/>
    <w:basedOn w:val="Normal"/>
    <w:rsid w:val="00FD4AE1"/>
    <w:pPr>
      <w:pBdr>
        <w:top w:val="single" w:sz="48" w:space="0" w:color="0000FF"/>
        <w:left w:val="single" w:sz="48" w:space="0" w:color="0000FF"/>
        <w:bottom w:val="single" w:sz="48" w:space="0" w:color="0000FF"/>
        <w:right w:val="single" w:sz="48" w:space="0" w:color="0000FF"/>
      </w:pBd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gtcimage">
    <w:name w:val="gtcimage"/>
    <w:basedOn w:val="Normal"/>
    <w:rsid w:val="00FD4AE1"/>
    <w:pPr>
      <w:pBdr>
        <w:top w:val="single" w:sz="48" w:space="0" w:color="FFFFFF"/>
        <w:left w:val="single" w:sz="48" w:space="0" w:color="FFFFFF"/>
        <w:bottom w:val="single" w:sz="48" w:space="0" w:color="FFFFFF"/>
        <w:right w:val="single" w:sz="48" w:space="0" w:color="FFFFF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
    <w:name w:val="gtclist"/>
    <w:basedOn w:val="Normal"/>
    <w:rsid w:val="00FD4AE1"/>
    <w:pPr>
      <w:spacing w:before="40" w:after="40" w:line="240" w:lineRule="auto"/>
    </w:pPr>
    <w:rPr>
      <w:rFonts w:ascii="Times New Roman" w:eastAsia="Times New Roman" w:hAnsi="Times New Roman" w:cs="Times New Roman"/>
      <w:sz w:val="24"/>
      <w:szCs w:val="24"/>
      <w:lang w:val="en-US"/>
    </w:rPr>
  </w:style>
  <w:style w:type="paragraph" w:customStyle="1" w:styleId="gtcliststylenone">
    <w:name w:val="gtcliststylenone"/>
    <w:basedOn w:val="Normal"/>
    <w:rsid w:val="00FD4AE1"/>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
    <w:name w:val="gtcliststylecircl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
    <w:name w:val="gtcliststyledis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
    <w:name w:val="gtcliststylesquar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
    <w:name w:val="gtcliststylelittleroman"/>
    <w:basedOn w:val="Normal"/>
    <w:rsid w:val="00FD4AE1"/>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
    <w:name w:val="gtcliststylebigroman"/>
    <w:basedOn w:val="Normal"/>
    <w:rsid w:val="00FD4AE1"/>
    <w:pPr>
      <w:tabs>
        <w:tab w:val="num" w:pos="922"/>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
    <w:name w:val="gtcliststylelittlealpha"/>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alpha">
    <w:name w:val="gtcliststylebigalpha"/>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
    <w:name w:val="gtcliststylearabi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
    <w:name w:val="gtclisttext"/>
    <w:basedOn w:val="Normal"/>
    <w:rsid w:val="00FD4AE1"/>
    <w:pPr>
      <w:spacing w:before="120" w:after="120" w:line="300" w:lineRule="auto"/>
    </w:pPr>
    <w:rPr>
      <w:rFonts w:ascii="Times New Roman" w:eastAsia="Times New Roman" w:hAnsi="Times New Roman" w:cs="Times New Roman"/>
      <w:sz w:val="24"/>
      <w:szCs w:val="24"/>
      <w:lang w:val="en-US"/>
    </w:rPr>
  </w:style>
  <w:style w:type="paragraph" w:customStyle="1" w:styleId="gtclisttextinserted">
    <w:name w:val="gtclisttextinserted"/>
    <w:basedOn w:val="Normal"/>
    <w:rsid w:val="00FD4AE1"/>
    <w:pPr>
      <w:spacing w:before="120" w:after="120" w:line="300" w:lineRule="auto"/>
    </w:pPr>
    <w:rPr>
      <w:rFonts w:ascii="Times New Roman" w:eastAsia="Times New Roman" w:hAnsi="Times New Roman" w:cs="Times New Roman"/>
      <w:color w:val="FF0000"/>
      <w:sz w:val="24"/>
      <w:szCs w:val="24"/>
      <w:u w:val="double"/>
      <w:lang w:val="en-US"/>
    </w:rPr>
  </w:style>
  <w:style w:type="paragraph" w:customStyle="1" w:styleId="gtclisttextdeleted">
    <w:name w:val="gtclisttextdeleted"/>
    <w:basedOn w:val="Normal"/>
    <w:rsid w:val="00FD4AE1"/>
    <w:pPr>
      <w:spacing w:before="120" w:after="120" w:line="300" w:lineRule="auto"/>
    </w:pPr>
    <w:rPr>
      <w:rFonts w:ascii="Times New Roman" w:eastAsia="Times New Roman" w:hAnsi="Times New Roman" w:cs="Times New Roman"/>
      <w:strike/>
      <w:color w:val="FF0000"/>
      <w:sz w:val="24"/>
      <w:szCs w:val="24"/>
      <w:lang w:val="en-US"/>
    </w:rPr>
  </w:style>
  <w:style w:type="paragraph" w:customStyle="1" w:styleId="gtclisttextleft">
    <w:name w:val="gtclisttextleft"/>
    <w:basedOn w:val="Normal"/>
    <w:rsid w:val="00FD4AE1"/>
    <w:pPr>
      <w:spacing w:before="120" w:after="120" w:line="300" w:lineRule="auto"/>
    </w:pPr>
    <w:rPr>
      <w:rFonts w:ascii="Times New Roman" w:eastAsia="Times New Roman" w:hAnsi="Times New Roman" w:cs="Times New Roman"/>
      <w:sz w:val="24"/>
      <w:szCs w:val="24"/>
      <w:lang w:val="en-US"/>
    </w:rPr>
  </w:style>
  <w:style w:type="paragraph" w:customStyle="1" w:styleId="gtclisttextstylenone">
    <w:name w:val="gtclisttextstylenone"/>
    <w:basedOn w:val="Normal"/>
    <w:rsid w:val="00FD4AE1"/>
    <w:pPr>
      <w:spacing w:before="120" w:after="120" w:line="300" w:lineRule="auto"/>
    </w:pPr>
    <w:rPr>
      <w:rFonts w:ascii="Times New Roman" w:eastAsia="Times New Roman" w:hAnsi="Times New Roman" w:cs="Times New Roman"/>
      <w:sz w:val="24"/>
      <w:szCs w:val="24"/>
      <w:lang w:val="en-US"/>
    </w:rPr>
  </w:style>
  <w:style w:type="paragraph" w:customStyle="1" w:styleId="gtchighlightparagraph">
    <w:name w:val="gtchighlightparagraph"/>
    <w:basedOn w:val="Normal"/>
    <w:rsid w:val="00FD4AE1"/>
    <w:pPr>
      <w:spacing w:before="120" w:after="0" w:line="240" w:lineRule="auto"/>
    </w:pPr>
    <w:rPr>
      <w:rFonts w:ascii="Times New Roman" w:eastAsia="Times New Roman" w:hAnsi="Times New Roman" w:cs="Times New Roman"/>
      <w:sz w:val="16"/>
      <w:szCs w:val="16"/>
      <w:lang w:val="en-US"/>
    </w:rPr>
  </w:style>
  <w:style w:type="paragraph" w:customStyle="1" w:styleId="gtchighlightboxedwarningtable">
    <w:name w:val="gtchighlightboxedwarningtable"/>
    <w:basedOn w:val="Normal"/>
    <w:rsid w:val="00FD4AE1"/>
    <w:pPr>
      <w:pBdr>
        <w:top w:val="single" w:sz="2" w:space="2" w:color="000000"/>
        <w:left w:val="single" w:sz="2" w:space="2" w:color="000000"/>
        <w:bottom w:val="single" w:sz="2" w:space="2" w:color="000000"/>
        <w:right w:val="single" w:sz="2" w:space="2" w:color="000000"/>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highlighttextbold">
    <w:name w:val="gtchighlighttextbold"/>
    <w:basedOn w:val="Normal"/>
    <w:rsid w:val="00FD4AE1"/>
    <w:pPr>
      <w:spacing w:before="60" w:after="60" w:line="240" w:lineRule="auto"/>
    </w:pPr>
    <w:rPr>
      <w:rFonts w:ascii="Times New Roman" w:eastAsia="Times New Roman" w:hAnsi="Times New Roman" w:cs="Times New Roman"/>
      <w:b/>
      <w:bCs/>
      <w:sz w:val="16"/>
      <w:szCs w:val="16"/>
      <w:lang w:val="en-US"/>
    </w:rPr>
  </w:style>
  <w:style w:type="paragraph" w:customStyle="1" w:styleId="gtcparagraphlefthl">
    <w:name w:val="gtcparagraphlefthl"/>
    <w:basedOn w:val="Normal"/>
    <w:rsid w:val="00FD4AE1"/>
    <w:pPr>
      <w:spacing w:after="0" w:line="240" w:lineRule="auto"/>
    </w:pPr>
    <w:rPr>
      <w:rFonts w:ascii="Times New Roman" w:eastAsia="Times New Roman" w:hAnsi="Times New Roman" w:cs="Times New Roman"/>
      <w:sz w:val="16"/>
      <w:szCs w:val="16"/>
      <w:lang w:val="en-US"/>
    </w:rPr>
  </w:style>
  <w:style w:type="paragraph" w:customStyle="1" w:styleId="gtcparagraphrighthl">
    <w:name w:val="gtcparagraphrighthl"/>
    <w:basedOn w:val="Normal"/>
    <w:rsid w:val="00FD4AE1"/>
    <w:pPr>
      <w:spacing w:after="0" w:line="240" w:lineRule="auto"/>
      <w:jc w:val="right"/>
    </w:pPr>
    <w:rPr>
      <w:rFonts w:ascii="Times New Roman" w:eastAsia="Times New Roman" w:hAnsi="Times New Roman" w:cs="Times New Roman"/>
      <w:sz w:val="16"/>
      <w:szCs w:val="16"/>
      <w:lang w:val="en-US"/>
    </w:rPr>
  </w:style>
  <w:style w:type="paragraph" w:customStyle="1" w:styleId="gtcparagraphcenterhl">
    <w:name w:val="gtcparagraphcenterhl"/>
    <w:basedOn w:val="Normal"/>
    <w:rsid w:val="00FD4AE1"/>
    <w:pPr>
      <w:spacing w:after="0" w:line="240" w:lineRule="auto"/>
      <w:jc w:val="center"/>
    </w:pPr>
    <w:rPr>
      <w:rFonts w:ascii="Times New Roman" w:eastAsia="Times New Roman" w:hAnsi="Times New Roman" w:cs="Times New Roman"/>
      <w:sz w:val="16"/>
      <w:szCs w:val="16"/>
      <w:lang w:val="en-US"/>
    </w:rPr>
  </w:style>
  <w:style w:type="paragraph" w:customStyle="1" w:styleId="gtcparagraphjustifyhl">
    <w:name w:val="gtcparagraphjustifyhl"/>
    <w:basedOn w:val="Normal"/>
    <w:rsid w:val="00FD4AE1"/>
    <w:pPr>
      <w:spacing w:after="0" w:line="240" w:lineRule="auto"/>
      <w:jc w:val="both"/>
    </w:pPr>
    <w:rPr>
      <w:rFonts w:ascii="Times New Roman" w:eastAsia="Times New Roman" w:hAnsi="Times New Roman" w:cs="Times New Roman"/>
      <w:sz w:val="16"/>
      <w:szCs w:val="16"/>
      <w:lang w:val="en-US"/>
    </w:rPr>
  </w:style>
  <w:style w:type="paragraph" w:customStyle="1" w:styleId="gtclistcirclehl-bw">
    <w:name w:val="gtclistcirclehl-bw"/>
    <w:basedOn w:val="Normal"/>
    <w:rsid w:val="00FD4AE1"/>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circlehl">
    <w:name w:val="gtclistcirclehl"/>
    <w:basedOn w:val="Normal"/>
    <w:rsid w:val="00FD4AE1"/>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dischl-bw">
    <w:name w:val="gtclistdischl-bw"/>
    <w:basedOn w:val="Normal"/>
    <w:rsid w:val="00FD4AE1"/>
    <w:pPr>
      <w:tabs>
        <w:tab w:val="num" w:pos="0"/>
        <w:tab w:val="left" w:pos="432"/>
      </w:tabs>
      <w:spacing w:after="0" w:line="240" w:lineRule="auto"/>
    </w:pPr>
    <w:rPr>
      <w:rFonts w:ascii="Times New Roman" w:eastAsia="Times New Roman" w:hAnsi="Times New Roman" w:cs="Times New Roman"/>
      <w:sz w:val="16"/>
      <w:szCs w:val="16"/>
      <w:lang w:val="en-US"/>
    </w:rPr>
  </w:style>
  <w:style w:type="paragraph" w:customStyle="1" w:styleId="gtclistdischl">
    <w:name w:val="gtclistdischl"/>
    <w:basedOn w:val="Normal"/>
    <w:rsid w:val="00FD4AE1"/>
    <w:pPr>
      <w:tabs>
        <w:tab w:val="num" w:pos="0"/>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bw">
    <w:name w:val="gtclistsquarehl-bw"/>
    <w:basedOn w:val="Normal"/>
    <w:rsid w:val="00FD4AE1"/>
    <w:pPr>
      <w:tabs>
        <w:tab w:val="num" w:pos="72"/>
        <w:tab w:val="left" w:pos="360"/>
      </w:tabs>
      <w:spacing w:after="0" w:line="240" w:lineRule="auto"/>
      <w:ind w:hanging="360"/>
    </w:pPr>
    <w:rPr>
      <w:rFonts w:ascii="Times New Roman" w:eastAsia="Times New Roman" w:hAnsi="Times New Roman" w:cs="Times New Roman"/>
      <w:sz w:val="16"/>
      <w:szCs w:val="16"/>
      <w:lang w:val="en-US"/>
    </w:rPr>
  </w:style>
  <w:style w:type="paragraph" w:customStyle="1" w:styleId="gtclistsquarehl">
    <w:name w:val="gtclistsquarehl"/>
    <w:basedOn w:val="Normal"/>
    <w:rsid w:val="00FD4AE1"/>
    <w:pPr>
      <w:tabs>
        <w:tab w:val="num" w:pos="72"/>
        <w:tab w:val="left" w:pos="432"/>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bw">
    <w:name w:val="gtclistlittleromanhl-bw"/>
    <w:basedOn w:val="Normal"/>
    <w:rsid w:val="00FD4AE1"/>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romanhl">
    <w:name w:val="gtclistlittleromanhl"/>
    <w:basedOn w:val="Normal"/>
    <w:rsid w:val="00FD4AE1"/>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bw">
    <w:name w:val="gtclistbigromanhl-bw"/>
    <w:basedOn w:val="Normal"/>
    <w:rsid w:val="00FD4AE1"/>
    <w:pPr>
      <w:tabs>
        <w:tab w:val="left" w:pos="360"/>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bigromanhl">
    <w:name w:val="gtclistbigromanhl"/>
    <w:basedOn w:val="Normal"/>
    <w:rsid w:val="00FD4AE1"/>
    <w:pPr>
      <w:tabs>
        <w:tab w:val="left" w:pos="432"/>
        <w:tab w:val="num" w:pos="1008"/>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bw">
    <w:name w:val="gtclistlittlealphahl-bw"/>
    <w:basedOn w:val="Normal"/>
    <w:rsid w:val="00FD4AE1"/>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littlealphahl">
    <w:name w:val="gtclistlittlealphahl"/>
    <w:basedOn w:val="Normal"/>
    <w:rsid w:val="00FD4AE1"/>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ctlistbigalphahl-bw">
    <w:name w:val="gctlistbigalphahl-bw"/>
    <w:basedOn w:val="Normal"/>
    <w:rsid w:val="00FD4AE1"/>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bigalphahl">
    <w:name w:val="gtclistbigalphahl"/>
    <w:basedOn w:val="Normal"/>
    <w:rsid w:val="00FD4AE1"/>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bw">
    <w:name w:val="gtclistarabichl-bw"/>
    <w:basedOn w:val="Normal"/>
    <w:rsid w:val="00FD4AE1"/>
    <w:pPr>
      <w:tabs>
        <w:tab w:val="left" w:pos="360"/>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arabichl">
    <w:name w:val="gtclistarabichl"/>
    <w:basedOn w:val="Normal"/>
    <w:rsid w:val="00FD4AE1"/>
    <w:pPr>
      <w:tabs>
        <w:tab w:val="left" w:pos="432"/>
        <w:tab w:val="num" w:pos="720"/>
      </w:tabs>
      <w:spacing w:after="0" w:line="240" w:lineRule="auto"/>
      <w:ind w:hanging="360"/>
    </w:pPr>
    <w:rPr>
      <w:rFonts w:ascii="Times New Roman" w:eastAsia="Times New Roman" w:hAnsi="Times New Roman" w:cs="Times New Roman"/>
      <w:sz w:val="16"/>
      <w:szCs w:val="16"/>
      <w:lang w:val="en-US"/>
    </w:rPr>
  </w:style>
  <w:style w:type="paragraph" w:customStyle="1" w:styleId="gtclisttexthl">
    <w:name w:val="gtclisttexthl"/>
    <w:basedOn w:val="Normal"/>
    <w:rsid w:val="00FD4AE1"/>
    <w:pPr>
      <w:spacing w:after="0" w:line="240" w:lineRule="auto"/>
    </w:pPr>
    <w:rPr>
      <w:rFonts w:ascii="Times New Roman" w:eastAsia="Times New Roman" w:hAnsi="Times New Roman" w:cs="Times New Roman"/>
      <w:sz w:val="16"/>
      <w:szCs w:val="16"/>
      <w:lang w:val="en-US"/>
    </w:rPr>
  </w:style>
  <w:style w:type="paragraph" w:customStyle="1" w:styleId="gtclisttexthlinserted">
    <w:name w:val="gtclisttexthlinserted"/>
    <w:basedOn w:val="Normal"/>
    <w:rsid w:val="00FD4AE1"/>
    <w:pPr>
      <w:spacing w:after="0" w:line="240" w:lineRule="auto"/>
    </w:pPr>
    <w:rPr>
      <w:rFonts w:ascii="Times New Roman" w:eastAsia="Times New Roman" w:hAnsi="Times New Roman" w:cs="Times New Roman"/>
      <w:color w:val="FF0000"/>
      <w:sz w:val="16"/>
      <w:szCs w:val="16"/>
      <w:u w:val="double"/>
      <w:lang w:val="en-US"/>
    </w:rPr>
  </w:style>
  <w:style w:type="paragraph" w:customStyle="1" w:styleId="gtclisttexthldeleted">
    <w:name w:val="gtclisttexthldeleted"/>
    <w:basedOn w:val="Normal"/>
    <w:rsid w:val="00FD4AE1"/>
    <w:pPr>
      <w:spacing w:after="0" w:line="240" w:lineRule="auto"/>
    </w:pPr>
    <w:rPr>
      <w:rFonts w:ascii="Times New Roman" w:eastAsia="Times New Roman" w:hAnsi="Times New Roman" w:cs="Times New Roman"/>
      <w:strike/>
      <w:color w:val="0000FF"/>
      <w:sz w:val="16"/>
      <w:szCs w:val="16"/>
      <w:lang w:val="en-US"/>
    </w:rPr>
  </w:style>
  <w:style w:type="paragraph" w:customStyle="1" w:styleId="gtctabletitlealignlefthl">
    <w:name w:val="gtctabletitlealignleft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alignrighthl">
    <w:name w:val="gtctabletitlealignrighthl"/>
    <w:basedOn w:val="Normal"/>
    <w:rsid w:val="00FD4AE1"/>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gtctabletitleotherwisehl">
    <w:name w:val="gtctabletitleotherwise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tabletitleinsertmarkuphl">
    <w:name w:val="gtctabletitleinsertmarkuphl"/>
    <w:basedOn w:val="Normal"/>
    <w:rsid w:val="00FD4AE1"/>
    <w:pPr>
      <w:spacing w:before="100" w:beforeAutospacing="1" w:after="100" w:afterAutospacing="1" w:line="240" w:lineRule="auto"/>
    </w:pPr>
    <w:rPr>
      <w:rFonts w:ascii="Times New Roman" w:eastAsia="Times New Roman" w:hAnsi="Times New Roman" w:cs="Times New Roman"/>
      <w:color w:val="FF0000"/>
      <w:sz w:val="16"/>
      <w:szCs w:val="16"/>
      <w:u w:val="double"/>
      <w:lang w:val="en-US"/>
    </w:rPr>
  </w:style>
  <w:style w:type="paragraph" w:customStyle="1" w:styleId="gtctabletitledeletemarkuphl">
    <w:name w:val="gtctabletitledeletemarkuphl"/>
    <w:basedOn w:val="Normal"/>
    <w:rsid w:val="00FD4AE1"/>
    <w:pPr>
      <w:spacing w:before="100" w:beforeAutospacing="1" w:after="100" w:afterAutospacing="1" w:line="240" w:lineRule="auto"/>
    </w:pPr>
    <w:rPr>
      <w:rFonts w:ascii="Times New Roman" w:eastAsia="Times New Roman" w:hAnsi="Times New Roman" w:cs="Times New Roman"/>
      <w:strike/>
      <w:color w:val="0000FF"/>
      <w:sz w:val="16"/>
      <w:szCs w:val="16"/>
      <w:lang w:val="en-US"/>
    </w:rPr>
  </w:style>
  <w:style w:type="paragraph" w:customStyle="1" w:styleId="gtcproductprofile">
    <w:name w:val="gtcproductprofile"/>
    <w:basedOn w:val="Normal"/>
    <w:rsid w:val="00FD4AE1"/>
    <w:pPr>
      <w:shd w:val="clear" w:color="auto" w:fill="FFFF99"/>
      <w:spacing w:before="240" w:after="240" w:line="240" w:lineRule="auto"/>
    </w:pPr>
    <w:rPr>
      <w:rFonts w:ascii="Times New Roman" w:eastAsia="Times New Roman" w:hAnsi="Times New Roman" w:cs="Times New Roman"/>
      <w:sz w:val="24"/>
      <w:szCs w:val="24"/>
      <w:lang w:val="en-US"/>
    </w:rPr>
  </w:style>
  <w:style w:type="paragraph" w:customStyle="1" w:styleId="gtcprofileinfo">
    <w:name w:val="gtcprofileinfo"/>
    <w:basedOn w:val="Normal"/>
    <w:rsid w:val="00FD4AE1"/>
    <w:pPr>
      <w:spacing w:after="0" w:line="240" w:lineRule="auto"/>
    </w:pPr>
    <w:rPr>
      <w:rFonts w:ascii="Times New Roman" w:eastAsia="Times New Roman" w:hAnsi="Times New Roman" w:cs="Times New Roman"/>
      <w:color w:val="808080"/>
      <w:sz w:val="24"/>
      <w:szCs w:val="24"/>
      <w:lang w:val="en-US"/>
    </w:rPr>
  </w:style>
  <w:style w:type="paragraph" w:customStyle="1" w:styleId="gtcgenericlabeldiv">
    <w:name w:val="gtcgenericlabeldiv"/>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genericlabel">
    <w:name w:val="gtcgenericlabel"/>
    <w:basedOn w:val="Normal"/>
    <w:rsid w:val="00FD4AE1"/>
    <w:pPr>
      <w:spacing w:before="120" w:after="0" w:line="240" w:lineRule="auto"/>
    </w:pPr>
    <w:rPr>
      <w:rFonts w:ascii="Times New Roman" w:eastAsia="Times New Roman" w:hAnsi="Times New Roman" w:cs="Times New Roman"/>
      <w:sz w:val="16"/>
      <w:szCs w:val="16"/>
      <w:lang w:val="en-US"/>
    </w:rPr>
  </w:style>
  <w:style w:type="paragraph" w:customStyle="1" w:styleId="gtcgenericlabeltoc">
    <w:name w:val="gtcgenericlabeltoc"/>
    <w:basedOn w:val="Normal"/>
    <w:rsid w:val="00FD4AE1"/>
    <w:pPr>
      <w:spacing w:before="120" w:after="0" w:line="240" w:lineRule="auto"/>
    </w:pPr>
    <w:rPr>
      <w:rFonts w:ascii="Times New Roman" w:eastAsia="Times New Roman" w:hAnsi="Times New Roman" w:cs="Times New Roman"/>
      <w:sz w:val="16"/>
      <w:szCs w:val="16"/>
      <w:lang w:val="en-US"/>
    </w:rPr>
  </w:style>
  <w:style w:type="paragraph" w:customStyle="1" w:styleId="gtcsectionbreak">
    <w:name w:val="gtcsectionbreak"/>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break">
    <w:name w:val="gtcpagebreak"/>
    <w:basedOn w:val="Normal"/>
    <w:rsid w:val="00FD4AE1"/>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pagesectionbreak">
    <w:name w:val="gtcpagesectionbreak"/>
    <w:basedOn w:val="Normal"/>
    <w:rsid w:val="00FD4AE1"/>
    <w:pPr>
      <w:pageBreakBefor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itleleft">
    <w:name w:val="gtctitleleft"/>
    <w:basedOn w:val="Normal"/>
    <w:rsid w:val="00FD4AE1"/>
    <w:pPr>
      <w:spacing w:before="120" w:after="120" w:line="240" w:lineRule="auto"/>
    </w:pPr>
    <w:rPr>
      <w:rFonts w:ascii="Times New Roman" w:eastAsia="Times New Roman" w:hAnsi="Times New Roman" w:cs="Times New Roman"/>
      <w:b/>
      <w:bCs/>
      <w:sz w:val="28"/>
      <w:szCs w:val="28"/>
      <w:lang w:val="en-US"/>
    </w:rPr>
  </w:style>
  <w:style w:type="paragraph" w:customStyle="1" w:styleId="gtctitleright">
    <w:name w:val="gtctitleright"/>
    <w:basedOn w:val="Normal"/>
    <w:rsid w:val="00FD4AE1"/>
    <w:pPr>
      <w:spacing w:before="120" w:after="120" w:line="240" w:lineRule="auto"/>
      <w:jc w:val="right"/>
    </w:pPr>
    <w:rPr>
      <w:rFonts w:ascii="Times New Roman" w:eastAsia="Times New Roman" w:hAnsi="Times New Roman" w:cs="Times New Roman"/>
      <w:b/>
      <w:bCs/>
      <w:sz w:val="28"/>
      <w:szCs w:val="28"/>
      <w:lang w:val="en-US"/>
    </w:rPr>
  </w:style>
  <w:style w:type="paragraph" w:customStyle="1" w:styleId="gtctitlecenter">
    <w:name w:val="gtctitlecenter"/>
    <w:basedOn w:val="Normal"/>
    <w:rsid w:val="00FD4AE1"/>
    <w:pPr>
      <w:spacing w:before="120" w:after="120" w:line="240" w:lineRule="auto"/>
      <w:jc w:val="center"/>
    </w:pPr>
    <w:rPr>
      <w:rFonts w:ascii="Times New Roman" w:eastAsia="Times New Roman" w:hAnsi="Times New Roman" w:cs="Times New Roman"/>
      <w:b/>
      <w:bCs/>
      <w:sz w:val="28"/>
      <w:szCs w:val="28"/>
      <w:lang w:val="en-US"/>
    </w:rPr>
  </w:style>
  <w:style w:type="paragraph" w:customStyle="1" w:styleId="gtctitlejustify">
    <w:name w:val="gtctitlejustify"/>
    <w:basedOn w:val="Normal"/>
    <w:rsid w:val="00FD4AE1"/>
    <w:pPr>
      <w:spacing w:before="120" w:after="120" w:line="240" w:lineRule="auto"/>
      <w:jc w:val="both"/>
    </w:pPr>
    <w:rPr>
      <w:rFonts w:ascii="Times New Roman" w:eastAsia="Times New Roman" w:hAnsi="Times New Roman" w:cs="Times New Roman"/>
      <w:b/>
      <w:bCs/>
      <w:sz w:val="28"/>
      <w:szCs w:val="28"/>
      <w:lang w:val="en-US"/>
    </w:rPr>
  </w:style>
  <w:style w:type="paragraph" w:customStyle="1" w:styleId="gtcheading1">
    <w:name w:val="gtcheading1"/>
    <w:basedOn w:val="Normal"/>
    <w:rsid w:val="00FD4AE1"/>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1d">
    <w:name w:val="gtcheading1d"/>
    <w:basedOn w:val="Normal"/>
    <w:rsid w:val="00FD4AE1"/>
    <w:pPr>
      <w:keepNext/>
      <w:spacing w:before="240" w:after="240" w:line="240" w:lineRule="auto"/>
    </w:pPr>
    <w:rPr>
      <w:rFonts w:ascii="Times New Roman" w:eastAsia="Times New Roman" w:hAnsi="Times New Roman" w:cs="Times New Roman"/>
      <w:b/>
      <w:bCs/>
      <w:caps/>
      <w:strike/>
      <w:color w:val="FF0000"/>
      <w:sz w:val="24"/>
      <w:szCs w:val="24"/>
      <w:lang w:val="en-US"/>
    </w:rPr>
  </w:style>
  <w:style w:type="paragraph" w:customStyle="1" w:styleId="gtcheading1i">
    <w:name w:val="gtcheading1i"/>
    <w:basedOn w:val="Normal"/>
    <w:rsid w:val="00FD4AE1"/>
    <w:pPr>
      <w:keepNext/>
      <w:spacing w:before="240" w:after="240" w:line="240" w:lineRule="auto"/>
    </w:pPr>
    <w:rPr>
      <w:rFonts w:ascii="Times New Roman" w:eastAsia="Times New Roman" w:hAnsi="Times New Roman" w:cs="Times New Roman"/>
      <w:b/>
      <w:bCs/>
      <w:caps/>
      <w:color w:val="FF0000"/>
      <w:sz w:val="24"/>
      <w:szCs w:val="24"/>
      <w:lang w:val="en-US"/>
    </w:rPr>
  </w:style>
  <w:style w:type="paragraph" w:customStyle="1" w:styleId="gtcheading2">
    <w:name w:val="gtcheading2"/>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2d">
    <w:name w:val="gtcheading2d"/>
    <w:basedOn w:val="Normal"/>
    <w:rsid w:val="00FD4AE1"/>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2i">
    <w:name w:val="gtcheading2i"/>
    <w:basedOn w:val="Normal"/>
    <w:rsid w:val="00FD4AE1"/>
    <w:pPr>
      <w:keepNext/>
      <w:spacing w:before="240" w:after="240" w:line="240" w:lineRule="auto"/>
    </w:pPr>
    <w:rPr>
      <w:rFonts w:ascii="Times New Roman" w:eastAsia="Times New Roman" w:hAnsi="Times New Roman" w:cs="Times New Roman"/>
      <w:b/>
      <w:bCs/>
      <w:color w:val="FF0000"/>
      <w:sz w:val="24"/>
      <w:szCs w:val="24"/>
      <w:lang w:val="en-US"/>
    </w:rPr>
  </w:style>
  <w:style w:type="paragraph" w:customStyle="1" w:styleId="gtcheading3">
    <w:name w:val="gtcheading3"/>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d">
    <w:name w:val="gtcheading3d"/>
    <w:basedOn w:val="Normal"/>
    <w:rsid w:val="00FD4AE1"/>
    <w:pPr>
      <w:keepNext/>
      <w:spacing w:before="240" w:after="240" w:line="240" w:lineRule="auto"/>
    </w:pPr>
    <w:rPr>
      <w:rFonts w:ascii="Times New Roman" w:eastAsia="Times New Roman" w:hAnsi="Times New Roman" w:cs="Times New Roman"/>
      <w:b/>
      <w:bCs/>
      <w:strike/>
      <w:color w:val="FF0000"/>
      <w:sz w:val="24"/>
      <w:szCs w:val="24"/>
      <w:lang w:val="en-US"/>
    </w:rPr>
  </w:style>
  <w:style w:type="paragraph" w:customStyle="1" w:styleId="gtcheading3i">
    <w:name w:val="gtcheading3i"/>
    <w:basedOn w:val="Normal"/>
    <w:rsid w:val="00FD4AE1"/>
    <w:pPr>
      <w:keepNext/>
      <w:spacing w:before="240" w:after="240" w:line="240" w:lineRule="auto"/>
    </w:pPr>
    <w:rPr>
      <w:rFonts w:ascii="Times New Roman" w:eastAsia="Times New Roman" w:hAnsi="Times New Roman" w:cs="Times New Roman"/>
      <w:color w:val="FF0000"/>
      <w:sz w:val="24"/>
      <w:szCs w:val="24"/>
      <w:lang w:val="en-US"/>
    </w:rPr>
  </w:style>
  <w:style w:type="paragraph" w:customStyle="1" w:styleId="gtcheading4">
    <w:name w:val="gtcheading4"/>
    <w:basedOn w:val="Normal"/>
    <w:rsid w:val="00FD4AE1"/>
    <w:pPr>
      <w:keepNext/>
      <w:spacing w:before="240" w:after="240" w:line="240" w:lineRule="auto"/>
    </w:pPr>
    <w:rPr>
      <w:rFonts w:ascii="Times New Roman" w:eastAsia="Times New Roman" w:hAnsi="Times New Roman" w:cs="Times New Roman"/>
      <w:i/>
      <w:iCs/>
      <w:sz w:val="24"/>
      <w:szCs w:val="24"/>
      <w:lang w:val="en-US"/>
    </w:rPr>
  </w:style>
  <w:style w:type="paragraph" w:customStyle="1" w:styleId="gtcheading4d">
    <w:name w:val="gtcheading4d"/>
    <w:basedOn w:val="Normal"/>
    <w:rsid w:val="00FD4AE1"/>
    <w:pPr>
      <w:keepNext/>
      <w:spacing w:before="240" w:after="240" w:line="240" w:lineRule="auto"/>
    </w:pPr>
    <w:rPr>
      <w:rFonts w:ascii="Times New Roman" w:eastAsia="Times New Roman" w:hAnsi="Times New Roman" w:cs="Times New Roman"/>
      <w:i/>
      <w:iCs/>
      <w:strike/>
      <w:color w:val="FF0000"/>
      <w:sz w:val="24"/>
      <w:szCs w:val="24"/>
      <w:lang w:val="en-US"/>
    </w:rPr>
  </w:style>
  <w:style w:type="paragraph" w:customStyle="1" w:styleId="gtcheading4i">
    <w:name w:val="gtcheading4i"/>
    <w:basedOn w:val="Normal"/>
    <w:rsid w:val="00FD4AE1"/>
    <w:pPr>
      <w:keepNext/>
      <w:spacing w:before="240" w:after="240" w:line="240" w:lineRule="auto"/>
    </w:pPr>
    <w:rPr>
      <w:rFonts w:ascii="Times New Roman" w:eastAsia="Times New Roman" w:hAnsi="Times New Roman" w:cs="Times New Roman"/>
      <w:i/>
      <w:iCs/>
      <w:color w:val="FF0000"/>
      <w:sz w:val="24"/>
      <w:szCs w:val="24"/>
      <w:lang w:val="en-US"/>
    </w:rPr>
  </w:style>
  <w:style w:type="paragraph" w:customStyle="1" w:styleId="gtctextsectiondepth1">
    <w:name w:val="gtctextsectiondepth1"/>
    <w:basedOn w:val="Normal"/>
    <w:rsid w:val="00FD4AE1"/>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textsectiondepth2">
    <w:name w:val="gtctextsectiondepth2"/>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3">
    <w:name w:val="gtctextsectiondepth3"/>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4">
    <w:name w:val="gtctextsectiondepth4"/>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5">
    <w:name w:val="gtctextsectiondepth5"/>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6">
    <w:name w:val="gtctextsectiondepth6"/>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7">
    <w:name w:val="gtctextsectiondepth7"/>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8">
    <w:name w:val="gtctextsectiondepth8"/>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textsectiondepth9">
    <w:name w:val="gtctextsectiondepth9"/>
    <w:basedOn w:val="Normal"/>
    <w:rsid w:val="00FD4AE1"/>
    <w:pPr>
      <w:spacing w:before="240" w:after="240" w:line="240" w:lineRule="auto"/>
    </w:pPr>
    <w:rPr>
      <w:rFonts w:ascii="Times New Roman" w:eastAsia="Times New Roman" w:hAnsi="Times New Roman" w:cs="Times New Roman"/>
      <w:b/>
      <w:bCs/>
      <w:sz w:val="24"/>
      <w:szCs w:val="24"/>
      <w:lang w:val="en-US"/>
    </w:rPr>
  </w:style>
  <w:style w:type="paragraph" w:customStyle="1" w:styleId="gtcstandardtext">
    <w:name w:val="gtcstandardtext"/>
    <w:basedOn w:val="Normal"/>
    <w:rsid w:val="00FD4AE1"/>
    <w:pPr>
      <w:spacing w:before="240" w:after="240" w:line="240" w:lineRule="auto"/>
    </w:pPr>
    <w:rPr>
      <w:rFonts w:ascii="Times New Roman" w:eastAsia="Times New Roman" w:hAnsi="Times New Roman" w:cs="Times New Roman"/>
      <w:color w:val="0000FF"/>
      <w:sz w:val="24"/>
      <w:szCs w:val="24"/>
      <w:lang w:val="en-US"/>
    </w:rPr>
  </w:style>
  <w:style w:type="paragraph" w:customStyle="1" w:styleId="gtccaption">
    <w:name w:val="gtccaption"/>
    <w:basedOn w:val="Normal"/>
    <w:rsid w:val="00FD4AE1"/>
    <w:pPr>
      <w:spacing w:before="240" w:after="240" w:line="240" w:lineRule="auto"/>
    </w:pPr>
    <w:rPr>
      <w:rFonts w:ascii="Times New Roman" w:eastAsia="Times New Roman" w:hAnsi="Times New Roman" w:cs="Times New Roman"/>
      <w:caps/>
      <w:sz w:val="24"/>
      <w:szCs w:val="24"/>
      <w:lang w:val="en-US"/>
    </w:rPr>
  </w:style>
  <w:style w:type="paragraph" w:customStyle="1" w:styleId="gtclist-bw">
    <w:name w:val="gtclist-bw"/>
    <w:basedOn w:val="Normal"/>
    <w:rsid w:val="00FD4AE1"/>
    <w:pPr>
      <w:spacing w:before="40" w:after="40" w:line="240" w:lineRule="auto"/>
    </w:pPr>
    <w:rPr>
      <w:rFonts w:ascii="Times New Roman" w:eastAsia="Times New Roman" w:hAnsi="Times New Roman" w:cs="Times New Roman"/>
      <w:sz w:val="24"/>
      <w:szCs w:val="24"/>
      <w:lang w:val="en-US"/>
    </w:rPr>
  </w:style>
  <w:style w:type="paragraph" w:customStyle="1" w:styleId="gtctabletitlealignleft">
    <w:name w:val="gtctabletitlealignleft"/>
    <w:basedOn w:val="Normal"/>
    <w:rsid w:val="00FD4AE1"/>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alignright">
    <w:name w:val="gtctabletitlealignright"/>
    <w:basedOn w:val="Normal"/>
    <w:rsid w:val="00FD4AE1"/>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gtctabletitleinsertmarkup">
    <w:name w:val="gtctabletitleinsertmarkup"/>
    <w:basedOn w:val="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markup">
    <w:name w:val="gtctabletitledeletemarkup"/>
    <w:basedOn w:val="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tableheadertextleftrule">
    <w:name w:val="gtctableheadertextleftrule"/>
    <w:basedOn w:val="Normal"/>
    <w:rsid w:val="00FD4AE1"/>
    <w:pPr>
      <w:pBdr>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rule">
    <w:name w:val="gtctableheadertextrightrule"/>
    <w:basedOn w:val="Normal"/>
    <w:rsid w:val="00FD4AE1"/>
    <w:pPr>
      <w:pBdr>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toprule">
    <w:name w:val="gtctableheadertexttoprule"/>
    <w:basedOn w:val="Normal"/>
    <w:rsid w:val="00FD4AE1"/>
    <w:pPr>
      <w:pBdr>
        <w:top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bottomrule">
    <w:name w:val="gtctableheadertextbottomrule"/>
    <w:basedOn w:val="Normal"/>
    <w:rsid w:val="00FD4AE1"/>
    <w:pPr>
      <w:pBdr>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rule">
    <w:name w:val="gtctableheadertextleftrightrule"/>
    <w:basedOn w:val="Normal"/>
    <w:rsid w:val="00FD4AE1"/>
    <w:pPr>
      <w:pBdr>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toprule">
    <w:name w:val="gtctableheadertextlefttoprule"/>
    <w:basedOn w:val="Normal"/>
    <w:rsid w:val="00FD4AE1"/>
    <w:pPr>
      <w:pBdr>
        <w:top w:val="single" w:sz="6" w:space="0" w:color="000000"/>
        <w:lef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bottomrule">
    <w:name w:val="gtctableheadertextleftbottomrule"/>
    <w:basedOn w:val="Normal"/>
    <w:rsid w:val="00FD4AE1"/>
    <w:pPr>
      <w:pBdr>
        <w:left w:val="single" w:sz="6" w:space="0" w:color="000000"/>
        <w:bottom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rule">
    <w:name w:val="gtctableheadertextrighttoprule"/>
    <w:basedOn w:val="Normal"/>
    <w:rsid w:val="00FD4AE1"/>
    <w:pPr>
      <w:pBdr>
        <w:top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bottomrule">
    <w:name w:val="gtctableheadertextrightbottomrule"/>
    <w:basedOn w:val="Normal"/>
    <w:rsid w:val="00FD4AE1"/>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rule">
    <w:name w:val="gtctableheadertextleftrighttoprule"/>
    <w:basedOn w:val="Normal"/>
    <w:rsid w:val="00FD4AE1"/>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bottomrule">
    <w:name w:val="gtctableheadertextleftrightbottomrule"/>
    <w:basedOn w:val="Normal"/>
    <w:rsid w:val="00FD4AE1"/>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righttopbottomrule">
    <w:name w:val="gtctableheadertextrighttopbottomrule"/>
    <w:basedOn w:val="Normal"/>
    <w:rsid w:val="00FD4AE1"/>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leftrighttopbottomrule">
    <w:name w:val="gtctableheadertextleftrighttopbottomrule"/>
    <w:basedOn w:val="Normal"/>
    <w:rsid w:val="00FD4AE1"/>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headertextnorule">
    <w:name w:val="gtctableheadertextnorule"/>
    <w:basedOn w:val="Normal"/>
    <w:rsid w:val="00FD4AE1"/>
    <w:pPr>
      <w:spacing w:before="60" w:after="60" w:line="300" w:lineRule="auto"/>
      <w:jc w:val="center"/>
    </w:pPr>
    <w:rPr>
      <w:rFonts w:ascii="Times New Roman" w:eastAsia="Times New Roman" w:hAnsi="Times New Roman" w:cs="Times New Roman"/>
      <w:b/>
      <w:bCs/>
      <w:sz w:val="20"/>
      <w:szCs w:val="20"/>
      <w:lang w:val="en-US"/>
    </w:rPr>
  </w:style>
  <w:style w:type="paragraph" w:customStyle="1" w:styleId="gtctabledatatextleftrule">
    <w:name w:val="gtctabledatatextleftrule"/>
    <w:basedOn w:val="Normal"/>
    <w:rsid w:val="00FD4AE1"/>
    <w:pPr>
      <w:pBdr>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rule">
    <w:name w:val="gtctabledatatextrightrule"/>
    <w:basedOn w:val="Normal"/>
    <w:rsid w:val="00FD4AE1"/>
    <w:pPr>
      <w:pBdr>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toprule">
    <w:name w:val="gtctabledatatexttoprule"/>
    <w:basedOn w:val="Normal"/>
    <w:rsid w:val="00FD4AE1"/>
    <w:pPr>
      <w:pBdr>
        <w:top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bottomrule">
    <w:name w:val="gtctabledatatextbottomrule"/>
    <w:basedOn w:val="Normal"/>
    <w:rsid w:val="00FD4AE1"/>
    <w:pPr>
      <w:pBdr>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rule">
    <w:name w:val="gtctabledatatextleftrightrule"/>
    <w:basedOn w:val="Normal"/>
    <w:rsid w:val="00FD4AE1"/>
    <w:pPr>
      <w:pBdr>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toprule">
    <w:name w:val="gtctabledatatextlefttoprule"/>
    <w:basedOn w:val="Normal"/>
    <w:rsid w:val="00FD4AE1"/>
    <w:pPr>
      <w:pBdr>
        <w:top w:val="single" w:sz="6" w:space="0" w:color="000000"/>
        <w:lef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bottomrule">
    <w:name w:val="gtctabledatatextleftbottomrule"/>
    <w:basedOn w:val="Normal"/>
    <w:rsid w:val="00FD4AE1"/>
    <w:pPr>
      <w:pBdr>
        <w:left w:val="single" w:sz="6" w:space="0" w:color="000000"/>
        <w:bottom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rule">
    <w:name w:val="gtctabledatatextrighttoprule"/>
    <w:basedOn w:val="Normal"/>
    <w:rsid w:val="00FD4AE1"/>
    <w:pPr>
      <w:pBdr>
        <w:top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bottomrule">
    <w:name w:val="gtctabledatatextrightbottomrule"/>
    <w:basedOn w:val="Normal"/>
    <w:rsid w:val="00FD4AE1"/>
    <w:pPr>
      <w:pBdr>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rule">
    <w:name w:val="gtctabledatatextleftrighttoprule"/>
    <w:basedOn w:val="Normal"/>
    <w:rsid w:val="00FD4AE1"/>
    <w:pPr>
      <w:pBdr>
        <w:top w:val="single" w:sz="6" w:space="0" w:color="000000"/>
        <w:left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bottomrule">
    <w:name w:val="gtctabledatatextleftrightbottomrule"/>
    <w:basedOn w:val="Normal"/>
    <w:rsid w:val="00FD4AE1"/>
    <w:pPr>
      <w:pBdr>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righttopbottomrule">
    <w:name w:val="gtctabledatatextrighttopbottomrule"/>
    <w:basedOn w:val="Normal"/>
    <w:rsid w:val="00FD4AE1"/>
    <w:pPr>
      <w:pBdr>
        <w:top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leftrighttopbottomrule">
    <w:name w:val="gtctabledatatextleftrighttopbottomrule"/>
    <w:basedOn w:val="Normal"/>
    <w:rsid w:val="00FD4AE1"/>
    <w:pPr>
      <w:pBdr>
        <w:top w:val="single" w:sz="6" w:space="0" w:color="000000"/>
        <w:left w:val="single" w:sz="6" w:space="0" w:color="000000"/>
        <w:bottom w:val="single" w:sz="6" w:space="0" w:color="000000"/>
        <w:right w:val="single" w:sz="6" w:space="0" w:color="000000"/>
      </w:pBdr>
      <w:spacing w:before="60" w:after="60" w:line="300" w:lineRule="auto"/>
      <w:jc w:val="center"/>
    </w:pPr>
    <w:rPr>
      <w:rFonts w:ascii="Times New Roman" w:eastAsia="Times New Roman" w:hAnsi="Times New Roman" w:cs="Times New Roman"/>
      <w:sz w:val="20"/>
      <w:szCs w:val="20"/>
      <w:lang w:val="en-US"/>
    </w:rPr>
  </w:style>
  <w:style w:type="paragraph" w:customStyle="1" w:styleId="gtctabledatatextnorule">
    <w:name w:val="gtctabledatatextnorule"/>
    <w:basedOn w:val="Normal"/>
    <w:rsid w:val="00FD4AE1"/>
    <w:pPr>
      <w:spacing w:before="60" w:after="60" w:line="300" w:lineRule="auto"/>
      <w:jc w:val="center"/>
    </w:pPr>
    <w:rPr>
      <w:rFonts w:ascii="Times New Roman" w:eastAsia="Times New Roman" w:hAnsi="Times New Roman" w:cs="Times New Roman"/>
      <w:sz w:val="20"/>
      <w:szCs w:val="20"/>
      <w:lang w:val="en-US"/>
    </w:rPr>
  </w:style>
  <w:style w:type="paragraph" w:customStyle="1" w:styleId="gtcsuperscripthl">
    <w:name w:val="gtcsuperscript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gtcsubscripthl">
    <w:name w:val="gtcsubscripthl"/>
    <w:basedOn w:val="Normal"/>
    <w:rsid w:val="00FD4AE1"/>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inserted">
    <w:name w:val="inserted"/>
    <w:basedOn w:val="Normal"/>
    <w:rsid w:val="00FD4AE1"/>
    <w:pPr>
      <w:spacing w:before="100" w:beforeAutospacing="1" w:after="100" w:afterAutospacing="1" w:line="240" w:lineRule="auto"/>
    </w:pPr>
    <w:rPr>
      <w:rFonts w:ascii="Times New Roman" w:eastAsia="Times New Roman" w:hAnsi="Times New Roman" w:cs="Times New Roman"/>
      <w:color w:val="FF0000"/>
      <w:sz w:val="24"/>
      <w:szCs w:val="24"/>
      <w:u w:val="double"/>
      <w:lang w:val="en-US"/>
    </w:rPr>
  </w:style>
  <w:style w:type="paragraph" w:customStyle="1" w:styleId="deleted">
    <w:name w:val="deleted"/>
    <w:basedOn w:val="Normal"/>
    <w:rsid w:val="00FD4AE1"/>
    <w:pPr>
      <w:spacing w:before="100" w:beforeAutospacing="1" w:after="100" w:afterAutospacing="1" w:line="240" w:lineRule="auto"/>
    </w:pPr>
    <w:rPr>
      <w:rFonts w:ascii="Times New Roman" w:eastAsia="Times New Roman" w:hAnsi="Times New Roman" w:cs="Times New Roman"/>
      <w:strike/>
      <w:color w:val="0000FF"/>
      <w:sz w:val="24"/>
      <w:szCs w:val="24"/>
      <w:lang w:val="en-US"/>
    </w:rPr>
  </w:style>
  <w:style w:type="paragraph" w:customStyle="1" w:styleId="gtcreason">
    <w:name w:val="gtcreason"/>
    <w:basedOn w:val="Normal"/>
    <w:rsid w:val="00FD4AE1"/>
    <w:pPr>
      <w:spacing w:before="100" w:beforeAutospacing="1" w:after="100" w:afterAutospacing="1" w:line="240" w:lineRule="auto"/>
    </w:pPr>
    <w:rPr>
      <w:rFonts w:ascii="Times New Roman" w:eastAsia="Times New Roman" w:hAnsi="Times New Roman" w:cs="Times New Roman"/>
      <w:color w:val="008000"/>
      <w:sz w:val="24"/>
      <w:szCs w:val="24"/>
      <w:lang w:val="en-US"/>
    </w:rPr>
  </w:style>
  <w:style w:type="paragraph" w:customStyle="1" w:styleId="gtcalternatetext">
    <w:name w:val="gtcalternatetext"/>
    <w:basedOn w:val="Normal"/>
    <w:rsid w:val="00FD4AE1"/>
    <w:pP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gtchacomment">
    <w:name w:val="gtchacomment"/>
    <w:basedOn w:val="Normal"/>
    <w:rsid w:val="00FD4AE1"/>
    <w:pPr>
      <w:shd w:val="clear" w:color="auto" w:fill="CC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originaltext">
    <w:name w:val="gtcoriginaltext"/>
    <w:basedOn w:val="Normal"/>
    <w:rsid w:val="00FD4AE1"/>
    <w:pPr>
      <w:shd w:val="clear" w:color="auto"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text">
    <w:name w:val="gtcinternalcommenttext"/>
    <w:basedOn w:val="Normal"/>
    <w:rsid w:val="00FD4AE1"/>
    <w:pPr>
      <w:shd w:val="clear" w:color="auto" w:fill="FFC0C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internalcomment">
    <w:name w:val="gtcinternalcomment"/>
    <w:basedOn w:val="Normal"/>
    <w:rsid w:val="00FD4AE1"/>
    <w:pPr>
      <w:shd w:val="clear" w:color="auto" w:fill="FFC0CB"/>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cngeneral">
    <w:name w:val="cn_general"/>
    <w:basedOn w:val="Normal"/>
    <w:rsid w:val="00FD4AE1"/>
    <w:pPr>
      <w:spacing w:before="100" w:beforeAutospacing="1" w:after="100" w:afterAutospacing="1" w:line="240" w:lineRule="auto"/>
    </w:pPr>
    <w:rPr>
      <w:rFonts w:ascii="Times New Roman" w:eastAsia="Times New Roman" w:hAnsi="Times New Roman" w:cs="Times New Roman"/>
      <w:lang w:val="en-US"/>
    </w:rPr>
  </w:style>
  <w:style w:type="paragraph" w:customStyle="1" w:styleId="cncomprow">
    <w:name w:val="cn_comprow"/>
    <w:basedOn w:val="Normal"/>
    <w:rsid w:val="00FD4AE1"/>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compheaderrow">
    <w:name w:val="cn_compheaderrow"/>
    <w:basedOn w:val="Normal"/>
    <w:rsid w:val="00FD4AE1"/>
    <w:pPr>
      <w:pBdr>
        <w:top w:val="single" w:sz="4" w:space="4" w:color="000000"/>
        <w:left w:val="single" w:sz="4" w:space="6" w:color="000000"/>
        <w:bottom w:val="single" w:sz="4" w:space="4" w:color="000000"/>
        <w:right w:val="single" w:sz="4" w:space="6"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outerhl-bw">
    <w:name w:val="gtclistouterhl-bw"/>
    <w:basedOn w:val="Normal"/>
    <w:rsid w:val="00FD4AE1"/>
    <w:pPr>
      <w:spacing w:before="100" w:beforeAutospacing="1" w:after="100" w:afterAutospacing="1" w:line="240" w:lineRule="auto"/>
      <w:ind w:left="540"/>
    </w:pPr>
    <w:rPr>
      <w:rFonts w:ascii="Times New Roman" w:eastAsia="Times New Roman" w:hAnsi="Times New Roman" w:cs="Times New Roman"/>
      <w:sz w:val="24"/>
      <w:szCs w:val="24"/>
      <w:lang w:val="en-US"/>
    </w:rPr>
  </w:style>
  <w:style w:type="paragraph" w:customStyle="1" w:styleId="gtclistouterhl">
    <w:name w:val="gtclistouterhl"/>
    <w:basedOn w:val="Normal"/>
    <w:rsid w:val="00FD4AE1"/>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outer">
    <w:name w:val="gtclistouter"/>
    <w:basedOn w:val="Normal"/>
    <w:rsid w:val="00FD4AE1"/>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paragraph" w:customStyle="1" w:styleId="gtclistinnerhl">
    <w:name w:val="gtclistinnerhl"/>
    <w:basedOn w:val="Normal"/>
    <w:rsid w:val="00FD4AE1"/>
    <w:pPr>
      <w:spacing w:after="0" w:line="240" w:lineRule="auto"/>
      <w:ind w:left="-360"/>
    </w:pPr>
    <w:rPr>
      <w:rFonts w:ascii="Times New Roman" w:eastAsia="Times New Roman" w:hAnsi="Times New Roman" w:cs="Times New Roman"/>
      <w:sz w:val="24"/>
      <w:szCs w:val="24"/>
      <w:lang w:val="en-US"/>
    </w:rPr>
  </w:style>
  <w:style w:type="paragraph" w:customStyle="1" w:styleId="gtclistinner">
    <w:name w:val="gtclistinner"/>
    <w:basedOn w:val="Normal"/>
    <w:rsid w:val="00FD4AE1"/>
    <w:pPr>
      <w:spacing w:after="0" w:line="240" w:lineRule="auto"/>
      <w:ind w:left="-360"/>
    </w:pPr>
    <w:rPr>
      <w:rFonts w:ascii="Times New Roman" w:eastAsia="Times New Roman" w:hAnsi="Times New Roman" w:cs="Times New Roman"/>
      <w:sz w:val="24"/>
      <w:szCs w:val="24"/>
      <w:lang w:val="en-US"/>
    </w:rPr>
  </w:style>
  <w:style w:type="paragraph" w:customStyle="1" w:styleId="gtcleftalign">
    <w:name w:val="gtcleftalign"/>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centeralign">
    <w:name w:val="gtccenteralign"/>
    <w:basedOn w:val="Normal"/>
    <w:rsid w:val="00FD4AE1"/>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entred">
    <w:name w:val="centred"/>
    <w:basedOn w:val="Normal"/>
    <w:rsid w:val="00FD4AE1"/>
    <w:pPr>
      <w:suppressAutoHyphens/>
      <w:spacing w:after="0" w:line="240" w:lineRule="auto"/>
      <w:jc w:val="center"/>
    </w:pPr>
    <w:rPr>
      <w:rFonts w:ascii="Times New Roman" w:eastAsia="Times New Roman" w:hAnsi="Times New Roman" w:cs="Times New Roman"/>
      <w:b/>
      <w:szCs w:val="24"/>
      <w:lang w:val="en-GB"/>
    </w:rPr>
  </w:style>
  <w:style w:type="paragraph" w:customStyle="1" w:styleId="leftaligned">
    <w:name w:val="leftaligned"/>
    <w:basedOn w:val="Normal"/>
    <w:rsid w:val="00FD4AE1"/>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paragraph" w:customStyle="1" w:styleId="BMCENTRED">
    <w:name w:val="BM CENTRED"/>
    <w:basedOn w:val="Normal"/>
    <w:rsid w:val="00FD4AE1"/>
    <w:pPr>
      <w:suppressAutoHyphens/>
      <w:spacing w:after="0" w:line="240" w:lineRule="auto"/>
      <w:jc w:val="center"/>
    </w:pPr>
    <w:rPr>
      <w:rFonts w:ascii="Times New Roman" w:eastAsia="Times New Roman" w:hAnsi="Times New Roman" w:cs="Times New Roman"/>
      <w:b/>
      <w:szCs w:val="24"/>
      <w:lang w:val="en-GB"/>
    </w:rPr>
  </w:style>
  <w:style w:type="paragraph" w:customStyle="1" w:styleId="bmleftaligned">
    <w:name w:val="bmleftaligned"/>
    <w:basedOn w:val="Normal"/>
    <w:rsid w:val="00FD4AE1"/>
    <w:pPr>
      <w:tabs>
        <w:tab w:val="left" w:pos="562"/>
      </w:tabs>
      <w:suppressAutoHyphens/>
      <w:spacing w:after="0" w:line="240" w:lineRule="auto"/>
      <w:ind w:left="550" w:hanging="550"/>
    </w:pPr>
    <w:rPr>
      <w:rFonts w:ascii="Times New Roman" w:eastAsia="Times New Roman" w:hAnsi="Times New Roman" w:cs="Times New Roman"/>
      <w:b/>
      <w:szCs w:val="24"/>
      <w:lang w:val="en-GB"/>
    </w:rPr>
  </w:style>
  <w:style w:type="character" w:customStyle="1" w:styleId="gtcgreyshadedtext1">
    <w:name w:val="gtcgreyshadedtext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
    <w:name w:val="gtcannotation1"/>
    <w:rsid w:val="00FD4AE1"/>
    <w:rPr>
      <w:color w:val="006633"/>
      <w:sz w:val="20"/>
      <w:szCs w:val="20"/>
    </w:rPr>
  </w:style>
  <w:style w:type="character" w:customStyle="1" w:styleId="gtcannotationhl1">
    <w:name w:val="gtcannotationhl1"/>
    <w:rsid w:val="00FD4AE1"/>
    <w:rPr>
      <w:color w:val="006633"/>
      <w:sz w:val="16"/>
      <w:szCs w:val="16"/>
    </w:rPr>
  </w:style>
  <w:style w:type="paragraph" w:customStyle="1" w:styleId="gtchighlighttextboxedwarnings1">
    <w:name w:val="gtchighlighttextboxedwarnings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
    <w:name w:val="gtchighlighttext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
    <w:name w:val="gtcgreyshadedtext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
    <w:name w:val="gtcannotation2"/>
    <w:rsid w:val="00FD4AE1"/>
    <w:rPr>
      <w:color w:val="006633"/>
      <w:sz w:val="20"/>
      <w:szCs w:val="20"/>
    </w:rPr>
  </w:style>
  <w:style w:type="character" w:customStyle="1" w:styleId="gtcannotationhl2">
    <w:name w:val="gtcannotationhl2"/>
    <w:rsid w:val="00FD4AE1"/>
    <w:rPr>
      <w:color w:val="006633"/>
      <w:sz w:val="16"/>
      <w:szCs w:val="16"/>
    </w:rPr>
  </w:style>
  <w:style w:type="paragraph" w:customStyle="1" w:styleId="gtchighlighttextboxedwarnings2">
    <w:name w:val="gtchighlighttextboxedwarnings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
    <w:name w:val="gtchighlighttext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italic1">
    <w:name w:val="gtcitalic1"/>
    <w:rsid w:val="00FD4AE1"/>
    <w:rPr>
      <w:i/>
      <w:iCs/>
    </w:rPr>
  </w:style>
  <w:style w:type="character" w:customStyle="1" w:styleId="gtcgreyshadedtext3">
    <w:name w:val="gtcgreyshadedtext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
    <w:name w:val="gtcannotation3"/>
    <w:rsid w:val="00FD4AE1"/>
    <w:rPr>
      <w:color w:val="006633"/>
      <w:sz w:val="20"/>
      <w:szCs w:val="20"/>
    </w:rPr>
  </w:style>
  <w:style w:type="character" w:customStyle="1" w:styleId="gtcannotationhl3">
    <w:name w:val="gtcannotationhl3"/>
    <w:rsid w:val="00FD4AE1"/>
    <w:rPr>
      <w:color w:val="006633"/>
      <w:sz w:val="16"/>
      <w:szCs w:val="16"/>
    </w:rPr>
  </w:style>
  <w:style w:type="paragraph" w:customStyle="1" w:styleId="gtchighlighttextboxedwarnings3">
    <w:name w:val="gtchighlighttextboxedwarnings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
    <w:name w:val="gtchighlighttext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highlightparagraph1">
    <w:name w:val="gtchighlightparagraph1"/>
    <w:rsid w:val="00FD4AE1"/>
    <w:rPr>
      <w:sz w:val="16"/>
      <w:szCs w:val="16"/>
    </w:rPr>
  </w:style>
  <w:style w:type="character" w:customStyle="1" w:styleId="gtcgreyshadedtext4">
    <w:name w:val="gtcgreyshadedtext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
    <w:name w:val="gtcannotation4"/>
    <w:rsid w:val="00FD4AE1"/>
    <w:rPr>
      <w:color w:val="006633"/>
      <w:sz w:val="20"/>
      <w:szCs w:val="20"/>
    </w:rPr>
  </w:style>
  <w:style w:type="character" w:customStyle="1" w:styleId="gtcannotationhl4">
    <w:name w:val="gtcannotationhl4"/>
    <w:rsid w:val="00FD4AE1"/>
    <w:rPr>
      <w:color w:val="006633"/>
      <w:sz w:val="16"/>
      <w:szCs w:val="16"/>
    </w:rPr>
  </w:style>
  <w:style w:type="paragraph" w:customStyle="1" w:styleId="gtchighlighttextboxedwarnings4">
    <w:name w:val="gtchighlighttextboxedwarnings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
    <w:name w:val="gtchighlighttext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highlightparagraph2">
    <w:name w:val="gtchighlightparagraph2"/>
    <w:rsid w:val="00FD4AE1"/>
    <w:rPr>
      <w:sz w:val="16"/>
      <w:szCs w:val="16"/>
    </w:rPr>
  </w:style>
  <w:style w:type="paragraph" w:customStyle="1" w:styleId="gtchighlighttextregular">
    <w:name w:val="gtchighlighttextregular"/>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tcgreyshadedtext5">
    <w:name w:val="gtcgreyshadedtext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5">
    <w:name w:val="gtcannotation5"/>
    <w:rsid w:val="00FD4AE1"/>
    <w:rPr>
      <w:color w:val="006633"/>
      <w:sz w:val="20"/>
      <w:szCs w:val="20"/>
    </w:rPr>
  </w:style>
  <w:style w:type="character" w:customStyle="1" w:styleId="gtcannotationhl5">
    <w:name w:val="gtcannotationhl5"/>
    <w:rsid w:val="00FD4AE1"/>
    <w:rPr>
      <w:color w:val="006633"/>
      <w:sz w:val="16"/>
      <w:szCs w:val="16"/>
    </w:rPr>
  </w:style>
  <w:style w:type="paragraph" w:customStyle="1" w:styleId="gtchighlighttextboxedwarnings5">
    <w:name w:val="gtchighlighttextboxedwarnings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5">
    <w:name w:val="gtchighlighttext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6">
    <w:name w:val="gtcgreyshadedtext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6">
    <w:name w:val="gtcannotation6"/>
    <w:rsid w:val="00FD4AE1"/>
    <w:rPr>
      <w:color w:val="006633"/>
      <w:sz w:val="20"/>
      <w:szCs w:val="20"/>
    </w:rPr>
  </w:style>
  <w:style w:type="character" w:customStyle="1" w:styleId="gtcannotationhl6">
    <w:name w:val="gtcannotationhl6"/>
    <w:rsid w:val="00FD4AE1"/>
    <w:rPr>
      <w:color w:val="006633"/>
      <w:sz w:val="16"/>
      <w:szCs w:val="16"/>
    </w:rPr>
  </w:style>
  <w:style w:type="paragraph" w:customStyle="1" w:styleId="gtchighlighttextboxedwarnings6">
    <w:name w:val="gtchighlighttextboxedwarnings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6">
    <w:name w:val="gtchighlighttext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7">
    <w:name w:val="gtcgreyshadedtext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7">
    <w:name w:val="gtcannotation7"/>
    <w:rsid w:val="00FD4AE1"/>
    <w:rPr>
      <w:color w:val="006633"/>
      <w:sz w:val="20"/>
      <w:szCs w:val="20"/>
    </w:rPr>
  </w:style>
  <w:style w:type="character" w:customStyle="1" w:styleId="gtcannotationhl7">
    <w:name w:val="gtcannotationhl7"/>
    <w:rsid w:val="00FD4AE1"/>
    <w:rPr>
      <w:color w:val="006633"/>
      <w:sz w:val="16"/>
      <w:szCs w:val="16"/>
    </w:rPr>
  </w:style>
  <w:style w:type="paragraph" w:customStyle="1" w:styleId="gtchighlighttextboxedwarnings7">
    <w:name w:val="gtchighlighttextboxedwarnings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7">
    <w:name w:val="gtchighlighttext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8">
    <w:name w:val="gtcgreyshadedtext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8">
    <w:name w:val="gtcannotation8"/>
    <w:rsid w:val="00FD4AE1"/>
    <w:rPr>
      <w:color w:val="006633"/>
      <w:sz w:val="20"/>
      <w:szCs w:val="20"/>
    </w:rPr>
  </w:style>
  <w:style w:type="character" w:customStyle="1" w:styleId="gtcannotationhl8">
    <w:name w:val="gtcannotationhl8"/>
    <w:rsid w:val="00FD4AE1"/>
    <w:rPr>
      <w:color w:val="006633"/>
      <w:sz w:val="16"/>
      <w:szCs w:val="16"/>
    </w:rPr>
  </w:style>
  <w:style w:type="paragraph" w:customStyle="1" w:styleId="gtchighlighttextboxedwarnings8">
    <w:name w:val="gtchighlighttextboxedwarnings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8">
    <w:name w:val="gtchighlighttext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1">
    <w:name w:val="gtcbold1"/>
    <w:rsid w:val="00FD4AE1"/>
    <w:rPr>
      <w:b/>
      <w:bCs/>
    </w:rPr>
  </w:style>
  <w:style w:type="character" w:customStyle="1" w:styleId="gtclinktext1">
    <w:name w:val="gtclinktext1"/>
    <w:rsid w:val="00FD4AE1"/>
    <w:rPr>
      <w:strike w:val="0"/>
      <w:dstrike w:val="0"/>
      <w:u w:val="none"/>
      <w:effect w:val="none"/>
    </w:rPr>
  </w:style>
  <w:style w:type="character" w:customStyle="1" w:styleId="gtcgreyshadedtext9">
    <w:name w:val="gtcgreyshadedtext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9">
    <w:name w:val="gtcannotation9"/>
    <w:rsid w:val="00FD4AE1"/>
    <w:rPr>
      <w:color w:val="006633"/>
      <w:sz w:val="20"/>
      <w:szCs w:val="20"/>
    </w:rPr>
  </w:style>
  <w:style w:type="character" w:customStyle="1" w:styleId="gtcannotationhl9">
    <w:name w:val="gtcannotationhl9"/>
    <w:rsid w:val="00FD4AE1"/>
    <w:rPr>
      <w:color w:val="006633"/>
      <w:sz w:val="16"/>
      <w:szCs w:val="16"/>
    </w:rPr>
  </w:style>
  <w:style w:type="paragraph" w:customStyle="1" w:styleId="gtchighlighttextboxedwarnings9">
    <w:name w:val="gtchighlighttextboxedwarnings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9">
    <w:name w:val="gtchighlighttext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0">
    <w:name w:val="gtcgreyshadedtext1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0">
    <w:name w:val="gtcannotation10"/>
    <w:rsid w:val="00FD4AE1"/>
    <w:rPr>
      <w:color w:val="006633"/>
      <w:sz w:val="20"/>
      <w:szCs w:val="20"/>
    </w:rPr>
  </w:style>
  <w:style w:type="character" w:customStyle="1" w:styleId="gtcannotationhl10">
    <w:name w:val="gtcannotationhl10"/>
    <w:rsid w:val="00FD4AE1"/>
    <w:rPr>
      <w:color w:val="006633"/>
      <w:sz w:val="16"/>
      <w:szCs w:val="16"/>
    </w:rPr>
  </w:style>
  <w:style w:type="paragraph" w:customStyle="1" w:styleId="gtchighlighttextboxedwarnings10">
    <w:name w:val="gtchighlighttextboxedwarnings1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0">
    <w:name w:val="gtchighlighttext1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1">
    <w:name w:val="gtcgreyshadedtext1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1">
    <w:name w:val="gtcannotation11"/>
    <w:rsid w:val="00FD4AE1"/>
    <w:rPr>
      <w:color w:val="006633"/>
      <w:sz w:val="20"/>
      <w:szCs w:val="20"/>
    </w:rPr>
  </w:style>
  <w:style w:type="character" w:customStyle="1" w:styleId="gtcannotationhl11">
    <w:name w:val="gtcannotationhl11"/>
    <w:rsid w:val="00FD4AE1"/>
    <w:rPr>
      <w:color w:val="006633"/>
      <w:sz w:val="16"/>
      <w:szCs w:val="16"/>
    </w:rPr>
  </w:style>
  <w:style w:type="paragraph" w:customStyle="1" w:styleId="gtchighlighttextboxedwarnings11">
    <w:name w:val="gtchighlighttextboxedwarnings1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1">
    <w:name w:val="gtchighlighttext1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linktext2">
    <w:name w:val="gtclinktext2"/>
    <w:rsid w:val="00FD4AE1"/>
    <w:rPr>
      <w:strike w:val="0"/>
      <w:dstrike w:val="0"/>
      <w:u w:val="none"/>
      <w:effect w:val="none"/>
    </w:rPr>
  </w:style>
  <w:style w:type="character" w:customStyle="1" w:styleId="gtcgreyshadedtext12">
    <w:name w:val="gtcgreyshadedtext1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2">
    <w:name w:val="gtcannotation12"/>
    <w:rsid w:val="00FD4AE1"/>
    <w:rPr>
      <w:color w:val="006633"/>
      <w:sz w:val="20"/>
      <w:szCs w:val="20"/>
    </w:rPr>
  </w:style>
  <w:style w:type="character" w:customStyle="1" w:styleId="gtcannotationhl12">
    <w:name w:val="gtcannotationhl12"/>
    <w:rsid w:val="00FD4AE1"/>
    <w:rPr>
      <w:color w:val="006633"/>
      <w:sz w:val="16"/>
      <w:szCs w:val="16"/>
    </w:rPr>
  </w:style>
  <w:style w:type="paragraph" w:customStyle="1" w:styleId="gtchighlighttextboxedwarnings12">
    <w:name w:val="gtchighlighttextboxedwarnings1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2">
    <w:name w:val="gtchighlighttext1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3">
    <w:name w:val="gtcgreyshadedtext1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3">
    <w:name w:val="gtcannotation13"/>
    <w:rsid w:val="00FD4AE1"/>
    <w:rPr>
      <w:color w:val="006633"/>
      <w:sz w:val="20"/>
      <w:szCs w:val="20"/>
    </w:rPr>
  </w:style>
  <w:style w:type="character" w:customStyle="1" w:styleId="gtcannotationhl13">
    <w:name w:val="gtcannotationhl13"/>
    <w:rsid w:val="00FD4AE1"/>
    <w:rPr>
      <w:color w:val="006633"/>
      <w:sz w:val="16"/>
      <w:szCs w:val="16"/>
    </w:rPr>
  </w:style>
  <w:style w:type="paragraph" w:customStyle="1" w:styleId="gtchighlighttextboxedwarnings13">
    <w:name w:val="gtchighlighttextboxedwarnings1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3">
    <w:name w:val="gtchighlighttext1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4">
    <w:name w:val="gtcgreyshadedtext1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4">
    <w:name w:val="gtcannotation14"/>
    <w:rsid w:val="00FD4AE1"/>
    <w:rPr>
      <w:color w:val="006633"/>
      <w:sz w:val="20"/>
      <w:szCs w:val="20"/>
    </w:rPr>
  </w:style>
  <w:style w:type="character" w:customStyle="1" w:styleId="gtcannotationhl14">
    <w:name w:val="gtcannotationhl14"/>
    <w:rsid w:val="00FD4AE1"/>
    <w:rPr>
      <w:color w:val="006633"/>
      <w:sz w:val="16"/>
      <w:szCs w:val="16"/>
    </w:rPr>
  </w:style>
  <w:style w:type="paragraph" w:customStyle="1" w:styleId="gtchighlighttextboxedwarnings14">
    <w:name w:val="gtchighlighttextboxedwarnings1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4">
    <w:name w:val="gtchighlighttext1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5">
    <w:name w:val="gtcgreyshadedtext1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5">
    <w:name w:val="gtcannotation15"/>
    <w:rsid w:val="00FD4AE1"/>
    <w:rPr>
      <w:color w:val="006633"/>
      <w:sz w:val="20"/>
      <w:szCs w:val="20"/>
    </w:rPr>
  </w:style>
  <w:style w:type="character" w:customStyle="1" w:styleId="gtcannotationhl15">
    <w:name w:val="gtcannotationhl15"/>
    <w:rsid w:val="00FD4AE1"/>
    <w:rPr>
      <w:color w:val="006633"/>
      <w:sz w:val="16"/>
      <w:szCs w:val="16"/>
    </w:rPr>
  </w:style>
  <w:style w:type="paragraph" w:customStyle="1" w:styleId="gtchighlighttextboxedwarnings15">
    <w:name w:val="gtchighlighttextboxedwarnings1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5">
    <w:name w:val="gtchighlighttext1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3">
    <w:name w:val="gtcbold3"/>
    <w:rsid w:val="00FD4AE1"/>
    <w:rPr>
      <w:b/>
      <w:bCs/>
    </w:rPr>
  </w:style>
  <w:style w:type="character" w:customStyle="1" w:styleId="gtclinktext3">
    <w:name w:val="gtclinktext3"/>
    <w:rsid w:val="00FD4AE1"/>
    <w:rPr>
      <w:strike w:val="0"/>
      <w:dstrike w:val="0"/>
      <w:u w:val="none"/>
      <w:effect w:val="none"/>
    </w:rPr>
  </w:style>
  <w:style w:type="character" w:customStyle="1" w:styleId="gtcitalic3">
    <w:name w:val="gtcitalic3"/>
    <w:rsid w:val="00FD4AE1"/>
    <w:rPr>
      <w:i/>
      <w:iCs/>
    </w:rPr>
  </w:style>
  <w:style w:type="character" w:customStyle="1" w:styleId="gtcgreyshadedtext16">
    <w:name w:val="gtcgreyshadedtext1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6">
    <w:name w:val="gtcannotation16"/>
    <w:rsid w:val="00FD4AE1"/>
    <w:rPr>
      <w:color w:val="006633"/>
      <w:sz w:val="20"/>
      <w:szCs w:val="20"/>
    </w:rPr>
  </w:style>
  <w:style w:type="character" w:customStyle="1" w:styleId="gtcannotationhl16">
    <w:name w:val="gtcannotationhl16"/>
    <w:rsid w:val="00FD4AE1"/>
    <w:rPr>
      <w:color w:val="006633"/>
      <w:sz w:val="16"/>
      <w:szCs w:val="16"/>
    </w:rPr>
  </w:style>
  <w:style w:type="paragraph" w:customStyle="1" w:styleId="gtchighlighttextboxedwarnings16">
    <w:name w:val="gtchighlighttextboxedwarnings1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6">
    <w:name w:val="gtchighlighttext1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7">
    <w:name w:val="gtcgreyshadedtext1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7">
    <w:name w:val="gtcannotation17"/>
    <w:rsid w:val="00FD4AE1"/>
    <w:rPr>
      <w:color w:val="006633"/>
      <w:sz w:val="20"/>
      <w:szCs w:val="20"/>
    </w:rPr>
  </w:style>
  <w:style w:type="character" w:customStyle="1" w:styleId="gtcannotationhl17">
    <w:name w:val="gtcannotationhl17"/>
    <w:rsid w:val="00FD4AE1"/>
    <w:rPr>
      <w:color w:val="006633"/>
      <w:sz w:val="16"/>
      <w:szCs w:val="16"/>
    </w:rPr>
  </w:style>
  <w:style w:type="paragraph" w:customStyle="1" w:styleId="gtchighlighttextboxedwarnings17">
    <w:name w:val="gtchighlighttextboxedwarnings1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7">
    <w:name w:val="gtchighlighttext1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4">
    <w:name w:val="gtcbold4"/>
    <w:rsid w:val="00FD4AE1"/>
    <w:rPr>
      <w:b/>
      <w:bCs/>
    </w:rPr>
  </w:style>
  <w:style w:type="character" w:customStyle="1" w:styleId="gtclinktext4">
    <w:name w:val="gtclinktext4"/>
    <w:rsid w:val="00FD4AE1"/>
    <w:rPr>
      <w:strike w:val="0"/>
      <w:dstrike w:val="0"/>
      <w:u w:val="none"/>
      <w:effect w:val="none"/>
    </w:rPr>
  </w:style>
  <w:style w:type="character" w:customStyle="1" w:styleId="gtcgreyshadedtext18">
    <w:name w:val="gtcgreyshadedtext1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8">
    <w:name w:val="gtcannotation18"/>
    <w:rsid w:val="00FD4AE1"/>
    <w:rPr>
      <w:color w:val="006633"/>
      <w:sz w:val="20"/>
      <w:szCs w:val="20"/>
    </w:rPr>
  </w:style>
  <w:style w:type="character" w:customStyle="1" w:styleId="gtcannotationhl18">
    <w:name w:val="gtcannotationhl18"/>
    <w:rsid w:val="00FD4AE1"/>
    <w:rPr>
      <w:color w:val="006633"/>
      <w:sz w:val="16"/>
      <w:szCs w:val="16"/>
    </w:rPr>
  </w:style>
  <w:style w:type="paragraph" w:customStyle="1" w:styleId="gtchighlighttextboxedwarnings18">
    <w:name w:val="gtchighlighttextboxedwarnings1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8">
    <w:name w:val="gtchighlighttext1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19">
    <w:name w:val="gtcgreyshadedtext1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19">
    <w:name w:val="gtcannotation19"/>
    <w:rsid w:val="00FD4AE1"/>
    <w:rPr>
      <w:color w:val="006633"/>
      <w:sz w:val="20"/>
      <w:szCs w:val="20"/>
    </w:rPr>
  </w:style>
  <w:style w:type="character" w:customStyle="1" w:styleId="gtcannotationhl19">
    <w:name w:val="gtcannotationhl19"/>
    <w:rsid w:val="00FD4AE1"/>
    <w:rPr>
      <w:color w:val="006633"/>
      <w:sz w:val="16"/>
      <w:szCs w:val="16"/>
    </w:rPr>
  </w:style>
  <w:style w:type="paragraph" w:customStyle="1" w:styleId="gtchighlighttextboxedwarnings19">
    <w:name w:val="gtchighlighttextboxedwarnings1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19">
    <w:name w:val="gtchighlighttext1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5">
    <w:name w:val="gtcbold5"/>
    <w:rsid w:val="00FD4AE1"/>
    <w:rPr>
      <w:b/>
      <w:bCs/>
    </w:rPr>
  </w:style>
  <w:style w:type="character" w:customStyle="1" w:styleId="gtcgreyshadedtext20">
    <w:name w:val="gtcgreyshadedtext2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0">
    <w:name w:val="gtcannotation20"/>
    <w:rsid w:val="00FD4AE1"/>
    <w:rPr>
      <w:color w:val="006633"/>
      <w:sz w:val="20"/>
      <w:szCs w:val="20"/>
    </w:rPr>
  </w:style>
  <w:style w:type="character" w:customStyle="1" w:styleId="gtcannotationhl20">
    <w:name w:val="gtcannotationhl20"/>
    <w:rsid w:val="00FD4AE1"/>
    <w:rPr>
      <w:color w:val="006633"/>
      <w:sz w:val="16"/>
      <w:szCs w:val="16"/>
    </w:rPr>
  </w:style>
  <w:style w:type="paragraph" w:customStyle="1" w:styleId="gtchighlighttextboxedwarnings20">
    <w:name w:val="gtchighlighttextboxedwarnings2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0">
    <w:name w:val="gtchighlighttext2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1">
    <w:name w:val="gtcgreyshadedtext2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1">
    <w:name w:val="gtcannotation21"/>
    <w:rsid w:val="00FD4AE1"/>
    <w:rPr>
      <w:color w:val="006633"/>
      <w:sz w:val="20"/>
      <w:szCs w:val="20"/>
    </w:rPr>
  </w:style>
  <w:style w:type="character" w:customStyle="1" w:styleId="gtcannotationhl21">
    <w:name w:val="gtcannotationhl21"/>
    <w:rsid w:val="00FD4AE1"/>
    <w:rPr>
      <w:color w:val="006633"/>
      <w:sz w:val="16"/>
      <w:szCs w:val="16"/>
    </w:rPr>
  </w:style>
  <w:style w:type="paragraph" w:customStyle="1" w:styleId="gtchighlighttextboxedwarnings21">
    <w:name w:val="gtchighlighttextboxedwarnings2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1">
    <w:name w:val="gtchighlighttext2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bold6">
    <w:name w:val="gtcbold6"/>
    <w:rsid w:val="00FD4AE1"/>
    <w:rPr>
      <w:b/>
      <w:bCs/>
    </w:rPr>
  </w:style>
  <w:style w:type="character" w:customStyle="1" w:styleId="gtcgreyshadedtext22">
    <w:name w:val="gtcgreyshadedtext2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2">
    <w:name w:val="gtcannotation22"/>
    <w:rsid w:val="00FD4AE1"/>
    <w:rPr>
      <w:color w:val="006633"/>
      <w:sz w:val="20"/>
      <w:szCs w:val="20"/>
    </w:rPr>
  </w:style>
  <w:style w:type="character" w:customStyle="1" w:styleId="gtcannotationhl22">
    <w:name w:val="gtcannotationhl22"/>
    <w:rsid w:val="00FD4AE1"/>
    <w:rPr>
      <w:color w:val="006633"/>
      <w:sz w:val="16"/>
      <w:szCs w:val="16"/>
    </w:rPr>
  </w:style>
  <w:style w:type="paragraph" w:customStyle="1" w:styleId="gtchighlighttextboxedwarnings22">
    <w:name w:val="gtchighlighttextboxedwarnings2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2">
    <w:name w:val="gtchighlighttext2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3">
    <w:name w:val="gtcgreyshadedtext2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3">
    <w:name w:val="gtcannotation23"/>
    <w:rsid w:val="00FD4AE1"/>
    <w:rPr>
      <w:color w:val="006633"/>
      <w:sz w:val="20"/>
      <w:szCs w:val="20"/>
    </w:rPr>
  </w:style>
  <w:style w:type="character" w:customStyle="1" w:styleId="gtcannotationhl23">
    <w:name w:val="gtcannotationhl23"/>
    <w:rsid w:val="00FD4AE1"/>
    <w:rPr>
      <w:color w:val="006633"/>
      <w:sz w:val="16"/>
      <w:szCs w:val="16"/>
    </w:rPr>
  </w:style>
  <w:style w:type="paragraph" w:customStyle="1" w:styleId="gtchighlighttextboxedwarnings23">
    <w:name w:val="gtchighlighttextboxedwarnings2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3">
    <w:name w:val="gtchighlighttext2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4">
    <w:name w:val="gtcgreyshadedtext2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4">
    <w:name w:val="gtcannotation24"/>
    <w:rsid w:val="00FD4AE1"/>
    <w:rPr>
      <w:color w:val="006633"/>
      <w:sz w:val="20"/>
      <w:szCs w:val="20"/>
    </w:rPr>
  </w:style>
  <w:style w:type="character" w:customStyle="1" w:styleId="gtcannotationhl24">
    <w:name w:val="gtcannotationhl24"/>
    <w:rsid w:val="00FD4AE1"/>
    <w:rPr>
      <w:color w:val="006633"/>
      <w:sz w:val="16"/>
      <w:szCs w:val="16"/>
    </w:rPr>
  </w:style>
  <w:style w:type="paragraph" w:customStyle="1" w:styleId="gtchighlighttextboxedwarnings24">
    <w:name w:val="gtchighlighttextboxedwarnings2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4">
    <w:name w:val="gtchighlighttext2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5">
    <w:name w:val="gtcgreyshadedtext2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5">
    <w:name w:val="gtcannotation25"/>
    <w:rsid w:val="00FD4AE1"/>
    <w:rPr>
      <w:color w:val="006633"/>
      <w:sz w:val="20"/>
      <w:szCs w:val="20"/>
    </w:rPr>
  </w:style>
  <w:style w:type="character" w:customStyle="1" w:styleId="gtcannotationhl25">
    <w:name w:val="gtcannotationhl25"/>
    <w:rsid w:val="00FD4AE1"/>
    <w:rPr>
      <w:color w:val="006633"/>
      <w:sz w:val="16"/>
      <w:szCs w:val="16"/>
    </w:rPr>
  </w:style>
  <w:style w:type="paragraph" w:customStyle="1" w:styleId="gtchighlighttextboxedwarnings25">
    <w:name w:val="gtchighlighttextboxedwarnings2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5">
    <w:name w:val="gtchighlighttext2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italic6">
    <w:name w:val="gtcitalic6"/>
    <w:rsid w:val="00FD4AE1"/>
    <w:rPr>
      <w:i/>
      <w:iCs/>
    </w:rPr>
  </w:style>
  <w:style w:type="character" w:customStyle="1" w:styleId="gtcgreyshadedtext26">
    <w:name w:val="gtcgreyshadedtext2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6">
    <w:name w:val="gtcannotation26"/>
    <w:rsid w:val="00FD4AE1"/>
    <w:rPr>
      <w:color w:val="006633"/>
      <w:sz w:val="20"/>
      <w:szCs w:val="20"/>
    </w:rPr>
  </w:style>
  <w:style w:type="character" w:customStyle="1" w:styleId="gtcannotationhl26">
    <w:name w:val="gtcannotationhl26"/>
    <w:rsid w:val="00FD4AE1"/>
    <w:rPr>
      <w:color w:val="006633"/>
      <w:sz w:val="16"/>
      <w:szCs w:val="16"/>
    </w:rPr>
  </w:style>
  <w:style w:type="paragraph" w:customStyle="1" w:styleId="gtchighlighttextboxedwarnings26">
    <w:name w:val="gtchighlighttextboxedwarnings2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6">
    <w:name w:val="gtchighlighttext2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7">
    <w:name w:val="gtcgreyshadedtext2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7">
    <w:name w:val="gtcannotation27"/>
    <w:rsid w:val="00FD4AE1"/>
    <w:rPr>
      <w:color w:val="006633"/>
      <w:sz w:val="20"/>
      <w:szCs w:val="20"/>
    </w:rPr>
  </w:style>
  <w:style w:type="character" w:customStyle="1" w:styleId="gtcannotationhl27">
    <w:name w:val="gtcannotationhl27"/>
    <w:rsid w:val="00FD4AE1"/>
    <w:rPr>
      <w:color w:val="006633"/>
      <w:sz w:val="16"/>
      <w:szCs w:val="16"/>
    </w:rPr>
  </w:style>
  <w:style w:type="paragraph" w:customStyle="1" w:styleId="gtchighlighttextboxedwarnings27">
    <w:name w:val="gtchighlighttextboxedwarnings2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7">
    <w:name w:val="gtchighlighttext2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8">
    <w:name w:val="gtcgreyshadedtext2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8">
    <w:name w:val="gtcannotation28"/>
    <w:rsid w:val="00FD4AE1"/>
    <w:rPr>
      <w:color w:val="006633"/>
      <w:sz w:val="20"/>
      <w:szCs w:val="20"/>
    </w:rPr>
  </w:style>
  <w:style w:type="character" w:customStyle="1" w:styleId="gtcannotationhl28">
    <w:name w:val="gtcannotationhl28"/>
    <w:rsid w:val="00FD4AE1"/>
    <w:rPr>
      <w:color w:val="006633"/>
      <w:sz w:val="16"/>
      <w:szCs w:val="16"/>
    </w:rPr>
  </w:style>
  <w:style w:type="paragraph" w:customStyle="1" w:styleId="gtchighlighttextboxedwarnings28">
    <w:name w:val="gtchighlighttextboxedwarnings2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8">
    <w:name w:val="gtchighlighttext2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29">
    <w:name w:val="gtcgreyshadedtext2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29">
    <w:name w:val="gtcannotation29"/>
    <w:rsid w:val="00FD4AE1"/>
    <w:rPr>
      <w:color w:val="006633"/>
      <w:sz w:val="20"/>
      <w:szCs w:val="20"/>
    </w:rPr>
  </w:style>
  <w:style w:type="character" w:customStyle="1" w:styleId="gtcannotationhl29">
    <w:name w:val="gtcannotationhl29"/>
    <w:rsid w:val="00FD4AE1"/>
    <w:rPr>
      <w:color w:val="006633"/>
      <w:sz w:val="16"/>
      <w:szCs w:val="16"/>
    </w:rPr>
  </w:style>
  <w:style w:type="paragraph" w:customStyle="1" w:styleId="gtchighlighttextboxedwarnings29">
    <w:name w:val="gtchighlighttextboxedwarnings2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29">
    <w:name w:val="gtchighlighttext2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0">
    <w:name w:val="gtcgreyshadedtext3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0">
    <w:name w:val="gtcannotation30"/>
    <w:rsid w:val="00FD4AE1"/>
    <w:rPr>
      <w:color w:val="006633"/>
      <w:sz w:val="20"/>
      <w:szCs w:val="20"/>
    </w:rPr>
  </w:style>
  <w:style w:type="character" w:customStyle="1" w:styleId="gtcannotationhl30">
    <w:name w:val="gtcannotationhl30"/>
    <w:rsid w:val="00FD4AE1"/>
    <w:rPr>
      <w:color w:val="006633"/>
      <w:sz w:val="16"/>
      <w:szCs w:val="16"/>
    </w:rPr>
  </w:style>
  <w:style w:type="paragraph" w:customStyle="1" w:styleId="gtchighlighttextboxedwarnings30">
    <w:name w:val="gtchighlighttextboxedwarnings3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0">
    <w:name w:val="gtchighlighttext3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1">
    <w:name w:val="gtcgreyshadedtext3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1">
    <w:name w:val="gtcannotation31"/>
    <w:rsid w:val="00FD4AE1"/>
    <w:rPr>
      <w:color w:val="006633"/>
      <w:sz w:val="20"/>
      <w:szCs w:val="20"/>
    </w:rPr>
  </w:style>
  <w:style w:type="character" w:customStyle="1" w:styleId="gtcannotationhl31">
    <w:name w:val="gtcannotationhl31"/>
    <w:rsid w:val="00FD4AE1"/>
    <w:rPr>
      <w:color w:val="006633"/>
      <w:sz w:val="16"/>
      <w:szCs w:val="16"/>
    </w:rPr>
  </w:style>
  <w:style w:type="paragraph" w:customStyle="1" w:styleId="gtchighlighttextboxedwarnings31">
    <w:name w:val="gtchighlighttextboxedwarnings3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1">
    <w:name w:val="gtchighlighttext3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italic7">
    <w:name w:val="gtcitalic7"/>
    <w:rsid w:val="00FD4AE1"/>
    <w:rPr>
      <w:i/>
      <w:iCs/>
    </w:rPr>
  </w:style>
  <w:style w:type="character" w:customStyle="1" w:styleId="gtcgreyshadedtext32">
    <w:name w:val="gtcgreyshadedtext3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2">
    <w:name w:val="gtcannotation32"/>
    <w:rsid w:val="00FD4AE1"/>
    <w:rPr>
      <w:color w:val="006633"/>
      <w:sz w:val="20"/>
      <w:szCs w:val="20"/>
    </w:rPr>
  </w:style>
  <w:style w:type="character" w:customStyle="1" w:styleId="gtcannotationhl32">
    <w:name w:val="gtcannotationhl32"/>
    <w:rsid w:val="00FD4AE1"/>
    <w:rPr>
      <w:color w:val="006633"/>
      <w:sz w:val="16"/>
      <w:szCs w:val="16"/>
    </w:rPr>
  </w:style>
  <w:style w:type="paragraph" w:customStyle="1" w:styleId="gtchighlighttextboxedwarnings32">
    <w:name w:val="gtchighlighttextboxedwarnings3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2">
    <w:name w:val="gtchighlighttext3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3">
    <w:name w:val="gtcgreyshadedtext3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3">
    <w:name w:val="gtcannotation33"/>
    <w:rsid w:val="00FD4AE1"/>
    <w:rPr>
      <w:color w:val="006633"/>
      <w:sz w:val="20"/>
      <w:szCs w:val="20"/>
    </w:rPr>
  </w:style>
  <w:style w:type="character" w:customStyle="1" w:styleId="gtcannotationhl33">
    <w:name w:val="gtcannotationhl33"/>
    <w:rsid w:val="00FD4AE1"/>
    <w:rPr>
      <w:color w:val="006633"/>
      <w:sz w:val="16"/>
      <w:szCs w:val="16"/>
    </w:rPr>
  </w:style>
  <w:style w:type="paragraph" w:customStyle="1" w:styleId="gtchighlighttextboxedwarnings33">
    <w:name w:val="gtchighlighttextboxedwarnings3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3">
    <w:name w:val="gtchighlighttext3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4">
    <w:name w:val="gtcgreyshadedtext34"/>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4">
    <w:name w:val="gtcannotation34"/>
    <w:rsid w:val="00FD4AE1"/>
    <w:rPr>
      <w:color w:val="006633"/>
      <w:sz w:val="20"/>
      <w:szCs w:val="20"/>
    </w:rPr>
  </w:style>
  <w:style w:type="character" w:customStyle="1" w:styleId="gtcannotationhl34">
    <w:name w:val="gtcannotationhl34"/>
    <w:rsid w:val="00FD4AE1"/>
    <w:rPr>
      <w:color w:val="006633"/>
      <w:sz w:val="16"/>
      <w:szCs w:val="16"/>
    </w:rPr>
  </w:style>
  <w:style w:type="paragraph" w:customStyle="1" w:styleId="gtchighlighttextboxedwarnings34">
    <w:name w:val="gtchighlighttextboxedwarnings34"/>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4">
    <w:name w:val="gtchighlighttext34"/>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5">
    <w:name w:val="gtcgreyshadedtext35"/>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5">
    <w:name w:val="gtcannotation35"/>
    <w:rsid w:val="00FD4AE1"/>
    <w:rPr>
      <w:color w:val="006633"/>
      <w:sz w:val="20"/>
      <w:szCs w:val="20"/>
    </w:rPr>
  </w:style>
  <w:style w:type="character" w:customStyle="1" w:styleId="gtcannotationhl35">
    <w:name w:val="gtcannotationhl35"/>
    <w:rsid w:val="00FD4AE1"/>
    <w:rPr>
      <w:color w:val="006633"/>
      <w:sz w:val="16"/>
      <w:szCs w:val="16"/>
    </w:rPr>
  </w:style>
  <w:style w:type="paragraph" w:customStyle="1" w:styleId="gtchighlighttextboxedwarnings35">
    <w:name w:val="gtchighlighttextboxedwarnings35"/>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5">
    <w:name w:val="gtchighlighttext35"/>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6">
    <w:name w:val="gtcgreyshadedtext36"/>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6">
    <w:name w:val="gtcannotation36"/>
    <w:rsid w:val="00FD4AE1"/>
    <w:rPr>
      <w:color w:val="006633"/>
      <w:sz w:val="20"/>
      <w:szCs w:val="20"/>
    </w:rPr>
  </w:style>
  <w:style w:type="character" w:customStyle="1" w:styleId="gtcannotationhl36">
    <w:name w:val="gtcannotationhl36"/>
    <w:rsid w:val="00FD4AE1"/>
    <w:rPr>
      <w:color w:val="006633"/>
      <w:sz w:val="16"/>
      <w:szCs w:val="16"/>
    </w:rPr>
  </w:style>
  <w:style w:type="paragraph" w:customStyle="1" w:styleId="gtchighlighttextboxedwarnings36">
    <w:name w:val="gtchighlighttextboxedwarnings36"/>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6">
    <w:name w:val="gtchighlighttext36"/>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7">
    <w:name w:val="gtcgreyshadedtext37"/>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7">
    <w:name w:val="gtcannotation37"/>
    <w:rsid w:val="00FD4AE1"/>
    <w:rPr>
      <w:color w:val="006633"/>
      <w:sz w:val="20"/>
      <w:szCs w:val="20"/>
    </w:rPr>
  </w:style>
  <w:style w:type="character" w:customStyle="1" w:styleId="gtcannotationhl37">
    <w:name w:val="gtcannotationhl37"/>
    <w:rsid w:val="00FD4AE1"/>
    <w:rPr>
      <w:color w:val="006633"/>
      <w:sz w:val="16"/>
      <w:szCs w:val="16"/>
    </w:rPr>
  </w:style>
  <w:style w:type="paragraph" w:customStyle="1" w:styleId="gtchighlighttextboxedwarnings37">
    <w:name w:val="gtchighlighttextboxedwarnings37"/>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7">
    <w:name w:val="gtchighlighttext37"/>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8">
    <w:name w:val="gtcgreyshadedtext38"/>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8">
    <w:name w:val="gtcannotation38"/>
    <w:rsid w:val="00FD4AE1"/>
    <w:rPr>
      <w:color w:val="006633"/>
      <w:sz w:val="20"/>
      <w:szCs w:val="20"/>
    </w:rPr>
  </w:style>
  <w:style w:type="character" w:customStyle="1" w:styleId="gtcannotationhl38">
    <w:name w:val="gtcannotationhl38"/>
    <w:rsid w:val="00FD4AE1"/>
    <w:rPr>
      <w:color w:val="006633"/>
      <w:sz w:val="16"/>
      <w:szCs w:val="16"/>
    </w:rPr>
  </w:style>
  <w:style w:type="paragraph" w:customStyle="1" w:styleId="gtchighlighttextboxedwarnings38">
    <w:name w:val="gtchighlighttextboxedwarnings38"/>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8">
    <w:name w:val="gtchighlighttext38"/>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39">
    <w:name w:val="gtcgreyshadedtext39"/>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39">
    <w:name w:val="gtcannotation39"/>
    <w:rsid w:val="00FD4AE1"/>
    <w:rPr>
      <w:color w:val="006633"/>
      <w:sz w:val="20"/>
      <w:szCs w:val="20"/>
    </w:rPr>
  </w:style>
  <w:style w:type="character" w:customStyle="1" w:styleId="gtcannotationhl39">
    <w:name w:val="gtcannotationhl39"/>
    <w:rsid w:val="00FD4AE1"/>
    <w:rPr>
      <w:color w:val="006633"/>
      <w:sz w:val="16"/>
      <w:szCs w:val="16"/>
    </w:rPr>
  </w:style>
  <w:style w:type="paragraph" w:customStyle="1" w:styleId="gtchighlighttextboxedwarnings39">
    <w:name w:val="gtchighlighttextboxedwarnings39"/>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39">
    <w:name w:val="gtchighlighttext39"/>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0">
    <w:name w:val="gtcgreyshadedtext40"/>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0">
    <w:name w:val="gtcannotation40"/>
    <w:rsid w:val="00FD4AE1"/>
    <w:rPr>
      <w:color w:val="006633"/>
      <w:sz w:val="20"/>
      <w:szCs w:val="20"/>
    </w:rPr>
  </w:style>
  <w:style w:type="character" w:customStyle="1" w:styleId="gtcannotationhl40">
    <w:name w:val="gtcannotationhl40"/>
    <w:rsid w:val="00FD4AE1"/>
    <w:rPr>
      <w:color w:val="006633"/>
      <w:sz w:val="16"/>
      <w:szCs w:val="16"/>
    </w:rPr>
  </w:style>
  <w:style w:type="paragraph" w:customStyle="1" w:styleId="gtchighlighttextboxedwarnings40">
    <w:name w:val="gtchighlighttextboxedwarnings40"/>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0">
    <w:name w:val="gtchighlighttext40"/>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1">
    <w:name w:val="gtcgreyshadedtext41"/>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1">
    <w:name w:val="gtcannotation41"/>
    <w:rsid w:val="00FD4AE1"/>
    <w:rPr>
      <w:color w:val="006633"/>
      <w:sz w:val="20"/>
      <w:szCs w:val="20"/>
    </w:rPr>
  </w:style>
  <w:style w:type="character" w:customStyle="1" w:styleId="gtcannotationhl41">
    <w:name w:val="gtcannotationhl41"/>
    <w:rsid w:val="00FD4AE1"/>
    <w:rPr>
      <w:color w:val="006633"/>
      <w:sz w:val="16"/>
      <w:szCs w:val="16"/>
    </w:rPr>
  </w:style>
  <w:style w:type="paragraph" w:customStyle="1" w:styleId="gtchighlighttextboxedwarnings41">
    <w:name w:val="gtchighlighttextboxedwarnings41"/>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1">
    <w:name w:val="gtchighlighttext41"/>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2">
    <w:name w:val="gtcgreyshadedtext42"/>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2">
    <w:name w:val="gtcannotation42"/>
    <w:rsid w:val="00FD4AE1"/>
    <w:rPr>
      <w:color w:val="006633"/>
      <w:sz w:val="20"/>
      <w:szCs w:val="20"/>
    </w:rPr>
  </w:style>
  <w:style w:type="character" w:customStyle="1" w:styleId="gtcannotationhl42">
    <w:name w:val="gtcannotationhl42"/>
    <w:rsid w:val="00FD4AE1"/>
    <w:rPr>
      <w:color w:val="006633"/>
      <w:sz w:val="16"/>
      <w:szCs w:val="16"/>
    </w:rPr>
  </w:style>
  <w:style w:type="paragraph" w:customStyle="1" w:styleId="gtchighlighttextboxedwarnings42">
    <w:name w:val="gtchighlighttextboxedwarnings42"/>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2">
    <w:name w:val="gtchighlighttext42"/>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greyshadedtext43">
    <w:name w:val="gtcgreyshadedtext43"/>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annotation43">
    <w:name w:val="gtcannotation43"/>
    <w:rsid w:val="00FD4AE1"/>
    <w:rPr>
      <w:color w:val="006633"/>
      <w:sz w:val="20"/>
      <w:szCs w:val="20"/>
    </w:rPr>
  </w:style>
  <w:style w:type="character" w:customStyle="1" w:styleId="gtcannotationhl43">
    <w:name w:val="gtcannotationhl43"/>
    <w:rsid w:val="00FD4AE1"/>
    <w:rPr>
      <w:color w:val="006633"/>
      <w:sz w:val="16"/>
      <w:szCs w:val="16"/>
    </w:rPr>
  </w:style>
  <w:style w:type="paragraph" w:customStyle="1" w:styleId="gtchighlighttextboxedwarnings43">
    <w:name w:val="gtchighlighttextboxedwarnings43"/>
    <w:basedOn w:val="Normal"/>
    <w:rsid w:val="00FD4AE1"/>
    <w:pPr>
      <w:spacing w:before="40" w:after="40" w:line="192" w:lineRule="auto"/>
    </w:pPr>
    <w:rPr>
      <w:rFonts w:ascii="Times New Roman" w:eastAsia="Times New Roman" w:hAnsi="Times New Roman" w:cs="Times New Roman"/>
      <w:sz w:val="16"/>
      <w:szCs w:val="16"/>
      <w:lang w:val="en-US"/>
    </w:rPr>
  </w:style>
  <w:style w:type="paragraph" w:customStyle="1" w:styleId="gtchighlighttext43">
    <w:name w:val="gtchighlighttext43"/>
    <w:basedOn w:val="Normal"/>
    <w:rsid w:val="00FD4AE1"/>
    <w:pPr>
      <w:spacing w:before="40" w:after="40" w:line="192" w:lineRule="auto"/>
    </w:pPr>
    <w:rPr>
      <w:rFonts w:ascii="Times New Roman" w:eastAsia="Times New Roman" w:hAnsi="Times New Roman" w:cs="Times New Roman"/>
      <w:sz w:val="16"/>
      <w:szCs w:val="16"/>
      <w:lang w:val="en-US"/>
    </w:rPr>
  </w:style>
  <w:style w:type="character" w:customStyle="1" w:styleId="GTCLinkText19">
    <w:name w:val="GTC Link Text19"/>
    <w:rsid w:val="00FD4AE1"/>
    <w:rPr>
      <w:strike w:val="0"/>
      <w:dstrike w:val="0"/>
      <w:u w:val="none"/>
      <w:effect w:val="none"/>
    </w:rPr>
  </w:style>
  <w:style w:type="character" w:customStyle="1" w:styleId="GTCLinkText21">
    <w:name w:val="GTC Link Text21"/>
    <w:rsid w:val="00FD4AE1"/>
    <w:rPr>
      <w:strike w:val="0"/>
      <w:dstrike w:val="0"/>
      <w:u w:val="none"/>
      <w:effect w:val="none"/>
    </w:rPr>
  </w:style>
  <w:style w:type="character" w:customStyle="1" w:styleId="gtcsuperscript">
    <w:name w:val="gtcsuperscript"/>
    <w:rsid w:val="00FD4AE1"/>
  </w:style>
  <w:style w:type="paragraph" w:customStyle="1" w:styleId="GTCHeadingAppendix">
    <w:name w:val="GTC Heading Appendix"/>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HeadingCentered0">
    <w:name w:val="GTC Heading Centered"/>
    <w:basedOn w:val="Normal"/>
    <w:rsid w:val="00FD4AE1"/>
    <w:pPr>
      <w:keepNext/>
      <w:spacing w:before="240" w:after="240" w:line="240" w:lineRule="auto"/>
      <w:jc w:val="center"/>
    </w:pPr>
    <w:rPr>
      <w:rFonts w:ascii="Times New Roman" w:eastAsia="Times New Roman" w:hAnsi="Times New Roman" w:cs="Times New Roman"/>
      <w:b/>
      <w:bCs/>
      <w:caps/>
      <w:sz w:val="24"/>
      <w:szCs w:val="24"/>
      <w:lang w:val="en-US"/>
    </w:rPr>
  </w:style>
  <w:style w:type="paragraph" w:customStyle="1" w:styleId="GTCBWHeadingLeft">
    <w:name w:val="GTC BW Heading Left"/>
    <w:basedOn w:val="Normal"/>
    <w:rsid w:val="00FD4AE1"/>
    <w:pPr>
      <w:spacing w:before="240" w:after="240" w:line="240" w:lineRule="auto"/>
    </w:pPr>
    <w:rPr>
      <w:rFonts w:ascii="Times New Roman" w:eastAsia="Times New Roman" w:hAnsi="Times New Roman" w:cs="Times New Roman"/>
      <w:b/>
      <w:bCs/>
      <w:caps/>
      <w:sz w:val="24"/>
      <w:szCs w:val="24"/>
      <w:lang w:val="en-US"/>
    </w:rPr>
  </w:style>
  <w:style w:type="paragraph" w:customStyle="1" w:styleId="GTCPLRTitle0">
    <w:name w:val="GTC PLR Title"/>
    <w:basedOn w:val="Normal"/>
    <w:rsid w:val="00FD4AE1"/>
    <w:pPr>
      <w:spacing w:before="60" w:after="60" w:line="240" w:lineRule="auto"/>
    </w:pPr>
    <w:rPr>
      <w:rFonts w:ascii="Times New Roman" w:eastAsia="Times New Roman" w:hAnsi="Times New Roman" w:cs="Times New Roman"/>
      <w:b/>
      <w:bCs/>
      <w:sz w:val="18"/>
      <w:szCs w:val="18"/>
      <w:lang w:val="en-US"/>
    </w:rPr>
  </w:style>
  <w:style w:type="paragraph" w:customStyle="1" w:styleId="GTCLink">
    <w:name w:val="GTC Link"/>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Header">
    <w:name w:val="GTC Table Header"/>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BodyTextAlignRight0">
    <w:name w:val="GTC Body Text Align Right"/>
    <w:basedOn w:val="Normal"/>
    <w:rsid w:val="00FD4AE1"/>
    <w:pPr>
      <w:spacing w:before="240" w:after="240" w:line="300" w:lineRule="auto"/>
      <w:jc w:val="right"/>
    </w:pPr>
    <w:rPr>
      <w:rFonts w:ascii="Times New Roman" w:eastAsia="Times New Roman" w:hAnsi="Times New Roman" w:cs="Times New Roman"/>
      <w:sz w:val="24"/>
      <w:szCs w:val="24"/>
      <w:lang w:val="en-US"/>
    </w:rPr>
  </w:style>
  <w:style w:type="paragraph" w:customStyle="1" w:styleId="GTCBodyTextAlignCenter0">
    <w:name w:val="GTC Body Text Align Center"/>
    <w:basedOn w:val="Normal"/>
    <w:rsid w:val="00FD4AE1"/>
    <w:pPr>
      <w:spacing w:before="240" w:after="240" w:line="300" w:lineRule="auto"/>
      <w:jc w:val="center"/>
    </w:pPr>
    <w:rPr>
      <w:rFonts w:ascii="Times New Roman" w:eastAsia="Times New Roman" w:hAnsi="Times New Roman" w:cs="Times New Roman"/>
      <w:sz w:val="24"/>
      <w:szCs w:val="24"/>
      <w:lang w:val="en-US"/>
    </w:rPr>
  </w:style>
  <w:style w:type="paragraph" w:customStyle="1" w:styleId="GTCBodyTextAlignJustify0">
    <w:name w:val="GTC Body Text Align Justify"/>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BodyTextAlignIndent0">
    <w:name w:val="GTC Body Text Align Indent"/>
    <w:basedOn w:val="Normal"/>
    <w:rsid w:val="00FD4AE1"/>
    <w:pPr>
      <w:spacing w:before="240" w:after="240" w:line="300" w:lineRule="auto"/>
      <w:jc w:val="both"/>
    </w:pPr>
    <w:rPr>
      <w:rFonts w:ascii="Times New Roman" w:eastAsia="Times New Roman" w:hAnsi="Times New Roman" w:cs="Times New Roman"/>
      <w:sz w:val="24"/>
      <w:szCs w:val="24"/>
      <w:lang w:val="en-US"/>
    </w:rPr>
  </w:style>
  <w:style w:type="paragraph" w:customStyle="1" w:styleId="GTCGreyShadedInParagraph0">
    <w:name w:val="GTC Grey Shaded In Paragraph"/>
    <w:basedOn w:val="Normal"/>
    <w:rsid w:val="00FD4AE1"/>
    <w:pPr>
      <w:shd w:val="clear" w:color="auto" w:fill="C0C0C0"/>
      <w:spacing w:before="240" w:after="240" w:line="300" w:lineRule="auto"/>
      <w:jc w:val="both"/>
    </w:pPr>
    <w:rPr>
      <w:rFonts w:ascii="Times New Roman" w:eastAsia="Times New Roman" w:hAnsi="Times New Roman" w:cs="Times New Roman"/>
      <w:sz w:val="24"/>
      <w:szCs w:val="24"/>
      <w:lang w:val="en-US"/>
    </w:rPr>
  </w:style>
  <w:style w:type="paragraph" w:customStyle="1" w:styleId="GTCFooter">
    <w:name w:val="GTC Footer"/>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FootnoteText">
    <w:name w:val="GTC Footnote 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Annotation0">
    <w:name w:val="GTCAnnotation"/>
    <w:basedOn w:val="Normal"/>
    <w:rsid w:val="00FD4AE1"/>
    <w:pPr>
      <w:spacing w:before="60" w:after="60" w:line="240" w:lineRule="auto"/>
      <w:ind w:left="576" w:hanging="576"/>
    </w:pPr>
    <w:rPr>
      <w:rFonts w:ascii="Times New Roman" w:eastAsia="Times New Roman" w:hAnsi="Times New Roman" w:cs="Times New Roman"/>
      <w:sz w:val="20"/>
      <w:szCs w:val="20"/>
      <w:lang w:val="en-US"/>
    </w:rPr>
  </w:style>
  <w:style w:type="paragraph" w:customStyle="1" w:styleId="GTCTitle">
    <w:name w:val="GTC Title"/>
    <w:basedOn w:val="Normal"/>
    <w:rsid w:val="00FD4AE1"/>
    <w:pPr>
      <w:spacing w:before="120" w:after="120" w:line="240" w:lineRule="auto"/>
      <w:jc w:val="both"/>
    </w:pPr>
    <w:rPr>
      <w:rFonts w:ascii="Times New Roman" w:eastAsia="Times New Roman" w:hAnsi="Times New Roman" w:cs="Times New Roman"/>
      <w:b/>
      <w:bCs/>
      <w:sz w:val="36"/>
      <w:szCs w:val="36"/>
      <w:lang w:val="en-US"/>
    </w:rPr>
  </w:style>
  <w:style w:type="paragraph" w:customStyle="1" w:styleId="GTCHeading10">
    <w:name w:val="GTC Heading 1"/>
    <w:next w:val="GTCBodyText"/>
    <w:rsid w:val="00FD4AE1"/>
    <w:pPr>
      <w:keepNext/>
      <w:spacing w:before="240" w:after="240" w:line="240" w:lineRule="auto"/>
    </w:pPr>
    <w:rPr>
      <w:rFonts w:ascii="Times New Roman" w:eastAsia="Times New Roman" w:hAnsi="Times New Roman" w:cs="Times New Roman"/>
      <w:b/>
      <w:bCs/>
      <w:caps/>
      <w:sz w:val="24"/>
      <w:szCs w:val="24"/>
      <w:lang w:val="en-US"/>
    </w:rPr>
  </w:style>
  <w:style w:type="paragraph" w:customStyle="1" w:styleId="GTCHeading20">
    <w:name w:val="GTC Heading 2"/>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30">
    <w:name w:val="GTC Heading 3"/>
    <w:basedOn w:val="Normal"/>
    <w:rsid w:val="00FD4AE1"/>
    <w:pPr>
      <w:keepNext/>
      <w:spacing w:before="240" w:after="240" w:line="240" w:lineRule="auto"/>
    </w:pPr>
    <w:rPr>
      <w:rFonts w:ascii="Times New Roman" w:eastAsia="Times New Roman" w:hAnsi="Times New Roman" w:cs="Times New Roman"/>
      <w:b/>
      <w:bCs/>
      <w:sz w:val="24"/>
      <w:szCs w:val="24"/>
      <w:lang w:val="en-US"/>
    </w:rPr>
  </w:style>
  <w:style w:type="paragraph" w:customStyle="1" w:styleId="GTCHeading40">
    <w:name w:val="GTC Heading 4"/>
    <w:basedOn w:val="Normal"/>
    <w:rsid w:val="00FD4AE1"/>
    <w:pPr>
      <w:keepNext/>
      <w:spacing w:before="240" w:after="240" w:line="240" w:lineRule="auto"/>
    </w:pPr>
    <w:rPr>
      <w:rFonts w:ascii="Times New Roman" w:eastAsia="Times New Roman" w:hAnsi="Times New Roman" w:cs="Times New Roman"/>
      <w:b/>
      <w:bCs/>
      <w:i/>
      <w:iCs/>
      <w:sz w:val="24"/>
      <w:szCs w:val="24"/>
      <w:lang w:val="en-US"/>
    </w:rPr>
  </w:style>
  <w:style w:type="paragraph" w:customStyle="1" w:styleId="GTCLinkText0">
    <w:name w:val="GTC Link Tex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Text0">
    <w:name w:val="GTC List Text"/>
    <w:basedOn w:val="GTCBodyText"/>
    <w:rsid w:val="00FD4AE1"/>
    <w:pPr>
      <w:spacing w:before="120" w:after="120" w:line="300" w:lineRule="auto"/>
      <w:jc w:val="left"/>
    </w:pPr>
  </w:style>
  <w:style w:type="paragraph" w:customStyle="1" w:styleId="GTCTableListText">
    <w:name w:val="GTC Table List Text"/>
    <w:basedOn w:val="GTCBodyText"/>
    <w:rsid w:val="00FD4AE1"/>
    <w:pPr>
      <w:spacing w:before="120" w:after="120" w:line="300" w:lineRule="auto"/>
      <w:jc w:val="left"/>
    </w:pPr>
    <w:rPr>
      <w:sz w:val="20"/>
      <w:szCs w:val="20"/>
    </w:rPr>
  </w:style>
  <w:style w:type="paragraph" w:customStyle="1" w:styleId="GTCListTextHighlights">
    <w:name w:val="GTC List Text Highlights"/>
    <w:basedOn w:val="Normal"/>
    <w:rsid w:val="00FD4AE1"/>
    <w:pPr>
      <w:spacing w:after="0" w:line="240" w:lineRule="auto"/>
    </w:pPr>
    <w:rPr>
      <w:rFonts w:ascii="Times New Roman" w:eastAsia="Times New Roman" w:hAnsi="Times New Roman" w:cs="Times New Roman"/>
      <w:sz w:val="16"/>
      <w:szCs w:val="16"/>
      <w:lang w:val="en-US"/>
    </w:rPr>
  </w:style>
  <w:style w:type="paragraph" w:customStyle="1" w:styleId="GTCListStyleNone0">
    <w:name w:val="GTC List Style Non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Circle0">
    <w:name w:val="GTC List Style Circl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Disc0">
    <w:name w:val="GTC List Style Dis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Square0">
    <w:name w:val="GTC List Style Square"/>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Roman0">
    <w:name w:val="GTC List Style LittleRoman"/>
    <w:basedOn w:val="Normal"/>
    <w:rsid w:val="00FD4AE1"/>
    <w:pPr>
      <w:tabs>
        <w:tab w:val="num" w:pos="1008"/>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BigRoman0">
    <w:name w:val="GTC List Style BigRoman"/>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LittleAlpha0">
    <w:name w:val="GTC List Style LittleAlpha"/>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ListStyleArabic0">
    <w:name w:val="GTC List Style Arabic"/>
    <w:basedOn w:val="Normal"/>
    <w:rsid w:val="00FD4AE1"/>
    <w:pPr>
      <w:tabs>
        <w:tab w:val="num" w:pos="720"/>
      </w:tabs>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Otherwise0">
    <w:name w:val="GTC Table Title Otherwise"/>
    <w:basedOn w:val="Normal"/>
    <w:rsid w:val="00FD4AE1"/>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GTCTableTitleInsert">
    <w:name w:val="GTC Table Title Insert"/>
    <w:basedOn w:val="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val="en-US"/>
    </w:rPr>
  </w:style>
  <w:style w:type="paragraph" w:customStyle="1" w:styleId="GTCTableTitleDelete">
    <w:name w:val="GTC Table Title Delete"/>
    <w:basedOn w:val="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val="en-US"/>
    </w:rPr>
  </w:style>
  <w:style w:type="paragraph" w:customStyle="1" w:styleId="GTCOutlineNumbering">
    <w:name w:val="GTC Outline Numbering"/>
    <w:basedOn w:val="GTCListText0"/>
    <w:rsid w:val="00FD4AE1"/>
    <w:pPr>
      <w:spacing w:before="100" w:beforeAutospacing="1" w:after="100" w:afterAutospacing="1" w:line="240" w:lineRule="auto"/>
    </w:pPr>
  </w:style>
  <w:style w:type="paragraph" w:customStyle="1" w:styleId="GTCBullets">
    <w:name w:val="GTC Bullets"/>
    <w:basedOn w:val="GTCOutlineNumbering"/>
    <w:rsid w:val="00FD4AE1"/>
  </w:style>
  <w:style w:type="character" w:customStyle="1" w:styleId="GTCGreyShadedText0">
    <w:name w:val="GTC Grey Shaded Text"/>
    <w:rsid w:val="00FD4AE1"/>
    <w:rPr>
      <w:rFonts w:ascii="Times New Roman" w:hAnsi="Times New Roman" w:cs="Times New Roman" w:hint="default"/>
      <w:b w:val="0"/>
      <w:bCs w:val="0"/>
      <w:i w:val="0"/>
      <w:iCs w:val="0"/>
      <w:caps w:val="0"/>
      <w:sz w:val="24"/>
      <w:szCs w:val="24"/>
      <w:shd w:val="clear" w:color="auto" w:fill="C0C0C0"/>
    </w:rPr>
  </w:style>
  <w:style w:type="character" w:customStyle="1" w:styleId="GTCFootnoteText1">
    <w:name w:val="GTC Footnote Text1"/>
    <w:rsid w:val="00FD4AE1"/>
  </w:style>
  <w:style w:type="table" w:customStyle="1" w:styleId="GTCTitle1">
    <w:name w:val="GTC Title1"/>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
    <w:name w:val="GTC Title2"/>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
    <w:name w:val="GTC Title3"/>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
    <w:name w:val="GTC Title4"/>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
    <w:name w:val="GTC Heading 11"/>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
    <w:name w:val="GTC Heading 21"/>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
    <w:name w:val="GTC Heading 31"/>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
    <w:name w:val="GTC Heading 41"/>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0">
    <w:name w:val="GTC Link Text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
    <w:name w:val="GTC List Text1"/>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
    <w:name w:val="GTC Table List Text1"/>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
    <w:name w:val="GTC List Text Highlights1"/>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
    <w:name w:val="GTC List Style None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
    <w:name w:val="GTC List Style Circle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
    <w:name w:val="GTC List Style Disc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
    <w:name w:val="GTC List Style Square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
    <w:name w:val="GTC List Style LittleRoman1"/>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
    <w:name w:val="GTC List Style BigRoman1"/>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
    <w:name w:val="GTC List Style LittleAlpha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
    <w:name w:val="GTC List Style BigRoman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
    <w:name w:val="GTC List Style Arabic1"/>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
    <w:name w:val="GTC Table Title Otherwise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
    <w:name w:val="GTC Table Title Insert1"/>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
    <w:name w:val="GTC Table Title Delete1"/>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a">
    <w:name w:val="GTC Annotation"/>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
    <w:name w:val="GTC Outline Numbering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
    <w:name w:val="GTC Bullets1"/>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HighlightTextBoxedWarnings0">
    <w:name w:val="GTC Highlight Text Boxed Warnings"/>
    <w:basedOn w:val="Normal"/>
    <w:rsid w:val="00FD4AE1"/>
    <w:pPr>
      <w:spacing w:before="40" w:after="40" w:line="192" w:lineRule="auto"/>
      <w:jc w:val="both"/>
    </w:pPr>
    <w:rPr>
      <w:rFonts w:ascii="Times New Roman" w:eastAsia="Times New Roman" w:hAnsi="Times New Roman" w:cs="Times New Roman"/>
      <w:sz w:val="16"/>
      <w:szCs w:val="16"/>
      <w:lang w:val="en-US"/>
    </w:rPr>
  </w:style>
  <w:style w:type="paragraph" w:customStyle="1" w:styleId="GTCHighlightText0">
    <w:name w:val="GTC Highlight Text"/>
    <w:basedOn w:val="Normal"/>
    <w:rsid w:val="00FD4AE1"/>
    <w:pPr>
      <w:spacing w:before="40" w:after="40" w:line="192" w:lineRule="auto"/>
      <w:jc w:val="both"/>
    </w:pPr>
    <w:rPr>
      <w:rFonts w:ascii="Times New Roman" w:eastAsia="Times New Roman" w:hAnsi="Times New Roman" w:cs="Times New Roman"/>
      <w:sz w:val="16"/>
      <w:szCs w:val="16"/>
      <w:lang w:val="en-US"/>
    </w:rPr>
  </w:style>
  <w:style w:type="paragraph" w:customStyle="1" w:styleId="Heading10">
    <w:name w:val="Heading1"/>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1">
    <w:name w:val="GTC Section Title 1"/>
    <w:basedOn w:val="TableNormal"/>
    <w:rsid w:val="00FD4AE1"/>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paragraph" w:customStyle="1" w:styleId="Heading20">
    <w:name w:val="Heading2"/>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2">
    <w:name w:val="GTC Section Title 2"/>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30">
    <w:name w:val="Heading3"/>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3">
    <w:name w:val="GTC Section Title 3"/>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paragraph" w:customStyle="1" w:styleId="Heading40">
    <w:name w:val="Heading4"/>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4">
    <w:name w:val="GTC Section Title 4"/>
    <w:basedOn w:val="TableNormal"/>
    <w:rsid w:val="00FD4AE1"/>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paragraph" w:customStyle="1" w:styleId="Heading50">
    <w:name w:val="Heading5"/>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5">
    <w:name w:val="GTC Section Title 5"/>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60">
    <w:name w:val="Heading6"/>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6">
    <w:name w:val="GTC Section Title 6"/>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70">
    <w:name w:val="Heading7"/>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7">
    <w:name w:val="GTC Section Title 7"/>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80">
    <w:name w:val="Heading8"/>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8">
    <w:name w:val="GTC Section Title 8"/>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Heading90">
    <w:name w:val="Heading9"/>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TCSectionTitle9">
    <w:name w:val="GTC Section Title 9"/>
    <w:basedOn w:val="TableNormal"/>
    <w:rsid w:val="00FD4AE1"/>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paragraph" w:customStyle="1" w:styleId="GTCTableTitle">
    <w:name w:val="GTC Table Title"/>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TCTableTitleData">
    <w:name w:val="GTC Table Title Data"/>
    <w:basedOn w:val="GTCTableTitle"/>
    <w:rsid w:val="00FD4AE1"/>
  </w:style>
  <w:style w:type="paragraph" w:customStyle="1" w:styleId="GTCFigureCaption0">
    <w:name w:val="GTC Figure Caption"/>
    <w:basedOn w:val="GTCTableTitle"/>
    <w:rsid w:val="00FD4AE1"/>
    <w:pPr>
      <w:spacing w:before="120" w:beforeAutospacing="0" w:after="120" w:afterAutospacing="0"/>
    </w:pPr>
    <w:rPr>
      <w:sz w:val="20"/>
      <w:szCs w:val="20"/>
    </w:rPr>
  </w:style>
  <w:style w:type="paragraph" w:customStyle="1" w:styleId="GTCSectionTitle11">
    <w:name w:val="GTC Section Title 11"/>
    <w:basedOn w:val="Heading10"/>
    <w:rsid w:val="00FD4AE1"/>
    <w:pPr>
      <w:keepNext/>
      <w:spacing w:before="240" w:beforeAutospacing="0" w:after="240" w:afterAutospacing="0"/>
    </w:pPr>
    <w:rPr>
      <w:b/>
      <w:bCs/>
      <w:caps/>
    </w:rPr>
  </w:style>
  <w:style w:type="paragraph" w:customStyle="1" w:styleId="GTCSectionTitle21">
    <w:name w:val="GTC Section Title 21"/>
    <w:basedOn w:val="Heading20"/>
    <w:rsid w:val="00FD4AE1"/>
    <w:pPr>
      <w:keepNext/>
      <w:spacing w:before="240" w:beforeAutospacing="0" w:after="240" w:afterAutospacing="0"/>
    </w:pPr>
    <w:rPr>
      <w:b/>
      <w:bCs/>
    </w:rPr>
  </w:style>
  <w:style w:type="paragraph" w:customStyle="1" w:styleId="GTCSectionTitle31">
    <w:name w:val="GTC Section Title 31"/>
    <w:basedOn w:val="Heading30"/>
    <w:rsid w:val="00FD4AE1"/>
    <w:pPr>
      <w:keepNext/>
      <w:spacing w:before="240" w:beforeAutospacing="0" w:after="240" w:afterAutospacing="0"/>
    </w:pPr>
    <w:rPr>
      <w:b/>
      <w:bCs/>
    </w:rPr>
  </w:style>
  <w:style w:type="paragraph" w:customStyle="1" w:styleId="GTCSectionTitle41">
    <w:name w:val="GTC Section Title 41"/>
    <w:basedOn w:val="Heading40"/>
    <w:rsid w:val="00FD4AE1"/>
    <w:pPr>
      <w:keepNext/>
      <w:spacing w:before="240" w:beforeAutospacing="0" w:after="240" w:afterAutospacing="0"/>
    </w:pPr>
    <w:rPr>
      <w:b/>
      <w:bCs/>
      <w:i/>
    </w:rPr>
  </w:style>
  <w:style w:type="paragraph" w:customStyle="1" w:styleId="GTCSectionTitle51">
    <w:name w:val="GTC Section Title 51"/>
    <w:basedOn w:val="Heading50"/>
    <w:rsid w:val="00FD4AE1"/>
    <w:pPr>
      <w:spacing w:before="240" w:beforeAutospacing="0" w:after="240" w:afterAutospacing="0"/>
    </w:pPr>
    <w:rPr>
      <w:b/>
      <w:bCs/>
    </w:rPr>
  </w:style>
  <w:style w:type="paragraph" w:customStyle="1" w:styleId="GTCSectionTitle61">
    <w:name w:val="GTC Section Title 61"/>
    <w:basedOn w:val="Heading60"/>
    <w:rsid w:val="00FD4AE1"/>
    <w:pPr>
      <w:spacing w:before="240" w:beforeAutospacing="0" w:after="240" w:afterAutospacing="0"/>
    </w:pPr>
    <w:rPr>
      <w:b/>
      <w:bCs/>
    </w:rPr>
  </w:style>
  <w:style w:type="paragraph" w:customStyle="1" w:styleId="GTCSectionTitle71">
    <w:name w:val="GTC Section Title 71"/>
    <w:basedOn w:val="Heading70"/>
    <w:rsid w:val="00FD4AE1"/>
    <w:pPr>
      <w:spacing w:before="240" w:beforeAutospacing="0" w:after="240" w:afterAutospacing="0"/>
    </w:pPr>
    <w:rPr>
      <w:b/>
      <w:bCs/>
    </w:rPr>
  </w:style>
  <w:style w:type="paragraph" w:customStyle="1" w:styleId="GTCSectionTitle81">
    <w:name w:val="GTC Section Title 81"/>
    <w:basedOn w:val="Heading80"/>
    <w:rsid w:val="00FD4AE1"/>
    <w:pPr>
      <w:spacing w:before="240" w:beforeAutospacing="0" w:after="240" w:afterAutospacing="0"/>
    </w:pPr>
    <w:rPr>
      <w:b/>
      <w:bCs/>
    </w:rPr>
  </w:style>
  <w:style w:type="paragraph" w:customStyle="1" w:styleId="GTCSectionTitle91">
    <w:name w:val="GTC Section Title 91"/>
    <w:basedOn w:val="Heading90"/>
    <w:rsid w:val="00FD4AE1"/>
    <w:pPr>
      <w:spacing w:before="240" w:beforeAutospacing="0" w:after="240" w:afterAutospacing="0"/>
    </w:pPr>
    <w:rPr>
      <w:b/>
      <w:bCs/>
    </w:rPr>
  </w:style>
  <w:style w:type="character" w:customStyle="1" w:styleId="GTCFootnoteText2">
    <w:name w:val="GTC Footnote Text2"/>
    <w:rsid w:val="00FD4AE1"/>
  </w:style>
  <w:style w:type="table" w:customStyle="1" w:styleId="GTCTitle5">
    <w:name w:val="GTC Title5"/>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
    <w:name w:val="GTC Title6"/>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
    <w:name w:val="GTC Title7"/>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
    <w:name w:val="GTC Title8"/>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
    <w:name w:val="GTC Heading 12"/>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
    <w:name w:val="GTC Heading 22"/>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
    <w:name w:val="GTC Heading 32"/>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
    <w:name w:val="GTC Heading 42"/>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0">
    <w:name w:val="GTC Link Text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
    <w:name w:val="GTC List Text2"/>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
    <w:name w:val="GTC Table List Text2"/>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
    <w:name w:val="GTC List Text Highlights2"/>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
    <w:name w:val="GTC List Style None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
    <w:name w:val="GTC List Style Circle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
    <w:name w:val="GTC List Style Disc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
    <w:name w:val="GTC List Style Square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
    <w:name w:val="GTC List Style LittleRoman2"/>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
    <w:name w:val="GTC List Style BigRoman3"/>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
    <w:name w:val="GTC List Style LittleAlpha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
    <w:name w:val="GTC List Style BigRoman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
    <w:name w:val="GTC List Style Arabic2"/>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
    <w:name w:val="GTC Table Title Otherwise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
    <w:name w:val="GTC Table Title Insert2"/>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
    <w:name w:val="GTC Table Title Delete2"/>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
    <w:name w:val="GTC Outline Numbering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
    <w:name w:val="GTC Bullets2"/>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2">
    <w:name w:val="GTC Section Title 12"/>
    <w:basedOn w:val="Heading10"/>
    <w:rsid w:val="00FD4AE1"/>
    <w:pPr>
      <w:keepNext/>
      <w:spacing w:before="240" w:beforeAutospacing="0" w:after="240" w:afterAutospacing="0"/>
    </w:pPr>
    <w:rPr>
      <w:b/>
      <w:bCs/>
      <w:caps/>
    </w:rPr>
  </w:style>
  <w:style w:type="paragraph" w:customStyle="1" w:styleId="GTCSectionTitle22">
    <w:name w:val="GTC Section Title 22"/>
    <w:basedOn w:val="Heading20"/>
    <w:rsid w:val="00FD4AE1"/>
    <w:pPr>
      <w:keepNext/>
      <w:spacing w:before="240" w:beforeAutospacing="0" w:after="240" w:afterAutospacing="0"/>
    </w:pPr>
    <w:rPr>
      <w:b/>
      <w:bCs/>
    </w:rPr>
  </w:style>
  <w:style w:type="paragraph" w:customStyle="1" w:styleId="GTCSectionTitle32">
    <w:name w:val="GTC Section Title 32"/>
    <w:basedOn w:val="Heading30"/>
    <w:rsid w:val="00FD4AE1"/>
    <w:pPr>
      <w:keepNext/>
      <w:spacing w:before="240" w:beforeAutospacing="0" w:after="240" w:afterAutospacing="0"/>
    </w:pPr>
    <w:rPr>
      <w:b/>
      <w:bCs/>
    </w:rPr>
  </w:style>
  <w:style w:type="paragraph" w:customStyle="1" w:styleId="GTCSectionTitle42">
    <w:name w:val="GTC Section Title 42"/>
    <w:basedOn w:val="Heading40"/>
    <w:rsid w:val="00FD4AE1"/>
    <w:pPr>
      <w:keepNext/>
      <w:spacing w:before="240" w:beforeAutospacing="0" w:after="240" w:afterAutospacing="0"/>
    </w:pPr>
    <w:rPr>
      <w:b/>
      <w:bCs/>
      <w:i/>
    </w:rPr>
  </w:style>
  <w:style w:type="paragraph" w:customStyle="1" w:styleId="GTCSectionTitle52">
    <w:name w:val="GTC Section Title 52"/>
    <w:basedOn w:val="Heading50"/>
    <w:rsid w:val="00FD4AE1"/>
    <w:pPr>
      <w:spacing w:before="240" w:beforeAutospacing="0" w:after="240" w:afterAutospacing="0"/>
    </w:pPr>
    <w:rPr>
      <w:b/>
      <w:bCs/>
    </w:rPr>
  </w:style>
  <w:style w:type="paragraph" w:customStyle="1" w:styleId="GTCSectionTitle62">
    <w:name w:val="GTC Section Title 62"/>
    <w:basedOn w:val="Heading60"/>
    <w:rsid w:val="00FD4AE1"/>
    <w:pPr>
      <w:spacing w:before="240" w:beforeAutospacing="0" w:after="240" w:afterAutospacing="0"/>
    </w:pPr>
    <w:rPr>
      <w:b/>
      <w:bCs/>
    </w:rPr>
  </w:style>
  <w:style w:type="paragraph" w:customStyle="1" w:styleId="GTCSectionTitle72">
    <w:name w:val="GTC Section Title 72"/>
    <w:basedOn w:val="Heading70"/>
    <w:rsid w:val="00FD4AE1"/>
    <w:pPr>
      <w:spacing w:before="240" w:beforeAutospacing="0" w:after="240" w:afterAutospacing="0"/>
    </w:pPr>
    <w:rPr>
      <w:b/>
      <w:bCs/>
    </w:rPr>
  </w:style>
  <w:style w:type="paragraph" w:customStyle="1" w:styleId="GTCSectionTitle82">
    <w:name w:val="GTC Section Title 82"/>
    <w:basedOn w:val="Heading80"/>
    <w:rsid w:val="00FD4AE1"/>
    <w:pPr>
      <w:spacing w:before="240" w:beforeAutospacing="0" w:after="240" w:afterAutospacing="0"/>
    </w:pPr>
    <w:rPr>
      <w:b/>
      <w:bCs/>
    </w:rPr>
  </w:style>
  <w:style w:type="paragraph" w:customStyle="1" w:styleId="GTCSectionTitle92">
    <w:name w:val="GTC Section Title 92"/>
    <w:basedOn w:val="Heading90"/>
    <w:rsid w:val="00FD4AE1"/>
    <w:pPr>
      <w:spacing w:before="240" w:beforeAutospacing="0" w:after="240" w:afterAutospacing="0"/>
    </w:pPr>
    <w:rPr>
      <w:b/>
      <w:bCs/>
    </w:rPr>
  </w:style>
  <w:style w:type="character" w:customStyle="1" w:styleId="GTCFootnoteText3">
    <w:name w:val="GTC Footnote Text3"/>
    <w:rsid w:val="00FD4AE1"/>
  </w:style>
  <w:style w:type="table" w:customStyle="1" w:styleId="GTCTitle9">
    <w:name w:val="GTC Title9"/>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
    <w:name w:val="GTC Title10"/>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
    <w:name w:val="GTC Title11"/>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
    <w:name w:val="GTC Title12"/>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
    <w:name w:val="GTC Heading 13"/>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
    <w:name w:val="GTC Heading 23"/>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
    <w:name w:val="GTC Heading 33"/>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
    <w:name w:val="GTC Heading 43"/>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0">
    <w:name w:val="GTC Link Text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
    <w:name w:val="GTC List Text3"/>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
    <w:name w:val="GTC Table List Text3"/>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
    <w:name w:val="GTC List Text Highlights3"/>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
    <w:name w:val="GTC List Style None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
    <w:name w:val="GTC List Style Circle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
    <w:name w:val="GTC List Style Disc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
    <w:name w:val="GTC List Style Square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
    <w:name w:val="GTC List Style LittleRoman3"/>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
    <w:name w:val="GTC List Style BigRoman5"/>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
    <w:name w:val="GTC List Style LittleAlpha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
    <w:name w:val="GTC List Style BigRoman6"/>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
    <w:name w:val="GTC List Style Arabic3"/>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
    <w:name w:val="GTC Table Title Otherwise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
    <w:name w:val="GTC Table Title Insert3"/>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
    <w:name w:val="GTC Table Title Delete3"/>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
    <w:name w:val="GTC Outline Numbering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
    <w:name w:val="GTC Bullets3"/>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GTCSectionTitle13">
    <w:name w:val="GTC Section Title 13"/>
    <w:basedOn w:val="Heading10"/>
    <w:rsid w:val="00FD4AE1"/>
    <w:pPr>
      <w:keepNext/>
      <w:spacing w:before="240" w:beforeAutospacing="0" w:after="240" w:afterAutospacing="0"/>
    </w:pPr>
    <w:rPr>
      <w:b/>
      <w:bCs/>
      <w:caps/>
    </w:rPr>
  </w:style>
  <w:style w:type="paragraph" w:customStyle="1" w:styleId="GTCSectionTitle23">
    <w:name w:val="GTC Section Title 23"/>
    <w:basedOn w:val="Heading20"/>
    <w:rsid w:val="00FD4AE1"/>
    <w:pPr>
      <w:keepNext/>
      <w:spacing w:before="240" w:beforeAutospacing="0" w:after="240" w:afterAutospacing="0"/>
    </w:pPr>
    <w:rPr>
      <w:b/>
      <w:bCs/>
    </w:rPr>
  </w:style>
  <w:style w:type="paragraph" w:customStyle="1" w:styleId="GTCSectionTitle33">
    <w:name w:val="GTC Section Title 33"/>
    <w:basedOn w:val="Heading30"/>
    <w:rsid w:val="00FD4AE1"/>
    <w:pPr>
      <w:keepNext/>
      <w:spacing w:before="240" w:beforeAutospacing="0" w:after="240" w:afterAutospacing="0"/>
    </w:pPr>
    <w:rPr>
      <w:b/>
      <w:bCs/>
    </w:rPr>
  </w:style>
  <w:style w:type="paragraph" w:customStyle="1" w:styleId="GTCSectionTitle43">
    <w:name w:val="GTC Section Title 43"/>
    <w:basedOn w:val="Heading40"/>
    <w:rsid w:val="00FD4AE1"/>
    <w:pPr>
      <w:keepNext/>
      <w:spacing w:before="240" w:beforeAutospacing="0" w:after="240" w:afterAutospacing="0"/>
    </w:pPr>
    <w:rPr>
      <w:b/>
      <w:bCs/>
      <w:i/>
    </w:rPr>
  </w:style>
  <w:style w:type="paragraph" w:customStyle="1" w:styleId="GTCSectionTitle53">
    <w:name w:val="GTC Section Title 53"/>
    <w:basedOn w:val="Heading50"/>
    <w:rsid w:val="00FD4AE1"/>
    <w:pPr>
      <w:spacing w:before="240" w:beforeAutospacing="0" w:after="240" w:afterAutospacing="0"/>
    </w:pPr>
    <w:rPr>
      <w:b/>
      <w:bCs/>
    </w:rPr>
  </w:style>
  <w:style w:type="paragraph" w:customStyle="1" w:styleId="GTCSectionTitle63">
    <w:name w:val="GTC Section Title 63"/>
    <w:basedOn w:val="Heading60"/>
    <w:rsid w:val="00FD4AE1"/>
    <w:pPr>
      <w:spacing w:before="240" w:beforeAutospacing="0" w:after="240" w:afterAutospacing="0"/>
    </w:pPr>
    <w:rPr>
      <w:b/>
      <w:bCs/>
    </w:rPr>
  </w:style>
  <w:style w:type="paragraph" w:customStyle="1" w:styleId="GTCSectionTitle73">
    <w:name w:val="GTC Section Title 73"/>
    <w:basedOn w:val="Heading70"/>
    <w:rsid w:val="00FD4AE1"/>
    <w:pPr>
      <w:spacing w:before="240" w:beforeAutospacing="0" w:after="240" w:afterAutospacing="0"/>
    </w:pPr>
    <w:rPr>
      <w:b/>
      <w:bCs/>
    </w:rPr>
  </w:style>
  <w:style w:type="paragraph" w:customStyle="1" w:styleId="GTCSectionTitle83">
    <w:name w:val="GTC Section Title 83"/>
    <w:basedOn w:val="Heading80"/>
    <w:rsid w:val="00FD4AE1"/>
    <w:pPr>
      <w:spacing w:before="240" w:beforeAutospacing="0" w:after="240" w:afterAutospacing="0"/>
    </w:pPr>
    <w:rPr>
      <w:b/>
      <w:bCs/>
    </w:rPr>
  </w:style>
  <w:style w:type="paragraph" w:customStyle="1" w:styleId="GTCSectionTitle93">
    <w:name w:val="GTC Section Title 93"/>
    <w:basedOn w:val="Heading90"/>
    <w:rsid w:val="00FD4AE1"/>
    <w:pPr>
      <w:spacing w:before="240" w:beforeAutospacing="0" w:after="240" w:afterAutospacing="0"/>
    </w:pPr>
    <w:rPr>
      <w:b/>
      <w:bCs/>
    </w:rPr>
  </w:style>
  <w:style w:type="character" w:customStyle="1" w:styleId="GTCFootnoteText4">
    <w:name w:val="GTC Footnote Text4"/>
    <w:rsid w:val="00FD4AE1"/>
  </w:style>
  <w:style w:type="table" w:customStyle="1" w:styleId="GTCTitle13">
    <w:name w:val="GTC Title13"/>
    <w:basedOn w:val="TableNormal"/>
    <w:rsid w:val="00FD4AE1"/>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
    <w:name w:val="GTC Title14"/>
    <w:basedOn w:val="TableNormal"/>
    <w:rsid w:val="00FD4AE1"/>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
    <w:name w:val="GTC Title15"/>
    <w:basedOn w:val="TableNormal"/>
    <w:rsid w:val="00FD4AE1"/>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
    <w:name w:val="GTC Title16"/>
    <w:basedOn w:val="TableNormal"/>
    <w:rsid w:val="00FD4AE1"/>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
    <w:name w:val="GTC Heading 14"/>
    <w:rsid w:val="00FD4AE1"/>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
    <w:name w:val="GTC Heading 24"/>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
    <w:name w:val="GTC Heading 34"/>
    <w:basedOn w:val="TableNormal"/>
    <w:rsid w:val="00FD4AE1"/>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
    <w:name w:val="GTC Heading 44"/>
    <w:basedOn w:val="TableNormal"/>
    <w:rsid w:val="00FD4AE1"/>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0">
    <w:name w:val="GTC Link Text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
    <w:name w:val="GTC List Text4"/>
    <w:basedOn w:val="TableNormal"/>
    <w:rsid w:val="00FD4AE1"/>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
    <w:name w:val="GTC Table List Text4"/>
    <w:basedOn w:val="TableNormal"/>
    <w:rsid w:val="00FD4AE1"/>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
    <w:name w:val="GTC List Text Highlights4"/>
    <w:basedOn w:val="TableNormal"/>
    <w:rsid w:val="00FD4AE1"/>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
    <w:name w:val="GTC List Style None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
    <w:name w:val="GTC List Style Circle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
    <w:name w:val="GTC List Style Disc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
    <w:name w:val="GTC List Style Square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
    <w:name w:val="GTC List Style LittleRoman4"/>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
    <w:name w:val="GTC List Style BigRoman7"/>
    <w:basedOn w:val="TableNormal"/>
    <w:rsid w:val="00FD4AE1"/>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
    <w:name w:val="GTC List Style LittleAlpha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
    <w:name w:val="GTC List Style BigRoman8"/>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
    <w:name w:val="GTC List Style Arabic4"/>
    <w:basedOn w:val="TableNormal"/>
    <w:rsid w:val="00FD4AE1"/>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
    <w:name w:val="GTC Table Title Otherwise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
    <w:name w:val="GTC Table Title Insert4"/>
    <w:basedOn w:val="TableNormal"/>
    <w:rsid w:val="00FD4AE1"/>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
    <w:name w:val="GTC Table Title Delete4"/>
    <w:basedOn w:val="TableNormal"/>
    <w:rsid w:val="00FD4AE1"/>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
    <w:name w:val="GTC Outline Numbering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
    <w:name w:val="GTC Bullets4"/>
    <w:basedOn w:val="TableNormal"/>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paragraph" w:customStyle="1" w:styleId="first">
    <w:name w:val="first"/>
    <w:basedOn w:val="Normal"/>
    <w:rsid w:val="00FD4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Left025">
    <w:name w:val="Normal + Left:  0.25&quot;"/>
    <w:basedOn w:val="Normal"/>
    <w:rsid w:val="00FD4AE1"/>
    <w:pPr>
      <w:spacing w:after="0" w:line="240" w:lineRule="auto"/>
      <w:ind w:left="360"/>
    </w:pPr>
    <w:rPr>
      <w:rFonts w:ascii="Times New Roman" w:eastAsia="Times New Roman" w:hAnsi="Times New Roman" w:cs="Times New Roman"/>
      <w:sz w:val="24"/>
      <w:szCs w:val="24"/>
      <w:lang w:val="en-US"/>
    </w:rPr>
  </w:style>
  <w:style w:type="paragraph" w:customStyle="1" w:styleId="CM49">
    <w:name w:val="CM49"/>
    <w:basedOn w:val="Default"/>
    <w:next w:val="Default"/>
    <w:rsid w:val="00FD4AE1"/>
    <w:rPr>
      <w:color w:val="auto"/>
    </w:rPr>
  </w:style>
  <w:style w:type="character" w:customStyle="1" w:styleId="sup2">
    <w:name w:val="sup2"/>
    <w:rsid w:val="00FD4AE1"/>
    <w:rPr>
      <w:sz w:val="19"/>
      <w:szCs w:val="19"/>
    </w:rPr>
  </w:style>
  <w:style w:type="character" w:customStyle="1" w:styleId="italics6">
    <w:name w:val="italics6"/>
    <w:rsid w:val="00FD4AE1"/>
    <w:rPr>
      <w:i/>
      <w:iCs/>
    </w:rPr>
  </w:style>
  <w:style w:type="character" w:customStyle="1" w:styleId="underline5">
    <w:name w:val="underline5"/>
    <w:rsid w:val="00FD4AE1"/>
    <w:rPr>
      <w:i w:val="0"/>
      <w:iCs w:val="0"/>
      <w:u w:val="single"/>
    </w:rPr>
  </w:style>
  <w:style w:type="paragraph" w:customStyle="1" w:styleId="CM11">
    <w:name w:val="CM11"/>
    <w:basedOn w:val="Default"/>
    <w:next w:val="Default"/>
    <w:rsid w:val="00FD4AE1"/>
    <w:pPr>
      <w:spacing w:line="231" w:lineRule="atLeast"/>
    </w:pPr>
    <w:rPr>
      <w:color w:val="auto"/>
      <w:lang w:eastAsia="ja-JP"/>
    </w:rPr>
  </w:style>
  <w:style w:type="character" w:customStyle="1" w:styleId="xmchange">
    <w:name w:val="xmchange"/>
    <w:rsid w:val="00FD4AE1"/>
  </w:style>
  <w:style w:type="character" w:customStyle="1" w:styleId="GTCLinkText31">
    <w:name w:val="GTC Link Text31"/>
    <w:rsid w:val="00FD4AE1"/>
    <w:rPr>
      <w:strike w:val="0"/>
      <w:dstrike w:val="0"/>
      <w:u w:val="none"/>
      <w:effect w:val="none"/>
    </w:rPr>
  </w:style>
  <w:style w:type="paragraph" w:customStyle="1" w:styleId="TableText">
    <w:name w:val="Table Text"/>
    <w:basedOn w:val="Default"/>
    <w:next w:val="Default"/>
    <w:rsid w:val="00FD4AE1"/>
    <w:rPr>
      <w:color w:val="auto"/>
    </w:rPr>
  </w:style>
  <w:style w:type="paragraph" w:customStyle="1" w:styleId="CM12">
    <w:name w:val="CM12"/>
    <w:basedOn w:val="Default"/>
    <w:next w:val="Default"/>
    <w:uiPriority w:val="99"/>
    <w:rsid w:val="00FD4AE1"/>
    <w:rPr>
      <w:color w:val="auto"/>
    </w:rPr>
  </w:style>
  <w:style w:type="paragraph" w:customStyle="1" w:styleId="CM14">
    <w:name w:val="CM14"/>
    <w:basedOn w:val="Default"/>
    <w:next w:val="Default"/>
    <w:uiPriority w:val="99"/>
    <w:rsid w:val="00FD4AE1"/>
    <w:pPr>
      <w:spacing w:line="183" w:lineRule="atLeast"/>
    </w:pPr>
    <w:rPr>
      <w:color w:val="auto"/>
    </w:rPr>
  </w:style>
  <w:style w:type="character" w:customStyle="1" w:styleId="GTCLinkText5">
    <w:name w:val="GTC Link Text5"/>
    <w:rsid w:val="00FD4AE1"/>
    <w:rPr>
      <w:strike w:val="0"/>
      <w:dstrike w:val="0"/>
      <w:u w:val="none"/>
      <w:effect w:val="none"/>
    </w:rPr>
  </w:style>
  <w:style w:type="character" w:customStyle="1" w:styleId="gtcunderline1">
    <w:name w:val="gtcunderline1"/>
    <w:rsid w:val="00FD4AE1"/>
    <w:rPr>
      <w:u w:val="single"/>
    </w:rPr>
  </w:style>
  <w:style w:type="character" w:customStyle="1" w:styleId="GTCLinkText7">
    <w:name w:val="GTC Link Text7"/>
    <w:rsid w:val="00FD4AE1"/>
    <w:rPr>
      <w:strike w:val="0"/>
      <w:dstrike w:val="0"/>
      <w:u w:val="none"/>
      <w:effect w:val="none"/>
    </w:rPr>
  </w:style>
  <w:style w:type="character" w:customStyle="1" w:styleId="gtcunderline2">
    <w:name w:val="gtcunderline2"/>
    <w:rsid w:val="00FD4AE1"/>
    <w:rPr>
      <w:u w:val="single"/>
    </w:rPr>
  </w:style>
  <w:style w:type="character" w:customStyle="1" w:styleId="GTCLinkText9">
    <w:name w:val="GTC Link Text9"/>
    <w:rsid w:val="00FD4AE1"/>
    <w:rPr>
      <w:strike w:val="0"/>
      <w:dstrike w:val="0"/>
      <w:u w:val="none"/>
      <w:effect w:val="none"/>
    </w:rPr>
  </w:style>
  <w:style w:type="character" w:customStyle="1" w:styleId="gtcunderline3">
    <w:name w:val="gtcunderline3"/>
    <w:rsid w:val="00FD4AE1"/>
    <w:rPr>
      <w:u w:val="single"/>
    </w:rPr>
  </w:style>
  <w:style w:type="character" w:customStyle="1" w:styleId="GTCLinkText11">
    <w:name w:val="GTC Link Text11"/>
    <w:rsid w:val="00FD4AE1"/>
    <w:rPr>
      <w:strike w:val="0"/>
      <w:dstrike w:val="0"/>
      <w:u w:val="none"/>
      <w:effect w:val="none"/>
    </w:rPr>
  </w:style>
  <w:style w:type="character" w:customStyle="1" w:styleId="GTCLinkText13">
    <w:name w:val="GTC Link Text13"/>
    <w:rsid w:val="00FD4AE1"/>
    <w:rPr>
      <w:strike w:val="0"/>
      <w:dstrike w:val="0"/>
      <w:u w:val="none"/>
      <w:effect w:val="none"/>
    </w:rPr>
  </w:style>
  <w:style w:type="character" w:customStyle="1" w:styleId="gtchighlightparagraph3">
    <w:name w:val="gtchighlightparagraph3"/>
    <w:rsid w:val="00FD4AE1"/>
    <w:rPr>
      <w:sz w:val="16"/>
      <w:szCs w:val="16"/>
    </w:rPr>
  </w:style>
  <w:style w:type="character" w:customStyle="1" w:styleId="GTCLinkText15">
    <w:name w:val="GTC Link Text15"/>
    <w:rsid w:val="00FD4AE1"/>
    <w:rPr>
      <w:strike w:val="0"/>
      <w:dstrike w:val="0"/>
      <w:u w:val="none"/>
      <w:effect w:val="none"/>
    </w:rPr>
  </w:style>
  <w:style w:type="character" w:customStyle="1" w:styleId="gtchighlightparagraph4">
    <w:name w:val="gtchighlightparagraph4"/>
    <w:rsid w:val="00FD4AE1"/>
    <w:rPr>
      <w:sz w:val="16"/>
      <w:szCs w:val="16"/>
    </w:rPr>
  </w:style>
  <w:style w:type="character" w:customStyle="1" w:styleId="GTCLinkText17">
    <w:name w:val="GTC Link Text17"/>
    <w:rsid w:val="00FD4AE1"/>
    <w:rPr>
      <w:strike w:val="0"/>
      <w:dstrike w:val="0"/>
      <w:u w:val="none"/>
      <w:effect w:val="none"/>
    </w:rPr>
  </w:style>
  <w:style w:type="character" w:customStyle="1" w:styleId="gtchighlightparagraph5">
    <w:name w:val="gtchighlightparagraph5"/>
    <w:rsid w:val="00FD4AE1"/>
    <w:rPr>
      <w:sz w:val="16"/>
      <w:szCs w:val="16"/>
    </w:rPr>
  </w:style>
  <w:style w:type="character" w:customStyle="1" w:styleId="apple-converted-space">
    <w:name w:val="apple-converted-space"/>
    <w:rsid w:val="00FD4AE1"/>
  </w:style>
  <w:style w:type="character" w:customStyle="1" w:styleId="gtcbold7">
    <w:name w:val="gtcbold7"/>
    <w:rsid w:val="00FD4AE1"/>
    <w:rPr>
      <w:b/>
      <w:bCs/>
    </w:rPr>
  </w:style>
  <w:style w:type="character" w:customStyle="1" w:styleId="gtcbold8">
    <w:name w:val="gtcbold8"/>
    <w:rsid w:val="00FD4AE1"/>
    <w:rPr>
      <w:b/>
      <w:bCs/>
    </w:rPr>
  </w:style>
  <w:style w:type="character" w:customStyle="1" w:styleId="gtcbold10">
    <w:name w:val="gtcbold10"/>
    <w:rsid w:val="00FD4AE1"/>
    <w:rPr>
      <w:b/>
      <w:bCs/>
    </w:rPr>
  </w:style>
  <w:style w:type="character" w:customStyle="1" w:styleId="gtcbold11">
    <w:name w:val="gtcbold11"/>
    <w:rsid w:val="00FD4AE1"/>
    <w:rPr>
      <w:b/>
      <w:bCs/>
    </w:rPr>
  </w:style>
  <w:style w:type="character" w:customStyle="1" w:styleId="gtcbold12">
    <w:name w:val="gtcbold12"/>
    <w:rsid w:val="00FD4AE1"/>
    <w:rPr>
      <w:b/>
      <w:bCs/>
    </w:rPr>
  </w:style>
  <w:style w:type="character" w:customStyle="1" w:styleId="gtcbold13">
    <w:name w:val="gtcbold13"/>
    <w:rsid w:val="00FD4AE1"/>
    <w:rPr>
      <w:b/>
      <w:bCs/>
    </w:rPr>
  </w:style>
  <w:style w:type="character" w:customStyle="1" w:styleId="gtcbold14">
    <w:name w:val="gtcbold14"/>
    <w:rsid w:val="00FD4AE1"/>
    <w:rPr>
      <w:b/>
      <w:bCs/>
    </w:rPr>
  </w:style>
  <w:style w:type="character" w:customStyle="1" w:styleId="gtcbold16">
    <w:name w:val="gtcbold16"/>
    <w:rsid w:val="00FD4AE1"/>
    <w:rPr>
      <w:b/>
      <w:bCs/>
    </w:rPr>
  </w:style>
  <w:style w:type="character" w:customStyle="1" w:styleId="gtcbold17">
    <w:name w:val="gtcbold17"/>
    <w:rsid w:val="00FD4AE1"/>
    <w:rPr>
      <w:b/>
      <w:bCs/>
    </w:rPr>
  </w:style>
  <w:style w:type="character" w:customStyle="1" w:styleId="gtcbold19">
    <w:name w:val="gtcbold19"/>
    <w:rsid w:val="00FD4AE1"/>
    <w:rPr>
      <w:b/>
      <w:bCs/>
    </w:rPr>
  </w:style>
  <w:style w:type="character" w:customStyle="1" w:styleId="gtcbold21">
    <w:name w:val="gtcbold21"/>
    <w:rsid w:val="00FD4AE1"/>
    <w:rPr>
      <w:b/>
      <w:bCs/>
    </w:rPr>
  </w:style>
  <w:style w:type="paragraph" w:customStyle="1" w:styleId="CM5">
    <w:name w:val="CM5"/>
    <w:basedOn w:val="Default"/>
    <w:next w:val="Default"/>
    <w:uiPriority w:val="99"/>
    <w:rsid w:val="00FD4AE1"/>
    <w:pPr>
      <w:spacing w:line="188" w:lineRule="atLeast"/>
    </w:pPr>
    <w:rPr>
      <w:color w:val="auto"/>
    </w:rPr>
  </w:style>
  <w:style w:type="table" w:customStyle="1" w:styleId="TableGrid1">
    <w:name w:val="Table Grid1"/>
    <w:basedOn w:val="TableNormal"/>
    <w:next w:val="TableGrid"/>
    <w:rsid w:val="00FD4AE1"/>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D4AE1"/>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FD4AE1"/>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List2-Accent3">
    <w:name w:val="Medium List 2 Accent 3"/>
    <w:basedOn w:val="TableNormal"/>
    <w:uiPriority w:val="66"/>
    <w:rsid w:val="00FD4AE1"/>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2-Accent5">
    <w:name w:val="Medium Shading 2 Accent 5"/>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M51">
    <w:name w:val="CM51"/>
    <w:basedOn w:val="Default"/>
    <w:next w:val="Default"/>
    <w:uiPriority w:val="99"/>
    <w:rsid w:val="00FD4AE1"/>
    <w:rPr>
      <w:rFonts w:ascii="Verdana" w:hAnsi="Verdana"/>
      <w:color w:val="auto"/>
    </w:rPr>
  </w:style>
  <w:style w:type="paragraph" w:customStyle="1" w:styleId="EMEABullet">
    <w:name w:val="EMEA Bullet"/>
    <w:link w:val="EMEABulletChar"/>
    <w:rsid w:val="00FD4AE1"/>
    <w:pPr>
      <w:tabs>
        <w:tab w:val="num" w:pos="567"/>
      </w:tabs>
      <w:suppressAutoHyphens/>
      <w:spacing w:after="0" w:line="240" w:lineRule="auto"/>
      <w:ind w:left="567" w:hanging="567"/>
    </w:pPr>
    <w:rPr>
      <w:rFonts w:ascii="Times New Roman" w:eastAsia="Times New Roman" w:hAnsi="Times New Roman" w:cs="Times New Roman"/>
      <w:szCs w:val="20"/>
      <w:lang w:val="en-US"/>
    </w:rPr>
  </w:style>
  <w:style w:type="character" w:customStyle="1" w:styleId="EMEABulletChar">
    <w:name w:val="EMEA Bullet Char"/>
    <w:link w:val="EMEABullet"/>
    <w:rsid w:val="00FD4AE1"/>
    <w:rPr>
      <w:rFonts w:ascii="Times New Roman" w:eastAsia="Times New Roman" w:hAnsi="Times New Roman" w:cs="Times New Roman"/>
      <w:szCs w:val="20"/>
      <w:lang w:val="en-US"/>
    </w:rPr>
  </w:style>
  <w:style w:type="paragraph" w:customStyle="1" w:styleId="CM41">
    <w:name w:val="CM41"/>
    <w:basedOn w:val="Default"/>
    <w:next w:val="Default"/>
    <w:uiPriority w:val="99"/>
    <w:rsid w:val="00FD4AE1"/>
    <w:pPr>
      <w:spacing w:line="268" w:lineRule="atLeast"/>
    </w:pPr>
    <w:rPr>
      <w:rFonts w:ascii="Verdana" w:hAnsi="Verdana"/>
      <w:color w:val="auto"/>
    </w:rPr>
  </w:style>
  <w:style w:type="paragraph" w:customStyle="1" w:styleId="CM42">
    <w:name w:val="CM42"/>
    <w:basedOn w:val="Default"/>
    <w:next w:val="Default"/>
    <w:uiPriority w:val="99"/>
    <w:rsid w:val="00FD4AE1"/>
    <w:rPr>
      <w:rFonts w:ascii="Arial" w:hAnsi="Arial" w:cs="Arial"/>
      <w:color w:val="auto"/>
    </w:rPr>
  </w:style>
  <w:style w:type="paragraph" w:customStyle="1" w:styleId="CM24">
    <w:name w:val="CM24"/>
    <w:basedOn w:val="Default"/>
    <w:next w:val="Default"/>
    <w:uiPriority w:val="99"/>
    <w:rsid w:val="00FD4AE1"/>
    <w:rPr>
      <w:color w:val="auto"/>
    </w:rPr>
  </w:style>
  <w:style w:type="paragraph" w:customStyle="1" w:styleId="CM38">
    <w:name w:val="CM38"/>
    <w:basedOn w:val="Default"/>
    <w:next w:val="Default"/>
    <w:uiPriority w:val="99"/>
    <w:rsid w:val="00FD4AE1"/>
    <w:rPr>
      <w:rFonts w:ascii="Arial" w:hAnsi="Arial" w:cs="Arial"/>
      <w:color w:val="auto"/>
    </w:rPr>
  </w:style>
  <w:style w:type="paragraph" w:customStyle="1" w:styleId="CM16">
    <w:name w:val="CM16"/>
    <w:basedOn w:val="Default"/>
    <w:next w:val="Default"/>
    <w:uiPriority w:val="99"/>
    <w:rsid w:val="00FD4AE1"/>
    <w:pPr>
      <w:spacing w:line="186" w:lineRule="atLeast"/>
    </w:pPr>
    <w:rPr>
      <w:color w:val="auto"/>
    </w:rPr>
  </w:style>
  <w:style w:type="paragraph" w:styleId="ListNumber">
    <w:name w:val="List Number"/>
    <w:rsid w:val="00FD4AE1"/>
    <w:pPr>
      <w:numPr>
        <w:numId w:val="16"/>
      </w:numPr>
      <w:spacing w:before="120" w:after="120" w:line="360" w:lineRule="exact"/>
    </w:pPr>
    <w:rPr>
      <w:rFonts w:ascii="Times New Roman" w:eastAsia="MS Mincho" w:hAnsi="Times New Roman" w:cs="Times New Roman"/>
      <w:sz w:val="24"/>
      <w:szCs w:val="24"/>
      <w:lang w:val="en-US" w:eastAsia="ja-JP"/>
    </w:rPr>
  </w:style>
  <w:style w:type="paragraph" w:customStyle="1" w:styleId="TitleSideBoldUnderline">
    <w:name w:val="Title Side Bold Underline"/>
    <w:next w:val="Paragraph"/>
    <w:rsid w:val="00FD4AE1"/>
    <w:pPr>
      <w:keepNext/>
      <w:keepLines/>
      <w:spacing w:after="240" w:line="240" w:lineRule="auto"/>
    </w:pPr>
    <w:rPr>
      <w:rFonts w:ascii="Times New Roman" w:eastAsia="MS Mincho" w:hAnsi="Times New Roman" w:cs="Times New Roman"/>
      <w:b/>
      <w:bCs/>
      <w:sz w:val="24"/>
      <w:szCs w:val="24"/>
      <w:u w:val="single"/>
      <w:lang w:val="en-US" w:eastAsia="ja-JP"/>
    </w:rPr>
  </w:style>
  <w:style w:type="paragraph" w:customStyle="1" w:styleId="TableTitle">
    <w:name w:val="Table Title"/>
    <w:next w:val="TableLeft"/>
    <w:link w:val="TableTitleChar"/>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character" w:customStyle="1" w:styleId="TableTitleChar">
    <w:name w:val="Table Title Char"/>
    <w:link w:val="TableTitle"/>
    <w:locked/>
    <w:rsid w:val="00FD4AE1"/>
    <w:rPr>
      <w:rFonts w:ascii="Times New Roman" w:eastAsia="MS Mincho" w:hAnsi="Times New Roman" w:cs="Times New Roman"/>
      <w:b/>
      <w:bCs/>
      <w:sz w:val="24"/>
      <w:szCs w:val="24"/>
      <w:lang w:val="en-US" w:eastAsia="ja-JP"/>
    </w:rPr>
  </w:style>
  <w:style w:type="paragraph" w:customStyle="1" w:styleId="CM43">
    <w:name w:val="CM43"/>
    <w:basedOn w:val="Default"/>
    <w:next w:val="Default"/>
    <w:uiPriority w:val="99"/>
    <w:rsid w:val="00FD4AE1"/>
    <w:rPr>
      <w:color w:val="auto"/>
    </w:rPr>
  </w:style>
  <w:style w:type="paragraph" w:customStyle="1" w:styleId="CM39">
    <w:name w:val="CM39"/>
    <w:basedOn w:val="Default"/>
    <w:next w:val="Default"/>
    <w:uiPriority w:val="99"/>
    <w:rsid w:val="00FD4AE1"/>
    <w:rPr>
      <w:rFonts w:ascii="Arial" w:hAnsi="Arial" w:cs="Arial"/>
      <w:color w:val="auto"/>
    </w:rPr>
  </w:style>
  <w:style w:type="paragraph" w:customStyle="1" w:styleId="CM44">
    <w:name w:val="CM44"/>
    <w:basedOn w:val="Default"/>
    <w:next w:val="Default"/>
    <w:uiPriority w:val="99"/>
    <w:rsid w:val="00FD4AE1"/>
    <w:rPr>
      <w:rFonts w:ascii="Arial" w:hAnsi="Arial" w:cs="Arial"/>
      <w:color w:val="auto"/>
    </w:rPr>
  </w:style>
  <w:style w:type="paragraph" w:customStyle="1" w:styleId="CM8">
    <w:name w:val="CM8"/>
    <w:basedOn w:val="Default"/>
    <w:next w:val="Default"/>
    <w:uiPriority w:val="99"/>
    <w:rsid w:val="00FD4AE1"/>
    <w:pPr>
      <w:spacing w:line="186" w:lineRule="atLeast"/>
    </w:pPr>
    <w:rPr>
      <w:color w:val="auto"/>
    </w:rPr>
  </w:style>
  <w:style w:type="paragraph" w:customStyle="1" w:styleId="ListEnd">
    <w:name w:val="List End"/>
    <w:rsid w:val="00FD4AE1"/>
    <w:pPr>
      <w:spacing w:after="0" w:line="240" w:lineRule="auto"/>
    </w:pPr>
    <w:rPr>
      <w:rFonts w:ascii="Times New Roman" w:eastAsia="MS Mincho" w:hAnsi="Times New Roman" w:cs="Times New Roman"/>
      <w:sz w:val="24"/>
      <w:szCs w:val="24"/>
      <w:lang w:val="en-US" w:eastAsia="ja-JP"/>
    </w:rPr>
  </w:style>
  <w:style w:type="character" w:customStyle="1" w:styleId="GTCLinkText29">
    <w:name w:val="GTC Link Text29"/>
    <w:rsid w:val="00FD4AE1"/>
    <w:rPr>
      <w:strike w:val="0"/>
      <w:dstrike w:val="0"/>
      <w:u w:val="none"/>
      <w:effect w:val="none"/>
    </w:rPr>
  </w:style>
  <w:style w:type="paragraph" w:customStyle="1" w:styleId="HeaderText">
    <w:name w:val="HeaderText"/>
    <w:rsid w:val="00FD4AE1"/>
    <w:pPr>
      <w:keepLines/>
      <w:spacing w:after="0" w:line="240" w:lineRule="auto"/>
    </w:pPr>
    <w:rPr>
      <w:rFonts w:ascii="Times New Roman" w:eastAsia="MS Mincho" w:hAnsi="Times New Roman" w:cs="Times New Roman"/>
      <w:sz w:val="20"/>
      <w:szCs w:val="20"/>
      <w:lang w:val="en-US" w:eastAsia="ja-JP"/>
    </w:rPr>
  </w:style>
  <w:style w:type="paragraph" w:customStyle="1" w:styleId="ParagraphSingle">
    <w:name w:val="Paragraph Single"/>
    <w:next w:val="Paragraph"/>
    <w:rsid w:val="00FD4AE1"/>
    <w:pPr>
      <w:spacing w:after="240" w:line="240" w:lineRule="auto"/>
    </w:pPr>
    <w:rPr>
      <w:rFonts w:ascii="Times New Roman" w:eastAsia="MS Mincho" w:hAnsi="Times New Roman" w:cs="Times New Roman"/>
      <w:sz w:val="24"/>
      <w:szCs w:val="24"/>
      <w:lang w:val="en-US" w:eastAsia="ja-JP"/>
    </w:rPr>
  </w:style>
  <w:style w:type="paragraph" w:customStyle="1" w:styleId="Heading4Unnumbered">
    <w:name w:val="Heading 4 Unnumbered"/>
    <w:next w:val="Paragraph"/>
    <w:rsid w:val="00FD4AE1"/>
    <w:pPr>
      <w:keepNext/>
      <w:keepLines/>
      <w:tabs>
        <w:tab w:val="left" w:pos="1800"/>
      </w:tabs>
      <w:spacing w:before="120" w:after="240" w:line="240" w:lineRule="auto"/>
      <w:ind w:left="1800" w:hanging="1800"/>
      <w:outlineLvl w:val="3"/>
    </w:pPr>
    <w:rPr>
      <w:rFonts w:ascii="Arial" w:eastAsia="MS Gothic" w:hAnsi="Arial" w:cs="Arial"/>
      <w:b/>
      <w:bCs/>
      <w:sz w:val="24"/>
      <w:szCs w:val="24"/>
      <w:lang w:val="en-US" w:eastAsia="ja-JP"/>
    </w:rPr>
  </w:style>
  <w:style w:type="character" w:customStyle="1" w:styleId="Instructions">
    <w:name w:val="Instructions"/>
    <w:rsid w:val="00FD4AE1"/>
    <w:rPr>
      <w:b w:val="0"/>
      <w:i/>
      <w:vanish/>
      <w:color w:val="008000"/>
      <w:u w:val="none"/>
      <w:vertAlign w:val="baseline"/>
      <w:lang w:val="en-US" w:eastAsia="ja-JP"/>
    </w:rPr>
  </w:style>
  <w:style w:type="paragraph" w:customStyle="1" w:styleId="Heading1Unnumbered">
    <w:name w:val="Heading 1 Unnumbered"/>
    <w:next w:val="Paragraph"/>
    <w:rsid w:val="00FD4AE1"/>
    <w:pPr>
      <w:keepNext/>
      <w:keepLines/>
      <w:tabs>
        <w:tab w:val="left" w:pos="1800"/>
      </w:tabs>
      <w:spacing w:before="120" w:after="240" w:line="240" w:lineRule="auto"/>
      <w:ind w:left="1800" w:hanging="1800"/>
      <w:outlineLvl w:val="0"/>
    </w:pPr>
    <w:rPr>
      <w:rFonts w:ascii="Arial" w:eastAsia="MS Gothic" w:hAnsi="Arial" w:cs="Arial"/>
      <w:b/>
      <w:bCs/>
      <w:sz w:val="28"/>
      <w:szCs w:val="28"/>
      <w:lang w:val="en-US" w:eastAsia="ja-JP"/>
    </w:rPr>
  </w:style>
  <w:style w:type="paragraph" w:customStyle="1" w:styleId="Heading2Unnumbered">
    <w:name w:val="Heading 2 Unnumbered"/>
    <w:next w:val="Paragraph"/>
    <w:rsid w:val="00FD4AE1"/>
    <w:pPr>
      <w:keepNext/>
      <w:keepLines/>
      <w:tabs>
        <w:tab w:val="left" w:pos="1800"/>
      </w:tabs>
      <w:spacing w:before="120" w:after="240" w:line="240" w:lineRule="auto"/>
      <w:ind w:left="1800" w:hanging="1800"/>
      <w:outlineLvl w:val="1"/>
    </w:pPr>
    <w:rPr>
      <w:rFonts w:ascii="Arial" w:eastAsia="MS Gothic" w:hAnsi="Arial" w:cs="Arial"/>
      <w:b/>
      <w:bCs/>
      <w:sz w:val="24"/>
      <w:szCs w:val="24"/>
      <w:lang w:val="en-US" w:eastAsia="ja-JP"/>
    </w:rPr>
  </w:style>
  <w:style w:type="paragraph" w:customStyle="1" w:styleId="Heading3Unnumbered">
    <w:name w:val="Heading 3 Unnumbered"/>
    <w:next w:val="Paragraph"/>
    <w:rsid w:val="00FD4AE1"/>
    <w:pPr>
      <w:keepNext/>
      <w:keepLines/>
      <w:tabs>
        <w:tab w:val="left" w:pos="1800"/>
      </w:tabs>
      <w:spacing w:before="120" w:after="240" w:line="240" w:lineRule="auto"/>
      <w:ind w:left="1800" w:hanging="1800"/>
      <w:outlineLvl w:val="2"/>
    </w:pPr>
    <w:rPr>
      <w:rFonts w:ascii="Arial" w:eastAsia="MS Gothic" w:hAnsi="Arial" w:cs="Arial"/>
      <w:b/>
      <w:bCs/>
      <w:sz w:val="24"/>
      <w:szCs w:val="24"/>
      <w:lang w:val="en-US" w:eastAsia="ja-JP"/>
    </w:rPr>
  </w:style>
  <w:style w:type="paragraph" w:customStyle="1" w:styleId="Heading3NoTOC">
    <w:name w:val="Heading 3 No TOC"/>
    <w:next w:val="Paragraph"/>
    <w:rsid w:val="00FD4AE1"/>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customStyle="1" w:styleId="HeaderLandscape">
    <w:name w:val="HeaderLandscape"/>
    <w:next w:val="Paragraph"/>
    <w:rsid w:val="00FD4AE1"/>
    <w:pPr>
      <w:keepLines/>
      <w:pBdr>
        <w:bottom w:val="single" w:sz="4" w:space="1" w:color="auto"/>
      </w:pBdr>
      <w:tabs>
        <w:tab w:val="center" w:pos="6480"/>
        <w:tab w:val="right" w:pos="12960"/>
      </w:tabs>
      <w:spacing w:after="40" w:line="240" w:lineRule="auto"/>
    </w:pPr>
    <w:rPr>
      <w:rFonts w:ascii="Times New Roman" w:eastAsia="MS Mincho" w:hAnsi="Times New Roman" w:cs="Times New Roman"/>
      <w:sz w:val="20"/>
      <w:szCs w:val="20"/>
      <w:lang w:val="en-US" w:eastAsia="ja-JP"/>
    </w:rPr>
  </w:style>
  <w:style w:type="paragraph" w:customStyle="1" w:styleId="CaptionContinued">
    <w:name w:val="Caption Continued"/>
    <w:next w:val="Paragraph"/>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numbering" w:customStyle="1" w:styleId="1111110">
    <w:name w:val="111111"/>
    <w:rsid w:val="00FD4AE1"/>
  </w:style>
  <w:style w:type="numbering" w:customStyle="1" w:styleId="1ai0">
    <w:name w:val="1ai"/>
    <w:rsid w:val="00FD4AE1"/>
  </w:style>
  <w:style w:type="numbering" w:customStyle="1" w:styleId="ArticleSection0">
    <w:name w:val="ArticleSection"/>
    <w:rsid w:val="00FD4AE1"/>
  </w:style>
  <w:style w:type="numbering" w:styleId="111111">
    <w:name w:val="Outline List 2"/>
    <w:basedOn w:val="NoList"/>
    <w:rsid w:val="00FD4AE1"/>
    <w:pPr>
      <w:numPr>
        <w:numId w:val="32"/>
      </w:numPr>
    </w:pPr>
  </w:style>
  <w:style w:type="numbering" w:styleId="1ai">
    <w:name w:val="Outline List 1"/>
    <w:basedOn w:val="NoList"/>
    <w:rsid w:val="00FD4AE1"/>
    <w:pPr>
      <w:numPr>
        <w:numId w:val="33"/>
      </w:numPr>
    </w:pPr>
  </w:style>
  <w:style w:type="numbering" w:styleId="ArticleSection">
    <w:name w:val="Outline List 3"/>
    <w:basedOn w:val="NoList"/>
    <w:rsid w:val="00FD4AE1"/>
    <w:pPr>
      <w:numPr>
        <w:numId w:val="34"/>
      </w:numPr>
    </w:pPr>
  </w:style>
  <w:style w:type="paragraph" w:styleId="BlockText">
    <w:name w:val="Block Text"/>
    <w:basedOn w:val="Normal"/>
    <w:rsid w:val="00FD4AE1"/>
    <w:pPr>
      <w:spacing w:after="120" w:line="240" w:lineRule="auto"/>
      <w:ind w:left="1440" w:right="1440"/>
    </w:pPr>
    <w:rPr>
      <w:rFonts w:ascii="Times New Roman" w:eastAsia="MS Mincho" w:hAnsi="Times New Roman" w:cs="Times New Roman"/>
      <w:sz w:val="24"/>
      <w:szCs w:val="24"/>
      <w:lang w:val="en-US" w:eastAsia="ja-JP"/>
    </w:rPr>
  </w:style>
  <w:style w:type="paragraph" w:styleId="BodyText2">
    <w:name w:val="Body Text 2"/>
    <w:basedOn w:val="Normal"/>
    <w:link w:val="BodyText2Char"/>
    <w:rsid w:val="00FD4AE1"/>
    <w:pPr>
      <w:spacing w:after="120" w:line="480" w:lineRule="auto"/>
    </w:pPr>
    <w:rPr>
      <w:rFonts w:ascii="Times New Roman" w:eastAsia="MS Mincho" w:hAnsi="Times New Roman" w:cs="Times New Roman"/>
      <w:sz w:val="24"/>
      <w:szCs w:val="24"/>
      <w:lang w:val="en-US" w:eastAsia="ja-JP"/>
    </w:rPr>
  </w:style>
  <w:style w:type="character" w:customStyle="1" w:styleId="BodyText2Char">
    <w:name w:val="Body Text 2 Char"/>
    <w:basedOn w:val="DefaultParagraphFont"/>
    <w:link w:val="BodyText2"/>
    <w:rsid w:val="00FD4AE1"/>
    <w:rPr>
      <w:rFonts w:ascii="Times New Roman" w:eastAsia="MS Mincho" w:hAnsi="Times New Roman" w:cs="Times New Roman"/>
      <w:sz w:val="24"/>
      <w:szCs w:val="24"/>
      <w:lang w:val="en-US" w:eastAsia="ja-JP"/>
    </w:rPr>
  </w:style>
  <w:style w:type="paragraph" w:styleId="BodyText3">
    <w:name w:val="Body Text 3"/>
    <w:basedOn w:val="Normal"/>
    <w:link w:val="BodyText3Char"/>
    <w:rsid w:val="00FD4AE1"/>
    <w:pPr>
      <w:spacing w:after="120" w:line="240" w:lineRule="auto"/>
    </w:pPr>
    <w:rPr>
      <w:rFonts w:ascii="Times New Roman" w:eastAsia="MS Mincho" w:hAnsi="Times New Roman" w:cs="Times New Roman"/>
      <w:sz w:val="16"/>
      <w:szCs w:val="16"/>
      <w:lang w:val="en-US" w:eastAsia="ja-JP"/>
    </w:rPr>
  </w:style>
  <w:style w:type="character" w:customStyle="1" w:styleId="BodyText3Char">
    <w:name w:val="Body Text 3 Char"/>
    <w:basedOn w:val="DefaultParagraphFont"/>
    <w:link w:val="BodyText3"/>
    <w:rsid w:val="00FD4AE1"/>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rsid w:val="00FD4AE1"/>
    <w:pPr>
      <w:spacing w:after="120"/>
      <w:ind w:firstLine="210"/>
    </w:pPr>
    <w:rPr>
      <w:rFonts w:eastAsia="MS Mincho"/>
      <w:i w:val="0"/>
      <w:color w:val="auto"/>
      <w:sz w:val="24"/>
      <w:szCs w:val="24"/>
      <w:lang w:val="en-US" w:eastAsia="ja-JP"/>
    </w:rPr>
  </w:style>
  <w:style w:type="character" w:customStyle="1" w:styleId="BodyTextFirstIndentChar">
    <w:name w:val="Body Text First Indent Char"/>
    <w:basedOn w:val="BodyTextChar"/>
    <w:link w:val="BodyTextFirstIndent"/>
    <w:rsid w:val="00FD4AE1"/>
    <w:rPr>
      <w:rFonts w:ascii="Times New Roman" w:eastAsia="MS Mincho" w:hAnsi="Times New Roman" w:cs="Times New Roman"/>
      <w:i w:val="0"/>
      <w:color w:val="008000"/>
      <w:sz w:val="24"/>
      <w:szCs w:val="24"/>
      <w:lang w:val="en-US" w:eastAsia="ja-JP"/>
    </w:rPr>
  </w:style>
  <w:style w:type="paragraph" w:styleId="BodyTextIndent">
    <w:name w:val="Body Text Indent"/>
    <w:basedOn w:val="Normal"/>
    <w:link w:val="BodyTextIndentChar"/>
    <w:rsid w:val="00FD4AE1"/>
    <w:pPr>
      <w:spacing w:after="120" w:line="240" w:lineRule="auto"/>
      <w:ind w:left="360"/>
    </w:pPr>
    <w:rPr>
      <w:rFonts w:ascii="Times New Roman" w:eastAsia="MS Mincho" w:hAnsi="Times New Roman" w:cs="Times New Roman"/>
      <w:sz w:val="24"/>
      <w:szCs w:val="24"/>
      <w:lang w:val="en-US" w:eastAsia="ja-JP"/>
    </w:rPr>
  </w:style>
  <w:style w:type="character" w:customStyle="1" w:styleId="BodyTextIndentChar">
    <w:name w:val="Body Text Indent Char"/>
    <w:basedOn w:val="DefaultParagraphFont"/>
    <w:link w:val="BodyTextIndent"/>
    <w:rsid w:val="00FD4AE1"/>
    <w:rPr>
      <w:rFonts w:ascii="Times New Roman" w:eastAsia="MS Mincho" w:hAnsi="Times New Roman" w:cs="Times New Roman"/>
      <w:sz w:val="24"/>
      <w:szCs w:val="24"/>
      <w:lang w:val="en-US" w:eastAsia="ja-JP"/>
    </w:rPr>
  </w:style>
  <w:style w:type="paragraph" w:styleId="BodyTextFirstIndent2">
    <w:name w:val="Body Text First Indent 2"/>
    <w:basedOn w:val="BodyTextIndent"/>
    <w:link w:val="BodyTextFirstIndent2Char"/>
    <w:rsid w:val="00FD4AE1"/>
    <w:pPr>
      <w:ind w:firstLine="210"/>
    </w:pPr>
  </w:style>
  <w:style w:type="character" w:customStyle="1" w:styleId="BodyTextFirstIndent2Char">
    <w:name w:val="Body Text First Indent 2 Char"/>
    <w:basedOn w:val="BodyTextIndentChar"/>
    <w:link w:val="BodyTextFirstIndent2"/>
    <w:rsid w:val="00FD4AE1"/>
    <w:rPr>
      <w:rFonts w:ascii="Times New Roman" w:eastAsia="MS Mincho" w:hAnsi="Times New Roman" w:cs="Times New Roman"/>
      <w:sz w:val="24"/>
      <w:szCs w:val="24"/>
      <w:lang w:val="en-US" w:eastAsia="ja-JP"/>
    </w:rPr>
  </w:style>
  <w:style w:type="paragraph" w:styleId="BodyTextIndent2">
    <w:name w:val="Body Text Indent 2"/>
    <w:basedOn w:val="Normal"/>
    <w:link w:val="BodyTextIndent2Char"/>
    <w:rsid w:val="00FD4AE1"/>
    <w:pPr>
      <w:spacing w:after="120" w:line="480" w:lineRule="auto"/>
      <w:ind w:left="360"/>
    </w:pPr>
    <w:rPr>
      <w:rFonts w:ascii="Times New Roman" w:eastAsia="MS Mincho" w:hAnsi="Times New Roman" w:cs="Times New Roman"/>
      <w:sz w:val="24"/>
      <w:szCs w:val="24"/>
      <w:lang w:val="en-US" w:eastAsia="ja-JP"/>
    </w:rPr>
  </w:style>
  <w:style w:type="character" w:customStyle="1" w:styleId="BodyTextIndent2Char">
    <w:name w:val="Body Text Indent 2 Char"/>
    <w:basedOn w:val="DefaultParagraphFont"/>
    <w:link w:val="BodyTextIndent2"/>
    <w:rsid w:val="00FD4AE1"/>
    <w:rPr>
      <w:rFonts w:ascii="Times New Roman" w:eastAsia="MS Mincho" w:hAnsi="Times New Roman" w:cs="Times New Roman"/>
      <w:sz w:val="24"/>
      <w:szCs w:val="24"/>
      <w:lang w:val="en-US" w:eastAsia="ja-JP"/>
    </w:rPr>
  </w:style>
  <w:style w:type="paragraph" w:styleId="BodyTextIndent3">
    <w:name w:val="Body Text Indent 3"/>
    <w:basedOn w:val="Normal"/>
    <w:link w:val="BodyTextIndent3Char"/>
    <w:rsid w:val="00FD4AE1"/>
    <w:pPr>
      <w:spacing w:after="120" w:line="240" w:lineRule="auto"/>
      <w:ind w:left="360"/>
    </w:pPr>
    <w:rPr>
      <w:rFonts w:ascii="Times New Roman" w:eastAsia="MS Mincho" w:hAnsi="Times New Roman" w:cs="Times New Roman"/>
      <w:sz w:val="16"/>
      <w:szCs w:val="16"/>
      <w:lang w:val="en-US" w:eastAsia="ja-JP"/>
    </w:rPr>
  </w:style>
  <w:style w:type="character" w:customStyle="1" w:styleId="BodyTextIndent3Char">
    <w:name w:val="Body Text Indent 3 Char"/>
    <w:basedOn w:val="DefaultParagraphFont"/>
    <w:link w:val="BodyTextIndent3"/>
    <w:rsid w:val="00FD4AE1"/>
    <w:rPr>
      <w:rFonts w:ascii="Times New Roman" w:eastAsia="MS Mincho" w:hAnsi="Times New Roman" w:cs="Times New Roman"/>
      <w:sz w:val="16"/>
      <w:szCs w:val="16"/>
      <w:lang w:val="en-US" w:eastAsia="ja-JP"/>
    </w:rPr>
  </w:style>
  <w:style w:type="paragraph" w:styleId="Closing">
    <w:name w:val="Closing"/>
    <w:basedOn w:val="Normal"/>
    <w:link w:val="ClosingChar"/>
    <w:rsid w:val="00FD4AE1"/>
    <w:pPr>
      <w:spacing w:after="0" w:line="240" w:lineRule="auto"/>
      <w:ind w:left="4320"/>
    </w:pPr>
    <w:rPr>
      <w:rFonts w:ascii="Times New Roman" w:eastAsia="MS Mincho" w:hAnsi="Times New Roman" w:cs="Times New Roman"/>
      <w:sz w:val="24"/>
      <w:szCs w:val="24"/>
      <w:lang w:val="en-US" w:eastAsia="ja-JP"/>
    </w:rPr>
  </w:style>
  <w:style w:type="character" w:customStyle="1" w:styleId="ClosingChar">
    <w:name w:val="Closing Char"/>
    <w:basedOn w:val="DefaultParagraphFont"/>
    <w:link w:val="Closing"/>
    <w:rsid w:val="00FD4AE1"/>
    <w:rPr>
      <w:rFonts w:ascii="Times New Roman" w:eastAsia="MS Mincho" w:hAnsi="Times New Roman" w:cs="Times New Roman"/>
      <w:sz w:val="24"/>
      <w:szCs w:val="24"/>
      <w:lang w:val="en-US" w:eastAsia="ja-JP"/>
    </w:rPr>
  </w:style>
  <w:style w:type="paragraph" w:styleId="Date">
    <w:name w:val="Date"/>
    <w:basedOn w:val="Normal"/>
    <w:next w:val="Normal"/>
    <w:link w:val="DateChar"/>
    <w:rsid w:val="00FD4AE1"/>
    <w:pPr>
      <w:spacing w:after="0" w:line="240" w:lineRule="auto"/>
    </w:pPr>
    <w:rPr>
      <w:rFonts w:ascii="Times New Roman" w:eastAsia="MS Mincho" w:hAnsi="Times New Roman" w:cs="Times New Roman"/>
      <w:sz w:val="24"/>
      <w:szCs w:val="24"/>
      <w:lang w:val="en-US" w:eastAsia="ja-JP"/>
    </w:rPr>
  </w:style>
  <w:style w:type="character" w:customStyle="1" w:styleId="DateChar">
    <w:name w:val="Date Char"/>
    <w:basedOn w:val="DefaultParagraphFont"/>
    <w:link w:val="Date"/>
    <w:rsid w:val="00FD4AE1"/>
    <w:rPr>
      <w:rFonts w:ascii="Times New Roman" w:eastAsia="MS Mincho" w:hAnsi="Times New Roman" w:cs="Times New Roman"/>
      <w:sz w:val="24"/>
      <w:szCs w:val="24"/>
      <w:lang w:val="en-US" w:eastAsia="ja-JP"/>
    </w:rPr>
  </w:style>
  <w:style w:type="paragraph" w:styleId="E-mailSignature">
    <w:name w:val="E-mail Signature"/>
    <w:basedOn w:val="Normal"/>
    <w:link w:val="E-mailSignatureChar"/>
    <w:rsid w:val="00FD4AE1"/>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rsid w:val="00FD4AE1"/>
    <w:rPr>
      <w:rFonts w:ascii="Times New Roman" w:eastAsia="MS Mincho" w:hAnsi="Times New Roman" w:cs="Times New Roman"/>
      <w:sz w:val="24"/>
      <w:szCs w:val="24"/>
      <w:lang w:val="en-US" w:eastAsia="ja-JP"/>
    </w:rPr>
  </w:style>
  <w:style w:type="character" w:styleId="Emphasis">
    <w:name w:val="Emphasis"/>
    <w:qFormat/>
    <w:rsid w:val="00FD4AE1"/>
    <w:rPr>
      <w:i/>
      <w:iCs/>
    </w:rPr>
  </w:style>
  <w:style w:type="character" w:styleId="EndnoteReference">
    <w:name w:val="endnote reference"/>
    <w:rsid w:val="00FD4AE1"/>
    <w:rPr>
      <w:b w:val="0"/>
      <w:i w:val="0"/>
      <w:color w:val="auto"/>
      <w:sz w:val="18"/>
      <w:szCs w:val="18"/>
      <w:u w:val="none"/>
      <w:vertAlign w:val="superscript"/>
      <w:lang w:val="en-US" w:eastAsia="ja-JP"/>
    </w:rPr>
  </w:style>
  <w:style w:type="paragraph" w:styleId="EndnoteText">
    <w:name w:val="endnote text"/>
    <w:link w:val="EndnoteTextChar"/>
    <w:rsid w:val="00FD4AE1"/>
    <w:pPr>
      <w:spacing w:after="0" w:line="240" w:lineRule="auto"/>
    </w:pPr>
    <w:rPr>
      <w:rFonts w:ascii="Times New Roman" w:eastAsia="MS Mincho" w:hAnsi="Times New Roman" w:cs="Times New Roman"/>
      <w:sz w:val="18"/>
      <w:szCs w:val="18"/>
      <w:lang w:val="en-US" w:eastAsia="ja-JP"/>
    </w:rPr>
  </w:style>
  <w:style w:type="character" w:customStyle="1" w:styleId="EndnoteTextChar">
    <w:name w:val="Endnote Text Char"/>
    <w:basedOn w:val="DefaultParagraphFont"/>
    <w:link w:val="EndnoteText"/>
    <w:rsid w:val="00FD4AE1"/>
    <w:rPr>
      <w:rFonts w:ascii="Times New Roman" w:eastAsia="MS Mincho" w:hAnsi="Times New Roman" w:cs="Times New Roman"/>
      <w:sz w:val="18"/>
      <w:szCs w:val="18"/>
      <w:lang w:val="en-US" w:eastAsia="ja-JP"/>
    </w:rPr>
  </w:style>
  <w:style w:type="paragraph" w:styleId="EnvelopeAddress">
    <w:name w:val="envelope address"/>
    <w:basedOn w:val="Normal"/>
    <w:rsid w:val="00FD4AE1"/>
    <w:pPr>
      <w:framePr w:w="7920" w:h="1980" w:hRule="exact" w:hSpace="180" w:wrap="auto" w:hAnchor="page" w:xAlign="center" w:yAlign="bottom"/>
      <w:spacing w:after="0" w:line="240" w:lineRule="auto"/>
      <w:ind w:left="2880"/>
    </w:pPr>
    <w:rPr>
      <w:rFonts w:ascii="Arial" w:eastAsia="MS Mincho" w:hAnsi="Arial" w:cs="Arial"/>
      <w:sz w:val="24"/>
      <w:szCs w:val="24"/>
      <w:lang w:val="en-US" w:eastAsia="ja-JP"/>
    </w:rPr>
  </w:style>
  <w:style w:type="paragraph" w:styleId="EnvelopeReturn">
    <w:name w:val="envelope return"/>
    <w:basedOn w:val="Normal"/>
    <w:rsid w:val="00FD4AE1"/>
    <w:pPr>
      <w:spacing w:after="0" w:line="240" w:lineRule="auto"/>
    </w:pPr>
    <w:rPr>
      <w:rFonts w:ascii="Arial" w:eastAsia="MS Mincho" w:hAnsi="Arial" w:cs="Arial"/>
      <w:sz w:val="20"/>
      <w:szCs w:val="20"/>
      <w:lang w:val="en-US" w:eastAsia="ja-JP"/>
    </w:rPr>
  </w:style>
  <w:style w:type="character" w:styleId="FootnoteReference">
    <w:name w:val="footnote reference"/>
    <w:rsid w:val="00FD4AE1"/>
    <w:rPr>
      <w:b w:val="0"/>
      <w:i w:val="0"/>
      <w:color w:val="auto"/>
      <w:sz w:val="20"/>
      <w:szCs w:val="18"/>
      <w:u w:val="none"/>
      <w:vertAlign w:val="baseline"/>
      <w:lang w:val="en-US" w:eastAsia="ja-JP"/>
    </w:rPr>
  </w:style>
  <w:style w:type="paragraph" w:styleId="FootnoteText">
    <w:name w:val="footnote text"/>
    <w:link w:val="FootnoteTextChar"/>
    <w:rsid w:val="00FD4AE1"/>
    <w:pPr>
      <w:tabs>
        <w:tab w:val="left" w:pos="360"/>
      </w:tabs>
      <w:spacing w:after="0" w:line="240" w:lineRule="auto"/>
      <w:ind w:left="360" w:hanging="360"/>
    </w:pPr>
    <w:rPr>
      <w:rFonts w:ascii="Times New Roman" w:eastAsia="MS Mincho" w:hAnsi="Times New Roman" w:cs="Times New Roman"/>
      <w:sz w:val="18"/>
      <w:szCs w:val="18"/>
      <w:lang w:val="en-US" w:eastAsia="ja-JP"/>
    </w:rPr>
  </w:style>
  <w:style w:type="character" w:customStyle="1" w:styleId="FootnoteTextChar">
    <w:name w:val="Footnote Text Char"/>
    <w:basedOn w:val="DefaultParagraphFont"/>
    <w:link w:val="FootnoteText"/>
    <w:rsid w:val="00FD4AE1"/>
    <w:rPr>
      <w:rFonts w:ascii="Times New Roman" w:eastAsia="MS Mincho" w:hAnsi="Times New Roman" w:cs="Times New Roman"/>
      <w:sz w:val="18"/>
      <w:szCs w:val="18"/>
      <w:lang w:val="en-US" w:eastAsia="ja-JP"/>
    </w:rPr>
  </w:style>
  <w:style w:type="character" w:styleId="HTMLAcronym">
    <w:name w:val="HTML Acronym"/>
    <w:rsid w:val="00FD4AE1"/>
  </w:style>
  <w:style w:type="paragraph" w:styleId="HTMLAddress">
    <w:name w:val="HTML Address"/>
    <w:basedOn w:val="Normal"/>
    <w:link w:val="HTMLAddressChar"/>
    <w:rsid w:val="00FD4AE1"/>
    <w:pPr>
      <w:spacing w:after="0" w:line="240" w:lineRule="auto"/>
    </w:pPr>
    <w:rPr>
      <w:rFonts w:ascii="Times New Roman" w:eastAsia="MS Mincho" w:hAnsi="Times New Roman" w:cs="Times New Roman"/>
      <w:i/>
      <w:iCs/>
      <w:sz w:val="24"/>
      <w:szCs w:val="24"/>
      <w:lang w:val="en-US" w:eastAsia="ja-JP"/>
    </w:rPr>
  </w:style>
  <w:style w:type="character" w:customStyle="1" w:styleId="HTMLAddressChar">
    <w:name w:val="HTML Address Char"/>
    <w:basedOn w:val="DefaultParagraphFont"/>
    <w:link w:val="HTMLAddress"/>
    <w:rsid w:val="00FD4AE1"/>
    <w:rPr>
      <w:rFonts w:ascii="Times New Roman" w:eastAsia="MS Mincho" w:hAnsi="Times New Roman" w:cs="Times New Roman"/>
      <w:i/>
      <w:iCs/>
      <w:sz w:val="24"/>
      <w:szCs w:val="24"/>
      <w:lang w:val="en-US" w:eastAsia="ja-JP"/>
    </w:rPr>
  </w:style>
  <w:style w:type="character" w:styleId="HTMLCite">
    <w:name w:val="HTML Cite"/>
    <w:rsid w:val="00FD4AE1"/>
    <w:rPr>
      <w:i/>
      <w:iCs/>
    </w:rPr>
  </w:style>
  <w:style w:type="character" w:styleId="HTMLCode">
    <w:name w:val="HTML Code"/>
    <w:rsid w:val="00FD4AE1"/>
    <w:rPr>
      <w:rFonts w:ascii="Courier New" w:hAnsi="Courier New" w:cs="Courier New"/>
      <w:sz w:val="20"/>
      <w:szCs w:val="20"/>
    </w:rPr>
  </w:style>
  <w:style w:type="character" w:styleId="HTMLDefinition">
    <w:name w:val="HTML Definition"/>
    <w:rsid w:val="00FD4AE1"/>
    <w:rPr>
      <w:i/>
      <w:iCs/>
    </w:rPr>
  </w:style>
  <w:style w:type="character" w:styleId="HTMLKeyboard">
    <w:name w:val="HTML Keyboard"/>
    <w:rsid w:val="00FD4AE1"/>
    <w:rPr>
      <w:rFonts w:ascii="Courier New" w:hAnsi="Courier New" w:cs="Courier New"/>
      <w:sz w:val="20"/>
      <w:szCs w:val="20"/>
    </w:rPr>
  </w:style>
  <w:style w:type="paragraph" w:styleId="HTMLPreformatted">
    <w:name w:val="HTML Preformatted"/>
    <w:basedOn w:val="Normal"/>
    <w:link w:val="HTMLPreformattedChar"/>
    <w:rsid w:val="00FD4AE1"/>
    <w:pPr>
      <w:spacing w:after="0" w:line="240" w:lineRule="auto"/>
    </w:pPr>
    <w:rPr>
      <w:rFonts w:ascii="Courier New" w:eastAsia="MS Mincho" w:hAnsi="Courier New" w:cs="Courier New"/>
      <w:sz w:val="20"/>
      <w:szCs w:val="20"/>
      <w:lang w:val="en-US" w:eastAsia="ja-JP"/>
    </w:rPr>
  </w:style>
  <w:style w:type="character" w:customStyle="1" w:styleId="HTMLPreformattedChar">
    <w:name w:val="HTML Preformatted Char"/>
    <w:basedOn w:val="DefaultParagraphFont"/>
    <w:link w:val="HTMLPreformatted"/>
    <w:rsid w:val="00FD4AE1"/>
    <w:rPr>
      <w:rFonts w:ascii="Courier New" w:eastAsia="MS Mincho" w:hAnsi="Courier New" w:cs="Courier New"/>
      <w:sz w:val="20"/>
      <w:szCs w:val="20"/>
      <w:lang w:val="en-US" w:eastAsia="ja-JP"/>
    </w:rPr>
  </w:style>
  <w:style w:type="character" w:styleId="HTMLSample">
    <w:name w:val="HTML Sample"/>
    <w:rsid w:val="00FD4AE1"/>
    <w:rPr>
      <w:rFonts w:ascii="Courier New" w:hAnsi="Courier New" w:cs="Courier New"/>
    </w:rPr>
  </w:style>
  <w:style w:type="character" w:styleId="HTMLTypewriter">
    <w:name w:val="HTML Typewriter"/>
    <w:rsid w:val="00FD4AE1"/>
    <w:rPr>
      <w:rFonts w:ascii="Courier New" w:hAnsi="Courier New" w:cs="Courier New"/>
      <w:sz w:val="20"/>
      <w:szCs w:val="20"/>
    </w:rPr>
  </w:style>
  <w:style w:type="character" w:styleId="HTMLVariable">
    <w:name w:val="HTML Variable"/>
    <w:rsid w:val="00FD4AE1"/>
    <w:rPr>
      <w:i/>
      <w:iCs/>
    </w:rPr>
  </w:style>
  <w:style w:type="character" w:styleId="LineNumber">
    <w:name w:val="line number"/>
    <w:rsid w:val="00FD4AE1"/>
  </w:style>
  <w:style w:type="paragraph" w:styleId="List">
    <w:name w:val="List"/>
    <w:basedOn w:val="Normal"/>
    <w:rsid w:val="00FD4AE1"/>
    <w:pPr>
      <w:spacing w:after="0" w:line="240" w:lineRule="auto"/>
      <w:ind w:left="360" w:hanging="360"/>
    </w:pPr>
    <w:rPr>
      <w:rFonts w:ascii="Times New Roman" w:eastAsia="MS Mincho" w:hAnsi="Times New Roman" w:cs="Times New Roman"/>
      <w:sz w:val="24"/>
      <w:szCs w:val="24"/>
      <w:lang w:val="en-US" w:eastAsia="ja-JP"/>
    </w:rPr>
  </w:style>
  <w:style w:type="paragraph" w:styleId="List2">
    <w:name w:val="List 2"/>
    <w:basedOn w:val="Normal"/>
    <w:rsid w:val="00FD4AE1"/>
    <w:pPr>
      <w:spacing w:after="0" w:line="240" w:lineRule="auto"/>
      <w:ind w:left="720" w:hanging="360"/>
    </w:pPr>
    <w:rPr>
      <w:rFonts w:ascii="Times New Roman" w:eastAsia="MS Mincho" w:hAnsi="Times New Roman" w:cs="Times New Roman"/>
      <w:sz w:val="24"/>
      <w:szCs w:val="24"/>
      <w:lang w:val="en-US" w:eastAsia="ja-JP"/>
    </w:rPr>
  </w:style>
  <w:style w:type="paragraph" w:styleId="List3">
    <w:name w:val="List 3"/>
    <w:basedOn w:val="Normal"/>
    <w:rsid w:val="00FD4AE1"/>
    <w:pPr>
      <w:spacing w:after="0" w:line="240" w:lineRule="auto"/>
      <w:ind w:left="1080" w:hanging="360"/>
    </w:pPr>
    <w:rPr>
      <w:rFonts w:ascii="Times New Roman" w:eastAsia="MS Mincho" w:hAnsi="Times New Roman" w:cs="Times New Roman"/>
      <w:sz w:val="24"/>
      <w:szCs w:val="24"/>
      <w:lang w:val="en-US" w:eastAsia="ja-JP"/>
    </w:rPr>
  </w:style>
  <w:style w:type="paragraph" w:styleId="List4">
    <w:name w:val="List 4"/>
    <w:basedOn w:val="Normal"/>
    <w:rsid w:val="00FD4AE1"/>
    <w:pPr>
      <w:spacing w:after="0" w:line="240" w:lineRule="auto"/>
      <w:ind w:left="1440" w:hanging="360"/>
    </w:pPr>
    <w:rPr>
      <w:rFonts w:ascii="Times New Roman" w:eastAsia="MS Mincho" w:hAnsi="Times New Roman" w:cs="Times New Roman"/>
      <w:sz w:val="24"/>
      <w:szCs w:val="24"/>
      <w:lang w:val="en-US" w:eastAsia="ja-JP"/>
    </w:rPr>
  </w:style>
  <w:style w:type="paragraph" w:styleId="List5">
    <w:name w:val="List 5"/>
    <w:basedOn w:val="Normal"/>
    <w:rsid w:val="00FD4AE1"/>
    <w:pPr>
      <w:spacing w:after="0" w:line="240" w:lineRule="auto"/>
      <w:ind w:left="1800" w:hanging="360"/>
    </w:pPr>
    <w:rPr>
      <w:rFonts w:ascii="Times New Roman" w:eastAsia="MS Mincho" w:hAnsi="Times New Roman" w:cs="Times New Roman"/>
      <w:sz w:val="24"/>
      <w:szCs w:val="24"/>
      <w:lang w:val="en-US" w:eastAsia="ja-JP"/>
    </w:rPr>
  </w:style>
  <w:style w:type="paragraph" w:styleId="ListContinue">
    <w:name w:val="List Continue"/>
    <w:basedOn w:val="Normal"/>
    <w:rsid w:val="00FD4AE1"/>
    <w:pPr>
      <w:spacing w:after="120" w:line="240" w:lineRule="auto"/>
      <w:ind w:left="360"/>
    </w:pPr>
    <w:rPr>
      <w:rFonts w:ascii="Times New Roman" w:eastAsia="MS Mincho" w:hAnsi="Times New Roman" w:cs="Times New Roman"/>
      <w:sz w:val="24"/>
      <w:szCs w:val="24"/>
      <w:lang w:val="en-US" w:eastAsia="ja-JP"/>
    </w:rPr>
  </w:style>
  <w:style w:type="paragraph" w:styleId="ListContinue2">
    <w:name w:val="List Continue 2"/>
    <w:basedOn w:val="Normal"/>
    <w:rsid w:val="00FD4AE1"/>
    <w:pPr>
      <w:spacing w:after="120" w:line="240" w:lineRule="auto"/>
      <w:ind w:left="720"/>
    </w:pPr>
    <w:rPr>
      <w:rFonts w:ascii="Times New Roman" w:eastAsia="MS Mincho" w:hAnsi="Times New Roman" w:cs="Times New Roman"/>
      <w:sz w:val="24"/>
      <w:szCs w:val="24"/>
      <w:lang w:val="en-US" w:eastAsia="ja-JP"/>
    </w:rPr>
  </w:style>
  <w:style w:type="paragraph" w:styleId="ListContinue3">
    <w:name w:val="List Continue 3"/>
    <w:basedOn w:val="Normal"/>
    <w:rsid w:val="00FD4AE1"/>
    <w:pPr>
      <w:spacing w:after="120" w:line="240" w:lineRule="auto"/>
      <w:ind w:left="1080"/>
    </w:pPr>
    <w:rPr>
      <w:rFonts w:ascii="Times New Roman" w:eastAsia="MS Mincho" w:hAnsi="Times New Roman" w:cs="Times New Roman"/>
      <w:sz w:val="24"/>
      <w:szCs w:val="24"/>
      <w:lang w:val="en-US" w:eastAsia="ja-JP"/>
    </w:rPr>
  </w:style>
  <w:style w:type="paragraph" w:styleId="ListContinue4">
    <w:name w:val="List Continue 4"/>
    <w:basedOn w:val="Normal"/>
    <w:rsid w:val="00FD4AE1"/>
    <w:pPr>
      <w:spacing w:after="120" w:line="240" w:lineRule="auto"/>
      <w:ind w:left="1440"/>
    </w:pPr>
    <w:rPr>
      <w:rFonts w:ascii="Times New Roman" w:eastAsia="MS Mincho" w:hAnsi="Times New Roman" w:cs="Times New Roman"/>
      <w:sz w:val="24"/>
      <w:szCs w:val="24"/>
      <w:lang w:val="en-US" w:eastAsia="ja-JP"/>
    </w:rPr>
  </w:style>
  <w:style w:type="paragraph" w:styleId="ListContinue5">
    <w:name w:val="List Continue 5"/>
    <w:basedOn w:val="Normal"/>
    <w:rsid w:val="00FD4AE1"/>
    <w:pPr>
      <w:spacing w:after="120" w:line="240" w:lineRule="auto"/>
      <w:ind w:left="1800"/>
    </w:pPr>
    <w:rPr>
      <w:rFonts w:ascii="Times New Roman" w:eastAsia="MS Mincho" w:hAnsi="Times New Roman" w:cs="Times New Roman"/>
      <w:sz w:val="24"/>
      <w:szCs w:val="24"/>
      <w:lang w:val="en-US" w:eastAsia="ja-JP"/>
    </w:rPr>
  </w:style>
  <w:style w:type="paragraph" w:styleId="MessageHeader">
    <w:name w:val="Message Header"/>
    <w:basedOn w:val="Normal"/>
    <w:link w:val="MessageHeaderChar"/>
    <w:rsid w:val="00FD4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MS Mincho" w:hAnsi="Arial" w:cs="Arial"/>
      <w:sz w:val="24"/>
      <w:szCs w:val="24"/>
      <w:lang w:val="en-US" w:eastAsia="ja-JP"/>
    </w:rPr>
  </w:style>
  <w:style w:type="character" w:customStyle="1" w:styleId="MessageHeaderChar">
    <w:name w:val="Message Header Char"/>
    <w:basedOn w:val="DefaultParagraphFont"/>
    <w:link w:val="MessageHeader"/>
    <w:rsid w:val="00FD4AE1"/>
    <w:rPr>
      <w:rFonts w:ascii="Arial" w:eastAsia="MS Mincho" w:hAnsi="Arial" w:cs="Arial"/>
      <w:sz w:val="24"/>
      <w:szCs w:val="24"/>
      <w:shd w:val="pct20" w:color="auto" w:fill="auto"/>
      <w:lang w:val="en-US" w:eastAsia="ja-JP"/>
    </w:rPr>
  </w:style>
  <w:style w:type="paragraph" w:styleId="NormalIndent">
    <w:name w:val="Normal Indent"/>
    <w:basedOn w:val="Normal"/>
    <w:rsid w:val="00FD4AE1"/>
    <w:pPr>
      <w:spacing w:after="0" w:line="240" w:lineRule="auto"/>
      <w:ind w:left="720"/>
    </w:pPr>
    <w:rPr>
      <w:rFonts w:ascii="Times New Roman" w:eastAsia="MS Mincho" w:hAnsi="Times New Roman" w:cs="Times New Roman"/>
      <w:sz w:val="24"/>
      <w:szCs w:val="24"/>
      <w:lang w:val="en-US" w:eastAsia="ja-JP"/>
    </w:rPr>
  </w:style>
  <w:style w:type="paragraph" w:styleId="NoteHeading">
    <w:name w:val="Note Heading"/>
    <w:basedOn w:val="Normal"/>
    <w:next w:val="Normal"/>
    <w:link w:val="NoteHeadingChar"/>
    <w:rsid w:val="00FD4AE1"/>
    <w:pPr>
      <w:spacing w:after="0" w:line="240" w:lineRule="auto"/>
    </w:pPr>
    <w:rPr>
      <w:rFonts w:ascii="Times New Roman" w:eastAsia="MS Mincho" w:hAnsi="Times New Roman" w:cs="Times New Roman"/>
      <w:sz w:val="24"/>
      <w:szCs w:val="24"/>
      <w:lang w:val="en-US" w:eastAsia="ja-JP"/>
    </w:rPr>
  </w:style>
  <w:style w:type="character" w:customStyle="1" w:styleId="NoteHeadingChar">
    <w:name w:val="Note Heading Char"/>
    <w:basedOn w:val="DefaultParagraphFont"/>
    <w:link w:val="NoteHeading"/>
    <w:rsid w:val="00FD4AE1"/>
    <w:rPr>
      <w:rFonts w:ascii="Times New Roman" w:eastAsia="MS Mincho" w:hAnsi="Times New Roman" w:cs="Times New Roman"/>
      <w:sz w:val="24"/>
      <w:szCs w:val="24"/>
      <w:lang w:val="en-US" w:eastAsia="ja-JP"/>
    </w:rPr>
  </w:style>
  <w:style w:type="paragraph" w:styleId="PlainText">
    <w:name w:val="Plain Text"/>
    <w:basedOn w:val="Normal"/>
    <w:link w:val="PlainTextChar"/>
    <w:rsid w:val="00FD4AE1"/>
    <w:pPr>
      <w:spacing w:after="0" w:line="240" w:lineRule="auto"/>
    </w:pPr>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rsid w:val="00FD4AE1"/>
    <w:rPr>
      <w:rFonts w:ascii="Courier New" w:eastAsia="MS Mincho" w:hAnsi="Courier New" w:cs="Courier New"/>
      <w:sz w:val="20"/>
      <w:szCs w:val="20"/>
      <w:lang w:val="en-US" w:eastAsia="ja-JP"/>
    </w:rPr>
  </w:style>
  <w:style w:type="paragraph" w:styleId="Salutation">
    <w:name w:val="Salutation"/>
    <w:basedOn w:val="Normal"/>
    <w:next w:val="Normal"/>
    <w:link w:val="SalutationChar"/>
    <w:rsid w:val="00FD4AE1"/>
    <w:pPr>
      <w:spacing w:after="0" w:line="240" w:lineRule="auto"/>
    </w:pPr>
    <w:rPr>
      <w:rFonts w:ascii="Times New Roman" w:eastAsia="MS Mincho" w:hAnsi="Times New Roman" w:cs="Times New Roman"/>
      <w:sz w:val="24"/>
      <w:szCs w:val="24"/>
      <w:lang w:val="en-US" w:eastAsia="ja-JP"/>
    </w:rPr>
  </w:style>
  <w:style w:type="character" w:customStyle="1" w:styleId="SalutationChar">
    <w:name w:val="Salutation Char"/>
    <w:basedOn w:val="DefaultParagraphFont"/>
    <w:link w:val="Salutation"/>
    <w:rsid w:val="00FD4AE1"/>
    <w:rPr>
      <w:rFonts w:ascii="Times New Roman" w:eastAsia="MS Mincho" w:hAnsi="Times New Roman" w:cs="Times New Roman"/>
      <w:sz w:val="24"/>
      <w:szCs w:val="24"/>
      <w:lang w:val="en-US" w:eastAsia="ja-JP"/>
    </w:rPr>
  </w:style>
  <w:style w:type="paragraph" w:styleId="Signature">
    <w:name w:val="Signature"/>
    <w:basedOn w:val="Normal"/>
    <w:link w:val="SignatureChar"/>
    <w:rsid w:val="00FD4AE1"/>
    <w:pPr>
      <w:spacing w:after="0" w:line="240" w:lineRule="auto"/>
      <w:ind w:left="4320"/>
    </w:pPr>
    <w:rPr>
      <w:rFonts w:ascii="Times New Roman" w:eastAsia="MS Mincho" w:hAnsi="Times New Roman" w:cs="Times New Roman"/>
      <w:sz w:val="24"/>
      <w:szCs w:val="24"/>
      <w:lang w:val="en-US" w:eastAsia="ja-JP"/>
    </w:rPr>
  </w:style>
  <w:style w:type="character" w:customStyle="1" w:styleId="SignatureChar">
    <w:name w:val="Signature Char"/>
    <w:basedOn w:val="DefaultParagraphFont"/>
    <w:link w:val="Signature"/>
    <w:rsid w:val="00FD4AE1"/>
    <w:rPr>
      <w:rFonts w:ascii="Times New Roman" w:eastAsia="MS Mincho" w:hAnsi="Times New Roman" w:cs="Times New Roman"/>
      <w:sz w:val="24"/>
      <w:szCs w:val="24"/>
      <w:lang w:val="en-US" w:eastAsia="ja-JP"/>
    </w:rPr>
  </w:style>
  <w:style w:type="character" w:styleId="Strong">
    <w:name w:val="Strong"/>
    <w:qFormat/>
    <w:rsid w:val="00FD4AE1"/>
    <w:rPr>
      <w:b/>
      <w:bCs/>
    </w:rPr>
  </w:style>
  <w:style w:type="table" w:styleId="Table3Deffects1">
    <w:name w:val="Table 3D effects 1"/>
    <w:basedOn w:val="TableNormal"/>
    <w:rsid w:val="00FD4AE1"/>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4AE1"/>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4AE1"/>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4AE1"/>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4AE1"/>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4AE1"/>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4AE1"/>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4AE1"/>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4AE1"/>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4AE1"/>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4AE1"/>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4AE1"/>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4AE1"/>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4AE1"/>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4AE1"/>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4AE1"/>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4AE1"/>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4AE1"/>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table" w:styleId="TableProfessional">
    <w:name w:val="Table Professional"/>
    <w:basedOn w:val="TableNormal"/>
    <w:rsid w:val="00FD4AE1"/>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4AE1"/>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4AE1"/>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4AE1"/>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4AE1"/>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4AE1"/>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4AE1"/>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4AE1"/>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4AE1"/>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b/>
      <w:sz w:val="28"/>
      <w:szCs w:val="24"/>
      <w:lang w:val="en-US" w:eastAsia="ja-JP"/>
    </w:rPr>
  </w:style>
  <w:style w:type="paragraph" w:styleId="TOC2">
    <w:name w:val="toc 2"/>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3">
    <w:name w:val="toc 3"/>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4">
    <w:name w:val="toc 4"/>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5">
    <w:name w:val="toc 5"/>
    <w:next w:val="Paragraph"/>
    <w:uiPriority w:val="39"/>
    <w:rsid w:val="00FD4AE1"/>
    <w:pPr>
      <w:keepLines/>
      <w:tabs>
        <w:tab w:val="left" w:pos="1584"/>
        <w:tab w:val="right" w:leader="dot" w:pos="8698"/>
      </w:tabs>
      <w:spacing w:before="60" w:after="60" w:line="280" w:lineRule="exact"/>
      <w:ind w:left="1584" w:right="720" w:hanging="1584"/>
    </w:pPr>
    <w:rPr>
      <w:rFonts w:ascii="Times New Roman" w:eastAsia="MS Mincho" w:hAnsi="Times New Roman" w:cs="Times New Roman"/>
      <w:sz w:val="24"/>
      <w:szCs w:val="24"/>
      <w:lang w:val="en-US" w:eastAsia="ja-JP"/>
    </w:rPr>
  </w:style>
  <w:style w:type="paragraph" w:styleId="TOC6">
    <w:name w:val="toc 6"/>
    <w:next w:val="Paragraph"/>
    <w:rsid w:val="00FD4AE1"/>
    <w:pPr>
      <w:keepLines/>
      <w:tabs>
        <w:tab w:val="right" w:leader="dot" w:pos="9000"/>
      </w:tabs>
      <w:spacing w:before="60" w:after="60" w:line="280" w:lineRule="exact"/>
      <w:ind w:left="1440" w:right="360"/>
    </w:pPr>
    <w:rPr>
      <w:rFonts w:ascii="Times New Roman" w:eastAsia="MS Mincho" w:hAnsi="Times New Roman" w:cs="Times New Roman"/>
      <w:sz w:val="24"/>
      <w:szCs w:val="24"/>
      <w:lang w:val="en-US" w:eastAsia="ja-JP"/>
    </w:rPr>
  </w:style>
  <w:style w:type="paragraph" w:styleId="TOC7">
    <w:name w:val="toc 7"/>
    <w:next w:val="Paragraph"/>
    <w:rsid w:val="00FD4AE1"/>
    <w:pPr>
      <w:keepLines/>
      <w:tabs>
        <w:tab w:val="right" w:leader="dot" w:pos="9000"/>
      </w:tabs>
      <w:spacing w:before="60" w:after="60" w:line="280" w:lineRule="exact"/>
      <w:ind w:left="1680" w:right="360"/>
    </w:pPr>
    <w:rPr>
      <w:rFonts w:ascii="Times New Roman" w:eastAsia="MS Mincho" w:hAnsi="Times New Roman" w:cs="Times New Roman"/>
      <w:sz w:val="24"/>
      <w:szCs w:val="24"/>
      <w:lang w:val="en-US" w:eastAsia="ja-JP"/>
    </w:rPr>
  </w:style>
  <w:style w:type="paragraph" w:styleId="TOC8">
    <w:name w:val="toc 8"/>
    <w:next w:val="Paragraph"/>
    <w:rsid w:val="00FD4AE1"/>
    <w:pPr>
      <w:keepLines/>
      <w:tabs>
        <w:tab w:val="right" w:leader="dot" w:pos="9000"/>
      </w:tabs>
      <w:spacing w:before="60" w:after="60" w:line="280" w:lineRule="exact"/>
      <w:ind w:left="1920" w:right="360"/>
    </w:pPr>
    <w:rPr>
      <w:rFonts w:ascii="Times New Roman" w:eastAsia="MS Mincho" w:hAnsi="Times New Roman" w:cs="Times New Roman"/>
      <w:sz w:val="24"/>
      <w:szCs w:val="24"/>
      <w:lang w:val="en-US" w:eastAsia="ja-JP"/>
    </w:rPr>
  </w:style>
  <w:style w:type="paragraph" w:styleId="TOC9">
    <w:name w:val="toc 9"/>
    <w:next w:val="Paragraph"/>
    <w:rsid w:val="00FD4AE1"/>
    <w:pPr>
      <w:keepLines/>
      <w:tabs>
        <w:tab w:val="right" w:leader="dot" w:pos="9000"/>
      </w:tabs>
      <w:spacing w:before="60" w:after="60" w:line="280" w:lineRule="exact"/>
      <w:ind w:left="2160" w:right="360"/>
    </w:pPr>
    <w:rPr>
      <w:rFonts w:ascii="Times New Roman" w:eastAsia="MS Mincho" w:hAnsi="Times New Roman" w:cs="Times New Roman"/>
      <w:sz w:val="24"/>
      <w:szCs w:val="24"/>
      <w:lang w:val="en-US" w:eastAsia="ja-JP"/>
    </w:rPr>
  </w:style>
  <w:style w:type="paragraph" w:customStyle="1" w:styleId="FooterLandscape">
    <w:name w:val="FooterLandscape"/>
    <w:next w:val="Paragraph"/>
    <w:rsid w:val="00FD4AE1"/>
    <w:pPr>
      <w:keepLines/>
      <w:pBdr>
        <w:top w:val="single" w:sz="4" w:space="1" w:color="auto"/>
      </w:pBdr>
      <w:spacing w:before="120" w:after="140" w:line="240" w:lineRule="auto"/>
      <w:jc w:val="right"/>
    </w:pPr>
    <w:rPr>
      <w:rFonts w:ascii="Times New Roman" w:eastAsia="MS Mincho" w:hAnsi="Times New Roman" w:cs="Times New Roman"/>
      <w:sz w:val="20"/>
      <w:szCs w:val="20"/>
      <w:lang w:val="en-US" w:eastAsia="ja-JP"/>
    </w:rPr>
  </w:style>
  <w:style w:type="paragraph" w:styleId="ListBullet2">
    <w:name w:val="List Bullet 2"/>
    <w:rsid w:val="00FD4AE1"/>
    <w:pPr>
      <w:numPr>
        <w:numId w:val="17"/>
      </w:numPr>
      <w:spacing w:before="60" w:after="60" w:line="320" w:lineRule="exact"/>
    </w:pPr>
    <w:rPr>
      <w:rFonts w:ascii="Times New Roman" w:eastAsia="MS Mincho" w:hAnsi="Times New Roman" w:cs="Times New Roman"/>
      <w:sz w:val="24"/>
      <w:szCs w:val="24"/>
      <w:lang w:val="en-US" w:eastAsia="ja-JP"/>
    </w:rPr>
  </w:style>
  <w:style w:type="paragraph" w:styleId="ListBullet3">
    <w:name w:val="List Bullet 3"/>
    <w:rsid w:val="00FD4AE1"/>
    <w:pPr>
      <w:numPr>
        <w:numId w:val="18"/>
      </w:numPr>
      <w:spacing w:before="60" w:after="60" w:line="320" w:lineRule="exact"/>
    </w:pPr>
    <w:rPr>
      <w:rFonts w:ascii="Times New Roman" w:eastAsia="MS Mincho" w:hAnsi="Times New Roman" w:cs="Times New Roman"/>
      <w:sz w:val="24"/>
      <w:szCs w:val="24"/>
      <w:lang w:val="en-US" w:eastAsia="ja-JP"/>
    </w:rPr>
  </w:style>
  <w:style w:type="paragraph" w:styleId="ListBullet4">
    <w:name w:val="List Bullet 4"/>
    <w:basedOn w:val="Normal"/>
    <w:rsid w:val="00FD4AE1"/>
    <w:pPr>
      <w:numPr>
        <w:numId w:val="28"/>
      </w:numPr>
      <w:spacing w:after="0" w:line="240" w:lineRule="auto"/>
      <w:contextualSpacing/>
    </w:pPr>
    <w:rPr>
      <w:rFonts w:ascii="Times New Roman" w:eastAsia="MS Mincho" w:hAnsi="Times New Roman" w:cs="Times New Roman"/>
      <w:sz w:val="24"/>
      <w:szCs w:val="24"/>
      <w:lang w:val="en-US" w:eastAsia="ja-JP"/>
    </w:rPr>
  </w:style>
  <w:style w:type="paragraph" w:styleId="ListBullet5">
    <w:name w:val="List Bullet 5"/>
    <w:basedOn w:val="Normal"/>
    <w:rsid w:val="00FD4AE1"/>
    <w:pPr>
      <w:numPr>
        <w:numId w:val="29"/>
      </w:numPr>
      <w:spacing w:after="0" w:line="240" w:lineRule="auto"/>
      <w:contextualSpacing/>
    </w:pPr>
    <w:rPr>
      <w:rFonts w:ascii="Times New Roman" w:eastAsia="MS Mincho" w:hAnsi="Times New Roman" w:cs="Times New Roman"/>
      <w:sz w:val="24"/>
      <w:szCs w:val="24"/>
      <w:lang w:val="en-US" w:eastAsia="ja-JP"/>
    </w:rPr>
  </w:style>
  <w:style w:type="paragraph" w:styleId="ListNumber4">
    <w:name w:val="List Number 4"/>
    <w:basedOn w:val="Normal"/>
    <w:rsid w:val="00FD4AE1"/>
    <w:pPr>
      <w:numPr>
        <w:numId w:val="30"/>
      </w:numPr>
      <w:spacing w:after="0" w:line="240" w:lineRule="auto"/>
      <w:contextualSpacing/>
    </w:pPr>
    <w:rPr>
      <w:rFonts w:ascii="Times New Roman" w:eastAsia="MS Mincho" w:hAnsi="Times New Roman" w:cs="Times New Roman"/>
      <w:sz w:val="24"/>
      <w:szCs w:val="24"/>
      <w:lang w:val="en-US" w:eastAsia="ja-JP"/>
    </w:rPr>
  </w:style>
  <w:style w:type="paragraph" w:styleId="ListNumber5">
    <w:name w:val="List Number 5"/>
    <w:basedOn w:val="Normal"/>
    <w:rsid w:val="00FD4AE1"/>
    <w:pPr>
      <w:numPr>
        <w:numId w:val="31"/>
      </w:numPr>
      <w:spacing w:after="0" w:line="240" w:lineRule="auto"/>
      <w:contextualSpacing/>
    </w:pPr>
    <w:rPr>
      <w:rFonts w:ascii="Times New Roman" w:eastAsia="MS Mincho" w:hAnsi="Times New Roman" w:cs="Times New Roman"/>
      <w:sz w:val="24"/>
      <w:szCs w:val="24"/>
      <w:lang w:val="en-US" w:eastAsia="ja-JP"/>
    </w:rPr>
  </w:style>
  <w:style w:type="paragraph" w:styleId="ListNumber2">
    <w:name w:val="List Number 2"/>
    <w:rsid w:val="00FD4AE1"/>
    <w:pPr>
      <w:numPr>
        <w:numId w:val="19"/>
      </w:numPr>
      <w:spacing w:before="120" w:after="120" w:line="360" w:lineRule="exact"/>
    </w:pPr>
    <w:rPr>
      <w:rFonts w:ascii="Times New Roman" w:eastAsia="MS Mincho" w:hAnsi="Times New Roman" w:cs="Times New Roman"/>
      <w:sz w:val="24"/>
      <w:szCs w:val="24"/>
      <w:lang w:val="en-US" w:eastAsia="ja-JP"/>
    </w:rPr>
  </w:style>
  <w:style w:type="paragraph" w:styleId="ListNumber3">
    <w:name w:val="List Number 3"/>
    <w:rsid w:val="00FD4AE1"/>
    <w:pPr>
      <w:numPr>
        <w:numId w:val="20"/>
      </w:numPr>
      <w:spacing w:before="120" w:after="120" w:line="360" w:lineRule="exact"/>
    </w:pPr>
    <w:rPr>
      <w:rFonts w:ascii="Times New Roman" w:eastAsia="MS Mincho" w:hAnsi="Times New Roman" w:cs="Times New Roman"/>
      <w:sz w:val="24"/>
      <w:szCs w:val="24"/>
      <w:lang w:val="en-US" w:eastAsia="ja-JP"/>
    </w:rPr>
  </w:style>
  <w:style w:type="paragraph" w:customStyle="1" w:styleId="ListLetter">
    <w:name w:val="List Letter"/>
    <w:rsid w:val="00FD4AE1"/>
    <w:pPr>
      <w:numPr>
        <w:numId w:val="21"/>
      </w:numPr>
      <w:spacing w:before="60" w:after="60" w:line="360" w:lineRule="exact"/>
    </w:pPr>
    <w:rPr>
      <w:rFonts w:ascii="Times New Roman" w:eastAsia="MS Mincho" w:hAnsi="Times New Roman" w:cs="Times New Roman"/>
      <w:sz w:val="24"/>
      <w:szCs w:val="24"/>
      <w:lang w:val="en-US" w:eastAsia="ja-JP"/>
    </w:rPr>
  </w:style>
  <w:style w:type="paragraph" w:customStyle="1" w:styleId="ListLetter2">
    <w:name w:val="List Letter 2"/>
    <w:rsid w:val="00FD4AE1"/>
    <w:pPr>
      <w:numPr>
        <w:numId w:val="22"/>
      </w:numPr>
      <w:spacing w:before="60" w:after="60" w:line="360" w:lineRule="exact"/>
    </w:pPr>
    <w:rPr>
      <w:rFonts w:ascii="Times New Roman" w:eastAsia="MS Mincho" w:hAnsi="Times New Roman" w:cs="Times New Roman"/>
      <w:sz w:val="24"/>
      <w:szCs w:val="24"/>
      <w:lang w:val="en-US" w:eastAsia="ja-JP"/>
    </w:rPr>
  </w:style>
  <w:style w:type="paragraph" w:customStyle="1" w:styleId="ListLetter3">
    <w:name w:val="List Letter 3"/>
    <w:rsid w:val="00FD4AE1"/>
    <w:pPr>
      <w:numPr>
        <w:numId w:val="23"/>
      </w:numPr>
      <w:spacing w:before="60" w:after="60" w:line="360" w:lineRule="exact"/>
    </w:pPr>
    <w:rPr>
      <w:rFonts w:ascii="Times New Roman" w:eastAsia="MS Mincho" w:hAnsi="Times New Roman" w:cs="Times New Roman"/>
      <w:sz w:val="24"/>
      <w:szCs w:val="24"/>
      <w:lang w:val="en-US" w:eastAsia="ja-JP"/>
    </w:rPr>
  </w:style>
  <w:style w:type="character" w:customStyle="1" w:styleId="UserTips">
    <w:name w:val="User Tips"/>
    <w:rsid w:val="00FD4AE1"/>
    <w:rPr>
      <w:b w:val="0"/>
      <w:i/>
      <w:vanish/>
      <w:color w:val="FF6600"/>
      <w:u w:val="none"/>
      <w:vertAlign w:val="baseline"/>
      <w:lang w:val="en-US" w:eastAsia="ja-JP"/>
    </w:rPr>
  </w:style>
  <w:style w:type="paragraph" w:customStyle="1" w:styleId="Appendix">
    <w:name w:val="Appendix"/>
    <w:next w:val="Paragraph"/>
    <w:rsid w:val="00FD4AE1"/>
    <w:pPr>
      <w:keepNext/>
      <w:keepLines/>
      <w:pageBreakBefore/>
      <w:numPr>
        <w:numId w:val="24"/>
      </w:numPr>
      <w:spacing w:after="240" w:line="280" w:lineRule="exact"/>
    </w:pPr>
    <w:rPr>
      <w:rFonts w:ascii="Times New Roman" w:eastAsia="MS Mincho" w:hAnsi="Times New Roman" w:cs="Times New Roman"/>
      <w:b/>
      <w:bCs/>
      <w:sz w:val="24"/>
      <w:szCs w:val="24"/>
      <w:lang w:val="en-US" w:eastAsia="ja-JP"/>
    </w:rPr>
  </w:style>
  <w:style w:type="paragraph" w:customStyle="1" w:styleId="References">
    <w:name w:val="References"/>
    <w:rsid w:val="00FD4AE1"/>
    <w:pPr>
      <w:numPr>
        <w:numId w:val="25"/>
      </w:numPr>
      <w:spacing w:before="60" w:after="60" w:line="360" w:lineRule="exact"/>
    </w:pPr>
    <w:rPr>
      <w:rFonts w:ascii="Times New Roman" w:eastAsia="MS Mincho" w:hAnsi="Times New Roman" w:cs="Times New Roman"/>
      <w:sz w:val="24"/>
      <w:szCs w:val="24"/>
      <w:lang w:val="en-US" w:eastAsia="ja-JP"/>
    </w:rPr>
  </w:style>
  <w:style w:type="paragraph" w:customStyle="1" w:styleId="TableFootnote">
    <w:name w:val="Table Footnote"/>
    <w:rsid w:val="00FD4AE1"/>
    <w:pPr>
      <w:keepLines/>
      <w:numPr>
        <w:numId w:val="26"/>
      </w:numPr>
      <w:spacing w:before="40" w:after="0" w:line="240" w:lineRule="exact"/>
    </w:pPr>
    <w:rPr>
      <w:rFonts w:ascii="Times New Roman" w:eastAsia="MS Mincho" w:hAnsi="Times New Roman" w:cs="Times New Roman"/>
      <w:sz w:val="18"/>
      <w:szCs w:val="18"/>
      <w:lang w:val="en-US" w:eastAsia="ja-JP"/>
    </w:rPr>
  </w:style>
  <w:style w:type="paragraph" w:customStyle="1" w:styleId="TableFootnoteLetter">
    <w:name w:val="Table Footnote Letter"/>
    <w:rsid w:val="00FD4AE1"/>
    <w:pPr>
      <w:keepLines/>
      <w:numPr>
        <w:numId w:val="27"/>
      </w:numPr>
      <w:spacing w:before="40" w:after="0" w:line="240" w:lineRule="exact"/>
    </w:pPr>
    <w:rPr>
      <w:rFonts w:ascii="Times New Roman" w:eastAsia="MS Mincho" w:hAnsi="Times New Roman" w:cs="Times New Roman"/>
      <w:sz w:val="18"/>
      <w:szCs w:val="18"/>
      <w:lang w:val="en-US" w:eastAsia="ja-JP"/>
    </w:rPr>
  </w:style>
  <w:style w:type="paragraph" w:customStyle="1" w:styleId="Address">
    <w:name w:val="Address"/>
    <w:next w:val="Paragraph"/>
    <w:rsid w:val="00FD4AE1"/>
    <w:pPr>
      <w:keepLines/>
      <w:spacing w:before="120" w:after="120" w:line="240" w:lineRule="auto"/>
      <w:ind w:left="864"/>
    </w:pPr>
    <w:rPr>
      <w:rFonts w:ascii="Times New Roman" w:eastAsia="MS Mincho" w:hAnsi="Times New Roman" w:cs="Times New Roman"/>
      <w:sz w:val="24"/>
      <w:szCs w:val="24"/>
      <w:lang w:val="en-US" w:eastAsia="ja-JP"/>
    </w:rPr>
  </w:style>
  <w:style w:type="paragraph" w:styleId="Caption">
    <w:name w:val="caption"/>
    <w:basedOn w:val="Normal"/>
    <w:next w:val="Normal"/>
    <w:qFormat/>
    <w:rsid w:val="00FD4AE1"/>
    <w:pPr>
      <w:spacing w:before="120" w:after="120" w:line="240" w:lineRule="auto"/>
    </w:pPr>
    <w:rPr>
      <w:rFonts w:ascii="Times New Roman" w:eastAsia="MS Mincho" w:hAnsi="Times New Roman" w:cs="Times New Roman"/>
      <w:b/>
      <w:bCs/>
      <w:sz w:val="20"/>
      <w:szCs w:val="20"/>
      <w:lang w:val="en-US" w:eastAsia="ja-JP"/>
    </w:rPr>
  </w:style>
  <w:style w:type="paragraph" w:customStyle="1" w:styleId="TOCSection">
    <w:name w:val="TOC Section"/>
    <w:next w:val="TableofFigures"/>
    <w:rsid w:val="00FD4AE1"/>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TOCTitle">
    <w:name w:val="TOC Title"/>
    <w:next w:val="TOC1"/>
    <w:rsid w:val="00FD4AE1"/>
    <w:pPr>
      <w:keepNext/>
      <w:keepLines/>
      <w:spacing w:after="240" w:line="360" w:lineRule="exact"/>
    </w:pPr>
    <w:rPr>
      <w:rFonts w:ascii="Times New Roman" w:eastAsia="MS Mincho" w:hAnsi="Times New Roman" w:cs="Times New Roman"/>
      <w:b/>
      <w:bCs/>
      <w:sz w:val="30"/>
      <w:szCs w:val="30"/>
      <w:lang w:val="en-US" w:eastAsia="ja-JP"/>
    </w:rPr>
  </w:style>
  <w:style w:type="paragraph" w:customStyle="1" w:styleId="Figure">
    <w:name w:val="Figure"/>
    <w:next w:val="Paragraph"/>
    <w:rsid w:val="00FD4AE1"/>
    <w:pPr>
      <w:spacing w:after="240" w:line="240" w:lineRule="auto"/>
      <w:jc w:val="center"/>
    </w:pPr>
    <w:rPr>
      <w:rFonts w:ascii="Times New Roman" w:eastAsia="MS Mincho" w:hAnsi="Times New Roman" w:cs="Times New Roman"/>
      <w:sz w:val="24"/>
      <w:szCs w:val="24"/>
      <w:lang w:val="en-US" w:eastAsia="ja-JP"/>
    </w:rPr>
  </w:style>
  <w:style w:type="paragraph" w:customStyle="1" w:styleId="EquationTitle">
    <w:name w:val="Equation Title"/>
    <w:next w:val="Equation"/>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Title">
    <w:name w:val="Figure Title"/>
    <w:next w:val="Figure"/>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FigureEndofTextTitle">
    <w:name w:val="Figure End of Text Title"/>
    <w:next w:val="Figure"/>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EndofTextTitle">
    <w:name w:val="Table End of Text Title"/>
    <w:next w:val="Paragraph"/>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ontinued">
    <w:name w:val="Table Title Continued"/>
    <w:next w:val="TableLeft"/>
    <w:rsid w:val="00FD4AE1"/>
    <w:pPr>
      <w:keepNext/>
      <w:keepLines/>
      <w:tabs>
        <w:tab w:val="left" w:pos="1728"/>
      </w:tabs>
      <w:spacing w:after="240" w:line="280" w:lineRule="exact"/>
      <w:ind w:left="1728" w:hanging="1728"/>
    </w:pPr>
    <w:rPr>
      <w:rFonts w:ascii="Times New Roman" w:eastAsia="MS Mincho" w:hAnsi="Times New Roman" w:cs="Times New Roman"/>
      <w:b/>
      <w:bCs/>
      <w:sz w:val="24"/>
      <w:szCs w:val="24"/>
      <w:lang w:val="en-US" w:eastAsia="ja-JP"/>
    </w:rPr>
  </w:style>
  <w:style w:type="paragraph" w:customStyle="1" w:styleId="TableTitleCenter">
    <w:name w:val="Table Title Center"/>
    <w:next w:val="Paragraph"/>
    <w:rsid w:val="00FD4AE1"/>
    <w:pPr>
      <w:keepNext/>
      <w:keepLines/>
      <w:spacing w:after="240" w:line="240" w:lineRule="auto"/>
      <w:jc w:val="center"/>
    </w:pPr>
    <w:rPr>
      <w:rFonts w:ascii="Times New Roman" w:eastAsia="MS Mincho" w:hAnsi="Times New Roman" w:cs="Times New Roman"/>
      <w:b/>
      <w:bCs/>
      <w:sz w:val="24"/>
      <w:szCs w:val="24"/>
      <w:lang w:val="en-US" w:eastAsia="ja-JP"/>
    </w:rPr>
  </w:style>
  <w:style w:type="character" w:customStyle="1" w:styleId="Citation">
    <w:name w:val="Citation"/>
    <w:rsid w:val="00FD4AE1"/>
    <w:rPr>
      <w:color w:val="auto"/>
      <w:vertAlign w:val="superscript"/>
      <w:lang w:val="en-US" w:eastAsia="ja-JP"/>
    </w:rPr>
  </w:style>
  <w:style w:type="paragraph" w:customStyle="1" w:styleId="Heading1NoTOC">
    <w:name w:val="Heading 1 No TOC"/>
    <w:next w:val="Paragraph"/>
    <w:rsid w:val="00FD4AE1"/>
    <w:pPr>
      <w:keepNext/>
      <w:keepLines/>
      <w:tabs>
        <w:tab w:val="left" w:pos="1800"/>
      </w:tabs>
      <w:spacing w:before="120" w:after="240" w:line="240" w:lineRule="auto"/>
    </w:pPr>
    <w:rPr>
      <w:rFonts w:ascii="Arial" w:eastAsia="MS Gothic" w:hAnsi="Arial" w:cs="Arial"/>
      <w:b/>
      <w:bCs/>
      <w:sz w:val="28"/>
      <w:szCs w:val="28"/>
      <w:lang w:val="en-US" w:eastAsia="ja-JP"/>
    </w:rPr>
  </w:style>
  <w:style w:type="paragraph" w:customStyle="1" w:styleId="Heading2NoTOC">
    <w:name w:val="Heading 2 No TOC"/>
    <w:next w:val="Paragraph"/>
    <w:rsid w:val="00FD4AE1"/>
    <w:pPr>
      <w:keepNext/>
      <w:keepLines/>
      <w:tabs>
        <w:tab w:val="left" w:pos="1800"/>
      </w:tabs>
      <w:spacing w:before="120" w:after="240" w:line="240" w:lineRule="auto"/>
    </w:pPr>
    <w:rPr>
      <w:rFonts w:ascii="Arial" w:eastAsia="MS Gothic" w:hAnsi="Arial" w:cs="Arial"/>
      <w:b/>
      <w:bCs/>
      <w:sz w:val="24"/>
      <w:szCs w:val="24"/>
      <w:lang w:val="en-US" w:eastAsia="ja-JP"/>
    </w:rPr>
  </w:style>
  <w:style w:type="paragraph" w:styleId="DocumentMap">
    <w:name w:val="Document Map"/>
    <w:basedOn w:val="Normal"/>
    <w:link w:val="DocumentMapChar"/>
    <w:rsid w:val="00FD4AE1"/>
    <w:pPr>
      <w:shd w:val="clear" w:color="auto" w:fill="000080"/>
      <w:spacing w:after="0" w:line="240" w:lineRule="auto"/>
    </w:pPr>
    <w:rPr>
      <w:rFonts w:ascii="Tahoma" w:eastAsia="MS Mincho" w:hAnsi="Tahoma" w:cs="Tahoma"/>
      <w:sz w:val="20"/>
      <w:szCs w:val="20"/>
      <w:lang w:val="en-US" w:eastAsia="ja-JP"/>
    </w:rPr>
  </w:style>
  <w:style w:type="character" w:customStyle="1" w:styleId="DocumentMapChar">
    <w:name w:val="Document Map Char"/>
    <w:basedOn w:val="DefaultParagraphFont"/>
    <w:link w:val="DocumentMap"/>
    <w:rsid w:val="00FD4AE1"/>
    <w:rPr>
      <w:rFonts w:ascii="Tahoma" w:eastAsia="MS Mincho" w:hAnsi="Tahoma" w:cs="Tahoma"/>
      <w:sz w:val="20"/>
      <w:szCs w:val="20"/>
      <w:shd w:val="clear" w:color="auto" w:fill="000080"/>
      <w:lang w:val="en-US" w:eastAsia="ja-JP"/>
    </w:rPr>
  </w:style>
  <w:style w:type="paragraph" w:styleId="Index1">
    <w:name w:val="index 1"/>
    <w:basedOn w:val="Normal"/>
    <w:next w:val="Normal"/>
    <w:rsid w:val="00FD4AE1"/>
    <w:pPr>
      <w:spacing w:after="0" w:line="240" w:lineRule="auto"/>
      <w:ind w:left="240" w:hanging="240"/>
    </w:pPr>
    <w:rPr>
      <w:rFonts w:ascii="Times New Roman" w:eastAsia="MS Mincho" w:hAnsi="Times New Roman" w:cs="Times New Roman"/>
      <w:sz w:val="24"/>
      <w:szCs w:val="24"/>
      <w:lang w:val="en-US" w:eastAsia="ja-JP"/>
    </w:rPr>
  </w:style>
  <w:style w:type="paragraph" w:styleId="Index2">
    <w:name w:val="index 2"/>
    <w:basedOn w:val="Normal"/>
    <w:next w:val="Normal"/>
    <w:rsid w:val="00FD4AE1"/>
    <w:pPr>
      <w:spacing w:after="0" w:line="240" w:lineRule="auto"/>
      <w:ind w:left="480" w:hanging="240"/>
    </w:pPr>
    <w:rPr>
      <w:rFonts w:ascii="Times New Roman" w:eastAsia="MS Mincho" w:hAnsi="Times New Roman" w:cs="Times New Roman"/>
      <w:sz w:val="24"/>
      <w:szCs w:val="24"/>
      <w:lang w:val="en-US" w:eastAsia="ja-JP"/>
    </w:rPr>
  </w:style>
  <w:style w:type="paragraph" w:styleId="Index3">
    <w:name w:val="index 3"/>
    <w:basedOn w:val="Normal"/>
    <w:next w:val="Normal"/>
    <w:rsid w:val="00FD4AE1"/>
    <w:pPr>
      <w:spacing w:after="0" w:line="240" w:lineRule="auto"/>
      <w:ind w:left="720" w:hanging="240"/>
    </w:pPr>
    <w:rPr>
      <w:rFonts w:ascii="Times New Roman" w:eastAsia="MS Mincho" w:hAnsi="Times New Roman" w:cs="Times New Roman"/>
      <w:sz w:val="24"/>
      <w:szCs w:val="24"/>
      <w:lang w:val="en-US" w:eastAsia="ja-JP"/>
    </w:rPr>
  </w:style>
  <w:style w:type="paragraph" w:styleId="Index4">
    <w:name w:val="index 4"/>
    <w:basedOn w:val="Normal"/>
    <w:next w:val="Normal"/>
    <w:rsid w:val="00FD4AE1"/>
    <w:pPr>
      <w:spacing w:after="0" w:line="240" w:lineRule="auto"/>
      <w:ind w:left="960" w:hanging="240"/>
    </w:pPr>
    <w:rPr>
      <w:rFonts w:ascii="Times New Roman" w:eastAsia="MS Mincho" w:hAnsi="Times New Roman" w:cs="Times New Roman"/>
      <w:sz w:val="24"/>
      <w:szCs w:val="24"/>
      <w:lang w:val="en-US" w:eastAsia="ja-JP"/>
    </w:rPr>
  </w:style>
  <w:style w:type="paragraph" w:styleId="Index5">
    <w:name w:val="index 5"/>
    <w:basedOn w:val="Normal"/>
    <w:next w:val="Normal"/>
    <w:rsid w:val="00FD4AE1"/>
    <w:pPr>
      <w:spacing w:after="0" w:line="240" w:lineRule="auto"/>
      <w:ind w:left="1200" w:hanging="240"/>
    </w:pPr>
    <w:rPr>
      <w:rFonts w:ascii="Times New Roman" w:eastAsia="MS Mincho" w:hAnsi="Times New Roman" w:cs="Times New Roman"/>
      <w:sz w:val="24"/>
      <w:szCs w:val="24"/>
      <w:lang w:val="en-US" w:eastAsia="ja-JP"/>
    </w:rPr>
  </w:style>
  <w:style w:type="paragraph" w:styleId="Index6">
    <w:name w:val="index 6"/>
    <w:basedOn w:val="Normal"/>
    <w:next w:val="Normal"/>
    <w:rsid w:val="00FD4AE1"/>
    <w:pPr>
      <w:spacing w:after="0" w:line="240" w:lineRule="auto"/>
      <w:ind w:left="1440" w:hanging="240"/>
    </w:pPr>
    <w:rPr>
      <w:rFonts w:ascii="Times New Roman" w:eastAsia="MS Mincho" w:hAnsi="Times New Roman" w:cs="Times New Roman"/>
      <w:sz w:val="24"/>
      <w:szCs w:val="24"/>
      <w:lang w:val="en-US" w:eastAsia="ja-JP"/>
    </w:rPr>
  </w:style>
  <w:style w:type="paragraph" w:styleId="Index7">
    <w:name w:val="index 7"/>
    <w:basedOn w:val="Normal"/>
    <w:next w:val="Normal"/>
    <w:rsid w:val="00FD4AE1"/>
    <w:pPr>
      <w:spacing w:after="0" w:line="240" w:lineRule="auto"/>
      <w:ind w:left="1680" w:hanging="240"/>
    </w:pPr>
    <w:rPr>
      <w:rFonts w:ascii="Times New Roman" w:eastAsia="MS Mincho" w:hAnsi="Times New Roman" w:cs="Times New Roman"/>
      <w:sz w:val="24"/>
      <w:szCs w:val="24"/>
      <w:lang w:val="en-US" w:eastAsia="ja-JP"/>
    </w:rPr>
  </w:style>
  <w:style w:type="paragraph" w:styleId="Index8">
    <w:name w:val="index 8"/>
    <w:basedOn w:val="Normal"/>
    <w:next w:val="Normal"/>
    <w:rsid w:val="00FD4AE1"/>
    <w:pPr>
      <w:spacing w:after="0" w:line="240" w:lineRule="auto"/>
      <w:ind w:left="1920" w:hanging="240"/>
    </w:pPr>
    <w:rPr>
      <w:rFonts w:ascii="Times New Roman" w:eastAsia="MS Mincho" w:hAnsi="Times New Roman" w:cs="Times New Roman"/>
      <w:sz w:val="24"/>
      <w:szCs w:val="24"/>
      <w:lang w:val="en-US" w:eastAsia="ja-JP"/>
    </w:rPr>
  </w:style>
  <w:style w:type="paragraph" w:styleId="Index9">
    <w:name w:val="index 9"/>
    <w:basedOn w:val="Normal"/>
    <w:next w:val="Normal"/>
    <w:rsid w:val="00FD4AE1"/>
    <w:pPr>
      <w:spacing w:after="0" w:line="240" w:lineRule="auto"/>
      <w:ind w:left="2160" w:hanging="240"/>
    </w:pPr>
    <w:rPr>
      <w:rFonts w:ascii="Times New Roman" w:eastAsia="MS Mincho" w:hAnsi="Times New Roman" w:cs="Times New Roman"/>
      <w:sz w:val="24"/>
      <w:szCs w:val="24"/>
      <w:lang w:val="en-US" w:eastAsia="ja-JP"/>
    </w:rPr>
  </w:style>
  <w:style w:type="paragraph" w:styleId="IndexHeading">
    <w:name w:val="index heading"/>
    <w:basedOn w:val="Normal"/>
    <w:next w:val="Index1"/>
    <w:rsid w:val="00FD4AE1"/>
    <w:pPr>
      <w:spacing w:after="0" w:line="240" w:lineRule="auto"/>
    </w:pPr>
    <w:rPr>
      <w:rFonts w:ascii="Arial" w:eastAsia="MS Mincho" w:hAnsi="Arial" w:cs="Arial"/>
      <w:b/>
      <w:bCs/>
      <w:sz w:val="24"/>
      <w:szCs w:val="24"/>
      <w:lang w:val="en-US" w:eastAsia="ja-JP"/>
    </w:rPr>
  </w:style>
  <w:style w:type="paragraph" w:styleId="MacroText">
    <w:name w:val="macro"/>
    <w:link w:val="MacroTextChar"/>
    <w:rsid w:val="00FD4AE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ja-JP"/>
    </w:rPr>
  </w:style>
  <w:style w:type="character" w:customStyle="1" w:styleId="MacroTextChar">
    <w:name w:val="Macro Text Char"/>
    <w:basedOn w:val="DefaultParagraphFont"/>
    <w:link w:val="MacroText"/>
    <w:rsid w:val="00FD4AE1"/>
    <w:rPr>
      <w:rFonts w:ascii="Courier New" w:eastAsia="MS Mincho" w:hAnsi="Courier New" w:cs="Courier New"/>
      <w:sz w:val="20"/>
      <w:szCs w:val="20"/>
      <w:lang w:val="en-US" w:eastAsia="ja-JP"/>
    </w:rPr>
  </w:style>
  <w:style w:type="paragraph" w:styleId="TableofAuthorities">
    <w:name w:val="table of authorities"/>
    <w:basedOn w:val="Normal"/>
    <w:next w:val="Normal"/>
    <w:rsid w:val="00FD4AE1"/>
    <w:pPr>
      <w:spacing w:after="0" w:line="240" w:lineRule="auto"/>
      <w:ind w:left="240" w:hanging="240"/>
    </w:pPr>
    <w:rPr>
      <w:rFonts w:ascii="Times New Roman" w:eastAsia="MS Mincho" w:hAnsi="Times New Roman" w:cs="Times New Roman"/>
      <w:sz w:val="24"/>
      <w:szCs w:val="24"/>
      <w:lang w:val="en-US" w:eastAsia="ja-JP"/>
    </w:rPr>
  </w:style>
  <w:style w:type="paragraph" w:styleId="TOAHeading">
    <w:name w:val="toa heading"/>
    <w:basedOn w:val="Normal"/>
    <w:next w:val="Normal"/>
    <w:rsid w:val="00FD4AE1"/>
    <w:pPr>
      <w:spacing w:before="120" w:after="0" w:line="240" w:lineRule="auto"/>
    </w:pPr>
    <w:rPr>
      <w:rFonts w:ascii="Arial" w:eastAsia="MS Mincho" w:hAnsi="Arial" w:cs="Arial"/>
      <w:b/>
      <w:bCs/>
      <w:sz w:val="24"/>
      <w:szCs w:val="24"/>
      <w:lang w:val="en-US" w:eastAsia="ja-JP"/>
    </w:rPr>
  </w:style>
  <w:style w:type="paragraph" w:customStyle="1" w:styleId="Heading5Unnumbered">
    <w:name w:val="Heading 5 Unnumbered"/>
    <w:next w:val="Paragraph"/>
    <w:rsid w:val="00FD4AE1"/>
    <w:pPr>
      <w:keepNext/>
      <w:keepLines/>
      <w:tabs>
        <w:tab w:val="left" w:pos="1800"/>
      </w:tabs>
      <w:spacing w:before="120" w:after="240" w:line="240" w:lineRule="auto"/>
      <w:ind w:left="1800" w:hanging="1800"/>
      <w:outlineLvl w:val="4"/>
    </w:pPr>
    <w:rPr>
      <w:rFonts w:ascii="Arial" w:eastAsia="MS Gothic" w:hAnsi="Arial" w:cs="Arial"/>
      <w:b/>
      <w:sz w:val="24"/>
      <w:szCs w:val="30"/>
      <w:lang w:val="en-US" w:eastAsia="ja-JP"/>
    </w:rPr>
  </w:style>
  <w:style w:type="paragraph" w:customStyle="1" w:styleId="Equation">
    <w:name w:val="Equation"/>
    <w:next w:val="Paragraph"/>
    <w:rsid w:val="00FD4AE1"/>
    <w:pPr>
      <w:keepLines/>
      <w:spacing w:after="120" w:line="240" w:lineRule="auto"/>
      <w:jc w:val="center"/>
    </w:pPr>
    <w:rPr>
      <w:rFonts w:ascii="Times New Roman" w:eastAsia="Times New Roman" w:hAnsi="Times New Roman" w:cs="Arial"/>
      <w:sz w:val="24"/>
      <w:szCs w:val="24"/>
      <w:lang w:val="en-US"/>
    </w:rPr>
  </w:style>
  <w:style w:type="paragraph" w:customStyle="1" w:styleId="EMEABodyText">
    <w:name w:val="EMEA Body Text"/>
    <w:basedOn w:val="Normal"/>
    <w:link w:val="EMEABodyTextChar"/>
    <w:rsid w:val="00FD4AE1"/>
    <w:pPr>
      <w:spacing w:after="0" w:line="240" w:lineRule="auto"/>
    </w:pPr>
    <w:rPr>
      <w:rFonts w:ascii="Times New Roman" w:eastAsia="Times New Roman" w:hAnsi="Times New Roman" w:cs="Times New Roman"/>
      <w:szCs w:val="20"/>
      <w:lang w:val="x-none"/>
    </w:rPr>
  </w:style>
  <w:style w:type="character" w:customStyle="1" w:styleId="EMEABodyTextChar">
    <w:name w:val="EMEA Body Text Char"/>
    <w:link w:val="EMEABodyText"/>
    <w:rsid w:val="00FD4AE1"/>
    <w:rPr>
      <w:rFonts w:ascii="Times New Roman" w:eastAsia="Times New Roman" w:hAnsi="Times New Roman" w:cs="Times New Roman"/>
      <w:szCs w:val="20"/>
      <w:lang w:val="x-none"/>
    </w:rPr>
  </w:style>
  <w:style w:type="paragraph" w:customStyle="1" w:styleId="Liststycke">
    <w:name w:val="Liststycke"/>
    <w:basedOn w:val="Normal"/>
    <w:uiPriority w:val="34"/>
    <w:qFormat/>
    <w:rsid w:val="00FD4AE1"/>
    <w:pPr>
      <w:tabs>
        <w:tab w:val="left" w:pos="567"/>
      </w:tabs>
      <w:spacing w:after="0" w:line="240" w:lineRule="auto"/>
      <w:ind w:left="720"/>
      <w:contextualSpacing/>
    </w:pPr>
    <w:rPr>
      <w:rFonts w:ascii="Times New Roman" w:eastAsia="Times New Roman" w:hAnsi="Times New Roman" w:cs="Times New Roman"/>
      <w:szCs w:val="20"/>
      <w:lang w:val="en-GB"/>
    </w:rPr>
  </w:style>
  <w:style w:type="table" w:customStyle="1" w:styleId="Ljusskuggning-dekorfrg1">
    <w:name w:val="Ljus skuggning - dekorfärg 1"/>
    <w:basedOn w:val="TableNormal"/>
    <w:uiPriority w:val="60"/>
    <w:rsid w:val="00FD4AE1"/>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
    <w:name w:val="Ljus skuggning"/>
    <w:basedOn w:val="TableNormal"/>
    <w:uiPriority w:val="60"/>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
    <w:name w:val="Ljus skuggning - dekorfärg 3"/>
    <w:basedOn w:val="TableNormal"/>
    <w:uiPriority w:val="60"/>
    <w:rsid w:val="00FD4AE1"/>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
    <w:name w:val="Mellanmörk skuggning 2 - dekorfärg 2"/>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
    <w:name w:val="Färgat rutnät - dekorfärg 3"/>
    <w:basedOn w:val="TableNormal"/>
    <w:uiPriority w:val="73"/>
    <w:rsid w:val="00FD4AE1"/>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
    <w:name w:val="Mellanmörk lista 2 - dekorfärg 3"/>
    <w:basedOn w:val="TableNormal"/>
    <w:uiPriority w:val="66"/>
    <w:rsid w:val="00FD4AE1"/>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
    <w:name w:val="Mellanmörk skuggning 2 - dekorfärg 5"/>
    <w:basedOn w:val="TableNormal"/>
    <w:uiPriority w:val="64"/>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
    <w:name w:val="Mellanmörkt rutnät 3 - dekorfärg 5"/>
    <w:basedOn w:val="TableNormal"/>
    <w:uiPriority w:val="69"/>
    <w:rsid w:val="00FD4AE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stBullet7">
    <w:name w:val="List Bullet 7"/>
    <w:rsid w:val="00FD4AE1"/>
    <w:pPr>
      <w:tabs>
        <w:tab w:val="num" w:pos="3240"/>
      </w:tabs>
      <w:spacing w:before="60" w:after="60" w:line="320" w:lineRule="exact"/>
      <w:ind w:left="3240" w:hanging="360"/>
    </w:pPr>
    <w:rPr>
      <w:rFonts w:ascii="Times New Roman" w:eastAsia="MS Mincho" w:hAnsi="Times New Roman" w:cs="Times New Roman"/>
      <w:sz w:val="24"/>
      <w:szCs w:val="24"/>
      <w:lang w:val="en-US" w:eastAsia="ja-JP"/>
    </w:rPr>
  </w:style>
  <w:style w:type="character" w:customStyle="1" w:styleId="cit">
    <w:name w:val="cit"/>
    <w:rsid w:val="00FD4AE1"/>
  </w:style>
  <w:style w:type="paragraph" w:customStyle="1" w:styleId="CM2">
    <w:name w:val="CM2"/>
    <w:basedOn w:val="Default"/>
    <w:next w:val="Default"/>
    <w:uiPriority w:val="99"/>
    <w:rsid w:val="00FD4AE1"/>
    <w:pPr>
      <w:spacing w:line="268" w:lineRule="atLeast"/>
    </w:pPr>
    <w:rPr>
      <w:color w:val="auto"/>
    </w:rPr>
  </w:style>
  <w:style w:type="character" w:customStyle="1" w:styleId="slug-pub-date3">
    <w:name w:val="slug-pub-date3"/>
    <w:rsid w:val="00FD4AE1"/>
    <w:rPr>
      <w:b/>
      <w:bCs/>
    </w:rPr>
  </w:style>
  <w:style w:type="character" w:customStyle="1" w:styleId="slug-vol">
    <w:name w:val="slug-vol"/>
    <w:rsid w:val="00FD4AE1"/>
  </w:style>
  <w:style w:type="character" w:customStyle="1" w:styleId="slug-issue">
    <w:name w:val="slug-issue"/>
    <w:rsid w:val="00FD4AE1"/>
  </w:style>
  <w:style w:type="character" w:customStyle="1" w:styleId="slug-pages3">
    <w:name w:val="slug-pages3"/>
    <w:rsid w:val="00FD4AE1"/>
    <w:rPr>
      <w:b/>
      <w:bCs/>
    </w:rPr>
  </w:style>
  <w:style w:type="character" w:customStyle="1" w:styleId="maintitle">
    <w:name w:val="maintitle"/>
    <w:rsid w:val="00FD4AE1"/>
  </w:style>
  <w:style w:type="character" w:customStyle="1" w:styleId="name2">
    <w:name w:val="name2"/>
    <w:rsid w:val="00FD4AE1"/>
  </w:style>
  <w:style w:type="character" w:customStyle="1" w:styleId="xref-sep2">
    <w:name w:val="xref-sep2"/>
    <w:rsid w:val="00FD4AE1"/>
  </w:style>
  <w:style w:type="paragraph" w:styleId="Bibliography">
    <w:name w:val="Bibliography"/>
    <w:basedOn w:val="Normal"/>
    <w:next w:val="Normal"/>
    <w:uiPriority w:val="37"/>
    <w:semiHidden/>
    <w:unhideWhenUsed/>
    <w:rsid w:val="00FD4AE1"/>
    <w:pPr>
      <w:tabs>
        <w:tab w:val="left" w:pos="567"/>
      </w:tabs>
      <w:spacing w:after="0" w:line="240" w:lineRule="auto"/>
    </w:pPr>
    <w:rPr>
      <w:rFonts w:ascii="Times New Roman" w:eastAsia="Times New Roman" w:hAnsi="Times New Roman" w:cs="Times New Roman"/>
      <w:szCs w:val="20"/>
      <w:lang w:val="en-GB"/>
    </w:rPr>
  </w:style>
  <w:style w:type="paragraph" w:styleId="IntenseQuote">
    <w:name w:val="Intense Quote"/>
    <w:basedOn w:val="Normal"/>
    <w:next w:val="Normal"/>
    <w:link w:val="IntenseQuoteChar"/>
    <w:uiPriority w:val="30"/>
    <w:qFormat/>
    <w:rsid w:val="00FD4AE1"/>
    <w:pPr>
      <w:pBdr>
        <w:bottom w:val="single" w:sz="4" w:space="4" w:color="4F81BD"/>
      </w:pBdr>
      <w:tabs>
        <w:tab w:val="left" w:pos="567"/>
      </w:tabs>
      <w:spacing w:before="200" w:after="280" w:line="240" w:lineRule="auto"/>
      <w:ind w:left="936" w:right="936"/>
    </w:pPr>
    <w:rPr>
      <w:rFonts w:ascii="Times New Roman" w:eastAsia="Times New Roman" w:hAnsi="Times New Roman" w:cs="Times New Roman"/>
      <w:b/>
      <w:bCs/>
      <w:i/>
      <w:iCs/>
      <w:color w:val="4F81BD"/>
      <w:szCs w:val="20"/>
      <w:lang w:val="en-GB"/>
    </w:rPr>
  </w:style>
  <w:style w:type="character" w:customStyle="1" w:styleId="IntenseQuoteChar">
    <w:name w:val="Intense Quote Char"/>
    <w:basedOn w:val="DefaultParagraphFont"/>
    <w:link w:val="IntenseQuote"/>
    <w:uiPriority w:val="30"/>
    <w:rsid w:val="00FD4AE1"/>
    <w:rPr>
      <w:rFonts w:ascii="Times New Roman" w:eastAsia="Times New Roman" w:hAnsi="Times New Roman" w:cs="Times New Roman"/>
      <w:b/>
      <w:bCs/>
      <w:i/>
      <w:iCs/>
      <w:color w:val="4F81BD"/>
      <w:szCs w:val="20"/>
      <w:lang w:val="en-GB"/>
    </w:rPr>
  </w:style>
  <w:style w:type="paragraph" w:styleId="NoSpacing">
    <w:name w:val="No Spacing"/>
    <w:uiPriority w:val="1"/>
    <w:qFormat/>
    <w:rsid w:val="00FD4AE1"/>
    <w:pPr>
      <w:tabs>
        <w:tab w:val="left" w:pos="567"/>
      </w:tabs>
      <w:spacing w:after="0" w:line="240" w:lineRule="auto"/>
    </w:pPr>
    <w:rPr>
      <w:rFonts w:ascii="Times New Roman" w:eastAsia="Times New Roman" w:hAnsi="Times New Roman" w:cs="Times New Roman"/>
      <w:szCs w:val="20"/>
      <w:lang w:val="en-GB"/>
    </w:rPr>
  </w:style>
  <w:style w:type="paragraph" w:styleId="Quote">
    <w:name w:val="Quote"/>
    <w:basedOn w:val="Normal"/>
    <w:next w:val="Normal"/>
    <w:link w:val="QuoteChar"/>
    <w:uiPriority w:val="29"/>
    <w:qFormat/>
    <w:rsid w:val="00FD4AE1"/>
    <w:pPr>
      <w:tabs>
        <w:tab w:val="left" w:pos="567"/>
      </w:tabs>
      <w:spacing w:after="0" w:line="240" w:lineRule="auto"/>
    </w:pPr>
    <w:rPr>
      <w:rFonts w:ascii="Times New Roman" w:eastAsia="Times New Roman" w:hAnsi="Times New Roman" w:cs="Times New Roman"/>
      <w:i/>
      <w:iCs/>
      <w:color w:val="000000"/>
      <w:szCs w:val="20"/>
      <w:lang w:val="en-GB"/>
    </w:rPr>
  </w:style>
  <w:style w:type="character" w:customStyle="1" w:styleId="QuoteChar">
    <w:name w:val="Quote Char"/>
    <w:basedOn w:val="DefaultParagraphFont"/>
    <w:link w:val="Quote"/>
    <w:uiPriority w:val="29"/>
    <w:rsid w:val="00FD4AE1"/>
    <w:rPr>
      <w:rFonts w:ascii="Times New Roman" w:eastAsia="Times New Roman" w:hAnsi="Times New Roman" w:cs="Times New Roman"/>
      <w:i/>
      <w:iCs/>
      <w:color w:val="000000"/>
      <w:szCs w:val="20"/>
      <w:lang w:val="en-GB"/>
    </w:rPr>
  </w:style>
  <w:style w:type="paragraph" w:styleId="TOCHeading">
    <w:name w:val="TOC Heading"/>
    <w:basedOn w:val="Heading1"/>
    <w:next w:val="Normal"/>
    <w:uiPriority w:val="39"/>
    <w:qFormat/>
    <w:rsid w:val="00FD4AE1"/>
    <w:pPr>
      <w:tabs>
        <w:tab w:val="left" w:pos="567"/>
      </w:tabs>
      <w:jc w:val="left"/>
      <w:outlineLvl w:val="9"/>
    </w:pPr>
    <w:rPr>
      <w:rFonts w:ascii="Cambria" w:hAnsi="Cambria"/>
      <w:bCs/>
      <w:caps w:val="0"/>
      <w:kern w:val="32"/>
      <w:sz w:val="32"/>
      <w:szCs w:val="32"/>
      <w:lang w:val="en-GB"/>
    </w:rPr>
  </w:style>
  <w:style w:type="character" w:styleId="SubtleEmphasis">
    <w:name w:val="Subtle Emphasis"/>
    <w:basedOn w:val="DefaultParagraphFont"/>
    <w:uiPriority w:val="19"/>
    <w:qFormat/>
    <w:rsid w:val="005900D6"/>
    <w:rPr>
      <w:i/>
      <w:iCs/>
      <w:color w:val="808080" w:themeColor="text1" w:themeTint="7F"/>
    </w:rPr>
  </w:style>
  <w:style w:type="numbering" w:customStyle="1" w:styleId="NoList1">
    <w:name w:val="No List1"/>
    <w:next w:val="NoList"/>
    <w:uiPriority w:val="99"/>
    <w:semiHidden/>
    <w:unhideWhenUsed/>
    <w:rsid w:val="008C08C3"/>
  </w:style>
  <w:style w:type="table" w:customStyle="1" w:styleId="TableGrid20">
    <w:name w:val="Table Grid2"/>
    <w:basedOn w:val="TableNormal"/>
    <w:next w:val="TableGrid"/>
    <w:uiPriority w:val="59"/>
    <w:rsid w:val="008C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217F9"/>
  </w:style>
  <w:style w:type="table" w:customStyle="1" w:styleId="TableGrid30">
    <w:name w:val="Table Grid3"/>
    <w:basedOn w:val="TableNormal"/>
    <w:next w:val="TableGrid"/>
    <w:uiPriority w:val="59"/>
    <w:rsid w:val="000217F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basedOn w:val="TableNormal"/>
    <w:semiHidden/>
    <w:rsid w:val="000217F9"/>
    <w:pPr>
      <w:spacing w:after="0" w:line="240" w:lineRule="auto"/>
    </w:pPr>
    <w:rPr>
      <w:rFonts w:ascii="Verdana" w:eastAsia="SimSun" w:hAnsi="Verdana" w:cs="Times New Roman"/>
      <w:sz w:val="18"/>
      <w:szCs w:val="20"/>
      <w:lang w:val="en-GB"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GTCTitle17">
    <w:name w:val="GTC Title17"/>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21">
    <w:name w:val="GTC Title2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31">
    <w:name w:val="GTC Title3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41">
    <w:name w:val="GTC Title4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11">
    <w:name w:val="GTC Heading 11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11">
    <w:name w:val="GTC Heading 21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11">
    <w:name w:val="GTC Heading 31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11">
    <w:name w:val="GTC Heading 41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120">
    <w:name w:val="GTC Link Text12"/>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11">
    <w:name w:val="GTC List Text1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11">
    <w:name w:val="GTC Table List Text1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11">
    <w:name w:val="GTC List Text Highlights1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11">
    <w:name w:val="GTC List Style None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11">
    <w:name w:val="GTC List Style Circle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11">
    <w:name w:val="GTC List Style Disc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11">
    <w:name w:val="GTC List Style Square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11">
    <w:name w:val="GTC List Style LittleRoman1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11">
    <w:name w:val="GTC List Style BigRoman1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11">
    <w:name w:val="GTC List Style LittleAlpha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21">
    <w:name w:val="GTC List Style BigRoman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11">
    <w:name w:val="GTC List Style Arabic1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11">
    <w:name w:val="GTC Table Title Otherwise1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11">
    <w:name w:val="GTC Table Title Insert1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11">
    <w:name w:val="GTC Table Title Delete1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Annotation1a">
    <w:name w:val="GTC Annotation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OutlineNumbering11">
    <w:name w:val="GTC Outline Numbering1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11">
    <w:name w:val="GTC Bullets1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SectionTitle14">
    <w:name w:val="GTC Section Title 14"/>
    <w:basedOn w:val="TableNormal"/>
    <w:rsid w:val="000217F9"/>
    <w:pPr>
      <w:spacing w:before="240" w:after="240" w:line="240" w:lineRule="auto"/>
    </w:pPr>
    <w:rPr>
      <w:rFonts w:ascii="Times New Roman" w:eastAsia="Times New Roman" w:hAnsi="Times New Roman" w:cs="Times New Roman"/>
      <w:b/>
      <w:bCs/>
      <w:caps/>
      <w:sz w:val="24"/>
      <w:szCs w:val="24"/>
      <w:lang w:eastAsia="en-AU"/>
    </w:rPr>
    <w:tblPr>
      <w:tblCellMar>
        <w:left w:w="0" w:type="dxa"/>
        <w:right w:w="0" w:type="dxa"/>
      </w:tblCellMar>
    </w:tblPr>
  </w:style>
  <w:style w:type="table" w:customStyle="1" w:styleId="GTCSectionTitle24">
    <w:name w:val="GTC Section Title 24"/>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34">
    <w:name w:val="GTC Section Title 34"/>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SectionTitle44">
    <w:name w:val="GTC Section Title 44"/>
    <w:basedOn w:val="TableNormal"/>
    <w:rsid w:val="000217F9"/>
    <w:pPr>
      <w:spacing w:before="240" w:after="240" w:line="240" w:lineRule="auto"/>
    </w:pPr>
    <w:rPr>
      <w:rFonts w:ascii="Times New Roman" w:eastAsia="Times New Roman" w:hAnsi="Times New Roman" w:cs="Times New Roman"/>
      <w:b/>
      <w:bCs/>
      <w:i/>
      <w:sz w:val="24"/>
      <w:szCs w:val="24"/>
      <w:lang w:eastAsia="en-AU"/>
    </w:rPr>
    <w:tblPr>
      <w:tblCellMar>
        <w:left w:w="0" w:type="dxa"/>
        <w:right w:w="0" w:type="dxa"/>
      </w:tblCellMar>
    </w:tblPr>
  </w:style>
  <w:style w:type="table" w:customStyle="1" w:styleId="GTCSectionTitle54">
    <w:name w:val="GTC Section Title 5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64">
    <w:name w:val="GTC Section Title 6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74">
    <w:name w:val="GTC Section Title 7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84">
    <w:name w:val="GTC Section Title 8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SectionTitle94">
    <w:name w:val="GTC Section Title 94"/>
    <w:basedOn w:val="TableNormal"/>
    <w:rsid w:val="000217F9"/>
    <w:pPr>
      <w:spacing w:before="240" w:after="240" w:line="240" w:lineRule="auto"/>
    </w:pPr>
    <w:rPr>
      <w:rFonts w:ascii="Times New Roman" w:eastAsia="Times New Roman" w:hAnsi="Times New Roman" w:cs="Times New Roman"/>
      <w:b/>
      <w:bCs/>
      <w:sz w:val="20"/>
      <w:szCs w:val="20"/>
      <w:lang w:eastAsia="en-AU"/>
    </w:rPr>
    <w:tblPr>
      <w:tblCellMar>
        <w:left w:w="0" w:type="dxa"/>
        <w:right w:w="0" w:type="dxa"/>
      </w:tblCellMar>
    </w:tblPr>
  </w:style>
  <w:style w:type="table" w:customStyle="1" w:styleId="GTCTitle51">
    <w:name w:val="GTC Title51"/>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61">
    <w:name w:val="GTC Title6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71">
    <w:name w:val="GTC Title7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81">
    <w:name w:val="GTC Title8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21">
    <w:name w:val="GTC Heading 12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21">
    <w:name w:val="GTC Heading 22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21">
    <w:name w:val="GTC Heading 32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21">
    <w:name w:val="GTC Heading 42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22">
    <w:name w:val="GTC Link Text22"/>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21">
    <w:name w:val="GTC List Text2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21">
    <w:name w:val="GTC Table List Text2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21">
    <w:name w:val="GTC List Text Highlights2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21">
    <w:name w:val="GTC List Style None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21">
    <w:name w:val="GTC List Style Circle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21">
    <w:name w:val="GTC List Style Disc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21">
    <w:name w:val="GTC List Style Square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21">
    <w:name w:val="GTC List Style LittleRoman2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31">
    <w:name w:val="GTC List Style BigRoman3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21">
    <w:name w:val="GTC List Style LittleAlpha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41">
    <w:name w:val="GTC List Style BigRoman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21">
    <w:name w:val="GTC List Style Arabic2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21">
    <w:name w:val="GTC Table Title Otherwise2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21">
    <w:name w:val="GTC Table Title Insert2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21">
    <w:name w:val="GTC Table Title Delete2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21">
    <w:name w:val="GTC Outline Numbering2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21">
    <w:name w:val="GTC Bullets2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91">
    <w:name w:val="GTC Title91"/>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01">
    <w:name w:val="GTC Title10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11">
    <w:name w:val="GTC Title11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21">
    <w:name w:val="GTC Title12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31">
    <w:name w:val="GTC Heading 13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31">
    <w:name w:val="GTC Heading 23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31">
    <w:name w:val="GTC Heading 33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31">
    <w:name w:val="GTC Heading 43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32">
    <w:name w:val="GTC Link Text32"/>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31">
    <w:name w:val="GTC List Text3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31">
    <w:name w:val="GTC Table List Text3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31">
    <w:name w:val="GTC List Text Highlights3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31">
    <w:name w:val="GTC List Style None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31">
    <w:name w:val="GTC List Style Circle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31">
    <w:name w:val="GTC List Style Disc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31">
    <w:name w:val="GTC List Style Square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31">
    <w:name w:val="GTC List Style LittleRoman3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51">
    <w:name w:val="GTC List Style BigRoman5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31">
    <w:name w:val="GTC List Style LittleAlpha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61">
    <w:name w:val="GTC List Style BigRoman6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31">
    <w:name w:val="GTC List Style Arabic3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31">
    <w:name w:val="GTC Table Title Otherwise3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31">
    <w:name w:val="GTC Table Title Insert3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31">
    <w:name w:val="GTC Table Title Delete3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31">
    <w:name w:val="GTC Outline Numbering3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31">
    <w:name w:val="GTC Bullets3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itle131">
    <w:name w:val="GTC Title131"/>
    <w:basedOn w:val="TableNormal"/>
    <w:rsid w:val="000217F9"/>
    <w:pPr>
      <w:spacing w:before="120" w:after="120" w:line="240" w:lineRule="auto"/>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41">
    <w:name w:val="GTC Title141"/>
    <w:basedOn w:val="TableNormal"/>
    <w:rsid w:val="000217F9"/>
    <w:pPr>
      <w:spacing w:before="120" w:after="120" w:line="240" w:lineRule="auto"/>
      <w:jc w:val="right"/>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51">
    <w:name w:val="GTC Title151"/>
    <w:basedOn w:val="TableNormal"/>
    <w:rsid w:val="000217F9"/>
    <w:pPr>
      <w:spacing w:before="120" w:after="120" w:line="240" w:lineRule="auto"/>
      <w:jc w:val="center"/>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Title161">
    <w:name w:val="GTC Title161"/>
    <w:basedOn w:val="TableNormal"/>
    <w:rsid w:val="000217F9"/>
    <w:pPr>
      <w:spacing w:before="120" w:after="120" w:line="240" w:lineRule="auto"/>
      <w:jc w:val="both"/>
    </w:pPr>
    <w:rPr>
      <w:rFonts w:ascii="Times New Roman" w:eastAsia="Times New Roman" w:hAnsi="Times New Roman" w:cs="Times New Roman"/>
      <w:b/>
      <w:bCs/>
      <w:sz w:val="36"/>
      <w:szCs w:val="36"/>
      <w:lang w:eastAsia="en-AU"/>
    </w:rPr>
    <w:tblPr>
      <w:tblCellMar>
        <w:left w:w="0" w:type="dxa"/>
        <w:right w:w="0" w:type="dxa"/>
      </w:tblCellMar>
    </w:tblPr>
  </w:style>
  <w:style w:type="table" w:customStyle="1" w:styleId="GTCHeading141">
    <w:name w:val="GTC Heading 141"/>
    <w:rsid w:val="000217F9"/>
    <w:pPr>
      <w:spacing w:before="240" w:after="240" w:line="240" w:lineRule="auto"/>
    </w:pPr>
    <w:rPr>
      <w:rFonts w:ascii="Times New Roman" w:eastAsia="Times New Roman" w:hAnsi="Times New Roman" w:cs="Times New Roman"/>
      <w:b/>
      <w:bCs/>
      <w:caps/>
      <w:sz w:val="24"/>
      <w:szCs w:val="24"/>
      <w:lang w:val="en-US"/>
    </w:rPr>
    <w:tblPr>
      <w:tblCellMar>
        <w:top w:w="0" w:type="dxa"/>
        <w:left w:w="0" w:type="dxa"/>
        <w:bottom w:w="0" w:type="dxa"/>
        <w:right w:w="0" w:type="dxa"/>
      </w:tblCellMar>
    </w:tblPr>
  </w:style>
  <w:style w:type="table" w:customStyle="1" w:styleId="GTCHeading241">
    <w:name w:val="GTC Heading 24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341">
    <w:name w:val="GTC Heading 341"/>
    <w:basedOn w:val="TableNormal"/>
    <w:rsid w:val="000217F9"/>
    <w:pPr>
      <w:spacing w:before="240" w:after="240" w:line="240" w:lineRule="auto"/>
    </w:pPr>
    <w:rPr>
      <w:rFonts w:ascii="Times New Roman" w:eastAsia="Times New Roman" w:hAnsi="Times New Roman" w:cs="Times New Roman"/>
      <w:b/>
      <w:bCs/>
      <w:sz w:val="24"/>
      <w:szCs w:val="24"/>
      <w:lang w:eastAsia="en-AU"/>
    </w:rPr>
    <w:tblPr>
      <w:tblCellMar>
        <w:left w:w="0" w:type="dxa"/>
        <w:right w:w="0" w:type="dxa"/>
      </w:tblCellMar>
    </w:tblPr>
  </w:style>
  <w:style w:type="table" w:customStyle="1" w:styleId="GTCHeading441">
    <w:name w:val="GTC Heading 441"/>
    <w:basedOn w:val="TableNormal"/>
    <w:rsid w:val="000217F9"/>
    <w:pPr>
      <w:spacing w:before="240" w:after="240" w:line="240" w:lineRule="auto"/>
    </w:pPr>
    <w:rPr>
      <w:rFonts w:ascii="Times New Roman" w:eastAsia="Times New Roman" w:hAnsi="Times New Roman" w:cs="Times New Roman"/>
      <w:b/>
      <w:bCs/>
      <w:i/>
      <w:iCs/>
      <w:sz w:val="24"/>
      <w:szCs w:val="24"/>
      <w:lang w:eastAsia="en-AU"/>
    </w:rPr>
    <w:tblPr>
      <w:tblCellMar>
        <w:left w:w="0" w:type="dxa"/>
        <w:right w:w="0" w:type="dxa"/>
      </w:tblCellMar>
    </w:tblPr>
  </w:style>
  <w:style w:type="table" w:customStyle="1" w:styleId="GTCLinkText41">
    <w:name w:val="GTC Link Text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41">
    <w:name w:val="GTC List Text41"/>
    <w:basedOn w:val="TableNormal"/>
    <w:rsid w:val="000217F9"/>
    <w:pPr>
      <w:spacing w:before="120" w:after="120" w:line="300" w:lineRule="auto"/>
    </w:pPr>
    <w:rPr>
      <w:rFonts w:ascii="Times New Roman" w:eastAsia="Times New Roman" w:hAnsi="Times New Roman" w:cs="Times New Roman"/>
      <w:sz w:val="24"/>
      <w:szCs w:val="24"/>
      <w:lang w:eastAsia="en-AU"/>
    </w:rPr>
    <w:tblPr>
      <w:tblCellMar>
        <w:left w:w="0" w:type="dxa"/>
        <w:right w:w="0" w:type="dxa"/>
      </w:tblCellMar>
    </w:tblPr>
  </w:style>
  <w:style w:type="table" w:customStyle="1" w:styleId="GTCTableListText41">
    <w:name w:val="GTC Table List Text41"/>
    <w:basedOn w:val="TableNormal"/>
    <w:rsid w:val="000217F9"/>
    <w:pPr>
      <w:spacing w:before="120" w:after="120" w:line="30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TextHighlights41">
    <w:name w:val="GTC List Text Highlights41"/>
    <w:basedOn w:val="TableNormal"/>
    <w:rsid w:val="000217F9"/>
    <w:pPr>
      <w:spacing w:after="0" w:line="240" w:lineRule="auto"/>
    </w:pPr>
    <w:rPr>
      <w:rFonts w:ascii="Times New Roman" w:eastAsia="Times New Roman" w:hAnsi="Times New Roman" w:cs="Times New Roman"/>
      <w:sz w:val="16"/>
      <w:szCs w:val="16"/>
      <w:lang w:eastAsia="en-AU"/>
    </w:rPr>
    <w:tblPr>
      <w:tblCellMar>
        <w:left w:w="0" w:type="dxa"/>
        <w:right w:w="0" w:type="dxa"/>
      </w:tblCellMar>
    </w:tblPr>
  </w:style>
  <w:style w:type="table" w:customStyle="1" w:styleId="GTCListStyleNone41">
    <w:name w:val="GTC List Style None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Circle41">
    <w:name w:val="GTC List Style Circle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Disc41">
    <w:name w:val="GTC List Style Disc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Square41">
    <w:name w:val="GTC List Style Square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Roman41">
    <w:name w:val="GTC List Style LittleRoman4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71">
    <w:name w:val="GTC List Style BigRoman71"/>
    <w:basedOn w:val="TableNormal"/>
    <w:rsid w:val="000217F9"/>
    <w:pPr>
      <w:tabs>
        <w:tab w:val="num" w:pos="1008"/>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LittleAlpha41">
    <w:name w:val="GTC List Style LittleAlpha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BigRoman81">
    <w:name w:val="GTC List Style BigRoman8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ListStyleArabic41">
    <w:name w:val="GTC List Style Arabic41"/>
    <w:basedOn w:val="TableNormal"/>
    <w:rsid w:val="000217F9"/>
    <w:pPr>
      <w:tabs>
        <w:tab w:val="num" w:pos="720"/>
      </w:tabs>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Otherwise41">
    <w:name w:val="GTC Table Title Otherwise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TableTitleInsert41">
    <w:name w:val="GTC Table Title Insert41"/>
    <w:basedOn w:val="TableNormal"/>
    <w:rsid w:val="000217F9"/>
    <w:pPr>
      <w:spacing w:before="100" w:beforeAutospacing="1" w:after="100" w:afterAutospacing="1" w:line="240" w:lineRule="auto"/>
    </w:pPr>
    <w:rPr>
      <w:rFonts w:ascii="Times New Roman" w:eastAsia="Times New Roman" w:hAnsi="Times New Roman" w:cs="Times New Roman"/>
      <w:color w:val="FF0000"/>
      <w:sz w:val="20"/>
      <w:szCs w:val="20"/>
      <w:u w:val="double"/>
      <w:lang w:eastAsia="en-AU"/>
    </w:rPr>
    <w:tblPr>
      <w:tblCellMar>
        <w:left w:w="0" w:type="dxa"/>
        <w:right w:w="0" w:type="dxa"/>
      </w:tblCellMar>
    </w:tblPr>
  </w:style>
  <w:style w:type="table" w:customStyle="1" w:styleId="GTCTableTitleDelete41">
    <w:name w:val="GTC Table Title Delete41"/>
    <w:basedOn w:val="TableNormal"/>
    <w:rsid w:val="000217F9"/>
    <w:pPr>
      <w:spacing w:before="100" w:beforeAutospacing="1" w:after="100" w:afterAutospacing="1" w:line="240" w:lineRule="auto"/>
    </w:pPr>
    <w:rPr>
      <w:rFonts w:ascii="Times New Roman" w:eastAsia="Times New Roman" w:hAnsi="Times New Roman" w:cs="Times New Roman"/>
      <w:strike/>
      <w:color w:val="FF0000"/>
      <w:sz w:val="20"/>
      <w:szCs w:val="20"/>
      <w:lang w:eastAsia="en-AU"/>
    </w:rPr>
    <w:tblPr>
      <w:tblCellMar>
        <w:left w:w="0" w:type="dxa"/>
        <w:right w:w="0" w:type="dxa"/>
      </w:tblCellMar>
    </w:tblPr>
  </w:style>
  <w:style w:type="table" w:customStyle="1" w:styleId="GTCOutlineNumbering41">
    <w:name w:val="GTC Outline Numbering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GTCBullets41">
    <w:name w:val="GTC Bullets41"/>
    <w:basedOn w:val="TableNormal"/>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TableGrid11">
    <w:name w:val="Table Grid11"/>
    <w:basedOn w:val="TableNormal"/>
    <w:next w:val="TableGrid"/>
    <w:rsid w:val="000217F9"/>
    <w:pPr>
      <w:spacing w:before="100" w:beforeAutospacing="1" w:after="100" w:afterAutospacing="1"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0217F9"/>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next w:val="LightShading"/>
    <w:uiPriority w:val="60"/>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TableNormal"/>
    <w:next w:val="LightShading-Accent3"/>
    <w:uiPriority w:val="60"/>
    <w:rsid w:val="000217F9"/>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2-Accent21">
    <w:name w:val="Medium Shading 2 - Accent 21"/>
    <w:basedOn w:val="TableNormal"/>
    <w:next w:val="MediumShading2-Accent2"/>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diumList2-Accent31">
    <w:name w:val="Medium List 2 - Accent 31"/>
    <w:basedOn w:val="TableNormal"/>
    <w:next w:val="MediumList2-Accent3"/>
    <w:uiPriority w:val="66"/>
    <w:rsid w:val="000217F9"/>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Shading2-Accent51">
    <w:name w:val="Medium Shading 2 - Accent 51"/>
    <w:basedOn w:val="TableNormal"/>
    <w:next w:val="MediumShading2-Accent5"/>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next w:val="MediumGrid3-Accent5"/>
    <w:uiPriority w:val="69"/>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1111111">
    <w:name w:val="1111111"/>
    <w:rsid w:val="000217F9"/>
  </w:style>
  <w:style w:type="numbering" w:customStyle="1" w:styleId="1ai1">
    <w:name w:val="1ai1"/>
    <w:rsid w:val="000217F9"/>
  </w:style>
  <w:style w:type="numbering" w:customStyle="1" w:styleId="ArticleSection1">
    <w:name w:val="ArticleSection1"/>
    <w:rsid w:val="000217F9"/>
  </w:style>
  <w:style w:type="numbering" w:customStyle="1" w:styleId="11111110">
    <w:name w:val="1 / 1.1 / 1.1.11"/>
    <w:basedOn w:val="NoList"/>
    <w:next w:val="111111"/>
    <w:rsid w:val="000217F9"/>
  </w:style>
  <w:style w:type="numbering" w:customStyle="1" w:styleId="1ai10">
    <w:name w:val="1 / a / i1"/>
    <w:basedOn w:val="NoList"/>
    <w:next w:val="1ai"/>
    <w:rsid w:val="000217F9"/>
  </w:style>
  <w:style w:type="numbering" w:customStyle="1" w:styleId="ArticleSection10">
    <w:name w:val="Article / Section1"/>
    <w:basedOn w:val="NoList"/>
    <w:next w:val="ArticleSection"/>
    <w:rsid w:val="000217F9"/>
  </w:style>
  <w:style w:type="table" w:customStyle="1" w:styleId="Table3Deffects11">
    <w:name w:val="Table 3D effects 11"/>
    <w:basedOn w:val="TableNormal"/>
    <w:next w:val="Table3Deffects1"/>
    <w:rsid w:val="000217F9"/>
    <w:pPr>
      <w:spacing w:after="0" w:line="240" w:lineRule="auto"/>
    </w:pPr>
    <w:rPr>
      <w:rFonts w:ascii="Times New Roman" w:eastAsia="MS Mincho"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0217F9"/>
    <w:pPr>
      <w:spacing w:after="0" w:line="240" w:lineRule="auto"/>
    </w:pPr>
    <w:rPr>
      <w:rFonts w:ascii="Times New Roman" w:eastAsia="MS Mincho"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0217F9"/>
    <w:pPr>
      <w:spacing w:after="0" w:line="240" w:lineRule="auto"/>
    </w:pPr>
    <w:rPr>
      <w:rFonts w:ascii="Times New Roman" w:eastAsia="MS Mincho"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217F9"/>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0217F9"/>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0217F9"/>
    <w:pPr>
      <w:spacing w:after="0" w:line="240" w:lineRule="auto"/>
    </w:pPr>
    <w:rPr>
      <w:rFonts w:ascii="Times New Roman" w:eastAsia="MS Mincho"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0217F9"/>
    <w:pPr>
      <w:spacing w:after="0" w:line="240" w:lineRule="auto"/>
    </w:pPr>
    <w:rPr>
      <w:rFonts w:ascii="Times New Roman" w:eastAsia="MS Mincho"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0217F9"/>
    <w:pPr>
      <w:spacing w:after="0" w:line="240" w:lineRule="auto"/>
    </w:pPr>
    <w:rPr>
      <w:rFonts w:ascii="Times New Roman" w:eastAsia="MS Mincho"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0217F9"/>
    <w:pPr>
      <w:spacing w:after="0" w:line="240" w:lineRule="auto"/>
    </w:pPr>
    <w:rPr>
      <w:rFonts w:ascii="Times New Roman" w:eastAsia="MS Mincho"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0217F9"/>
    <w:pPr>
      <w:spacing w:after="0" w:line="240" w:lineRule="auto"/>
    </w:pPr>
    <w:rPr>
      <w:rFonts w:ascii="Times New Roman" w:eastAsia="MS Mincho"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0217F9"/>
    <w:pPr>
      <w:spacing w:after="0" w:line="240" w:lineRule="auto"/>
    </w:pPr>
    <w:rPr>
      <w:rFonts w:ascii="Times New Roman" w:eastAsia="MS Mincho"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0217F9"/>
    <w:pPr>
      <w:spacing w:after="0" w:line="240" w:lineRule="auto"/>
    </w:pPr>
    <w:rPr>
      <w:rFonts w:ascii="Times New Roman" w:eastAsia="MS Mincho"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0217F9"/>
    <w:pPr>
      <w:spacing w:after="0" w:line="240" w:lineRule="auto"/>
    </w:pPr>
    <w:rPr>
      <w:rFonts w:ascii="Times New Roman" w:eastAsia="MS Mincho"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0217F9"/>
    <w:pPr>
      <w:spacing w:after="0" w:line="240" w:lineRule="auto"/>
    </w:pPr>
    <w:rPr>
      <w:rFonts w:ascii="Times New Roman" w:eastAsia="MS Mincho"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0217F9"/>
    <w:pPr>
      <w:spacing w:after="0" w:line="240" w:lineRule="auto"/>
    </w:pPr>
    <w:rPr>
      <w:rFonts w:ascii="Times New Roman" w:eastAsia="MS Mincho"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0217F9"/>
    <w:pPr>
      <w:spacing w:after="0" w:line="240" w:lineRule="auto"/>
    </w:pPr>
    <w:rPr>
      <w:rFonts w:ascii="Times New Roman" w:eastAsia="MS Mincho"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0217F9"/>
    <w:pPr>
      <w:spacing w:after="0" w:line="240" w:lineRule="auto"/>
    </w:pPr>
    <w:rPr>
      <w:rFonts w:ascii="Times New Roman" w:eastAsia="MS Mincho"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0217F9"/>
    <w:pPr>
      <w:spacing w:after="0" w:line="240" w:lineRule="auto"/>
    </w:pPr>
    <w:rPr>
      <w:rFonts w:ascii="Times New Roman" w:eastAsia="MS Mincho"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0217F9"/>
    <w:pPr>
      <w:spacing w:after="0" w:line="240" w:lineRule="auto"/>
    </w:pPr>
    <w:rPr>
      <w:rFonts w:ascii="Times New Roman" w:eastAsia="MS Mincho"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0217F9"/>
    <w:pPr>
      <w:spacing w:after="0" w:line="240" w:lineRule="auto"/>
    </w:pPr>
    <w:rPr>
      <w:rFonts w:ascii="Times New Roman" w:eastAsia="MS Mincho"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0217F9"/>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0217F9"/>
    <w:pPr>
      <w:spacing w:after="0" w:line="240" w:lineRule="auto"/>
    </w:pPr>
    <w:rPr>
      <w:rFonts w:ascii="Times New Roman" w:eastAsia="MS Mincho"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0217F9"/>
    <w:pPr>
      <w:spacing w:after="0" w:line="240" w:lineRule="auto"/>
    </w:pPr>
    <w:rPr>
      <w:rFonts w:ascii="Times New Roman" w:eastAsia="MS Mincho"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0217F9"/>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0217F9"/>
    <w:pPr>
      <w:spacing w:after="0" w:line="240" w:lineRule="auto"/>
    </w:pPr>
    <w:rPr>
      <w:rFonts w:ascii="Times New Roman" w:eastAsia="MS Mincho"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0217F9"/>
    <w:pPr>
      <w:spacing w:after="0" w:line="240" w:lineRule="auto"/>
    </w:pPr>
    <w:rPr>
      <w:rFonts w:ascii="Times New Roman" w:eastAsia="MS Mincho"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0217F9"/>
    <w:pPr>
      <w:spacing w:after="0" w:line="240" w:lineRule="auto"/>
    </w:pPr>
    <w:rPr>
      <w:rFonts w:ascii="Times New Roman" w:eastAsia="MS Mincho"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0217F9"/>
    <w:pPr>
      <w:spacing w:after="0" w:line="240" w:lineRule="auto"/>
    </w:pPr>
    <w:rPr>
      <w:rFonts w:ascii="Times New Roman" w:eastAsia="MS Mincho"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0217F9"/>
    <w:pPr>
      <w:spacing w:after="0" w:line="240" w:lineRule="auto"/>
    </w:pPr>
    <w:rPr>
      <w:rFonts w:ascii="Times New Roman" w:eastAsia="MS Mincho"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0217F9"/>
    <w:pPr>
      <w:spacing w:after="0" w:line="240" w:lineRule="auto"/>
    </w:pPr>
    <w:rPr>
      <w:rFonts w:ascii="Times New Roman" w:eastAsia="MS Mincho"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0217F9"/>
    <w:pPr>
      <w:spacing w:after="0" w:line="240" w:lineRule="auto"/>
    </w:pPr>
    <w:rPr>
      <w:rFonts w:ascii="Times New Roman" w:eastAsia="MS Mincho"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217F9"/>
    <w:pPr>
      <w:spacing w:after="0" w:line="240" w:lineRule="auto"/>
    </w:pPr>
    <w:rPr>
      <w:rFonts w:ascii="Times New Roman" w:eastAsia="MS Mincho"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217F9"/>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0217F9"/>
    <w:pPr>
      <w:spacing w:after="0" w:line="240" w:lineRule="auto"/>
    </w:pPr>
    <w:rPr>
      <w:rFonts w:ascii="Times New Roman" w:eastAsia="MS Mincho"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0217F9"/>
    <w:pPr>
      <w:spacing w:after="0" w:line="240" w:lineRule="auto"/>
    </w:pPr>
    <w:rPr>
      <w:rFonts w:ascii="Times New Roman" w:eastAsia="MS Mincho"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0217F9"/>
    <w:pPr>
      <w:spacing w:after="0" w:line="240" w:lineRule="auto"/>
    </w:pPr>
    <w:rPr>
      <w:rFonts w:ascii="Times New Roman" w:eastAsia="MS Mincho"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jusskuggning-dekorfrg11">
    <w:name w:val="Ljus skuggning - dekorfärg 11"/>
    <w:basedOn w:val="TableNormal"/>
    <w:uiPriority w:val="60"/>
    <w:rsid w:val="000217F9"/>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jusskuggning1">
    <w:name w:val="Ljus skuggning1"/>
    <w:basedOn w:val="TableNormal"/>
    <w:uiPriority w:val="60"/>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31">
    <w:name w:val="Ljus skuggning - dekorfärg 31"/>
    <w:basedOn w:val="TableNormal"/>
    <w:uiPriority w:val="60"/>
    <w:rsid w:val="000217F9"/>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llanmrkskuggning2-dekorfrg21">
    <w:name w:val="Mellanmörk skuggning 2 - dekorfärg 21"/>
    <w:basedOn w:val="TableNormal"/>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rgatrutnt-dekorfrg31">
    <w:name w:val="Färgat rutnät - dekorfärg 31"/>
    <w:basedOn w:val="TableNormal"/>
    <w:uiPriority w:val="73"/>
    <w:rsid w:val="000217F9"/>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Mellanmrklista2-dekorfrg31">
    <w:name w:val="Mellanmörk lista 2 - dekorfärg 31"/>
    <w:basedOn w:val="TableNormal"/>
    <w:uiPriority w:val="66"/>
    <w:rsid w:val="000217F9"/>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llanmrkskuggning2-dekorfrg51">
    <w:name w:val="Mellanmörk skuggning 2 - dekorfärg 51"/>
    <w:basedOn w:val="TableNormal"/>
    <w:uiPriority w:val="64"/>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trutnt3-dekorfrg51">
    <w:name w:val="Mellanmörkt rutnät 3 - dekorfärg 51"/>
    <w:basedOn w:val="TableNormal"/>
    <w:uiPriority w:val="69"/>
    <w:rsid w:val="000217F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11">
    <w:name w:val="No List11"/>
    <w:next w:val="NoList"/>
    <w:uiPriority w:val="99"/>
    <w:semiHidden/>
    <w:unhideWhenUsed/>
    <w:rsid w:val="000217F9"/>
  </w:style>
  <w:style w:type="table" w:customStyle="1" w:styleId="TableGrid210">
    <w:name w:val="Table Grid21"/>
    <w:basedOn w:val="TableNormal"/>
    <w:next w:val="TableGrid"/>
    <w:uiPriority w:val="59"/>
    <w:rsid w:val="0002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lankline">
    <w:name w:val="gtcblankline"/>
    <w:basedOn w:val="Normal"/>
    <w:rsid w:val="000217F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6189">
      <w:bodyDiv w:val="1"/>
      <w:marLeft w:val="0"/>
      <w:marRight w:val="0"/>
      <w:marTop w:val="0"/>
      <w:marBottom w:val="0"/>
      <w:divBdr>
        <w:top w:val="none" w:sz="0" w:space="0" w:color="auto"/>
        <w:left w:val="none" w:sz="0" w:space="0" w:color="auto"/>
        <w:bottom w:val="none" w:sz="0" w:space="0" w:color="auto"/>
        <w:right w:val="none" w:sz="0" w:space="0" w:color="auto"/>
      </w:divBdr>
    </w:div>
    <w:div w:id="223640493">
      <w:bodyDiv w:val="1"/>
      <w:marLeft w:val="0"/>
      <w:marRight w:val="0"/>
      <w:marTop w:val="0"/>
      <w:marBottom w:val="0"/>
      <w:divBdr>
        <w:top w:val="none" w:sz="0" w:space="0" w:color="auto"/>
        <w:left w:val="none" w:sz="0" w:space="0" w:color="auto"/>
        <w:bottom w:val="none" w:sz="0" w:space="0" w:color="auto"/>
        <w:right w:val="none" w:sz="0" w:space="0" w:color="auto"/>
      </w:divBdr>
    </w:div>
    <w:div w:id="263347807">
      <w:bodyDiv w:val="1"/>
      <w:marLeft w:val="0"/>
      <w:marRight w:val="0"/>
      <w:marTop w:val="0"/>
      <w:marBottom w:val="0"/>
      <w:divBdr>
        <w:top w:val="none" w:sz="0" w:space="0" w:color="auto"/>
        <w:left w:val="none" w:sz="0" w:space="0" w:color="auto"/>
        <w:bottom w:val="none" w:sz="0" w:space="0" w:color="auto"/>
        <w:right w:val="none" w:sz="0" w:space="0" w:color="auto"/>
      </w:divBdr>
    </w:div>
    <w:div w:id="310409751">
      <w:bodyDiv w:val="1"/>
      <w:marLeft w:val="0"/>
      <w:marRight w:val="0"/>
      <w:marTop w:val="0"/>
      <w:marBottom w:val="0"/>
      <w:divBdr>
        <w:top w:val="none" w:sz="0" w:space="0" w:color="auto"/>
        <w:left w:val="none" w:sz="0" w:space="0" w:color="auto"/>
        <w:bottom w:val="none" w:sz="0" w:space="0" w:color="auto"/>
        <w:right w:val="none" w:sz="0" w:space="0" w:color="auto"/>
      </w:divBdr>
    </w:div>
    <w:div w:id="344674956">
      <w:bodyDiv w:val="1"/>
      <w:marLeft w:val="0"/>
      <w:marRight w:val="0"/>
      <w:marTop w:val="0"/>
      <w:marBottom w:val="0"/>
      <w:divBdr>
        <w:top w:val="none" w:sz="0" w:space="0" w:color="auto"/>
        <w:left w:val="none" w:sz="0" w:space="0" w:color="auto"/>
        <w:bottom w:val="none" w:sz="0" w:space="0" w:color="auto"/>
        <w:right w:val="none" w:sz="0" w:space="0" w:color="auto"/>
      </w:divBdr>
    </w:div>
    <w:div w:id="355926504">
      <w:bodyDiv w:val="1"/>
      <w:marLeft w:val="0"/>
      <w:marRight w:val="0"/>
      <w:marTop w:val="0"/>
      <w:marBottom w:val="0"/>
      <w:divBdr>
        <w:top w:val="none" w:sz="0" w:space="0" w:color="auto"/>
        <w:left w:val="none" w:sz="0" w:space="0" w:color="auto"/>
        <w:bottom w:val="none" w:sz="0" w:space="0" w:color="auto"/>
        <w:right w:val="none" w:sz="0" w:space="0" w:color="auto"/>
      </w:divBdr>
    </w:div>
    <w:div w:id="478501693">
      <w:bodyDiv w:val="1"/>
      <w:marLeft w:val="0"/>
      <w:marRight w:val="0"/>
      <w:marTop w:val="0"/>
      <w:marBottom w:val="0"/>
      <w:divBdr>
        <w:top w:val="none" w:sz="0" w:space="0" w:color="auto"/>
        <w:left w:val="none" w:sz="0" w:space="0" w:color="auto"/>
        <w:bottom w:val="none" w:sz="0" w:space="0" w:color="auto"/>
        <w:right w:val="none" w:sz="0" w:space="0" w:color="auto"/>
      </w:divBdr>
    </w:div>
    <w:div w:id="534924526">
      <w:bodyDiv w:val="1"/>
      <w:marLeft w:val="0"/>
      <w:marRight w:val="0"/>
      <w:marTop w:val="0"/>
      <w:marBottom w:val="0"/>
      <w:divBdr>
        <w:top w:val="none" w:sz="0" w:space="0" w:color="auto"/>
        <w:left w:val="none" w:sz="0" w:space="0" w:color="auto"/>
        <w:bottom w:val="none" w:sz="0" w:space="0" w:color="auto"/>
        <w:right w:val="none" w:sz="0" w:space="0" w:color="auto"/>
      </w:divBdr>
    </w:div>
    <w:div w:id="608852146">
      <w:bodyDiv w:val="1"/>
      <w:marLeft w:val="0"/>
      <w:marRight w:val="0"/>
      <w:marTop w:val="0"/>
      <w:marBottom w:val="0"/>
      <w:divBdr>
        <w:top w:val="none" w:sz="0" w:space="0" w:color="auto"/>
        <w:left w:val="none" w:sz="0" w:space="0" w:color="auto"/>
        <w:bottom w:val="none" w:sz="0" w:space="0" w:color="auto"/>
        <w:right w:val="none" w:sz="0" w:space="0" w:color="auto"/>
      </w:divBdr>
    </w:div>
    <w:div w:id="921570465">
      <w:bodyDiv w:val="1"/>
      <w:marLeft w:val="0"/>
      <w:marRight w:val="0"/>
      <w:marTop w:val="0"/>
      <w:marBottom w:val="0"/>
      <w:divBdr>
        <w:top w:val="none" w:sz="0" w:space="0" w:color="auto"/>
        <w:left w:val="none" w:sz="0" w:space="0" w:color="auto"/>
        <w:bottom w:val="none" w:sz="0" w:space="0" w:color="auto"/>
        <w:right w:val="none" w:sz="0" w:space="0" w:color="auto"/>
      </w:divBdr>
    </w:div>
    <w:div w:id="969818425">
      <w:bodyDiv w:val="1"/>
      <w:marLeft w:val="0"/>
      <w:marRight w:val="0"/>
      <w:marTop w:val="0"/>
      <w:marBottom w:val="0"/>
      <w:divBdr>
        <w:top w:val="none" w:sz="0" w:space="0" w:color="auto"/>
        <w:left w:val="none" w:sz="0" w:space="0" w:color="auto"/>
        <w:bottom w:val="none" w:sz="0" w:space="0" w:color="auto"/>
        <w:right w:val="none" w:sz="0" w:space="0" w:color="auto"/>
      </w:divBdr>
    </w:div>
    <w:div w:id="979457912">
      <w:bodyDiv w:val="1"/>
      <w:marLeft w:val="0"/>
      <w:marRight w:val="0"/>
      <w:marTop w:val="0"/>
      <w:marBottom w:val="0"/>
      <w:divBdr>
        <w:top w:val="none" w:sz="0" w:space="0" w:color="auto"/>
        <w:left w:val="none" w:sz="0" w:space="0" w:color="auto"/>
        <w:bottom w:val="none" w:sz="0" w:space="0" w:color="auto"/>
        <w:right w:val="none" w:sz="0" w:space="0" w:color="auto"/>
      </w:divBdr>
    </w:div>
    <w:div w:id="987201480">
      <w:bodyDiv w:val="1"/>
      <w:marLeft w:val="0"/>
      <w:marRight w:val="0"/>
      <w:marTop w:val="0"/>
      <w:marBottom w:val="0"/>
      <w:divBdr>
        <w:top w:val="none" w:sz="0" w:space="0" w:color="auto"/>
        <w:left w:val="none" w:sz="0" w:space="0" w:color="auto"/>
        <w:bottom w:val="none" w:sz="0" w:space="0" w:color="auto"/>
        <w:right w:val="none" w:sz="0" w:space="0" w:color="auto"/>
      </w:divBdr>
    </w:div>
    <w:div w:id="1121924823">
      <w:bodyDiv w:val="1"/>
      <w:marLeft w:val="0"/>
      <w:marRight w:val="0"/>
      <w:marTop w:val="0"/>
      <w:marBottom w:val="0"/>
      <w:divBdr>
        <w:top w:val="none" w:sz="0" w:space="0" w:color="auto"/>
        <w:left w:val="none" w:sz="0" w:space="0" w:color="auto"/>
        <w:bottom w:val="none" w:sz="0" w:space="0" w:color="auto"/>
        <w:right w:val="none" w:sz="0" w:space="0" w:color="auto"/>
      </w:divBdr>
    </w:div>
    <w:div w:id="1462260904">
      <w:bodyDiv w:val="1"/>
      <w:marLeft w:val="0"/>
      <w:marRight w:val="0"/>
      <w:marTop w:val="0"/>
      <w:marBottom w:val="0"/>
      <w:divBdr>
        <w:top w:val="none" w:sz="0" w:space="0" w:color="auto"/>
        <w:left w:val="none" w:sz="0" w:space="0" w:color="auto"/>
        <w:bottom w:val="none" w:sz="0" w:space="0" w:color="auto"/>
        <w:right w:val="none" w:sz="0" w:space="0" w:color="auto"/>
      </w:divBdr>
    </w:div>
    <w:div w:id="1608468954">
      <w:bodyDiv w:val="1"/>
      <w:marLeft w:val="0"/>
      <w:marRight w:val="0"/>
      <w:marTop w:val="0"/>
      <w:marBottom w:val="0"/>
      <w:divBdr>
        <w:top w:val="none" w:sz="0" w:space="0" w:color="auto"/>
        <w:left w:val="none" w:sz="0" w:space="0" w:color="auto"/>
        <w:bottom w:val="none" w:sz="0" w:space="0" w:color="auto"/>
        <w:right w:val="none" w:sz="0" w:space="0" w:color="auto"/>
      </w:divBdr>
    </w:div>
    <w:div w:id="1707370666">
      <w:bodyDiv w:val="1"/>
      <w:marLeft w:val="0"/>
      <w:marRight w:val="0"/>
      <w:marTop w:val="0"/>
      <w:marBottom w:val="0"/>
      <w:divBdr>
        <w:top w:val="none" w:sz="0" w:space="0" w:color="auto"/>
        <w:left w:val="none" w:sz="0" w:space="0" w:color="auto"/>
        <w:bottom w:val="none" w:sz="0" w:space="0" w:color="auto"/>
        <w:right w:val="none" w:sz="0" w:space="0" w:color="auto"/>
      </w:divBdr>
    </w:div>
    <w:div w:id="1827622604">
      <w:bodyDiv w:val="1"/>
      <w:marLeft w:val="0"/>
      <w:marRight w:val="0"/>
      <w:marTop w:val="0"/>
      <w:marBottom w:val="0"/>
      <w:divBdr>
        <w:top w:val="none" w:sz="0" w:space="0" w:color="auto"/>
        <w:left w:val="none" w:sz="0" w:space="0" w:color="auto"/>
        <w:bottom w:val="none" w:sz="0" w:space="0" w:color="auto"/>
        <w:right w:val="none" w:sz="0" w:space="0" w:color="auto"/>
      </w:divBdr>
    </w:div>
    <w:div w:id="20252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CE7D4B.E5E5447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cid:image003.png@01CE7D4B.E5E5447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4.png@01CE7D4B.E5E54470"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F4D201CF953408A7502DD2ADB60DC" ma:contentTypeVersion="0" ma:contentTypeDescription="Create a new document." ma:contentTypeScope="" ma:versionID="36d434b2366a852352a15d55cdffc8b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F037-2FD5-4B91-8B05-804D1E5F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3BA552-51F8-4A4F-8FE5-3DB43AD2B22A}">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61A33E0-4635-48CB-B980-8239290E8963}">
  <ds:schemaRefs>
    <ds:schemaRef ds:uri="http://schemas.microsoft.com/sharepoint/v3/contenttype/forms"/>
  </ds:schemaRefs>
</ds:datastoreItem>
</file>

<file path=customXml/itemProps4.xml><?xml version="1.0" encoding="utf-8"?>
<ds:datastoreItem xmlns:ds="http://schemas.openxmlformats.org/officeDocument/2006/customXml" ds:itemID="{9E1B844F-7965-42C2-B8F4-7D03B552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16194</Words>
  <Characters>92312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AusPAR Attachment 1. Product Information for Paritaprevir / Ritonavir / Ombitasvir and Dasabuvir (as Sodium Salt)</vt:lpstr>
    </vt:vector>
  </TitlesOfParts>
  <Company>Abbott Laboratories</Company>
  <LinksUpToDate>false</LinksUpToDate>
  <CharactersWithSpaces>108290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Paritaprevir / Ritonavir / Ombitasvir and Dasabuvir (as Sodium Salt)</dc:title>
  <dc:subject>Prescription medicines</dc:subject>
  <dc:creator>Pallis, Joy</dc:creator>
  <cp:keywords>AusPARs</cp:keywords>
  <cp:lastModifiedBy>MORENO, David</cp:lastModifiedBy>
  <cp:revision>3</cp:revision>
  <dcterms:created xsi:type="dcterms:W3CDTF">2017-03-16T05:04:00Z</dcterms:created>
  <dcterms:modified xsi:type="dcterms:W3CDTF">2017-05-01T06:43:00Z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0x0101008DFF4D201CF953408A7502DD2ADB60DC</vt:lpwstr>
  </property>
</Properties>
</file>