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56AEF" w:rsidRDefault="00156AEF"/>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tblGrid>
      <w:tr w:rsidR="008E7846" w:rsidRPr="00487162" w:rsidTr="00BF1190">
        <w:trPr>
          <w:trHeight w:val="1863"/>
        </w:trPr>
        <w:tc>
          <w:tcPr>
            <w:tcW w:w="3652" w:type="dxa"/>
            <w:tcBorders>
              <w:top w:val="nil"/>
              <w:left w:val="nil"/>
              <w:bottom w:val="nil"/>
              <w:right w:val="nil"/>
            </w:tcBorders>
          </w:tcPr>
          <w:p w:rsidR="008E7846" w:rsidRPr="00096AA7" w:rsidRDefault="001646B5" w:rsidP="00096AA7">
            <w:pPr>
              <w:rPr>
                <w:rFonts w:ascii="Arial" w:hAnsi="Arial" w:cs="Arial"/>
                <w:b/>
                <w:color w:val="002C47"/>
                <w:sz w:val="36"/>
                <w:szCs w:val="36"/>
              </w:rPr>
            </w:pPr>
            <w:r>
              <w:rPr>
                <w:rFonts w:ascii="Arial" w:hAnsi="Arial" w:cs="Arial"/>
                <w:b/>
                <w:color w:val="002C47"/>
                <w:sz w:val="36"/>
                <w:szCs w:val="36"/>
              </w:rPr>
              <w:t xml:space="preserve">October </w:t>
            </w:r>
            <w:r w:rsidR="0043748F">
              <w:rPr>
                <w:rFonts w:ascii="Arial" w:hAnsi="Arial" w:cs="Arial"/>
                <w:b/>
                <w:color w:val="002C47"/>
                <w:sz w:val="36"/>
                <w:szCs w:val="36"/>
              </w:rPr>
              <w:t>20</w:t>
            </w:r>
            <w:r w:rsidR="00323437">
              <w:rPr>
                <w:rFonts w:ascii="Arial" w:hAnsi="Arial" w:cs="Arial"/>
                <w:b/>
                <w:color w:val="002C47"/>
                <w:sz w:val="36"/>
                <w:szCs w:val="36"/>
              </w:rPr>
              <w:t>17</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rsidTr="0032583B">
        <w:trPr>
          <w:trHeight w:val="868"/>
        </w:trPr>
        <w:tc>
          <w:tcPr>
            <w:tcW w:w="9079" w:type="dxa"/>
          </w:tcPr>
          <w:p w:rsidR="0032583B" w:rsidRPr="00A964D1" w:rsidRDefault="0032583B" w:rsidP="00A964D1">
            <w:pPr>
              <w:pStyle w:val="Title"/>
              <w:rPr>
                <w:color w:val="FFFFFF" w:themeColor="background1"/>
              </w:rPr>
            </w:pPr>
            <w:r w:rsidRPr="00A964D1">
              <w:rPr>
                <w:color w:val="FFFFFF" w:themeColor="background1"/>
              </w:rPr>
              <w:t>Australian Pu</w:t>
            </w:r>
            <w:r w:rsidR="00FE3FD3">
              <w:rPr>
                <w:color w:val="FFFFFF" w:themeColor="background1"/>
              </w:rPr>
              <w:t xml:space="preserve">blic Assessment Report for </w:t>
            </w:r>
            <w:bookmarkStart w:id="0" w:name="_GoBack"/>
            <w:proofErr w:type="spellStart"/>
            <w:r w:rsidR="00044D2D" w:rsidRPr="00AC6AA0">
              <w:rPr>
                <w:rFonts w:cs="Arial"/>
                <w:color w:val="FFFFFF"/>
                <w:kern w:val="0"/>
                <w:szCs w:val="28"/>
              </w:rPr>
              <w:t>Paritaprevir</w:t>
            </w:r>
            <w:proofErr w:type="spellEnd"/>
            <w:r w:rsidR="00044D2D">
              <w:rPr>
                <w:rFonts w:cs="Arial"/>
                <w:color w:val="FFFFFF"/>
                <w:kern w:val="0"/>
                <w:szCs w:val="28"/>
              </w:rPr>
              <w:t xml:space="preserve"> </w:t>
            </w:r>
            <w:r w:rsidR="00044D2D" w:rsidRPr="00AC6AA0">
              <w:rPr>
                <w:rFonts w:cs="Arial"/>
                <w:color w:val="FFFFFF"/>
                <w:kern w:val="0"/>
                <w:szCs w:val="28"/>
              </w:rPr>
              <w:t>/</w:t>
            </w:r>
            <w:r w:rsidR="00044D2D">
              <w:rPr>
                <w:rFonts w:cs="Arial"/>
                <w:color w:val="FFFFFF"/>
                <w:kern w:val="0"/>
                <w:szCs w:val="28"/>
              </w:rPr>
              <w:t xml:space="preserve"> </w:t>
            </w:r>
            <w:r w:rsidR="00044D2D" w:rsidRPr="00AC6AA0">
              <w:rPr>
                <w:rFonts w:cs="Arial"/>
                <w:color w:val="FFFFFF"/>
                <w:kern w:val="0"/>
                <w:szCs w:val="28"/>
              </w:rPr>
              <w:t>Ritonavir</w:t>
            </w:r>
            <w:r w:rsidR="00044D2D">
              <w:rPr>
                <w:rFonts w:cs="Arial"/>
                <w:color w:val="FFFFFF"/>
                <w:kern w:val="0"/>
                <w:szCs w:val="28"/>
              </w:rPr>
              <w:t xml:space="preserve"> </w:t>
            </w:r>
            <w:r w:rsidR="00044D2D" w:rsidRPr="00AC6AA0">
              <w:rPr>
                <w:rFonts w:cs="Arial"/>
                <w:color w:val="FFFFFF"/>
                <w:kern w:val="0"/>
                <w:szCs w:val="28"/>
              </w:rPr>
              <w:t>/</w:t>
            </w:r>
            <w:r w:rsidR="00044D2D">
              <w:rPr>
                <w:rFonts w:cs="Arial"/>
                <w:color w:val="FFFFFF"/>
                <w:kern w:val="0"/>
                <w:szCs w:val="28"/>
              </w:rPr>
              <w:t xml:space="preserve"> </w:t>
            </w:r>
            <w:proofErr w:type="spellStart"/>
            <w:r w:rsidR="00044D2D" w:rsidRPr="00AC6AA0">
              <w:rPr>
                <w:rFonts w:cs="Arial"/>
                <w:color w:val="FFFFFF"/>
                <w:kern w:val="0"/>
                <w:szCs w:val="28"/>
              </w:rPr>
              <w:t>Ombitasvir</w:t>
            </w:r>
            <w:bookmarkEnd w:id="0"/>
            <w:proofErr w:type="spellEnd"/>
          </w:p>
        </w:tc>
      </w:tr>
      <w:tr w:rsidR="0032583B" w:rsidRPr="00B64760" w:rsidTr="0032583B">
        <w:tc>
          <w:tcPr>
            <w:tcW w:w="9079" w:type="dxa"/>
          </w:tcPr>
          <w:p w:rsidR="0032583B" w:rsidRPr="008E7846" w:rsidRDefault="00FE3FD3" w:rsidP="0032583B">
            <w:pPr>
              <w:pStyle w:val="Subtitle"/>
              <w:rPr>
                <w:color w:val="FFFFFF" w:themeColor="background1"/>
              </w:rPr>
            </w:pPr>
            <w:r>
              <w:rPr>
                <w:color w:val="FFFFFF" w:themeColor="background1"/>
              </w:rPr>
              <w:t xml:space="preserve">Proprietary Product Name: </w:t>
            </w:r>
            <w:proofErr w:type="spellStart"/>
            <w:r>
              <w:rPr>
                <w:rFonts w:cs="Arial"/>
                <w:color w:val="FFFFFF"/>
                <w:szCs w:val="28"/>
              </w:rPr>
              <w:t>Technivie</w:t>
            </w:r>
            <w:proofErr w:type="spellEnd"/>
          </w:p>
        </w:tc>
      </w:tr>
      <w:tr w:rsidR="0032583B" w:rsidRPr="00B64760" w:rsidTr="0032583B">
        <w:trPr>
          <w:trHeight w:val="486"/>
        </w:trPr>
        <w:tc>
          <w:tcPr>
            <w:tcW w:w="9079" w:type="dxa"/>
          </w:tcPr>
          <w:p w:rsidR="0032583B" w:rsidRPr="008E7846" w:rsidRDefault="00FE3FD3" w:rsidP="00B60B7B">
            <w:pPr>
              <w:pStyle w:val="Subtitle"/>
              <w:rPr>
                <w:color w:val="FFFFFF" w:themeColor="background1"/>
              </w:rPr>
            </w:pPr>
            <w:r>
              <w:rPr>
                <w:color w:val="FFFFFF" w:themeColor="background1"/>
              </w:rPr>
              <w:t xml:space="preserve">Sponsor: </w:t>
            </w:r>
            <w:r w:rsidR="00F32635" w:rsidRPr="00F32635">
              <w:rPr>
                <w:rFonts w:cs="Arial"/>
                <w:color w:val="FFFFFF"/>
                <w:szCs w:val="28"/>
              </w:rPr>
              <w:t xml:space="preserve">AbbVie </w:t>
            </w:r>
            <w:r w:rsidR="00326150">
              <w:rPr>
                <w:rFonts w:cs="Arial"/>
                <w:color w:val="FFFFFF"/>
                <w:szCs w:val="28"/>
              </w:rPr>
              <w:t>Pty Ltd</w:t>
            </w:r>
          </w:p>
        </w:tc>
      </w:tr>
    </w:tbl>
    <w:p w:rsidR="008E7846" w:rsidRPr="0085156D" w:rsidRDefault="008E7846" w:rsidP="0085156D">
      <w:r w:rsidRPr="0085156D">
        <w:br w:type="page"/>
      </w:r>
    </w:p>
    <w:p w:rsidR="008E7846" w:rsidRPr="001F6CBA" w:rsidRDefault="008E7846" w:rsidP="008E7846">
      <w:pPr>
        <w:pStyle w:val="NonTOCHeading2"/>
      </w:pPr>
      <w:r w:rsidRPr="001F6CBA">
        <w:lastRenderedPageBreak/>
        <w:t>About the Therapeutic Goods Administration (TGA)</w:t>
      </w:r>
    </w:p>
    <w:p w:rsidR="008E7846" w:rsidRDefault="008E7846" w:rsidP="008E7846">
      <w:pPr>
        <w:pStyle w:val="ListBullet"/>
        <w:numPr>
          <w:ilvl w:val="0"/>
          <w:numId w:val="3"/>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rsidR="008E7846" w:rsidRDefault="00C80137" w:rsidP="008E7846">
      <w:pPr>
        <w:pStyle w:val="ListBullet"/>
        <w:numPr>
          <w:ilvl w:val="0"/>
          <w:numId w:val="3"/>
        </w:numPr>
        <w:ind w:left="357" w:hanging="357"/>
      </w:pPr>
      <w:r>
        <w:t xml:space="preserve">The </w:t>
      </w:r>
      <w:r w:rsidR="008E7846">
        <w:t xml:space="preserve">TGA administers the </w:t>
      </w:r>
      <w:r w:rsidR="008E7846" w:rsidRPr="00F640B6">
        <w:rPr>
          <w:i/>
        </w:rPr>
        <w:t>Therapeutic Goods Act 1989</w:t>
      </w:r>
      <w:r w:rsidR="00785717">
        <w:rPr>
          <w:i/>
        </w:rPr>
        <w:t xml:space="preserve"> </w:t>
      </w:r>
      <w:r w:rsidR="00785717" w:rsidRPr="00785717">
        <w:t>(the Act)</w:t>
      </w:r>
      <w:r w:rsidR="008E7846" w:rsidRPr="00785717">
        <w:t>,</w:t>
      </w:r>
      <w:r w:rsidR="008E7846">
        <w:t xml:space="preserve"> applying a risk management approach designed to ensure therapeutic goods supplied in Australia meet acceptable standards of quality, safety and efficacy (performance) when necessary.</w:t>
      </w:r>
    </w:p>
    <w:p w:rsidR="008E7846" w:rsidRDefault="008E7846" w:rsidP="008E7846">
      <w:pPr>
        <w:pStyle w:val="ListBullet"/>
        <w:numPr>
          <w:ilvl w:val="0"/>
          <w:numId w:val="3"/>
        </w:numPr>
        <w:ind w:left="357" w:hanging="357"/>
      </w:pPr>
      <w:r>
        <w:t>The work of the TGA is based on applying scientific and clinical expertise to decision-making, to ensure that the benefits to consumers outweigh any risks associated with the use of medicines and medical devices.</w:t>
      </w:r>
    </w:p>
    <w:p w:rsidR="008E7846" w:rsidRDefault="008E7846" w:rsidP="008E7846">
      <w:pPr>
        <w:pStyle w:val="ListBullet"/>
        <w:numPr>
          <w:ilvl w:val="0"/>
          <w:numId w:val="3"/>
        </w:numPr>
        <w:ind w:left="357" w:hanging="357"/>
      </w:pPr>
      <w:r>
        <w:t>The TGA relies on the public, healthcare professionals and industry to report problems with medicines or medical devices. TGA investigates reports received by it to determine any necessary regulatory action.</w:t>
      </w:r>
    </w:p>
    <w:p w:rsidR="00441C3F" w:rsidRDefault="008E7846" w:rsidP="00441C3F">
      <w:pPr>
        <w:pStyle w:val="ListBullet"/>
        <w:numPr>
          <w:ilvl w:val="0"/>
          <w:numId w:val="3"/>
        </w:numPr>
        <w:ind w:left="357" w:hanging="357"/>
      </w:pPr>
      <w:r>
        <w:t xml:space="preserve">To report a problem with a medicine or medical device, please see the information on </w:t>
      </w:r>
      <w:r w:rsidR="00441C3F">
        <w:t>the TGA website &lt;</w:t>
      </w:r>
      <w:hyperlink r:id="rId9" w:history="1">
        <w:r w:rsidR="00441C3F">
          <w:rPr>
            <w:rStyle w:val="Hyperlink"/>
          </w:rPr>
          <w:t>https://www.tga.gov.au</w:t>
        </w:r>
      </w:hyperlink>
      <w:r w:rsidR="00441C3F">
        <w:t>&gt;.</w:t>
      </w:r>
    </w:p>
    <w:p w:rsidR="008E7846" w:rsidRDefault="008E7846" w:rsidP="00441C3F">
      <w:pPr>
        <w:pStyle w:val="Heading2"/>
      </w:pPr>
      <w:bookmarkStart w:id="1" w:name="_Toc434232633"/>
      <w:bookmarkStart w:id="2" w:name="_Toc489877507"/>
      <w:bookmarkStart w:id="3" w:name="_Toc497301604"/>
      <w:r>
        <w:t xml:space="preserve">About </w:t>
      </w:r>
      <w:proofErr w:type="spellStart"/>
      <w:r>
        <w:t>AusPARs</w:t>
      </w:r>
      <w:bookmarkEnd w:id="1"/>
      <w:bookmarkEnd w:id="2"/>
      <w:bookmarkEnd w:id="3"/>
      <w:proofErr w:type="spellEnd"/>
    </w:p>
    <w:p w:rsidR="008E7846" w:rsidRDefault="008E7846" w:rsidP="008E7846">
      <w:pPr>
        <w:pStyle w:val="ListBullet"/>
        <w:numPr>
          <w:ilvl w:val="0"/>
          <w:numId w:val="3"/>
        </w:numPr>
        <w:ind w:left="357" w:hanging="357"/>
      </w:pPr>
      <w:r>
        <w:t>An Australian Public Assessment Re</w:t>
      </w:r>
      <w:r w:rsidR="00133A1B">
        <w:t>port</w:t>
      </w:r>
      <w:r>
        <w:t xml:space="preserve"> (AusPAR) provides information about the evaluation of a prescription medicine and the considerations that led the TGA to approve or not approve a pr</w:t>
      </w:r>
      <w:r w:rsidR="00441C3F">
        <w:t>escription medicine submission.</w:t>
      </w:r>
    </w:p>
    <w:p w:rsidR="008E7846" w:rsidRDefault="008E7846" w:rsidP="008E7846">
      <w:pPr>
        <w:pStyle w:val="ListBullet"/>
        <w:numPr>
          <w:ilvl w:val="0"/>
          <w:numId w:val="3"/>
        </w:numPr>
        <w:ind w:left="357" w:hanging="357"/>
      </w:pPr>
      <w:proofErr w:type="spellStart"/>
      <w:r>
        <w:t>AusPARs</w:t>
      </w:r>
      <w:proofErr w:type="spellEnd"/>
      <w:r>
        <w:t xml:space="preserve"> are prepared and published by the TGA.</w:t>
      </w:r>
    </w:p>
    <w:p w:rsidR="008E7846" w:rsidRDefault="008E7846" w:rsidP="008E7846">
      <w:pPr>
        <w:pStyle w:val="ListBullet"/>
        <w:numPr>
          <w:ilvl w:val="0"/>
          <w:numId w:val="3"/>
        </w:numPr>
        <w:ind w:left="357" w:hanging="357"/>
      </w:pPr>
      <w:r>
        <w:t>An AusPAR is prepared for submissions that relate to new chemical entities, generic medicines, major variations and extensions of indications.</w:t>
      </w:r>
    </w:p>
    <w:p w:rsidR="008E7846" w:rsidRDefault="008E7846" w:rsidP="008E7846">
      <w:pPr>
        <w:pStyle w:val="ListBullet"/>
        <w:numPr>
          <w:ilvl w:val="0"/>
          <w:numId w:val="3"/>
        </w:numPr>
        <w:ind w:left="357" w:hanging="357"/>
      </w:pPr>
      <w:r>
        <w:t>An AusPAR is a static document</w:t>
      </w:r>
      <w:r w:rsidR="00133A1B">
        <w:t>;</w:t>
      </w:r>
      <w:r>
        <w:t xml:space="preserve"> it provide</w:t>
      </w:r>
      <w:r w:rsidR="00133A1B">
        <w:t>s</w:t>
      </w:r>
      <w:r>
        <w:t xml:space="preserve"> information that relates to a submission at a particular point in time.</w:t>
      </w:r>
    </w:p>
    <w:p w:rsidR="00B452CE" w:rsidRDefault="008E7846" w:rsidP="00FF5755">
      <w:pPr>
        <w:pStyle w:val="ListBullet"/>
        <w:numPr>
          <w:ilvl w:val="0"/>
          <w:numId w:val="3"/>
        </w:numPr>
        <w:ind w:left="357" w:hanging="357"/>
      </w:pPr>
      <w:r>
        <w:t>A new AusPAR will be developed to reflect changes to indications and/or major variations to a prescription medicine subject to evaluation by the TGA.</w:t>
      </w:r>
    </w:p>
    <w:p w:rsidR="00924482" w:rsidRPr="00DF1D7F" w:rsidRDefault="00924482" w:rsidP="00F54B65">
      <w:pPr>
        <w:pStyle w:val="LegalSubheading"/>
        <w:spacing w:before="3120"/>
      </w:pPr>
      <w:r w:rsidRPr="00DF1D7F">
        <w:t>Copyright</w:t>
      </w:r>
    </w:p>
    <w:p w:rsidR="00924482" w:rsidRDefault="00924482" w:rsidP="00924482">
      <w:pPr>
        <w:pStyle w:val="LegalCopy"/>
      </w:pPr>
      <w:r w:rsidRPr="00191B3B">
        <w:rPr>
          <w:rFonts w:cs="Arial"/>
          <w:lang w:val="en-GB"/>
        </w:rPr>
        <w:t>© Comm</w:t>
      </w:r>
      <w:r>
        <w:rPr>
          <w:rFonts w:cs="Arial"/>
          <w:lang w:val="en-GB"/>
        </w:rPr>
        <w:t>onwealth of Australia 201</w:t>
      </w:r>
      <w:r w:rsidR="00010C55">
        <w:rPr>
          <w:rFonts w:cs="Arial"/>
          <w:lang w:val="en-GB"/>
        </w:rPr>
        <w:t>7</w:t>
      </w:r>
      <w:r w:rsidRPr="00191B3B">
        <w:rPr>
          <w:rFonts w:cs="Arial"/>
          <w:lang w:val="en-GB"/>
        </w:rPr>
        <w:br/>
      </w:r>
      <w:proofErr w:type="gramStart"/>
      <w:r w:rsidRPr="00191B3B">
        <w:rPr>
          <w:rFonts w:cs="Arial"/>
          <w:lang w:val="en-GB"/>
        </w:rPr>
        <w:t>This</w:t>
      </w:r>
      <w:proofErr w:type="gramEnd"/>
      <w:r w:rsidRPr="00191B3B">
        <w:rPr>
          <w:rFonts w:cs="Arial"/>
          <w:lang w:val="en-GB"/>
        </w:rPr>
        <w:t xml:space="preserve">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t>
      </w:r>
      <w:proofErr w:type="spellStart"/>
      <w:r w:rsidRPr="00191B3B">
        <w:rPr>
          <w:rFonts w:cs="Arial"/>
          <w:lang w:val="en-GB"/>
        </w:rPr>
        <w:t>Woden</w:t>
      </w:r>
      <w:proofErr w:type="spellEnd"/>
      <w:r w:rsidRPr="00191B3B">
        <w:rPr>
          <w:rFonts w:cs="Arial"/>
          <w:lang w:val="en-GB"/>
        </w:rPr>
        <w:t xml:space="preserve"> ACT 2606 or emailed to &lt;</w:t>
      </w:r>
      <w:hyperlink r:id="rId10" w:history="1">
        <w:r w:rsidRPr="00191B3B">
          <w:rPr>
            <w:rStyle w:val="Hyperlink"/>
            <w:rFonts w:cs="Arial"/>
            <w:lang w:val="en-GB"/>
          </w:rPr>
          <w:t>tga.copyright@tga.gov.au</w:t>
        </w:r>
      </w:hyperlink>
      <w:r w:rsidRPr="00191B3B">
        <w:rPr>
          <w:rFonts w:cs="Arial"/>
        </w:rPr>
        <w:t>&gt;.</w:t>
      </w:r>
    </w:p>
    <w:p w:rsidR="00924482" w:rsidRDefault="00924482" w:rsidP="00924482">
      <w:pPr>
        <w:pStyle w:val="LegalCopy"/>
        <w:sectPr w:rsidR="00924482" w:rsidSect="003D1E62">
          <w:headerReference w:type="default" r:id="rId11"/>
          <w:footerReference w:type="default" r:id="rId12"/>
          <w:headerReference w:type="first" r:id="rId13"/>
          <w:pgSz w:w="11906" w:h="16838" w:code="9"/>
          <w:pgMar w:top="426" w:right="1701" w:bottom="0" w:left="1701" w:header="907" w:footer="142" w:gutter="0"/>
          <w:pgNumType w:fmt="lowerRoman" w:start="1"/>
          <w:cols w:space="708"/>
          <w:titlePg/>
          <w:docGrid w:linePitch="360"/>
        </w:sectPr>
      </w:pPr>
    </w:p>
    <w:bookmarkStart w:id="4" w:name="_Toc247691501" w:displacedByCustomXml="next"/>
    <w:bookmarkStart w:id="5"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rsidR="0089635C" w:rsidRPr="0089635C" w:rsidRDefault="0089635C" w:rsidP="0010788A">
          <w:pPr>
            <w:pStyle w:val="Contents"/>
          </w:pPr>
          <w:r w:rsidRPr="0010788A">
            <w:t>Contents</w:t>
          </w:r>
        </w:p>
        <w:p w:rsidR="00156AEF" w:rsidRDefault="00DB6124">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497301604" w:history="1">
            <w:r w:rsidR="00156AEF" w:rsidRPr="00397DC0">
              <w:rPr>
                <w:rStyle w:val="Hyperlink"/>
                <w:noProof/>
              </w:rPr>
              <w:t>About AusPARs</w:t>
            </w:r>
            <w:r w:rsidR="00156AEF">
              <w:rPr>
                <w:noProof/>
                <w:webHidden/>
              </w:rPr>
              <w:tab/>
            </w:r>
            <w:r w:rsidR="00156AEF">
              <w:rPr>
                <w:noProof/>
                <w:webHidden/>
              </w:rPr>
              <w:fldChar w:fldCharType="begin"/>
            </w:r>
            <w:r w:rsidR="00156AEF">
              <w:rPr>
                <w:noProof/>
                <w:webHidden/>
              </w:rPr>
              <w:instrText xml:space="preserve"> PAGEREF _Toc497301604 \h </w:instrText>
            </w:r>
            <w:r w:rsidR="00156AEF">
              <w:rPr>
                <w:noProof/>
                <w:webHidden/>
              </w:rPr>
            </w:r>
            <w:r w:rsidR="00156AEF">
              <w:rPr>
                <w:noProof/>
                <w:webHidden/>
              </w:rPr>
              <w:fldChar w:fldCharType="separate"/>
            </w:r>
            <w:r w:rsidR="00156AEF">
              <w:rPr>
                <w:noProof/>
                <w:webHidden/>
              </w:rPr>
              <w:t>ii</w:t>
            </w:r>
            <w:r w:rsidR="00156AEF">
              <w:rPr>
                <w:noProof/>
                <w:webHidden/>
              </w:rPr>
              <w:fldChar w:fldCharType="end"/>
            </w:r>
          </w:hyperlink>
        </w:p>
        <w:p w:rsidR="00156AEF" w:rsidRDefault="00044D2D">
          <w:pPr>
            <w:pStyle w:val="TOC2"/>
            <w:rPr>
              <w:rFonts w:asciiTheme="minorHAnsi" w:eastAsiaTheme="minorEastAsia" w:hAnsiTheme="minorHAnsi" w:cstheme="minorBidi"/>
              <w:b w:val="0"/>
              <w:noProof/>
              <w:sz w:val="22"/>
              <w:lang w:eastAsia="en-AU"/>
            </w:rPr>
          </w:pPr>
          <w:hyperlink w:anchor="_Toc497301605" w:history="1">
            <w:r w:rsidR="00156AEF" w:rsidRPr="00397DC0">
              <w:rPr>
                <w:rStyle w:val="Hyperlink"/>
                <w:noProof/>
              </w:rPr>
              <w:t>Common abbreviations</w:t>
            </w:r>
            <w:r w:rsidR="00156AEF">
              <w:rPr>
                <w:noProof/>
                <w:webHidden/>
              </w:rPr>
              <w:tab/>
            </w:r>
            <w:r w:rsidR="00156AEF">
              <w:rPr>
                <w:noProof/>
                <w:webHidden/>
              </w:rPr>
              <w:fldChar w:fldCharType="begin"/>
            </w:r>
            <w:r w:rsidR="00156AEF">
              <w:rPr>
                <w:noProof/>
                <w:webHidden/>
              </w:rPr>
              <w:instrText xml:space="preserve"> PAGEREF _Toc497301605 \h </w:instrText>
            </w:r>
            <w:r w:rsidR="00156AEF">
              <w:rPr>
                <w:noProof/>
                <w:webHidden/>
              </w:rPr>
            </w:r>
            <w:r w:rsidR="00156AEF">
              <w:rPr>
                <w:noProof/>
                <w:webHidden/>
              </w:rPr>
              <w:fldChar w:fldCharType="separate"/>
            </w:r>
            <w:r w:rsidR="00156AEF">
              <w:rPr>
                <w:noProof/>
                <w:webHidden/>
              </w:rPr>
              <w:t>5</w:t>
            </w:r>
            <w:r w:rsidR="00156AEF">
              <w:rPr>
                <w:noProof/>
                <w:webHidden/>
              </w:rPr>
              <w:fldChar w:fldCharType="end"/>
            </w:r>
          </w:hyperlink>
        </w:p>
        <w:p w:rsidR="00156AEF" w:rsidRDefault="00044D2D">
          <w:pPr>
            <w:pStyle w:val="TOC2"/>
            <w:rPr>
              <w:rFonts w:asciiTheme="minorHAnsi" w:eastAsiaTheme="minorEastAsia" w:hAnsiTheme="minorHAnsi" w:cstheme="minorBidi"/>
              <w:b w:val="0"/>
              <w:noProof/>
              <w:sz w:val="22"/>
              <w:lang w:eastAsia="en-AU"/>
            </w:rPr>
          </w:pPr>
          <w:hyperlink w:anchor="_Toc497301606" w:history="1">
            <w:r w:rsidR="00156AEF" w:rsidRPr="00397DC0">
              <w:rPr>
                <w:rStyle w:val="Hyperlink"/>
                <w:noProof/>
              </w:rPr>
              <w:t>I. Introduction to product submission</w:t>
            </w:r>
            <w:r w:rsidR="00156AEF">
              <w:rPr>
                <w:noProof/>
                <w:webHidden/>
              </w:rPr>
              <w:tab/>
            </w:r>
            <w:r w:rsidR="00156AEF">
              <w:rPr>
                <w:noProof/>
                <w:webHidden/>
              </w:rPr>
              <w:fldChar w:fldCharType="begin"/>
            </w:r>
            <w:r w:rsidR="00156AEF">
              <w:rPr>
                <w:noProof/>
                <w:webHidden/>
              </w:rPr>
              <w:instrText xml:space="preserve"> PAGEREF _Toc497301606 \h </w:instrText>
            </w:r>
            <w:r w:rsidR="00156AEF">
              <w:rPr>
                <w:noProof/>
                <w:webHidden/>
              </w:rPr>
            </w:r>
            <w:r w:rsidR="00156AEF">
              <w:rPr>
                <w:noProof/>
                <w:webHidden/>
              </w:rPr>
              <w:fldChar w:fldCharType="separate"/>
            </w:r>
            <w:r w:rsidR="00156AEF">
              <w:rPr>
                <w:noProof/>
                <w:webHidden/>
              </w:rPr>
              <w:t>8</w:t>
            </w:r>
            <w:r w:rsidR="00156AEF">
              <w:rPr>
                <w:noProof/>
                <w:webHidden/>
              </w:rPr>
              <w:fldChar w:fldCharType="end"/>
            </w:r>
          </w:hyperlink>
        </w:p>
        <w:p w:rsidR="00156AEF" w:rsidRDefault="00044D2D">
          <w:pPr>
            <w:pStyle w:val="TOC3"/>
            <w:rPr>
              <w:rFonts w:asciiTheme="minorHAnsi" w:eastAsiaTheme="minorEastAsia" w:hAnsiTheme="minorHAnsi" w:cstheme="minorBidi"/>
              <w:noProof/>
              <w:lang w:eastAsia="en-AU"/>
            </w:rPr>
          </w:pPr>
          <w:hyperlink w:anchor="_Toc497301607" w:history="1">
            <w:r w:rsidR="00156AEF" w:rsidRPr="00397DC0">
              <w:rPr>
                <w:rStyle w:val="Hyperlink"/>
                <w:noProof/>
                <w:lang w:eastAsia="en-AU"/>
              </w:rPr>
              <w:t>Submission details</w:t>
            </w:r>
            <w:r w:rsidR="00156AEF">
              <w:rPr>
                <w:noProof/>
                <w:webHidden/>
              </w:rPr>
              <w:tab/>
            </w:r>
            <w:r w:rsidR="00156AEF">
              <w:rPr>
                <w:noProof/>
                <w:webHidden/>
              </w:rPr>
              <w:fldChar w:fldCharType="begin"/>
            </w:r>
            <w:r w:rsidR="00156AEF">
              <w:rPr>
                <w:noProof/>
                <w:webHidden/>
              </w:rPr>
              <w:instrText xml:space="preserve"> PAGEREF _Toc497301607 \h </w:instrText>
            </w:r>
            <w:r w:rsidR="00156AEF">
              <w:rPr>
                <w:noProof/>
                <w:webHidden/>
              </w:rPr>
            </w:r>
            <w:r w:rsidR="00156AEF">
              <w:rPr>
                <w:noProof/>
                <w:webHidden/>
              </w:rPr>
              <w:fldChar w:fldCharType="separate"/>
            </w:r>
            <w:r w:rsidR="00156AEF">
              <w:rPr>
                <w:noProof/>
                <w:webHidden/>
              </w:rPr>
              <w:t>8</w:t>
            </w:r>
            <w:r w:rsidR="00156AEF">
              <w:rPr>
                <w:noProof/>
                <w:webHidden/>
              </w:rPr>
              <w:fldChar w:fldCharType="end"/>
            </w:r>
          </w:hyperlink>
        </w:p>
        <w:p w:rsidR="00156AEF" w:rsidRDefault="00044D2D">
          <w:pPr>
            <w:pStyle w:val="TOC3"/>
            <w:rPr>
              <w:rFonts w:asciiTheme="minorHAnsi" w:eastAsiaTheme="minorEastAsia" w:hAnsiTheme="minorHAnsi" w:cstheme="minorBidi"/>
              <w:noProof/>
              <w:lang w:eastAsia="en-AU"/>
            </w:rPr>
          </w:pPr>
          <w:hyperlink w:anchor="_Toc497301608" w:history="1">
            <w:r w:rsidR="00156AEF" w:rsidRPr="00397DC0">
              <w:rPr>
                <w:rStyle w:val="Hyperlink"/>
                <w:noProof/>
              </w:rPr>
              <w:t>Product background</w:t>
            </w:r>
            <w:r w:rsidR="00156AEF">
              <w:rPr>
                <w:noProof/>
                <w:webHidden/>
              </w:rPr>
              <w:tab/>
            </w:r>
            <w:r w:rsidR="00156AEF">
              <w:rPr>
                <w:noProof/>
                <w:webHidden/>
              </w:rPr>
              <w:fldChar w:fldCharType="begin"/>
            </w:r>
            <w:r w:rsidR="00156AEF">
              <w:rPr>
                <w:noProof/>
                <w:webHidden/>
              </w:rPr>
              <w:instrText xml:space="preserve"> PAGEREF _Toc497301608 \h </w:instrText>
            </w:r>
            <w:r w:rsidR="00156AEF">
              <w:rPr>
                <w:noProof/>
                <w:webHidden/>
              </w:rPr>
            </w:r>
            <w:r w:rsidR="00156AEF">
              <w:rPr>
                <w:noProof/>
                <w:webHidden/>
              </w:rPr>
              <w:fldChar w:fldCharType="separate"/>
            </w:r>
            <w:r w:rsidR="00156AEF">
              <w:rPr>
                <w:noProof/>
                <w:webHidden/>
              </w:rPr>
              <w:t>8</w:t>
            </w:r>
            <w:r w:rsidR="00156AEF">
              <w:rPr>
                <w:noProof/>
                <w:webHidden/>
              </w:rPr>
              <w:fldChar w:fldCharType="end"/>
            </w:r>
          </w:hyperlink>
        </w:p>
        <w:p w:rsidR="00156AEF" w:rsidRDefault="00044D2D">
          <w:pPr>
            <w:pStyle w:val="TOC3"/>
            <w:rPr>
              <w:rFonts w:asciiTheme="minorHAnsi" w:eastAsiaTheme="minorEastAsia" w:hAnsiTheme="minorHAnsi" w:cstheme="minorBidi"/>
              <w:noProof/>
              <w:lang w:eastAsia="en-AU"/>
            </w:rPr>
          </w:pPr>
          <w:hyperlink w:anchor="_Toc497301609" w:history="1">
            <w:r w:rsidR="00156AEF" w:rsidRPr="00397DC0">
              <w:rPr>
                <w:rStyle w:val="Hyperlink"/>
                <w:noProof/>
              </w:rPr>
              <w:t>Regulatory status</w:t>
            </w:r>
            <w:r w:rsidR="00156AEF">
              <w:rPr>
                <w:noProof/>
                <w:webHidden/>
              </w:rPr>
              <w:tab/>
            </w:r>
            <w:r w:rsidR="00156AEF">
              <w:rPr>
                <w:noProof/>
                <w:webHidden/>
              </w:rPr>
              <w:fldChar w:fldCharType="begin"/>
            </w:r>
            <w:r w:rsidR="00156AEF">
              <w:rPr>
                <w:noProof/>
                <w:webHidden/>
              </w:rPr>
              <w:instrText xml:space="preserve"> PAGEREF _Toc497301609 \h </w:instrText>
            </w:r>
            <w:r w:rsidR="00156AEF">
              <w:rPr>
                <w:noProof/>
                <w:webHidden/>
              </w:rPr>
            </w:r>
            <w:r w:rsidR="00156AEF">
              <w:rPr>
                <w:noProof/>
                <w:webHidden/>
              </w:rPr>
              <w:fldChar w:fldCharType="separate"/>
            </w:r>
            <w:r w:rsidR="00156AEF">
              <w:rPr>
                <w:noProof/>
                <w:webHidden/>
              </w:rPr>
              <w:t>9</w:t>
            </w:r>
            <w:r w:rsidR="00156AEF">
              <w:rPr>
                <w:noProof/>
                <w:webHidden/>
              </w:rPr>
              <w:fldChar w:fldCharType="end"/>
            </w:r>
          </w:hyperlink>
        </w:p>
        <w:p w:rsidR="00156AEF" w:rsidRDefault="00044D2D">
          <w:pPr>
            <w:pStyle w:val="TOC3"/>
            <w:rPr>
              <w:rFonts w:asciiTheme="minorHAnsi" w:eastAsiaTheme="minorEastAsia" w:hAnsiTheme="minorHAnsi" w:cstheme="minorBidi"/>
              <w:noProof/>
              <w:lang w:eastAsia="en-AU"/>
            </w:rPr>
          </w:pPr>
          <w:hyperlink w:anchor="_Toc497301610" w:history="1">
            <w:r w:rsidR="00156AEF" w:rsidRPr="00397DC0">
              <w:rPr>
                <w:rStyle w:val="Hyperlink"/>
                <w:noProof/>
              </w:rPr>
              <w:t>Product Information</w:t>
            </w:r>
            <w:r w:rsidR="00156AEF">
              <w:rPr>
                <w:noProof/>
                <w:webHidden/>
              </w:rPr>
              <w:tab/>
            </w:r>
            <w:r w:rsidR="00156AEF">
              <w:rPr>
                <w:noProof/>
                <w:webHidden/>
              </w:rPr>
              <w:fldChar w:fldCharType="begin"/>
            </w:r>
            <w:r w:rsidR="00156AEF">
              <w:rPr>
                <w:noProof/>
                <w:webHidden/>
              </w:rPr>
              <w:instrText xml:space="preserve"> PAGEREF _Toc497301610 \h </w:instrText>
            </w:r>
            <w:r w:rsidR="00156AEF">
              <w:rPr>
                <w:noProof/>
                <w:webHidden/>
              </w:rPr>
            </w:r>
            <w:r w:rsidR="00156AEF">
              <w:rPr>
                <w:noProof/>
                <w:webHidden/>
              </w:rPr>
              <w:fldChar w:fldCharType="separate"/>
            </w:r>
            <w:r w:rsidR="00156AEF">
              <w:rPr>
                <w:noProof/>
                <w:webHidden/>
              </w:rPr>
              <w:t>11</w:t>
            </w:r>
            <w:r w:rsidR="00156AEF">
              <w:rPr>
                <w:noProof/>
                <w:webHidden/>
              </w:rPr>
              <w:fldChar w:fldCharType="end"/>
            </w:r>
          </w:hyperlink>
        </w:p>
        <w:p w:rsidR="00156AEF" w:rsidRDefault="00044D2D">
          <w:pPr>
            <w:pStyle w:val="TOC2"/>
            <w:rPr>
              <w:rFonts w:asciiTheme="minorHAnsi" w:eastAsiaTheme="minorEastAsia" w:hAnsiTheme="minorHAnsi" w:cstheme="minorBidi"/>
              <w:b w:val="0"/>
              <w:noProof/>
              <w:sz w:val="22"/>
              <w:lang w:eastAsia="en-AU"/>
            </w:rPr>
          </w:pPr>
          <w:hyperlink w:anchor="_Toc497301611" w:history="1">
            <w:r w:rsidR="00156AEF" w:rsidRPr="00397DC0">
              <w:rPr>
                <w:rStyle w:val="Hyperlink"/>
                <w:noProof/>
              </w:rPr>
              <w:t>II. Quality findings</w:t>
            </w:r>
            <w:r w:rsidR="00156AEF">
              <w:rPr>
                <w:noProof/>
                <w:webHidden/>
              </w:rPr>
              <w:tab/>
            </w:r>
            <w:r w:rsidR="00156AEF">
              <w:rPr>
                <w:noProof/>
                <w:webHidden/>
              </w:rPr>
              <w:fldChar w:fldCharType="begin"/>
            </w:r>
            <w:r w:rsidR="00156AEF">
              <w:rPr>
                <w:noProof/>
                <w:webHidden/>
              </w:rPr>
              <w:instrText xml:space="preserve"> PAGEREF _Toc497301611 \h </w:instrText>
            </w:r>
            <w:r w:rsidR="00156AEF">
              <w:rPr>
                <w:noProof/>
                <w:webHidden/>
              </w:rPr>
            </w:r>
            <w:r w:rsidR="00156AEF">
              <w:rPr>
                <w:noProof/>
                <w:webHidden/>
              </w:rPr>
              <w:fldChar w:fldCharType="separate"/>
            </w:r>
            <w:r w:rsidR="00156AEF">
              <w:rPr>
                <w:noProof/>
                <w:webHidden/>
              </w:rPr>
              <w:t>11</w:t>
            </w:r>
            <w:r w:rsidR="00156AEF">
              <w:rPr>
                <w:noProof/>
                <w:webHidden/>
              </w:rPr>
              <w:fldChar w:fldCharType="end"/>
            </w:r>
          </w:hyperlink>
        </w:p>
        <w:p w:rsidR="00156AEF" w:rsidRDefault="00044D2D">
          <w:pPr>
            <w:pStyle w:val="TOC3"/>
            <w:rPr>
              <w:rFonts w:asciiTheme="minorHAnsi" w:eastAsiaTheme="minorEastAsia" w:hAnsiTheme="minorHAnsi" w:cstheme="minorBidi"/>
              <w:noProof/>
              <w:lang w:eastAsia="en-AU"/>
            </w:rPr>
          </w:pPr>
          <w:hyperlink w:anchor="_Toc497301612" w:history="1">
            <w:r w:rsidR="00156AEF" w:rsidRPr="00397DC0">
              <w:rPr>
                <w:rStyle w:val="Hyperlink"/>
                <w:noProof/>
              </w:rPr>
              <w:t>Introduction</w:t>
            </w:r>
            <w:r w:rsidR="00156AEF">
              <w:rPr>
                <w:noProof/>
                <w:webHidden/>
              </w:rPr>
              <w:tab/>
            </w:r>
            <w:r w:rsidR="00156AEF">
              <w:rPr>
                <w:noProof/>
                <w:webHidden/>
              </w:rPr>
              <w:fldChar w:fldCharType="begin"/>
            </w:r>
            <w:r w:rsidR="00156AEF">
              <w:rPr>
                <w:noProof/>
                <w:webHidden/>
              </w:rPr>
              <w:instrText xml:space="preserve"> PAGEREF _Toc497301612 \h </w:instrText>
            </w:r>
            <w:r w:rsidR="00156AEF">
              <w:rPr>
                <w:noProof/>
                <w:webHidden/>
              </w:rPr>
            </w:r>
            <w:r w:rsidR="00156AEF">
              <w:rPr>
                <w:noProof/>
                <w:webHidden/>
              </w:rPr>
              <w:fldChar w:fldCharType="separate"/>
            </w:r>
            <w:r w:rsidR="00156AEF">
              <w:rPr>
                <w:noProof/>
                <w:webHidden/>
              </w:rPr>
              <w:t>11</w:t>
            </w:r>
            <w:r w:rsidR="00156AEF">
              <w:rPr>
                <w:noProof/>
                <w:webHidden/>
              </w:rPr>
              <w:fldChar w:fldCharType="end"/>
            </w:r>
          </w:hyperlink>
        </w:p>
        <w:p w:rsidR="00156AEF" w:rsidRDefault="00044D2D">
          <w:pPr>
            <w:pStyle w:val="TOC3"/>
            <w:rPr>
              <w:rFonts w:asciiTheme="minorHAnsi" w:eastAsiaTheme="minorEastAsia" w:hAnsiTheme="minorHAnsi" w:cstheme="minorBidi"/>
              <w:noProof/>
              <w:lang w:eastAsia="en-AU"/>
            </w:rPr>
          </w:pPr>
          <w:hyperlink w:anchor="_Toc497301613" w:history="1">
            <w:r w:rsidR="00156AEF" w:rsidRPr="00397DC0">
              <w:rPr>
                <w:rStyle w:val="Hyperlink"/>
                <w:noProof/>
              </w:rPr>
              <w:t>Drug substance (active ingredient)</w:t>
            </w:r>
            <w:r w:rsidR="00156AEF">
              <w:rPr>
                <w:noProof/>
                <w:webHidden/>
              </w:rPr>
              <w:tab/>
            </w:r>
            <w:r w:rsidR="00156AEF">
              <w:rPr>
                <w:noProof/>
                <w:webHidden/>
              </w:rPr>
              <w:fldChar w:fldCharType="begin"/>
            </w:r>
            <w:r w:rsidR="00156AEF">
              <w:rPr>
                <w:noProof/>
                <w:webHidden/>
              </w:rPr>
              <w:instrText xml:space="preserve"> PAGEREF _Toc497301613 \h </w:instrText>
            </w:r>
            <w:r w:rsidR="00156AEF">
              <w:rPr>
                <w:noProof/>
                <w:webHidden/>
              </w:rPr>
            </w:r>
            <w:r w:rsidR="00156AEF">
              <w:rPr>
                <w:noProof/>
                <w:webHidden/>
              </w:rPr>
              <w:fldChar w:fldCharType="separate"/>
            </w:r>
            <w:r w:rsidR="00156AEF">
              <w:rPr>
                <w:noProof/>
                <w:webHidden/>
              </w:rPr>
              <w:t>11</w:t>
            </w:r>
            <w:r w:rsidR="00156AEF">
              <w:rPr>
                <w:noProof/>
                <w:webHidden/>
              </w:rPr>
              <w:fldChar w:fldCharType="end"/>
            </w:r>
          </w:hyperlink>
        </w:p>
        <w:p w:rsidR="00156AEF" w:rsidRDefault="00044D2D">
          <w:pPr>
            <w:pStyle w:val="TOC3"/>
            <w:rPr>
              <w:rFonts w:asciiTheme="minorHAnsi" w:eastAsiaTheme="minorEastAsia" w:hAnsiTheme="minorHAnsi" w:cstheme="minorBidi"/>
              <w:noProof/>
              <w:lang w:eastAsia="en-AU"/>
            </w:rPr>
          </w:pPr>
          <w:hyperlink w:anchor="_Toc497301614" w:history="1">
            <w:r w:rsidR="00156AEF" w:rsidRPr="00397DC0">
              <w:rPr>
                <w:rStyle w:val="Hyperlink"/>
                <w:noProof/>
              </w:rPr>
              <w:t>Drug product</w:t>
            </w:r>
            <w:r w:rsidR="00156AEF">
              <w:rPr>
                <w:noProof/>
                <w:webHidden/>
              </w:rPr>
              <w:tab/>
            </w:r>
            <w:r w:rsidR="00156AEF">
              <w:rPr>
                <w:noProof/>
                <w:webHidden/>
              </w:rPr>
              <w:fldChar w:fldCharType="begin"/>
            </w:r>
            <w:r w:rsidR="00156AEF">
              <w:rPr>
                <w:noProof/>
                <w:webHidden/>
              </w:rPr>
              <w:instrText xml:space="preserve"> PAGEREF _Toc497301614 \h </w:instrText>
            </w:r>
            <w:r w:rsidR="00156AEF">
              <w:rPr>
                <w:noProof/>
                <w:webHidden/>
              </w:rPr>
            </w:r>
            <w:r w:rsidR="00156AEF">
              <w:rPr>
                <w:noProof/>
                <w:webHidden/>
              </w:rPr>
              <w:fldChar w:fldCharType="separate"/>
            </w:r>
            <w:r w:rsidR="00156AEF">
              <w:rPr>
                <w:noProof/>
                <w:webHidden/>
              </w:rPr>
              <w:t>11</w:t>
            </w:r>
            <w:r w:rsidR="00156AEF">
              <w:rPr>
                <w:noProof/>
                <w:webHidden/>
              </w:rPr>
              <w:fldChar w:fldCharType="end"/>
            </w:r>
          </w:hyperlink>
        </w:p>
        <w:p w:rsidR="00156AEF" w:rsidRDefault="00044D2D">
          <w:pPr>
            <w:pStyle w:val="TOC3"/>
            <w:rPr>
              <w:rFonts w:asciiTheme="minorHAnsi" w:eastAsiaTheme="minorEastAsia" w:hAnsiTheme="minorHAnsi" w:cstheme="minorBidi"/>
              <w:noProof/>
              <w:lang w:eastAsia="en-AU"/>
            </w:rPr>
          </w:pPr>
          <w:hyperlink w:anchor="_Toc497301615" w:history="1">
            <w:r w:rsidR="00156AEF" w:rsidRPr="00397DC0">
              <w:rPr>
                <w:rStyle w:val="Hyperlink"/>
                <w:noProof/>
              </w:rPr>
              <w:t>Biopharmaceutics</w:t>
            </w:r>
            <w:r w:rsidR="00156AEF">
              <w:rPr>
                <w:noProof/>
                <w:webHidden/>
              </w:rPr>
              <w:tab/>
            </w:r>
            <w:r w:rsidR="00156AEF">
              <w:rPr>
                <w:noProof/>
                <w:webHidden/>
              </w:rPr>
              <w:fldChar w:fldCharType="begin"/>
            </w:r>
            <w:r w:rsidR="00156AEF">
              <w:rPr>
                <w:noProof/>
                <w:webHidden/>
              </w:rPr>
              <w:instrText xml:space="preserve"> PAGEREF _Toc497301615 \h </w:instrText>
            </w:r>
            <w:r w:rsidR="00156AEF">
              <w:rPr>
                <w:noProof/>
                <w:webHidden/>
              </w:rPr>
            </w:r>
            <w:r w:rsidR="00156AEF">
              <w:rPr>
                <w:noProof/>
                <w:webHidden/>
              </w:rPr>
              <w:fldChar w:fldCharType="separate"/>
            </w:r>
            <w:r w:rsidR="00156AEF">
              <w:rPr>
                <w:noProof/>
                <w:webHidden/>
              </w:rPr>
              <w:t>12</w:t>
            </w:r>
            <w:r w:rsidR="00156AEF">
              <w:rPr>
                <w:noProof/>
                <w:webHidden/>
              </w:rPr>
              <w:fldChar w:fldCharType="end"/>
            </w:r>
          </w:hyperlink>
        </w:p>
        <w:p w:rsidR="00156AEF" w:rsidRDefault="00044D2D">
          <w:pPr>
            <w:pStyle w:val="TOC3"/>
            <w:rPr>
              <w:rFonts w:asciiTheme="minorHAnsi" w:eastAsiaTheme="minorEastAsia" w:hAnsiTheme="minorHAnsi" w:cstheme="minorBidi"/>
              <w:noProof/>
              <w:lang w:eastAsia="en-AU"/>
            </w:rPr>
          </w:pPr>
          <w:hyperlink w:anchor="_Toc497301616" w:history="1">
            <w:r w:rsidR="00156AEF" w:rsidRPr="00397DC0">
              <w:rPr>
                <w:rStyle w:val="Hyperlink"/>
                <w:noProof/>
              </w:rPr>
              <w:t>Quality summary and conclusions</w:t>
            </w:r>
            <w:r w:rsidR="00156AEF">
              <w:rPr>
                <w:noProof/>
                <w:webHidden/>
              </w:rPr>
              <w:tab/>
            </w:r>
            <w:r w:rsidR="00156AEF">
              <w:rPr>
                <w:noProof/>
                <w:webHidden/>
              </w:rPr>
              <w:fldChar w:fldCharType="begin"/>
            </w:r>
            <w:r w:rsidR="00156AEF">
              <w:rPr>
                <w:noProof/>
                <w:webHidden/>
              </w:rPr>
              <w:instrText xml:space="preserve"> PAGEREF _Toc497301616 \h </w:instrText>
            </w:r>
            <w:r w:rsidR="00156AEF">
              <w:rPr>
                <w:noProof/>
                <w:webHidden/>
              </w:rPr>
            </w:r>
            <w:r w:rsidR="00156AEF">
              <w:rPr>
                <w:noProof/>
                <w:webHidden/>
              </w:rPr>
              <w:fldChar w:fldCharType="separate"/>
            </w:r>
            <w:r w:rsidR="00156AEF">
              <w:rPr>
                <w:noProof/>
                <w:webHidden/>
              </w:rPr>
              <w:t>12</w:t>
            </w:r>
            <w:r w:rsidR="00156AEF">
              <w:rPr>
                <w:noProof/>
                <w:webHidden/>
              </w:rPr>
              <w:fldChar w:fldCharType="end"/>
            </w:r>
          </w:hyperlink>
        </w:p>
        <w:p w:rsidR="00156AEF" w:rsidRDefault="00044D2D">
          <w:pPr>
            <w:pStyle w:val="TOC2"/>
            <w:rPr>
              <w:rFonts w:asciiTheme="minorHAnsi" w:eastAsiaTheme="minorEastAsia" w:hAnsiTheme="minorHAnsi" w:cstheme="minorBidi"/>
              <w:b w:val="0"/>
              <w:noProof/>
              <w:sz w:val="22"/>
              <w:lang w:eastAsia="en-AU"/>
            </w:rPr>
          </w:pPr>
          <w:hyperlink w:anchor="_Toc497301617" w:history="1">
            <w:r w:rsidR="00156AEF" w:rsidRPr="00397DC0">
              <w:rPr>
                <w:rStyle w:val="Hyperlink"/>
                <w:noProof/>
              </w:rPr>
              <w:t>III. Nonclinical findings</w:t>
            </w:r>
            <w:r w:rsidR="00156AEF">
              <w:rPr>
                <w:noProof/>
                <w:webHidden/>
              </w:rPr>
              <w:tab/>
            </w:r>
            <w:r w:rsidR="00156AEF">
              <w:rPr>
                <w:noProof/>
                <w:webHidden/>
              </w:rPr>
              <w:fldChar w:fldCharType="begin"/>
            </w:r>
            <w:r w:rsidR="00156AEF">
              <w:rPr>
                <w:noProof/>
                <w:webHidden/>
              </w:rPr>
              <w:instrText xml:space="preserve"> PAGEREF _Toc497301617 \h </w:instrText>
            </w:r>
            <w:r w:rsidR="00156AEF">
              <w:rPr>
                <w:noProof/>
                <w:webHidden/>
              </w:rPr>
            </w:r>
            <w:r w:rsidR="00156AEF">
              <w:rPr>
                <w:noProof/>
                <w:webHidden/>
              </w:rPr>
              <w:fldChar w:fldCharType="separate"/>
            </w:r>
            <w:r w:rsidR="00156AEF">
              <w:rPr>
                <w:noProof/>
                <w:webHidden/>
              </w:rPr>
              <w:t>13</w:t>
            </w:r>
            <w:r w:rsidR="00156AEF">
              <w:rPr>
                <w:noProof/>
                <w:webHidden/>
              </w:rPr>
              <w:fldChar w:fldCharType="end"/>
            </w:r>
          </w:hyperlink>
        </w:p>
        <w:p w:rsidR="00156AEF" w:rsidRDefault="00044D2D">
          <w:pPr>
            <w:pStyle w:val="TOC2"/>
            <w:rPr>
              <w:rFonts w:asciiTheme="minorHAnsi" w:eastAsiaTheme="minorEastAsia" w:hAnsiTheme="minorHAnsi" w:cstheme="minorBidi"/>
              <w:b w:val="0"/>
              <w:noProof/>
              <w:sz w:val="22"/>
              <w:lang w:eastAsia="en-AU"/>
            </w:rPr>
          </w:pPr>
          <w:hyperlink w:anchor="_Toc497301618" w:history="1">
            <w:r w:rsidR="00156AEF" w:rsidRPr="00397DC0">
              <w:rPr>
                <w:rStyle w:val="Hyperlink"/>
                <w:noProof/>
              </w:rPr>
              <w:t>IV. Clinical findings</w:t>
            </w:r>
            <w:r w:rsidR="00156AEF">
              <w:rPr>
                <w:noProof/>
                <w:webHidden/>
              </w:rPr>
              <w:tab/>
            </w:r>
            <w:r w:rsidR="00156AEF">
              <w:rPr>
                <w:noProof/>
                <w:webHidden/>
              </w:rPr>
              <w:fldChar w:fldCharType="begin"/>
            </w:r>
            <w:r w:rsidR="00156AEF">
              <w:rPr>
                <w:noProof/>
                <w:webHidden/>
              </w:rPr>
              <w:instrText xml:space="preserve"> PAGEREF _Toc497301618 \h </w:instrText>
            </w:r>
            <w:r w:rsidR="00156AEF">
              <w:rPr>
                <w:noProof/>
                <w:webHidden/>
              </w:rPr>
            </w:r>
            <w:r w:rsidR="00156AEF">
              <w:rPr>
                <w:noProof/>
                <w:webHidden/>
              </w:rPr>
              <w:fldChar w:fldCharType="separate"/>
            </w:r>
            <w:r w:rsidR="00156AEF">
              <w:rPr>
                <w:noProof/>
                <w:webHidden/>
              </w:rPr>
              <w:t>13</w:t>
            </w:r>
            <w:r w:rsidR="00156AEF">
              <w:rPr>
                <w:noProof/>
                <w:webHidden/>
              </w:rPr>
              <w:fldChar w:fldCharType="end"/>
            </w:r>
          </w:hyperlink>
        </w:p>
        <w:p w:rsidR="00156AEF" w:rsidRDefault="00044D2D">
          <w:pPr>
            <w:pStyle w:val="TOC3"/>
            <w:rPr>
              <w:rFonts w:asciiTheme="minorHAnsi" w:eastAsiaTheme="minorEastAsia" w:hAnsiTheme="minorHAnsi" w:cstheme="minorBidi"/>
              <w:noProof/>
              <w:lang w:eastAsia="en-AU"/>
            </w:rPr>
          </w:pPr>
          <w:hyperlink w:anchor="_Toc497301619" w:history="1">
            <w:r w:rsidR="00156AEF" w:rsidRPr="00397DC0">
              <w:rPr>
                <w:rStyle w:val="Hyperlink"/>
                <w:noProof/>
              </w:rPr>
              <w:t>Introduction</w:t>
            </w:r>
            <w:r w:rsidR="00156AEF">
              <w:rPr>
                <w:noProof/>
                <w:webHidden/>
              </w:rPr>
              <w:tab/>
            </w:r>
            <w:r w:rsidR="00156AEF">
              <w:rPr>
                <w:noProof/>
                <w:webHidden/>
              </w:rPr>
              <w:fldChar w:fldCharType="begin"/>
            </w:r>
            <w:r w:rsidR="00156AEF">
              <w:rPr>
                <w:noProof/>
                <w:webHidden/>
              </w:rPr>
              <w:instrText xml:space="preserve"> PAGEREF _Toc497301619 \h </w:instrText>
            </w:r>
            <w:r w:rsidR="00156AEF">
              <w:rPr>
                <w:noProof/>
                <w:webHidden/>
              </w:rPr>
            </w:r>
            <w:r w:rsidR="00156AEF">
              <w:rPr>
                <w:noProof/>
                <w:webHidden/>
              </w:rPr>
              <w:fldChar w:fldCharType="separate"/>
            </w:r>
            <w:r w:rsidR="00156AEF">
              <w:rPr>
                <w:noProof/>
                <w:webHidden/>
              </w:rPr>
              <w:t>13</w:t>
            </w:r>
            <w:r w:rsidR="00156AEF">
              <w:rPr>
                <w:noProof/>
                <w:webHidden/>
              </w:rPr>
              <w:fldChar w:fldCharType="end"/>
            </w:r>
          </w:hyperlink>
        </w:p>
        <w:p w:rsidR="00156AEF" w:rsidRDefault="00044D2D">
          <w:pPr>
            <w:pStyle w:val="TOC3"/>
            <w:rPr>
              <w:rFonts w:asciiTheme="minorHAnsi" w:eastAsiaTheme="minorEastAsia" w:hAnsiTheme="minorHAnsi" w:cstheme="minorBidi"/>
              <w:noProof/>
              <w:lang w:eastAsia="en-AU"/>
            </w:rPr>
          </w:pPr>
          <w:hyperlink w:anchor="_Toc497301620" w:history="1">
            <w:r w:rsidR="00156AEF" w:rsidRPr="00397DC0">
              <w:rPr>
                <w:rStyle w:val="Hyperlink"/>
                <w:noProof/>
              </w:rPr>
              <w:t>Pharmacokinetics</w:t>
            </w:r>
            <w:r w:rsidR="00156AEF">
              <w:rPr>
                <w:noProof/>
                <w:webHidden/>
              </w:rPr>
              <w:tab/>
            </w:r>
            <w:r w:rsidR="00156AEF">
              <w:rPr>
                <w:noProof/>
                <w:webHidden/>
              </w:rPr>
              <w:fldChar w:fldCharType="begin"/>
            </w:r>
            <w:r w:rsidR="00156AEF">
              <w:rPr>
                <w:noProof/>
                <w:webHidden/>
              </w:rPr>
              <w:instrText xml:space="preserve"> PAGEREF _Toc497301620 \h </w:instrText>
            </w:r>
            <w:r w:rsidR="00156AEF">
              <w:rPr>
                <w:noProof/>
                <w:webHidden/>
              </w:rPr>
            </w:r>
            <w:r w:rsidR="00156AEF">
              <w:rPr>
                <w:noProof/>
                <w:webHidden/>
              </w:rPr>
              <w:fldChar w:fldCharType="separate"/>
            </w:r>
            <w:r w:rsidR="00156AEF">
              <w:rPr>
                <w:noProof/>
                <w:webHidden/>
              </w:rPr>
              <w:t>16</w:t>
            </w:r>
            <w:r w:rsidR="00156AEF">
              <w:rPr>
                <w:noProof/>
                <w:webHidden/>
              </w:rPr>
              <w:fldChar w:fldCharType="end"/>
            </w:r>
          </w:hyperlink>
        </w:p>
        <w:p w:rsidR="00156AEF" w:rsidRDefault="00044D2D">
          <w:pPr>
            <w:pStyle w:val="TOC3"/>
            <w:rPr>
              <w:rFonts w:asciiTheme="minorHAnsi" w:eastAsiaTheme="minorEastAsia" w:hAnsiTheme="minorHAnsi" w:cstheme="minorBidi"/>
              <w:noProof/>
              <w:lang w:eastAsia="en-AU"/>
            </w:rPr>
          </w:pPr>
          <w:hyperlink w:anchor="_Toc497301621" w:history="1">
            <w:r w:rsidR="00156AEF" w:rsidRPr="00397DC0">
              <w:rPr>
                <w:rStyle w:val="Hyperlink"/>
                <w:noProof/>
              </w:rPr>
              <w:t>Pharmacodynamics</w:t>
            </w:r>
            <w:r w:rsidR="00156AEF">
              <w:rPr>
                <w:noProof/>
                <w:webHidden/>
              </w:rPr>
              <w:tab/>
            </w:r>
            <w:r w:rsidR="00156AEF">
              <w:rPr>
                <w:noProof/>
                <w:webHidden/>
              </w:rPr>
              <w:fldChar w:fldCharType="begin"/>
            </w:r>
            <w:r w:rsidR="00156AEF">
              <w:rPr>
                <w:noProof/>
                <w:webHidden/>
              </w:rPr>
              <w:instrText xml:space="preserve"> PAGEREF _Toc497301621 \h </w:instrText>
            </w:r>
            <w:r w:rsidR="00156AEF">
              <w:rPr>
                <w:noProof/>
                <w:webHidden/>
              </w:rPr>
            </w:r>
            <w:r w:rsidR="00156AEF">
              <w:rPr>
                <w:noProof/>
                <w:webHidden/>
              </w:rPr>
              <w:fldChar w:fldCharType="separate"/>
            </w:r>
            <w:r w:rsidR="00156AEF">
              <w:rPr>
                <w:noProof/>
                <w:webHidden/>
              </w:rPr>
              <w:t>16</w:t>
            </w:r>
            <w:r w:rsidR="00156AEF">
              <w:rPr>
                <w:noProof/>
                <w:webHidden/>
              </w:rPr>
              <w:fldChar w:fldCharType="end"/>
            </w:r>
          </w:hyperlink>
        </w:p>
        <w:p w:rsidR="00156AEF" w:rsidRDefault="00044D2D">
          <w:pPr>
            <w:pStyle w:val="TOC3"/>
            <w:rPr>
              <w:rFonts w:asciiTheme="minorHAnsi" w:eastAsiaTheme="minorEastAsia" w:hAnsiTheme="minorHAnsi" w:cstheme="minorBidi"/>
              <w:noProof/>
              <w:lang w:eastAsia="en-AU"/>
            </w:rPr>
          </w:pPr>
          <w:hyperlink w:anchor="_Toc497301622" w:history="1">
            <w:r w:rsidR="00156AEF" w:rsidRPr="00397DC0">
              <w:rPr>
                <w:rStyle w:val="Hyperlink"/>
                <w:noProof/>
              </w:rPr>
              <w:t>Dosage selection for the pivotal studies</w:t>
            </w:r>
            <w:r w:rsidR="00156AEF">
              <w:rPr>
                <w:noProof/>
                <w:webHidden/>
              </w:rPr>
              <w:tab/>
            </w:r>
            <w:r w:rsidR="00156AEF">
              <w:rPr>
                <w:noProof/>
                <w:webHidden/>
              </w:rPr>
              <w:fldChar w:fldCharType="begin"/>
            </w:r>
            <w:r w:rsidR="00156AEF">
              <w:rPr>
                <w:noProof/>
                <w:webHidden/>
              </w:rPr>
              <w:instrText xml:space="preserve"> PAGEREF _Toc497301622 \h </w:instrText>
            </w:r>
            <w:r w:rsidR="00156AEF">
              <w:rPr>
                <w:noProof/>
                <w:webHidden/>
              </w:rPr>
            </w:r>
            <w:r w:rsidR="00156AEF">
              <w:rPr>
                <w:noProof/>
                <w:webHidden/>
              </w:rPr>
              <w:fldChar w:fldCharType="separate"/>
            </w:r>
            <w:r w:rsidR="00156AEF">
              <w:rPr>
                <w:noProof/>
                <w:webHidden/>
              </w:rPr>
              <w:t>16</w:t>
            </w:r>
            <w:r w:rsidR="00156AEF">
              <w:rPr>
                <w:noProof/>
                <w:webHidden/>
              </w:rPr>
              <w:fldChar w:fldCharType="end"/>
            </w:r>
          </w:hyperlink>
        </w:p>
        <w:p w:rsidR="00156AEF" w:rsidRDefault="00044D2D">
          <w:pPr>
            <w:pStyle w:val="TOC3"/>
            <w:rPr>
              <w:rFonts w:asciiTheme="minorHAnsi" w:eastAsiaTheme="minorEastAsia" w:hAnsiTheme="minorHAnsi" w:cstheme="minorBidi"/>
              <w:noProof/>
              <w:lang w:eastAsia="en-AU"/>
            </w:rPr>
          </w:pPr>
          <w:hyperlink w:anchor="_Toc497301623" w:history="1">
            <w:r w:rsidR="00156AEF" w:rsidRPr="00397DC0">
              <w:rPr>
                <w:rStyle w:val="Hyperlink"/>
                <w:noProof/>
              </w:rPr>
              <w:t>Efficacy</w:t>
            </w:r>
            <w:r w:rsidR="00156AEF">
              <w:rPr>
                <w:noProof/>
                <w:webHidden/>
              </w:rPr>
              <w:tab/>
            </w:r>
            <w:r w:rsidR="00156AEF">
              <w:rPr>
                <w:noProof/>
                <w:webHidden/>
              </w:rPr>
              <w:fldChar w:fldCharType="begin"/>
            </w:r>
            <w:r w:rsidR="00156AEF">
              <w:rPr>
                <w:noProof/>
                <w:webHidden/>
              </w:rPr>
              <w:instrText xml:space="preserve"> PAGEREF _Toc497301623 \h </w:instrText>
            </w:r>
            <w:r w:rsidR="00156AEF">
              <w:rPr>
                <w:noProof/>
                <w:webHidden/>
              </w:rPr>
            </w:r>
            <w:r w:rsidR="00156AEF">
              <w:rPr>
                <w:noProof/>
                <w:webHidden/>
              </w:rPr>
              <w:fldChar w:fldCharType="separate"/>
            </w:r>
            <w:r w:rsidR="00156AEF">
              <w:rPr>
                <w:noProof/>
                <w:webHidden/>
              </w:rPr>
              <w:t>17</w:t>
            </w:r>
            <w:r w:rsidR="00156AEF">
              <w:rPr>
                <w:noProof/>
                <w:webHidden/>
              </w:rPr>
              <w:fldChar w:fldCharType="end"/>
            </w:r>
          </w:hyperlink>
        </w:p>
        <w:p w:rsidR="00156AEF" w:rsidRDefault="00044D2D">
          <w:pPr>
            <w:pStyle w:val="TOC3"/>
            <w:rPr>
              <w:rFonts w:asciiTheme="minorHAnsi" w:eastAsiaTheme="minorEastAsia" w:hAnsiTheme="minorHAnsi" w:cstheme="minorBidi"/>
              <w:noProof/>
              <w:lang w:eastAsia="en-AU"/>
            </w:rPr>
          </w:pPr>
          <w:hyperlink w:anchor="_Toc497301624" w:history="1">
            <w:r w:rsidR="00156AEF" w:rsidRPr="00397DC0">
              <w:rPr>
                <w:rStyle w:val="Hyperlink"/>
                <w:noProof/>
              </w:rPr>
              <w:t>Safety</w:t>
            </w:r>
            <w:r w:rsidR="00156AEF">
              <w:rPr>
                <w:noProof/>
                <w:webHidden/>
              </w:rPr>
              <w:tab/>
            </w:r>
            <w:r w:rsidR="00156AEF">
              <w:rPr>
                <w:noProof/>
                <w:webHidden/>
              </w:rPr>
              <w:fldChar w:fldCharType="begin"/>
            </w:r>
            <w:r w:rsidR="00156AEF">
              <w:rPr>
                <w:noProof/>
                <w:webHidden/>
              </w:rPr>
              <w:instrText xml:space="preserve"> PAGEREF _Toc497301624 \h </w:instrText>
            </w:r>
            <w:r w:rsidR="00156AEF">
              <w:rPr>
                <w:noProof/>
                <w:webHidden/>
              </w:rPr>
            </w:r>
            <w:r w:rsidR="00156AEF">
              <w:rPr>
                <w:noProof/>
                <w:webHidden/>
              </w:rPr>
              <w:fldChar w:fldCharType="separate"/>
            </w:r>
            <w:r w:rsidR="00156AEF">
              <w:rPr>
                <w:noProof/>
                <w:webHidden/>
              </w:rPr>
              <w:t>17</w:t>
            </w:r>
            <w:r w:rsidR="00156AEF">
              <w:rPr>
                <w:noProof/>
                <w:webHidden/>
              </w:rPr>
              <w:fldChar w:fldCharType="end"/>
            </w:r>
          </w:hyperlink>
        </w:p>
        <w:p w:rsidR="00156AEF" w:rsidRDefault="00044D2D">
          <w:pPr>
            <w:pStyle w:val="TOC3"/>
            <w:rPr>
              <w:rFonts w:asciiTheme="minorHAnsi" w:eastAsiaTheme="minorEastAsia" w:hAnsiTheme="minorHAnsi" w:cstheme="minorBidi"/>
              <w:noProof/>
              <w:lang w:eastAsia="en-AU"/>
            </w:rPr>
          </w:pPr>
          <w:hyperlink w:anchor="_Toc497301625" w:history="1">
            <w:r w:rsidR="00156AEF" w:rsidRPr="00397DC0">
              <w:rPr>
                <w:rStyle w:val="Hyperlink"/>
                <w:noProof/>
              </w:rPr>
              <w:t>First round benefit-risk assessment</w:t>
            </w:r>
            <w:r w:rsidR="00156AEF">
              <w:rPr>
                <w:noProof/>
                <w:webHidden/>
              </w:rPr>
              <w:tab/>
            </w:r>
            <w:r w:rsidR="00156AEF">
              <w:rPr>
                <w:noProof/>
                <w:webHidden/>
              </w:rPr>
              <w:fldChar w:fldCharType="begin"/>
            </w:r>
            <w:r w:rsidR="00156AEF">
              <w:rPr>
                <w:noProof/>
                <w:webHidden/>
              </w:rPr>
              <w:instrText xml:space="preserve"> PAGEREF _Toc497301625 \h </w:instrText>
            </w:r>
            <w:r w:rsidR="00156AEF">
              <w:rPr>
                <w:noProof/>
                <w:webHidden/>
              </w:rPr>
            </w:r>
            <w:r w:rsidR="00156AEF">
              <w:rPr>
                <w:noProof/>
                <w:webHidden/>
              </w:rPr>
              <w:fldChar w:fldCharType="separate"/>
            </w:r>
            <w:r w:rsidR="00156AEF">
              <w:rPr>
                <w:noProof/>
                <w:webHidden/>
              </w:rPr>
              <w:t>20</w:t>
            </w:r>
            <w:r w:rsidR="00156AEF">
              <w:rPr>
                <w:noProof/>
                <w:webHidden/>
              </w:rPr>
              <w:fldChar w:fldCharType="end"/>
            </w:r>
          </w:hyperlink>
        </w:p>
        <w:p w:rsidR="00156AEF" w:rsidRDefault="00044D2D">
          <w:pPr>
            <w:pStyle w:val="TOC3"/>
            <w:rPr>
              <w:rFonts w:asciiTheme="minorHAnsi" w:eastAsiaTheme="minorEastAsia" w:hAnsiTheme="minorHAnsi" w:cstheme="minorBidi"/>
              <w:noProof/>
              <w:lang w:eastAsia="en-AU"/>
            </w:rPr>
          </w:pPr>
          <w:hyperlink w:anchor="_Toc497301626" w:history="1">
            <w:r w:rsidR="00156AEF" w:rsidRPr="00397DC0">
              <w:rPr>
                <w:rStyle w:val="Hyperlink"/>
                <w:noProof/>
              </w:rPr>
              <w:t>First round recommendation regarding authorisation</w:t>
            </w:r>
            <w:r w:rsidR="00156AEF">
              <w:rPr>
                <w:noProof/>
                <w:webHidden/>
              </w:rPr>
              <w:tab/>
            </w:r>
            <w:r w:rsidR="00156AEF">
              <w:rPr>
                <w:noProof/>
                <w:webHidden/>
              </w:rPr>
              <w:fldChar w:fldCharType="begin"/>
            </w:r>
            <w:r w:rsidR="00156AEF">
              <w:rPr>
                <w:noProof/>
                <w:webHidden/>
              </w:rPr>
              <w:instrText xml:space="preserve"> PAGEREF _Toc497301626 \h </w:instrText>
            </w:r>
            <w:r w:rsidR="00156AEF">
              <w:rPr>
                <w:noProof/>
                <w:webHidden/>
              </w:rPr>
            </w:r>
            <w:r w:rsidR="00156AEF">
              <w:rPr>
                <w:noProof/>
                <w:webHidden/>
              </w:rPr>
              <w:fldChar w:fldCharType="separate"/>
            </w:r>
            <w:r w:rsidR="00156AEF">
              <w:rPr>
                <w:noProof/>
                <w:webHidden/>
              </w:rPr>
              <w:t>21</w:t>
            </w:r>
            <w:r w:rsidR="00156AEF">
              <w:rPr>
                <w:noProof/>
                <w:webHidden/>
              </w:rPr>
              <w:fldChar w:fldCharType="end"/>
            </w:r>
          </w:hyperlink>
        </w:p>
        <w:p w:rsidR="00156AEF" w:rsidRDefault="00044D2D">
          <w:pPr>
            <w:pStyle w:val="TOC3"/>
            <w:rPr>
              <w:rFonts w:asciiTheme="minorHAnsi" w:eastAsiaTheme="minorEastAsia" w:hAnsiTheme="minorHAnsi" w:cstheme="minorBidi"/>
              <w:noProof/>
              <w:lang w:eastAsia="en-AU"/>
            </w:rPr>
          </w:pPr>
          <w:hyperlink w:anchor="_Toc497301627" w:history="1">
            <w:r w:rsidR="00156AEF" w:rsidRPr="00397DC0">
              <w:rPr>
                <w:rStyle w:val="Hyperlink"/>
                <w:noProof/>
              </w:rPr>
              <w:t>Clinical questions</w:t>
            </w:r>
            <w:r w:rsidR="00156AEF">
              <w:rPr>
                <w:noProof/>
                <w:webHidden/>
              </w:rPr>
              <w:tab/>
            </w:r>
            <w:r w:rsidR="00156AEF">
              <w:rPr>
                <w:noProof/>
                <w:webHidden/>
              </w:rPr>
              <w:fldChar w:fldCharType="begin"/>
            </w:r>
            <w:r w:rsidR="00156AEF">
              <w:rPr>
                <w:noProof/>
                <w:webHidden/>
              </w:rPr>
              <w:instrText xml:space="preserve"> PAGEREF _Toc497301627 \h </w:instrText>
            </w:r>
            <w:r w:rsidR="00156AEF">
              <w:rPr>
                <w:noProof/>
                <w:webHidden/>
              </w:rPr>
            </w:r>
            <w:r w:rsidR="00156AEF">
              <w:rPr>
                <w:noProof/>
                <w:webHidden/>
              </w:rPr>
              <w:fldChar w:fldCharType="separate"/>
            </w:r>
            <w:r w:rsidR="00156AEF">
              <w:rPr>
                <w:noProof/>
                <w:webHidden/>
              </w:rPr>
              <w:t>21</w:t>
            </w:r>
            <w:r w:rsidR="00156AEF">
              <w:rPr>
                <w:noProof/>
                <w:webHidden/>
              </w:rPr>
              <w:fldChar w:fldCharType="end"/>
            </w:r>
          </w:hyperlink>
        </w:p>
        <w:p w:rsidR="00156AEF" w:rsidRDefault="00044D2D">
          <w:pPr>
            <w:pStyle w:val="TOC3"/>
            <w:rPr>
              <w:rFonts w:asciiTheme="minorHAnsi" w:eastAsiaTheme="minorEastAsia" w:hAnsiTheme="minorHAnsi" w:cstheme="minorBidi"/>
              <w:noProof/>
              <w:lang w:eastAsia="en-AU"/>
            </w:rPr>
          </w:pPr>
          <w:hyperlink w:anchor="_Toc497301628" w:history="1">
            <w:r w:rsidR="00156AEF" w:rsidRPr="00397DC0">
              <w:rPr>
                <w:rStyle w:val="Hyperlink"/>
                <w:noProof/>
              </w:rPr>
              <w:t>Second round evaluation</w:t>
            </w:r>
            <w:r w:rsidR="00156AEF">
              <w:rPr>
                <w:noProof/>
                <w:webHidden/>
              </w:rPr>
              <w:tab/>
            </w:r>
            <w:r w:rsidR="00156AEF">
              <w:rPr>
                <w:noProof/>
                <w:webHidden/>
              </w:rPr>
              <w:fldChar w:fldCharType="begin"/>
            </w:r>
            <w:r w:rsidR="00156AEF">
              <w:rPr>
                <w:noProof/>
                <w:webHidden/>
              </w:rPr>
              <w:instrText xml:space="preserve"> PAGEREF _Toc497301628 \h </w:instrText>
            </w:r>
            <w:r w:rsidR="00156AEF">
              <w:rPr>
                <w:noProof/>
                <w:webHidden/>
              </w:rPr>
            </w:r>
            <w:r w:rsidR="00156AEF">
              <w:rPr>
                <w:noProof/>
                <w:webHidden/>
              </w:rPr>
              <w:fldChar w:fldCharType="separate"/>
            </w:r>
            <w:r w:rsidR="00156AEF">
              <w:rPr>
                <w:noProof/>
                <w:webHidden/>
              </w:rPr>
              <w:t>22</w:t>
            </w:r>
            <w:r w:rsidR="00156AEF">
              <w:rPr>
                <w:noProof/>
                <w:webHidden/>
              </w:rPr>
              <w:fldChar w:fldCharType="end"/>
            </w:r>
          </w:hyperlink>
        </w:p>
        <w:p w:rsidR="00156AEF" w:rsidRDefault="00044D2D">
          <w:pPr>
            <w:pStyle w:val="TOC3"/>
            <w:rPr>
              <w:rFonts w:asciiTheme="minorHAnsi" w:eastAsiaTheme="minorEastAsia" w:hAnsiTheme="minorHAnsi" w:cstheme="minorBidi"/>
              <w:noProof/>
              <w:lang w:eastAsia="en-AU"/>
            </w:rPr>
          </w:pPr>
          <w:hyperlink w:anchor="_Toc497301629" w:history="1">
            <w:r w:rsidR="00156AEF" w:rsidRPr="00397DC0">
              <w:rPr>
                <w:rStyle w:val="Hyperlink"/>
                <w:noProof/>
              </w:rPr>
              <w:t>Second round benefit-risk assessment</w:t>
            </w:r>
            <w:r w:rsidR="00156AEF">
              <w:rPr>
                <w:noProof/>
                <w:webHidden/>
              </w:rPr>
              <w:tab/>
            </w:r>
            <w:r w:rsidR="00156AEF">
              <w:rPr>
                <w:noProof/>
                <w:webHidden/>
              </w:rPr>
              <w:fldChar w:fldCharType="begin"/>
            </w:r>
            <w:r w:rsidR="00156AEF">
              <w:rPr>
                <w:noProof/>
                <w:webHidden/>
              </w:rPr>
              <w:instrText xml:space="preserve"> PAGEREF _Toc497301629 \h </w:instrText>
            </w:r>
            <w:r w:rsidR="00156AEF">
              <w:rPr>
                <w:noProof/>
                <w:webHidden/>
              </w:rPr>
            </w:r>
            <w:r w:rsidR="00156AEF">
              <w:rPr>
                <w:noProof/>
                <w:webHidden/>
              </w:rPr>
              <w:fldChar w:fldCharType="separate"/>
            </w:r>
            <w:r w:rsidR="00156AEF">
              <w:rPr>
                <w:noProof/>
                <w:webHidden/>
              </w:rPr>
              <w:t>22</w:t>
            </w:r>
            <w:r w:rsidR="00156AEF">
              <w:rPr>
                <w:noProof/>
                <w:webHidden/>
              </w:rPr>
              <w:fldChar w:fldCharType="end"/>
            </w:r>
          </w:hyperlink>
        </w:p>
        <w:p w:rsidR="00156AEF" w:rsidRDefault="00044D2D">
          <w:pPr>
            <w:pStyle w:val="TOC3"/>
            <w:rPr>
              <w:rFonts w:asciiTheme="minorHAnsi" w:eastAsiaTheme="minorEastAsia" w:hAnsiTheme="minorHAnsi" w:cstheme="minorBidi"/>
              <w:noProof/>
              <w:lang w:eastAsia="en-AU"/>
            </w:rPr>
          </w:pPr>
          <w:hyperlink w:anchor="_Toc497301630" w:history="1">
            <w:r w:rsidR="00156AEF" w:rsidRPr="00397DC0">
              <w:rPr>
                <w:rStyle w:val="Hyperlink"/>
                <w:noProof/>
              </w:rPr>
              <w:t>Second round recommendation regarding authorisation</w:t>
            </w:r>
            <w:r w:rsidR="00156AEF">
              <w:rPr>
                <w:noProof/>
                <w:webHidden/>
              </w:rPr>
              <w:tab/>
            </w:r>
            <w:r w:rsidR="00156AEF">
              <w:rPr>
                <w:noProof/>
                <w:webHidden/>
              </w:rPr>
              <w:fldChar w:fldCharType="begin"/>
            </w:r>
            <w:r w:rsidR="00156AEF">
              <w:rPr>
                <w:noProof/>
                <w:webHidden/>
              </w:rPr>
              <w:instrText xml:space="preserve"> PAGEREF _Toc497301630 \h </w:instrText>
            </w:r>
            <w:r w:rsidR="00156AEF">
              <w:rPr>
                <w:noProof/>
                <w:webHidden/>
              </w:rPr>
            </w:r>
            <w:r w:rsidR="00156AEF">
              <w:rPr>
                <w:noProof/>
                <w:webHidden/>
              </w:rPr>
              <w:fldChar w:fldCharType="separate"/>
            </w:r>
            <w:r w:rsidR="00156AEF">
              <w:rPr>
                <w:noProof/>
                <w:webHidden/>
              </w:rPr>
              <w:t>22</w:t>
            </w:r>
            <w:r w:rsidR="00156AEF">
              <w:rPr>
                <w:noProof/>
                <w:webHidden/>
              </w:rPr>
              <w:fldChar w:fldCharType="end"/>
            </w:r>
          </w:hyperlink>
        </w:p>
        <w:p w:rsidR="00156AEF" w:rsidRDefault="00044D2D">
          <w:pPr>
            <w:pStyle w:val="TOC2"/>
            <w:rPr>
              <w:rFonts w:asciiTheme="minorHAnsi" w:eastAsiaTheme="minorEastAsia" w:hAnsiTheme="minorHAnsi" w:cstheme="minorBidi"/>
              <w:b w:val="0"/>
              <w:noProof/>
              <w:sz w:val="22"/>
              <w:lang w:eastAsia="en-AU"/>
            </w:rPr>
          </w:pPr>
          <w:hyperlink w:anchor="_Toc497301631" w:history="1">
            <w:r w:rsidR="00156AEF" w:rsidRPr="00397DC0">
              <w:rPr>
                <w:rStyle w:val="Hyperlink"/>
                <w:noProof/>
              </w:rPr>
              <w:t>V. Pharmacovigilance findings</w:t>
            </w:r>
            <w:r w:rsidR="00156AEF">
              <w:rPr>
                <w:noProof/>
                <w:webHidden/>
              </w:rPr>
              <w:tab/>
            </w:r>
            <w:r w:rsidR="00156AEF">
              <w:rPr>
                <w:noProof/>
                <w:webHidden/>
              </w:rPr>
              <w:fldChar w:fldCharType="begin"/>
            </w:r>
            <w:r w:rsidR="00156AEF">
              <w:rPr>
                <w:noProof/>
                <w:webHidden/>
              </w:rPr>
              <w:instrText xml:space="preserve"> PAGEREF _Toc497301631 \h </w:instrText>
            </w:r>
            <w:r w:rsidR="00156AEF">
              <w:rPr>
                <w:noProof/>
                <w:webHidden/>
              </w:rPr>
            </w:r>
            <w:r w:rsidR="00156AEF">
              <w:rPr>
                <w:noProof/>
                <w:webHidden/>
              </w:rPr>
              <w:fldChar w:fldCharType="separate"/>
            </w:r>
            <w:r w:rsidR="00156AEF">
              <w:rPr>
                <w:noProof/>
                <w:webHidden/>
              </w:rPr>
              <w:t>22</w:t>
            </w:r>
            <w:r w:rsidR="00156AEF">
              <w:rPr>
                <w:noProof/>
                <w:webHidden/>
              </w:rPr>
              <w:fldChar w:fldCharType="end"/>
            </w:r>
          </w:hyperlink>
        </w:p>
        <w:p w:rsidR="00156AEF" w:rsidRDefault="00044D2D">
          <w:pPr>
            <w:pStyle w:val="TOC3"/>
            <w:rPr>
              <w:rFonts w:asciiTheme="minorHAnsi" w:eastAsiaTheme="minorEastAsia" w:hAnsiTheme="minorHAnsi" w:cstheme="minorBidi"/>
              <w:noProof/>
              <w:lang w:eastAsia="en-AU"/>
            </w:rPr>
          </w:pPr>
          <w:hyperlink w:anchor="_Toc497301632" w:history="1">
            <w:r w:rsidR="00156AEF" w:rsidRPr="00397DC0">
              <w:rPr>
                <w:rStyle w:val="Hyperlink"/>
                <w:noProof/>
                <w:lang w:eastAsia="en-AU"/>
              </w:rPr>
              <w:t>Risk management plan</w:t>
            </w:r>
            <w:r w:rsidR="00156AEF">
              <w:rPr>
                <w:noProof/>
                <w:webHidden/>
              </w:rPr>
              <w:tab/>
            </w:r>
            <w:r w:rsidR="00156AEF">
              <w:rPr>
                <w:noProof/>
                <w:webHidden/>
              </w:rPr>
              <w:fldChar w:fldCharType="begin"/>
            </w:r>
            <w:r w:rsidR="00156AEF">
              <w:rPr>
                <w:noProof/>
                <w:webHidden/>
              </w:rPr>
              <w:instrText xml:space="preserve"> PAGEREF _Toc497301632 \h </w:instrText>
            </w:r>
            <w:r w:rsidR="00156AEF">
              <w:rPr>
                <w:noProof/>
                <w:webHidden/>
              </w:rPr>
            </w:r>
            <w:r w:rsidR="00156AEF">
              <w:rPr>
                <w:noProof/>
                <w:webHidden/>
              </w:rPr>
              <w:fldChar w:fldCharType="separate"/>
            </w:r>
            <w:r w:rsidR="00156AEF">
              <w:rPr>
                <w:noProof/>
                <w:webHidden/>
              </w:rPr>
              <w:t>22</w:t>
            </w:r>
            <w:r w:rsidR="00156AEF">
              <w:rPr>
                <w:noProof/>
                <w:webHidden/>
              </w:rPr>
              <w:fldChar w:fldCharType="end"/>
            </w:r>
          </w:hyperlink>
        </w:p>
        <w:p w:rsidR="00156AEF" w:rsidRDefault="00044D2D">
          <w:pPr>
            <w:pStyle w:val="TOC2"/>
            <w:rPr>
              <w:rFonts w:asciiTheme="minorHAnsi" w:eastAsiaTheme="minorEastAsia" w:hAnsiTheme="minorHAnsi" w:cstheme="minorBidi"/>
              <w:b w:val="0"/>
              <w:noProof/>
              <w:sz w:val="22"/>
              <w:lang w:eastAsia="en-AU"/>
            </w:rPr>
          </w:pPr>
          <w:hyperlink w:anchor="_Toc497301633" w:history="1">
            <w:r w:rsidR="00156AEF" w:rsidRPr="00397DC0">
              <w:rPr>
                <w:rStyle w:val="Hyperlink"/>
                <w:noProof/>
              </w:rPr>
              <w:t>VI. Overall conclusion and risk/benefit assessment</w:t>
            </w:r>
            <w:r w:rsidR="00156AEF">
              <w:rPr>
                <w:noProof/>
                <w:webHidden/>
              </w:rPr>
              <w:tab/>
            </w:r>
            <w:r w:rsidR="00156AEF">
              <w:rPr>
                <w:noProof/>
                <w:webHidden/>
              </w:rPr>
              <w:fldChar w:fldCharType="begin"/>
            </w:r>
            <w:r w:rsidR="00156AEF">
              <w:rPr>
                <w:noProof/>
                <w:webHidden/>
              </w:rPr>
              <w:instrText xml:space="preserve"> PAGEREF _Toc497301633 \h </w:instrText>
            </w:r>
            <w:r w:rsidR="00156AEF">
              <w:rPr>
                <w:noProof/>
                <w:webHidden/>
              </w:rPr>
            </w:r>
            <w:r w:rsidR="00156AEF">
              <w:rPr>
                <w:noProof/>
                <w:webHidden/>
              </w:rPr>
              <w:fldChar w:fldCharType="separate"/>
            </w:r>
            <w:r w:rsidR="00156AEF">
              <w:rPr>
                <w:noProof/>
                <w:webHidden/>
              </w:rPr>
              <w:t>26</w:t>
            </w:r>
            <w:r w:rsidR="00156AEF">
              <w:rPr>
                <w:noProof/>
                <w:webHidden/>
              </w:rPr>
              <w:fldChar w:fldCharType="end"/>
            </w:r>
          </w:hyperlink>
        </w:p>
        <w:p w:rsidR="00156AEF" w:rsidRDefault="00044D2D">
          <w:pPr>
            <w:pStyle w:val="TOC3"/>
            <w:rPr>
              <w:rFonts w:asciiTheme="minorHAnsi" w:eastAsiaTheme="minorEastAsia" w:hAnsiTheme="minorHAnsi" w:cstheme="minorBidi"/>
              <w:noProof/>
              <w:lang w:eastAsia="en-AU"/>
            </w:rPr>
          </w:pPr>
          <w:hyperlink w:anchor="_Toc497301634" w:history="1">
            <w:r w:rsidR="00156AEF" w:rsidRPr="00397DC0">
              <w:rPr>
                <w:rStyle w:val="Hyperlink"/>
                <w:noProof/>
              </w:rPr>
              <w:t>Quality</w:t>
            </w:r>
            <w:r w:rsidR="00156AEF">
              <w:rPr>
                <w:noProof/>
                <w:webHidden/>
              </w:rPr>
              <w:tab/>
            </w:r>
            <w:r w:rsidR="00156AEF">
              <w:rPr>
                <w:noProof/>
                <w:webHidden/>
              </w:rPr>
              <w:fldChar w:fldCharType="begin"/>
            </w:r>
            <w:r w:rsidR="00156AEF">
              <w:rPr>
                <w:noProof/>
                <w:webHidden/>
              </w:rPr>
              <w:instrText xml:space="preserve"> PAGEREF _Toc497301634 \h </w:instrText>
            </w:r>
            <w:r w:rsidR="00156AEF">
              <w:rPr>
                <w:noProof/>
                <w:webHidden/>
              </w:rPr>
            </w:r>
            <w:r w:rsidR="00156AEF">
              <w:rPr>
                <w:noProof/>
                <w:webHidden/>
              </w:rPr>
              <w:fldChar w:fldCharType="separate"/>
            </w:r>
            <w:r w:rsidR="00156AEF">
              <w:rPr>
                <w:noProof/>
                <w:webHidden/>
              </w:rPr>
              <w:t>26</w:t>
            </w:r>
            <w:r w:rsidR="00156AEF">
              <w:rPr>
                <w:noProof/>
                <w:webHidden/>
              </w:rPr>
              <w:fldChar w:fldCharType="end"/>
            </w:r>
          </w:hyperlink>
        </w:p>
        <w:p w:rsidR="00156AEF" w:rsidRDefault="00044D2D">
          <w:pPr>
            <w:pStyle w:val="TOC3"/>
            <w:rPr>
              <w:rFonts w:asciiTheme="minorHAnsi" w:eastAsiaTheme="minorEastAsia" w:hAnsiTheme="minorHAnsi" w:cstheme="minorBidi"/>
              <w:noProof/>
              <w:lang w:eastAsia="en-AU"/>
            </w:rPr>
          </w:pPr>
          <w:hyperlink w:anchor="_Toc497301635" w:history="1">
            <w:r w:rsidR="00156AEF" w:rsidRPr="00397DC0">
              <w:rPr>
                <w:rStyle w:val="Hyperlink"/>
                <w:noProof/>
              </w:rPr>
              <w:t>Nonclinical</w:t>
            </w:r>
            <w:r w:rsidR="00156AEF">
              <w:rPr>
                <w:noProof/>
                <w:webHidden/>
              </w:rPr>
              <w:tab/>
            </w:r>
            <w:r w:rsidR="00156AEF">
              <w:rPr>
                <w:noProof/>
                <w:webHidden/>
              </w:rPr>
              <w:fldChar w:fldCharType="begin"/>
            </w:r>
            <w:r w:rsidR="00156AEF">
              <w:rPr>
                <w:noProof/>
                <w:webHidden/>
              </w:rPr>
              <w:instrText xml:space="preserve"> PAGEREF _Toc497301635 \h </w:instrText>
            </w:r>
            <w:r w:rsidR="00156AEF">
              <w:rPr>
                <w:noProof/>
                <w:webHidden/>
              </w:rPr>
            </w:r>
            <w:r w:rsidR="00156AEF">
              <w:rPr>
                <w:noProof/>
                <w:webHidden/>
              </w:rPr>
              <w:fldChar w:fldCharType="separate"/>
            </w:r>
            <w:r w:rsidR="00156AEF">
              <w:rPr>
                <w:noProof/>
                <w:webHidden/>
              </w:rPr>
              <w:t>27</w:t>
            </w:r>
            <w:r w:rsidR="00156AEF">
              <w:rPr>
                <w:noProof/>
                <w:webHidden/>
              </w:rPr>
              <w:fldChar w:fldCharType="end"/>
            </w:r>
          </w:hyperlink>
        </w:p>
        <w:p w:rsidR="00156AEF" w:rsidRDefault="00044D2D">
          <w:pPr>
            <w:pStyle w:val="TOC3"/>
            <w:rPr>
              <w:rFonts w:asciiTheme="minorHAnsi" w:eastAsiaTheme="minorEastAsia" w:hAnsiTheme="minorHAnsi" w:cstheme="minorBidi"/>
              <w:noProof/>
              <w:lang w:eastAsia="en-AU"/>
            </w:rPr>
          </w:pPr>
          <w:hyperlink w:anchor="_Toc497301636" w:history="1">
            <w:r w:rsidR="00156AEF" w:rsidRPr="00397DC0">
              <w:rPr>
                <w:rStyle w:val="Hyperlink"/>
                <w:noProof/>
              </w:rPr>
              <w:t>Clinical</w:t>
            </w:r>
            <w:r w:rsidR="00156AEF">
              <w:rPr>
                <w:noProof/>
                <w:webHidden/>
              </w:rPr>
              <w:tab/>
            </w:r>
            <w:r w:rsidR="00156AEF">
              <w:rPr>
                <w:noProof/>
                <w:webHidden/>
              </w:rPr>
              <w:fldChar w:fldCharType="begin"/>
            </w:r>
            <w:r w:rsidR="00156AEF">
              <w:rPr>
                <w:noProof/>
                <w:webHidden/>
              </w:rPr>
              <w:instrText xml:space="preserve"> PAGEREF _Toc497301636 \h </w:instrText>
            </w:r>
            <w:r w:rsidR="00156AEF">
              <w:rPr>
                <w:noProof/>
                <w:webHidden/>
              </w:rPr>
            </w:r>
            <w:r w:rsidR="00156AEF">
              <w:rPr>
                <w:noProof/>
                <w:webHidden/>
              </w:rPr>
              <w:fldChar w:fldCharType="separate"/>
            </w:r>
            <w:r w:rsidR="00156AEF">
              <w:rPr>
                <w:noProof/>
                <w:webHidden/>
              </w:rPr>
              <w:t>27</w:t>
            </w:r>
            <w:r w:rsidR="00156AEF">
              <w:rPr>
                <w:noProof/>
                <w:webHidden/>
              </w:rPr>
              <w:fldChar w:fldCharType="end"/>
            </w:r>
          </w:hyperlink>
        </w:p>
        <w:p w:rsidR="00156AEF" w:rsidRDefault="00044D2D">
          <w:pPr>
            <w:pStyle w:val="TOC3"/>
            <w:rPr>
              <w:rFonts w:asciiTheme="minorHAnsi" w:eastAsiaTheme="minorEastAsia" w:hAnsiTheme="minorHAnsi" w:cstheme="minorBidi"/>
              <w:noProof/>
              <w:lang w:eastAsia="en-AU"/>
            </w:rPr>
          </w:pPr>
          <w:hyperlink w:anchor="_Toc497301637" w:history="1">
            <w:r w:rsidR="00156AEF" w:rsidRPr="00397DC0">
              <w:rPr>
                <w:rStyle w:val="Hyperlink"/>
                <w:noProof/>
                <w:lang w:eastAsia="en-AU"/>
              </w:rPr>
              <w:t>Risk management plan</w:t>
            </w:r>
            <w:r w:rsidR="00156AEF">
              <w:rPr>
                <w:noProof/>
                <w:webHidden/>
              </w:rPr>
              <w:tab/>
            </w:r>
            <w:r w:rsidR="00156AEF">
              <w:rPr>
                <w:noProof/>
                <w:webHidden/>
              </w:rPr>
              <w:fldChar w:fldCharType="begin"/>
            </w:r>
            <w:r w:rsidR="00156AEF">
              <w:rPr>
                <w:noProof/>
                <w:webHidden/>
              </w:rPr>
              <w:instrText xml:space="preserve"> PAGEREF _Toc497301637 \h </w:instrText>
            </w:r>
            <w:r w:rsidR="00156AEF">
              <w:rPr>
                <w:noProof/>
                <w:webHidden/>
              </w:rPr>
            </w:r>
            <w:r w:rsidR="00156AEF">
              <w:rPr>
                <w:noProof/>
                <w:webHidden/>
              </w:rPr>
              <w:fldChar w:fldCharType="separate"/>
            </w:r>
            <w:r w:rsidR="00156AEF">
              <w:rPr>
                <w:noProof/>
                <w:webHidden/>
              </w:rPr>
              <w:t>36</w:t>
            </w:r>
            <w:r w:rsidR="00156AEF">
              <w:rPr>
                <w:noProof/>
                <w:webHidden/>
              </w:rPr>
              <w:fldChar w:fldCharType="end"/>
            </w:r>
          </w:hyperlink>
        </w:p>
        <w:p w:rsidR="00156AEF" w:rsidRDefault="00044D2D">
          <w:pPr>
            <w:pStyle w:val="TOC3"/>
            <w:rPr>
              <w:rFonts w:asciiTheme="minorHAnsi" w:eastAsiaTheme="minorEastAsia" w:hAnsiTheme="minorHAnsi" w:cstheme="minorBidi"/>
              <w:noProof/>
              <w:lang w:eastAsia="en-AU"/>
            </w:rPr>
          </w:pPr>
          <w:hyperlink w:anchor="_Toc497301638" w:history="1">
            <w:r w:rsidR="00156AEF" w:rsidRPr="00397DC0">
              <w:rPr>
                <w:rStyle w:val="Hyperlink"/>
                <w:noProof/>
              </w:rPr>
              <w:t>Risk-benefit analysis</w:t>
            </w:r>
            <w:r w:rsidR="00156AEF">
              <w:rPr>
                <w:noProof/>
                <w:webHidden/>
              </w:rPr>
              <w:tab/>
            </w:r>
            <w:r w:rsidR="00156AEF">
              <w:rPr>
                <w:noProof/>
                <w:webHidden/>
              </w:rPr>
              <w:fldChar w:fldCharType="begin"/>
            </w:r>
            <w:r w:rsidR="00156AEF">
              <w:rPr>
                <w:noProof/>
                <w:webHidden/>
              </w:rPr>
              <w:instrText xml:space="preserve"> PAGEREF _Toc497301638 \h </w:instrText>
            </w:r>
            <w:r w:rsidR="00156AEF">
              <w:rPr>
                <w:noProof/>
                <w:webHidden/>
              </w:rPr>
            </w:r>
            <w:r w:rsidR="00156AEF">
              <w:rPr>
                <w:noProof/>
                <w:webHidden/>
              </w:rPr>
              <w:fldChar w:fldCharType="separate"/>
            </w:r>
            <w:r w:rsidR="00156AEF">
              <w:rPr>
                <w:noProof/>
                <w:webHidden/>
              </w:rPr>
              <w:t>36</w:t>
            </w:r>
            <w:r w:rsidR="00156AEF">
              <w:rPr>
                <w:noProof/>
                <w:webHidden/>
              </w:rPr>
              <w:fldChar w:fldCharType="end"/>
            </w:r>
          </w:hyperlink>
        </w:p>
        <w:p w:rsidR="00156AEF" w:rsidRDefault="00044D2D">
          <w:pPr>
            <w:pStyle w:val="TOC3"/>
            <w:rPr>
              <w:rFonts w:asciiTheme="minorHAnsi" w:eastAsiaTheme="minorEastAsia" w:hAnsiTheme="minorHAnsi" w:cstheme="minorBidi"/>
              <w:noProof/>
              <w:lang w:eastAsia="en-AU"/>
            </w:rPr>
          </w:pPr>
          <w:hyperlink w:anchor="_Toc497301639" w:history="1">
            <w:r w:rsidR="00156AEF" w:rsidRPr="00397DC0">
              <w:rPr>
                <w:rStyle w:val="Hyperlink"/>
                <w:noProof/>
              </w:rPr>
              <w:t>Outcome</w:t>
            </w:r>
            <w:r w:rsidR="00156AEF">
              <w:rPr>
                <w:noProof/>
                <w:webHidden/>
              </w:rPr>
              <w:tab/>
            </w:r>
            <w:r w:rsidR="00156AEF">
              <w:rPr>
                <w:noProof/>
                <w:webHidden/>
              </w:rPr>
              <w:fldChar w:fldCharType="begin"/>
            </w:r>
            <w:r w:rsidR="00156AEF">
              <w:rPr>
                <w:noProof/>
                <w:webHidden/>
              </w:rPr>
              <w:instrText xml:space="preserve"> PAGEREF _Toc497301639 \h </w:instrText>
            </w:r>
            <w:r w:rsidR="00156AEF">
              <w:rPr>
                <w:noProof/>
                <w:webHidden/>
              </w:rPr>
            </w:r>
            <w:r w:rsidR="00156AEF">
              <w:rPr>
                <w:noProof/>
                <w:webHidden/>
              </w:rPr>
              <w:fldChar w:fldCharType="separate"/>
            </w:r>
            <w:r w:rsidR="00156AEF">
              <w:rPr>
                <w:noProof/>
                <w:webHidden/>
              </w:rPr>
              <w:t>45</w:t>
            </w:r>
            <w:r w:rsidR="00156AEF">
              <w:rPr>
                <w:noProof/>
                <w:webHidden/>
              </w:rPr>
              <w:fldChar w:fldCharType="end"/>
            </w:r>
          </w:hyperlink>
        </w:p>
        <w:p w:rsidR="00156AEF" w:rsidRDefault="00044D2D">
          <w:pPr>
            <w:pStyle w:val="TOC2"/>
            <w:rPr>
              <w:rFonts w:asciiTheme="minorHAnsi" w:eastAsiaTheme="minorEastAsia" w:hAnsiTheme="minorHAnsi" w:cstheme="minorBidi"/>
              <w:b w:val="0"/>
              <w:noProof/>
              <w:sz w:val="22"/>
              <w:lang w:eastAsia="en-AU"/>
            </w:rPr>
          </w:pPr>
          <w:hyperlink w:anchor="_Toc497301640" w:history="1">
            <w:r w:rsidR="00156AEF" w:rsidRPr="00397DC0">
              <w:rPr>
                <w:rStyle w:val="Hyperlink"/>
                <w:noProof/>
              </w:rPr>
              <w:t>Attachment 1. Product Information</w:t>
            </w:r>
            <w:r w:rsidR="00156AEF">
              <w:rPr>
                <w:noProof/>
                <w:webHidden/>
              </w:rPr>
              <w:tab/>
            </w:r>
            <w:r w:rsidR="00156AEF">
              <w:rPr>
                <w:noProof/>
                <w:webHidden/>
              </w:rPr>
              <w:fldChar w:fldCharType="begin"/>
            </w:r>
            <w:r w:rsidR="00156AEF">
              <w:rPr>
                <w:noProof/>
                <w:webHidden/>
              </w:rPr>
              <w:instrText xml:space="preserve"> PAGEREF _Toc497301640 \h </w:instrText>
            </w:r>
            <w:r w:rsidR="00156AEF">
              <w:rPr>
                <w:noProof/>
                <w:webHidden/>
              </w:rPr>
            </w:r>
            <w:r w:rsidR="00156AEF">
              <w:rPr>
                <w:noProof/>
                <w:webHidden/>
              </w:rPr>
              <w:fldChar w:fldCharType="separate"/>
            </w:r>
            <w:r w:rsidR="00156AEF">
              <w:rPr>
                <w:noProof/>
                <w:webHidden/>
              </w:rPr>
              <w:t>45</w:t>
            </w:r>
            <w:r w:rsidR="00156AEF">
              <w:rPr>
                <w:noProof/>
                <w:webHidden/>
              </w:rPr>
              <w:fldChar w:fldCharType="end"/>
            </w:r>
          </w:hyperlink>
        </w:p>
        <w:p w:rsidR="00156AEF" w:rsidRDefault="00044D2D">
          <w:pPr>
            <w:pStyle w:val="TOC2"/>
            <w:rPr>
              <w:rFonts w:asciiTheme="minorHAnsi" w:eastAsiaTheme="minorEastAsia" w:hAnsiTheme="minorHAnsi" w:cstheme="minorBidi"/>
              <w:b w:val="0"/>
              <w:noProof/>
              <w:sz w:val="22"/>
              <w:lang w:eastAsia="en-AU"/>
            </w:rPr>
          </w:pPr>
          <w:hyperlink w:anchor="_Toc497301641" w:history="1">
            <w:r w:rsidR="00156AEF" w:rsidRPr="00397DC0">
              <w:rPr>
                <w:rStyle w:val="Hyperlink"/>
                <w:noProof/>
                <w:lang w:eastAsia="en-AU"/>
              </w:rPr>
              <w:t>Attachment 2. Extract from the Clinical Evaluation Report</w:t>
            </w:r>
            <w:r w:rsidR="00156AEF">
              <w:rPr>
                <w:noProof/>
                <w:webHidden/>
              </w:rPr>
              <w:tab/>
            </w:r>
            <w:r w:rsidR="00156AEF">
              <w:rPr>
                <w:noProof/>
                <w:webHidden/>
              </w:rPr>
              <w:fldChar w:fldCharType="begin"/>
            </w:r>
            <w:r w:rsidR="00156AEF">
              <w:rPr>
                <w:noProof/>
                <w:webHidden/>
              </w:rPr>
              <w:instrText xml:space="preserve"> PAGEREF _Toc497301641 \h </w:instrText>
            </w:r>
            <w:r w:rsidR="00156AEF">
              <w:rPr>
                <w:noProof/>
                <w:webHidden/>
              </w:rPr>
            </w:r>
            <w:r w:rsidR="00156AEF">
              <w:rPr>
                <w:noProof/>
                <w:webHidden/>
              </w:rPr>
              <w:fldChar w:fldCharType="separate"/>
            </w:r>
            <w:r w:rsidR="00156AEF">
              <w:rPr>
                <w:noProof/>
                <w:webHidden/>
              </w:rPr>
              <w:t>45</w:t>
            </w:r>
            <w:r w:rsidR="00156AEF">
              <w:rPr>
                <w:noProof/>
                <w:webHidden/>
              </w:rPr>
              <w:fldChar w:fldCharType="end"/>
            </w:r>
          </w:hyperlink>
        </w:p>
        <w:p w:rsidR="003A7F6C" w:rsidRPr="00B811C6" w:rsidRDefault="00DB6124" w:rsidP="00B811C6">
          <w:pPr>
            <w:pStyle w:val="TOC2"/>
          </w:pPr>
          <w:r>
            <w:fldChar w:fldCharType="end"/>
          </w:r>
        </w:p>
      </w:sdtContent>
    </w:sdt>
    <w:bookmarkStart w:id="6" w:name="_Toc314842482" w:displacedByCustomXml="prev"/>
    <w:p w:rsidR="00FD119B" w:rsidRDefault="00FD119B">
      <w:pPr>
        <w:spacing w:before="0" w:after="200" w:line="0" w:lineRule="auto"/>
      </w:pPr>
      <w:r>
        <w:br w:type="page"/>
      </w:r>
    </w:p>
    <w:p w:rsidR="00FD119B" w:rsidRPr="00FD119B" w:rsidRDefault="00441C3F" w:rsidP="004F0C4A">
      <w:pPr>
        <w:pStyle w:val="Heading2"/>
      </w:pPr>
      <w:bookmarkStart w:id="7" w:name="_Toc351716269"/>
      <w:bookmarkStart w:id="8" w:name="_Toc351718881"/>
      <w:bookmarkStart w:id="9" w:name="_Toc355338616"/>
      <w:bookmarkStart w:id="10" w:name="_Toc356306144"/>
      <w:bookmarkStart w:id="11" w:name="_Toc497301605"/>
      <w:r>
        <w:lastRenderedPageBreak/>
        <w:t>Common</w:t>
      </w:r>
      <w:r w:rsidR="00FD119B" w:rsidRPr="00FD119B">
        <w:t xml:space="preserve"> abbreviations</w:t>
      </w:r>
      <w:bookmarkEnd w:id="7"/>
      <w:bookmarkEnd w:id="8"/>
      <w:bookmarkEnd w:id="9"/>
      <w:bookmarkEnd w:id="10"/>
      <w:bookmarkEnd w:id="11"/>
    </w:p>
    <w:tbl>
      <w:tblPr>
        <w:tblStyle w:val="TableTGAblue"/>
        <w:tblW w:w="0" w:type="auto"/>
        <w:tblLook w:val="04A0" w:firstRow="1" w:lastRow="0" w:firstColumn="1" w:lastColumn="0" w:noHBand="0" w:noVBand="1"/>
      </w:tblPr>
      <w:tblGrid>
        <w:gridCol w:w="1809"/>
        <w:gridCol w:w="6911"/>
      </w:tblGrid>
      <w:tr w:rsidR="00FD119B" w:rsidRPr="00FD119B" w:rsidTr="00FD119B">
        <w:trPr>
          <w:cnfStyle w:val="100000000000" w:firstRow="1" w:lastRow="0" w:firstColumn="0" w:lastColumn="0" w:oddVBand="0" w:evenVBand="0" w:oddHBand="0" w:evenHBand="0" w:firstRowFirstColumn="0" w:firstRowLastColumn="0" w:lastRowFirstColumn="0" w:lastRowLastColumn="0"/>
        </w:trPr>
        <w:tc>
          <w:tcPr>
            <w:tcW w:w="1809" w:type="dxa"/>
          </w:tcPr>
          <w:p w:rsidR="00FD119B" w:rsidRPr="00FD119B" w:rsidRDefault="00FD119B" w:rsidP="00FD119B">
            <w:pPr>
              <w:keepNext w:val="0"/>
              <w:ind w:left="0" w:right="0"/>
              <w:rPr>
                <w:szCs w:val="22"/>
                <w:lang w:eastAsia="en-US"/>
              </w:rPr>
            </w:pPr>
            <w:r w:rsidRPr="00FD119B">
              <w:rPr>
                <w:szCs w:val="22"/>
                <w:lang w:eastAsia="en-US"/>
              </w:rPr>
              <w:t>Abbreviation</w:t>
            </w:r>
          </w:p>
        </w:tc>
        <w:tc>
          <w:tcPr>
            <w:tcW w:w="6911" w:type="dxa"/>
          </w:tcPr>
          <w:p w:rsidR="00FD119B" w:rsidRPr="00FD119B" w:rsidRDefault="00FD119B" w:rsidP="00FD119B">
            <w:pPr>
              <w:keepNext w:val="0"/>
              <w:ind w:left="0" w:right="0"/>
              <w:rPr>
                <w:szCs w:val="22"/>
                <w:lang w:eastAsia="en-US"/>
              </w:rPr>
            </w:pPr>
            <w:r w:rsidRPr="00FD119B">
              <w:rPr>
                <w:szCs w:val="22"/>
                <w:lang w:eastAsia="en-US"/>
              </w:rPr>
              <w:t>Meaning</w:t>
            </w:r>
          </w:p>
        </w:tc>
      </w:tr>
      <w:tr w:rsidR="00887D17" w:rsidRPr="00FD119B" w:rsidTr="003F3312">
        <w:tc>
          <w:tcPr>
            <w:tcW w:w="1809" w:type="dxa"/>
            <w:vAlign w:val="center"/>
          </w:tcPr>
          <w:p w:rsidR="00887D17" w:rsidRDefault="00887D17">
            <w:pPr>
              <w:rPr>
                <w:color w:val="000000"/>
                <w:szCs w:val="22"/>
              </w:rPr>
            </w:pPr>
            <w:r>
              <w:rPr>
                <w:color w:val="000000"/>
                <w:szCs w:val="22"/>
              </w:rPr>
              <w:t xml:space="preserve">2-DAA </w:t>
            </w:r>
          </w:p>
        </w:tc>
        <w:tc>
          <w:tcPr>
            <w:tcW w:w="6911" w:type="dxa"/>
            <w:vAlign w:val="center"/>
          </w:tcPr>
          <w:p w:rsidR="00887D17" w:rsidRDefault="00887D17">
            <w:pPr>
              <w:rPr>
                <w:color w:val="000000"/>
                <w:szCs w:val="22"/>
              </w:rPr>
            </w:pPr>
            <w:r>
              <w:rPr>
                <w:color w:val="000000"/>
                <w:szCs w:val="22"/>
              </w:rPr>
              <w:t>ABT-450 150 mg plus ritonavir 100 mg plus ABT-267 25 mg</w:t>
            </w:r>
          </w:p>
        </w:tc>
      </w:tr>
      <w:tr w:rsidR="00887D17" w:rsidRPr="00FD119B" w:rsidTr="003F3312">
        <w:tc>
          <w:tcPr>
            <w:tcW w:w="1809" w:type="dxa"/>
            <w:vAlign w:val="center"/>
          </w:tcPr>
          <w:p w:rsidR="00887D17" w:rsidRDefault="00887D17">
            <w:pPr>
              <w:rPr>
                <w:color w:val="000000"/>
                <w:szCs w:val="22"/>
              </w:rPr>
            </w:pPr>
            <w:r>
              <w:rPr>
                <w:color w:val="000000"/>
                <w:szCs w:val="22"/>
              </w:rPr>
              <w:t>ABT-450</w:t>
            </w:r>
          </w:p>
        </w:tc>
        <w:tc>
          <w:tcPr>
            <w:tcW w:w="6911" w:type="dxa"/>
            <w:vAlign w:val="center"/>
          </w:tcPr>
          <w:p w:rsidR="00887D17" w:rsidRDefault="00887D17">
            <w:pPr>
              <w:rPr>
                <w:color w:val="000000"/>
                <w:szCs w:val="22"/>
              </w:rPr>
            </w:pPr>
            <w:proofErr w:type="spellStart"/>
            <w:r>
              <w:rPr>
                <w:color w:val="000000"/>
                <w:szCs w:val="22"/>
              </w:rPr>
              <w:t>paritaprevir</w:t>
            </w:r>
            <w:proofErr w:type="spellEnd"/>
            <w:r>
              <w:rPr>
                <w:color w:val="000000"/>
                <w:szCs w:val="22"/>
              </w:rPr>
              <w:t xml:space="preserve"> </w:t>
            </w:r>
          </w:p>
        </w:tc>
      </w:tr>
      <w:tr w:rsidR="00887D17" w:rsidRPr="00FD119B" w:rsidTr="003F3312">
        <w:tc>
          <w:tcPr>
            <w:tcW w:w="1809" w:type="dxa"/>
            <w:vAlign w:val="center"/>
          </w:tcPr>
          <w:p w:rsidR="00887D17" w:rsidRDefault="00887D17">
            <w:pPr>
              <w:rPr>
                <w:color w:val="000000"/>
                <w:szCs w:val="22"/>
              </w:rPr>
            </w:pPr>
            <w:r>
              <w:rPr>
                <w:color w:val="000000"/>
                <w:szCs w:val="22"/>
              </w:rPr>
              <w:t>ABT-450/r</w:t>
            </w:r>
          </w:p>
        </w:tc>
        <w:tc>
          <w:tcPr>
            <w:tcW w:w="6911" w:type="dxa"/>
            <w:vAlign w:val="center"/>
          </w:tcPr>
          <w:p w:rsidR="00887D17" w:rsidRDefault="00887D17">
            <w:pPr>
              <w:rPr>
                <w:color w:val="000000"/>
                <w:szCs w:val="22"/>
              </w:rPr>
            </w:pPr>
            <w:r>
              <w:rPr>
                <w:color w:val="000000"/>
                <w:szCs w:val="22"/>
              </w:rPr>
              <w:t>ABT-450 co-administered with ritonavir</w:t>
            </w:r>
          </w:p>
        </w:tc>
      </w:tr>
      <w:tr w:rsidR="00887D17" w:rsidRPr="00FD119B" w:rsidTr="003F3312">
        <w:tc>
          <w:tcPr>
            <w:tcW w:w="1809" w:type="dxa"/>
            <w:vAlign w:val="center"/>
          </w:tcPr>
          <w:p w:rsidR="00887D17" w:rsidRDefault="00887D17">
            <w:pPr>
              <w:rPr>
                <w:color w:val="000000"/>
                <w:szCs w:val="22"/>
              </w:rPr>
            </w:pPr>
            <w:r>
              <w:rPr>
                <w:color w:val="000000"/>
                <w:szCs w:val="22"/>
              </w:rPr>
              <w:t>ABT-267</w:t>
            </w:r>
          </w:p>
        </w:tc>
        <w:tc>
          <w:tcPr>
            <w:tcW w:w="6911" w:type="dxa"/>
            <w:vAlign w:val="center"/>
          </w:tcPr>
          <w:p w:rsidR="00887D17" w:rsidRDefault="00887D17">
            <w:pPr>
              <w:rPr>
                <w:color w:val="000000"/>
                <w:szCs w:val="22"/>
              </w:rPr>
            </w:pPr>
            <w:proofErr w:type="spellStart"/>
            <w:r>
              <w:rPr>
                <w:color w:val="000000"/>
                <w:szCs w:val="22"/>
              </w:rPr>
              <w:t>ombitasvir</w:t>
            </w:r>
            <w:proofErr w:type="spellEnd"/>
          </w:p>
        </w:tc>
      </w:tr>
      <w:tr w:rsidR="00F21C8F" w:rsidRPr="00FD119B" w:rsidTr="003F3312">
        <w:tc>
          <w:tcPr>
            <w:tcW w:w="1809" w:type="dxa"/>
            <w:vAlign w:val="center"/>
          </w:tcPr>
          <w:p w:rsidR="00F21C8F" w:rsidRDefault="00F21C8F" w:rsidP="00F21C8F">
            <w:pPr>
              <w:rPr>
                <w:color w:val="000000"/>
                <w:szCs w:val="22"/>
              </w:rPr>
            </w:pPr>
            <w:r>
              <w:rPr>
                <w:color w:val="000000"/>
                <w:szCs w:val="22"/>
              </w:rPr>
              <w:t>ACPM</w:t>
            </w:r>
          </w:p>
        </w:tc>
        <w:tc>
          <w:tcPr>
            <w:tcW w:w="6911" w:type="dxa"/>
            <w:vAlign w:val="center"/>
          </w:tcPr>
          <w:p w:rsidR="00F21C8F" w:rsidRDefault="00F21C8F" w:rsidP="003F3312">
            <w:pPr>
              <w:rPr>
                <w:color w:val="000000"/>
                <w:szCs w:val="22"/>
              </w:rPr>
            </w:pPr>
            <w:r>
              <w:rPr>
                <w:color w:val="000000"/>
                <w:szCs w:val="22"/>
              </w:rPr>
              <w:t>Advisory Committee on Prescription Medicines</w:t>
            </w:r>
          </w:p>
        </w:tc>
      </w:tr>
      <w:tr w:rsidR="00887D17" w:rsidRPr="00FD119B" w:rsidTr="003F3312">
        <w:tc>
          <w:tcPr>
            <w:tcW w:w="1809" w:type="dxa"/>
            <w:vAlign w:val="center"/>
          </w:tcPr>
          <w:p w:rsidR="00887D17" w:rsidRDefault="00887D17">
            <w:pPr>
              <w:rPr>
                <w:color w:val="000000"/>
                <w:szCs w:val="22"/>
              </w:rPr>
            </w:pPr>
            <w:r>
              <w:rPr>
                <w:color w:val="000000"/>
                <w:szCs w:val="22"/>
              </w:rPr>
              <w:t>ADME</w:t>
            </w:r>
          </w:p>
        </w:tc>
        <w:tc>
          <w:tcPr>
            <w:tcW w:w="6911" w:type="dxa"/>
            <w:vAlign w:val="center"/>
          </w:tcPr>
          <w:p w:rsidR="00887D17" w:rsidRDefault="00887D17">
            <w:pPr>
              <w:rPr>
                <w:color w:val="000000"/>
                <w:szCs w:val="22"/>
              </w:rPr>
            </w:pPr>
            <w:r>
              <w:rPr>
                <w:color w:val="000000"/>
                <w:szCs w:val="22"/>
              </w:rPr>
              <w:t>absorption/distribution/metabolism/excretion</w:t>
            </w:r>
          </w:p>
        </w:tc>
      </w:tr>
      <w:tr w:rsidR="00887D17" w:rsidRPr="00FD119B" w:rsidTr="003F3312">
        <w:tc>
          <w:tcPr>
            <w:tcW w:w="1809" w:type="dxa"/>
            <w:vAlign w:val="center"/>
          </w:tcPr>
          <w:p w:rsidR="00887D17" w:rsidRDefault="00887D17">
            <w:pPr>
              <w:rPr>
                <w:color w:val="000000"/>
                <w:szCs w:val="22"/>
              </w:rPr>
            </w:pPr>
            <w:r>
              <w:rPr>
                <w:color w:val="000000"/>
                <w:szCs w:val="22"/>
              </w:rPr>
              <w:t>AE</w:t>
            </w:r>
          </w:p>
        </w:tc>
        <w:tc>
          <w:tcPr>
            <w:tcW w:w="6911" w:type="dxa"/>
            <w:vAlign w:val="center"/>
          </w:tcPr>
          <w:p w:rsidR="00887D17" w:rsidRDefault="00887D17">
            <w:pPr>
              <w:rPr>
                <w:color w:val="000000"/>
                <w:szCs w:val="22"/>
              </w:rPr>
            </w:pPr>
            <w:r>
              <w:rPr>
                <w:color w:val="000000"/>
                <w:szCs w:val="22"/>
              </w:rPr>
              <w:t>adverse event</w:t>
            </w:r>
          </w:p>
        </w:tc>
      </w:tr>
      <w:tr w:rsidR="00887D17" w:rsidRPr="00FD119B" w:rsidTr="003F3312">
        <w:tc>
          <w:tcPr>
            <w:tcW w:w="1809" w:type="dxa"/>
            <w:vAlign w:val="center"/>
          </w:tcPr>
          <w:p w:rsidR="00887D17" w:rsidRDefault="00887D17">
            <w:pPr>
              <w:rPr>
                <w:color w:val="000000"/>
                <w:szCs w:val="22"/>
              </w:rPr>
            </w:pPr>
            <w:r>
              <w:rPr>
                <w:color w:val="000000"/>
                <w:szCs w:val="22"/>
              </w:rPr>
              <w:t>AFP</w:t>
            </w:r>
          </w:p>
        </w:tc>
        <w:tc>
          <w:tcPr>
            <w:tcW w:w="6911" w:type="dxa"/>
            <w:vAlign w:val="center"/>
          </w:tcPr>
          <w:p w:rsidR="00887D17" w:rsidRDefault="00887D17">
            <w:pPr>
              <w:rPr>
                <w:color w:val="000000"/>
                <w:szCs w:val="22"/>
              </w:rPr>
            </w:pPr>
            <w:r>
              <w:rPr>
                <w:color w:val="000000"/>
                <w:szCs w:val="22"/>
              </w:rPr>
              <w:t xml:space="preserve">alpha </w:t>
            </w:r>
            <w:proofErr w:type="spellStart"/>
            <w:r>
              <w:rPr>
                <w:color w:val="000000"/>
                <w:szCs w:val="22"/>
              </w:rPr>
              <w:t>foetoprotein</w:t>
            </w:r>
            <w:proofErr w:type="spellEnd"/>
          </w:p>
        </w:tc>
      </w:tr>
      <w:tr w:rsidR="00887D17" w:rsidRPr="00FD119B" w:rsidTr="003F3312">
        <w:tc>
          <w:tcPr>
            <w:tcW w:w="1809" w:type="dxa"/>
            <w:vAlign w:val="center"/>
          </w:tcPr>
          <w:p w:rsidR="00887D17" w:rsidRDefault="00887D17">
            <w:pPr>
              <w:rPr>
                <w:color w:val="000000"/>
                <w:szCs w:val="22"/>
              </w:rPr>
            </w:pPr>
            <w:r>
              <w:rPr>
                <w:color w:val="000000"/>
                <w:szCs w:val="22"/>
              </w:rPr>
              <w:t>ALT</w:t>
            </w:r>
          </w:p>
        </w:tc>
        <w:tc>
          <w:tcPr>
            <w:tcW w:w="6911" w:type="dxa"/>
            <w:vAlign w:val="center"/>
          </w:tcPr>
          <w:p w:rsidR="00887D17" w:rsidRDefault="00887D17">
            <w:pPr>
              <w:rPr>
                <w:color w:val="000000"/>
                <w:szCs w:val="22"/>
              </w:rPr>
            </w:pPr>
            <w:r>
              <w:rPr>
                <w:color w:val="000000"/>
                <w:szCs w:val="22"/>
              </w:rPr>
              <w:t>alanine aminotransferase</w:t>
            </w:r>
          </w:p>
        </w:tc>
      </w:tr>
      <w:tr w:rsidR="00887D17" w:rsidRPr="00FD119B" w:rsidTr="003F3312">
        <w:tc>
          <w:tcPr>
            <w:tcW w:w="1809" w:type="dxa"/>
            <w:vAlign w:val="center"/>
          </w:tcPr>
          <w:p w:rsidR="00887D17" w:rsidRDefault="00887D17">
            <w:pPr>
              <w:rPr>
                <w:color w:val="000000"/>
                <w:szCs w:val="22"/>
              </w:rPr>
            </w:pPr>
            <w:r>
              <w:rPr>
                <w:color w:val="000000"/>
                <w:szCs w:val="22"/>
              </w:rPr>
              <w:t>ANC</w:t>
            </w:r>
          </w:p>
        </w:tc>
        <w:tc>
          <w:tcPr>
            <w:tcW w:w="6911" w:type="dxa"/>
            <w:vAlign w:val="center"/>
          </w:tcPr>
          <w:p w:rsidR="00887D17" w:rsidRDefault="00887D17">
            <w:pPr>
              <w:rPr>
                <w:color w:val="000000"/>
                <w:szCs w:val="22"/>
              </w:rPr>
            </w:pPr>
            <w:r>
              <w:rPr>
                <w:color w:val="000000"/>
                <w:szCs w:val="22"/>
              </w:rPr>
              <w:t>absolute neutrophil count</w:t>
            </w:r>
          </w:p>
        </w:tc>
      </w:tr>
      <w:tr w:rsidR="00887D17" w:rsidRPr="00FD119B" w:rsidTr="003F3312">
        <w:tc>
          <w:tcPr>
            <w:tcW w:w="1809" w:type="dxa"/>
            <w:vAlign w:val="center"/>
          </w:tcPr>
          <w:p w:rsidR="00887D17" w:rsidRDefault="00887D17">
            <w:pPr>
              <w:rPr>
                <w:color w:val="000000"/>
                <w:szCs w:val="22"/>
              </w:rPr>
            </w:pPr>
            <w:r>
              <w:rPr>
                <w:color w:val="000000"/>
                <w:szCs w:val="22"/>
              </w:rPr>
              <w:t>ANOVA</w:t>
            </w:r>
          </w:p>
        </w:tc>
        <w:tc>
          <w:tcPr>
            <w:tcW w:w="6911" w:type="dxa"/>
            <w:vAlign w:val="center"/>
          </w:tcPr>
          <w:p w:rsidR="00887D17" w:rsidRDefault="00887D17">
            <w:pPr>
              <w:rPr>
                <w:color w:val="000000"/>
                <w:szCs w:val="22"/>
              </w:rPr>
            </w:pPr>
            <w:r>
              <w:rPr>
                <w:color w:val="000000"/>
                <w:szCs w:val="22"/>
              </w:rPr>
              <w:t>analysis of variance</w:t>
            </w:r>
          </w:p>
        </w:tc>
      </w:tr>
      <w:tr w:rsidR="00160801" w:rsidRPr="00FD119B" w:rsidTr="003F3312">
        <w:tc>
          <w:tcPr>
            <w:tcW w:w="1809" w:type="dxa"/>
            <w:vAlign w:val="center"/>
          </w:tcPr>
          <w:p w:rsidR="00160801" w:rsidRDefault="00160801">
            <w:pPr>
              <w:rPr>
                <w:color w:val="000000"/>
                <w:szCs w:val="22"/>
              </w:rPr>
            </w:pPr>
            <w:r>
              <w:rPr>
                <w:color w:val="000000"/>
                <w:szCs w:val="22"/>
              </w:rPr>
              <w:t>AST</w:t>
            </w:r>
          </w:p>
        </w:tc>
        <w:tc>
          <w:tcPr>
            <w:tcW w:w="6911" w:type="dxa"/>
            <w:vAlign w:val="center"/>
          </w:tcPr>
          <w:p w:rsidR="00160801" w:rsidRDefault="00160801">
            <w:pPr>
              <w:rPr>
                <w:color w:val="000000"/>
                <w:szCs w:val="22"/>
              </w:rPr>
            </w:pPr>
            <w:r>
              <w:rPr>
                <w:color w:val="000000"/>
                <w:szCs w:val="22"/>
              </w:rPr>
              <w:t>aspartate aminotransferase</w:t>
            </w:r>
          </w:p>
        </w:tc>
      </w:tr>
      <w:tr w:rsidR="00160801" w:rsidRPr="00FD119B" w:rsidTr="003F3312">
        <w:tc>
          <w:tcPr>
            <w:tcW w:w="1809" w:type="dxa"/>
            <w:vAlign w:val="center"/>
          </w:tcPr>
          <w:p w:rsidR="00160801" w:rsidRDefault="00160801">
            <w:pPr>
              <w:rPr>
                <w:color w:val="000000"/>
                <w:szCs w:val="22"/>
              </w:rPr>
            </w:pPr>
            <w:r>
              <w:rPr>
                <w:color w:val="000000"/>
                <w:szCs w:val="22"/>
              </w:rPr>
              <w:t>AUC</w:t>
            </w:r>
          </w:p>
        </w:tc>
        <w:tc>
          <w:tcPr>
            <w:tcW w:w="6911" w:type="dxa"/>
            <w:vAlign w:val="center"/>
          </w:tcPr>
          <w:p w:rsidR="00160801" w:rsidRDefault="00160801">
            <w:pPr>
              <w:rPr>
                <w:color w:val="000000"/>
                <w:szCs w:val="22"/>
              </w:rPr>
            </w:pPr>
            <w:r>
              <w:rPr>
                <w:color w:val="000000"/>
                <w:szCs w:val="22"/>
              </w:rPr>
              <w:t>area under the curve</w:t>
            </w:r>
          </w:p>
        </w:tc>
      </w:tr>
      <w:tr w:rsidR="00160801" w:rsidRPr="00FD119B" w:rsidTr="003F3312">
        <w:tc>
          <w:tcPr>
            <w:tcW w:w="1809" w:type="dxa"/>
            <w:vAlign w:val="center"/>
          </w:tcPr>
          <w:p w:rsidR="00160801" w:rsidRDefault="00160801">
            <w:pPr>
              <w:rPr>
                <w:color w:val="000000"/>
                <w:szCs w:val="22"/>
              </w:rPr>
            </w:pPr>
            <w:r>
              <w:rPr>
                <w:color w:val="000000"/>
                <w:szCs w:val="22"/>
              </w:rPr>
              <w:t>BID</w:t>
            </w:r>
          </w:p>
        </w:tc>
        <w:tc>
          <w:tcPr>
            <w:tcW w:w="6911" w:type="dxa"/>
            <w:vAlign w:val="center"/>
          </w:tcPr>
          <w:p w:rsidR="00160801" w:rsidRDefault="00160801">
            <w:pPr>
              <w:rPr>
                <w:color w:val="000000"/>
                <w:szCs w:val="22"/>
              </w:rPr>
            </w:pPr>
            <w:r>
              <w:rPr>
                <w:color w:val="000000"/>
                <w:szCs w:val="22"/>
              </w:rPr>
              <w:t>twice daily</w:t>
            </w:r>
          </w:p>
        </w:tc>
      </w:tr>
      <w:tr w:rsidR="00160801" w:rsidRPr="00FD119B" w:rsidTr="003F3312">
        <w:tc>
          <w:tcPr>
            <w:tcW w:w="1809" w:type="dxa"/>
            <w:vAlign w:val="center"/>
          </w:tcPr>
          <w:p w:rsidR="00160801" w:rsidRDefault="00160801">
            <w:pPr>
              <w:rPr>
                <w:color w:val="000000"/>
                <w:szCs w:val="22"/>
              </w:rPr>
            </w:pPr>
            <w:r>
              <w:rPr>
                <w:color w:val="000000"/>
                <w:szCs w:val="22"/>
              </w:rPr>
              <w:t>BMI</w:t>
            </w:r>
          </w:p>
        </w:tc>
        <w:tc>
          <w:tcPr>
            <w:tcW w:w="6911" w:type="dxa"/>
            <w:vAlign w:val="center"/>
          </w:tcPr>
          <w:p w:rsidR="00160801" w:rsidRDefault="00160801">
            <w:pPr>
              <w:rPr>
                <w:color w:val="000000"/>
                <w:szCs w:val="22"/>
              </w:rPr>
            </w:pPr>
            <w:r>
              <w:rPr>
                <w:color w:val="000000"/>
                <w:szCs w:val="22"/>
              </w:rPr>
              <w:t>body mass index</w:t>
            </w:r>
          </w:p>
        </w:tc>
      </w:tr>
      <w:tr w:rsidR="00160801" w:rsidRPr="00FD119B" w:rsidTr="003F3312">
        <w:tc>
          <w:tcPr>
            <w:tcW w:w="1809" w:type="dxa"/>
            <w:vAlign w:val="center"/>
          </w:tcPr>
          <w:p w:rsidR="00160801" w:rsidRDefault="00160801">
            <w:pPr>
              <w:rPr>
                <w:color w:val="000000"/>
                <w:szCs w:val="22"/>
              </w:rPr>
            </w:pPr>
            <w:r>
              <w:rPr>
                <w:color w:val="000000"/>
                <w:szCs w:val="22"/>
              </w:rPr>
              <w:t>CTCAE</w:t>
            </w:r>
          </w:p>
        </w:tc>
        <w:tc>
          <w:tcPr>
            <w:tcW w:w="6911" w:type="dxa"/>
            <w:vAlign w:val="center"/>
          </w:tcPr>
          <w:p w:rsidR="00160801" w:rsidRDefault="00160801">
            <w:pPr>
              <w:rPr>
                <w:color w:val="000000"/>
                <w:szCs w:val="22"/>
              </w:rPr>
            </w:pPr>
            <w:r>
              <w:rPr>
                <w:color w:val="000000"/>
                <w:szCs w:val="22"/>
              </w:rPr>
              <w:t>Common Terminology Criteria for Adverse Events</w:t>
            </w:r>
          </w:p>
        </w:tc>
      </w:tr>
      <w:tr w:rsidR="00160801" w:rsidRPr="00FD119B" w:rsidTr="003F3312">
        <w:tc>
          <w:tcPr>
            <w:tcW w:w="1809" w:type="dxa"/>
            <w:vAlign w:val="center"/>
          </w:tcPr>
          <w:p w:rsidR="00160801" w:rsidRDefault="00160801">
            <w:pPr>
              <w:rPr>
                <w:color w:val="000000"/>
                <w:szCs w:val="22"/>
              </w:rPr>
            </w:pPr>
            <w:r>
              <w:rPr>
                <w:color w:val="000000"/>
                <w:szCs w:val="22"/>
              </w:rPr>
              <w:t>CYP</w:t>
            </w:r>
          </w:p>
        </w:tc>
        <w:tc>
          <w:tcPr>
            <w:tcW w:w="6911" w:type="dxa"/>
            <w:vAlign w:val="center"/>
          </w:tcPr>
          <w:p w:rsidR="00160801" w:rsidRDefault="00160801">
            <w:pPr>
              <w:rPr>
                <w:color w:val="000000"/>
                <w:szCs w:val="22"/>
              </w:rPr>
            </w:pPr>
            <w:r>
              <w:rPr>
                <w:color w:val="000000"/>
                <w:szCs w:val="22"/>
              </w:rPr>
              <w:t>cytochrome P450</w:t>
            </w:r>
          </w:p>
        </w:tc>
      </w:tr>
      <w:tr w:rsidR="00160801" w:rsidRPr="00FD119B" w:rsidTr="003F3312">
        <w:tc>
          <w:tcPr>
            <w:tcW w:w="1809" w:type="dxa"/>
            <w:vAlign w:val="center"/>
          </w:tcPr>
          <w:p w:rsidR="00160801" w:rsidRDefault="00160801">
            <w:pPr>
              <w:rPr>
                <w:color w:val="000000"/>
                <w:szCs w:val="22"/>
              </w:rPr>
            </w:pPr>
            <w:r>
              <w:rPr>
                <w:color w:val="000000"/>
                <w:szCs w:val="22"/>
              </w:rPr>
              <w:t>DAA</w:t>
            </w:r>
          </w:p>
        </w:tc>
        <w:tc>
          <w:tcPr>
            <w:tcW w:w="6911" w:type="dxa"/>
            <w:vAlign w:val="center"/>
          </w:tcPr>
          <w:p w:rsidR="00160801" w:rsidRDefault="00160801">
            <w:pPr>
              <w:rPr>
                <w:color w:val="000000"/>
                <w:szCs w:val="22"/>
              </w:rPr>
            </w:pPr>
            <w:r>
              <w:rPr>
                <w:color w:val="000000"/>
                <w:szCs w:val="22"/>
              </w:rPr>
              <w:t>direct-acting antiviral agent</w:t>
            </w:r>
          </w:p>
        </w:tc>
      </w:tr>
      <w:tr w:rsidR="004B6197" w:rsidRPr="00FD119B" w:rsidTr="00C9764D">
        <w:tc>
          <w:tcPr>
            <w:tcW w:w="1809" w:type="dxa"/>
            <w:vAlign w:val="center"/>
          </w:tcPr>
          <w:p w:rsidR="004B6197" w:rsidRDefault="004B6197" w:rsidP="004B6197">
            <w:pPr>
              <w:rPr>
                <w:color w:val="000000"/>
                <w:szCs w:val="22"/>
              </w:rPr>
            </w:pPr>
            <w:r>
              <w:rPr>
                <w:color w:val="000000"/>
                <w:szCs w:val="22"/>
              </w:rPr>
              <w:t>DDI</w:t>
            </w:r>
          </w:p>
        </w:tc>
        <w:tc>
          <w:tcPr>
            <w:tcW w:w="6911" w:type="dxa"/>
            <w:vAlign w:val="center"/>
          </w:tcPr>
          <w:p w:rsidR="004B6197" w:rsidRDefault="004B6197" w:rsidP="00C9764D">
            <w:pPr>
              <w:rPr>
                <w:color w:val="000000"/>
                <w:szCs w:val="22"/>
              </w:rPr>
            </w:pPr>
            <w:r>
              <w:rPr>
                <w:color w:val="000000"/>
                <w:szCs w:val="22"/>
              </w:rPr>
              <w:t>drug-drug interaction</w:t>
            </w:r>
          </w:p>
        </w:tc>
      </w:tr>
      <w:tr w:rsidR="00160801" w:rsidRPr="00FD119B" w:rsidTr="003F3312">
        <w:tc>
          <w:tcPr>
            <w:tcW w:w="1809" w:type="dxa"/>
            <w:vAlign w:val="center"/>
          </w:tcPr>
          <w:p w:rsidR="00160801" w:rsidRDefault="00160801">
            <w:pPr>
              <w:rPr>
                <w:color w:val="000000"/>
                <w:szCs w:val="22"/>
              </w:rPr>
            </w:pPr>
            <w:r>
              <w:rPr>
                <w:color w:val="000000"/>
                <w:szCs w:val="22"/>
              </w:rPr>
              <w:t>ECG</w:t>
            </w:r>
          </w:p>
        </w:tc>
        <w:tc>
          <w:tcPr>
            <w:tcW w:w="6911" w:type="dxa"/>
            <w:vAlign w:val="center"/>
          </w:tcPr>
          <w:p w:rsidR="00160801" w:rsidRDefault="001F0068">
            <w:pPr>
              <w:rPr>
                <w:color w:val="000000"/>
                <w:szCs w:val="22"/>
              </w:rPr>
            </w:pPr>
            <w:r>
              <w:rPr>
                <w:color w:val="000000"/>
                <w:szCs w:val="22"/>
              </w:rPr>
              <w:t>electroc</w:t>
            </w:r>
            <w:r w:rsidR="00160801">
              <w:rPr>
                <w:color w:val="000000"/>
                <w:szCs w:val="22"/>
              </w:rPr>
              <w:t>ardiogram</w:t>
            </w:r>
          </w:p>
        </w:tc>
      </w:tr>
      <w:tr w:rsidR="00160801" w:rsidRPr="00FD119B" w:rsidTr="003F3312">
        <w:tc>
          <w:tcPr>
            <w:tcW w:w="1809" w:type="dxa"/>
            <w:vAlign w:val="center"/>
          </w:tcPr>
          <w:p w:rsidR="00160801" w:rsidRDefault="00160801">
            <w:pPr>
              <w:rPr>
                <w:color w:val="000000"/>
                <w:szCs w:val="22"/>
              </w:rPr>
            </w:pPr>
            <w:r>
              <w:rPr>
                <w:color w:val="000000"/>
                <w:szCs w:val="22"/>
              </w:rPr>
              <w:t>EOTR</w:t>
            </w:r>
          </w:p>
        </w:tc>
        <w:tc>
          <w:tcPr>
            <w:tcW w:w="6911" w:type="dxa"/>
            <w:vAlign w:val="center"/>
          </w:tcPr>
          <w:p w:rsidR="00160801" w:rsidRDefault="00160801">
            <w:pPr>
              <w:rPr>
                <w:color w:val="000000"/>
                <w:szCs w:val="22"/>
              </w:rPr>
            </w:pPr>
            <w:r>
              <w:rPr>
                <w:color w:val="000000"/>
                <w:szCs w:val="22"/>
              </w:rPr>
              <w:t>end-of-treatment response</w:t>
            </w:r>
          </w:p>
        </w:tc>
      </w:tr>
      <w:tr w:rsidR="00160801" w:rsidRPr="00FD119B" w:rsidTr="003F3312">
        <w:tc>
          <w:tcPr>
            <w:tcW w:w="1809" w:type="dxa"/>
            <w:vAlign w:val="center"/>
          </w:tcPr>
          <w:p w:rsidR="00160801" w:rsidRDefault="00160801">
            <w:pPr>
              <w:rPr>
                <w:color w:val="000000"/>
                <w:szCs w:val="22"/>
              </w:rPr>
            </w:pPr>
            <w:r>
              <w:rPr>
                <w:color w:val="000000"/>
                <w:szCs w:val="22"/>
              </w:rPr>
              <w:t>FDC</w:t>
            </w:r>
          </w:p>
        </w:tc>
        <w:tc>
          <w:tcPr>
            <w:tcW w:w="6911" w:type="dxa"/>
            <w:vAlign w:val="center"/>
          </w:tcPr>
          <w:p w:rsidR="00160801" w:rsidRDefault="00160801">
            <w:pPr>
              <w:rPr>
                <w:color w:val="000000"/>
                <w:szCs w:val="22"/>
              </w:rPr>
            </w:pPr>
            <w:r>
              <w:rPr>
                <w:color w:val="000000"/>
                <w:szCs w:val="22"/>
              </w:rPr>
              <w:t>fixed dose combination</w:t>
            </w:r>
          </w:p>
        </w:tc>
      </w:tr>
      <w:tr w:rsidR="00160801" w:rsidRPr="00FD119B" w:rsidTr="003F3312">
        <w:tc>
          <w:tcPr>
            <w:tcW w:w="1809" w:type="dxa"/>
            <w:vAlign w:val="center"/>
          </w:tcPr>
          <w:p w:rsidR="00160801" w:rsidRDefault="00160801">
            <w:pPr>
              <w:rPr>
                <w:color w:val="000000"/>
                <w:szCs w:val="22"/>
              </w:rPr>
            </w:pPr>
            <w:r>
              <w:rPr>
                <w:color w:val="000000"/>
                <w:szCs w:val="22"/>
              </w:rPr>
              <w:t>GCP</w:t>
            </w:r>
          </w:p>
        </w:tc>
        <w:tc>
          <w:tcPr>
            <w:tcW w:w="6911" w:type="dxa"/>
            <w:vAlign w:val="center"/>
          </w:tcPr>
          <w:p w:rsidR="00160801" w:rsidRDefault="00160801">
            <w:pPr>
              <w:rPr>
                <w:color w:val="000000"/>
                <w:szCs w:val="22"/>
              </w:rPr>
            </w:pPr>
            <w:r>
              <w:rPr>
                <w:color w:val="000000"/>
                <w:szCs w:val="22"/>
              </w:rPr>
              <w:t>Good Clinical Practice</w:t>
            </w:r>
          </w:p>
        </w:tc>
      </w:tr>
      <w:tr w:rsidR="00160801" w:rsidRPr="00FD119B" w:rsidTr="003F3312">
        <w:tc>
          <w:tcPr>
            <w:tcW w:w="1809" w:type="dxa"/>
            <w:vAlign w:val="center"/>
          </w:tcPr>
          <w:p w:rsidR="00160801" w:rsidRDefault="00160801">
            <w:pPr>
              <w:rPr>
                <w:color w:val="000000"/>
                <w:szCs w:val="22"/>
              </w:rPr>
            </w:pPr>
            <w:r>
              <w:rPr>
                <w:color w:val="000000"/>
                <w:szCs w:val="22"/>
              </w:rPr>
              <w:t>GT1a</w:t>
            </w:r>
          </w:p>
        </w:tc>
        <w:tc>
          <w:tcPr>
            <w:tcW w:w="6911" w:type="dxa"/>
            <w:vAlign w:val="center"/>
          </w:tcPr>
          <w:p w:rsidR="00160801" w:rsidRDefault="00160801">
            <w:pPr>
              <w:rPr>
                <w:color w:val="000000"/>
                <w:szCs w:val="22"/>
              </w:rPr>
            </w:pPr>
            <w:r>
              <w:rPr>
                <w:color w:val="000000"/>
                <w:szCs w:val="22"/>
              </w:rPr>
              <w:t>genotype 1a</w:t>
            </w:r>
          </w:p>
        </w:tc>
      </w:tr>
      <w:tr w:rsidR="00160801" w:rsidRPr="00FD119B" w:rsidTr="003F3312">
        <w:tc>
          <w:tcPr>
            <w:tcW w:w="1809" w:type="dxa"/>
            <w:vAlign w:val="center"/>
          </w:tcPr>
          <w:p w:rsidR="00160801" w:rsidRDefault="00160801">
            <w:pPr>
              <w:rPr>
                <w:color w:val="000000"/>
                <w:szCs w:val="22"/>
              </w:rPr>
            </w:pPr>
            <w:r>
              <w:rPr>
                <w:color w:val="000000"/>
                <w:szCs w:val="22"/>
              </w:rPr>
              <w:t>GT1b</w:t>
            </w:r>
          </w:p>
        </w:tc>
        <w:tc>
          <w:tcPr>
            <w:tcW w:w="6911" w:type="dxa"/>
            <w:vAlign w:val="center"/>
          </w:tcPr>
          <w:p w:rsidR="00160801" w:rsidRDefault="00160801">
            <w:pPr>
              <w:rPr>
                <w:color w:val="000000"/>
                <w:szCs w:val="22"/>
              </w:rPr>
            </w:pPr>
            <w:r>
              <w:rPr>
                <w:color w:val="000000"/>
                <w:szCs w:val="22"/>
              </w:rPr>
              <w:t>genotype 1b</w:t>
            </w:r>
          </w:p>
        </w:tc>
      </w:tr>
      <w:tr w:rsidR="00160801" w:rsidRPr="00FD119B" w:rsidTr="003F3312">
        <w:tc>
          <w:tcPr>
            <w:tcW w:w="1809" w:type="dxa"/>
            <w:vAlign w:val="center"/>
          </w:tcPr>
          <w:p w:rsidR="00160801" w:rsidRDefault="00160801">
            <w:pPr>
              <w:rPr>
                <w:color w:val="000000"/>
                <w:szCs w:val="22"/>
              </w:rPr>
            </w:pPr>
            <w:r>
              <w:rPr>
                <w:color w:val="000000"/>
                <w:szCs w:val="22"/>
              </w:rPr>
              <w:lastRenderedPageBreak/>
              <w:t>GT4</w:t>
            </w:r>
          </w:p>
        </w:tc>
        <w:tc>
          <w:tcPr>
            <w:tcW w:w="6911" w:type="dxa"/>
            <w:vAlign w:val="center"/>
          </w:tcPr>
          <w:p w:rsidR="00160801" w:rsidRDefault="00160801">
            <w:pPr>
              <w:rPr>
                <w:color w:val="000000"/>
                <w:szCs w:val="22"/>
              </w:rPr>
            </w:pPr>
            <w:r>
              <w:rPr>
                <w:color w:val="000000"/>
                <w:szCs w:val="22"/>
              </w:rPr>
              <w:t>genotype 4</w:t>
            </w:r>
          </w:p>
        </w:tc>
      </w:tr>
      <w:tr w:rsidR="00160801" w:rsidRPr="00FD119B" w:rsidTr="003F3312">
        <w:tc>
          <w:tcPr>
            <w:tcW w:w="1809" w:type="dxa"/>
            <w:vAlign w:val="center"/>
          </w:tcPr>
          <w:p w:rsidR="00160801" w:rsidRDefault="00160801">
            <w:pPr>
              <w:rPr>
                <w:color w:val="000000"/>
                <w:szCs w:val="22"/>
              </w:rPr>
            </w:pPr>
            <w:proofErr w:type="spellStart"/>
            <w:r>
              <w:rPr>
                <w:color w:val="000000"/>
                <w:szCs w:val="22"/>
              </w:rPr>
              <w:t>HBsAg</w:t>
            </w:r>
            <w:proofErr w:type="spellEnd"/>
          </w:p>
        </w:tc>
        <w:tc>
          <w:tcPr>
            <w:tcW w:w="6911" w:type="dxa"/>
            <w:vAlign w:val="center"/>
          </w:tcPr>
          <w:p w:rsidR="00160801" w:rsidRDefault="00160801">
            <w:pPr>
              <w:rPr>
                <w:color w:val="000000"/>
                <w:szCs w:val="22"/>
              </w:rPr>
            </w:pPr>
            <w:r>
              <w:rPr>
                <w:color w:val="000000"/>
                <w:szCs w:val="22"/>
              </w:rPr>
              <w:t>hepatitis B surface antigen</w:t>
            </w:r>
          </w:p>
        </w:tc>
      </w:tr>
      <w:tr w:rsidR="00160801" w:rsidRPr="00FD119B" w:rsidTr="003F3312">
        <w:tc>
          <w:tcPr>
            <w:tcW w:w="1809" w:type="dxa"/>
            <w:vAlign w:val="center"/>
          </w:tcPr>
          <w:p w:rsidR="00160801" w:rsidRDefault="00160801">
            <w:pPr>
              <w:rPr>
                <w:color w:val="000000"/>
                <w:szCs w:val="22"/>
              </w:rPr>
            </w:pPr>
            <w:r>
              <w:rPr>
                <w:color w:val="000000"/>
                <w:szCs w:val="22"/>
              </w:rPr>
              <w:t>HBV</w:t>
            </w:r>
          </w:p>
        </w:tc>
        <w:tc>
          <w:tcPr>
            <w:tcW w:w="6911" w:type="dxa"/>
            <w:vAlign w:val="center"/>
          </w:tcPr>
          <w:p w:rsidR="00160801" w:rsidRDefault="00160801">
            <w:pPr>
              <w:rPr>
                <w:color w:val="000000"/>
                <w:szCs w:val="22"/>
              </w:rPr>
            </w:pPr>
            <w:r>
              <w:rPr>
                <w:color w:val="000000"/>
                <w:szCs w:val="22"/>
              </w:rPr>
              <w:t>hepatitis B virus</w:t>
            </w:r>
          </w:p>
        </w:tc>
      </w:tr>
      <w:tr w:rsidR="00160801" w:rsidRPr="00FD119B" w:rsidTr="003F3312">
        <w:tc>
          <w:tcPr>
            <w:tcW w:w="1809" w:type="dxa"/>
            <w:vAlign w:val="center"/>
          </w:tcPr>
          <w:p w:rsidR="00160801" w:rsidRDefault="00160801">
            <w:pPr>
              <w:rPr>
                <w:color w:val="000000"/>
                <w:szCs w:val="22"/>
              </w:rPr>
            </w:pPr>
            <w:r>
              <w:rPr>
                <w:color w:val="000000"/>
                <w:szCs w:val="22"/>
              </w:rPr>
              <w:t>HCC</w:t>
            </w:r>
          </w:p>
        </w:tc>
        <w:tc>
          <w:tcPr>
            <w:tcW w:w="6911" w:type="dxa"/>
            <w:vAlign w:val="center"/>
          </w:tcPr>
          <w:p w:rsidR="00160801" w:rsidRDefault="00160801">
            <w:pPr>
              <w:rPr>
                <w:color w:val="000000"/>
                <w:szCs w:val="22"/>
              </w:rPr>
            </w:pPr>
            <w:r>
              <w:rPr>
                <w:color w:val="000000"/>
                <w:szCs w:val="22"/>
              </w:rPr>
              <w:t>hepatocellular carcinoma</w:t>
            </w:r>
          </w:p>
        </w:tc>
      </w:tr>
      <w:tr w:rsidR="00160801" w:rsidRPr="00FD119B" w:rsidTr="003F3312">
        <w:tc>
          <w:tcPr>
            <w:tcW w:w="1809" w:type="dxa"/>
            <w:vAlign w:val="center"/>
          </w:tcPr>
          <w:p w:rsidR="00160801" w:rsidRDefault="00160801">
            <w:pPr>
              <w:rPr>
                <w:color w:val="000000"/>
                <w:szCs w:val="22"/>
              </w:rPr>
            </w:pPr>
            <w:r>
              <w:rPr>
                <w:color w:val="000000"/>
                <w:szCs w:val="22"/>
              </w:rPr>
              <w:t>HCV</w:t>
            </w:r>
          </w:p>
        </w:tc>
        <w:tc>
          <w:tcPr>
            <w:tcW w:w="6911" w:type="dxa"/>
            <w:vAlign w:val="center"/>
          </w:tcPr>
          <w:p w:rsidR="00160801" w:rsidRDefault="00160801">
            <w:pPr>
              <w:rPr>
                <w:color w:val="000000"/>
                <w:szCs w:val="22"/>
              </w:rPr>
            </w:pPr>
            <w:r>
              <w:rPr>
                <w:color w:val="000000"/>
                <w:szCs w:val="22"/>
              </w:rPr>
              <w:t>hepatitis C virus</w:t>
            </w:r>
          </w:p>
        </w:tc>
      </w:tr>
      <w:tr w:rsidR="00160801" w:rsidRPr="00FD119B" w:rsidTr="003F3312">
        <w:tc>
          <w:tcPr>
            <w:tcW w:w="1809" w:type="dxa"/>
            <w:vAlign w:val="center"/>
          </w:tcPr>
          <w:p w:rsidR="00160801" w:rsidRDefault="00160801">
            <w:pPr>
              <w:rPr>
                <w:color w:val="000000"/>
                <w:szCs w:val="22"/>
              </w:rPr>
            </w:pPr>
            <w:r>
              <w:rPr>
                <w:color w:val="000000"/>
                <w:szCs w:val="22"/>
              </w:rPr>
              <w:t>HIV</w:t>
            </w:r>
          </w:p>
        </w:tc>
        <w:tc>
          <w:tcPr>
            <w:tcW w:w="6911" w:type="dxa"/>
            <w:vAlign w:val="center"/>
          </w:tcPr>
          <w:p w:rsidR="00160801" w:rsidRDefault="00160801">
            <w:pPr>
              <w:rPr>
                <w:color w:val="000000"/>
                <w:szCs w:val="22"/>
              </w:rPr>
            </w:pPr>
            <w:r>
              <w:rPr>
                <w:color w:val="000000"/>
                <w:szCs w:val="22"/>
              </w:rPr>
              <w:t>human immunodeficiency virus</w:t>
            </w:r>
          </w:p>
        </w:tc>
      </w:tr>
      <w:tr w:rsidR="00160801" w:rsidRPr="00FD119B" w:rsidTr="003F3312">
        <w:tc>
          <w:tcPr>
            <w:tcW w:w="1809" w:type="dxa"/>
            <w:vAlign w:val="center"/>
          </w:tcPr>
          <w:p w:rsidR="00160801" w:rsidRDefault="00160801">
            <w:pPr>
              <w:rPr>
                <w:color w:val="000000"/>
                <w:szCs w:val="22"/>
              </w:rPr>
            </w:pPr>
            <w:r>
              <w:rPr>
                <w:color w:val="000000"/>
                <w:szCs w:val="22"/>
              </w:rPr>
              <w:t>ICH</w:t>
            </w:r>
          </w:p>
        </w:tc>
        <w:tc>
          <w:tcPr>
            <w:tcW w:w="6911" w:type="dxa"/>
            <w:vAlign w:val="center"/>
          </w:tcPr>
          <w:p w:rsidR="00160801" w:rsidRDefault="00160801">
            <w:pPr>
              <w:rPr>
                <w:color w:val="000000"/>
                <w:szCs w:val="22"/>
              </w:rPr>
            </w:pPr>
            <w:r>
              <w:rPr>
                <w:color w:val="000000"/>
                <w:szCs w:val="22"/>
              </w:rPr>
              <w:t>International Conference on Harmonisation</w:t>
            </w:r>
          </w:p>
        </w:tc>
      </w:tr>
      <w:tr w:rsidR="00160801" w:rsidRPr="00FD119B" w:rsidTr="003F3312">
        <w:tc>
          <w:tcPr>
            <w:tcW w:w="1809" w:type="dxa"/>
            <w:vAlign w:val="center"/>
          </w:tcPr>
          <w:p w:rsidR="00160801" w:rsidRDefault="00160801">
            <w:pPr>
              <w:rPr>
                <w:color w:val="000000"/>
                <w:szCs w:val="22"/>
              </w:rPr>
            </w:pPr>
            <w:r>
              <w:rPr>
                <w:color w:val="000000"/>
                <w:szCs w:val="22"/>
              </w:rPr>
              <w:t>IEC</w:t>
            </w:r>
          </w:p>
        </w:tc>
        <w:tc>
          <w:tcPr>
            <w:tcW w:w="6911" w:type="dxa"/>
            <w:vAlign w:val="center"/>
          </w:tcPr>
          <w:p w:rsidR="00160801" w:rsidRDefault="00160801">
            <w:pPr>
              <w:rPr>
                <w:color w:val="000000"/>
                <w:szCs w:val="22"/>
              </w:rPr>
            </w:pPr>
            <w:r>
              <w:rPr>
                <w:color w:val="000000"/>
                <w:szCs w:val="22"/>
              </w:rPr>
              <w:t>Independent Ethics Committee</w:t>
            </w:r>
          </w:p>
        </w:tc>
      </w:tr>
      <w:tr w:rsidR="00160801" w:rsidRPr="00FD119B" w:rsidTr="003F3312">
        <w:tc>
          <w:tcPr>
            <w:tcW w:w="1809" w:type="dxa"/>
            <w:vAlign w:val="center"/>
          </w:tcPr>
          <w:p w:rsidR="00160801" w:rsidRDefault="00160801">
            <w:pPr>
              <w:rPr>
                <w:color w:val="000000"/>
                <w:szCs w:val="22"/>
              </w:rPr>
            </w:pPr>
            <w:r>
              <w:rPr>
                <w:color w:val="000000"/>
                <w:szCs w:val="22"/>
              </w:rPr>
              <w:t>IgG</w:t>
            </w:r>
          </w:p>
        </w:tc>
        <w:tc>
          <w:tcPr>
            <w:tcW w:w="6911" w:type="dxa"/>
            <w:vAlign w:val="center"/>
          </w:tcPr>
          <w:p w:rsidR="00160801" w:rsidRDefault="00160801">
            <w:pPr>
              <w:rPr>
                <w:color w:val="000000"/>
                <w:szCs w:val="22"/>
              </w:rPr>
            </w:pPr>
            <w:r>
              <w:rPr>
                <w:color w:val="000000"/>
                <w:szCs w:val="22"/>
              </w:rPr>
              <w:t>immunoglobulin G</w:t>
            </w:r>
          </w:p>
        </w:tc>
      </w:tr>
      <w:tr w:rsidR="00160801" w:rsidRPr="00FD119B" w:rsidTr="003F3312">
        <w:tc>
          <w:tcPr>
            <w:tcW w:w="1809" w:type="dxa"/>
            <w:vAlign w:val="center"/>
          </w:tcPr>
          <w:p w:rsidR="00160801" w:rsidRDefault="00160801">
            <w:pPr>
              <w:rPr>
                <w:color w:val="000000"/>
                <w:szCs w:val="22"/>
              </w:rPr>
            </w:pPr>
            <w:r>
              <w:rPr>
                <w:color w:val="000000"/>
                <w:szCs w:val="22"/>
              </w:rPr>
              <w:t>IgM</w:t>
            </w:r>
          </w:p>
        </w:tc>
        <w:tc>
          <w:tcPr>
            <w:tcW w:w="6911" w:type="dxa"/>
            <w:vAlign w:val="center"/>
          </w:tcPr>
          <w:p w:rsidR="00160801" w:rsidRDefault="00160801">
            <w:pPr>
              <w:rPr>
                <w:color w:val="000000"/>
                <w:szCs w:val="22"/>
              </w:rPr>
            </w:pPr>
            <w:r>
              <w:rPr>
                <w:color w:val="000000"/>
                <w:szCs w:val="22"/>
              </w:rPr>
              <w:t>immunoglobulin M</w:t>
            </w:r>
          </w:p>
        </w:tc>
      </w:tr>
      <w:tr w:rsidR="00160801" w:rsidRPr="00FD119B" w:rsidTr="003F3312">
        <w:tc>
          <w:tcPr>
            <w:tcW w:w="1809" w:type="dxa"/>
            <w:vAlign w:val="center"/>
          </w:tcPr>
          <w:p w:rsidR="00160801" w:rsidRDefault="00160801">
            <w:pPr>
              <w:rPr>
                <w:color w:val="000000"/>
                <w:szCs w:val="22"/>
              </w:rPr>
            </w:pPr>
            <w:r>
              <w:rPr>
                <w:color w:val="000000"/>
                <w:szCs w:val="22"/>
              </w:rPr>
              <w:t>IL28B</w:t>
            </w:r>
          </w:p>
        </w:tc>
        <w:tc>
          <w:tcPr>
            <w:tcW w:w="6911" w:type="dxa"/>
            <w:vAlign w:val="center"/>
          </w:tcPr>
          <w:p w:rsidR="00160801" w:rsidRDefault="00160801">
            <w:pPr>
              <w:rPr>
                <w:color w:val="000000"/>
                <w:szCs w:val="22"/>
              </w:rPr>
            </w:pPr>
            <w:r>
              <w:rPr>
                <w:color w:val="000000"/>
                <w:szCs w:val="22"/>
              </w:rPr>
              <w:t>interleukin 28B</w:t>
            </w:r>
          </w:p>
        </w:tc>
      </w:tr>
      <w:tr w:rsidR="00160801" w:rsidRPr="00FD119B" w:rsidTr="003F3312">
        <w:tc>
          <w:tcPr>
            <w:tcW w:w="1809" w:type="dxa"/>
            <w:vAlign w:val="center"/>
          </w:tcPr>
          <w:p w:rsidR="00160801" w:rsidRDefault="00160801">
            <w:pPr>
              <w:rPr>
                <w:color w:val="000000"/>
                <w:szCs w:val="22"/>
              </w:rPr>
            </w:pPr>
            <w:r>
              <w:rPr>
                <w:color w:val="000000"/>
                <w:szCs w:val="22"/>
              </w:rPr>
              <w:t>IP-10</w:t>
            </w:r>
          </w:p>
        </w:tc>
        <w:tc>
          <w:tcPr>
            <w:tcW w:w="6911" w:type="dxa"/>
            <w:vAlign w:val="center"/>
          </w:tcPr>
          <w:p w:rsidR="00160801" w:rsidRDefault="00160801">
            <w:pPr>
              <w:rPr>
                <w:color w:val="000000"/>
                <w:szCs w:val="22"/>
              </w:rPr>
            </w:pPr>
            <w:r>
              <w:rPr>
                <w:color w:val="000000"/>
                <w:szCs w:val="22"/>
              </w:rPr>
              <w:t>interferon gamma-induced protein 10</w:t>
            </w:r>
          </w:p>
        </w:tc>
      </w:tr>
      <w:tr w:rsidR="00160801" w:rsidRPr="00FD119B" w:rsidTr="003F3312">
        <w:tc>
          <w:tcPr>
            <w:tcW w:w="1809" w:type="dxa"/>
            <w:vAlign w:val="center"/>
          </w:tcPr>
          <w:p w:rsidR="00160801" w:rsidRDefault="00160801">
            <w:pPr>
              <w:rPr>
                <w:color w:val="000000"/>
                <w:szCs w:val="22"/>
              </w:rPr>
            </w:pPr>
            <w:r>
              <w:rPr>
                <w:color w:val="000000"/>
                <w:szCs w:val="22"/>
              </w:rPr>
              <w:t>IRT</w:t>
            </w:r>
          </w:p>
        </w:tc>
        <w:tc>
          <w:tcPr>
            <w:tcW w:w="6911" w:type="dxa"/>
            <w:vAlign w:val="center"/>
          </w:tcPr>
          <w:p w:rsidR="00160801" w:rsidRDefault="00160801">
            <w:pPr>
              <w:rPr>
                <w:color w:val="000000"/>
                <w:szCs w:val="22"/>
              </w:rPr>
            </w:pPr>
            <w:r>
              <w:rPr>
                <w:color w:val="000000"/>
                <w:szCs w:val="22"/>
              </w:rPr>
              <w:t>interactive response technology</w:t>
            </w:r>
          </w:p>
        </w:tc>
      </w:tr>
      <w:tr w:rsidR="00160801" w:rsidRPr="00FD119B" w:rsidTr="003F3312">
        <w:tc>
          <w:tcPr>
            <w:tcW w:w="1809" w:type="dxa"/>
            <w:vAlign w:val="center"/>
          </w:tcPr>
          <w:p w:rsidR="00160801" w:rsidRDefault="00160801">
            <w:pPr>
              <w:rPr>
                <w:color w:val="000000"/>
                <w:szCs w:val="22"/>
              </w:rPr>
            </w:pPr>
            <w:r>
              <w:rPr>
                <w:color w:val="000000"/>
                <w:szCs w:val="22"/>
              </w:rPr>
              <w:t>ITT</w:t>
            </w:r>
          </w:p>
        </w:tc>
        <w:tc>
          <w:tcPr>
            <w:tcW w:w="6911" w:type="dxa"/>
            <w:vAlign w:val="center"/>
          </w:tcPr>
          <w:p w:rsidR="00160801" w:rsidRDefault="00160801">
            <w:pPr>
              <w:rPr>
                <w:color w:val="000000"/>
                <w:szCs w:val="22"/>
              </w:rPr>
            </w:pPr>
            <w:r>
              <w:rPr>
                <w:color w:val="000000"/>
                <w:szCs w:val="22"/>
              </w:rPr>
              <w:t>intent-to-treat</w:t>
            </w:r>
          </w:p>
        </w:tc>
      </w:tr>
      <w:tr w:rsidR="00160801" w:rsidRPr="00FD119B" w:rsidTr="003F3312">
        <w:tc>
          <w:tcPr>
            <w:tcW w:w="1809" w:type="dxa"/>
            <w:vAlign w:val="center"/>
          </w:tcPr>
          <w:p w:rsidR="00160801" w:rsidRDefault="00160801">
            <w:pPr>
              <w:rPr>
                <w:color w:val="000000"/>
                <w:szCs w:val="22"/>
              </w:rPr>
            </w:pPr>
            <w:r>
              <w:rPr>
                <w:color w:val="000000"/>
                <w:szCs w:val="22"/>
              </w:rPr>
              <w:t>IU</w:t>
            </w:r>
          </w:p>
        </w:tc>
        <w:tc>
          <w:tcPr>
            <w:tcW w:w="6911" w:type="dxa"/>
            <w:vAlign w:val="center"/>
          </w:tcPr>
          <w:p w:rsidR="00160801" w:rsidRDefault="00160801">
            <w:pPr>
              <w:rPr>
                <w:color w:val="000000"/>
                <w:szCs w:val="22"/>
              </w:rPr>
            </w:pPr>
            <w:r>
              <w:rPr>
                <w:color w:val="000000"/>
                <w:szCs w:val="22"/>
              </w:rPr>
              <w:t>international units</w:t>
            </w:r>
          </w:p>
        </w:tc>
      </w:tr>
      <w:tr w:rsidR="00160801" w:rsidRPr="00FD119B" w:rsidTr="003F3312">
        <w:tc>
          <w:tcPr>
            <w:tcW w:w="1809" w:type="dxa"/>
            <w:vAlign w:val="center"/>
          </w:tcPr>
          <w:p w:rsidR="00160801" w:rsidRDefault="00160801">
            <w:pPr>
              <w:rPr>
                <w:color w:val="000000"/>
                <w:szCs w:val="22"/>
              </w:rPr>
            </w:pPr>
            <w:r>
              <w:rPr>
                <w:color w:val="000000"/>
                <w:szCs w:val="22"/>
              </w:rPr>
              <w:t>LCB</w:t>
            </w:r>
          </w:p>
        </w:tc>
        <w:tc>
          <w:tcPr>
            <w:tcW w:w="6911" w:type="dxa"/>
            <w:vAlign w:val="center"/>
          </w:tcPr>
          <w:p w:rsidR="00160801" w:rsidRDefault="00160801">
            <w:pPr>
              <w:rPr>
                <w:color w:val="000000"/>
                <w:szCs w:val="22"/>
              </w:rPr>
            </w:pPr>
            <w:r>
              <w:rPr>
                <w:color w:val="000000"/>
                <w:szCs w:val="22"/>
              </w:rPr>
              <w:t>lower bound of the 95% confidence interval</w:t>
            </w:r>
          </w:p>
        </w:tc>
      </w:tr>
      <w:tr w:rsidR="00160801" w:rsidRPr="00FD119B" w:rsidTr="003F3312">
        <w:tc>
          <w:tcPr>
            <w:tcW w:w="1809" w:type="dxa"/>
            <w:vAlign w:val="center"/>
          </w:tcPr>
          <w:p w:rsidR="00160801" w:rsidRDefault="00160801">
            <w:pPr>
              <w:rPr>
                <w:color w:val="000000"/>
                <w:szCs w:val="22"/>
              </w:rPr>
            </w:pPr>
            <w:r>
              <w:rPr>
                <w:color w:val="000000"/>
                <w:szCs w:val="22"/>
              </w:rPr>
              <w:t>LLN</w:t>
            </w:r>
          </w:p>
        </w:tc>
        <w:tc>
          <w:tcPr>
            <w:tcW w:w="6911" w:type="dxa"/>
            <w:vAlign w:val="center"/>
          </w:tcPr>
          <w:p w:rsidR="00160801" w:rsidRDefault="00160801">
            <w:pPr>
              <w:rPr>
                <w:color w:val="000000"/>
                <w:szCs w:val="22"/>
              </w:rPr>
            </w:pPr>
            <w:r>
              <w:rPr>
                <w:color w:val="000000"/>
                <w:szCs w:val="22"/>
              </w:rPr>
              <w:t>lower limit of normal</w:t>
            </w:r>
          </w:p>
        </w:tc>
      </w:tr>
      <w:tr w:rsidR="00160801" w:rsidRPr="00FD119B" w:rsidTr="003F3312">
        <w:tc>
          <w:tcPr>
            <w:tcW w:w="1809" w:type="dxa"/>
            <w:vAlign w:val="center"/>
          </w:tcPr>
          <w:p w:rsidR="00160801" w:rsidRDefault="00160801">
            <w:pPr>
              <w:rPr>
                <w:color w:val="000000"/>
                <w:szCs w:val="22"/>
              </w:rPr>
            </w:pPr>
            <w:r>
              <w:rPr>
                <w:color w:val="000000"/>
                <w:szCs w:val="22"/>
              </w:rPr>
              <w:t>LLOD</w:t>
            </w:r>
          </w:p>
        </w:tc>
        <w:tc>
          <w:tcPr>
            <w:tcW w:w="6911" w:type="dxa"/>
            <w:vAlign w:val="center"/>
          </w:tcPr>
          <w:p w:rsidR="00160801" w:rsidRDefault="00160801">
            <w:pPr>
              <w:rPr>
                <w:color w:val="000000"/>
                <w:szCs w:val="22"/>
              </w:rPr>
            </w:pPr>
            <w:r>
              <w:rPr>
                <w:color w:val="000000"/>
                <w:szCs w:val="22"/>
              </w:rPr>
              <w:t>lower limit of detection</w:t>
            </w:r>
          </w:p>
        </w:tc>
      </w:tr>
      <w:tr w:rsidR="00160801" w:rsidRPr="00FD119B" w:rsidTr="003F3312">
        <w:tc>
          <w:tcPr>
            <w:tcW w:w="1809" w:type="dxa"/>
            <w:vAlign w:val="center"/>
          </w:tcPr>
          <w:p w:rsidR="00160801" w:rsidRDefault="00160801">
            <w:pPr>
              <w:rPr>
                <w:color w:val="000000"/>
                <w:szCs w:val="22"/>
              </w:rPr>
            </w:pPr>
            <w:r>
              <w:rPr>
                <w:color w:val="000000"/>
                <w:szCs w:val="22"/>
              </w:rPr>
              <w:t>LLOQ</w:t>
            </w:r>
          </w:p>
        </w:tc>
        <w:tc>
          <w:tcPr>
            <w:tcW w:w="6911" w:type="dxa"/>
            <w:vAlign w:val="center"/>
          </w:tcPr>
          <w:p w:rsidR="00160801" w:rsidRDefault="00160801">
            <w:pPr>
              <w:rPr>
                <w:color w:val="000000"/>
                <w:szCs w:val="22"/>
              </w:rPr>
            </w:pPr>
            <w:r>
              <w:rPr>
                <w:color w:val="000000"/>
                <w:szCs w:val="22"/>
              </w:rPr>
              <w:t>lower limit of quantitation</w:t>
            </w:r>
          </w:p>
        </w:tc>
      </w:tr>
      <w:tr w:rsidR="00160801" w:rsidRPr="00FD119B" w:rsidTr="003F3312">
        <w:tc>
          <w:tcPr>
            <w:tcW w:w="1809" w:type="dxa"/>
            <w:vAlign w:val="center"/>
          </w:tcPr>
          <w:p w:rsidR="00160801" w:rsidRDefault="00160801">
            <w:pPr>
              <w:rPr>
                <w:color w:val="000000"/>
                <w:szCs w:val="22"/>
              </w:rPr>
            </w:pPr>
            <w:proofErr w:type="spellStart"/>
            <w:r>
              <w:rPr>
                <w:color w:val="000000"/>
                <w:szCs w:val="22"/>
              </w:rPr>
              <w:t>MedDRA</w:t>
            </w:r>
            <w:proofErr w:type="spellEnd"/>
          </w:p>
        </w:tc>
        <w:tc>
          <w:tcPr>
            <w:tcW w:w="6911" w:type="dxa"/>
            <w:vAlign w:val="center"/>
          </w:tcPr>
          <w:p w:rsidR="00160801" w:rsidRDefault="00160801">
            <w:pPr>
              <w:rPr>
                <w:color w:val="000000"/>
                <w:szCs w:val="22"/>
              </w:rPr>
            </w:pPr>
            <w:r>
              <w:rPr>
                <w:color w:val="000000"/>
                <w:szCs w:val="22"/>
              </w:rPr>
              <w:t>Medical Dictionary for Regulatory Activities</w:t>
            </w:r>
          </w:p>
        </w:tc>
      </w:tr>
      <w:tr w:rsidR="00160801" w:rsidRPr="00FD119B" w:rsidTr="003F3312">
        <w:tc>
          <w:tcPr>
            <w:tcW w:w="1809" w:type="dxa"/>
            <w:vAlign w:val="center"/>
          </w:tcPr>
          <w:p w:rsidR="00160801" w:rsidRDefault="00160801">
            <w:pPr>
              <w:rPr>
                <w:color w:val="000000"/>
                <w:szCs w:val="22"/>
              </w:rPr>
            </w:pPr>
            <w:r>
              <w:rPr>
                <w:color w:val="000000"/>
                <w:szCs w:val="22"/>
              </w:rPr>
              <w:t>MEMS</w:t>
            </w:r>
          </w:p>
        </w:tc>
        <w:tc>
          <w:tcPr>
            <w:tcW w:w="6911" w:type="dxa"/>
            <w:vAlign w:val="center"/>
          </w:tcPr>
          <w:p w:rsidR="00160801" w:rsidRDefault="00160801">
            <w:pPr>
              <w:rPr>
                <w:color w:val="000000"/>
                <w:szCs w:val="22"/>
              </w:rPr>
            </w:pPr>
            <w:r>
              <w:rPr>
                <w:color w:val="000000"/>
                <w:szCs w:val="22"/>
              </w:rPr>
              <w:t xml:space="preserve">Medication Event Monitoring System </w:t>
            </w:r>
          </w:p>
        </w:tc>
      </w:tr>
      <w:tr w:rsidR="00160801" w:rsidRPr="00FD119B" w:rsidTr="003F3312">
        <w:tc>
          <w:tcPr>
            <w:tcW w:w="1809" w:type="dxa"/>
            <w:vAlign w:val="center"/>
          </w:tcPr>
          <w:p w:rsidR="00160801" w:rsidRDefault="00160801">
            <w:pPr>
              <w:rPr>
                <w:color w:val="000000"/>
                <w:szCs w:val="22"/>
              </w:rPr>
            </w:pPr>
            <w:r>
              <w:rPr>
                <w:color w:val="000000"/>
                <w:szCs w:val="22"/>
              </w:rPr>
              <w:t>mRNA</w:t>
            </w:r>
          </w:p>
        </w:tc>
        <w:tc>
          <w:tcPr>
            <w:tcW w:w="6911" w:type="dxa"/>
            <w:vAlign w:val="center"/>
          </w:tcPr>
          <w:p w:rsidR="00160801" w:rsidRDefault="00160801">
            <w:pPr>
              <w:rPr>
                <w:color w:val="000000"/>
                <w:szCs w:val="22"/>
              </w:rPr>
            </w:pPr>
            <w:r>
              <w:rPr>
                <w:color w:val="000000"/>
                <w:szCs w:val="22"/>
              </w:rPr>
              <w:t>messenger RNA</w:t>
            </w:r>
          </w:p>
        </w:tc>
      </w:tr>
      <w:tr w:rsidR="00160801" w:rsidRPr="00FD119B" w:rsidTr="003F3312">
        <w:tc>
          <w:tcPr>
            <w:tcW w:w="1809" w:type="dxa"/>
            <w:vAlign w:val="center"/>
          </w:tcPr>
          <w:p w:rsidR="00160801" w:rsidRDefault="00160801">
            <w:pPr>
              <w:rPr>
                <w:color w:val="000000"/>
                <w:szCs w:val="22"/>
              </w:rPr>
            </w:pPr>
            <w:r>
              <w:rPr>
                <w:color w:val="000000"/>
                <w:szCs w:val="22"/>
              </w:rPr>
              <w:t>NS3</w:t>
            </w:r>
          </w:p>
        </w:tc>
        <w:tc>
          <w:tcPr>
            <w:tcW w:w="6911" w:type="dxa"/>
            <w:vAlign w:val="center"/>
          </w:tcPr>
          <w:p w:rsidR="00160801" w:rsidRDefault="00160801">
            <w:pPr>
              <w:rPr>
                <w:color w:val="000000"/>
                <w:szCs w:val="22"/>
              </w:rPr>
            </w:pPr>
            <w:r>
              <w:rPr>
                <w:color w:val="000000"/>
                <w:szCs w:val="22"/>
              </w:rPr>
              <w:t>non-structural protein 3</w:t>
            </w:r>
          </w:p>
        </w:tc>
      </w:tr>
      <w:tr w:rsidR="00160801" w:rsidRPr="00FD119B" w:rsidTr="003F3312">
        <w:tc>
          <w:tcPr>
            <w:tcW w:w="1809" w:type="dxa"/>
            <w:vAlign w:val="center"/>
          </w:tcPr>
          <w:p w:rsidR="00160801" w:rsidRDefault="00160801">
            <w:pPr>
              <w:rPr>
                <w:color w:val="000000"/>
                <w:szCs w:val="22"/>
              </w:rPr>
            </w:pPr>
            <w:r>
              <w:rPr>
                <w:color w:val="000000"/>
                <w:szCs w:val="22"/>
              </w:rPr>
              <w:t>NS4A</w:t>
            </w:r>
          </w:p>
        </w:tc>
        <w:tc>
          <w:tcPr>
            <w:tcW w:w="6911" w:type="dxa"/>
            <w:vAlign w:val="center"/>
          </w:tcPr>
          <w:p w:rsidR="00160801" w:rsidRDefault="00160801">
            <w:pPr>
              <w:rPr>
                <w:color w:val="000000"/>
                <w:szCs w:val="22"/>
              </w:rPr>
            </w:pPr>
            <w:r>
              <w:rPr>
                <w:color w:val="000000"/>
                <w:szCs w:val="22"/>
              </w:rPr>
              <w:t>non-structural protein 4A</w:t>
            </w:r>
          </w:p>
        </w:tc>
      </w:tr>
      <w:tr w:rsidR="00160801" w:rsidRPr="00FD119B" w:rsidTr="003F3312">
        <w:tc>
          <w:tcPr>
            <w:tcW w:w="1809" w:type="dxa"/>
            <w:vAlign w:val="center"/>
          </w:tcPr>
          <w:p w:rsidR="00160801" w:rsidRDefault="00160801">
            <w:pPr>
              <w:rPr>
                <w:color w:val="000000"/>
                <w:szCs w:val="22"/>
              </w:rPr>
            </w:pPr>
            <w:r>
              <w:rPr>
                <w:color w:val="000000"/>
                <w:szCs w:val="22"/>
              </w:rPr>
              <w:t>NS5A</w:t>
            </w:r>
          </w:p>
        </w:tc>
        <w:tc>
          <w:tcPr>
            <w:tcW w:w="6911" w:type="dxa"/>
            <w:vAlign w:val="center"/>
          </w:tcPr>
          <w:p w:rsidR="00160801" w:rsidRDefault="00160801">
            <w:pPr>
              <w:rPr>
                <w:color w:val="000000"/>
                <w:szCs w:val="22"/>
              </w:rPr>
            </w:pPr>
            <w:r>
              <w:rPr>
                <w:color w:val="000000"/>
                <w:szCs w:val="22"/>
              </w:rPr>
              <w:t>non-structural protein 5A</w:t>
            </w:r>
          </w:p>
        </w:tc>
      </w:tr>
      <w:tr w:rsidR="00160801" w:rsidRPr="00FD119B" w:rsidTr="003F3312">
        <w:tc>
          <w:tcPr>
            <w:tcW w:w="1809" w:type="dxa"/>
            <w:vAlign w:val="center"/>
          </w:tcPr>
          <w:p w:rsidR="00160801" w:rsidRDefault="00160801">
            <w:pPr>
              <w:rPr>
                <w:color w:val="000000"/>
                <w:szCs w:val="22"/>
              </w:rPr>
            </w:pPr>
            <w:r>
              <w:rPr>
                <w:color w:val="000000"/>
                <w:szCs w:val="22"/>
              </w:rPr>
              <w:t>NS5B</w:t>
            </w:r>
          </w:p>
        </w:tc>
        <w:tc>
          <w:tcPr>
            <w:tcW w:w="6911" w:type="dxa"/>
            <w:vAlign w:val="center"/>
          </w:tcPr>
          <w:p w:rsidR="00160801" w:rsidRDefault="00160801">
            <w:pPr>
              <w:rPr>
                <w:color w:val="000000"/>
                <w:szCs w:val="22"/>
              </w:rPr>
            </w:pPr>
            <w:r>
              <w:rPr>
                <w:color w:val="000000"/>
                <w:szCs w:val="22"/>
              </w:rPr>
              <w:t>non-structural protein 5B</w:t>
            </w:r>
          </w:p>
        </w:tc>
      </w:tr>
      <w:tr w:rsidR="00160801" w:rsidRPr="00FD119B" w:rsidTr="003F3312">
        <w:tc>
          <w:tcPr>
            <w:tcW w:w="1809" w:type="dxa"/>
            <w:vAlign w:val="center"/>
          </w:tcPr>
          <w:p w:rsidR="00160801" w:rsidRDefault="00160801">
            <w:pPr>
              <w:rPr>
                <w:color w:val="000000"/>
                <w:szCs w:val="22"/>
              </w:rPr>
            </w:pPr>
            <w:r>
              <w:rPr>
                <w:color w:val="000000"/>
                <w:szCs w:val="22"/>
              </w:rPr>
              <w:lastRenderedPageBreak/>
              <w:t>PCS</w:t>
            </w:r>
          </w:p>
        </w:tc>
        <w:tc>
          <w:tcPr>
            <w:tcW w:w="6911" w:type="dxa"/>
            <w:vAlign w:val="center"/>
          </w:tcPr>
          <w:p w:rsidR="00160801" w:rsidRDefault="00160801">
            <w:pPr>
              <w:rPr>
                <w:color w:val="000000"/>
                <w:szCs w:val="22"/>
              </w:rPr>
            </w:pPr>
            <w:r>
              <w:rPr>
                <w:color w:val="000000"/>
                <w:szCs w:val="22"/>
              </w:rPr>
              <w:t>potentially clinically significant</w:t>
            </w:r>
          </w:p>
        </w:tc>
      </w:tr>
      <w:tr w:rsidR="00160801" w:rsidRPr="00FD119B" w:rsidTr="003F3312">
        <w:tc>
          <w:tcPr>
            <w:tcW w:w="1809" w:type="dxa"/>
            <w:vAlign w:val="center"/>
          </w:tcPr>
          <w:p w:rsidR="00160801" w:rsidRDefault="00160801">
            <w:pPr>
              <w:rPr>
                <w:color w:val="000000"/>
                <w:szCs w:val="22"/>
              </w:rPr>
            </w:pPr>
            <w:proofErr w:type="spellStart"/>
            <w:r>
              <w:rPr>
                <w:color w:val="000000"/>
                <w:szCs w:val="22"/>
              </w:rPr>
              <w:t>pegIFN</w:t>
            </w:r>
            <w:proofErr w:type="spellEnd"/>
          </w:p>
        </w:tc>
        <w:tc>
          <w:tcPr>
            <w:tcW w:w="6911" w:type="dxa"/>
            <w:vAlign w:val="center"/>
          </w:tcPr>
          <w:p w:rsidR="00160801" w:rsidRDefault="00160801">
            <w:pPr>
              <w:rPr>
                <w:color w:val="000000"/>
                <w:szCs w:val="22"/>
              </w:rPr>
            </w:pPr>
            <w:proofErr w:type="spellStart"/>
            <w:r>
              <w:rPr>
                <w:color w:val="000000"/>
                <w:szCs w:val="22"/>
              </w:rPr>
              <w:t>pegylated</w:t>
            </w:r>
            <w:proofErr w:type="spellEnd"/>
            <w:r>
              <w:rPr>
                <w:color w:val="000000"/>
                <w:szCs w:val="22"/>
              </w:rPr>
              <w:t xml:space="preserve"> interferon</w:t>
            </w:r>
          </w:p>
        </w:tc>
      </w:tr>
      <w:tr w:rsidR="00652801" w:rsidRPr="00FD119B" w:rsidTr="003F3312">
        <w:tc>
          <w:tcPr>
            <w:tcW w:w="1809" w:type="dxa"/>
            <w:vAlign w:val="center"/>
          </w:tcPr>
          <w:p w:rsidR="00652801" w:rsidRDefault="00652801" w:rsidP="003F3312">
            <w:pPr>
              <w:rPr>
                <w:color w:val="000000"/>
                <w:szCs w:val="22"/>
              </w:rPr>
            </w:pPr>
            <w:r>
              <w:rPr>
                <w:color w:val="000000"/>
                <w:szCs w:val="22"/>
              </w:rPr>
              <w:t>PI</w:t>
            </w:r>
          </w:p>
        </w:tc>
        <w:tc>
          <w:tcPr>
            <w:tcW w:w="6911" w:type="dxa"/>
            <w:vAlign w:val="center"/>
          </w:tcPr>
          <w:p w:rsidR="00652801" w:rsidRDefault="00652801" w:rsidP="003F3312">
            <w:pPr>
              <w:rPr>
                <w:color w:val="000000"/>
                <w:szCs w:val="22"/>
              </w:rPr>
            </w:pPr>
            <w:r>
              <w:rPr>
                <w:color w:val="000000"/>
                <w:szCs w:val="22"/>
              </w:rPr>
              <w:t>Product Information</w:t>
            </w:r>
          </w:p>
        </w:tc>
      </w:tr>
      <w:tr w:rsidR="00160801" w:rsidRPr="00FD119B" w:rsidTr="003F3312">
        <w:tc>
          <w:tcPr>
            <w:tcW w:w="1809" w:type="dxa"/>
            <w:vAlign w:val="center"/>
          </w:tcPr>
          <w:p w:rsidR="00160801" w:rsidRDefault="00160801">
            <w:pPr>
              <w:rPr>
                <w:color w:val="000000"/>
                <w:szCs w:val="22"/>
              </w:rPr>
            </w:pPr>
            <w:r>
              <w:rPr>
                <w:color w:val="000000"/>
                <w:szCs w:val="22"/>
              </w:rPr>
              <w:t>PP</w:t>
            </w:r>
          </w:p>
        </w:tc>
        <w:tc>
          <w:tcPr>
            <w:tcW w:w="6911" w:type="dxa"/>
            <w:vAlign w:val="center"/>
          </w:tcPr>
          <w:p w:rsidR="00160801" w:rsidRDefault="00160801">
            <w:pPr>
              <w:rPr>
                <w:color w:val="000000"/>
                <w:szCs w:val="22"/>
              </w:rPr>
            </w:pPr>
            <w:r>
              <w:rPr>
                <w:color w:val="000000"/>
                <w:szCs w:val="22"/>
              </w:rPr>
              <w:t xml:space="preserve">per protocol </w:t>
            </w:r>
          </w:p>
        </w:tc>
      </w:tr>
      <w:tr w:rsidR="00160801" w:rsidRPr="00FD119B" w:rsidTr="003F3312">
        <w:tc>
          <w:tcPr>
            <w:tcW w:w="1809" w:type="dxa"/>
            <w:vAlign w:val="center"/>
          </w:tcPr>
          <w:p w:rsidR="00160801" w:rsidRDefault="00160801">
            <w:pPr>
              <w:rPr>
                <w:color w:val="000000"/>
                <w:szCs w:val="22"/>
              </w:rPr>
            </w:pPr>
            <w:r>
              <w:rPr>
                <w:color w:val="000000"/>
                <w:szCs w:val="22"/>
              </w:rPr>
              <w:t>PT</w:t>
            </w:r>
          </w:p>
        </w:tc>
        <w:tc>
          <w:tcPr>
            <w:tcW w:w="6911" w:type="dxa"/>
            <w:vAlign w:val="center"/>
          </w:tcPr>
          <w:p w:rsidR="00160801" w:rsidRDefault="00160801">
            <w:pPr>
              <w:rPr>
                <w:color w:val="000000"/>
                <w:szCs w:val="22"/>
              </w:rPr>
            </w:pPr>
            <w:r>
              <w:rPr>
                <w:color w:val="000000"/>
                <w:szCs w:val="22"/>
              </w:rPr>
              <w:t>preferred term</w:t>
            </w:r>
          </w:p>
        </w:tc>
      </w:tr>
      <w:tr w:rsidR="00160801" w:rsidRPr="00FD119B" w:rsidTr="003F3312">
        <w:tc>
          <w:tcPr>
            <w:tcW w:w="1809" w:type="dxa"/>
            <w:vAlign w:val="center"/>
          </w:tcPr>
          <w:p w:rsidR="00160801" w:rsidRDefault="00160801">
            <w:pPr>
              <w:rPr>
                <w:color w:val="000000"/>
                <w:szCs w:val="22"/>
              </w:rPr>
            </w:pPr>
            <w:r>
              <w:rPr>
                <w:color w:val="000000"/>
                <w:szCs w:val="22"/>
              </w:rPr>
              <w:t>PT</w:t>
            </w:r>
          </w:p>
        </w:tc>
        <w:tc>
          <w:tcPr>
            <w:tcW w:w="6911" w:type="dxa"/>
            <w:vAlign w:val="center"/>
          </w:tcPr>
          <w:p w:rsidR="00160801" w:rsidRDefault="00160801">
            <w:pPr>
              <w:rPr>
                <w:color w:val="000000"/>
                <w:szCs w:val="22"/>
              </w:rPr>
            </w:pPr>
            <w:r>
              <w:rPr>
                <w:color w:val="000000"/>
                <w:szCs w:val="22"/>
              </w:rPr>
              <w:t>post-treatment</w:t>
            </w:r>
          </w:p>
        </w:tc>
      </w:tr>
      <w:tr w:rsidR="00160801" w:rsidRPr="00FD119B" w:rsidTr="003F3312">
        <w:tc>
          <w:tcPr>
            <w:tcW w:w="1809" w:type="dxa"/>
            <w:vAlign w:val="center"/>
          </w:tcPr>
          <w:p w:rsidR="00160801" w:rsidRDefault="00160801">
            <w:pPr>
              <w:rPr>
                <w:color w:val="000000"/>
                <w:szCs w:val="22"/>
              </w:rPr>
            </w:pPr>
            <w:r>
              <w:rPr>
                <w:color w:val="000000"/>
                <w:szCs w:val="22"/>
              </w:rPr>
              <w:t>PVF</w:t>
            </w:r>
          </w:p>
        </w:tc>
        <w:tc>
          <w:tcPr>
            <w:tcW w:w="6911" w:type="dxa"/>
            <w:vAlign w:val="center"/>
          </w:tcPr>
          <w:p w:rsidR="00160801" w:rsidRDefault="00160801">
            <w:pPr>
              <w:rPr>
                <w:color w:val="000000"/>
                <w:szCs w:val="22"/>
              </w:rPr>
            </w:pPr>
            <w:r>
              <w:rPr>
                <w:color w:val="000000"/>
                <w:szCs w:val="22"/>
              </w:rPr>
              <w:t xml:space="preserve">primary </w:t>
            </w:r>
            <w:proofErr w:type="spellStart"/>
            <w:r>
              <w:rPr>
                <w:color w:val="000000"/>
                <w:szCs w:val="22"/>
              </w:rPr>
              <w:t>virologic</w:t>
            </w:r>
            <w:proofErr w:type="spellEnd"/>
            <w:r>
              <w:rPr>
                <w:color w:val="000000"/>
                <w:szCs w:val="22"/>
              </w:rPr>
              <w:t xml:space="preserve"> failure</w:t>
            </w:r>
          </w:p>
        </w:tc>
      </w:tr>
      <w:tr w:rsidR="00160801" w:rsidRPr="00FD119B" w:rsidTr="003F3312">
        <w:tc>
          <w:tcPr>
            <w:tcW w:w="1809" w:type="dxa"/>
            <w:vAlign w:val="center"/>
          </w:tcPr>
          <w:p w:rsidR="00160801" w:rsidRDefault="00160801">
            <w:pPr>
              <w:rPr>
                <w:color w:val="000000"/>
                <w:szCs w:val="22"/>
              </w:rPr>
            </w:pPr>
            <w:r>
              <w:rPr>
                <w:color w:val="000000"/>
                <w:szCs w:val="22"/>
              </w:rPr>
              <w:t>QD</w:t>
            </w:r>
          </w:p>
        </w:tc>
        <w:tc>
          <w:tcPr>
            <w:tcW w:w="6911" w:type="dxa"/>
            <w:vAlign w:val="center"/>
          </w:tcPr>
          <w:p w:rsidR="00160801" w:rsidRDefault="00160801">
            <w:pPr>
              <w:rPr>
                <w:color w:val="000000"/>
                <w:szCs w:val="22"/>
              </w:rPr>
            </w:pPr>
            <w:r>
              <w:rPr>
                <w:color w:val="000000"/>
                <w:szCs w:val="22"/>
              </w:rPr>
              <w:t>once daily</w:t>
            </w:r>
          </w:p>
        </w:tc>
      </w:tr>
      <w:tr w:rsidR="00160801" w:rsidRPr="00FD119B" w:rsidTr="003F3312">
        <w:tc>
          <w:tcPr>
            <w:tcW w:w="1809" w:type="dxa"/>
            <w:vAlign w:val="center"/>
          </w:tcPr>
          <w:p w:rsidR="00160801" w:rsidRDefault="00160801">
            <w:pPr>
              <w:rPr>
                <w:color w:val="000000"/>
                <w:szCs w:val="22"/>
              </w:rPr>
            </w:pPr>
            <w:r>
              <w:rPr>
                <w:color w:val="000000"/>
                <w:szCs w:val="22"/>
              </w:rPr>
              <w:t>r</w:t>
            </w:r>
          </w:p>
        </w:tc>
        <w:tc>
          <w:tcPr>
            <w:tcW w:w="6911" w:type="dxa"/>
            <w:vAlign w:val="center"/>
          </w:tcPr>
          <w:p w:rsidR="00160801" w:rsidRDefault="00160801">
            <w:pPr>
              <w:rPr>
                <w:color w:val="000000"/>
                <w:szCs w:val="22"/>
              </w:rPr>
            </w:pPr>
            <w:r>
              <w:rPr>
                <w:color w:val="000000"/>
                <w:szCs w:val="22"/>
              </w:rPr>
              <w:t>ritonavir</w:t>
            </w:r>
          </w:p>
        </w:tc>
      </w:tr>
      <w:tr w:rsidR="00160801" w:rsidRPr="00FD119B" w:rsidTr="003F3312">
        <w:tc>
          <w:tcPr>
            <w:tcW w:w="1809" w:type="dxa"/>
            <w:vAlign w:val="center"/>
          </w:tcPr>
          <w:p w:rsidR="00160801" w:rsidRDefault="00160801">
            <w:pPr>
              <w:rPr>
                <w:color w:val="000000"/>
                <w:szCs w:val="22"/>
              </w:rPr>
            </w:pPr>
            <w:r>
              <w:rPr>
                <w:color w:val="000000"/>
                <w:szCs w:val="22"/>
              </w:rPr>
              <w:t>RBV</w:t>
            </w:r>
          </w:p>
        </w:tc>
        <w:tc>
          <w:tcPr>
            <w:tcW w:w="6911" w:type="dxa"/>
            <w:vAlign w:val="center"/>
          </w:tcPr>
          <w:p w:rsidR="00160801" w:rsidRDefault="00160801">
            <w:pPr>
              <w:rPr>
                <w:color w:val="000000"/>
                <w:szCs w:val="22"/>
              </w:rPr>
            </w:pPr>
            <w:r>
              <w:rPr>
                <w:color w:val="000000"/>
                <w:szCs w:val="22"/>
              </w:rPr>
              <w:t>ribavirin</w:t>
            </w:r>
          </w:p>
        </w:tc>
      </w:tr>
      <w:tr w:rsidR="00160801" w:rsidRPr="00FD119B" w:rsidTr="003F3312">
        <w:tc>
          <w:tcPr>
            <w:tcW w:w="1809" w:type="dxa"/>
            <w:vAlign w:val="center"/>
          </w:tcPr>
          <w:p w:rsidR="00160801" w:rsidRDefault="00160801">
            <w:pPr>
              <w:rPr>
                <w:color w:val="000000"/>
                <w:szCs w:val="22"/>
              </w:rPr>
            </w:pPr>
            <w:r>
              <w:rPr>
                <w:color w:val="000000"/>
                <w:szCs w:val="22"/>
              </w:rPr>
              <w:t>RNA</w:t>
            </w:r>
          </w:p>
        </w:tc>
        <w:tc>
          <w:tcPr>
            <w:tcW w:w="6911" w:type="dxa"/>
            <w:vAlign w:val="center"/>
          </w:tcPr>
          <w:p w:rsidR="00160801" w:rsidRDefault="00160801">
            <w:pPr>
              <w:rPr>
                <w:color w:val="000000"/>
                <w:szCs w:val="22"/>
              </w:rPr>
            </w:pPr>
            <w:r>
              <w:rPr>
                <w:color w:val="000000"/>
                <w:szCs w:val="22"/>
              </w:rPr>
              <w:t>ribonucleic acid</w:t>
            </w:r>
          </w:p>
        </w:tc>
      </w:tr>
      <w:tr w:rsidR="00160801" w:rsidRPr="00FD119B" w:rsidTr="003F3312">
        <w:tc>
          <w:tcPr>
            <w:tcW w:w="1809" w:type="dxa"/>
            <w:vAlign w:val="center"/>
          </w:tcPr>
          <w:p w:rsidR="00160801" w:rsidRDefault="00160801">
            <w:pPr>
              <w:rPr>
                <w:color w:val="000000"/>
                <w:szCs w:val="22"/>
              </w:rPr>
            </w:pPr>
            <w:r>
              <w:rPr>
                <w:color w:val="000000"/>
                <w:szCs w:val="22"/>
              </w:rPr>
              <w:t>RVR</w:t>
            </w:r>
          </w:p>
        </w:tc>
        <w:tc>
          <w:tcPr>
            <w:tcW w:w="6911" w:type="dxa"/>
            <w:vAlign w:val="center"/>
          </w:tcPr>
          <w:p w:rsidR="00160801" w:rsidRDefault="00160801">
            <w:pPr>
              <w:rPr>
                <w:color w:val="000000"/>
                <w:szCs w:val="22"/>
              </w:rPr>
            </w:pPr>
            <w:r>
              <w:rPr>
                <w:color w:val="000000"/>
                <w:szCs w:val="22"/>
              </w:rPr>
              <w:t xml:space="preserve">rapid </w:t>
            </w:r>
            <w:proofErr w:type="spellStart"/>
            <w:r>
              <w:rPr>
                <w:color w:val="000000"/>
                <w:szCs w:val="22"/>
              </w:rPr>
              <w:t>virologic</w:t>
            </w:r>
            <w:proofErr w:type="spellEnd"/>
            <w:r>
              <w:rPr>
                <w:color w:val="000000"/>
                <w:szCs w:val="22"/>
              </w:rPr>
              <w:t xml:space="preserve"> response</w:t>
            </w:r>
          </w:p>
        </w:tc>
      </w:tr>
      <w:tr w:rsidR="00160801" w:rsidRPr="00FD119B" w:rsidTr="003F3312">
        <w:tc>
          <w:tcPr>
            <w:tcW w:w="1809" w:type="dxa"/>
            <w:vAlign w:val="center"/>
          </w:tcPr>
          <w:p w:rsidR="00160801" w:rsidRDefault="00160801">
            <w:pPr>
              <w:rPr>
                <w:color w:val="000000"/>
                <w:szCs w:val="22"/>
              </w:rPr>
            </w:pPr>
            <w:r>
              <w:rPr>
                <w:color w:val="000000"/>
                <w:szCs w:val="22"/>
              </w:rPr>
              <w:t>SAE</w:t>
            </w:r>
          </w:p>
        </w:tc>
        <w:tc>
          <w:tcPr>
            <w:tcW w:w="6911" w:type="dxa"/>
            <w:vAlign w:val="center"/>
          </w:tcPr>
          <w:p w:rsidR="00160801" w:rsidRDefault="00160801">
            <w:pPr>
              <w:rPr>
                <w:color w:val="000000"/>
                <w:szCs w:val="22"/>
              </w:rPr>
            </w:pPr>
            <w:r>
              <w:rPr>
                <w:color w:val="000000"/>
                <w:szCs w:val="22"/>
              </w:rPr>
              <w:t>serious adverse event</w:t>
            </w:r>
          </w:p>
        </w:tc>
      </w:tr>
      <w:tr w:rsidR="00160801" w:rsidRPr="00FD119B" w:rsidTr="003F3312">
        <w:tc>
          <w:tcPr>
            <w:tcW w:w="1809" w:type="dxa"/>
            <w:vAlign w:val="center"/>
          </w:tcPr>
          <w:p w:rsidR="00160801" w:rsidRDefault="00160801">
            <w:pPr>
              <w:rPr>
                <w:color w:val="000000"/>
                <w:szCs w:val="22"/>
              </w:rPr>
            </w:pPr>
            <w:r>
              <w:rPr>
                <w:color w:val="000000"/>
                <w:szCs w:val="22"/>
              </w:rPr>
              <w:t>SAF</w:t>
            </w:r>
          </w:p>
        </w:tc>
        <w:tc>
          <w:tcPr>
            <w:tcW w:w="6911" w:type="dxa"/>
            <w:vAlign w:val="center"/>
          </w:tcPr>
          <w:p w:rsidR="00160801" w:rsidRDefault="00160801">
            <w:pPr>
              <w:rPr>
                <w:color w:val="000000"/>
                <w:szCs w:val="22"/>
              </w:rPr>
            </w:pPr>
            <w:r>
              <w:rPr>
                <w:color w:val="000000"/>
                <w:szCs w:val="22"/>
              </w:rPr>
              <w:t>safety population</w:t>
            </w:r>
          </w:p>
        </w:tc>
      </w:tr>
      <w:tr w:rsidR="00160801" w:rsidRPr="00FD119B" w:rsidTr="003F3312">
        <w:tc>
          <w:tcPr>
            <w:tcW w:w="1809" w:type="dxa"/>
            <w:vAlign w:val="center"/>
          </w:tcPr>
          <w:p w:rsidR="00160801" w:rsidRDefault="00160801">
            <w:pPr>
              <w:rPr>
                <w:color w:val="000000"/>
                <w:szCs w:val="22"/>
              </w:rPr>
            </w:pPr>
            <w:proofErr w:type="spellStart"/>
            <w:r>
              <w:rPr>
                <w:color w:val="000000"/>
                <w:szCs w:val="22"/>
              </w:rPr>
              <w:t>SmPC</w:t>
            </w:r>
            <w:proofErr w:type="spellEnd"/>
          </w:p>
        </w:tc>
        <w:tc>
          <w:tcPr>
            <w:tcW w:w="6911" w:type="dxa"/>
            <w:vAlign w:val="center"/>
          </w:tcPr>
          <w:p w:rsidR="00160801" w:rsidRDefault="00160801">
            <w:pPr>
              <w:rPr>
                <w:color w:val="000000"/>
                <w:szCs w:val="22"/>
              </w:rPr>
            </w:pPr>
            <w:r>
              <w:rPr>
                <w:color w:val="000000"/>
                <w:szCs w:val="22"/>
              </w:rPr>
              <w:t>summary of product characteristics</w:t>
            </w:r>
          </w:p>
        </w:tc>
      </w:tr>
      <w:tr w:rsidR="00160801" w:rsidRPr="00FD119B" w:rsidTr="003F3312">
        <w:tc>
          <w:tcPr>
            <w:tcW w:w="1809" w:type="dxa"/>
            <w:vAlign w:val="center"/>
          </w:tcPr>
          <w:p w:rsidR="00160801" w:rsidRDefault="00160801">
            <w:pPr>
              <w:rPr>
                <w:color w:val="000000"/>
                <w:szCs w:val="22"/>
              </w:rPr>
            </w:pPr>
            <w:r>
              <w:rPr>
                <w:color w:val="000000"/>
                <w:szCs w:val="22"/>
              </w:rPr>
              <w:t>SOC</w:t>
            </w:r>
          </w:p>
        </w:tc>
        <w:tc>
          <w:tcPr>
            <w:tcW w:w="6911" w:type="dxa"/>
            <w:vAlign w:val="center"/>
          </w:tcPr>
          <w:p w:rsidR="00160801" w:rsidRDefault="00160801">
            <w:pPr>
              <w:rPr>
                <w:color w:val="000000"/>
                <w:szCs w:val="22"/>
              </w:rPr>
            </w:pPr>
            <w:r>
              <w:rPr>
                <w:color w:val="000000"/>
                <w:szCs w:val="22"/>
              </w:rPr>
              <w:t>System Organ Class</w:t>
            </w:r>
          </w:p>
        </w:tc>
      </w:tr>
      <w:tr w:rsidR="00160801" w:rsidRPr="00FD119B" w:rsidTr="003F3312">
        <w:tc>
          <w:tcPr>
            <w:tcW w:w="1809" w:type="dxa"/>
            <w:vAlign w:val="center"/>
          </w:tcPr>
          <w:p w:rsidR="00160801" w:rsidRDefault="00160801">
            <w:pPr>
              <w:rPr>
                <w:color w:val="000000"/>
                <w:szCs w:val="22"/>
              </w:rPr>
            </w:pPr>
            <w:r>
              <w:rPr>
                <w:color w:val="000000"/>
                <w:szCs w:val="22"/>
              </w:rPr>
              <w:t>SVR</w:t>
            </w:r>
          </w:p>
        </w:tc>
        <w:tc>
          <w:tcPr>
            <w:tcW w:w="6911" w:type="dxa"/>
            <w:vAlign w:val="center"/>
          </w:tcPr>
          <w:p w:rsidR="00160801" w:rsidRDefault="00160801">
            <w:pPr>
              <w:rPr>
                <w:color w:val="000000"/>
                <w:szCs w:val="22"/>
              </w:rPr>
            </w:pPr>
            <w:r>
              <w:rPr>
                <w:color w:val="000000"/>
                <w:szCs w:val="22"/>
              </w:rPr>
              <w:t xml:space="preserve">sustained </w:t>
            </w:r>
            <w:proofErr w:type="spellStart"/>
            <w:r>
              <w:rPr>
                <w:color w:val="000000"/>
                <w:szCs w:val="22"/>
              </w:rPr>
              <w:t>virologic</w:t>
            </w:r>
            <w:proofErr w:type="spellEnd"/>
            <w:r>
              <w:rPr>
                <w:color w:val="000000"/>
                <w:szCs w:val="22"/>
              </w:rPr>
              <w:t xml:space="preserve"> response</w:t>
            </w:r>
          </w:p>
        </w:tc>
      </w:tr>
      <w:tr w:rsidR="00160801" w:rsidRPr="00FD119B" w:rsidTr="003F3312">
        <w:tc>
          <w:tcPr>
            <w:tcW w:w="1809" w:type="dxa"/>
            <w:vAlign w:val="center"/>
          </w:tcPr>
          <w:p w:rsidR="00160801" w:rsidRDefault="00160801">
            <w:pPr>
              <w:rPr>
                <w:color w:val="000000"/>
                <w:szCs w:val="22"/>
              </w:rPr>
            </w:pPr>
            <w:r>
              <w:rPr>
                <w:color w:val="000000"/>
                <w:szCs w:val="22"/>
              </w:rPr>
              <w:t>SVR</w:t>
            </w:r>
            <w:r>
              <w:rPr>
                <w:color w:val="000000"/>
                <w:szCs w:val="22"/>
                <w:vertAlign w:val="subscript"/>
              </w:rPr>
              <w:t>4</w:t>
            </w:r>
          </w:p>
        </w:tc>
        <w:tc>
          <w:tcPr>
            <w:tcW w:w="6911" w:type="dxa"/>
            <w:vAlign w:val="center"/>
          </w:tcPr>
          <w:p w:rsidR="00160801" w:rsidRDefault="00160801">
            <w:pPr>
              <w:rPr>
                <w:color w:val="000000"/>
                <w:szCs w:val="22"/>
              </w:rPr>
            </w:pPr>
            <w:r>
              <w:rPr>
                <w:color w:val="000000"/>
                <w:szCs w:val="22"/>
              </w:rPr>
              <w:t xml:space="preserve">sustained </w:t>
            </w:r>
            <w:proofErr w:type="spellStart"/>
            <w:r>
              <w:rPr>
                <w:color w:val="000000"/>
                <w:szCs w:val="22"/>
              </w:rPr>
              <w:t>virologic</w:t>
            </w:r>
            <w:proofErr w:type="spellEnd"/>
            <w:r>
              <w:rPr>
                <w:color w:val="000000"/>
                <w:szCs w:val="22"/>
              </w:rPr>
              <w:t xml:space="preserve"> response 4 weeks post-dosing</w:t>
            </w:r>
          </w:p>
        </w:tc>
      </w:tr>
      <w:tr w:rsidR="00160801" w:rsidRPr="00FD119B" w:rsidTr="003F3312">
        <w:tc>
          <w:tcPr>
            <w:tcW w:w="1809" w:type="dxa"/>
            <w:vAlign w:val="center"/>
          </w:tcPr>
          <w:p w:rsidR="00160801" w:rsidRDefault="00160801">
            <w:pPr>
              <w:rPr>
                <w:color w:val="000000"/>
                <w:szCs w:val="22"/>
              </w:rPr>
            </w:pPr>
            <w:r>
              <w:rPr>
                <w:color w:val="000000"/>
                <w:szCs w:val="22"/>
              </w:rPr>
              <w:t>SVR</w:t>
            </w:r>
            <w:r>
              <w:rPr>
                <w:color w:val="000000"/>
                <w:szCs w:val="22"/>
                <w:vertAlign w:val="subscript"/>
              </w:rPr>
              <w:t>12</w:t>
            </w:r>
          </w:p>
        </w:tc>
        <w:tc>
          <w:tcPr>
            <w:tcW w:w="6911" w:type="dxa"/>
            <w:vAlign w:val="center"/>
          </w:tcPr>
          <w:p w:rsidR="00160801" w:rsidRDefault="00160801">
            <w:pPr>
              <w:rPr>
                <w:color w:val="000000"/>
                <w:szCs w:val="22"/>
              </w:rPr>
            </w:pPr>
            <w:r>
              <w:rPr>
                <w:color w:val="000000"/>
                <w:szCs w:val="22"/>
              </w:rPr>
              <w:t xml:space="preserve">sustained </w:t>
            </w:r>
            <w:proofErr w:type="spellStart"/>
            <w:r>
              <w:rPr>
                <w:color w:val="000000"/>
                <w:szCs w:val="22"/>
              </w:rPr>
              <w:t>virologic</w:t>
            </w:r>
            <w:proofErr w:type="spellEnd"/>
            <w:r>
              <w:rPr>
                <w:color w:val="000000"/>
                <w:szCs w:val="22"/>
              </w:rPr>
              <w:t xml:space="preserve"> response 12 weeks post-dosing</w:t>
            </w:r>
          </w:p>
        </w:tc>
      </w:tr>
      <w:tr w:rsidR="00160801" w:rsidRPr="00FD119B" w:rsidTr="003F3312">
        <w:tc>
          <w:tcPr>
            <w:tcW w:w="1809" w:type="dxa"/>
            <w:vAlign w:val="center"/>
          </w:tcPr>
          <w:p w:rsidR="00160801" w:rsidRDefault="00160801">
            <w:pPr>
              <w:rPr>
                <w:color w:val="000000"/>
                <w:szCs w:val="22"/>
              </w:rPr>
            </w:pPr>
            <w:r>
              <w:rPr>
                <w:color w:val="000000"/>
                <w:szCs w:val="22"/>
              </w:rPr>
              <w:t>SVR</w:t>
            </w:r>
            <w:r>
              <w:rPr>
                <w:color w:val="000000"/>
                <w:szCs w:val="22"/>
                <w:vertAlign w:val="subscript"/>
              </w:rPr>
              <w:t>24</w:t>
            </w:r>
          </w:p>
        </w:tc>
        <w:tc>
          <w:tcPr>
            <w:tcW w:w="6911" w:type="dxa"/>
            <w:vAlign w:val="center"/>
          </w:tcPr>
          <w:p w:rsidR="00160801" w:rsidRDefault="00160801">
            <w:pPr>
              <w:rPr>
                <w:color w:val="000000"/>
                <w:szCs w:val="22"/>
              </w:rPr>
            </w:pPr>
            <w:r>
              <w:rPr>
                <w:color w:val="000000"/>
                <w:szCs w:val="22"/>
              </w:rPr>
              <w:t xml:space="preserve">sustained </w:t>
            </w:r>
            <w:proofErr w:type="spellStart"/>
            <w:r>
              <w:rPr>
                <w:color w:val="000000"/>
                <w:szCs w:val="22"/>
              </w:rPr>
              <w:t>virologic</w:t>
            </w:r>
            <w:proofErr w:type="spellEnd"/>
            <w:r>
              <w:rPr>
                <w:color w:val="000000"/>
                <w:szCs w:val="22"/>
              </w:rPr>
              <w:t xml:space="preserve"> response 24 weeks post-dosing</w:t>
            </w:r>
          </w:p>
        </w:tc>
      </w:tr>
      <w:tr w:rsidR="00160801" w:rsidRPr="00FD119B" w:rsidTr="003F3312">
        <w:tc>
          <w:tcPr>
            <w:tcW w:w="1809" w:type="dxa"/>
            <w:vAlign w:val="center"/>
          </w:tcPr>
          <w:p w:rsidR="00160801" w:rsidRDefault="00160801">
            <w:pPr>
              <w:rPr>
                <w:color w:val="000000"/>
                <w:szCs w:val="22"/>
              </w:rPr>
            </w:pPr>
            <w:r>
              <w:rPr>
                <w:color w:val="000000"/>
                <w:szCs w:val="22"/>
              </w:rPr>
              <w:t>ULN</w:t>
            </w:r>
          </w:p>
        </w:tc>
        <w:tc>
          <w:tcPr>
            <w:tcW w:w="6911" w:type="dxa"/>
            <w:vAlign w:val="center"/>
          </w:tcPr>
          <w:p w:rsidR="00160801" w:rsidRDefault="00160801">
            <w:pPr>
              <w:rPr>
                <w:color w:val="000000"/>
                <w:szCs w:val="22"/>
              </w:rPr>
            </w:pPr>
            <w:r>
              <w:rPr>
                <w:color w:val="000000"/>
                <w:szCs w:val="22"/>
              </w:rPr>
              <w:t>upper limit of normal</w:t>
            </w:r>
          </w:p>
        </w:tc>
      </w:tr>
      <w:tr w:rsidR="00160801" w:rsidRPr="00FD119B" w:rsidTr="003F3312">
        <w:tc>
          <w:tcPr>
            <w:tcW w:w="1809" w:type="dxa"/>
            <w:vAlign w:val="center"/>
          </w:tcPr>
          <w:p w:rsidR="00160801" w:rsidRDefault="00160801">
            <w:pPr>
              <w:rPr>
                <w:color w:val="000000"/>
                <w:szCs w:val="22"/>
              </w:rPr>
            </w:pPr>
            <w:r>
              <w:rPr>
                <w:color w:val="000000"/>
                <w:szCs w:val="22"/>
              </w:rPr>
              <w:t>VAS</w:t>
            </w:r>
          </w:p>
        </w:tc>
        <w:tc>
          <w:tcPr>
            <w:tcW w:w="6911" w:type="dxa"/>
            <w:vAlign w:val="center"/>
          </w:tcPr>
          <w:p w:rsidR="00160801" w:rsidRDefault="00160801">
            <w:pPr>
              <w:rPr>
                <w:color w:val="000000"/>
                <w:szCs w:val="22"/>
              </w:rPr>
            </w:pPr>
            <w:r>
              <w:rPr>
                <w:color w:val="000000"/>
                <w:szCs w:val="22"/>
              </w:rPr>
              <w:t>visual analogue scale</w:t>
            </w:r>
          </w:p>
        </w:tc>
      </w:tr>
      <w:tr w:rsidR="00160801" w:rsidRPr="00FD119B" w:rsidTr="003F3312">
        <w:tc>
          <w:tcPr>
            <w:tcW w:w="1809" w:type="dxa"/>
            <w:vAlign w:val="center"/>
          </w:tcPr>
          <w:p w:rsidR="00160801" w:rsidRDefault="00160801">
            <w:pPr>
              <w:rPr>
                <w:color w:val="000000"/>
                <w:szCs w:val="22"/>
              </w:rPr>
            </w:pPr>
            <w:r>
              <w:rPr>
                <w:color w:val="000000"/>
                <w:szCs w:val="22"/>
              </w:rPr>
              <w:t>WBC</w:t>
            </w:r>
          </w:p>
        </w:tc>
        <w:tc>
          <w:tcPr>
            <w:tcW w:w="6911" w:type="dxa"/>
            <w:vAlign w:val="center"/>
          </w:tcPr>
          <w:p w:rsidR="00160801" w:rsidRDefault="00160801">
            <w:pPr>
              <w:rPr>
                <w:color w:val="000000"/>
                <w:szCs w:val="22"/>
              </w:rPr>
            </w:pPr>
            <w:r>
              <w:rPr>
                <w:color w:val="000000"/>
                <w:szCs w:val="22"/>
              </w:rPr>
              <w:t>white blood cell</w:t>
            </w:r>
          </w:p>
        </w:tc>
      </w:tr>
    </w:tbl>
    <w:p w:rsidR="00FD119B" w:rsidRDefault="00FD119B" w:rsidP="00FD119B"/>
    <w:p w:rsidR="00FD119B" w:rsidRPr="00FD119B" w:rsidRDefault="00FD119B" w:rsidP="00FD119B">
      <w:pPr>
        <w:spacing w:before="0" w:after="200" w:line="0" w:lineRule="auto"/>
        <w:rPr>
          <w:b/>
          <w:i/>
          <w:sz w:val="24"/>
          <w:szCs w:val="24"/>
        </w:rPr>
      </w:pPr>
      <w:r w:rsidRPr="00FD119B">
        <w:rPr>
          <w:b/>
          <w:i/>
          <w:sz w:val="24"/>
          <w:szCs w:val="24"/>
        </w:rPr>
        <w:br w:type="page"/>
      </w:r>
    </w:p>
    <w:p w:rsidR="008E7846" w:rsidRDefault="00F53C07" w:rsidP="008E7846">
      <w:pPr>
        <w:pStyle w:val="Heading2"/>
      </w:pPr>
      <w:bookmarkStart w:id="12" w:name="_Toc497301606"/>
      <w:r>
        <w:lastRenderedPageBreak/>
        <w:t>I.</w:t>
      </w:r>
      <w:r w:rsidR="008E7846">
        <w:t xml:space="preserve"> Introduction to product submission</w:t>
      </w:r>
      <w:bookmarkEnd w:id="12"/>
      <w:bookmarkEnd w:id="4"/>
      <w:bookmarkEnd w:id="6"/>
    </w:p>
    <w:p w:rsidR="008E7846" w:rsidRDefault="008E7846" w:rsidP="008E7846">
      <w:pPr>
        <w:pStyle w:val="Heading3"/>
        <w:rPr>
          <w:lang w:eastAsia="en-AU"/>
        </w:rPr>
      </w:pPr>
      <w:bookmarkStart w:id="13" w:name="_Toc247691502"/>
      <w:bookmarkStart w:id="14" w:name="_Toc314842483"/>
      <w:bookmarkStart w:id="15" w:name="_Toc497301607"/>
      <w:r>
        <w:rPr>
          <w:lang w:eastAsia="en-AU"/>
        </w:rPr>
        <w:t>Submission details</w:t>
      </w:r>
      <w:bookmarkEnd w:id="13"/>
      <w:bookmarkEnd w:id="14"/>
      <w:bookmarkEnd w:id="15"/>
    </w:p>
    <w:tbl>
      <w:tblPr>
        <w:tblW w:w="9214" w:type="dxa"/>
        <w:tblInd w:w="108" w:type="dxa"/>
        <w:tblLook w:val="01E0" w:firstRow="1" w:lastRow="1" w:firstColumn="1" w:lastColumn="1" w:noHBand="0" w:noVBand="0"/>
      </w:tblPr>
      <w:tblGrid>
        <w:gridCol w:w="2907"/>
        <w:gridCol w:w="6307"/>
      </w:tblGrid>
      <w:tr w:rsidR="008E7846" w:rsidRPr="003D1E62" w:rsidTr="00156AEF">
        <w:trPr>
          <w:trHeight w:hRule="exact" w:val="454"/>
        </w:trPr>
        <w:tc>
          <w:tcPr>
            <w:tcW w:w="2907" w:type="dxa"/>
          </w:tcPr>
          <w:p w:rsidR="008E7846" w:rsidRPr="003D1E62" w:rsidRDefault="001B5C90" w:rsidP="001B5C90">
            <w:pPr>
              <w:rPr>
                <w:i/>
              </w:rPr>
            </w:pPr>
            <w:r>
              <w:rPr>
                <w:i/>
              </w:rPr>
              <w:t>Type of s</w:t>
            </w:r>
            <w:r w:rsidR="008E7846" w:rsidRPr="003D1E62">
              <w:rPr>
                <w:i/>
              </w:rPr>
              <w:t>ubmission</w:t>
            </w:r>
            <w:r>
              <w:rPr>
                <w:i/>
              </w:rPr>
              <w:t>:</w:t>
            </w:r>
          </w:p>
        </w:tc>
        <w:tc>
          <w:tcPr>
            <w:tcW w:w="6307" w:type="dxa"/>
          </w:tcPr>
          <w:p w:rsidR="008E7846" w:rsidRPr="003D1E62" w:rsidRDefault="00C77452" w:rsidP="001B5C90">
            <w:r>
              <w:t>Extension of indications</w:t>
            </w:r>
          </w:p>
        </w:tc>
      </w:tr>
      <w:tr w:rsidR="008E7846" w:rsidRPr="003D1E62" w:rsidTr="00156AEF">
        <w:trPr>
          <w:trHeight w:hRule="exact" w:val="454"/>
        </w:trPr>
        <w:tc>
          <w:tcPr>
            <w:tcW w:w="2907" w:type="dxa"/>
          </w:tcPr>
          <w:p w:rsidR="008E7846" w:rsidRPr="003D1E62" w:rsidRDefault="008E7846" w:rsidP="003D1E62">
            <w:r w:rsidRPr="003D1E62">
              <w:rPr>
                <w:i/>
              </w:rPr>
              <w:t>Decision</w:t>
            </w:r>
            <w:r w:rsidRPr="003D1E62">
              <w:t>:</w:t>
            </w:r>
          </w:p>
        </w:tc>
        <w:tc>
          <w:tcPr>
            <w:tcW w:w="6307" w:type="dxa"/>
          </w:tcPr>
          <w:p w:rsidR="008E7846" w:rsidRPr="003D1E62" w:rsidRDefault="00C77452" w:rsidP="00C77452">
            <w:r>
              <w:t>Approved</w:t>
            </w:r>
          </w:p>
        </w:tc>
      </w:tr>
      <w:tr w:rsidR="008E7846" w:rsidRPr="003D1E62" w:rsidTr="00156AEF">
        <w:trPr>
          <w:trHeight w:hRule="exact" w:val="454"/>
        </w:trPr>
        <w:tc>
          <w:tcPr>
            <w:tcW w:w="2907" w:type="dxa"/>
          </w:tcPr>
          <w:p w:rsidR="008E7846" w:rsidRPr="003D1E62" w:rsidRDefault="008E7846" w:rsidP="001B5C90">
            <w:pPr>
              <w:rPr>
                <w:i/>
              </w:rPr>
            </w:pPr>
            <w:r w:rsidRPr="003D1E62">
              <w:rPr>
                <w:i/>
              </w:rPr>
              <w:t xml:space="preserve">Date of </w:t>
            </w:r>
            <w:r w:rsidR="001B5C90">
              <w:rPr>
                <w:i/>
              </w:rPr>
              <w:t>d</w:t>
            </w:r>
            <w:r w:rsidRPr="003D1E62">
              <w:rPr>
                <w:i/>
              </w:rPr>
              <w:t>ecision:</w:t>
            </w:r>
          </w:p>
        </w:tc>
        <w:tc>
          <w:tcPr>
            <w:tcW w:w="6307" w:type="dxa"/>
          </w:tcPr>
          <w:p w:rsidR="008E7846" w:rsidRPr="003D1E62" w:rsidRDefault="0091183E" w:rsidP="001B5C90">
            <w:r>
              <w:t>17 November 2016</w:t>
            </w:r>
          </w:p>
        </w:tc>
      </w:tr>
      <w:tr w:rsidR="00ED2922" w:rsidRPr="003D1E62" w:rsidTr="00156AEF">
        <w:trPr>
          <w:trHeight w:hRule="exact" w:val="454"/>
        </w:trPr>
        <w:tc>
          <w:tcPr>
            <w:tcW w:w="2907" w:type="dxa"/>
          </w:tcPr>
          <w:p w:rsidR="00ED2922" w:rsidRPr="00441C3F" w:rsidRDefault="00ED2922" w:rsidP="001B5C90">
            <w:pPr>
              <w:rPr>
                <w:i/>
              </w:rPr>
            </w:pPr>
            <w:r w:rsidRPr="00441C3F">
              <w:rPr>
                <w:i/>
              </w:rPr>
              <w:t>Date of entry onto ARTG</w:t>
            </w:r>
          </w:p>
        </w:tc>
        <w:tc>
          <w:tcPr>
            <w:tcW w:w="6307" w:type="dxa"/>
          </w:tcPr>
          <w:p w:rsidR="00ED2922" w:rsidRPr="00441C3F" w:rsidRDefault="008C02CA" w:rsidP="00EC463D">
            <w:pPr>
              <w:rPr>
                <w:i/>
              </w:rPr>
            </w:pPr>
            <w:r>
              <w:t>30 November 2016</w:t>
            </w:r>
          </w:p>
        </w:tc>
      </w:tr>
      <w:tr w:rsidR="008E7846" w:rsidRPr="00487162" w:rsidTr="00156AEF">
        <w:tc>
          <w:tcPr>
            <w:tcW w:w="2907" w:type="dxa"/>
          </w:tcPr>
          <w:p w:rsidR="008E7846" w:rsidRPr="00487162" w:rsidRDefault="00F25A73" w:rsidP="00E45619">
            <w:pPr>
              <w:rPr>
                <w:i/>
              </w:rPr>
            </w:pPr>
            <w:r>
              <w:rPr>
                <w:i/>
              </w:rPr>
              <w:t>Active ingredients</w:t>
            </w:r>
            <w:r w:rsidR="001B5C90">
              <w:rPr>
                <w:i/>
              </w:rPr>
              <w:t>:</w:t>
            </w:r>
          </w:p>
        </w:tc>
        <w:tc>
          <w:tcPr>
            <w:tcW w:w="6307" w:type="dxa"/>
          </w:tcPr>
          <w:p w:rsidR="008E7846" w:rsidRPr="00487162" w:rsidRDefault="00096321" w:rsidP="00E45619">
            <w:proofErr w:type="spellStart"/>
            <w:r>
              <w:t>P</w:t>
            </w:r>
            <w:r w:rsidRPr="00D9042D">
              <w:t>aritaprevir</w:t>
            </w:r>
            <w:proofErr w:type="spellEnd"/>
            <w:r>
              <w:t xml:space="preserve"> </w:t>
            </w:r>
            <w:r w:rsidRPr="00D9042D">
              <w:t>/</w:t>
            </w:r>
            <w:r>
              <w:t xml:space="preserve"> </w:t>
            </w:r>
            <w:r w:rsidRPr="00D9042D">
              <w:t>ritonavir</w:t>
            </w:r>
            <w:r>
              <w:t xml:space="preserve"> </w:t>
            </w:r>
            <w:r w:rsidRPr="00D9042D">
              <w:t>/</w:t>
            </w:r>
            <w:r>
              <w:t xml:space="preserve"> </w:t>
            </w:r>
            <w:proofErr w:type="spellStart"/>
            <w:r w:rsidRPr="00D9042D">
              <w:t>ombitasvir</w:t>
            </w:r>
            <w:proofErr w:type="spellEnd"/>
          </w:p>
        </w:tc>
      </w:tr>
      <w:tr w:rsidR="008E7846" w:rsidRPr="00487162" w:rsidTr="00156AEF">
        <w:tc>
          <w:tcPr>
            <w:tcW w:w="2907" w:type="dxa"/>
          </w:tcPr>
          <w:p w:rsidR="008E7846" w:rsidRPr="00487162" w:rsidRDefault="008E7846" w:rsidP="001B5C90">
            <w:pPr>
              <w:rPr>
                <w:i/>
              </w:rPr>
            </w:pPr>
            <w:r w:rsidRPr="00487162">
              <w:rPr>
                <w:i/>
              </w:rPr>
              <w:t>Product</w:t>
            </w:r>
            <w:r w:rsidR="00F25A73">
              <w:rPr>
                <w:i/>
              </w:rPr>
              <w:t xml:space="preserve"> name</w:t>
            </w:r>
            <w:r w:rsidR="001B5C90">
              <w:rPr>
                <w:i/>
              </w:rPr>
              <w:t>:</w:t>
            </w:r>
          </w:p>
        </w:tc>
        <w:tc>
          <w:tcPr>
            <w:tcW w:w="6307" w:type="dxa"/>
          </w:tcPr>
          <w:p w:rsidR="008E7846" w:rsidRPr="00487162" w:rsidRDefault="00BD2C04" w:rsidP="00E45619">
            <w:proofErr w:type="spellStart"/>
            <w:r>
              <w:t>Technivie</w:t>
            </w:r>
            <w:proofErr w:type="spellEnd"/>
          </w:p>
        </w:tc>
      </w:tr>
      <w:tr w:rsidR="008E7846" w:rsidRPr="00487162" w:rsidTr="00156AEF">
        <w:tc>
          <w:tcPr>
            <w:tcW w:w="2907" w:type="dxa"/>
          </w:tcPr>
          <w:p w:rsidR="008E7846" w:rsidRPr="00487162" w:rsidRDefault="008E7846" w:rsidP="001B5C90">
            <w:pPr>
              <w:rPr>
                <w:i/>
              </w:rPr>
            </w:pPr>
            <w:r w:rsidRPr="00487162">
              <w:rPr>
                <w:i/>
              </w:rPr>
              <w:t xml:space="preserve">Sponsor’s </w:t>
            </w:r>
            <w:r w:rsidR="001B5C90">
              <w:rPr>
                <w:i/>
              </w:rPr>
              <w:t>n</w:t>
            </w:r>
            <w:r w:rsidRPr="00487162">
              <w:rPr>
                <w:i/>
              </w:rPr>
              <w:t xml:space="preserve">ame and </w:t>
            </w:r>
            <w:r w:rsidR="001B5C90">
              <w:rPr>
                <w:i/>
              </w:rPr>
              <w:t>a</w:t>
            </w:r>
            <w:r w:rsidRPr="00487162">
              <w:rPr>
                <w:i/>
              </w:rPr>
              <w:t>ddress:</w:t>
            </w:r>
          </w:p>
        </w:tc>
        <w:tc>
          <w:tcPr>
            <w:tcW w:w="6307" w:type="dxa"/>
          </w:tcPr>
          <w:p w:rsidR="008E7846" w:rsidRDefault="009A7F44" w:rsidP="00E45619">
            <w:r>
              <w:t xml:space="preserve">AbbVie </w:t>
            </w:r>
            <w:r w:rsidR="00A17930">
              <w:t>Pty Ltd</w:t>
            </w:r>
          </w:p>
          <w:p w:rsidR="009A7F44" w:rsidRDefault="00837A1C" w:rsidP="00E45619">
            <w:r>
              <w:t xml:space="preserve">Level 7, </w:t>
            </w:r>
            <w:r w:rsidR="00E20DB1">
              <w:t xml:space="preserve">241 </w:t>
            </w:r>
            <w:proofErr w:type="spellStart"/>
            <w:r w:rsidR="00E20DB1">
              <w:t>O’</w:t>
            </w:r>
            <w:r w:rsidR="009A7F44">
              <w:t>Riordan</w:t>
            </w:r>
            <w:proofErr w:type="spellEnd"/>
            <w:r w:rsidR="009A7F44">
              <w:t xml:space="preserve"> Street</w:t>
            </w:r>
          </w:p>
          <w:p w:rsidR="009A7F44" w:rsidRPr="00487162" w:rsidRDefault="009A7F44" w:rsidP="00E45619">
            <w:r w:rsidRPr="009A7F44">
              <w:t>Mascot NSW 2020</w:t>
            </w:r>
          </w:p>
        </w:tc>
      </w:tr>
      <w:tr w:rsidR="008E7846" w:rsidRPr="00487162" w:rsidTr="00156AEF">
        <w:tc>
          <w:tcPr>
            <w:tcW w:w="2907" w:type="dxa"/>
          </w:tcPr>
          <w:p w:rsidR="008E7846" w:rsidRPr="00487162" w:rsidRDefault="002D6DEC" w:rsidP="00E45619">
            <w:pPr>
              <w:rPr>
                <w:i/>
              </w:rPr>
            </w:pPr>
            <w:r>
              <w:rPr>
                <w:i/>
              </w:rPr>
              <w:t>Dose form</w:t>
            </w:r>
            <w:r w:rsidR="001B5C90">
              <w:rPr>
                <w:i/>
              </w:rPr>
              <w:t>:</w:t>
            </w:r>
          </w:p>
        </w:tc>
        <w:tc>
          <w:tcPr>
            <w:tcW w:w="6307" w:type="dxa"/>
          </w:tcPr>
          <w:p w:rsidR="008E7846" w:rsidRPr="002D6DEC" w:rsidRDefault="002D6DEC" w:rsidP="002D6DEC">
            <w:r>
              <w:t xml:space="preserve">Fixed dose </w:t>
            </w:r>
            <w:r w:rsidRPr="002D6DEC">
              <w:t>combination tablets</w:t>
            </w:r>
          </w:p>
        </w:tc>
      </w:tr>
      <w:tr w:rsidR="008E7846" w:rsidRPr="00487162" w:rsidTr="00156AEF">
        <w:tc>
          <w:tcPr>
            <w:tcW w:w="2907" w:type="dxa"/>
          </w:tcPr>
          <w:p w:rsidR="008E7846" w:rsidRPr="00487162" w:rsidRDefault="00873665" w:rsidP="00E45619">
            <w:pPr>
              <w:rPr>
                <w:i/>
              </w:rPr>
            </w:pPr>
            <w:r>
              <w:rPr>
                <w:i/>
              </w:rPr>
              <w:t>Strengths</w:t>
            </w:r>
            <w:r w:rsidR="008E7846" w:rsidRPr="00487162">
              <w:rPr>
                <w:i/>
              </w:rPr>
              <w:t xml:space="preserve">: </w:t>
            </w:r>
          </w:p>
        </w:tc>
        <w:tc>
          <w:tcPr>
            <w:tcW w:w="6307" w:type="dxa"/>
          </w:tcPr>
          <w:p w:rsidR="008E7846" w:rsidRPr="00487162" w:rsidRDefault="00873665" w:rsidP="006404F7">
            <w:proofErr w:type="spellStart"/>
            <w:r w:rsidRPr="00873665">
              <w:t>Paritaprevir</w:t>
            </w:r>
            <w:proofErr w:type="spellEnd"/>
            <w:r w:rsidRPr="00873665">
              <w:t xml:space="preserve"> / </w:t>
            </w:r>
            <w:r w:rsidR="006404F7">
              <w:t>r</w:t>
            </w:r>
            <w:r w:rsidRPr="00873665">
              <w:t xml:space="preserve">itonavir / </w:t>
            </w:r>
            <w:proofErr w:type="spellStart"/>
            <w:r w:rsidR="006404F7">
              <w:t>o</w:t>
            </w:r>
            <w:r w:rsidRPr="00873665">
              <w:t>mbitasvir</w:t>
            </w:r>
            <w:proofErr w:type="spellEnd"/>
            <w:r w:rsidRPr="00873665">
              <w:t xml:space="preserve"> 75/50/12.5</w:t>
            </w:r>
            <w:r w:rsidR="00DE31A7">
              <w:t xml:space="preserve"> mg</w:t>
            </w:r>
          </w:p>
        </w:tc>
      </w:tr>
      <w:tr w:rsidR="008E7846" w:rsidRPr="00487162" w:rsidTr="00156AEF">
        <w:tc>
          <w:tcPr>
            <w:tcW w:w="2907" w:type="dxa"/>
          </w:tcPr>
          <w:p w:rsidR="008E7846" w:rsidRPr="00487162" w:rsidRDefault="00CE4D1D" w:rsidP="00E45619">
            <w:pPr>
              <w:rPr>
                <w:i/>
              </w:rPr>
            </w:pPr>
            <w:r>
              <w:rPr>
                <w:i/>
              </w:rPr>
              <w:t>Container</w:t>
            </w:r>
            <w:r w:rsidR="008E7846" w:rsidRPr="00487162">
              <w:rPr>
                <w:i/>
              </w:rPr>
              <w:t>:</w:t>
            </w:r>
          </w:p>
        </w:tc>
        <w:tc>
          <w:tcPr>
            <w:tcW w:w="6307" w:type="dxa"/>
          </w:tcPr>
          <w:p w:rsidR="008E7846" w:rsidRPr="00487162" w:rsidRDefault="00CE4D1D" w:rsidP="00E45619">
            <w:r>
              <w:t>C</w:t>
            </w:r>
            <w:r w:rsidRPr="00CE4D1D">
              <w:t>omponents co-packaged within a PVC/PE/PCTFE (</w:t>
            </w:r>
            <w:proofErr w:type="spellStart"/>
            <w:r w:rsidRPr="00CE4D1D">
              <w:t>Aclar</w:t>
            </w:r>
            <w:proofErr w:type="spellEnd"/>
            <w:r w:rsidRPr="00CE4D1D">
              <w:t>)/Al blister pack</w:t>
            </w:r>
          </w:p>
        </w:tc>
      </w:tr>
      <w:tr w:rsidR="008E7846" w:rsidRPr="00487162" w:rsidTr="00156AEF">
        <w:tc>
          <w:tcPr>
            <w:tcW w:w="2907" w:type="dxa"/>
          </w:tcPr>
          <w:p w:rsidR="008E7846" w:rsidRPr="00487162" w:rsidRDefault="00906B85" w:rsidP="00906B85">
            <w:pPr>
              <w:rPr>
                <w:i/>
              </w:rPr>
            </w:pPr>
            <w:r>
              <w:rPr>
                <w:i/>
              </w:rPr>
              <w:t>Pack size</w:t>
            </w:r>
            <w:r w:rsidR="008E7846" w:rsidRPr="00487162">
              <w:rPr>
                <w:i/>
              </w:rPr>
              <w:t>:</w:t>
            </w:r>
          </w:p>
        </w:tc>
        <w:tc>
          <w:tcPr>
            <w:tcW w:w="6307" w:type="dxa"/>
          </w:tcPr>
          <w:p w:rsidR="008E7846" w:rsidRPr="00487162" w:rsidRDefault="00906B85" w:rsidP="006B6FC4">
            <w:r w:rsidRPr="00906B85">
              <w:t xml:space="preserve">56 </w:t>
            </w:r>
            <w:proofErr w:type="spellStart"/>
            <w:r w:rsidRPr="00906B85">
              <w:t>paritaprevir</w:t>
            </w:r>
            <w:proofErr w:type="spellEnd"/>
            <w:r w:rsidRPr="00906B85">
              <w:t>/ritonavir/</w:t>
            </w:r>
            <w:proofErr w:type="spellStart"/>
            <w:r w:rsidRPr="00906B85">
              <w:t>ombitasvir</w:t>
            </w:r>
            <w:proofErr w:type="spellEnd"/>
            <w:r w:rsidRPr="00906B85">
              <w:t xml:space="preserve"> 75</w:t>
            </w:r>
            <w:r w:rsidR="003A7588">
              <w:t xml:space="preserve">/50/12.5 </w:t>
            </w:r>
            <w:r w:rsidR="006B6FC4">
              <w:t xml:space="preserve">mg </w:t>
            </w:r>
            <w:r w:rsidR="003A7588">
              <w:t>tablets (28</w:t>
            </w:r>
            <w:r w:rsidR="006B6FC4">
              <w:t xml:space="preserve"> </w:t>
            </w:r>
            <w:r w:rsidR="003A7588">
              <w:t>day supply)</w:t>
            </w:r>
          </w:p>
        </w:tc>
      </w:tr>
      <w:tr w:rsidR="008E7846" w:rsidRPr="00487162" w:rsidTr="00156AEF">
        <w:tc>
          <w:tcPr>
            <w:tcW w:w="2907" w:type="dxa"/>
          </w:tcPr>
          <w:p w:rsidR="008E7846" w:rsidRPr="00487162" w:rsidRDefault="008E7846" w:rsidP="001B5C90">
            <w:pPr>
              <w:rPr>
                <w:i/>
              </w:rPr>
            </w:pPr>
            <w:r w:rsidRPr="00487162">
              <w:rPr>
                <w:i/>
              </w:rPr>
              <w:t xml:space="preserve">Approved </w:t>
            </w:r>
            <w:r w:rsidR="001B5C90">
              <w:rPr>
                <w:i/>
              </w:rPr>
              <w:t>t</w:t>
            </w:r>
            <w:r w:rsidRPr="00487162">
              <w:rPr>
                <w:i/>
              </w:rPr>
              <w:t>herapeutic use:</w:t>
            </w:r>
          </w:p>
        </w:tc>
        <w:tc>
          <w:tcPr>
            <w:tcW w:w="6307" w:type="dxa"/>
          </w:tcPr>
          <w:p w:rsidR="008E7846" w:rsidRPr="00487162" w:rsidRDefault="00DF24A2" w:rsidP="00DF24A2">
            <w:pPr>
              <w:rPr>
                <w:rFonts w:eastAsia="MS Mincho"/>
                <w:lang w:eastAsia="ja-JP"/>
              </w:rPr>
            </w:pPr>
            <w:proofErr w:type="spellStart"/>
            <w:r w:rsidRPr="00DF24A2">
              <w:rPr>
                <w:lang w:eastAsia="ja-JP"/>
              </w:rPr>
              <w:t>Technivie</w:t>
            </w:r>
            <w:proofErr w:type="spellEnd"/>
            <w:r w:rsidRPr="00DF24A2">
              <w:rPr>
                <w:lang w:eastAsia="ja-JP"/>
              </w:rPr>
              <w:t xml:space="preserve"> is indicated in combination with ribavirin for the treatment of adult patients with genotype 4 chronic hepatitis C virus (HCV) infection</w:t>
            </w:r>
          </w:p>
        </w:tc>
      </w:tr>
      <w:tr w:rsidR="008E7846" w:rsidRPr="00487162" w:rsidTr="00156AEF">
        <w:tc>
          <w:tcPr>
            <w:tcW w:w="2907" w:type="dxa"/>
          </w:tcPr>
          <w:p w:rsidR="008E7846" w:rsidRPr="00487162" w:rsidRDefault="00F31EBB" w:rsidP="00E45619">
            <w:pPr>
              <w:rPr>
                <w:i/>
              </w:rPr>
            </w:pPr>
            <w:r>
              <w:rPr>
                <w:i/>
              </w:rPr>
              <w:t xml:space="preserve">Route </w:t>
            </w:r>
            <w:r w:rsidR="008E7846" w:rsidRPr="00487162">
              <w:rPr>
                <w:i/>
              </w:rPr>
              <w:t>of administration:</w:t>
            </w:r>
          </w:p>
        </w:tc>
        <w:tc>
          <w:tcPr>
            <w:tcW w:w="6307" w:type="dxa"/>
          </w:tcPr>
          <w:p w:rsidR="008E7846" w:rsidRPr="00487162" w:rsidRDefault="009B7FA4" w:rsidP="00E45619">
            <w:r>
              <w:t>Oral</w:t>
            </w:r>
          </w:p>
        </w:tc>
      </w:tr>
      <w:tr w:rsidR="008E7846" w:rsidRPr="00487162" w:rsidTr="00156AEF">
        <w:tc>
          <w:tcPr>
            <w:tcW w:w="2907" w:type="dxa"/>
          </w:tcPr>
          <w:p w:rsidR="008E7846" w:rsidRPr="00487162" w:rsidRDefault="008E7846" w:rsidP="00E45619">
            <w:pPr>
              <w:rPr>
                <w:i/>
              </w:rPr>
            </w:pPr>
            <w:r w:rsidRPr="00487162">
              <w:rPr>
                <w:i/>
              </w:rPr>
              <w:t>Dosage:</w:t>
            </w:r>
          </w:p>
        </w:tc>
        <w:tc>
          <w:tcPr>
            <w:tcW w:w="6307" w:type="dxa"/>
          </w:tcPr>
          <w:p w:rsidR="008E7846" w:rsidRPr="00487162" w:rsidRDefault="00F31EBB" w:rsidP="00E45619">
            <w:r>
              <w:t>Recommended dose is two tablets once daily (in the morning) with a meal</w:t>
            </w:r>
          </w:p>
        </w:tc>
      </w:tr>
      <w:tr w:rsidR="008E7846" w:rsidRPr="00487162" w:rsidTr="00156AEF">
        <w:tc>
          <w:tcPr>
            <w:tcW w:w="2907" w:type="dxa"/>
          </w:tcPr>
          <w:p w:rsidR="008E7846" w:rsidRPr="00487162" w:rsidRDefault="008E7846" w:rsidP="001B5C90">
            <w:pPr>
              <w:rPr>
                <w:i/>
              </w:rPr>
            </w:pPr>
            <w:r w:rsidRPr="00487162">
              <w:rPr>
                <w:i/>
              </w:rPr>
              <w:t xml:space="preserve">ARTG </w:t>
            </w:r>
            <w:r w:rsidR="001B5C90">
              <w:rPr>
                <w:i/>
              </w:rPr>
              <w:t>n</w:t>
            </w:r>
            <w:r w:rsidR="00F31EBB">
              <w:rPr>
                <w:i/>
              </w:rPr>
              <w:t>umbe</w:t>
            </w:r>
            <w:r w:rsidR="00713F29">
              <w:rPr>
                <w:i/>
              </w:rPr>
              <w:t>r</w:t>
            </w:r>
            <w:r w:rsidR="001B5C90">
              <w:rPr>
                <w:i/>
              </w:rPr>
              <w:t>:</w:t>
            </w:r>
          </w:p>
        </w:tc>
        <w:tc>
          <w:tcPr>
            <w:tcW w:w="6307" w:type="dxa"/>
          </w:tcPr>
          <w:p w:rsidR="008E7846" w:rsidRPr="00487162" w:rsidRDefault="00A74AA6" w:rsidP="00E45619">
            <w:r w:rsidRPr="00A74AA6">
              <w:t>263912</w:t>
            </w:r>
          </w:p>
        </w:tc>
      </w:tr>
    </w:tbl>
    <w:p w:rsidR="008E7846" w:rsidRDefault="008E7846" w:rsidP="008E7846">
      <w:pPr>
        <w:pStyle w:val="Heading3"/>
      </w:pPr>
      <w:bookmarkStart w:id="16" w:name="_Toc247691503"/>
      <w:bookmarkStart w:id="17" w:name="_Toc314842484"/>
      <w:bookmarkStart w:id="18" w:name="_Toc497301608"/>
      <w:r>
        <w:t>Product background</w:t>
      </w:r>
      <w:bookmarkEnd w:id="16"/>
      <w:bookmarkEnd w:id="17"/>
      <w:bookmarkEnd w:id="18"/>
    </w:p>
    <w:p w:rsidR="006050D2" w:rsidRDefault="000B442F" w:rsidP="00D131C3">
      <w:r w:rsidRPr="0034149E">
        <w:t xml:space="preserve">This AusPAR describes the application by </w:t>
      </w:r>
      <w:r w:rsidR="0061246A">
        <w:t>AbbV</w:t>
      </w:r>
      <w:r w:rsidR="00650D4C" w:rsidRPr="002C2D34">
        <w:t xml:space="preserve">ie Pty Ltd </w:t>
      </w:r>
      <w:r w:rsidR="00F67EFB">
        <w:t xml:space="preserve">to extend the </w:t>
      </w:r>
      <w:r w:rsidR="00650D4C" w:rsidRPr="002C2D34">
        <w:t>indications for its antiviral fixed dosed combination</w:t>
      </w:r>
      <w:r w:rsidR="00AA0EFD">
        <w:t xml:space="preserve"> (FDC)</w:t>
      </w:r>
      <w:r w:rsidR="00650D4C" w:rsidRPr="002C2D34">
        <w:t xml:space="preserve"> film</w:t>
      </w:r>
      <w:r w:rsidR="00BA6CC0">
        <w:t xml:space="preserve"> </w:t>
      </w:r>
      <w:r w:rsidR="00650D4C" w:rsidRPr="002C2D34">
        <w:t>coated tablet comprising of 75</w:t>
      </w:r>
      <w:r w:rsidR="00587EC0">
        <w:t xml:space="preserve"> </w:t>
      </w:r>
      <w:r w:rsidR="00650D4C" w:rsidRPr="002C2D34">
        <w:t xml:space="preserve">mg </w:t>
      </w:r>
      <w:proofErr w:type="spellStart"/>
      <w:r w:rsidR="00650D4C" w:rsidRPr="002C2D34">
        <w:t>paritaprevir</w:t>
      </w:r>
      <w:proofErr w:type="spellEnd"/>
      <w:r w:rsidR="00650D4C" w:rsidRPr="002C2D34">
        <w:t>, 50</w:t>
      </w:r>
      <w:r w:rsidR="00587EC0">
        <w:t xml:space="preserve"> </w:t>
      </w:r>
      <w:r w:rsidR="00650D4C" w:rsidRPr="002C2D34">
        <w:t>mg ritonavir and 12.5</w:t>
      </w:r>
      <w:r w:rsidR="00587EC0">
        <w:t xml:space="preserve"> </w:t>
      </w:r>
      <w:r w:rsidR="00650D4C" w:rsidRPr="002C2D34">
        <w:t xml:space="preserve">mg </w:t>
      </w:r>
      <w:proofErr w:type="spellStart"/>
      <w:r w:rsidR="00650D4C" w:rsidRPr="002C2D34">
        <w:t>ombitasvir</w:t>
      </w:r>
      <w:proofErr w:type="spellEnd"/>
      <w:r w:rsidR="00650D4C">
        <w:t xml:space="preserve"> in </w:t>
      </w:r>
      <w:r w:rsidR="00650D4C" w:rsidRPr="0036783C">
        <w:t>PVC/PE/PCTFE (</w:t>
      </w:r>
      <w:proofErr w:type="spellStart"/>
      <w:r w:rsidR="00650D4C" w:rsidRPr="0036783C">
        <w:t>Aclar</w:t>
      </w:r>
      <w:proofErr w:type="spellEnd"/>
      <w:r w:rsidR="00650D4C" w:rsidRPr="0036783C">
        <w:t>)/Al</w:t>
      </w:r>
      <w:r w:rsidR="00650D4C">
        <w:t xml:space="preserve"> blister packs, under the tradename</w:t>
      </w:r>
      <w:r w:rsidR="00D73517">
        <w:t>,</w:t>
      </w:r>
      <w:r w:rsidR="00650D4C">
        <w:t xml:space="preserve"> </w:t>
      </w:r>
      <w:proofErr w:type="spellStart"/>
      <w:r w:rsidR="00D73517">
        <w:t>Technivie</w:t>
      </w:r>
      <w:proofErr w:type="spellEnd"/>
      <w:r w:rsidR="00650D4C" w:rsidRPr="002C2D34">
        <w:t>.</w:t>
      </w:r>
    </w:p>
    <w:p w:rsidR="00BC0E96" w:rsidRDefault="00BC0E96" w:rsidP="00BC0E96">
      <w:r>
        <w:t xml:space="preserve">The </w:t>
      </w:r>
      <w:proofErr w:type="spellStart"/>
      <w:r>
        <w:t>Technivie</w:t>
      </w:r>
      <w:proofErr w:type="spellEnd"/>
      <w:r>
        <w:t xml:space="preserve"> </w:t>
      </w:r>
      <w:r w:rsidRPr="002C2D34">
        <w:t xml:space="preserve">combination tablet has already been registered as a component of </w:t>
      </w:r>
      <w:r>
        <w:t xml:space="preserve">AbbVie’s composite packs </w:t>
      </w:r>
      <w:proofErr w:type="spellStart"/>
      <w:r w:rsidR="006959E0">
        <w:t>Viekira</w:t>
      </w:r>
      <w:proofErr w:type="spellEnd"/>
      <w:r w:rsidR="006959E0">
        <w:t xml:space="preserve"> Pak</w:t>
      </w:r>
      <w:r>
        <w:t xml:space="preserve"> and </w:t>
      </w:r>
      <w:proofErr w:type="spellStart"/>
      <w:r w:rsidR="006959E0">
        <w:t>Viekira</w:t>
      </w:r>
      <w:proofErr w:type="spellEnd"/>
      <w:r w:rsidR="006959E0">
        <w:t xml:space="preserve"> Pak-RBV</w:t>
      </w:r>
      <w:r>
        <w:t xml:space="preserve">, </w:t>
      </w:r>
      <w:r w:rsidRPr="002C2D34">
        <w:t xml:space="preserve">which </w:t>
      </w:r>
      <w:r>
        <w:t xml:space="preserve">are </w:t>
      </w:r>
      <w:proofErr w:type="gramStart"/>
      <w:r>
        <w:t>company</w:t>
      </w:r>
      <w:proofErr w:type="gramEnd"/>
      <w:r w:rsidR="00860573">
        <w:t xml:space="preserve"> </w:t>
      </w:r>
      <w:r>
        <w:t>packaged with</w:t>
      </w:r>
      <w:r w:rsidRPr="002C2D34">
        <w:t xml:space="preserve"> </w:t>
      </w:r>
      <w:proofErr w:type="spellStart"/>
      <w:r w:rsidRPr="002C2D34">
        <w:t>dasabuvir</w:t>
      </w:r>
      <w:proofErr w:type="spellEnd"/>
      <w:r w:rsidRPr="002C2D34">
        <w:t xml:space="preserve"> and/or ribavirin</w:t>
      </w:r>
      <w:r w:rsidR="00373668">
        <w:t xml:space="preserve"> (RBV)</w:t>
      </w:r>
      <w:r w:rsidRPr="002C2D34">
        <w:t xml:space="preserve"> tablets. </w:t>
      </w:r>
      <w:r>
        <w:t>These registered combination therapy packs are indicated for the treatment of:</w:t>
      </w:r>
    </w:p>
    <w:p w:rsidR="00BC0E96" w:rsidRPr="00587EC0" w:rsidRDefault="00BC0E96" w:rsidP="00BC0E96">
      <w:pPr>
        <w:ind w:firstLine="720"/>
        <w:rPr>
          <w:i/>
        </w:rPr>
      </w:pPr>
      <w:proofErr w:type="gramStart"/>
      <w:r w:rsidRPr="00587EC0">
        <w:rPr>
          <w:b/>
          <w:i/>
        </w:rPr>
        <w:t>genotype</w:t>
      </w:r>
      <w:proofErr w:type="gramEnd"/>
      <w:r w:rsidRPr="00587EC0">
        <w:rPr>
          <w:b/>
          <w:i/>
        </w:rPr>
        <w:t xml:space="preserve"> 1</w:t>
      </w:r>
      <w:r w:rsidRPr="00587EC0">
        <w:rPr>
          <w:i/>
        </w:rPr>
        <w:t xml:space="preserve"> chronic hepatitis C infection, including patients </w:t>
      </w:r>
      <w:r w:rsidRPr="00587EC0">
        <w:rPr>
          <w:b/>
          <w:i/>
        </w:rPr>
        <w:t>with</w:t>
      </w:r>
      <w:r w:rsidRPr="00587EC0">
        <w:rPr>
          <w:i/>
        </w:rPr>
        <w:t xml:space="preserve"> cirrhosis</w:t>
      </w:r>
    </w:p>
    <w:p w:rsidR="00BC0E96" w:rsidRDefault="00BC0E96" w:rsidP="00BC0E96">
      <w:r w:rsidRPr="00587EC0">
        <w:lastRenderedPageBreak/>
        <w:t>However, the combination tablet component is now proposed for registration</w:t>
      </w:r>
      <w:r>
        <w:t xml:space="preserve"> as a standalone</w:t>
      </w:r>
      <w:r w:rsidRPr="00587EC0">
        <w:t xml:space="preserve"> product </w:t>
      </w:r>
      <w:proofErr w:type="spellStart"/>
      <w:r>
        <w:t>Technivie</w:t>
      </w:r>
      <w:proofErr w:type="spellEnd"/>
      <w:r w:rsidRPr="00587EC0">
        <w:t xml:space="preserve"> with different indications:</w:t>
      </w:r>
    </w:p>
    <w:p w:rsidR="00BC0E96" w:rsidRPr="00587EC0" w:rsidRDefault="00BC0E96" w:rsidP="00BC0E96">
      <w:pPr>
        <w:ind w:left="720"/>
        <w:rPr>
          <w:i/>
        </w:rPr>
      </w:pPr>
      <w:proofErr w:type="gramStart"/>
      <w:r w:rsidRPr="00587EC0">
        <w:rPr>
          <w:i/>
        </w:rPr>
        <w:t>for</w:t>
      </w:r>
      <w:proofErr w:type="gramEnd"/>
      <w:r w:rsidRPr="00587EC0">
        <w:rPr>
          <w:i/>
        </w:rPr>
        <w:t xml:space="preserve"> the treatment, in combination with ribavirin, for the treatment of </w:t>
      </w:r>
      <w:r w:rsidRPr="00587EC0">
        <w:rPr>
          <w:b/>
          <w:i/>
        </w:rPr>
        <w:t>genotype 4</w:t>
      </w:r>
      <w:r w:rsidRPr="00587EC0">
        <w:rPr>
          <w:i/>
        </w:rPr>
        <w:t xml:space="preserve"> chronic hepatitis C virus (HCV) infection </w:t>
      </w:r>
      <w:r w:rsidRPr="00587EC0">
        <w:rPr>
          <w:b/>
          <w:i/>
        </w:rPr>
        <w:t xml:space="preserve">without </w:t>
      </w:r>
      <w:r w:rsidRPr="00587EC0">
        <w:rPr>
          <w:i/>
        </w:rPr>
        <w:t>cirrhosis.</w:t>
      </w:r>
    </w:p>
    <w:p w:rsidR="006050D2" w:rsidRDefault="00843CEC" w:rsidP="00D131C3">
      <w:proofErr w:type="spellStart"/>
      <w:r>
        <w:t>Technivie</w:t>
      </w:r>
      <w:proofErr w:type="spellEnd"/>
      <w:r w:rsidR="006050D2" w:rsidRPr="006050D2">
        <w:t xml:space="preserve"> </w:t>
      </w:r>
      <w:r w:rsidR="009D10B6">
        <w:t xml:space="preserve">(Figure 1) </w:t>
      </w:r>
      <w:r w:rsidR="006050D2" w:rsidRPr="006050D2">
        <w:t xml:space="preserve">was developed as a </w:t>
      </w:r>
      <w:r w:rsidR="006050D2" w:rsidRPr="00843CEC">
        <w:rPr>
          <w:b/>
        </w:rPr>
        <w:t xml:space="preserve">two </w:t>
      </w:r>
      <w:r w:rsidR="006050D2" w:rsidRPr="006050D2">
        <w:t>direct</w:t>
      </w:r>
      <w:r w:rsidR="001A5A96">
        <w:t xml:space="preserve"> </w:t>
      </w:r>
      <w:r w:rsidR="006050D2" w:rsidRPr="006050D2">
        <w:t xml:space="preserve">acting antiviral (2-DAA) </w:t>
      </w:r>
      <w:r>
        <w:t>FDC</w:t>
      </w:r>
      <w:r w:rsidR="006050D2" w:rsidRPr="006050D2">
        <w:t xml:space="preserve"> of </w:t>
      </w:r>
      <w:proofErr w:type="spellStart"/>
      <w:r w:rsidR="00385501" w:rsidRPr="00B8794F">
        <w:t>paritaprevir</w:t>
      </w:r>
      <w:proofErr w:type="spellEnd"/>
      <w:r w:rsidR="00385501" w:rsidRPr="00B8794F">
        <w:t xml:space="preserve"> (ABT-450</w:t>
      </w:r>
      <w:r w:rsidR="00385501">
        <w:t>) and ritonavir plus</w:t>
      </w:r>
      <w:r w:rsidR="00385501" w:rsidRPr="00B8794F">
        <w:t xml:space="preserve"> </w:t>
      </w:r>
      <w:proofErr w:type="spellStart"/>
      <w:r w:rsidR="00385501" w:rsidRPr="00B8794F">
        <w:t>ombitasvir</w:t>
      </w:r>
      <w:proofErr w:type="spellEnd"/>
      <w:r w:rsidR="00385501" w:rsidRPr="00B8794F">
        <w:t xml:space="preserve"> (ABT-267)</w:t>
      </w:r>
      <w:r w:rsidR="00EA64E6">
        <w:t>,</w:t>
      </w:r>
      <w:r w:rsidR="006050D2" w:rsidRPr="006050D2">
        <w:t xml:space="preserve"> which is identical to that used in </w:t>
      </w:r>
      <w:proofErr w:type="spellStart"/>
      <w:r w:rsidR="006959E0">
        <w:t>Viekira</w:t>
      </w:r>
      <w:proofErr w:type="spellEnd"/>
      <w:r w:rsidR="006959E0">
        <w:t xml:space="preserve"> Pak</w:t>
      </w:r>
      <w:r w:rsidR="006050D2" w:rsidRPr="006050D2">
        <w:t xml:space="preserve">. </w:t>
      </w:r>
      <w:proofErr w:type="spellStart"/>
      <w:r w:rsidR="00942D31" w:rsidRPr="00B8794F">
        <w:t>Paritaprevir</w:t>
      </w:r>
      <w:proofErr w:type="spellEnd"/>
      <w:r w:rsidR="00942D31" w:rsidRPr="00B8794F">
        <w:t xml:space="preserve"> is a NS3/4A</w:t>
      </w:r>
      <w:r w:rsidR="00942D31">
        <w:t xml:space="preserve"> protease inhibitor of HCV GT</w:t>
      </w:r>
      <w:r w:rsidR="00942D31" w:rsidRPr="00B8794F">
        <w:t xml:space="preserve">1, </w:t>
      </w:r>
      <w:r w:rsidR="00CD497D">
        <w:t xml:space="preserve">while </w:t>
      </w:r>
      <w:proofErr w:type="spellStart"/>
      <w:r w:rsidR="00942D31">
        <w:t>o</w:t>
      </w:r>
      <w:r w:rsidR="00942D31" w:rsidRPr="00B8794F">
        <w:t>mbitasvir</w:t>
      </w:r>
      <w:proofErr w:type="spellEnd"/>
      <w:r w:rsidR="00942D31" w:rsidRPr="00B8794F">
        <w:t xml:space="preserve"> is a NS5A inhibitor</w:t>
      </w:r>
      <w:r w:rsidR="00942D31">
        <w:t xml:space="preserve"> with activity against GT</w:t>
      </w:r>
      <w:r w:rsidR="00942D31" w:rsidRPr="00B8794F">
        <w:t xml:space="preserve">1a and </w:t>
      </w:r>
      <w:r w:rsidR="00942D31">
        <w:t>GT</w:t>
      </w:r>
      <w:r w:rsidR="00942D31" w:rsidRPr="00B8794F">
        <w:t>1b</w:t>
      </w:r>
      <w:r w:rsidR="00CD497D">
        <w:t>.</w:t>
      </w:r>
      <w:r w:rsidR="00CE11CD">
        <w:t xml:space="preserve"> </w:t>
      </w:r>
      <w:r w:rsidR="009966FD" w:rsidRPr="00587EC0">
        <w:t xml:space="preserve">The drug substances </w:t>
      </w:r>
      <w:proofErr w:type="spellStart"/>
      <w:r w:rsidR="009966FD" w:rsidRPr="00587EC0">
        <w:t>paritaprevir</w:t>
      </w:r>
      <w:proofErr w:type="spellEnd"/>
      <w:r w:rsidR="009966FD" w:rsidRPr="00587EC0">
        <w:t xml:space="preserve"> and </w:t>
      </w:r>
      <w:proofErr w:type="spellStart"/>
      <w:r w:rsidR="009966FD" w:rsidRPr="00587EC0">
        <w:t>ombitasvir</w:t>
      </w:r>
      <w:proofErr w:type="spellEnd"/>
      <w:r w:rsidR="009966FD" w:rsidRPr="00587EC0">
        <w:t xml:space="preserve"> are DAAs, while ritonavir</w:t>
      </w:r>
      <w:r w:rsidR="00CE11CD">
        <w:t xml:space="preserve"> – </w:t>
      </w:r>
      <w:r w:rsidR="007A32B3" w:rsidRPr="00B8794F">
        <w:t>a potent inhibitor of CYP 3A4</w:t>
      </w:r>
      <w:r w:rsidR="00CE11CD">
        <w:t xml:space="preserve"> – </w:t>
      </w:r>
      <w:r w:rsidR="007A32B3" w:rsidRPr="00B8794F">
        <w:t xml:space="preserve">is not active against </w:t>
      </w:r>
      <w:r w:rsidR="007A32B3">
        <w:t>HCV</w:t>
      </w:r>
      <w:r w:rsidR="007A32B3" w:rsidRPr="00B8794F">
        <w:t xml:space="preserve"> but acts as a pharmacokinetic enhancer to increase exposure to </w:t>
      </w:r>
      <w:proofErr w:type="spellStart"/>
      <w:r w:rsidR="007A32B3" w:rsidRPr="00B8794F">
        <w:t>paritaprevir</w:t>
      </w:r>
      <w:proofErr w:type="spellEnd"/>
      <w:r w:rsidR="007A32B3" w:rsidRPr="00B8794F">
        <w:t>, which is primarily metabolised by cytochrome P450 3A</w:t>
      </w:r>
      <w:r w:rsidR="007A32B3">
        <w:t xml:space="preserve">. </w:t>
      </w:r>
      <w:proofErr w:type="spellStart"/>
      <w:r w:rsidR="006050D2" w:rsidRPr="006050D2">
        <w:t>Dasabuvir</w:t>
      </w:r>
      <w:proofErr w:type="spellEnd"/>
      <w:r w:rsidR="006050D2" w:rsidRPr="006050D2">
        <w:t xml:space="preserve"> </w:t>
      </w:r>
      <w:r w:rsidR="00C068DD">
        <w:t>(</w:t>
      </w:r>
      <w:r w:rsidR="00C068DD" w:rsidRPr="00B8794F">
        <w:t>ABT-333</w:t>
      </w:r>
      <w:r w:rsidR="00C068DD">
        <w:t>)</w:t>
      </w:r>
      <w:r w:rsidR="00137AC9">
        <w:t xml:space="preserve">, which </w:t>
      </w:r>
      <w:r w:rsidR="00137AC9" w:rsidRPr="00B8794F">
        <w:t xml:space="preserve">is a non-nucleoside NS5B polymerase inhibitor of HCV </w:t>
      </w:r>
      <w:r w:rsidR="00137AC9">
        <w:t>GT</w:t>
      </w:r>
      <w:r w:rsidR="00137AC9" w:rsidRPr="00B8794F">
        <w:t xml:space="preserve">1a and </w:t>
      </w:r>
      <w:r w:rsidR="00137AC9">
        <w:t>GT</w:t>
      </w:r>
      <w:r w:rsidR="00137AC9" w:rsidRPr="00B8794F">
        <w:t>1b</w:t>
      </w:r>
      <w:r w:rsidR="00137AC9">
        <w:t>,</w:t>
      </w:r>
      <w:r w:rsidR="00C068DD">
        <w:t xml:space="preserve"> </w:t>
      </w:r>
      <w:r w:rsidR="006050D2" w:rsidRPr="006050D2">
        <w:t xml:space="preserve">has no activity against HCV GT4. </w:t>
      </w:r>
      <w:proofErr w:type="spellStart"/>
      <w:r w:rsidR="002C09EB">
        <w:t>Technivie</w:t>
      </w:r>
      <w:proofErr w:type="spellEnd"/>
      <w:r w:rsidR="002C09EB">
        <w:t xml:space="preserve"> should be used in combination with </w:t>
      </w:r>
      <w:r w:rsidR="00CC7518">
        <w:t>RBV</w:t>
      </w:r>
      <w:r w:rsidR="00376E09" w:rsidRPr="00376E09">
        <w:t xml:space="preserve"> </w:t>
      </w:r>
      <w:r w:rsidR="00376E09" w:rsidRPr="006050D2">
        <w:t xml:space="preserve">for </w:t>
      </w:r>
      <w:proofErr w:type="gramStart"/>
      <w:r w:rsidR="00376E09" w:rsidRPr="006050D2">
        <w:t>a treatment</w:t>
      </w:r>
      <w:proofErr w:type="gramEnd"/>
      <w:r w:rsidR="00376E09" w:rsidRPr="006050D2">
        <w:t xml:space="preserve"> duration of 12 weeks</w:t>
      </w:r>
      <w:r w:rsidR="002C09EB">
        <w:t xml:space="preserve">. The recommended dose of </w:t>
      </w:r>
      <w:r w:rsidR="00CC7518">
        <w:t>RBV</w:t>
      </w:r>
      <w:r w:rsidR="002C09EB">
        <w:t xml:space="preserve"> is based on body weight: 1000 mg/day for patients weighing ≤75 kg</w:t>
      </w:r>
      <w:r w:rsidR="00376E09">
        <w:t>,</w:t>
      </w:r>
      <w:r w:rsidR="002C09EB">
        <w:t xml:space="preserve"> and 1200 mg/day for those weighing &gt;75 kg.</w:t>
      </w:r>
    </w:p>
    <w:p w:rsidR="00B8794F" w:rsidRPr="00B8794F" w:rsidRDefault="006959E0" w:rsidP="00B8794F">
      <w:proofErr w:type="spellStart"/>
      <w:r>
        <w:t>Viekira</w:t>
      </w:r>
      <w:proofErr w:type="spellEnd"/>
      <w:r>
        <w:t xml:space="preserve"> Pak</w:t>
      </w:r>
      <w:r w:rsidR="0059158B">
        <w:t xml:space="preserve"> (Figure 1)</w:t>
      </w:r>
      <w:r w:rsidR="00233F4B">
        <w:t>,</w:t>
      </w:r>
      <w:r w:rsidR="00B8794F" w:rsidRPr="00B8794F">
        <w:t xml:space="preserve"> with or without </w:t>
      </w:r>
      <w:r w:rsidR="00CC7518">
        <w:t>RBV</w:t>
      </w:r>
      <w:r w:rsidR="00233F4B">
        <w:t>,</w:t>
      </w:r>
      <w:r w:rsidR="00B8794F" w:rsidRPr="00B8794F">
        <w:t xml:space="preserve"> was approved for the treatment of </w:t>
      </w:r>
      <w:r w:rsidR="00121F6F">
        <w:t>HCV GT1</w:t>
      </w:r>
      <w:r w:rsidR="00B8794F" w:rsidRPr="00B8794F">
        <w:t xml:space="preserve"> infection, including patients with compensated cirrhosis,</w:t>
      </w:r>
      <w:r w:rsidR="00267FAA">
        <w:t xml:space="preserve"> by </w:t>
      </w:r>
      <w:r w:rsidR="00B8794F" w:rsidRPr="00B8794F">
        <w:t>TGA in 2015. It is a combination product of</w:t>
      </w:r>
      <w:r w:rsidR="00B8794F" w:rsidRPr="00B8794F">
        <w:rPr>
          <w:b/>
        </w:rPr>
        <w:t xml:space="preserve"> three</w:t>
      </w:r>
      <w:r w:rsidR="00B8794F" w:rsidRPr="00B8794F">
        <w:t xml:space="preserve"> </w:t>
      </w:r>
      <w:r w:rsidR="00233F4B">
        <w:t>DAAs</w:t>
      </w:r>
      <w:r w:rsidR="00B8794F" w:rsidRPr="00B8794F">
        <w:t xml:space="preserve"> co-formulated with ritonavir, with different mechanisms of action and with potent activity against HCV </w:t>
      </w:r>
      <w:r w:rsidR="00267FAA">
        <w:t>GT</w:t>
      </w:r>
      <w:r w:rsidR="00B8794F" w:rsidRPr="00B8794F">
        <w:t xml:space="preserve">1. </w:t>
      </w:r>
      <w:proofErr w:type="spellStart"/>
      <w:r>
        <w:t>Viekira</w:t>
      </w:r>
      <w:proofErr w:type="spellEnd"/>
      <w:r>
        <w:t xml:space="preserve"> Pak</w:t>
      </w:r>
      <w:r w:rsidR="00B8794F" w:rsidRPr="00B8794F">
        <w:t xml:space="preserve"> is presented as a combination pack containing two co-formulated tablets of </w:t>
      </w:r>
      <w:proofErr w:type="spellStart"/>
      <w:r w:rsidR="00B33C28">
        <w:t>paritaprevir</w:t>
      </w:r>
      <w:proofErr w:type="spellEnd"/>
      <w:r w:rsidR="00B8794F" w:rsidRPr="00B8794F">
        <w:t>, ri</w:t>
      </w:r>
      <w:r w:rsidR="00B33C28">
        <w:t xml:space="preserve">tonavir and </w:t>
      </w:r>
      <w:proofErr w:type="spellStart"/>
      <w:r w:rsidR="00B33C28">
        <w:t>ombitasvir</w:t>
      </w:r>
      <w:proofErr w:type="spellEnd"/>
      <w:r w:rsidR="00B8794F" w:rsidRPr="00B8794F">
        <w:t>, co-packaged with two tablets</w:t>
      </w:r>
      <w:r w:rsidR="00B33C28">
        <w:t xml:space="preserve"> of </w:t>
      </w:r>
      <w:proofErr w:type="spellStart"/>
      <w:r w:rsidR="00B33C28">
        <w:t>dasabuvir</w:t>
      </w:r>
      <w:proofErr w:type="spellEnd"/>
      <w:r w:rsidR="00B8794F" w:rsidRPr="00B8794F">
        <w:t xml:space="preserve">. </w:t>
      </w:r>
      <w:proofErr w:type="spellStart"/>
      <w:r>
        <w:t>Viekira</w:t>
      </w:r>
      <w:proofErr w:type="spellEnd"/>
      <w:r>
        <w:t xml:space="preserve"> Pak-RBV</w:t>
      </w:r>
      <w:r w:rsidR="00B8794F" w:rsidRPr="00B8794F">
        <w:t xml:space="preserve"> is co-packaged with </w:t>
      </w:r>
      <w:r w:rsidR="00CC7518">
        <w:t>RBV</w:t>
      </w:r>
      <w:r w:rsidR="00B8794F" w:rsidRPr="00B8794F">
        <w:t>.</w:t>
      </w:r>
    </w:p>
    <w:p w:rsidR="00B8794F" w:rsidRPr="00B8794F" w:rsidRDefault="00A314A2" w:rsidP="00BC0E96">
      <w:pPr>
        <w:pStyle w:val="FigureTitle"/>
      </w:pPr>
      <w:r>
        <w:t xml:space="preserve">Figure 1: </w:t>
      </w:r>
      <w:proofErr w:type="spellStart"/>
      <w:r w:rsidR="00C37225">
        <w:t>Technivie</w:t>
      </w:r>
      <w:proofErr w:type="spellEnd"/>
      <w:r w:rsidR="00C37225">
        <w:t xml:space="preserve"> and </w:t>
      </w:r>
      <w:proofErr w:type="spellStart"/>
      <w:r w:rsidR="006959E0">
        <w:t>Viekira</w:t>
      </w:r>
      <w:proofErr w:type="spellEnd"/>
      <w:r w:rsidR="006959E0">
        <w:t xml:space="preserve"> Pak</w:t>
      </w:r>
      <w:r w:rsidR="00C37225">
        <w:t xml:space="preserve"> d</w:t>
      </w:r>
      <w:r w:rsidR="00C37225" w:rsidRPr="00C37225">
        <w:t>aily dose packs</w:t>
      </w:r>
      <w:r w:rsidR="00C37225">
        <w:t>.</w:t>
      </w:r>
    </w:p>
    <w:p w:rsidR="006050D2" w:rsidRDefault="00D77D78" w:rsidP="00D131C3">
      <w:r>
        <w:rPr>
          <w:noProof/>
          <w:lang w:eastAsia="en-AU"/>
        </w:rPr>
        <w:drawing>
          <wp:inline distT="0" distB="0" distL="0" distR="0" wp14:anchorId="5D924A01" wp14:editId="502DEEDD">
            <wp:extent cx="5400040" cy="2974060"/>
            <wp:effectExtent l="0" t="0" r="0" b="0"/>
            <wp:docPr id="8" name="Picture 8" descr="Figure 1: Technivie and Viekira Pak daily dose pa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400040" cy="2974060"/>
                    </a:xfrm>
                    <a:prstGeom prst="rect">
                      <a:avLst/>
                    </a:prstGeom>
                  </pic:spPr>
                </pic:pic>
              </a:graphicData>
            </a:graphic>
          </wp:inline>
        </w:drawing>
      </w:r>
    </w:p>
    <w:p w:rsidR="00D131C3" w:rsidRPr="00611CCF" w:rsidRDefault="00EE4EC2" w:rsidP="00A456D6">
      <w:r w:rsidRPr="001261C3">
        <w:t xml:space="preserve">The recommended daily dose of </w:t>
      </w:r>
      <w:proofErr w:type="spellStart"/>
      <w:r w:rsidR="00376E09">
        <w:t>Technivie</w:t>
      </w:r>
      <w:proofErr w:type="spellEnd"/>
      <w:r w:rsidRPr="001261C3">
        <w:t xml:space="preserve"> is two tablets once daily (in the morning) with a meal without regard to fat or calorie content.</w:t>
      </w:r>
      <w:r>
        <w:t xml:space="preserve"> This is the same as recommended for the combination tablet component of the registered </w:t>
      </w:r>
      <w:proofErr w:type="spellStart"/>
      <w:r w:rsidR="006959E0">
        <w:t>Viekira</w:t>
      </w:r>
      <w:proofErr w:type="spellEnd"/>
      <w:r w:rsidR="006959E0">
        <w:t xml:space="preserve"> Pak</w:t>
      </w:r>
      <w:r w:rsidRPr="002C2D34">
        <w:t xml:space="preserve"> and </w:t>
      </w:r>
      <w:proofErr w:type="spellStart"/>
      <w:r w:rsidR="006959E0">
        <w:t>Viekira</w:t>
      </w:r>
      <w:proofErr w:type="spellEnd"/>
      <w:r w:rsidR="006959E0">
        <w:t xml:space="preserve"> Pak-RBV</w:t>
      </w:r>
      <w:r>
        <w:t xml:space="preserve"> combination therapy packs.</w:t>
      </w:r>
      <w:r w:rsidR="00A456D6">
        <w:t xml:space="preserve"> </w:t>
      </w:r>
      <w:r w:rsidR="00D131C3" w:rsidRPr="00611CCF">
        <w:t>No new dosage forms or strengths are proposed</w:t>
      </w:r>
      <w:r w:rsidR="00A456D6">
        <w:t>.</w:t>
      </w:r>
    </w:p>
    <w:p w:rsidR="008E7846" w:rsidRPr="003F31A2" w:rsidRDefault="00386150" w:rsidP="008E7846">
      <w:pPr>
        <w:pStyle w:val="Heading3"/>
      </w:pPr>
      <w:bookmarkStart w:id="19" w:name="_Toc314842485"/>
      <w:bookmarkStart w:id="20" w:name="_Toc247691504"/>
      <w:bookmarkStart w:id="21" w:name="_Toc497301609"/>
      <w:r>
        <w:t>Regulatory s</w:t>
      </w:r>
      <w:r w:rsidR="008E7846">
        <w:t>tatus</w:t>
      </w:r>
      <w:bookmarkEnd w:id="19"/>
      <w:bookmarkEnd w:id="20"/>
      <w:bookmarkEnd w:id="21"/>
    </w:p>
    <w:p w:rsidR="00B7719A" w:rsidRDefault="000B442F" w:rsidP="00930A8B">
      <w:pPr>
        <w:rPr>
          <w:b/>
        </w:rPr>
      </w:pPr>
      <w:bookmarkStart w:id="22" w:name="_Toc247691505"/>
      <w:bookmarkStart w:id="23" w:name="_Toc314842486"/>
      <w:r>
        <w:t xml:space="preserve">The international </w:t>
      </w:r>
      <w:r w:rsidRPr="009A6DCB">
        <w:t xml:space="preserve">regulatory status </w:t>
      </w:r>
      <w:r w:rsidR="004B351F">
        <w:t xml:space="preserve">for </w:t>
      </w:r>
      <w:r w:rsidR="008A1383">
        <w:t xml:space="preserve">the </w:t>
      </w:r>
      <w:proofErr w:type="spellStart"/>
      <w:r w:rsidR="004B351F" w:rsidRPr="004B351F">
        <w:t>paritaprevir</w:t>
      </w:r>
      <w:proofErr w:type="spellEnd"/>
      <w:r w:rsidR="004B351F" w:rsidRPr="004B351F">
        <w:t>/ritonavir/</w:t>
      </w:r>
      <w:proofErr w:type="spellStart"/>
      <w:r w:rsidR="004B351F" w:rsidRPr="004B351F">
        <w:t>ombitasvir</w:t>
      </w:r>
      <w:proofErr w:type="spellEnd"/>
      <w:r w:rsidR="004B351F" w:rsidRPr="004B351F">
        <w:t xml:space="preserve"> tablet </w:t>
      </w:r>
      <w:r w:rsidRPr="009A6DCB">
        <w:t>is listed in</w:t>
      </w:r>
      <w:r>
        <w:t xml:space="preserve"> Table 1.</w:t>
      </w:r>
    </w:p>
    <w:p w:rsidR="000B442F" w:rsidRDefault="000B442F" w:rsidP="000B442F">
      <w:pPr>
        <w:pStyle w:val="TableTitle"/>
      </w:pPr>
      <w:proofErr w:type="gramStart"/>
      <w:r>
        <w:lastRenderedPageBreak/>
        <w:t xml:space="preserve">Table </w:t>
      </w:r>
      <w:r w:rsidR="00FF3719">
        <w:t>1</w:t>
      </w:r>
      <w:r>
        <w:t>:</w:t>
      </w:r>
      <w:r w:rsidRPr="004C5C28">
        <w:t xml:space="preserve"> </w:t>
      </w:r>
      <w:r>
        <w:t xml:space="preserve">International </w:t>
      </w:r>
      <w:r w:rsidRPr="009A6DCB">
        <w:t>regulatory status</w:t>
      </w:r>
      <w:r>
        <w:t>.</w:t>
      </w:r>
      <w:proofErr w:type="gramEnd"/>
    </w:p>
    <w:tbl>
      <w:tblPr>
        <w:tblStyle w:val="TableTGAblue"/>
        <w:tblW w:w="0" w:type="auto"/>
        <w:tblLook w:val="04A0" w:firstRow="1" w:lastRow="0" w:firstColumn="1" w:lastColumn="0" w:noHBand="0" w:noVBand="1"/>
      </w:tblPr>
      <w:tblGrid>
        <w:gridCol w:w="1809"/>
        <w:gridCol w:w="1985"/>
        <w:gridCol w:w="4926"/>
      </w:tblGrid>
      <w:tr w:rsidR="00EC097B" w:rsidRPr="00156AEF" w:rsidTr="00631665">
        <w:trPr>
          <w:cnfStyle w:val="100000000000" w:firstRow="1" w:lastRow="0" w:firstColumn="0" w:lastColumn="0" w:oddVBand="0" w:evenVBand="0" w:oddHBand="0" w:evenHBand="0" w:firstRowFirstColumn="0" w:firstRowLastColumn="0" w:lastRowFirstColumn="0" w:lastRowLastColumn="0"/>
        </w:trPr>
        <w:tc>
          <w:tcPr>
            <w:tcW w:w="1809" w:type="dxa"/>
          </w:tcPr>
          <w:p w:rsidR="00EC097B" w:rsidRPr="00156AEF" w:rsidRDefault="00141ED8" w:rsidP="00156AEF">
            <w:pPr>
              <w:rPr>
                <w:sz w:val="20"/>
                <w:szCs w:val="20"/>
              </w:rPr>
            </w:pPr>
            <w:r w:rsidRPr="00156AEF">
              <w:rPr>
                <w:sz w:val="20"/>
                <w:szCs w:val="20"/>
              </w:rPr>
              <w:t>Region</w:t>
            </w:r>
          </w:p>
        </w:tc>
        <w:tc>
          <w:tcPr>
            <w:tcW w:w="1985" w:type="dxa"/>
          </w:tcPr>
          <w:p w:rsidR="00EC097B" w:rsidRPr="00156AEF" w:rsidRDefault="00141ED8" w:rsidP="00156AEF">
            <w:pPr>
              <w:rPr>
                <w:sz w:val="20"/>
                <w:szCs w:val="20"/>
              </w:rPr>
            </w:pPr>
            <w:r w:rsidRPr="00156AEF">
              <w:rPr>
                <w:sz w:val="20"/>
                <w:szCs w:val="20"/>
              </w:rPr>
              <w:t>Submission date</w:t>
            </w:r>
          </w:p>
        </w:tc>
        <w:tc>
          <w:tcPr>
            <w:tcW w:w="4926" w:type="dxa"/>
          </w:tcPr>
          <w:p w:rsidR="00EC097B" w:rsidRPr="00156AEF" w:rsidRDefault="00141ED8" w:rsidP="00156AEF">
            <w:pPr>
              <w:rPr>
                <w:sz w:val="20"/>
                <w:szCs w:val="20"/>
              </w:rPr>
            </w:pPr>
            <w:r w:rsidRPr="00156AEF">
              <w:rPr>
                <w:sz w:val="20"/>
                <w:szCs w:val="20"/>
              </w:rPr>
              <w:t>Status</w:t>
            </w:r>
          </w:p>
        </w:tc>
      </w:tr>
      <w:tr w:rsidR="00EC097B" w:rsidRPr="00156AEF" w:rsidTr="00631665">
        <w:tc>
          <w:tcPr>
            <w:tcW w:w="1809" w:type="dxa"/>
          </w:tcPr>
          <w:p w:rsidR="00EC097B" w:rsidRPr="00156AEF" w:rsidRDefault="007C246D" w:rsidP="00156AEF">
            <w:pPr>
              <w:rPr>
                <w:sz w:val="20"/>
                <w:szCs w:val="20"/>
              </w:rPr>
            </w:pPr>
            <w:r w:rsidRPr="00156AEF">
              <w:rPr>
                <w:sz w:val="20"/>
                <w:szCs w:val="20"/>
              </w:rPr>
              <w:t>EU (centralised procedure)</w:t>
            </w:r>
          </w:p>
        </w:tc>
        <w:tc>
          <w:tcPr>
            <w:tcW w:w="1985" w:type="dxa"/>
          </w:tcPr>
          <w:p w:rsidR="00EC097B" w:rsidRPr="00156AEF" w:rsidRDefault="00631665" w:rsidP="00156AEF">
            <w:pPr>
              <w:rPr>
                <w:sz w:val="20"/>
                <w:szCs w:val="20"/>
              </w:rPr>
            </w:pPr>
            <w:r w:rsidRPr="00156AEF">
              <w:rPr>
                <w:sz w:val="20"/>
                <w:szCs w:val="20"/>
              </w:rPr>
              <w:t>6 May 2014</w:t>
            </w:r>
          </w:p>
        </w:tc>
        <w:tc>
          <w:tcPr>
            <w:tcW w:w="4926" w:type="dxa"/>
          </w:tcPr>
          <w:p w:rsidR="004158DE" w:rsidRPr="00156AEF" w:rsidRDefault="00631665" w:rsidP="00156AEF">
            <w:pPr>
              <w:rPr>
                <w:sz w:val="20"/>
                <w:szCs w:val="20"/>
              </w:rPr>
            </w:pPr>
            <w:r w:rsidRPr="00156AEF">
              <w:rPr>
                <w:sz w:val="20"/>
                <w:szCs w:val="20"/>
              </w:rPr>
              <w:t>Approved: 18 Aug 2016</w:t>
            </w:r>
          </w:p>
          <w:p w:rsidR="00631665" w:rsidRPr="00156AEF" w:rsidRDefault="00631665" w:rsidP="00156AEF">
            <w:pPr>
              <w:rPr>
                <w:sz w:val="20"/>
                <w:szCs w:val="20"/>
              </w:rPr>
            </w:pPr>
            <w:r w:rsidRPr="00156AEF">
              <w:rPr>
                <w:sz w:val="20"/>
                <w:szCs w:val="20"/>
              </w:rPr>
              <w:t xml:space="preserve">Indication: </w:t>
            </w:r>
            <w:proofErr w:type="spellStart"/>
            <w:r w:rsidRPr="00156AEF">
              <w:rPr>
                <w:sz w:val="20"/>
                <w:szCs w:val="20"/>
              </w:rPr>
              <w:t>Viekirax</w:t>
            </w:r>
            <w:proofErr w:type="spellEnd"/>
            <w:r w:rsidRPr="00156AEF">
              <w:rPr>
                <w:sz w:val="20"/>
                <w:szCs w:val="20"/>
              </w:rPr>
              <w:t xml:space="preserve"> is indicated in combination with other medicinal products for the treatment of chronic hepatitis C (CHC) in adults (see sections 4.2, 4.4, and 5.1).</w:t>
            </w:r>
          </w:p>
          <w:p w:rsidR="00631665" w:rsidRPr="00156AEF" w:rsidRDefault="00631665" w:rsidP="00156AEF">
            <w:pPr>
              <w:rPr>
                <w:sz w:val="20"/>
                <w:szCs w:val="20"/>
              </w:rPr>
            </w:pPr>
            <w:r w:rsidRPr="00156AEF">
              <w:rPr>
                <w:sz w:val="20"/>
                <w:szCs w:val="20"/>
              </w:rPr>
              <w:t>Patient population: Genotype 4, without cirrhosis or with compensated cirrhosis</w:t>
            </w:r>
          </w:p>
          <w:p w:rsidR="00631665" w:rsidRPr="00156AEF" w:rsidRDefault="00631665" w:rsidP="00156AEF">
            <w:pPr>
              <w:rPr>
                <w:sz w:val="20"/>
                <w:szCs w:val="20"/>
              </w:rPr>
            </w:pPr>
            <w:r w:rsidRPr="00156AEF">
              <w:rPr>
                <w:sz w:val="20"/>
                <w:szCs w:val="20"/>
              </w:rPr>
              <w:t xml:space="preserve">Treatment: </w:t>
            </w:r>
            <w:proofErr w:type="spellStart"/>
            <w:r w:rsidRPr="00156AEF">
              <w:rPr>
                <w:sz w:val="20"/>
                <w:szCs w:val="20"/>
              </w:rPr>
              <w:t>Viekirax</w:t>
            </w:r>
            <w:proofErr w:type="spellEnd"/>
            <w:r w:rsidRPr="00156AEF">
              <w:rPr>
                <w:sz w:val="20"/>
                <w:szCs w:val="20"/>
              </w:rPr>
              <w:t xml:space="preserve"> + ribavirin</w:t>
            </w:r>
          </w:p>
          <w:p w:rsidR="00EC097B" w:rsidRPr="00156AEF" w:rsidRDefault="00631665" w:rsidP="00156AEF">
            <w:pPr>
              <w:rPr>
                <w:sz w:val="20"/>
                <w:szCs w:val="20"/>
              </w:rPr>
            </w:pPr>
            <w:r w:rsidRPr="00156AEF">
              <w:rPr>
                <w:sz w:val="20"/>
                <w:szCs w:val="20"/>
              </w:rPr>
              <w:t>Duration: 12 weeks</w:t>
            </w:r>
          </w:p>
        </w:tc>
      </w:tr>
      <w:tr w:rsidR="00EC097B" w:rsidRPr="00156AEF" w:rsidTr="00631665">
        <w:tc>
          <w:tcPr>
            <w:tcW w:w="1809" w:type="dxa"/>
          </w:tcPr>
          <w:p w:rsidR="00EC097B" w:rsidRPr="00156AEF" w:rsidRDefault="007C246D" w:rsidP="00156AEF">
            <w:pPr>
              <w:rPr>
                <w:sz w:val="20"/>
                <w:szCs w:val="20"/>
              </w:rPr>
            </w:pPr>
            <w:r w:rsidRPr="00156AEF">
              <w:rPr>
                <w:sz w:val="20"/>
                <w:szCs w:val="20"/>
              </w:rPr>
              <w:t>US</w:t>
            </w:r>
          </w:p>
        </w:tc>
        <w:tc>
          <w:tcPr>
            <w:tcW w:w="1985" w:type="dxa"/>
          </w:tcPr>
          <w:p w:rsidR="00EC097B" w:rsidRPr="00156AEF" w:rsidRDefault="004158DE" w:rsidP="00156AEF">
            <w:pPr>
              <w:rPr>
                <w:sz w:val="20"/>
                <w:szCs w:val="20"/>
              </w:rPr>
            </w:pPr>
            <w:r w:rsidRPr="00156AEF">
              <w:rPr>
                <w:sz w:val="20"/>
                <w:szCs w:val="20"/>
              </w:rPr>
              <w:t>27 Feb 2015</w:t>
            </w:r>
          </w:p>
        </w:tc>
        <w:tc>
          <w:tcPr>
            <w:tcW w:w="4926" w:type="dxa"/>
          </w:tcPr>
          <w:p w:rsidR="004158DE" w:rsidRPr="00156AEF" w:rsidRDefault="004158DE" w:rsidP="00156AEF">
            <w:pPr>
              <w:rPr>
                <w:sz w:val="20"/>
                <w:szCs w:val="20"/>
              </w:rPr>
            </w:pPr>
            <w:r w:rsidRPr="00156AEF">
              <w:rPr>
                <w:sz w:val="20"/>
                <w:szCs w:val="20"/>
              </w:rPr>
              <w:t>Approved: 24 Jul 2015</w:t>
            </w:r>
          </w:p>
          <w:p w:rsidR="004158DE" w:rsidRPr="00156AEF" w:rsidRDefault="004158DE" w:rsidP="00156AEF">
            <w:pPr>
              <w:rPr>
                <w:sz w:val="20"/>
                <w:szCs w:val="20"/>
              </w:rPr>
            </w:pPr>
            <w:r w:rsidRPr="00156AEF">
              <w:rPr>
                <w:sz w:val="20"/>
                <w:szCs w:val="20"/>
              </w:rPr>
              <w:t xml:space="preserve">Indication: </w:t>
            </w:r>
            <w:proofErr w:type="spellStart"/>
            <w:r w:rsidR="006959E0" w:rsidRPr="00156AEF">
              <w:rPr>
                <w:sz w:val="20"/>
                <w:szCs w:val="20"/>
              </w:rPr>
              <w:t>Technivie</w:t>
            </w:r>
            <w:proofErr w:type="spellEnd"/>
            <w:r w:rsidRPr="00156AEF">
              <w:rPr>
                <w:sz w:val="20"/>
                <w:szCs w:val="20"/>
              </w:rPr>
              <w:t xml:space="preserve"> is indicated in combination with ribavirin for the treatment of patients with genotype 4 chronic hepatitis C virus (HCV) infection without cirrhosis.</w:t>
            </w:r>
          </w:p>
          <w:p w:rsidR="00EC097B" w:rsidRPr="00156AEF" w:rsidRDefault="004158DE" w:rsidP="00156AEF">
            <w:pPr>
              <w:rPr>
                <w:sz w:val="20"/>
                <w:szCs w:val="20"/>
              </w:rPr>
            </w:pPr>
            <w:r w:rsidRPr="00156AEF">
              <w:rPr>
                <w:sz w:val="20"/>
                <w:szCs w:val="20"/>
              </w:rPr>
              <w:t xml:space="preserve">Note: The supplement to add HCV GT4-infected patients with cirrhosis was submitted to US FDA on 27 Apr 2016. </w:t>
            </w:r>
            <w:r w:rsidR="003F3A02" w:rsidRPr="00156AEF">
              <w:rPr>
                <w:sz w:val="20"/>
                <w:szCs w:val="20"/>
              </w:rPr>
              <w:t xml:space="preserve">AbbVie obtained approval for </w:t>
            </w:r>
            <w:proofErr w:type="spellStart"/>
            <w:r w:rsidR="003F3A02" w:rsidRPr="00156AEF">
              <w:rPr>
                <w:sz w:val="20"/>
                <w:szCs w:val="20"/>
              </w:rPr>
              <w:t>Technivie</w:t>
            </w:r>
            <w:proofErr w:type="spellEnd"/>
            <w:r w:rsidR="003F3A02" w:rsidRPr="00156AEF">
              <w:rPr>
                <w:sz w:val="20"/>
                <w:szCs w:val="20"/>
              </w:rPr>
              <w:t xml:space="preserve"> use in HCV GT4 patients with compensated cirrhosis on 27 Feb 2017.</w:t>
            </w:r>
          </w:p>
        </w:tc>
      </w:tr>
      <w:tr w:rsidR="00EC097B" w:rsidRPr="00156AEF" w:rsidTr="00631665">
        <w:tc>
          <w:tcPr>
            <w:tcW w:w="1809" w:type="dxa"/>
          </w:tcPr>
          <w:p w:rsidR="00EC097B" w:rsidRPr="00156AEF" w:rsidRDefault="007C246D" w:rsidP="00156AEF">
            <w:pPr>
              <w:rPr>
                <w:sz w:val="20"/>
                <w:szCs w:val="20"/>
              </w:rPr>
            </w:pPr>
            <w:r w:rsidRPr="00156AEF">
              <w:rPr>
                <w:sz w:val="20"/>
                <w:szCs w:val="20"/>
              </w:rPr>
              <w:t>Canada</w:t>
            </w:r>
          </w:p>
        </w:tc>
        <w:tc>
          <w:tcPr>
            <w:tcW w:w="1985" w:type="dxa"/>
          </w:tcPr>
          <w:p w:rsidR="00EC097B" w:rsidRPr="00156AEF" w:rsidRDefault="000D1B22" w:rsidP="00156AEF">
            <w:pPr>
              <w:rPr>
                <w:sz w:val="20"/>
                <w:szCs w:val="20"/>
              </w:rPr>
            </w:pPr>
            <w:r w:rsidRPr="00156AEF">
              <w:rPr>
                <w:sz w:val="20"/>
                <w:szCs w:val="20"/>
              </w:rPr>
              <w:t>25 Mar 2015</w:t>
            </w:r>
          </w:p>
        </w:tc>
        <w:tc>
          <w:tcPr>
            <w:tcW w:w="4926" w:type="dxa"/>
          </w:tcPr>
          <w:p w:rsidR="000D1B22" w:rsidRPr="00156AEF" w:rsidRDefault="000D1B22" w:rsidP="00156AEF">
            <w:pPr>
              <w:rPr>
                <w:sz w:val="20"/>
                <w:szCs w:val="20"/>
              </w:rPr>
            </w:pPr>
            <w:r w:rsidRPr="00156AEF">
              <w:rPr>
                <w:sz w:val="20"/>
                <w:szCs w:val="20"/>
              </w:rPr>
              <w:t>Approved: 20 Oct 2015</w:t>
            </w:r>
          </w:p>
          <w:p w:rsidR="000D1B22" w:rsidRPr="00156AEF" w:rsidRDefault="00135394" w:rsidP="00156AEF">
            <w:pPr>
              <w:rPr>
                <w:sz w:val="20"/>
                <w:szCs w:val="20"/>
              </w:rPr>
            </w:pPr>
            <w:r w:rsidRPr="00156AEF">
              <w:rPr>
                <w:sz w:val="20"/>
                <w:szCs w:val="20"/>
              </w:rPr>
              <w:t xml:space="preserve">Indication: </w:t>
            </w:r>
            <w:proofErr w:type="spellStart"/>
            <w:r w:rsidR="006959E0" w:rsidRPr="00156AEF">
              <w:rPr>
                <w:sz w:val="20"/>
                <w:szCs w:val="20"/>
              </w:rPr>
              <w:t>Technivie</w:t>
            </w:r>
            <w:proofErr w:type="spellEnd"/>
            <w:r w:rsidRPr="00156AEF">
              <w:rPr>
                <w:sz w:val="20"/>
                <w:szCs w:val="20"/>
              </w:rPr>
              <w:t xml:space="preserve"> </w:t>
            </w:r>
            <w:r w:rsidR="000D1B22" w:rsidRPr="00156AEF">
              <w:rPr>
                <w:sz w:val="20"/>
                <w:szCs w:val="20"/>
              </w:rPr>
              <w:t>(</w:t>
            </w:r>
            <w:proofErr w:type="spellStart"/>
            <w:r w:rsidR="000D1B22" w:rsidRPr="00156AEF">
              <w:rPr>
                <w:sz w:val="20"/>
                <w:szCs w:val="20"/>
              </w:rPr>
              <w:t>ombitasvir</w:t>
            </w:r>
            <w:proofErr w:type="spellEnd"/>
            <w:r w:rsidR="000D1B22" w:rsidRPr="00156AEF">
              <w:rPr>
                <w:sz w:val="20"/>
                <w:szCs w:val="20"/>
              </w:rPr>
              <w:t>/</w:t>
            </w:r>
            <w:proofErr w:type="spellStart"/>
            <w:r w:rsidR="000D1B22" w:rsidRPr="00156AEF">
              <w:rPr>
                <w:sz w:val="20"/>
                <w:szCs w:val="20"/>
              </w:rPr>
              <w:t>paritaprevir</w:t>
            </w:r>
            <w:proofErr w:type="spellEnd"/>
            <w:r w:rsidR="000D1B22" w:rsidRPr="00156AEF">
              <w:rPr>
                <w:sz w:val="20"/>
                <w:szCs w:val="20"/>
              </w:rPr>
              <w:t xml:space="preserve">/ ritonavir) tablets with ribavirin is indicated for the treatment of adults with genotype 4 chronic hepatitis C virus infection without cirrhosis who are either treatment naïve or previously treated with </w:t>
            </w:r>
            <w:proofErr w:type="spellStart"/>
            <w:r w:rsidR="000D1B22" w:rsidRPr="00156AEF">
              <w:rPr>
                <w:sz w:val="20"/>
                <w:szCs w:val="20"/>
              </w:rPr>
              <w:t>peginterferon</w:t>
            </w:r>
            <w:proofErr w:type="spellEnd"/>
            <w:r w:rsidR="000D1B22" w:rsidRPr="00156AEF">
              <w:rPr>
                <w:sz w:val="20"/>
                <w:szCs w:val="20"/>
              </w:rPr>
              <w:t xml:space="preserve"> and ribavirin.</w:t>
            </w:r>
          </w:p>
          <w:p w:rsidR="00EC097B" w:rsidRPr="00156AEF" w:rsidRDefault="000D1B22" w:rsidP="00156AEF">
            <w:pPr>
              <w:rPr>
                <w:sz w:val="20"/>
                <w:szCs w:val="20"/>
              </w:rPr>
            </w:pPr>
            <w:r w:rsidRPr="00156AEF">
              <w:rPr>
                <w:sz w:val="20"/>
                <w:szCs w:val="20"/>
              </w:rPr>
              <w:t xml:space="preserve">Note: The supplement to add HCV GT4-infected patients with cirrhosis was submitted to Health Canada on 27 May 2016. </w:t>
            </w:r>
            <w:r w:rsidR="003F3A02" w:rsidRPr="00156AEF">
              <w:rPr>
                <w:sz w:val="20"/>
                <w:szCs w:val="20"/>
              </w:rPr>
              <w:t xml:space="preserve">AbbVie obtained approval for </w:t>
            </w:r>
            <w:proofErr w:type="spellStart"/>
            <w:r w:rsidR="003F3A02" w:rsidRPr="00156AEF">
              <w:rPr>
                <w:sz w:val="20"/>
                <w:szCs w:val="20"/>
              </w:rPr>
              <w:t>Technivie</w:t>
            </w:r>
            <w:proofErr w:type="spellEnd"/>
            <w:r w:rsidR="003F3A02" w:rsidRPr="00156AEF">
              <w:rPr>
                <w:sz w:val="20"/>
                <w:szCs w:val="20"/>
              </w:rPr>
              <w:t xml:space="preserve"> use in HCV GT4 patients with compensated cirrhosis on 8 May 2017.</w:t>
            </w:r>
          </w:p>
        </w:tc>
      </w:tr>
      <w:tr w:rsidR="00EC097B" w:rsidRPr="00156AEF" w:rsidTr="00631665">
        <w:tc>
          <w:tcPr>
            <w:tcW w:w="1809" w:type="dxa"/>
          </w:tcPr>
          <w:p w:rsidR="00EC097B" w:rsidRPr="00156AEF" w:rsidRDefault="007C246D" w:rsidP="00156AEF">
            <w:pPr>
              <w:rPr>
                <w:sz w:val="20"/>
                <w:szCs w:val="20"/>
              </w:rPr>
            </w:pPr>
            <w:r w:rsidRPr="00156AEF">
              <w:rPr>
                <w:sz w:val="20"/>
                <w:szCs w:val="20"/>
              </w:rPr>
              <w:t>Switzerland</w:t>
            </w:r>
          </w:p>
        </w:tc>
        <w:tc>
          <w:tcPr>
            <w:tcW w:w="1985" w:type="dxa"/>
          </w:tcPr>
          <w:p w:rsidR="00EC097B" w:rsidRPr="00156AEF" w:rsidRDefault="000D1B22" w:rsidP="00156AEF">
            <w:pPr>
              <w:rPr>
                <w:sz w:val="20"/>
                <w:szCs w:val="20"/>
              </w:rPr>
            </w:pPr>
            <w:r w:rsidRPr="00156AEF">
              <w:rPr>
                <w:sz w:val="20"/>
                <w:szCs w:val="20"/>
              </w:rPr>
              <w:t>27 Apr 2015</w:t>
            </w:r>
          </w:p>
        </w:tc>
        <w:tc>
          <w:tcPr>
            <w:tcW w:w="4926" w:type="dxa"/>
          </w:tcPr>
          <w:p w:rsidR="003F3A02" w:rsidRPr="00156AEF" w:rsidRDefault="003F3A02" w:rsidP="00156AEF">
            <w:pPr>
              <w:rPr>
                <w:sz w:val="20"/>
                <w:szCs w:val="20"/>
              </w:rPr>
            </w:pPr>
            <w:r w:rsidRPr="00156AEF">
              <w:rPr>
                <w:sz w:val="20"/>
                <w:szCs w:val="20"/>
              </w:rPr>
              <w:t>Approved:  21 Oct 2016</w:t>
            </w:r>
          </w:p>
          <w:p w:rsidR="003F3A02" w:rsidRPr="00156AEF" w:rsidRDefault="003F3A02" w:rsidP="00156AEF">
            <w:pPr>
              <w:rPr>
                <w:sz w:val="20"/>
                <w:szCs w:val="20"/>
              </w:rPr>
            </w:pPr>
            <w:r w:rsidRPr="00156AEF">
              <w:rPr>
                <w:sz w:val="20"/>
                <w:szCs w:val="20"/>
              </w:rPr>
              <w:t xml:space="preserve">Indication: </w:t>
            </w:r>
            <w:proofErr w:type="spellStart"/>
            <w:r w:rsidRPr="00156AEF">
              <w:rPr>
                <w:sz w:val="20"/>
                <w:szCs w:val="20"/>
              </w:rPr>
              <w:t>Viekirax</w:t>
            </w:r>
            <w:proofErr w:type="spellEnd"/>
            <w:r w:rsidRPr="00156AEF">
              <w:rPr>
                <w:sz w:val="20"/>
                <w:szCs w:val="20"/>
              </w:rPr>
              <w:t xml:space="preserve"> is indicated in combination with ribavirin for the treatment of adults with genotype 4 chronic hepatitis C (CHC) infection (see Posology and method of administration, Warnings and Precautions, and Clinical Studies). </w:t>
            </w:r>
          </w:p>
        </w:tc>
      </w:tr>
      <w:tr w:rsidR="00EC097B" w:rsidRPr="00156AEF" w:rsidTr="00631665">
        <w:tc>
          <w:tcPr>
            <w:tcW w:w="1809" w:type="dxa"/>
          </w:tcPr>
          <w:p w:rsidR="00EC097B" w:rsidRPr="00156AEF" w:rsidRDefault="007C246D" w:rsidP="00156AEF">
            <w:pPr>
              <w:rPr>
                <w:sz w:val="20"/>
                <w:szCs w:val="20"/>
              </w:rPr>
            </w:pPr>
            <w:r w:rsidRPr="00156AEF">
              <w:rPr>
                <w:sz w:val="20"/>
                <w:szCs w:val="20"/>
              </w:rPr>
              <w:t>New Zealand</w:t>
            </w:r>
          </w:p>
        </w:tc>
        <w:tc>
          <w:tcPr>
            <w:tcW w:w="1985" w:type="dxa"/>
          </w:tcPr>
          <w:p w:rsidR="00EC097B" w:rsidRPr="00156AEF" w:rsidRDefault="00B7719A" w:rsidP="00156AEF">
            <w:pPr>
              <w:rPr>
                <w:sz w:val="20"/>
                <w:szCs w:val="20"/>
              </w:rPr>
            </w:pPr>
            <w:r w:rsidRPr="00156AEF">
              <w:rPr>
                <w:sz w:val="20"/>
                <w:szCs w:val="20"/>
              </w:rPr>
              <w:t>N/A</w:t>
            </w:r>
          </w:p>
        </w:tc>
        <w:tc>
          <w:tcPr>
            <w:tcW w:w="4926" w:type="dxa"/>
          </w:tcPr>
          <w:p w:rsidR="00EC097B" w:rsidRPr="00156AEF" w:rsidRDefault="00B7719A" w:rsidP="00156AEF">
            <w:pPr>
              <w:rPr>
                <w:sz w:val="20"/>
                <w:szCs w:val="20"/>
              </w:rPr>
            </w:pPr>
            <w:r w:rsidRPr="00156AEF">
              <w:rPr>
                <w:sz w:val="20"/>
                <w:szCs w:val="20"/>
              </w:rPr>
              <w:t>No submission has been made for GT4 indication</w:t>
            </w:r>
          </w:p>
        </w:tc>
      </w:tr>
    </w:tbl>
    <w:p w:rsidR="00026AE1" w:rsidRPr="00593A89" w:rsidRDefault="00026AE1" w:rsidP="00593A89">
      <w:r w:rsidRPr="00593A89">
        <w:t>No application for the product has been rejected, withdrawn</w:t>
      </w:r>
      <w:r w:rsidR="00135394">
        <w:t>,</w:t>
      </w:r>
      <w:r w:rsidRPr="00593A89">
        <w:t xml:space="preserve"> or repeatedly deferred in any country. </w:t>
      </w:r>
    </w:p>
    <w:p w:rsidR="008E7846" w:rsidRDefault="008E7846" w:rsidP="00940A89">
      <w:pPr>
        <w:pStyle w:val="Heading3"/>
      </w:pPr>
      <w:bookmarkStart w:id="24" w:name="_Toc497301610"/>
      <w:r>
        <w:lastRenderedPageBreak/>
        <w:t>Product Information</w:t>
      </w:r>
      <w:bookmarkEnd w:id="22"/>
      <w:bookmarkEnd w:id="23"/>
      <w:bookmarkEnd w:id="24"/>
    </w:p>
    <w:p w:rsidR="00940A89" w:rsidRDefault="00940A89" w:rsidP="00940A89">
      <w:pPr>
        <w:rPr>
          <w:b/>
          <w:bCs/>
        </w:rPr>
      </w:pPr>
      <w:bookmarkStart w:id="25" w:name="_Toc247691506"/>
      <w:bookmarkStart w:id="26" w:name="_Toc314842487"/>
      <w:r w:rsidRPr="00940A89">
        <w:t xml:space="preserve">The approved Product Information (PI) current at the time this AusPAR was prepared can be found as Attachment 1. For the most recent </w:t>
      </w:r>
      <w:r w:rsidR="00133A1B">
        <w:t>PI,</w:t>
      </w:r>
      <w:r w:rsidRPr="00940A89">
        <w:t xml:space="preserve"> ple</w:t>
      </w:r>
      <w:r w:rsidR="00441C3F">
        <w:t>ase refer to the TGA website</w:t>
      </w:r>
      <w:r w:rsidR="00441C3F" w:rsidRPr="00441C3F">
        <w:t xml:space="preserve"> at &lt;</w:t>
      </w:r>
      <w:hyperlink r:id="rId15" w:history="1">
        <w:r w:rsidR="00441C3F" w:rsidRPr="00441C3F">
          <w:rPr>
            <w:rStyle w:val="Hyperlink"/>
          </w:rPr>
          <w:t>https://www.tga.gov.au/product-information-pi</w:t>
        </w:r>
      </w:hyperlink>
      <w:r w:rsidR="00441C3F">
        <w:t>&gt;</w:t>
      </w:r>
      <w:r w:rsidRPr="00940A89">
        <w:t>.</w:t>
      </w:r>
    </w:p>
    <w:p w:rsidR="008E7846" w:rsidRPr="003602A9" w:rsidRDefault="008E7846" w:rsidP="008E7846">
      <w:pPr>
        <w:pStyle w:val="Heading2"/>
        <w:ind w:left="-11"/>
      </w:pPr>
      <w:bookmarkStart w:id="27" w:name="_Toc497301611"/>
      <w:r>
        <w:t>II. Quality</w:t>
      </w:r>
      <w:bookmarkEnd w:id="5"/>
      <w:r>
        <w:t xml:space="preserve"> findings</w:t>
      </w:r>
      <w:bookmarkEnd w:id="25"/>
      <w:bookmarkEnd w:id="26"/>
      <w:bookmarkEnd w:id="27"/>
    </w:p>
    <w:p w:rsidR="00940A89" w:rsidRDefault="00940A89" w:rsidP="00940A89">
      <w:pPr>
        <w:pStyle w:val="Heading3"/>
      </w:pPr>
      <w:bookmarkStart w:id="28" w:name="_Toc497301612"/>
      <w:bookmarkStart w:id="29" w:name="_Toc247691507"/>
      <w:bookmarkStart w:id="30" w:name="_Toc314842488"/>
      <w:r w:rsidRPr="00940A89">
        <w:t>Introduction</w:t>
      </w:r>
      <w:bookmarkEnd w:id="28"/>
    </w:p>
    <w:p w:rsidR="00BE2DAD" w:rsidRPr="001261C3" w:rsidRDefault="00BE2DAD" w:rsidP="00BE2DAD">
      <w:r w:rsidRPr="001261C3">
        <w:t xml:space="preserve">The intended commercial presentation of </w:t>
      </w:r>
      <w:proofErr w:type="spellStart"/>
      <w:r w:rsidRPr="001261C3">
        <w:t>T</w:t>
      </w:r>
      <w:r w:rsidR="00BF2030">
        <w:t>echnivie</w:t>
      </w:r>
      <w:proofErr w:type="spellEnd"/>
      <w:r w:rsidRPr="001261C3">
        <w:t xml:space="preserve"> provides a 28</w:t>
      </w:r>
      <w:r w:rsidR="008B1A58">
        <w:t xml:space="preserve"> </w:t>
      </w:r>
      <w:r w:rsidRPr="001261C3">
        <w:t xml:space="preserve">day supply which will include daily blister wallets, each with a two </w:t>
      </w:r>
      <w:proofErr w:type="spellStart"/>
      <w:r w:rsidRPr="001261C3">
        <w:t>paritaprevir</w:t>
      </w:r>
      <w:proofErr w:type="spellEnd"/>
      <w:r w:rsidRPr="001261C3">
        <w:t>/ritonavir/</w:t>
      </w:r>
      <w:proofErr w:type="spellStart"/>
      <w:r w:rsidRPr="001261C3">
        <w:t>ombitasvir</w:t>
      </w:r>
      <w:proofErr w:type="spellEnd"/>
      <w:r w:rsidRPr="001261C3">
        <w:t xml:space="preserve"> 75/50/12.5 tablets within a PVC/PE/PCTFE (</w:t>
      </w:r>
      <w:proofErr w:type="spellStart"/>
      <w:r w:rsidRPr="001261C3">
        <w:t>Aclar</w:t>
      </w:r>
      <w:proofErr w:type="spellEnd"/>
      <w:r w:rsidRPr="001261C3">
        <w:t xml:space="preserve">)/Al blister card with an outer cardboard cover. The wallets are packaged into weekly boxes (7 wallets per box). Four weekly boxes are supplied in an outer carton providing a total of 56 </w:t>
      </w:r>
      <w:proofErr w:type="spellStart"/>
      <w:r w:rsidRPr="001261C3">
        <w:t>paritaprevir</w:t>
      </w:r>
      <w:proofErr w:type="spellEnd"/>
      <w:r w:rsidRPr="001261C3">
        <w:t>/ritonavir/</w:t>
      </w:r>
      <w:proofErr w:type="spellStart"/>
      <w:r w:rsidRPr="001261C3">
        <w:t>ombitasvir</w:t>
      </w:r>
      <w:proofErr w:type="spellEnd"/>
      <w:r w:rsidRPr="001261C3">
        <w:t xml:space="preserve"> 75/50/12.5 tablets.</w:t>
      </w:r>
    </w:p>
    <w:p w:rsidR="008E7846" w:rsidRDefault="008E7846" w:rsidP="00940A89">
      <w:pPr>
        <w:pStyle w:val="Heading3"/>
      </w:pPr>
      <w:bookmarkStart w:id="31" w:name="_Toc497301613"/>
      <w:r w:rsidRPr="008751DC">
        <w:t xml:space="preserve">Drug </w:t>
      </w:r>
      <w:r>
        <w:t>s</w:t>
      </w:r>
      <w:r w:rsidRPr="008751DC">
        <w:t>ubstance</w:t>
      </w:r>
      <w:r>
        <w:t xml:space="preserve"> (active ingredient)</w:t>
      </w:r>
      <w:bookmarkEnd w:id="29"/>
      <w:bookmarkEnd w:id="30"/>
      <w:bookmarkEnd w:id="31"/>
    </w:p>
    <w:p w:rsidR="00EE4EC2" w:rsidRDefault="00EE4EC2" w:rsidP="00EE4EC2">
      <w:r w:rsidRPr="001261C3">
        <w:t xml:space="preserve">The manufacture and quality control of the drug substances </w:t>
      </w:r>
      <w:proofErr w:type="spellStart"/>
      <w:r w:rsidRPr="001261C3">
        <w:t>paritaprevir</w:t>
      </w:r>
      <w:proofErr w:type="spellEnd"/>
      <w:r w:rsidRPr="001261C3">
        <w:t xml:space="preserve">, ritonavir and </w:t>
      </w:r>
      <w:proofErr w:type="spellStart"/>
      <w:r w:rsidRPr="001261C3">
        <w:t>ombitasvir</w:t>
      </w:r>
      <w:proofErr w:type="spellEnd"/>
      <w:r w:rsidRPr="001261C3">
        <w:t xml:space="preserve"> are identical to that approved during registration of the </w:t>
      </w:r>
      <w:proofErr w:type="spellStart"/>
      <w:r w:rsidR="006959E0">
        <w:t>Viekira</w:t>
      </w:r>
      <w:proofErr w:type="spellEnd"/>
      <w:r w:rsidR="006959E0">
        <w:t xml:space="preserve"> Pak</w:t>
      </w:r>
      <w:r w:rsidRPr="001261C3">
        <w:t xml:space="preserve"> and </w:t>
      </w:r>
      <w:proofErr w:type="spellStart"/>
      <w:r w:rsidR="006959E0">
        <w:t>Viekira</w:t>
      </w:r>
      <w:proofErr w:type="spellEnd"/>
      <w:r w:rsidR="006959E0">
        <w:t xml:space="preserve"> Pak-RBV</w:t>
      </w:r>
      <w:r w:rsidRPr="001261C3">
        <w:t xml:space="preserve"> combination therapy packs. No further data regarding the drug substance was submitted in this submission.</w:t>
      </w:r>
    </w:p>
    <w:p w:rsidR="00CB62B9" w:rsidRDefault="00CB62B9" w:rsidP="00EE4EC2">
      <w:r>
        <w:t xml:space="preserve">Chemical structures are shown in Figure </w:t>
      </w:r>
      <w:r w:rsidR="00930A8B">
        <w:t>2</w:t>
      </w:r>
      <w:r>
        <w:t>.</w:t>
      </w:r>
    </w:p>
    <w:p w:rsidR="00CB62B9" w:rsidRDefault="00CB62B9" w:rsidP="00952E5C">
      <w:pPr>
        <w:pStyle w:val="FigureTitle"/>
      </w:pPr>
      <w:r>
        <w:t xml:space="preserve">Figure </w:t>
      </w:r>
      <w:r w:rsidR="00930A8B">
        <w:t>2</w:t>
      </w:r>
      <w:r>
        <w:t>: Chemical structures of active ingredients.</w:t>
      </w:r>
    </w:p>
    <w:p w:rsidR="00CB62B9" w:rsidRPr="001261C3" w:rsidRDefault="00CB62B9" w:rsidP="00EE4EC2">
      <w:pPr>
        <w:rPr>
          <w:rFonts w:ascii="Arial" w:hAnsi="Arial"/>
          <w:b/>
          <w:sz w:val="32"/>
          <w:szCs w:val="32"/>
        </w:rPr>
      </w:pPr>
      <w:r>
        <w:rPr>
          <w:noProof/>
          <w:lang w:eastAsia="en-AU"/>
        </w:rPr>
        <w:drawing>
          <wp:inline distT="0" distB="0" distL="0" distR="0" wp14:anchorId="0D3180B6" wp14:editId="3F237339">
            <wp:extent cx="5400040" cy="3351371"/>
            <wp:effectExtent l="0" t="0" r="0" b="1905"/>
            <wp:docPr id="1" name="Picture 1" descr="Figure 2: Chemical structures of active ingredi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400040" cy="3351371"/>
                    </a:xfrm>
                    <a:prstGeom prst="rect">
                      <a:avLst/>
                    </a:prstGeom>
                  </pic:spPr>
                </pic:pic>
              </a:graphicData>
            </a:graphic>
          </wp:inline>
        </w:drawing>
      </w:r>
    </w:p>
    <w:p w:rsidR="008E7846" w:rsidRDefault="008E7846" w:rsidP="008E7846">
      <w:pPr>
        <w:pStyle w:val="Heading3"/>
      </w:pPr>
      <w:bookmarkStart w:id="32" w:name="_Toc247691508"/>
      <w:bookmarkStart w:id="33" w:name="_Toc314842490"/>
      <w:bookmarkStart w:id="34" w:name="_Toc497301614"/>
      <w:r w:rsidRPr="008751DC">
        <w:t xml:space="preserve">Drug </w:t>
      </w:r>
      <w:r>
        <w:t>p</w:t>
      </w:r>
      <w:r w:rsidRPr="008751DC">
        <w:t>roduct</w:t>
      </w:r>
      <w:bookmarkEnd w:id="32"/>
      <w:bookmarkEnd w:id="33"/>
      <w:bookmarkEnd w:id="34"/>
    </w:p>
    <w:p w:rsidR="00EE4EC2" w:rsidRDefault="00EE4EC2" w:rsidP="00EE4EC2">
      <w:r>
        <w:t xml:space="preserve">Details of finished product manufacture are </w:t>
      </w:r>
      <w:r w:rsidRPr="00BA171D">
        <w:t xml:space="preserve">as described during registration of </w:t>
      </w:r>
      <w:proofErr w:type="spellStart"/>
      <w:r w:rsidR="006959E0">
        <w:t>Viekira</w:t>
      </w:r>
      <w:proofErr w:type="spellEnd"/>
      <w:r w:rsidR="006959E0">
        <w:t xml:space="preserve"> Pak</w:t>
      </w:r>
      <w:r>
        <w:t xml:space="preserve"> </w:t>
      </w:r>
      <w:r w:rsidRPr="002C2D34">
        <w:t xml:space="preserve">and </w:t>
      </w:r>
      <w:proofErr w:type="spellStart"/>
      <w:r w:rsidR="006959E0">
        <w:t>Viekira</w:t>
      </w:r>
      <w:proofErr w:type="spellEnd"/>
      <w:r w:rsidR="006959E0">
        <w:t xml:space="preserve"> Pak-RBV</w:t>
      </w:r>
      <w:r>
        <w:t xml:space="preserve"> combination therapy packs</w:t>
      </w:r>
      <w:r w:rsidRPr="00BA171D">
        <w:t>.</w:t>
      </w:r>
      <w:r>
        <w:t xml:space="preserve"> No further data regarding the manufacture and quality control of the finished product was submitted in this submission.</w:t>
      </w:r>
    </w:p>
    <w:p w:rsidR="00EE4EC2" w:rsidRDefault="00EE4EC2" w:rsidP="00EE4EC2">
      <w:pPr>
        <w:rPr>
          <w:color w:val="0070C0"/>
          <w:szCs w:val="24"/>
        </w:rPr>
      </w:pPr>
      <w:r w:rsidRPr="00FE73E9">
        <w:lastRenderedPageBreak/>
        <w:t>The sponsor has sought a shelf-life</w:t>
      </w:r>
      <w:r w:rsidRPr="0030673E">
        <w:rPr>
          <w:b/>
        </w:rPr>
        <w:t xml:space="preserve"> </w:t>
      </w:r>
      <w:r w:rsidRPr="00DB70F9">
        <w:t xml:space="preserve">of 24 months with </w:t>
      </w:r>
      <w:r w:rsidRPr="00EE44BF">
        <w:t xml:space="preserve">storage </w:t>
      </w:r>
      <w:r w:rsidRPr="00EE44BF">
        <w:rPr>
          <w:b/>
        </w:rPr>
        <w:t xml:space="preserve">below 30°C </w:t>
      </w:r>
      <w:r w:rsidRPr="00EE44BF">
        <w:t>and</w:t>
      </w:r>
      <w:r>
        <w:t xml:space="preserve"> this supported by stability data previously-submitted for the proposed combination tablets as part of the registration of </w:t>
      </w:r>
      <w:proofErr w:type="spellStart"/>
      <w:r w:rsidR="006959E0">
        <w:t>Viekira</w:t>
      </w:r>
      <w:proofErr w:type="spellEnd"/>
      <w:r w:rsidR="006959E0">
        <w:t xml:space="preserve"> Pak</w:t>
      </w:r>
      <w:r>
        <w:t xml:space="preserve">. However it is noted that lower temperature storage (‘below 25°C’) was assigned to the tablets </w:t>
      </w:r>
      <w:r w:rsidRPr="00FE73E9">
        <w:t xml:space="preserve">as a component of the composite packs </w:t>
      </w:r>
      <w:proofErr w:type="spellStart"/>
      <w:r w:rsidR="006959E0">
        <w:t>Viekira</w:t>
      </w:r>
      <w:proofErr w:type="spellEnd"/>
      <w:r w:rsidR="006959E0">
        <w:t xml:space="preserve"> Pak</w:t>
      </w:r>
      <w:r w:rsidRPr="00FE73E9">
        <w:t xml:space="preserve"> and </w:t>
      </w:r>
      <w:proofErr w:type="spellStart"/>
      <w:r w:rsidR="006959E0">
        <w:t>Viekira</w:t>
      </w:r>
      <w:proofErr w:type="spellEnd"/>
      <w:r w:rsidR="006959E0">
        <w:t xml:space="preserve"> Pak-RBV</w:t>
      </w:r>
      <w:r>
        <w:t>, since</w:t>
      </w:r>
      <w:r w:rsidRPr="00FE73E9">
        <w:t xml:space="preserve"> combination packs must have a shelf-life equal to the shortest</w:t>
      </w:r>
      <w:r>
        <w:t>/most restrictive</w:t>
      </w:r>
      <w:r w:rsidRPr="00FE73E9">
        <w:t xml:space="preserve"> of the individual components (in that case</w:t>
      </w:r>
      <w:r>
        <w:t>,</w:t>
      </w:r>
      <w:r w:rsidRPr="00FE73E9">
        <w:t xml:space="preserve"> the </w:t>
      </w:r>
      <w:r w:rsidR="00CC7518">
        <w:t>RBV</w:t>
      </w:r>
      <w:r>
        <w:t xml:space="preserve"> tablet component of </w:t>
      </w:r>
      <w:proofErr w:type="spellStart"/>
      <w:r w:rsidR="006959E0">
        <w:t>Viekira</w:t>
      </w:r>
      <w:proofErr w:type="spellEnd"/>
      <w:r w:rsidR="006959E0">
        <w:t xml:space="preserve"> Pak-RBV</w:t>
      </w:r>
      <w:r>
        <w:t>)</w:t>
      </w:r>
      <w:r w:rsidRPr="00FE73E9">
        <w:t>.</w:t>
      </w:r>
      <w:r w:rsidRPr="00DB70F9">
        <w:rPr>
          <w:b/>
          <w:i/>
        </w:rPr>
        <w:t xml:space="preserve"> </w:t>
      </w:r>
      <w:r w:rsidRPr="00DB70F9">
        <w:t>The proposed shelf-life of 24 months with storage below 30°</w:t>
      </w:r>
      <w:proofErr w:type="gramStart"/>
      <w:r w:rsidRPr="00DB70F9">
        <w:t>C,</w:t>
      </w:r>
      <w:proofErr w:type="gramEnd"/>
      <w:r w:rsidRPr="00DB70F9">
        <w:t xml:space="preserve"> is considered appropriate</w:t>
      </w:r>
      <w:r>
        <w:t xml:space="preserve"> for the combination tablets as a ‘stand-alone’ product</w:t>
      </w:r>
      <w:r w:rsidRPr="00DB70F9">
        <w:t>.</w:t>
      </w:r>
    </w:p>
    <w:p w:rsidR="008E7846" w:rsidRDefault="008E7846" w:rsidP="008E7846">
      <w:pPr>
        <w:pStyle w:val="Heading3"/>
      </w:pPr>
      <w:bookmarkStart w:id="35" w:name="_Toc314842491"/>
      <w:bookmarkStart w:id="36" w:name="_Toc497301615"/>
      <w:r>
        <w:t>Biopharmaceutics</w:t>
      </w:r>
      <w:bookmarkEnd w:id="35"/>
      <w:bookmarkEnd w:id="36"/>
    </w:p>
    <w:p w:rsidR="003E454D" w:rsidRDefault="00EE4EC2" w:rsidP="00EE4EC2">
      <w:r w:rsidRPr="00EE4EC2">
        <w:t xml:space="preserve">A Food Effect Study for the proposed </w:t>
      </w:r>
      <w:proofErr w:type="spellStart"/>
      <w:r w:rsidRPr="00EE4EC2">
        <w:t>Paritaprevir</w:t>
      </w:r>
      <w:proofErr w:type="spellEnd"/>
      <w:r w:rsidRPr="00EE4EC2">
        <w:t xml:space="preserve"> / Ritonavir / </w:t>
      </w:r>
      <w:proofErr w:type="spellStart"/>
      <w:r w:rsidRPr="00EE4EC2">
        <w:t>Ombitasvir</w:t>
      </w:r>
      <w:proofErr w:type="spellEnd"/>
      <w:r w:rsidRPr="00EE4EC2">
        <w:t xml:space="preserve"> 75/50/12.5mg tablets (Study M11-389) was evaluated during the registration of </w:t>
      </w:r>
      <w:proofErr w:type="spellStart"/>
      <w:r w:rsidR="006959E0">
        <w:t>Viekira</w:t>
      </w:r>
      <w:proofErr w:type="spellEnd"/>
      <w:r w:rsidR="006959E0">
        <w:t xml:space="preserve"> Pak</w:t>
      </w:r>
      <w:r w:rsidRPr="00EE4EC2">
        <w:t>. The study conclusions were considered to adequately sup</w:t>
      </w:r>
      <w:r w:rsidR="003E454D">
        <w:t>port the proposed PI statement:</w:t>
      </w:r>
    </w:p>
    <w:p w:rsidR="00EE4EC2" w:rsidRPr="003E454D" w:rsidRDefault="00EE4EC2" w:rsidP="003E454D">
      <w:pPr>
        <w:ind w:left="720"/>
        <w:rPr>
          <w:i/>
        </w:rPr>
      </w:pPr>
      <w:r w:rsidRPr="003E454D">
        <w:rPr>
          <w:i/>
        </w:rPr>
        <w:t xml:space="preserve">To maximise absorption, </w:t>
      </w:r>
      <w:proofErr w:type="spellStart"/>
      <w:r w:rsidR="006959E0" w:rsidRPr="003E454D">
        <w:rPr>
          <w:i/>
        </w:rPr>
        <w:t>Viekira</w:t>
      </w:r>
      <w:proofErr w:type="spellEnd"/>
      <w:r w:rsidR="006959E0" w:rsidRPr="003E454D">
        <w:rPr>
          <w:i/>
        </w:rPr>
        <w:t xml:space="preserve"> Pak</w:t>
      </w:r>
      <w:r w:rsidRPr="003E454D">
        <w:rPr>
          <w:i/>
        </w:rPr>
        <w:t xml:space="preserve"> should be taken with food without reg</w:t>
      </w:r>
      <w:r w:rsidR="003E454D" w:rsidRPr="003E454D">
        <w:rPr>
          <w:i/>
        </w:rPr>
        <w:t>ard to fat or calorie content.</w:t>
      </w:r>
    </w:p>
    <w:p w:rsidR="00EE4EC2" w:rsidRPr="00EE4EC2" w:rsidRDefault="00EE4EC2" w:rsidP="00EE4EC2">
      <w:r w:rsidRPr="00EE4EC2">
        <w:t xml:space="preserve">No absolute bioavailability study was provided in the </w:t>
      </w:r>
      <w:proofErr w:type="spellStart"/>
      <w:r w:rsidR="006959E0">
        <w:t>Viekira</w:t>
      </w:r>
      <w:proofErr w:type="spellEnd"/>
      <w:r w:rsidR="006959E0">
        <w:t xml:space="preserve"> Pak</w:t>
      </w:r>
      <w:r w:rsidRPr="00EE4EC2">
        <w:t xml:space="preserve"> submission, but instead a justification for not providing such a study was submitted. In this submission for registration of </w:t>
      </w:r>
      <w:proofErr w:type="spellStart"/>
      <w:r w:rsidR="006959E0">
        <w:t>Technivie</w:t>
      </w:r>
      <w:proofErr w:type="spellEnd"/>
      <w:r w:rsidRPr="00EE4EC2">
        <w:t xml:space="preserve">, a study assessing the absolute bioavailability of </w:t>
      </w:r>
      <w:proofErr w:type="spellStart"/>
      <w:r w:rsidRPr="00EE4EC2">
        <w:t>paritaprevir</w:t>
      </w:r>
      <w:proofErr w:type="spellEnd"/>
      <w:r w:rsidRPr="00EE4EC2">
        <w:t xml:space="preserve"> and </w:t>
      </w:r>
      <w:proofErr w:type="spellStart"/>
      <w:r w:rsidRPr="00EE4EC2">
        <w:t>ombitasvir</w:t>
      </w:r>
      <w:proofErr w:type="spellEnd"/>
      <w:r w:rsidRPr="00EE4EC2">
        <w:t xml:space="preserve"> in the combination tablet was provided and evaluated:</w:t>
      </w:r>
    </w:p>
    <w:p w:rsidR="00EE4EC2" w:rsidRPr="00EE4EC2" w:rsidRDefault="00EE4EC2" w:rsidP="00EE4EC2">
      <w:pPr>
        <w:pStyle w:val="ListBullet"/>
      </w:pPr>
      <w:r w:rsidRPr="00EE4EC2">
        <w:t xml:space="preserve">Study M14-229: ‘A Phase I, Open-Label, Single Centre Study Designed to Determine the Absolute Bioavailability of </w:t>
      </w:r>
      <w:proofErr w:type="spellStart"/>
      <w:r w:rsidRPr="00EE4EC2">
        <w:t>Paritaprevir</w:t>
      </w:r>
      <w:proofErr w:type="spellEnd"/>
      <w:r w:rsidRPr="00EE4EC2">
        <w:t xml:space="preserve"> ‘ABT-450’ (150 mg) and </w:t>
      </w:r>
      <w:proofErr w:type="spellStart"/>
      <w:r w:rsidRPr="00EE4EC2">
        <w:t>Ombitasvir</w:t>
      </w:r>
      <w:proofErr w:type="spellEnd"/>
      <w:r w:rsidRPr="00EE4EC2">
        <w:t xml:space="preserve"> ‘ABT-267’ (25 mg) when Administered as an Oral Co-Formulated Product with Ritonavir (100 mg), (</w:t>
      </w:r>
      <w:proofErr w:type="spellStart"/>
      <w:r w:rsidR="00EE44BF">
        <w:t>paritaprevir</w:t>
      </w:r>
      <w:proofErr w:type="spellEnd"/>
      <w:r w:rsidR="00EE44BF">
        <w:t>/ritonavir/</w:t>
      </w:r>
      <w:proofErr w:type="spellStart"/>
      <w:r w:rsidRPr="00EE4EC2">
        <w:t>ombitasvir</w:t>
      </w:r>
      <w:proofErr w:type="spellEnd"/>
      <w:r w:rsidRPr="00EE4EC2">
        <w:t>), to Healthy Adult Subjects’.</w:t>
      </w:r>
    </w:p>
    <w:p w:rsidR="00EE4EC2" w:rsidRPr="00EE4EC2" w:rsidRDefault="00EE4EC2" w:rsidP="00EE4EC2">
      <w:r w:rsidRPr="00EE4EC2">
        <w:t>The following was concluded:</w:t>
      </w:r>
    </w:p>
    <w:p w:rsidR="00EE4EC2" w:rsidRPr="006504E8" w:rsidRDefault="00EE4EC2" w:rsidP="006504E8">
      <w:pPr>
        <w:pStyle w:val="ListBullet"/>
      </w:pPr>
      <w:r w:rsidRPr="006504E8">
        <w:t xml:space="preserve">Following single dose administration of </w:t>
      </w:r>
      <w:proofErr w:type="spellStart"/>
      <w:r w:rsidRPr="006504E8">
        <w:t>paritaprevir</w:t>
      </w:r>
      <w:proofErr w:type="spellEnd"/>
      <w:r w:rsidRPr="006504E8">
        <w:t xml:space="preserve"> as an oral co-formulated product with </w:t>
      </w:r>
      <w:proofErr w:type="spellStart"/>
      <w:r w:rsidRPr="006504E8">
        <w:t>ombitasvir</w:t>
      </w:r>
      <w:proofErr w:type="spellEnd"/>
      <w:r w:rsidRPr="006504E8">
        <w:t xml:space="preserve"> and ritonavir under non-fasting conditions with an IV dose of </w:t>
      </w:r>
      <w:r w:rsidRPr="006504E8">
        <w:rPr>
          <w:vertAlign w:val="superscript"/>
        </w:rPr>
        <w:t>14</w:t>
      </w:r>
      <w:r w:rsidRPr="006504E8">
        <w:t xml:space="preserve">C-radiolabelled </w:t>
      </w:r>
      <w:proofErr w:type="spellStart"/>
      <w:r w:rsidRPr="006504E8">
        <w:t>paritaprevir</w:t>
      </w:r>
      <w:proofErr w:type="spellEnd"/>
      <w:r w:rsidRPr="006504E8">
        <w:t xml:space="preserve">, the geometric mean </w:t>
      </w:r>
      <w:r w:rsidRPr="006504E8">
        <w:rPr>
          <w:b/>
        </w:rPr>
        <w:t xml:space="preserve">absolute bioavailability of </w:t>
      </w:r>
      <w:proofErr w:type="spellStart"/>
      <w:r w:rsidRPr="006504E8">
        <w:rPr>
          <w:b/>
        </w:rPr>
        <w:t>paritaprevir</w:t>
      </w:r>
      <w:proofErr w:type="spellEnd"/>
      <w:r w:rsidRPr="006504E8">
        <w:rPr>
          <w:b/>
        </w:rPr>
        <w:t xml:space="preserve"> was 52.6%</w:t>
      </w:r>
      <w:r w:rsidRPr="006504E8">
        <w:t>.</w:t>
      </w:r>
    </w:p>
    <w:p w:rsidR="00EE4EC2" w:rsidRPr="006504E8" w:rsidRDefault="00EE4EC2" w:rsidP="006504E8">
      <w:pPr>
        <w:pStyle w:val="ListBullet"/>
      </w:pPr>
      <w:r w:rsidRPr="006504E8">
        <w:t xml:space="preserve">Following single dose administration of </w:t>
      </w:r>
      <w:proofErr w:type="spellStart"/>
      <w:r w:rsidRPr="006504E8">
        <w:t>ombitasvir</w:t>
      </w:r>
      <w:proofErr w:type="spellEnd"/>
      <w:r w:rsidRPr="006504E8">
        <w:t xml:space="preserve"> as an oral co-formulated product with </w:t>
      </w:r>
      <w:proofErr w:type="spellStart"/>
      <w:r w:rsidRPr="006504E8">
        <w:t>paritaprevir</w:t>
      </w:r>
      <w:proofErr w:type="spellEnd"/>
      <w:r w:rsidRPr="006504E8">
        <w:t xml:space="preserve"> and ritonavir under non-fasting conditions with an IV dose of 14C-radiolabelled </w:t>
      </w:r>
      <w:proofErr w:type="spellStart"/>
      <w:r w:rsidRPr="006504E8">
        <w:t>ombitasvir</w:t>
      </w:r>
      <w:proofErr w:type="spellEnd"/>
      <w:r w:rsidRPr="006504E8">
        <w:t xml:space="preserve">, the geometric </w:t>
      </w:r>
      <w:r w:rsidRPr="006504E8">
        <w:rPr>
          <w:b/>
        </w:rPr>
        <w:t xml:space="preserve">mean absolute bioavailability of </w:t>
      </w:r>
      <w:proofErr w:type="spellStart"/>
      <w:r w:rsidRPr="006504E8">
        <w:rPr>
          <w:b/>
        </w:rPr>
        <w:t>ombitasvir</w:t>
      </w:r>
      <w:proofErr w:type="spellEnd"/>
      <w:r w:rsidRPr="006504E8">
        <w:rPr>
          <w:b/>
        </w:rPr>
        <w:t xml:space="preserve"> was 48.1%</w:t>
      </w:r>
      <w:r w:rsidRPr="006504E8">
        <w:t>.</w:t>
      </w:r>
    </w:p>
    <w:p w:rsidR="006504E8" w:rsidRDefault="00EE4EC2" w:rsidP="006504E8">
      <w:pPr>
        <w:pStyle w:val="ListBullet"/>
      </w:pPr>
      <w:r w:rsidRPr="006504E8">
        <w:t xml:space="preserve">The study is considered to adequately </w:t>
      </w:r>
      <w:r w:rsidR="006504E8">
        <w:t>support the statement in the PI:</w:t>
      </w:r>
    </w:p>
    <w:p w:rsidR="00EE4EC2" w:rsidRPr="006504E8" w:rsidRDefault="00EE4EC2" w:rsidP="006504E8">
      <w:pPr>
        <w:pStyle w:val="ListBullet"/>
        <w:numPr>
          <w:ilvl w:val="0"/>
          <w:numId w:val="0"/>
        </w:numPr>
        <w:ind w:left="720"/>
        <w:rPr>
          <w:i/>
        </w:rPr>
      </w:pPr>
      <w:r w:rsidRPr="006504E8">
        <w:rPr>
          <w:i/>
        </w:rPr>
        <w:t xml:space="preserve">The absolute bioavailability of </w:t>
      </w:r>
      <w:proofErr w:type="spellStart"/>
      <w:r w:rsidRPr="006504E8">
        <w:rPr>
          <w:i/>
        </w:rPr>
        <w:t>ombitasvir</w:t>
      </w:r>
      <w:proofErr w:type="spellEnd"/>
      <w:r w:rsidRPr="006504E8">
        <w:rPr>
          <w:i/>
        </w:rPr>
        <w:t xml:space="preserve"> and </w:t>
      </w:r>
      <w:proofErr w:type="spellStart"/>
      <w:r w:rsidRPr="006504E8">
        <w:rPr>
          <w:i/>
        </w:rPr>
        <w:t>paritaprevir</w:t>
      </w:r>
      <w:proofErr w:type="spellEnd"/>
      <w:r w:rsidRPr="006504E8">
        <w:rPr>
          <w:i/>
        </w:rPr>
        <w:t xml:space="preserve"> when administered with ritonavir as </w:t>
      </w:r>
      <w:proofErr w:type="spellStart"/>
      <w:r w:rsidRPr="006504E8">
        <w:rPr>
          <w:i/>
        </w:rPr>
        <w:t>T</w:t>
      </w:r>
      <w:r w:rsidR="00135394">
        <w:rPr>
          <w:i/>
        </w:rPr>
        <w:t>echnivie</w:t>
      </w:r>
      <w:proofErr w:type="spellEnd"/>
      <w:r w:rsidRPr="006504E8">
        <w:rPr>
          <w:i/>
        </w:rPr>
        <w:t xml:space="preserve"> was approximately 48.1% and 52.6%, respectively.</w:t>
      </w:r>
    </w:p>
    <w:p w:rsidR="008E7846" w:rsidRPr="008751DC" w:rsidRDefault="008E7846" w:rsidP="008E7846">
      <w:pPr>
        <w:pStyle w:val="Heading3"/>
      </w:pPr>
      <w:bookmarkStart w:id="37" w:name="_Toc247691509"/>
      <w:bookmarkStart w:id="38" w:name="_Toc314842493"/>
      <w:bookmarkStart w:id="39" w:name="_Toc497301616"/>
      <w:r>
        <w:t>Quality s</w:t>
      </w:r>
      <w:r w:rsidRPr="008751DC">
        <w:t>ummary</w:t>
      </w:r>
      <w:r>
        <w:t xml:space="preserve"> and conclusions</w:t>
      </w:r>
      <w:bookmarkEnd w:id="37"/>
      <w:bookmarkEnd w:id="38"/>
      <w:bookmarkEnd w:id="39"/>
    </w:p>
    <w:p w:rsidR="00EE4EC2" w:rsidRPr="00EE4EC2" w:rsidRDefault="00EE4EC2" w:rsidP="00EE4EC2">
      <w:r w:rsidRPr="00EE4EC2">
        <w:t xml:space="preserve">Registration of the proposed </w:t>
      </w:r>
      <w:proofErr w:type="spellStart"/>
      <w:r w:rsidR="006959E0">
        <w:t>Technivie</w:t>
      </w:r>
      <w:proofErr w:type="spellEnd"/>
      <w:r w:rsidRPr="00EE4EC2">
        <w:t xml:space="preserve"> </w:t>
      </w:r>
      <w:proofErr w:type="spellStart"/>
      <w:r w:rsidRPr="00EE4EC2">
        <w:t>paritaprevir</w:t>
      </w:r>
      <w:proofErr w:type="spellEnd"/>
      <w:r w:rsidRPr="00EE4EC2">
        <w:t>/ritonavir/</w:t>
      </w:r>
      <w:proofErr w:type="spellStart"/>
      <w:r w:rsidRPr="00EE4EC2">
        <w:t>ombitasvir</w:t>
      </w:r>
      <w:proofErr w:type="spellEnd"/>
      <w:r w:rsidRPr="00EE4EC2">
        <w:t xml:space="preserve"> 75/50/12.5 tablets, packaged in PVC/PE/PCTFE (</w:t>
      </w:r>
      <w:proofErr w:type="spellStart"/>
      <w:r w:rsidRPr="00EE4EC2">
        <w:t>Aclar</w:t>
      </w:r>
      <w:proofErr w:type="spellEnd"/>
      <w:r w:rsidRPr="00EE4EC2">
        <w:t xml:space="preserve">)/Al blisters as a 56 tablet pack is recommended with respect to quality and </w:t>
      </w:r>
      <w:proofErr w:type="spellStart"/>
      <w:r w:rsidRPr="00EE4EC2">
        <w:t>biopharmaceutic</w:t>
      </w:r>
      <w:proofErr w:type="spellEnd"/>
      <w:r w:rsidRPr="00EE4EC2">
        <w:t xml:space="preserve"> aspects. All issues raised during the initial evaluation of this application have been satisfactorily resolved apart from the requirement to obtain extensions for GMP clearances for two overseas manufacturing sites. </w:t>
      </w:r>
    </w:p>
    <w:p w:rsidR="00EE4EC2" w:rsidRPr="00EE4EC2" w:rsidRDefault="00EE4EC2" w:rsidP="00EE4EC2">
      <w:r w:rsidRPr="00EE4EC2">
        <w:t xml:space="preserve">As no significant pharmaceutical chemistry issues were identified, the </w:t>
      </w:r>
      <w:r w:rsidR="00E25E9C" w:rsidRPr="00E25E9C">
        <w:t xml:space="preserve">Chemistry, Manufacturing, and Controls (CMC) </w:t>
      </w:r>
      <w:r w:rsidRPr="00EE4EC2">
        <w:t>aspects of the submission were not referred to the Pharmaceutical Subcommittee of the ACPM, in keeping with recent branch policy.</w:t>
      </w:r>
    </w:p>
    <w:p w:rsidR="008E7846" w:rsidRDefault="008E7846" w:rsidP="008E7846">
      <w:pPr>
        <w:pStyle w:val="Heading2"/>
      </w:pPr>
      <w:bookmarkStart w:id="40" w:name="_Toc196046439"/>
      <w:bookmarkStart w:id="41" w:name="_Toc247691510"/>
      <w:bookmarkStart w:id="42" w:name="_Toc314842494"/>
      <w:bookmarkStart w:id="43" w:name="_Toc497301617"/>
      <w:r>
        <w:lastRenderedPageBreak/>
        <w:t>III. Nonclinical</w:t>
      </w:r>
      <w:bookmarkEnd w:id="40"/>
      <w:r>
        <w:t xml:space="preserve"> findings</w:t>
      </w:r>
      <w:bookmarkEnd w:id="41"/>
      <w:bookmarkEnd w:id="42"/>
      <w:bookmarkEnd w:id="43"/>
    </w:p>
    <w:p w:rsidR="000B5F90" w:rsidRPr="000B5F90" w:rsidRDefault="000B5F90" w:rsidP="000B5F90">
      <w:r w:rsidRPr="000B5F90">
        <w:t xml:space="preserve">Rats received </w:t>
      </w:r>
      <w:proofErr w:type="spellStart"/>
      <w:r w:rsidRPr="000B5F90">
        <w:t>ombitasvir</w:t>
      </w:r>
      <w:proofErr w:type="spellEnd"/>
      <w:r w:rsidRPr="000B5F90">
        <w:t xml:space="preserve"> via oral gavage daily for up to 104 weeks during this study. Group sizes of 65 per sex were appropriate and there were sufficient animal numbers surviving treatment to assess the carcinogenic potential at the doses administered. Dose levels were selected based on a 3 month toxicity and </w:t>
      </w:r>
      <w:proofErr w:type="spellStart"/>
      <w:r w:rsidRPr="000B5F90">
        <w:t>toxicokinetic</w:t>
      </w:r>
      <w:proofErr w:type="spellEnd"/>
      <w:r w:rsidRPr="000B5F90">
        <w:t xml:space="preserve"> study in Sprague-Dawley rats (previously evaluated). In this study </w:t>
      </w:r>
      <w:r w:rsidR="00F1612A">
        <w:t xml:space="preserve">30mg/kg/day of </w:t>
      </w:r>
      <w:proofErr w:type="spellStart"/>
      <w:r w:rsidR="00F1612A">
        <w:t>ombitasvir</w:t>
      </w:r>
      <w:proofErr w:type="spellEnd"/>
      <w:r w:rsidR="00F1612A">
        <w:t xml:space="preserve"> (that is, </w:t>
      </w:r>
      <w:r w:rsidRPr="000B5F90">
        <w:t>17 t</w:t>
      </w:r>
      <w:r w:rsidR="00996FFD">
        <w:t>imes the human dose, see Table 2</w:t>
      </w:r>
      <w:r w:rsidRPr="000B5F90">
        <w:t>), produced maximum feasible systemic exposure in rats and therefore, was adequate to use as a high dose. The range of doses tested was adequate and allowed for a dose response evaluation of findings. There were no neoplastic or non-neoplastic lesions due to the test article in both male and female rats. Though mortality in females was observed to be significantly test article</w:t>
      </w:r>
      <w:r w:rsidR="005B4FB6">
        <w:t xml:space="preserve"> </w:t>
      </w:r>
      <w:r w:rsidRPr="000B5F90">
        <w:t xml:space="preserve">related, this would not be relevant to human safety assessment due to the primary cause of death being pituitary and mammary tumours which are the most common tumours observed in this species of rats. Therefore, based on this study, </w:t>
      </w:r>
      <w:proofErr w:type="spellStart"/>
      <w:r w:rsidRPr="000B5F90">
        <w:t>ombitasvir</w:t>
      </w:r>
      <w:proofErr w:type="spellEnd"/>
      <w:r w:rsidRPr="000B5F90">
        <w:t xml:space="preserve"> is not expected to pose a carcinogenic risk during clinical use.</w:t>
      </w:r>
    </w:p>
    <w:p w:rsidR="000B5F90" w:rsidRPr="00A11A90" w:rsidRDefault="00996FFD" w:rsidP="00996FFD">
      <w:pPr>
        <w:pStyle w:val="TableTitle"/>
      </w:pPr>
      <w:r>
        <w:t>Table 2:</w:t>
      </w:r>
      <w:r w:rsidR="000B5F90" w:rsidRPr="00A11A90">
        <w:t xml:space="preserve"> Relative exposure in the carcinogenicity study</w:t>
      </w:r>
    </w:p>
    <w:tbl>
      <w:tblPr>
        <w:tblStyle w:val="TableTGAblue"/>
        <w:tblW w:w="8472" w:type="dxa"/>
        <w:tblLayout w:type="fixed"/>
        <w:tblLook w:val="01E0" w:firstRow="1" w:lastRow="1" w:firstColumn="1" w:lastColumn="1" w:noHBand="0" w:noVBand="0"/>
      </w:tblPr>
      <w:tblGrid>
        <w:gridCol w:w="2900"/>
        <w:gridCol w:w="2170"/>
        <w:gridCol w:w="1842"/>
        <w:gridCol w:w="1560"/>
      </w:tblGrid>
      <w:tr w:rsidR="000B5F90" w:rsidRPr="000B5F90" w:rsidTr="00156AEF">
        <w:trPr>
          <w:cnfStyle w:val="100000000000" w:firstRow="1" w:lastRow="0" w:firstColumn="0" w:lastColumn="0" w:oddVBand="0" w:evenVBand="0" w:oddHBand="0" w:evenHBand="0" w:firstRowFirstColumn="0" w:firstRowLastColumn="0" w:lastRowFirstColumn="0" w:lastRowLastColumn="0"/>
        </w:trPr>
        <w:tc>
          <w:tcPr>
            <w:tcW w:w="2900" w:type="dxa"/>
          </w:tcPr>
          <w:p w:rsidR="000B5F90" w:rsidRPr="000B5F90" w:rsidRDefault="000B5F90" w:rsidP="00156AEF">
            <w:pPr>
              <w:rPr>
                <w:b w:val="0"/>
              </w:rPr>
            </w:pPr>
            <w:r w:rsidRPr="000B5F90">
              <w:t>Species</w:t>
            </w:r>
          </w:p>
        </w:tc>
        <w:tc>
          <w:tcPr>
            <w:tcW w:w="2170" w:type="dxa"/>
          </w:tcPr>
          <w:p w:rsidR="000B5F90" w:rsidRPr="000B5F90" w:rsidRDefault="000B5F90" w:rsidP="00156AEF">
            <w:pPr>
              <w:rPr>
                <w:b w:val="0"/>
              </w:rPr>
            </w:pPr>
            <w:r w:rsidRPr="000B5F90">
              <w:t>Dose</w:t>
            </w:r>
            <w:r w:rsidRPr="000B5F90">
              <w:br/>
              <w:t>(mg/kg/day PO)</w:t>
            </w:r>
          </w:p>
        </w:tc>
        <w:tc>
          <w:tcPr>
            <w:tcW w:w="1842" w:type="dxa"/>
          </w:tcPr>
          <w:p w:rsidR="000B5F90" w:rsidRPr="000B5F90" w:rsidRDefault="000B5F90" w:rsidP="00156AEF">
            <w:pPr>
              <w:rPr>
                <w:b w:val="0"/>
              </w:rPr>
            </w:pPr>
            <w:r w:rsidRPr="000B5F90">
              <w:t>AUC</w:t>
            </w:r>
            <w:r w:rsidRPr="000B5F90">
              <w:rPr>
                <w:vertAlign w:val="subscript"/>
              </w:rPr>
              <w:t>0–24</w:t>
            </w:r>
            <w:r w:rsidRPr="000B5F90">
              <w:rPr>
                <w:w w:val="50"/>
                <w:vertAlign w:val="subscript"/>
              </w:rPr>
              <w:t> </w:t>
            </w:r>
            <w:r w:rsidRPr="000B5F90">
              <w:rPr>
                <w:vertAlign w:val="subscript"/>
              </w:rPr>
              <w:t xml:space="preserve">h </w:t>
            </w:r>
            <w:r w:rsidRPr="000B5F90">
              <w:t>(µ</w:t>
            </w:r>
            <w:proofErr w:type="spellStart"/>
            <w:r w:rsidRPr="000B5F90">
              <w:t>g∙h</w:t>
            </w:r>
            <w:proofErr w:type="spellEnd"/>
            <w:r w:rsidRPr="000B5F90">
              <w:t>/mL)</w:t>
            </w:r>
          </w:p>
        </w:tc>
        <w:tc>
          <w:tcPr>
            <w:tcW w:w="1560" w:type="dxa"/>
          </w:tcPr>
          <w:p w:rsidR="000B5F90" w:rsidRPr="000B5F90" w:rsidRDefault="000B5F90" w:rsidP="00156AEF">
            <w:pPr>
              <w:rPr>
                <w:b w:val="0"/>
              </w:rPr>
            </w:pPr>
            <w:r w:rsidRPr="000B5F90">
              <w:t>Exposure ratio</w:t>
            </w:r>
            <w:r w:rsidRPr="000B5F90">
              <w:rPr>
                <w:vertAlign w:val="superscript"/>
              </w:rPr>
              <w:t>#</w:t>
            </w:r>
          </w:p>
        </w:tc>
      </w:tr>
      <w:tr w:rsidR="000B5F90" w:rsidRPr="000B5F90" w:rsidTr="00156AEF">
        <w:trPr>
          <w:trHeight w:val="227"/>
        </w:trPr>
        <w:tc>
          <w:tcPr>
            <w:tcW w:w="2900" w:type="dxa"/>
            <w:vMerge w:val="restart"/>
          </w:tcPr>
          <w:p w:rsidR="000B5F90" w:rsidRPr="000B5F90" w:rsidRDefault="000B5F90" w:rsidP="00156AEF">
            <w:r w:rsidRPr="000B5F90">
              <w:t>Rat</w:t>
            </w:r>
            <w:r w:rsidR="00156AEF">
              <w:t xml:space="preserve"> </w:t>
            </w:r>
            <w:r w:rsidRPr="000B5F90">
              <w:t>(CRL:SD)</w:t>
            </w:r>
          </w:p>
        </w:tc>
        <w:tc>
          <w:tcPr>
            <w:tcW w:w="2170" w:type="dxa"/>
          </w:tcPr>
          <w:p w:rsidR="000B5F90" w:rsidRPr="000B5F90" w:rsidRDefault="000B5F90" w:rsidP="00156AEF">
            <w:r w:rsidRPr="000B5F90">
              <w:t>3</w:t>
            </w:r>
          </w:p>
        </w:tc>
        <w:tc>
          <w:tcPr>
            <w:tcW w:w="1842" w:type="dxa"/>
          </w:tcPr>
          <w:p w:rsidR="000B5F90" w:rsidRPr="000B5F90" w:rsidRDefault="000B5F90" w:rsidP="00156AEF">
            <w:r w:rsidRPr="000B5F90">
              <w:t>3.26</w:t>
            </w:r>
          </w:p>
        </w:tc>
        <w:tc>
          <w:tcPr>
            <w:tcW w:w="1560" w:type="dxa"/>
          </w:tcPr>
          <w:p w:rsidR="000B5F90" w:rsidRPr="000B5F90" w:rsidRDefault="000B5F90" w:rsidP="00156AEF">
            <w:r w:rsidRPr="000B5F90">
              <w:t>2</w:t>
            </w:r>
          </w:p>
        </w:tc>
      </w:tr>
      <w:tr w:rsidR="000B5F90" w:rsidRPr="000B5F90" w:rsidTr="00156AEF">
        <w:trPr>
          <w:trHeight w:val="227"/>
        </w:trPr>
        <w:tc>
          <w:tcPr>
            <w:tcW w:w="2900" w:type="dxa"/>
            <w:vMerge/>
          </w:tcPr>
          <w:p w:rsidR="000B5F90" w:rsidRPr="000B5F90" w:rsidRDefault="000B5F90" w:rsidP="00156AEF"/>
        </w:tc>
        <w:tc>
          <w:tcPr>
            <w:tcW w:w="2170" w:type="dxa"/>
          </w:tcPr>
          <w:p w:rsidR="000B5F90" w:rsidRPr="000B5F90" w:rsidRDefault="000B5F90" w:rsidP="00156AEF">
            <w:r w:rsidRPr="000B5F90">
              <w:t>10</w:t>
            </w:r>
          </w:p>
        </w:tc>
        <w:tc>
          <w:tcPr>
            <w:tcW w:w="1842" w:type="dxa"/>
          </w:tcPr>
          <w:p w:rsidR="000B5F90" w:rsidRPr="000B5F90" w:rsidRDefault="000B5F90" w:rsidP="00156AEF">
            <w:r w:rsidRPr="000B5F90">
              <w:t>8.54</w:t>
            </w:r>
          </w:p>
        </w:tc>
        <w:tc>
          <w:tcPr>
            <w:tcW w:w="1560" w:type="dxa"/>
          </w:tcPr>
          <w:p w:rsidR="000B5F90" w:rsidRPr="000B5F90" w:rsidRDefault="000B5F90" w:rsidP="00156AEF">
            <w:r w:rsidRPr="000B5F90">
              <w:t>6</w:t>
            </w:r>
          </w:p>
        </w:tc>
      </w:tr>
      <w:tr w:rsidR="000B5F90" w:rsidRPr="000B5F90" w:rsidTr="00156AEF">
        <w:trPr>
          <w:trHeight w:val="227"/>
        </w:trPr>
        <w:tc>
          <w:tcPr>
            <w:tcW w:w="2900" w:type="dxa"/>
            <w:vMerge/>
          </w:tcPr>
          <w:p w:rsidR="000B5F90" w:rsidRPr="000B5F90" w:rsidRDefault="000B5F90" w:rsidP="00156AEF"/>
        </w:tc>
        <w:tc>
          <w:tcPr>
            <w:tcW w:w="2170" w:type="dxa"/>
          </w:tcPr>
          <w:p w:rsidR="000B5F90" w:rsidRPr="000B5F90" w:rsidRDefault="000B5F90" w:rsidP="00156AEF">
            <w:r w:rsidRPr="000B5F90">
              <w:t>30</w:t>
            </w:r>
          </w:p>
        </w:tc>
        <w:tc>
          <w:tcPr>
            <w:tcW w:w="1842" w:type="dxa"/>
          </w:tcPr>
          <w:p w:rsidR="000B5F90" w:rsidRPr="000B5F90" w:rsidRDefault="000B5F90" w:rsidP="00156AEF">
            <w:r w:rsidRPr="000B5F90">
              <w:t>23.4</w:t>
            </w:r>
          </w:p>
        </w:tc>
        <w:tc>
          <w:tcPr>
            <w:tcW w:w="1560" w:type="dxa"/>
          </w:tcPr>
          <w:p w:rsidR="000B5F90" w:rsidRPr="000B5F90" w:rsidRDefault="000B5F90" w:rsidP="00156AEF">
            <w:r w:rsidRPr="000B5F90">
              <w:t>17</w:t>
            </w:r>
          </w:p>
        </w:tc>
      </w:tr>
      <w:tr w:rsidR="000B5F90" w:rsidRPr="000B5F90" w:rsidTr="00156AEF">
        <w:trPr>
          <w:trHeight w:val="227"/>
        </w:trPr>
        <w:tc>
          <w:tcPr>
            <w:tcW w:w="2900" w:type="dxa"/>
          </w:tcPr>
          <w:p w:rsidR="000B5F90" w:rsidRPr="000B5F90" w:rsidRDefault="000B5F90" w:rsidP="00156AEF">
            <w:pPr>
              <w:rPr>
                <w:color w:val="FF0000"/>
              </w:rPr>
            </w:pPr>
            <w:r w:rsidRPr="000B5F90">
              <w:t>Human</w:t>
            </w:r>
            <w:r w:rsidR="00156AEF">
              <w:t xml:space="preserve"> </w:t>
            </w:r>
            <w:r w:rsidRPr="000B5F90">
              <w:t>(healthy volunteers)</w:t>
            </w:r>
          </w:p>
        </w:tc>
        <w:tc>
          <w:tcPr>
            <w:tcW w:w="2170" w:type="dxa"/>
          </w:tcPr>
          <w:p w:rsidR="000B5F90" w:rsidRPr="000B5F90" w:rsidRDefault="000B5F90" w:rsidP="00156AEF">
            <w:pPr>
              <w:rPr>
                <w:color w:val="FF0000"/>
              </w:rPr>
            </w:pPr>
            <w:r w:rsidRPr="000B5F90">
              <w:t>25 mg /day</w:t>
            </w:r>
          </w:p>
        </w:tc>
        <w:tc>
          <w:tcPr>
            <w:tcW w:w="1842" w:type="dxa"/>
          </w:tcPr>
          <w:p w:rsidR="000B5F90" w:rsidRPr="000B5F90" w:rsidRDefault="000B5F90" w:rsidP="00156AEF">
            <w:r w:rsidRPr="000B5F90">
              <w:t>1.37</w:t>
            </w:r>
          </w:p>
        </w:tc>
        <w:tc>
          <w:tcPr>
            <w:tcW w:w="1560" w:type="dxa"/>
          </w:tcPr>
          <w:p w:rsidR="000B5F90" w:rsidRPr="000B5F90" w:rsidRDefault="000B5F90" w:rsidP="00156AEF"/>
        </w:tc>
      </w:tr>
    </w:tbl>
    <w:p w:rsidR="000B5F90" w:rsidRPr="009F6DD0" w:rsidRDefault="000B5F90" w:rsidP="00156AEF">
      <w:pPr>
        <w:pStyle w:val="TableDescription"/>
        <w:rPr>
          <w:szCs w:val="18"/>
        </w:rPr>
      </w:pPr>
      <w:r w:rsidRPr="00D7327D">
        <w:rPr>
          <w:position w:val="-2"/>
          <w:vertAlign w:val="superscript"/>
        </w:rPr>
        <w:t>#</w:t>
      </w:r>
      <w:r>
        <w:t xml:space="preserve"> = </w:t>
      </w:r>
      <w:proofErr w:type="spellStart"/>
      <w:r>
        <w:t>animal</w:t>
      </w:r>
      <w:proofErr w:type="gramStart"/>
      <w:r>
        <w:t>:human</w:t>
      </w:r>
      <w:proofErr w:type="spellEnd"/>
      <w:proofErr w:type="gramEnd"/>
      <w:r>
        <w:t xml:space="preserve"> plasma AUC</w:t>
      </w:r>
      <w:r w:rsidRPr="00D7327D">
        <w:rPr>
          <w:vertAlign w:val="subscript"/>
        </w:rPr>
        <w:t>0–24</w:t>
      </w:r>
      <w:r w:rsidRPr="00D7327D">
        <w:rPr>
          <w:w w:val="50"/>
          <w:vertAlign w:val="subscript"/>
        </w:rPr>
        <w:t> </w:t>
      </w:r>
      <w:r w:rsidRPr="00D7327D">
        <w:rPr>
          <w:vertAlign w:val="subscript"/>
        </w:rPr>
        <w:t>h</w:t>
      </w:r>
      <w:r>
        <w:t xml:space="preserve">; </w:t>
      </w:r>
      <w:r>
        <w:rPr>
          <w:vertAlign w:val="superscript"/>
        </w:rPr>
        <w:t>a</w:t>
      </w:r>
      <w:r w:rsidR="00BB21AA">
        <w:rPr>
          <w:vertAlign w:val="superscript"/>
        </w:rPr>
        <w:t xml:space="preserve"> </w:t>
      </w:r>
      <w:r>
        <w:t xml:space="preserve">data obtained from </w:t>
      </w:r>
      <w:r w:rsidRPr="009F6DD0">
        <w:rPr>
          <w:szCs w:val="18"/>
        </w:rPr>
        <w:t>clinical study R&amp;D/14/0050</w:t>
      </w:r>
    </w:p>
    <w:p w:rsidR="000B5F90" w:rsidRPr="000B5F90" w:rsidRDefault="000B5F90" w:rsidP="000B5F90">
      <w:r w:rsidRPr="000B5F90">
        <w:t>T</w:t>
      </w:r>
      <w:r w:rsidR="003B35BC">
        <w:t xml:space="preserve">he </w:t>
      </w:r>
      <w:r w:rsidR="00A34B9D">
        <w:t>n</w:t>
      </w:r>
      <w:r w:rsidR="003B35BC">
        <w:t xml:space="preserve">onclinical </w:t>
      </w:r>
      <w:r w:rsidR="00A34B9D">
        <w:t>o</w:t>
      </w:r>
      <w:r w:rsidR="003B35BC">
        <w:t xml:space="preserve">verview stated </w:t>
      </w:r>
      <w:r w:rsidRPr="000B5F90">
        <w:t xml:space="preserve">that </w:t>
      </w:r>
      <w:proofErr w:type="spellStart"/>
      <w:r w:rsidRPr="000B5F90">
        <w:t>paritaprevir</w:t>
      </w:r>
      <w:proofErr w:type="spellEnd"/>
      <w:r w:rsidRPr="000B5F90">
        <w:t xml:space="preserve"> and </w:t>
      </w:r>
      <w:proofErr w:type="spellStart"/>
      <w:r w:rsidRPr="000B5F90">
        <w:t>ombitasvir</w:t>
      </w:r>
      <w:proofErr w:type="spellEnd"/>
      <w:r w:rsidRPr="000B5F90">
        <w:t xml:space="preserve"> exposures at the recommended clinical doses in the 2 antiviral drug regimen were comparable or slightly lower than in the 3 drug regimen (</w:t>
      </w:r>
      <w:proofErr w:type="spellStart"/>
      <w:r w:rsidRPr="000B5F90">
        <w:t>V</w:t>
      </w:r>
      <w:r w:rsidR="00C5429E">
        <w:t>iekera</w:t>
      </w:r>
      <w:proofErr w:type="spellEnd"/>
      <w:r w:rsidR="00C5429E">
        <w:t xml:space="preserve">), that is, </w:t>
      </w:r>
      <w:r w:rsidRPr="000B5F90">
        <w:t>4.77 and 1.37 µ</w:t>
      </w:r>
      <w:proofErr w:type="spellStart"/>
      <w:r w:rsidRPr="000B5F90">
        <w:t>g.h</w:t>
      </w:r>
      <w:proofErr w:type="spellEnd"/>
      <w:r w:rsidRPr="000B5F90">
        <w:t>/mL, respectively (clinical study R&amp;D/14/005</w:t>
      </w:r>
      <w:r w:rsidR="003B35BC">
        <w:t>0). Exposure ratios for VIEKERA</w:t>
      </w:r>
      <w:r w:rsidRPr="000B5F90">
        <w:t xml:space="preserve"> were previously calculated using respective values of 6.99 and 1.42 µ</w:t>
      </w:r>
      <w:proofErr w:type="spellStart"/>
      <w:r w:rsidRPr="000B5F90">
        <w:t>g.h</w:t>
      </w:r>
      <w:proofErr w:type="spellEnd"/>
      <w:r w:rsidRPr="000B5F90">
        <w:t>/</w:t>
      </w:r>
      <w:proofErr w:type="spellStart"/>
      <w:r w:rsidRPr="000B5F90">
        <w:t>mL.</w:t>
      </w:r>
      <w:proofErr w:type="spellEnd"/>
    </w:p>
    <w:p w:rsidR="008E7846" w:rsidRPr="00254787" w:rsidRDefault="008E7846" w:rsidP="008E7846">
      <w:pPr>
        <w:pStyle w:val="Heading2"/>
      </w:pPr>
      <w:bookmarkStart w:id="44" w:name="_Toc196046462"/>
      <w:bookmarkStart w:id="45" w:name="_Toc247691516"/>
      <w:bookmarkStart w:id="46" w:name="_Toc314842500"/>
      <w:bookmarkStart w:id="47" w:name="_Toc497301618"/>
      <w:bookmarkStart w:id="48" w:name="_Toc163441353"/>
      <w:bookmarkStart w:id="49" w:name="_Toc163441348"/>
      <w:r>
        <w:t xml:space="preserve">IV. </w:t>
      </w:r>
      <w:r w:rsidRPr="00254787">
        <w:t>Clinical</w:t>
      </w:r>
      <w:bookmarkEnd w:id="44"/>
      <w:r>
        <w:t xml:space="preserve"> </w:t>
      </w:r>
      <w:r w:rsidR="003A7F6C">
        <w:t>f</w:t>
      </w:r>
      <w:r>
        <w:t>indings</w:t>
      </w:r>
      <w:bookmarkEnd w:id="45"/>
      <w:bookmarkEnd w:id="46"/>
      <w:bookmarkEnd w:id="47"/>
    </w:p>
    <w:p w:rsidR="00C80137" w:rsidRDefault="00C80137" w:rsidP="00D425BB">
      <w:bookmarkStart w:id="50" w:name="_Toc196046463"/>
      <w:r>
        <w:t xml:space="preserve">A summary of the </w:t>
      </w:r>
      <w:r w:rsidRPr="00FD70B8">
        <w:t xml:space="preserve">clinical findings is presented in this section. </w:t>
      </w:r>
      <w:r>
        <w:t xml:space="preserve">Further details of these </w:t>
      </w:r>
      <w:r w:rsidRPr="00FD70B8">
        <w:t>clinical findings can be found in Attachment 2.</w:t>
      </w:r>
    </w:p>
    <w:p w:rsidR="008E7846" w:rsidRDefault="008E7846" w:rsidP="008E7846">
      <w:pPr>
        <w:pStyle w:val="Heading3"/>
      </w:pPr>
      <w:bookmarkStart w:id="51" w:name="_Toc247691517"/>
      <w:bookmarkStart w:id="52" w:name="_Toc314842501"/>
      <w:bookmarkStart w:id="53" w:name="_Toc497301619"/>
      <w:r w:rsidRPr="00254787">
        <w:t>Introduction</w:t>
      </w:r>
      <w:bookmarkEnd w:id="50"/>
      <w:bookmarkEnd w:id="51"/>
      <w:bookmarkEnd w:id="52"/>
      <w:bookmarkEnd w:id="53"/>
    </w:p>
    <w:p w:rsidR="00605AD4" w:rsidRDefault="00605AD4" w:rsidP="00605AD4">
      <w:pPr>
        <w:pStyle w:val="Heading4"/>
      </w:pPr>
      <w:bookmarkStart w:id="54" w:name="_Toc196046464"/>
      <w:bookmarkStart w:id="55" w:name="_Toc247691518"/>
      <w:bookmarkStart w:id="56" w:name="_Toc314842502"/>
      <w:r w:rsidRPr="00605AD4">
        <w:t xml:space="preserve">Clinical </w:t>
      </w:r>
      <w:r w:rsidR="00F45446">
        <w:t>r</w:t>
      </w:r>
      <w:r w:rsidRPr="00605AD4">
        <w:t>ationale</w:t>
      </w:r>
    </w:p>
    <w:p w:rsidR="00A456D6" w:rsidRPr="00A456D6" w:rsidRDefault="00A456D6" w:rsidP="00A456D6">
      <w:r w:rsidRPr="00A456D6">
        <w:t xml:space="preserve">It is estimated that 130 to 210 million people worldwide are infected with HCV with 2 to 4 million new infections annually. Approximately 80% of infections are related to IV drug use, with lesser numbers attributed to sexual transmission, blood transfusions and tattoos. Approximately 300,000 Australians were infected with HCV in 2011. Acute infections become chronic in 70% to 90% of cases and this leads commonly to cirrhosis, chronic liver </w:t>
      </w:r>
      <w:r w:rsidRPr="00A456D6">
        <w:lastRenderedPageBreak/>
        <w:t>failure, hepatocellular carcinoma, liver transplantation and death. After 20 years of infection, 20-30% of patients will have progressed to cirrhosis, 5-10% will have developed end-stage liver disease and 4-8% will have died of liver</w:t>
      </w:r>
      <w:r w:rsidR="007C2210">
        <w:t xml:space="preserve"> </w:t>
      </w:r>
      <w:r w:rsidRPr="00A456D6">
        <w:t xml:space="preserve">related causes. HCV has six </w:t>
      </w:r>
      <w:r w:rsidR="007C2210">
        <w:t>GT</w:t>
      </w:r>
      <w:r w:rsidRPr="00A456D6">
        <w:t xml:space="preserve"> and multiple subtypes with </w:t>
      </w:r>
      <w:r w:rsidR="008927E3">
        <w:t>GT</w:t>
      </w:r>
      <w:r w:rsidRPr="00A456D6">
        <w:t xml:space="preserve">s 1 to 3 distributed worldwide. </w:t>
      </w:r>
      <w:r w:rsidR="008927E3">
        <w:t>GT</w:t>
      </w:r>
      <w:r w:rsidRPr="00A456D6">
        <w:t xml:space="preserve">s 1a and 1b account for 60% of global HCV infections. In Australia, the most common </w:t>
      </w:r>
      <w:r w:rsidR="008927E3">
        <w:t>GT</w:t>
      </w:r>
      <w:r w:rsidRPr="00A456D6">
        <w:t xml:space="preserve">s are 1a and 1b (54% prevalence) and 3a (37% prevalence). The incidence of HCV GT4 infection is low in the US (~1%) and in Europe (~5% on average). However, in North Africa and the Middle East, it has a prevalence of ~50% (up to 90% in Egypt) and it is spreading to Europe and the rest of the world through immigration and IV drug use. Until recently, the standard of care treatment for chronic HCV infection for all </w:t>
      </w:r>
      <w:r w:rsidR="008927E3">
        <w:t>GT</w:t>
      </w:r>
      <w:r w:rsidRPr="00A456D6">
        <w:t xml:space="preserve">s was the combination of </w:t>
      </w:r>
      <w:proofErr w:type="spellStart"/>
      <w:r w:rsidRPr="00A456D6">
        <w:t>pegylated</w:t>
      </w:r>
      <w:proofErr w:type="spellEnd"/>
      <w:r w:rsidRPr="00A456D6">
        <w:t xml:space="preserve"> interferon and </w:t>
      </w:r>
      <w:r w:rsidR="00CC7518">
        <w:t>RBV</w:t>
      </w:r>
      <w:r w:rsidRPr="00A456D6">
        <w:t xml:space="preserve"> (</w:t>
      </w:r>
      <w:proofErr w:type="spellStart"/>
      <w:r w:rsidRPr="00A456D6">
        <w:t>pegIFN</w:t>
      </w:r>
      <w:proofErr w:type="spellEnd"/>
      <w:r w:rsidRPr="00A456D6">
        <w:t xml:space="preserve">/RBV) for 48 weeks. The response to this treatment varies according to HCV </w:t>
      </w:r>
      <w:r w:rsidR="008927E3">
        <w:t>GT</w:t>
      </w:r>
      <w:r w:rsidRPr="00A456D6">
        <w:t xml:space="preserve"> and host IL28B genotypic subtypes (CC, CT and TT). Patients with the IL28b CC </w:t>
      </w:r>
      <w:r w:rsidR="008927E3">
        <w:t>GT</w:t>
      </w:r>
      <w:r w:rsidRPr="00A456D6">
        <w:t xml:space="preserve"> are able to mount stronger immune responses to the HCV virus and spontaneous viral clearance rates and responsiveness to antiviral therapy are enhanced. In patients with HCV GT1 infection, sustained viral response (SVR) rates following </w:t>
      </w:r>
      <w:proofErr w:type="spellStart"/>
      <w:r w:rsidRPr="00A456D6">
        <w:t>pegIFN</w:t>
      </w:r>
      <w:proofErr w:type="spellEnd"/>
      <w:r w:rsidRPr="00A456D6">
        <w:t xml:space="preserve">/RBV therapy are only 45% in treatment-naïve patients and significantly lower in prior </w:t>
      </w:r>
      <w:proofErr w:type="spellStart"/>
      <w:r w:rsidRPr="00A456D6">
        <w:t>relapsers</w:t>
      </w:r>
      <w:proofErr w:type="spellEnd"/>
      <w:r w:rsidRPr="00A456D6">
        <w:t xml:space="preserve"> and non-responders. Moreover, the side effect profile of </w:t>
      </w:r>
      <w:proofErr w:type="spellStart"/>
      <w:r w:rsidRPr="00A456D6">
        <w:t>pegIFN</w:t>
      </w:r>
      <w:proofErr w:type="spellEnd"/>
      <w:r w:rsidRPr="00A456D6">
        <w:t xml:space="preserve">/RBV is unfavourable with a high incidence of lethargy, fatigue, depression and anaemia. </w:t>
      </w:r>
    </w:p>
    <w:p w:rsidR="006D1058" w:rsidRDefault="006D1058" w:rsidP="006D1058">
      <w:r w:rsidRPr="00A456D6">
        <w:t xml:space="preserve">The NS3/4A protease inhibitors </w:t>
      </w:r>
      <w:proofErr w:type="spellStart"/>
      <w:r w:rsidRPr="00A456D6">
        <w:t>boceprevir</w:t>
      </w:r>
      <w:proofErr w:type="spellEnd"/>
      <w:r w:rsidRPr="00A456D6">
        <w:t xml:space="preserve">, </w:t>
      </w:r>
      <w:proofErr w:type="spellStart"/>
      <w:r w:rsidRPr="00A456D6">
        <w:t>telaprevir</w:t>
      </w:r>
      <w:proofErr w:type="spellEnd"/>
      <w:r w:rsidRPr="00A456D6">
        <w:t xml:space="preserve">, and </w:t>
      </w:r>
      <w:proofErr w:type="spellStart"/>
      <w:r w:rsidRPr="00A456D6">
        <w:t>simeprevir</w:t>
      </w:r>
      <w:proofErr w:type="spellEnd"/>
      <w:r>
        <w:t xml:space="preserve">, and the NS5B polymerase inhibitor </w:t>
      </w:r>
      <w:proofErr w:type="spellStart"/>
      <w:r>
        <w:t>sofosbuvir</w:t>
      </w:r>
      <w:proofErr w:type="spellEnd"/>
      <w:r w:rsidRPr="00A456D6">
        <w:t xml:space="preserve"> used singly in combination with </w:t>
      </w:r>
      <w:proofErr w:type="spellStart"/>
      <w:r w:rsidRPr="00A456D6">
        <w:t>pegIFN</w:t>
      </w:r>
      <w:proofErr w:type="spellEnd"/>
      <w:r w:rsidRPr="00A456D6">
        <w:t>/RBV have improved SVR rates in treatment</w:t>
      </w:r>
      <w:r>
        <w:t xml:space="preserve"> </w:t>
      </w:r>
      <w:r w:rsidRPr="00A456D6">
        <w:t xml:space="preserve">naïve and treatment-experienced patients and shortened treatment duration to 24 weeks in many patients with HCV GT1 infection. The combinations of </w:t>
      </w:r>
      <w:proofErr w:type="spellStart"/>
      <w:r w:rsidRPr="00A456D6">
        <w:t>sofosbuvir</w:t>
      </w:r>
      <w:proofErr w:type="spellEnd"/>
      <w:r w:rsidRPr="00A456D6">
        <w:t xml:space="preserve"> and RBV </w:t>
      </w:r>
      <w:r>
        <w:t xml:space="preserve">with or without </w:t>
      </w:r>
      <w:proofErr w:type="spellStart"/>
      <w:r>
        <w:t>pegIFN</w:t>
      </w:r>
      <w:proofErr w:type="spellEnd"/>
      <w:r>
        <w:t xml:space="preserve"> </w:t>
      </w:r>
      <w:r w:rsidRPr="00A456D6">
        <w:t xml:space="preserve">and </w:t>
      </w:r>
      <w:proofErr w:type="spellStart"/>
      <w:r w:rsidRPr="00A456D6">
        <w:t>simeprevir</w:t>
      </w:r>
      <w:proofErr w:type="spellEnd"/>
      <w:r w:rsidRPr="00A456D6">
        <w:t xml:space="preserve"> and </w:t>
      </w:r>
      <w:proofErr w:type="spellStart"/>
      <w:r>
        <w:t>pegINF</w:t>
      </w:r>
      <w:proofErr w:type="spellEnd"/>
      <w:r>
        <w:t xml:space="preserve"> with </w:t>
      </w:r>
      <w:r w:rsidR="00345BF0">
        <w:t xml:space="preserve">RBV, </w:t>
      </w:r>
      <w:r w:rsidRPr="00A456D6">
        <w:t>have shown promise in patients with HCV GT4 infection (</w:t>
      </w:r>
      <w:r>
        <w:t>Table 3</w:t>
      </w:r>
      <w:r w:rsidRPr="00A456D6">
        <w:t xml:space="preserve">). However, these 1-DAA combinations are associated with increased rates and severity of AEs, including rash in addition to the common side effects of </w:t>
      </w:r>
      <w:proofErr w:type="spellStart"/>
      <w:r w:rsidRPr="00A456D6">
        <w:t>pegIFN</w:t>
      </w:r>
      <w:proofErr w:type="spellEnd"/>
      <w:r w:rsidRPr="00A456D6">
        <w:t xml:space="preserve">/RBV. </w:t>
      </w:r>
      <w:proofErr w:type="spellStart"/>
      <w:r w:rsidRPr="00A456D6">
        <w:t>Simeprevir</w:t>
      </w:r>
      <w:proofErr w:type="spellEnd"/>
      <w:r w:rsidRPr="00A456D6">
        <w:t xml:space="preserve"> </w:t>
      </w:r>
      <w:r>
        <w:t xml:space="preserve">and </w:t>
      </w:r>
      <w:proofErr w:type="spellStart"/>
      <w:r>
        <w:t>sofosbubvir</w:t>
      </w:r>
      <w:proofErr w:type="spellEnd"/>
      <w:r>
        <w:t xml:space="preserve"> are</w:t>
      </w:r>
      <w:r w:rsidRPr="00A456D6">
        <w:t xml:space="preserve"> well tolerated and </w:t>
      </w:r>
      <w:r>
        <w:t>have</w:t>
      </w:r>
      <w:r w:rsidRPr="00A456D6">
        <w:t xml:space="preserve"> the advantage of once daily dosing. However, </w:t>
      </w:r>
      <w:proofErr w:type="spellStart"/>
      <w:r w:rsidRPr="00A456D6">
        <w:t>telaprevir</w:t>
      </w:r>
      <w:proofErr w:type="spellEnd"/>
      <w:r w:rsidRPr="00A456D6">
        <w:t xml:space="preserve"> and </w:t>
      </w:r>
      <w:proofErr w:type="spellStart"/>
      <w:r w:rsidRPr="00A456D6">
        <w:t>boceprevir</w:t>
      </w:r>
      <w:proofErr w:type="spellEnd"/>
      <w:r w:rsidRPr="00A456D6">
        <w:t xml:space="preserve"> both require TID therapy.</w:t>
      </w:r>
    </w:p>
    <w:p w:rsidR="00A456D6" w:rsidRDefault="00A456D6" w:rsidP="00D718F6">
      <w:pPr>
        <w:pStyle w:val="TableTitle"/>
      </w:pPr>
      <w:r>
        <w:lastRenderedPageBreak/>
        <w:t xml:space="preserve">Table 3: </w:t>
      </w:r>
      <w:r w:rsidRPr="00A456D6">
        <w:t>SVR</w:t>
      </w:r>
      <w:r w:rsidRPr="00424C6F">
        <w:rPr>
          <w:vertAlign w:val="subscript"/>
        </w:rPr>
        <w:t>12</w:t>
      </w:r>
      <w:r w:rsidRPr="00A456D6">
        <w:t xml:space="preserve"> rates in studies of patients with HCV GT4 infection</w:t>
      </w:r>
      <w:r>
        <w:t>.</w:t>
      </w:r>
    </w:p>
    <w:p w:rsidR="00D718F6" w:rsidRPr="00A456D6" w:rsidRDefault="00D718F6" w:rsidP="00156AEF">
      <w:r>
        <w:rPr>
          <w:noProof/>
          <w:lang w:eastAsia="en-AU"/>
        </w:rPr>
        <w:drawing>
          <wp:inline distT="0" distB="0" distL="0" distR="0" wp14:anchorId="31DF773D" wp14:editId="64EE25E4">
            <wp:extent cx="4519819" cy="4162483"/>
            <wp:effectExtent l="0" t="0" r="0" b="0"/>
            <wp:docPr id="2" name="Picture 2" descr="Table 3: SVR12 rates in studies of patients with HCV GT4 inf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522381" cy="4164842"/>
                    </a:xfrm>
                    <a:prstGeom prst="rect">
                      <a:avLst/>
                    </a:prstGeom>
                  </pic:spPr>
                </pic:pic>
              </a:graphicData>
            </a:graphic>
          </wp:inline>
        </w:drawing>
      </w:r>
    </w:p>
    <w:p w:rsidR="00A456D6" w:rsidRPr="00A456D6" w:rsidRDefault="00A456D6" w:rsidP="00A456D6">
      <w:r w:rsidRPr="00A456D6">
        <w:t xml:space="preserve">Most recently, </w:t>
      </w:r>
      <w:proofErr w:type="spellStart"/>
      <w:r w:rsidR="006959E0">
        <w:t>Viekira</w:t>
      </w:r>
      <w:proofErr w:type="spellEnd"/>
      <w:r w:rsidR="006959E0">
        <w:t xml:space="preserve"> Pak</w:t>
      </w:r>
      <w:r w:rsidRPr="00A456D6">
        <w:t xml:space="preserve"> has been approved for the treatment of patients with HCV GT1. It is a combination product of three DAAs with different mechanisms of action and which all have potent activity against HCV GT1. They have non-overlapping viral resistance profiles and they also appear to have non-overlapping toxicity with RBV. </w:t>
      </w:r>
      <w:proofErr w:type="spellStart"/>
      <w:r w:rsidRPr="00A456D6">
        <w:t>Paritaprevir</w:t>
      </w:r>
      <w:proofErr w:type="spellEnd"/>
      <w:r w:rsidRPr="00A456D6">
        <w:t xml:space="preserve"> (ABT-450), </w:t>
      </w:r>
      <w:proofErr w:type="spellStart"/>
      <w:r w:rsidRPr="00A456D6">
        <w:t>ombitasvir</w:t>
      </w:r>
      <w:proofErr w:type="spellEnd"/>
      <w:r w:rsidRPr="00A456D6">
        <w:t xml:space="preserve"> (ABT-267) and </w:t>
      </w:r>
      <w:proofErr w:type="spellStart"/>
      <w:r w:rsidRPr="00A456D6">
        <w:t>dasabuvir</w:t>
      </w:r>
      <w:proofErr w:type="spellEnd"/>
      <w:r w:rsidRPr="00A456D6">
        <w:t xml:space="preserve"> (ABT-333) are potent DAAs; however, resistance develops to each agent when used as monotherapy.  The 3-DAA regimen used in </w:t>
      </w:r>
      <w:proofErr w:type="spellStart"/>
      <w:r w:rsidR="006959E0">
        <w:t>Viekira</w:t>
      </w:r>
      <w:proofErr w:type="spellEnd"/>
      <w:r w:rsidR="006959E0">
        <w:t xml:space="preserve"> Pak</w:t>
      </w:r>
      <w:r w:rsidRPr="00A456D6">
        <w:t xml:space="preserve"> obviates the need for concomitant </w:t>
      </w:r>
      <w:proofErr w:type="spellStart"/>
      <w:r w:rsidRPr="00A456D6">
        <w:t>pegIFN</w:t>
      </w:r>
      <w:proofErr w:type="spellEnd"/>
      <w:r w:rsidRPr="00A456D6">
        <w:t xml:space="preserve">/RBV therapy; increases SVR rates compared with 1-DAA + </w:t>
      </w:r>
      <w:proofErr w:type="spellStart"/>
      <w:r w:rsidRPr="00A456D6">
        <w:t>pegIFN</w:t>
      </w:r>
      <w:proofErr w:type="spellEnd"/>
      <w:r w:rsidRPr="00A456D6">
        <w:t xml:space="preserve">/RBV combination therapy; shortens treatment duration from 24 to 12 weeks; and improves safety and tolerability. </w:t>
      </w:r>
      <w:proofErr w:type="spellStart"/>
      <w:r w:rsidRPr="00A456D6">
        <w:t>Dasabuvir</w:t>
      </w:r>
      <w:proofErr w:type="spellEnd"/>
      <w:r w:rsidRPr="00A456D6">
        <w:t xml:space="preserve"> has no activity against HCV GT4 but </w:t>
      </w:r>
      <w:proofErr w:type="spellStart"/>
      <w:r w:rsidRPr="00A456D6">
        <w:t>paritaprevir</w:t>
      </w:r>
      <w:proofErr w:type="spellEnd"/>
      <w:r w:rsidRPr="00A456D6">
        <w:t xml:space="preserve"> and </w:t>
      </w:r>
      <w:proofErr w:type="spellStart"/>
      <w:r w:rsidRPr="00A456D6">
        <w:t>ombitasvir</w:t>
      </w:r>
      <w:proofErr w:type="spellEnd"/>
      <w:r w:rsidRPr="00A456D6">
        <w:t xml:space="preserve"> have potent activity.  For this reason, </w:t>
      </w:r>
      <w:proofErr w:type="spellStart"/>
      <w:r w:rsidR="006959E0">
        <w:t>Technivie</w:t>
      </w:r>
      <w:proofErr w:type="spellEnd"/>
      <w:r w:rsidRPr="00A456D6">
        <w:t xml:space="preserve"> was developed as a fixed dose 2-DAA combination of </w:t>
      </w:r>
      <w:proofErr w:type="spellStart"/>
      <w:r w:rsidRPr="00A456D6">
        <w:t>paritaprevir</w:t>
      </w:r>
      <w:proofErr w:type="spellEnd"/>
      <w:r w:rsidRPr="00A456D6">
        <w:t xml:space="preserve"> and </w:t>
      </w:r>
      <w:proofErr w:type="spellStart"/>
      <w:r w:rsidRPr="00A456D6">
        <w:t>ombitasvir</w:t>
      </w:r>
      <w:proofErr w:type="spellEnd"/>
      <w:r w:rsidRPr="00A456D6">
        <w:t xml:space="preserve"> plus ritonavir which is otherwise identical to that used in </w:t>
      </w:r>
      <w:proofErr w:type="spellStart"/>
      <w:r w:rsidR="006959E0">
        <w:t>Viekira</w:t>
      </w:r>
      <w:proofErr w:type="spellEnd"/>
      <w:r w:rsidR="006959E0">
        <w:t xml:space="preserve"> Pak</w:t>
      </w:r>
      <w:r w:rsidRPr="00A456D6">
        <w:t xml:space="preserve">. It is proposed that this 2-DAA combination may have value for the treatment of patients with HCV GT4 infection. </w:t>
      </w:r>
    </w:p>
    <w:p w:rsidR="00605AD4" w:rsidRDefault="00605AD4" w:rsidP="00605AD4">
      <w:pPr>
        <w:pStyle w:val="Heading4"/>
      </w:pPr>
      <w:r w:rsidRPr="00605AD4">
        <w:t>Guidance</w:t>
      </w:r>
    </w:p>
    <w:p w:rsidR="00424C6F" w:rsidRPr="00611CCF" w:rsidRDefault="00424C6F" w:rsidP="00424C6F">
      <w:r>
        <w:t>The submission complies with the pre-submission planning form and planning letter. No specific guidance was provided for the 2-DAA submission. However, the 3-DAA development program was conducted in accordance with the relevant US and EMA guidelines, with specific scientific advice from the FDA and CHMP.</w:t>
      </w:r>
    </w:p>
    <w:p w:rsidR="00605AD4" w:rsidRDefault="00605AD4" w:rsidP="00605AD4">
      <w:pPr>
        <w:pStyle w:val="Heading4"/>
      </w:pPr>
      <w:r w:rsidRPr="00605AD4">
        <w:t>Contents of the clinical dossier</w:t>
      </w:r>
    </w:p>
    <w:p w:rsidR="00F0659B" w:rsidRPr="00611CCF" w:rsidRDefault="00F0659B" w:rsidP="00F0659B">
      <w:r w:rsidRPr="00611CCF">
        <w:t>The submission contain</w:t>
      </w:r>
      <w:r>
        <w:t>s two new clinical studies as follows:</w:t>
      </w:r>
    </w:p>
    <w:p w:rsidR="00F0659B" w:rsidRPr="00F0659B" w:rsidRDefault="00F0659B" w:rsidP="00F0659B">
      <w:pPr>
        <w:pStyle w:val="ListBullet"/>
      </w:pPr>
      <w:r w:rsidRPr="00F0659B">
        <w:t xml:space="preserve">One clinical pharmacology </w:t>
      </w:r>
      <w:r w:rsidR="003D098D">
        <w:t>S</w:t>
      </w:r>
      <w:r w:rsidRPr="00F0659B">
        <w:t>tudy M14-229 which provided absolute bioavailability data</w:t>
      </w:r>
      <w:r w:rsidR="001B496B">
        <w:t>;</w:t>
      </w:r>
    </w:p>
    <w:p w:rsidR="00F0659B" w:rsidRPr="00F0659B" w:rsidRDefault="001B496B" w:rsidP="00F0659B">
      <w:pPr>
        <w:pStyle w:val="ListBullet"/>
      </w:pPr>
      <w:r>
        <w:lastRenderedPageBreak/>
        <w:t>One Phase II</w:t>
      </w:r>
      <w:r w:rsidR="00F0659B" w:rsidRPr="00F0659B">
        <w:t xml:space="preserve"> efficacy and safety </w:t>
      </w:r>
      <w:r w:rsidR="003D098D">
        <w:t>S</w:t>
      </w:r>
      <w:r w:rsidR="00F0659B" w:rsidRPr="00F0659B">
        <w:t>tudy M13-393</w:t>
      </w:r>
      <w:r>
        <w:t>.</w:t>
      </w:r>
    </w:p>
    <w:p w:rsidR="00605AD4" w:rsidRDefault="00605AD4" w:rsidP="00605AD4">
      <w:pPr>
        <w:pStyle w:val="Heading4"/>
      </w:pPr>
      <w:r w:rsidRPr="00605AD4">
        <w:t>Paediatric data</w:t>
      </w:r>
    </w:p>
    <w:p w:rsidR="00F0659B" w:rsidRPr="00611CCF" w:rsidRDefault="00F0659B" w:rsidP="00F0659B">
      <w:r w:rsidRPr="00611CCF">
        <w:t xml:space="preserve">The submission did not include paediatric data. </w:t>
      </w:r>
    </w:p>
    <w:p w:rsidR="00605AD4" w:rsidRDefault="00605AD4" w:rsidP="00605AD4">
      <w:pPr>
        <w:pStyle w:val="Heading4"/>
      </w:pPr>
      <w:r w:rsidRPr="00605AD4">
        <w:t>Good clinical practice</w:t>
      </w:r>
    </w:p>
    <w:p w:rsidR="00232A97" w:rsidRPr="00232A97" w:rsidRDefault="00565B2C" w:rsidP="00232A97">
      <w:bookmarkStart w:id="57" w:name="_Toc241374282"/>
      <w:r>
        <w:t>The clinical studies were performed according to the principles of ICH GCP</w:t>
      </w:r>
      <w:bookmarkEnd w:id="57"/>
      <w:r>
        <w:t>.</w:t>
      </w:r>
    </w:p>
    <w:p w:rsidR="008E7846" w:rsidRDefault="008E7846" w:rsidP="00605AD4">
      <w:pPr>
        <w:pStyle w:val="Heading3"/>
      </w:pPr>
      <w:bookmarkStart w:id="58" w:name="_Toc497301620"/>
      <w:r w:rsidRPr="00254787">
        <w:t>Pharmacokinetics</w:t>
      </w:r>
      <w:bookmarkEnd w:id="48"/>
      <w:bookmarkEnd w:id="54"/>
      <w:bookmarkEnd w:id="55"/>
      <w:bookmarkEnd w:id="56"/>
      <w:bookmarkEnd w:id="58"/>
    </w:p>
    <w:p w:rsidR="00232A97" w:rsidRDefault="00232A97" w:rsidP="00232A97">
      <w:pPr>
        <w:pStyle w:val="Heading4"/>
      </w:pPr>
      <w:r>
        <w:t>Studies providing pharmacokinetic data</w:t>
      </w:r>
    </w:p>
    <w:p w:rsidR="00232A97" w:rsidRDefault="00596E1B" w:rsidP="00232A97">
      <w:r>
        <w:t>A s</w:t>
      </w:r>
      <w:r w:rsidRPr="00611CCF">
        <w:t>ummar</w:t>
      </w:r>
      <w:r>
        <w:t xml:space="preserve">y </w:t>
      </w:r>
      <w:r w:rsidRPr="00611CCF">
        <w:t xml:space="preserve">of the </w:t>
      </w:r>
      <w:r>
        <w:t xml:space="preserve">single </w:t>
      </w:r>
      <w:r w:rsidRPr="00611CCF">
        <w:t xml:space="preserve">pharmacokinetic </w:t>
      </w:r>
      <w:r w:rsidR="00467536">
        <w:t>S</w:t>
      </w:r>
      <w:r w:rsidRPr="00611CCF">
        <w:t>tud</w:t>
      </w:r>
      <w:r>
        <w:t xml:space="preserve">y M14-229 is </w:t>
      </w:r>
      <w:r w:rsidRPr="00611CCF">
        <w:t>presented</w:t>
      </w:r>
      <w:r>
        <w:t>.</w:t>
      </w:r>
    </w:p>
    <w:p w:rsidR="00605AD4" w:rsidRDefault="00605AD4" w:rsidP="00605AD4">
      <w:pPr>
        <w:pStyle w:val="Heading4"/>
      </w:pPr>
      <w:r>
        <w:t>Evaluator’s conclusions on pharmacokinetics</w:t>
      </w:r>
    </w:p>
    <w:p w:rsidR="003246D1" w:rsidRDefault="003246D1" w:rsidP="003246D1">
      <w:r>
        <w:t xml:space="preserve">The absolute bioavailability of </w:t>
      </w:r>
      <w:proofErr w:type="spellStart"/>
      <w:r>
        <w:t>dasabuvir</w:t>
      </w:r>
      <w:proofErr w:type="spellEnd"/>
      <w:r>
        <w:t xml:space="preserve"> was measured during the </w:t>
      </w:r>
      <w:proofErr w:type="spellStart"/>
      <w:r w:rsidR="006959E0">
        <w:t>Viekira</w:t>
      </w:r>
      <w:proofErr w:type="spellEnd"/>
      <w:r w:rsidR="006959E0">
        <w:t xml:space="preserve"> Pak</w:t>
      </w:r>
      <w:r>
        <w:t xml:space="preserve"> development program, but not the components of the 2-DAA regimen. The absolute </w:t>
      </w:r>
      <w:proofErr w:type="spellStart"/>
      <w:r>
        <w:t>bioavailabilities</w:t>
      </w:r>
      <w:proofErr w:type="spellEnd"/>
      <w:r>
        <w:t xml:space="preserve"> of ABT-450 and ABT-267 estimated in the healthy subject </w:t>
      </w:r>
      <w:r w:rsidR="00EC1756">
        <w:t>S</w:t>
      </w:r>
      <w:r>
        <w:t>tudy M14-229 are acceptable.</w:t>
      </w:r>
    </w:p>
    <w:p w:rsidR="003246D1" w:rsidRDefault="003246D1" w:rsidP="003246D1">
      <w:r>
        <w:t xml:space="preserve">In M13-393, the steady state concentrations of ABT-450 were notably lower in patients with GT4 infection compared with those with GT1b infection. The </w:t>
      </w:r>
      <w:r w:rsidR="00EC1756">
        <w:t>s</w:t>
      </w:r>
      <w:r>
        <w:t xml:space="preserve">ponsor suggests that this anomaly was probably due to </w:t>
      </w:r>
      <w:r w:rsidR="00604F4A">
        <w:t>cross</w:t>
      </w:r>
      <w:r>
        <w:t xml:space="preserve"> study comparisons, as the </w:t>
      </w:r>
      <w:r w:rsidR="008927E3">
        <w:t>GT</w:t>
      </w:r>
      <w:r>
        <w:t xml:space="preserve"> of HCV should not affect t</w:t>
      </w:r>
      <w:r w:rsidR="002F4DAE">
        <w:t>he pharmacokinetics of the DAAs</w:t>
      </w:r>
      <w:r>
        <w:t>.</w:t>
      </w:r>
    </w:p>
    <w:p w:rsidR="003246D1" w:rsidRPr="00412DB1" w:rsidRDefault="003246D1" w:rsidP="003246D1">
      <w:r>
        <w:t xml:space="preserve">The </w:t>
      </w:r>
      <w:r w:rsidR="009A0456">
        <w:t>s</w:t>
      </w:r>
      <w:r>
        <w:t>ponsor points out that possible PK differences can be discounted as efficacy rates were high in all groups. However, in Group 1 (treatment</w:t>
      </w:r>
      <w:r w:rsidR="00611D48">
        <w:t xml:space="preserve"> </w:t>
      </w:r>
      <w:r>
        <w:t>naïve, non-cirrhotic GT4 patients, 2-DAA without RBV), 9.1% of patients were non-responders; almost twice the 4.8% number observed in the corresponding GT1b patients in Group 2. Moreover, the SVR</w:t>
      </w:r>
      <w:r>
        <w:rPr>
          <w:vertAlign w:val="subscript"/>
        </w:rPr>
        <w:t xml:space="preserve">24 </w:t>
      </w:r>
      <w:r>
        <w:t xml:space="preserve">rate was ‘only’ 86.4% in Group 1. With the advent of highly effective combination DAA therapies such as </w:t>
      </w:r>
      <w:proofErr w:type="spellStart"/>
      <w:r w:rsidR="006959E0">
        <w:t>Viekira</w:t>
      </w:r>
      <w:proofErr w:type="spellEnd"/>
      <w:r w:rsidR="006959E0">
        <w:t xml:space="preserve"> Pak</w:t>
      </w:r>
      <w:r>
        <w:t>, SVR</w:t>
      </w:r>
      <w:r>
        <w:rPr>
          <w:vertAlign w:val="subscript"/>
        </w:rPr>
        <w:t xml:space="preserve">12 </w:t>
      </w:r>
      <w:r>
        <w:t>rates of up to 100% are a realistic therapeutic target. While accepting that 90% efficacy (SVR</w:t>
      </w:r>
      <w:r>
        <w:rPr>
          <w:vertAlign w:val="subscript"/>
        </w:rPr>
        <w:t>24</w:t>
      </w:r>
      <w:r>
        <w:t xml:space="preserve"> 86.4% ) rates are outstanding, a two-fold difference in non-response rates in GT4 patients compared with GT1b patients should n</w:t>
      </w:r>
      <w:r w:rsidR="002F4DAE">
        <w:t>ot be dismissed as unimportant.</w:t>
      </w:r>
    </w:p>
    <w:p w:rsidR="00232A97" w:rsidRPr="00232A97" w:rsidRDefault="003246D1" w:rsidP="00232A97">
      <w:r>
        <w:t xml:space="preserve">The </w:t>
      </w:r>
      <w:r w:rsidR="00611D48">
        <w:t>s</w:t>
      </w:r>
      <w:r>
        <w:t xml:space="preserve">ponsor did not conduct drug concentration/response analyses as efficacy was considered adequate in all groups.  However, in light of the comments above, it would be useful to compare the PK parameters in responder and non-responder patients in </w:t>
      </w:r>
      <w:r w:rsidR="00611D48">
        <w:t>M13-393</w:t>
      </w:r>
      <w:r>
        <w:t>.</w:t>
      </w:r>
    </w:p>
    <w:p w:rsidR="008E7846" w:rsidRDefault="008E7846" w:rsidP="008E7846">
      <w:pPr>
        <w:pStyle w:val="Heading3"/>
      </w:pPr>
      <w:bookmarkStart w:id="59" w:name="_Toc196046481"/>
      <w:bookmarkStart w:id="60" w:name="_Toc247691520"/>
      <w:bookmarkStart w:id="61" w:name="_Toc314842503"/>
      <w:bookmarkStart w:id="62" w:name="_Toc497301621"/>
      <w:r w:rsidRPr="00254787">
        <w:t>Pharmacodynamics</w:t>
      </w:r>
      <w:bookmarkEnd w:id="49"/>
      <w:bookmarkEnd w:id="59"/>
      <w:bookmarkEnd w:id="60"/>
      <w:bookmarkEnd w:id="61"/>
      <w:bookmarkEnd w:id="62"/>
    </w:p>
    <w:p w:rsidR="00604F4A" w:rsidRPr="00611CCF" w:rsidRDefault="00604F4A" w:rsidP="00604F4A">
      <w:r>
        <w:t>No new studies have been performed.</w:t>
      </w:r>
    </w:p>
    <w:p w:rsidR="008E7846" w:rsidRDefault="00605AD4" w:rsidP="00605AD4">
      <w:pPr>
        <w:pStyle w:val="Heading3"/>
      </w:pPr>
      <w:bookmarkStart w:id="63" w:name="_Toc497301622"/>
      <w:r>
        <w:t>Dosage selection for the pivotal studies</w:t>
      </w:r>
      <w:bookmarkEnd w:id="63"/>
    </w:p>
    <w:p w:rsidR="00604F4A" w:rsidRPr="00E37F33" w:rsidRDefault="00604F4A" w:rsidP="00E37F33">
      <w:r w:rsidRPr="00E37F33">
        <w:t xml:space="preserve">Dosage selection was based on similar in vitro data between the GT1b and GT4 subtypes and the optimal dose in patients with GT1 infection. No new dose ranging studies have been performed to support the </w:t>
      </w:r>
      <w:proofErr w:type="spellStart"/>
      <w:r w:rsidR="006959E0" w:rsidRPr="00E37F33">
        <w:t>Technivie</w:t>
      </w:r>
      <w:proofErr w:type="spellEnd"/>
      <w:r w:rsidRPr="00E37F33">
        <w:t xml:space="preserve"> submission.</w:t>
      </w:r>
    </w:p>
    <w:p w:rsidR="008E7846" w:rsidRPr="00254787" w:rsidRDefault="008E7846" w:rsidP="008E7846">
      <w:pPr>
        <w:pStyle w:val="Heading3"/>
      </w:pPr>
      <w:bookmarkStart w:id="64" w:name="_Toc163441372"/>
      <w:bookmarkStart w:id="65" w:name="_Toc196046485"/>
      <w:bookmarkStart w:id="66" w:name="_Toc247691521"/>
      <w:bookmarkStart w:id="67" w:name="_Toc314842504"/>
      <w:bookmarkStart w:id="68" w:name="_Toc497301623"/>
      <w:r w:rsidRPr="00254787">
        <w:lastRenderedPageBreak/>
        <w:t>Efficacy</w:t>
      </w:r>
      <w:bookmarkEnd w:id="64"/>
      <w:bookmarkEnd w:id="65"/>
      <w:bookmarkEnd w:id="66"/>
      <w:bookmarkEnd w:id="67"/>
      <w:bookmarkEnd w:id="68"/>
    </w:p>
    <w:p w:rsidR="00605AD4" w:rsidRDefault="00605AD4" w:rsidP="00605AD4">
      <w:pPr>
        <w:pStyle w:val="Heading4"/>
      </w:pPr>
      <w:bookmarkStart w:id="69" w:name="_Toc184439992"/>
      <w:bookmarkStart w:id="70" w:name="_Toc184440279"/>
      <w:bookmarkStart w:id="71" w:name="_Toc184444657"/>
      <w:bookmarkStart w:id="72" w:name="_Toc196046487"/>
      <w:r>
        <w:t>Studies providing efficacy data</w:t>
      </w:r>
    </w:p>
    <w:p w:rsidR="00232A97" w:rsidRPr="00604F4A" w:rsidRDefault="00604F4A" w:rsidP="00604F4A">
      <w:bookmarkStart w:id="73" w:name="_Ref243301615"/>
      <w:bookmarkStart w:id="74" w:name="_Ref271040927"/>
      <w:bookmarkStart w:id="75" w:name="_Ref271040932"/>
      <w:bookmarkStart w:id="76" w:name="_Toc272414653"/>
      <w:bookmarkStart w:id="77" w:name="_Toc290888501"/>
      <w:bookmarkStart w:id="78" w:name="_Toc457985847"/>
      <w:r w:rsidRPr="00604F4A">
        <w:t>Study M13-393</w:t>
      </w:r>
      <w:bookmarkEnd w:id="73"/>
      <w:bookmarkEnd w:id="74"/>
      <w:bookmarkEnd w:id="75"/>
      <w:bookmarkEnd w:id="76"/>
      <w:bookmarkEnd w:id="77"/>
      <w:r w:rsidRPr="00604F4A">
        <w:t xml:space="preserve"> (PEARL-1)</w:t>
      </w:r>
      <w:bookmarkEnd w:id="78"/>
      <w:r w:rsidR="00BE1A1A">
        <w:t>: “</w:t>
      </w:r>
      <w:proofErr w:type="spellStart"/>
      <w:r w:rsidR="006959E0">
        <w:t>Technivie</w:t>
      </w:r>
      <w:proofErr w:type="spellEnd"/>
      <w:r w:rsidRPr="00604F4A">
        <w:t xml:space="preserve"> is indicated in combination with ribavirin for the treatment of patients with genotype 4 chronic he</w:t>
      </w:r>
      <w:r w:rsidR="00BE1A1A">
        <w:t>patitis C virus (HCV) infection”</w:t>
      </w:r>
      <w:r w:rsidR="00741BA2">
        <w:t xml:space="preserve"> </w:t>
      </w:r>
      <w:r w:rsidRPr="00604F4A">
        <w:t xml:space="preserve">was an open-label, randomised, Phase </w:t>
      </w:r>
      <w:r w:rsidR="00962512">
        <w:t>II</w:t>
      </w:r>
      <w:r w:rsidRPr="00604F4A">
        <w:t>, efficacy and safety study of the 2-DAA combination treatment (ABT-450/r administered with ABT-267, with and without RBV) in adul</w:t>
      </w:r>
      <w:r>
        <w:t>ts with chronic HCV infection.</w:t>
      </w:r>
    </w:p>
    <w:p w:rsidR="008E7846" w:rsidRDefault="00605AD4" w:rsidP="00605AD4">
      <w:pPr>
        <w:pStyle w:val="Heading4"/>
      </w:pPr>
      <w:r>
        <w:t>Evaluator’s conclusions on efficacy</w:t>
      </w:r>
    </w:p>
    <w:p w:rsidR="003F3312" w:rsidRDefault="003F3312" w:rsidP="003F3312">
      <w:r>
        <w:t xml:space="preserve">The 2-DAA regimen with and without RBV has been studied in 135 treatment-naïve and treatment-experienced patients with HCV GT4 infection. The majority of patients carried a non-CC IL28 </w:t>
      </w:r>
      <w:r w:rsidR="008927E3">
        <w:t>GT</w:t>
      </w:r>
      <w:r>
        <w:t xml:space="preserve"> which predicts a lesser response to treatment. In patients with HCV GT4 infection treated with 2-DAA for 12 weeks, the SVR</w:t>
      </w:r>
      <w:r>
        <w:rPr>
          <w:vertAlign w:val="subscript"/>
        </w:rPr>
        <w:t xml:space="preserve">12 </w:t>
      </w:r>
      <w:r>
        <w:t>rate was 90.9% (95% CI: 78.3, 97.5). In treatment-naïve and treatment-experienced patients treated with 2-DAA + RBV for 12 weeks, the SVR</w:t>
      </w:r>
      <w:r>
        <w:rPr>
          <w:vertAlign w:val="subscript"/>
        </w:rPr>
        <w:t xml:space="preserve">12 </w:t>
      </w:r>
      <w:r>
        <w:t>rates were 100% (95% CI: 91.6, 100.0) and 100 % (95% C</w:t>
      </w:r>
      <w:r w:rsidR="009838C0">
        <w:t xml:space="preserve">I: 92.7, 100.0), respectively. </w:t>
      </w:r>
      <w:r>
        <w:t xml:space="preserve">Response rates in subgroups were not assessed as the overall response was 100%. </w:t>
      </w:r>
    </w:p>
    <w:p w:rsidR="003F3312" w:rsidRDefault="003F3312" w:rsidP="003F3312">
      <w:r>
        <w:t>The assessment of efficacy is based on a single, randomised, Phase 2 pilot study with approximately 40 patients in each treatment group. The study was appropriately designed and conducted in accordance with the EU guideline for the treatment of HCV</w:t>
      </w:r>
      <w:r w:rsidR="009838C0">
        <w:t>.</w:t>
      </w:r>
      <w:r w:rsidR="009838C0">
        <w:rPr>
          <w:rStyle w:val="FootnoteReference"/>
        </w:rPr>
        <w:footnoteReference w:id="1"/>
      </w:r>
      <w:r>
        <w:t xml:space="preserve"> It was necessarily conducted open</w:t>
      </w:r>
      <w:r w:rsidR="0024628E">
        <w:t xml:space="preserve"> </w:t>
      </w:r>
      <w:r>
        <w:t xml:space="preserve">label but the efficacy endpoints were objective.  Although patient numbers were low, the 100% efficacy rate in patients treated with 2-DAA with RBV is sufficient to justify an indication in non-cirrhotic patients with HCV GT4 infection. The efficacy rate in patients treated with 2-DAA without RBV were also impressive and sufficient to justify the use of </w:t>
      </w:r>
      <w:proofErr w:type="spellStart"/>
      <w:r w:rsidR="006959E0">
        <w:t>Technivie</w:t>
      </w:r>
      <w:proofErr w:type="spellEnd"/>
      <w:r>
        <w:t xml:space="preserve"> in patients who are unable to tolerate RBV. However, reduced exposure for each component of the 2-DAA regimen in GT4 patients may have contributed to the 9.8% SVR</w:t>
      </w:r>
      <w:r>
        <w:rPr>
          <w:vertAlign w:val="subscript"/>
        </w:rPr>
        <w:t>12</w:t>
      </w:r>
      <w:r>
        <w:t xml:space="preserve"> non-response rate in this group. Dose adjustments (for ABT-450 in particular) might be an alternative to the use of RBV in treatment-naïve patients. </w:t>
      </w:r>
    </w:p>
    <w:p w:rsidR="00156AEF" w:rsidRDefault="003F3312" w:rsidP="003F3312">
      <w:r>
        <w:t xml:space="preserve">The </w:t>
      </w:r>
      <w:r w:rsidR="007E1142">
        <w:t>s</w:t>
      </w:r>
      <w:r>
        <w:t xml:space="preserve">ponsor offers no discussion or justification to support use in cirrhotic patients. All patients with HCV GT4 infection were non-cirrhotic and there are no data to support the use of </w:t>
      </w:r>
      <w:proofErr w:type="spellStart"/>
      <w:r w:rsidR="006959E0">
        <w:t>Technivie</w:t>
      </w:r>
      <w:proofErr w:type="spellEnd"/>
      <w:r>
        <w:t xml:space="preserve"> in HCV GT4 patients with compensated cirrhosis. Despite the need for improved treatments in cirrhotic patients with GT4 infection, it is not appropriate to assume comparable efficacy rates in non-cirrhotic and cirrhotic patients; or to extrapolate efficacy rates from studies in cirrhotic patients with GT1b infection who were treated for 24 weeks (even though SVR</w:t>
      </w:r>
      <w:r>
        <w:rPr>
          <w:vertAlign w:val="subscript"/>
        </w:rPr>
        <w:t>4</w:t>
      </w:r>
      <w:r>
        <w:t xml:space="preserve"> rates were nearly 100%). Additional studies in GT4 patients with and without cirrhosis commenced in Q4 2014 (M11-655 and M14-250) and these should be evaluated to justify use in cirrhotic patients</w:t>
      </w:r>
      <w:r w:rsidR="00156AEF">
        <w:t>.</w:t>
      </w:r>
    </w:p>
    <w:p w:rsidR="008E7846" w:rsidRPr="002E238E" w:rsidRDefault="008E7846" w:rsidP="008E7846">
      <w:pPr>
        <w:pStyle w:val="Heading3"/>
      </w:pPr>
      <w:bookmarkStart w:id="79" w:name="_Toc163441378"/>
      <w:bookmarkStart w:id="80" w:name="_Toc196046495"/>
      <w:bookmarkStart w:id="81" w:name="_Toc247691522"/>
      <w:bookmarkStart w:id="82" w:name="_Toc314842505"/>
      <w:bookmarkStart w:id="83" w:name="_Toc497301624"/>
      <w:bookmarkEnd w:id="69"/>
      <w:bookmarkEnd w:id="70"/>
      <w:bookmarkEnd w:id="71"/>
      <w:bookmarkEnd w:id="72"/>
      <w:r w:rsidRPr="002E238E">
        <w:t>Safety</w:t>
      </w:r>
      <w:bookmarkEnd w:id="79"/>
      <w:bookmarkEnd w:id="80"/>
      <w:bookmarkEnd w:id="81"/>
      <w:bookmarkEnd w:id="82"/>
      <w:bookmarkEnd w:id="83"/>
    </w:p>
    <w:p w:rsidR="00605AD4" w:rsidRDefault="00605AD4" w:rsidP="00605AD4">
      <w:pPr>
        <w:pStyle w:val="Heading4"/>
      </w:pPr>
      <w:bookmarkStart w:id="84" w:name="_Toc247691524"/>
      <w:bookmarkStart w:id="85" w:name="_Toc314842508"/>
      <w:bookmarkStart w:id="86" w:name="_Toc196046504"/>
      <w:bookmarkStart w:id="87" w:name="_Toc163441390"/>
      <w:r w:rsidRPr="00605AD4">
        <w:t>Studies providing safety data</w:t>
      </w:r>
    </w:p>
    <w:p w:rsidR="00BD77D1" w:rsidRPr="00BD77D1" w:rsidRDefault="00BD77D1" w:rsidP="00BD77D1">
      <w:bookmarkStart w:id="88" w:name="_Ref268776745"/>
      <w:r w:rsidRPr="00BD77D1">
        <w:t>The following studies provided evaluable safety data:</w:t>
      </w:r>
    </w:p>
    <w:p w:rsidR="00BD77D1" w:rsidRPr="00BD77D1" w:rsidRDefault="00F16A37" w:rsidP="00BD77D1">
      <w:pPr>
        <w:pStyle w:val="Heading5"/>
      </w:pPr>
      <w:r>
        <w:t>Pivotal Phase II</w:t>
      </w:r>
      <w:r w:rsidR="00BD77D1" w:rsidRPr="00BD77D1">
        <w:t xml:space="preserve"> efficacy </w:t>
      </w:r>
      <w:r w:rsidR="005E40A2">
        <w:t>S</w:t>
      </w:r>
      <w:r w:rsidR="00BD77D1" w:rsidRPr="00BD77D1">
        <w:t>tudy M13-393</w:t>
      </w:r>
    </w:p>
    <w:p w:rsidR="00BD77D1" w:rsidRPr="00BD77D1" w:rsidRDefault="00BD77D1" w:rsidP="00BD77D1">
      <w:r w:rsidRPr="00BD77D1">
        <w:t>In the single efficacy study, the following safety data were collected:</w:t>
      </w:r>
    </w:p>
    <w:p w:rsidR="00BD77D1" w:rsidRPr="00BD77D1" w:rsidRDefault="00BD77D1" w:rsidP="00BD77D1">
      <w:pPr>
        <w:pStyle w:val="ListBullet"/>
      </w:pPr>
      <w:r w:rsidRPr="00BD77D1">
        <w:lastRenderedPageBreak/>
        <w:t xml:space="preserve">General adverse events (AEs) were coded using </w:t>
      </w:r>
      <w:proofErr w:type="spellStart"/>
      <w:r w:rsidRPr="00BD77D1">
        <w:t>MedDRA</w:t>
      </w:r>
      <w:proofErr w:type="spellEnd"/>
      <w:r w:rsidRPr="00BD77D1">
        <w:t xml:space="preserve"> and assigned by preferred term (PT) and system organ class (SOC).</w:t>
      </w:r>
    </w:p>
    <w:p w:rsidR="00BD77D1" w:rsidRPr="00BD77D1" w:rsidRDefault="00BD77D1" w:rsidP="00BD77D1">
      <w:pPr>
        <w:pStyle w:val="ListBullet"/>
      </w:pPr>
      <w:r w:rsidRPr="00BD77D1">
        <w:t>AEs of particular interest including ALT elevations, anaemia and skin reactions.</w:t>
      </w:r>
    </w:p>
    <w:p w:rsidR="00BD77D1" w:rsidRPr="00BD77D1" w:rsidRDefault="00BD77D1" w:rsidP="00BD77D1">
      <w:pPr>
        <w:pStyle w:val="ListBullet"/>
      </w:pPr>
      <w:r w:rsidRPr="00BD77D1">
        <w:t>Laboratory tests, including routine biochemistry and haematology, were performed at central laboratories.</w:t>
      </w:r>
    </w:p>
    <w:p w:rsidR="00BD77D1" w:rsidRDefault="00BD77D1" w:rsidP="00BD77D1">
      <w:pPr>
        <w:pStyle w:val="Heading5"/>
      </w:pPr>
      <w:r w:rsidRPr="00BD77D1">
        <w:t>Dose</w:t>
      </w:r>
      <w:r w:rsidR="0049527F">
        <w:t xml:space="preserve"> </w:t>
      </w:r>
      <w:r w:rsidRPr="00BD77D1">
        <w:t xml:space="preserve">response and </w:t>
      </w:r>
      <w:r w:rsidR="00156AEF" w:rsidRPr="00BD77D1">
        <w:t>non</w:t>
      </w:r>
      <w:r w:rsidR="00156AEF">
        <w:t>-</w:t>
      </w:r>
      <w:r w:rsidR="00156AEF" w:rsidRPr="00BD77D1">
        <w:t>pivotal</w:t>
      </w:r>
      <w:r w:rsidRPr="00BD77D1">
        <w:t xml:space="preserve"> efficacy studies</w:t>
      </w:r>
    </w:p>
    <w:p w:rsidR="00BD77D1" w:rsidRPr="00BD77D1" w:rsidRDefault="00BD77D1" w:rsidP="00BD77D1">
      <w:r w:rsidRPr="00BD77D1">
        <w:t>No studies were performed.</w:t>
      </w:r>
    </w:p>
    <w:p w:rsidR="00BD77D1" w:rsidRDefault="00BD77D1" w:rsidP="00BD77D1">
      <w:pPr>
        <w:pStyle w:val="Heading5"/>
      </w:pPr>
      <w:r w:rsidRPr="00BD77D1">
        <w:t>Other studies evaluable for safety only</w:t>
      </w:r>
    </w:p>
    <w:p w:rsidR="00BD77D1" w:rsidRPr="00BD77D1" w:rsidRDefault="00BD77D1" w:rsidP="00BD77D1">
      <w:r w:rsidRPr="00BD77D1">
        <w:t>No studies were performed.</w:t>
      </w:r>
    </w:p>
    <w:p w:rsidR="00BD77D1" w:rsidRDefault="00BD77D1" w:rsidP="00BD77D1">
      <w:pPr>
        <w:pStyle w:val="Heading5"/>
      </w:pPr>
      <w:r w:rsidRPr="00BD77D1">
        <w:t>Clinical pharmacology study</w:t>
      </w:r>
    </w:p>
    <w:p w:rsidR="00BD77D1" w:rsidRPr="00BD77D1" w:rsidRDefault="00BD77D1" w:rsidP="00BD77D1">
      <w:r w:rsidRPr="00BD77D1">
        <w:t xml:space="preserve">The absolute bioavailability study in healthy subjects (M14-229) has not been included in the overall safety evaluation. </w:t>
      </w:r>
    </w:p>
    <w:bookmarkEnd w:id="88"/>
    <w:p w:rsidR="00605AD4" w:rsidRDefault="00605AD4" w:rsidP="00605AD4">
      <w:pPr>
        <w:pStyle w:val="Heading4"/>
      </w:pPr>
      <w:r w:rsidRPr="00605AD4">
        <w:t>Patient exposure</w:t>
      </w:r>
    </w:p>
    <w:p w:rsidR="009A0456" w:rsidRDefault="009A0456" w:rsidP="009A0456">
      <w:r w:rsidRPr="009A0456">
        <w:t xml:space="preserve">In M13-393, study drug exposures in non-cirrhotic GT4 and GT1b Groups are shown in Table </w:t>
      </w:r>
      <w:r w:rsidR="00304CB0">
        <w:t>4</w:t>
      </w:r>
      <w:r w:rsidRPr="009A0456">
        <w:t xml:space="preserve"> and in cirrhotic GT1b Groups in Table </w:t>
      </w:r>
      <w:r w:rsidR="00304CB0">
        <w:t>5</w:t>
      </w:r>
      <w:r w:rsidRPr="009A0456">
        <w:t>. The mean exposure in Groups 1 + 2 + 3 (2-DAA for 12 weeks) was 83.3 days and in Groups 4 + 6 (2-DAA + RBV for 12 weeks) it was 84.4 days. The mean exposure in Groups 7 + 8 (2-DAA for 24 weeks) was 165.0 days.</w:t>
      </w:r>
    </w:p>
    <w:p w:rsidR="009A0456" w:rsidRDefault="009A0456" w:rsidP="009A0456">
      <w:pPr>
        <w:pStyle w:val="TableTitle"/>
      </w:pPr>
      <w:proofErr w:type="gramStart"/>
      <w:r>
        <w:t xml:space="preserve">Table 4: </w:t>
      </w:r>
      <w:r w:rsidR="005C34A4" w:rsidRPr="005C34A4">
        <w:t>Study M13-393 Study drug exposure non-cirrhotic GT4 and GT1b Groups</w:t>
      </w:r>
      <w:r>
        <w:t>.</w:t>
      </w:r>
      <w:proofErr w:type="gramEnd"/>
    </w:p>
    <w:p w:rsidR="009A0456" w:rsidRDefault="00304CB0" w:rsidP="009A0456">
      <w:r>
        <w:rPr>
          <w:noProof/>
          <w:lang w:eastAsia="en-AU"/>
        </w:rPr>
        <w:drawing>
          <wp:inline distT="0" distB="0" distL="0" distR="0" wp14:anchorId="410DA577" wp14:editId="43918FA9">
            <wp:extent cx="5400040" cy="3288486"/>
            <wp:effectExtent l="0" t="0" r="0" b="7620"/>
            <wp:docPr id="5" name="Picture 5" descr="Table 4: Study M13-393 Study drug exposure non-cirrhotic GT4 and GT1b Grou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400040" cy="3288486"/>
                    </a:xfrm>
                    <a:prstGeom prst="rect">
                      <a:avLst/>
                    </a:prstGeom>
                  </pic:spPr>
                </pic:pic>
              </a:graphicData>
            </a:graphic>
          </wp:inline>
        </w:drawing>
      </w:r>
    </w:p>
    <w:p w:rsidR="009A0456" w:rsidRDefault="009A0456" w:rsidP="009A0456">
      <w:pPr>
        <w:pStyle w:val="TableTitle"/>
      </w:pPr>
      <w:proofErr w:type="gramStart"/>
      <w:r>
        <w:lastRenderedPageBreak/>
        <w:t xml:space="preserve">Table 5: </w:t>
      </w:r>
      <w:r w:rsidR="00DA7EAB" w:rsidRPr="00DA7EAB">
        <w:t>Study M13-393 Study drug exposure cirrhotic GT4 and GT1b Groups</w:t>
      </w:r>
      <w:r>
        <w:t>.</w:t>
      </w:r>
      <w:proofErr w:type="gramEnd"/>
    </w:p>
    <w:p w:rsidR="009A0456" w:rsidRPr="009A0456" w:rsidRDefault="00304CB0" w:rsidP="009A0456">
      <w:r>
        <w:rPr>
          <w:noProof/>
          <w:lang w:eastAsia="en-AU"/>
        </w:rPr>
        <w:drawing>
          <wp:inline distT="0" distB="0" distL="0" distR="0" wp14:anchorId="42412089" wp14:editId="5789EEF3">
            <wp:extent cx="5400040" cy="3557911"/>
            <wp:effectExtent l="0" t="0" r="0" b="4445"/>
            <wp:docPr id="6" name="Picture 6" descr="Table 5: Study M13-393 Study drug exposure cirrhotic GT4 and GT1b Grou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400040" cy="3557911"/>
                    </a:xfrm>
                    <a:prstGeom prst="rect">
                      <a:avLst/>
                    </a:prstGeom>
                  </pic:spPr>
                </pic:pic>
              </a:graphicData>
            </a:graphic>
          </wp:inline>
        </w:drawing>
      </w:r>
    </w:p>
    <w:p w:rsidR="00605AD4" w:rsidRDefault="00605AD4" w:rsidP="00605AD4">
      <w:pPr>
        <w:pStyle w:val="Heading4"/>
      </w:pPr>
      <w:r w:rsidRPr="00605AD4">
        <w:t>Safety issues with the potential for major regulatory impact</w:t>
      </w:r>
    </w:p>
    <w:p w:rsidR="007A2B2F" w:rsidRPr="00611CCF" w:rsidRDefault="007A2B2F" w:rsidP="007A2B2F">
      <w:pPr>
        <w:pStyle w:val="Heading5"/>
      </w:pPr>
      <w:bookmarkStart w:id="89" w:name="_Toc272414681"/>
      <w:bookmarkStart w:id="90" w:name="_Toc290888545"/>
      <w:bookmarkStart w:id="91" w:name="_Toc457985878"/>
      <w:r w:rsidRPr="00611CCF">
        <w:t>Liver toxicity</w:t>
      </w:r>
      <w:bookmarkEnd w:id="89"/>
      <w:bookmarkEnd w:id="90"/>
      <w:bookmarkEnd w:id="91"/>
    </w:p>
    <w:p w:rsidR="007A2B2F" w:rsidRPr="00611CCF" w:rsidRDefault="007A2B2F" w:rsidP="007A2B2F">
      <w:pPr>
        <w:autoSpaceDE w:val="0"/>
        <w:autoSpaceDN w:val="0"/>
        <w:adjustRightInd w:val="0"/>
      </w:pPr>
      <w:r>
        <w:t>No new safety signals were observed.</w:t>
      </w:r>
    </w:p>
    <w:p w:rsidR="007A2B2F" w:rsidRPr="00611CCF" w:rsidRDefault="007A2B2F" w:rsidP="007A2B2F">
      <w:pPr>
        <w:pStyle w:val="Heading5"/>
      </w:pPr>
      <w:bookmarkStart w:id="92" w:name="_Toc272414682"/>
      <w:bookmarkStart w:id="93" w:name="_Toc290888546"/>
      <w:bookmarkStart w:id="94" w:name="_Toc457985879"/>
      <w:r w:rsidRPr="00611CCF">
        <w:t>Haematological toxicity</w:t>
      </w:r>
      <w:bookmarkEnd w:id="92"/>
      <w:bookmarkEnd w:id="93"/>
      <w:bookmarkEnd w:id="94"/>
    </w:p>
    <w:p w:rsidR="007A2B2F" w:rsidRPr="00611CCF" w:rsidRDefault="007A2B2F" w:rsidP="007A2B2F">
      <w:pPr>
        <w:autoSpaceDE w:val="0"/>
        <w:autoSpaceDN w:val="0"/>
        <w:adjustRightInd w:val="0"/>
      </w:pPr>
      <w:r>
        <w:t>No new safety signals were observed.</w:t>
      </w:r>
    </w:p>
    <w:p w:rsidR="007A2B2F" w:rsidRPr="00611CCF" w:rsidRDefault="007A2B2F" w:rsidP="007A2B2F">
      <w:pPr>
        <w:pStyle w:val="Heading5"/>
      </w:pPr>
      <w:bookmarkStart w:id="95" w:name="_Toc272414683"/>
      <w:bookmarkStart w:id="96" w:name="_Toc290888547"/>
      <w:bookmarkStart w:id="97" w:name="_Toc457985880"/>
      <w:r w:rsidRPr="00611CCF">
        <w:t>Serious skin reactions</w:t>
      </w:r>
      <w:bookmarkEnd w:id="95"/>
      <w:bookmarkEnd w:id="96"/>
      <w:bookmarkEnd w:id="97"/>
    </w:p>
    <w:p w:rsidR="007A2B2F" w:rsidRPr="00611CCF" w:rsidRDefault="007A2B2F" w:rsidP="007A2B2F">
      <w:pPr>
        <w:autoSpaceDE w:val="0"/>
        <w:autoSpaceDN w:val="0"/>
        <w:adjustRightInd w:val="0"/>
      </w:pPr>
      <w:r>
        <w:t>No new safety signals were observed.</w:t>
      </w:r>
    </w:p>
    <w:p w:rsidR="007A2B2F" w:rsidRPr="00611CCF" w:rsidRDefault="007A2B2F" w:rsidP="007A2B2F">
      <w:pPr>
        <w:pStyle w:val="Heading5"/>
      </w:pPr>
      <w:bookmarkStart w:id="98" w:name="_Toc272414684"/>
      <w:bookmarkStart w:id="99" w:name="_Toc290888548"/>
      <w:bookmarkStart w:id="100" w:name="_Toc457985881"/>
      <w:r w:rsidRPr="00611CCF">
        <w:t>Cardiovascular safety</w:t>
      </w:r>
      <w:bookmarkEnd w:id="98"/>
      <w:bookmarkEnd w:id="99"/>
      <w:bookmarkEnd w:id="100"/>
    </w:p>
    <w:p w:rsidR="007A2B2F" w:rsidRPr="00611CCF" w:rsidRDefault="007A2B2F" w:rsidP="007A2B2F">
      <w:pPr>
        <w:autoSpaceDE w:val="0"/>
        <w:autoSpaceDN w:val="0"/>
        <w:adjustRightInd w:val="0"/>
      </w:pPr>
      <w:r>
        <w:t>No new safety signals were observed.</w:t>
      </w:r>
    </w:p>
    <w:p w:rsidR="007A2B2F" w:rsidRPr="00611CCF" w:rsidRDefault="007A2B2F" w:rsidP="007A2B2F">
      <w:pPr>
        <w:pStyle w:val="Heading5"/>
      </w:pPr>
      <w:bookmarkStart w:id="101" w:name="_Toc241374323"/>
      <w:bookmarkStart w:id="102" w:name="_Toc272414685"/>
      <w:bookmarkStart w:id="103" w:name="_Toc290888549"/>
      <w:bookmarkStart w:id="104" w:name="_Toc457985882"/>
      <w:r w:rsidRPr="00611CCF">
        <w:t>Unwanted immunological events</w:t>
      </w:r>
      <w:bookmarkEnd w:id="101"/>
      <w:bookmarkEnd w:id="102"/>
      <w:bookmarkEnd w:id="103"/>
      <w:bookmarkEnd w:id="104"/>
    </w:p>
    <w:p w:rsidR="007A2B2F" w:rsidRPr="00611CCF" w:rsidRDefault="007A2B2F" w:rsidP="007A2B2F">
      <w:pPr>
        <w:autoSpaceDE w:val="0"/>
        <w:autoSpaceDN w:val="0"/>
        <w:adjustRightInd w:val="0"/>
      </w:pPr>
      <w:r>
        <w:t>Not applicable.</w:t>
      </w:r>
    </w:p>
    <w:p w:rsidR="007A2B2F" w:rsidRPr="00611CCF" w:rsidRDefault="007A2B2F" w:rsidP="007A2B2F">
      <w:pPr>
        <w:pStyle w:val="Heading5"/>
      </w:pPr>
      <w:bookmarkStart w:id="105" w:name="_Toc272414686"/>
      <w:bookmarkStart w:id="106" w:name="_Ref273005527"/>
      <w:bookmarkStart w:id="107" w:name="_Toc290888550"/>
      <w:bookmarkStart w:id="108" w:name="_Toc457985883"/>
      <w:r w:rsidRPr="00611CCF">
        <w:t>Other safety issues</w:t>
      </w:r>
      <w:bookmarkEnd w:id="105"/>
      <w:bookmarkEnd w:id="106"/>
      <w:bookmarkEnd w:id="107"/>
      <w:bookmarkEnd w:id="108"/>
    </w:p>
    <w:p w:rsidR="007A2B2F" w:rsidRPr="00611CCF" w:rsidRDefault="007A2B2F" w:rsidP="007A2B2F">
      <w:pPr>
        <w:pStyle w:val="Heading6"/>
      </w:pPr>
      <w:bookmarkStart w:id="109" w:name="_Toc241374322"/>
      <w:bookmarkStart w:id="110" w:name="_Ref272331212"/>
      <w:bookmarkStart w:id="111" w:name="_Toc272414687"/>
      <w:bookmarkStart w:id="112" w:name="_Toc290888551"/>
      <w:bookmarkStart w:id="113" w:name="_Toc457985884"/>
      <w:r w:rsidRPr="00611CCF">
        <w:t>Safety in special populations</w:t>
      </w:r>
      <w:bookmarkEnd w:id="109"/>
      <w:bookmarkEnd w:id="110"/>
      <w:bookmarkEnd w:id="111"/>
      <w:bookmarkEnd w:id="112"/>
      <w:bookmarkEnd w:id="113"/>
    </w:p>
    <w:p w:rsidR="007A2B2F" w:rsidRPr="00611CCF" w:rsidRDefault="007A2B2F" w:rsidP="007A2B2F">
      <w:pPr>
        <w:autoSpaceDE w:val="0"/>
        <w:autoSpaceDN w:val="0"/>
        <w:adjustRightInd w:val="0"/>
      </w:pPr>
      <w:r>
        <w:t>No new data were submitted.</w:t>
      </w:r>
    </w:p>
    <w:p w:rsidR="007A2B2F" w:rsidRPr="00611CCF" w:rsidRDefault="007A2B2F" w:rsidP="007A2B2F">
      <w:pPr>
        <w:pStyle w:val="Heading6"/>
      </w:pPr>
      <w:bookmarkStart w:id="114" w:name="_Toc241374324"/>
      <w:bookmarkStart w:id="115" w:name="_Ref272331214"/>
      <w:bookmarkStart w:id="116" w:name="_Toc272414688"/>
      <w:bookmarkStart w:id="117" w:name="_Toc290888552"/>
      <w:bookmarkStart w:id="118" w:name="_Toc457985885"/>
      <w:r w:rsidRPr="00611CCF">
        <w:t xml:space="preserve">Safety related to drug-drug interactions </w:t>
      </w:r>
      <w:r w:rsidR="00104A9B">
        <w:t xml:space="preserve">(DDIs) </w:t>
      </w:r>
      <w:r w:rsidRPr="00611CCF">
        <w:t>and other interactions</w:t>
      </w:r>
      <w:bookmarkEnd w:id="114"/>
      <w:bookmarkEnd w:id="115"/>
      <w:bookmarkEnd w:id="116"/>
      <w:bookmarkEnd w:id="117"/>
      <w:bookmarkEnd w:id="118"/>
    </w:p>
    <w:p w:rsidR="007A2B2F" w:rsidRPr="00611CCF" w:rsidRDefault="007A2B2F" w:rsidP="007A2B2F">
      <w:pPr>
        <w:autoSpaceDE w:val="0"/>
        <w:autoSpaceDN w:val="0"/>
        <w:adjustRightInd w:val="0"/>
      </w:pPr>
      <w:r>
        <w:t>No new data were submitted.</w:t>
      </w:r>
    </w:p>
    <w:p w:rsidR="00605AD4" w:rsidRDefault="00605AD4" w:rsidP="00605AD4">
      <w:pPr>
        <w:pStyle w:val="Heading4"/>
      </w:pPr>
      <w:r w:rsidRPr="00605AD4">
        <w:t>Post</w:t>
      </w:r>
      <w:r w:rsidR="00E63418">
        <w:t xml:space="preserve"> </w:t>
      </w:r>
      <w:r w:rsidRPr="00605AD4">
        <w:t>marketing data</w:t>
      </w:r>
    </w:p>
    <w:p w:rsidR="007A2B2F" w:rsidRPr="00611CCF" w:rsidRDefault="007A2B2F" w:rsidP="007A2B2F">
      <w:pPr>
        <w:autoSpaceDE w:val="0"/>
        <w:autoSpaceDN w:val="0"/>
        <w:adjustRightInd w:val="0"/>
      </w:pPr>
      <w:r>
        <w:t>Not applicable.</w:t>
      </w:r>
    </w:p>
    <w:p w:rsidR="00605AD4" w:rsidRPr="00605AD4" w:rsidRDefault="00605AD4" w:rsidP="00605AD4">
      <w:pPr>
        <w:pStyle w:val="Heading4"/>
      </w:pPr>
      <w:r w:rsidRPr="00605AD4">
        <w:lastRenderedPageBreak/>
        <w:t>Evaluator’s conclusions on safety</w:t>
      </w:r>
    </w:p>
    <w:p w:rsidR="004D183A" w:rsidRPr="004D183A" w:rsidRDefault="004D183A" w:rsidP="004D183A">
      <w:r w:rsidRPr="004D183A">
        <w:t xml:space="preserve">No significant new safety concerns have been identified in the PEARL-I study. The safety of 2-DAA with and without RBV was assessed in 316 patients who received at least one dose of study drug, including 135 non-cirrhotic patients with HCV GT4 infection. Overall, the 2-DAA regimen was well tolerated although, as expected, AEs occurred more commonly in patients given RBV. Most AEs were mild to moderate in severity. </w:t>
      </w:r>
    </w:p>
    <w:p w:rsidR="004D183A" w:rsidRPr="004D183A" w:rsidRDefault="004D183A" w:rsidP="004D183A">
      <w:r w:rsidRPr="004D183A">
        <w:t xml:space="preserve">While the patient numbers were low in PEARL-I, more than 2,500 study patients have received 2-DAA as a component of the </w:t>
      </w:r>
      <w:proofErr w:type="spellStart"/>
      <w:r w:rsidR="006959E0">
        <w:t>Viekira</w:t>
      </w:r>
      <w:proofErr w:type="spellEnd"/>
      <w:r w:rsidR="006959E0">
        <w:t xml:space="preserve"> Pak</w:t>
      </w:r>
      <w:r w:rsidRPr="004D183A">
        <w:t xml:space="preserve"> 3-DAA regimen, with or without RBV, in patients with HCV GT1 infection. The pattern of AEs in PEARL-I was comparable to that of the 3-DAA regimen and no new safety signals were detected. For this reason, the sponsor has opted not to change the ADR profile of the 3-DAA combination summarised in the current </w:t>
      </w:r>
      <w:proofErr w:type="spellStart"/>
      <w:r w:rsidR="006959E0">
        <w:t>Viekira</w:t>
      </w:r>
      <w:proofErr w:type="spellEnd"/>
      <w:r w:rsidR="006959E0">
        <w:t xml:space="preserve"> Pak</w:t>
      </w:r>
      <w:r w:rsidRPr="004D183A">
        <w:t xml:space="preserve"> PI. The 3-DAA regimen contains </w:t>
      </w:r>
      <w:proofErr w:type="spellStart"/>
      <w:r w:rsidRPr="004D183A">
        <w:t>dasabuvir</w:t>
      </w:r>
      <w:proofErr w:type="spellEnd"/>
      <w:r w:rsidRPr="004D183A">
        <w:t xml:space="preserve"> but the 2-DAA regimen does not. Nonetheless, it is reasonable to retain the larger data set and the following most common ADRs are identified: </w:t>
      </w:r>
    </w:p>
    <w:p w:rsidR="004D183A" w:rsidRDefault="004D183A" w:rsidP="004D183A">
      <w:pPr>
        <w:pStyle w:val="ListBullet"/>
      </w:pPr>
      <w:r w:rsidRPr="004D183A">
        <w:t xml:space="preserve">2-DAA: asthenia (13%), nausea (10%), fatigue (7%), pruritus (6%), skin reactions (3%) and insomnia (2%). </w:t>
      </w:r>
    </w:p>
    <w:p w:rsidR="004D183A" w:rsidRPr="004D183A" w:rsidRDefault="004D183A" w:rsidP="004D183A">
      <w:pPr>
        <w:pStyle w:val="ListBullet"/>
      </w:pPr>
      <w:r w:rsidRPr="004D183A">
        <w:t>2-DAA + RBV: asthenia (29%), fatigue (15%), nausea (14%), insomnia (13%), pruritus (7%) and skin reactions (7%).</w:t>
      </w:r>
    </w:p>
    <w:p w:rsidR="00156AEF" w:rsidRDefault="004D183A" w:rsidP="004D183A">
      <w:r w:rsidRPr="004D183A">
        <w:t xml:space="preserve">Subgroups based on race, age, gender, body weight, renal and hepatic function and prior treatment for HCV were analysed in the 3-DAA program and no unexpected issues were identified in the 2-DAA. Potential DDIs were identified in the 3-DAA program and, with minor differences due to the absence of </w:t>
      </w:r>
      <w:proofErr w:type="spellStart"/>
      <w:r w:rsidRPr="004D183A">
        <w:t>dasabuvir</w:t>
      </w:r>
      <w:proofErr w:type="spellEnd"/>
      <w:r w:rsidRPr="004D183A">
        <w:t>, dosing precautions remain unchanged. The pattern of laboratory events (anaemia, rash and hepatic events) was comparable in the 2-DAA and 3-DAA studies with few significant treatment</w:t>
      </w:r>
      <w:r w:rsidR="00E80689">
        <w:t xml:space="preserve"> </w:t>
      </w:r>
      <w:r w:rsidRPr="004D183A">
        <w:t>emergent ALT elevations</w:t>
      </w:r>
      <w:r w:rsidR="00156AEF">
        <w:t>.</w:t>
      </w:r>
    </w:p>
    <w:p w:rsidR="00605AD4" w:rsidRPr="00605AD4" w:rsidRDefault="00605AD4" w:rsidP="00605AD4">
      <w:pPr>
        <w:pStyle w:val="Heading3"/>
        <w:rPr>
          <w:rFonts w:eastAsia="Cambria"/>
        </w:rPr>
      </w:pPr>
      <w:bookmarkStart w:id="119" w:name="_Toc497301625"/>
      <w:r w:rsidRPr="00605AD4">
        <w:rPr>
          <w:rFonts w:eastAsia="Cambria"/>
        </w:rPr>
        <w:t xml:space="preserve">First </w:t>
      </w:r>
      <w:r w:rsidR="00E63418">
        <w:rPr>
          <w:rFonts w:eastAsia="Cambria"/>
        </w:rPr>
        <w:t>r</w:t>
      </w:r>
      <w:r w:rsidRPr="00605AD4">
        <w:rPr>
          <w:rFonts w:eastAsia="Cambria"/>
        </w:rPr>
        <w:t xml:space="preserve">ound </w:t>
      </w:r>
      <w:r w:rsidR="00E63418">
        <w:rPr>
          <w:rFonts w:eastAsia="Cambria"/>
        </w:rPr>
        <w:t>b</w:t>
      </w:r>
      <w:r w:rsidRPr="00605AD4">
        <w:rPr>
          <w:rFonts w:eastAsia="Cambria"/>
        </w:rPr>
        <w:t>enefit-</w:t>
      </w:r>
      <w:r w:rsidR="00E63418">
        <w:rPr>
          <w:rFonts w:eastAsia="Cambria"/>
        </w:rPr>
        <w:t>r</w:t>
      </w:r>
      <w:r w:rsidRPr="00605AD4">
        <w:rPr>
          <w:rFonts w:eastAsia="Cambria"/>
        </w:rPr>
        <w:t xml:space="preserve">isk </w:t>
      </w:r>
      <w:r w:rsidR="00E63418">
        <w:rPr>
          <w:rFonts w:eastAsia="Cambria"/>
        </w:rPr>
        <w:t>a</w:t>
      </w:r>
      <w:r w:rsidRPr="00605AD4">
        <w:rPr>
          <w:rFonts w:eastAsia="Cambria"/>
        </w:rPr>
        <w:t>ssessment</w:t>
      </w:r>
      <w:bookmarkEnd w:id="119"/>
    </w:p>
    <w:p w:rsidR="00605AD4" w:rsidRDefault="00605AD4" w:rsidP="00605AD4">
      <w:pPr>
        <w:pStyle w:val="Heading4"/>
      </w:pPr>
      <w:r w:rsidRPr="00605AD4">
        <w:t>First round assessment of benefits</w:t>
      </w:r>
    </w:p>
    <w:p w:rsidR="004D183A" w:rsidRPr="00611CCF" w:rsidRDefault="004D183A" w:rsidP="004D183A">
      <w:r w:rsidRPr="00611CCF">
        <w:t xml:space="preserve">The benefits of </w:t>
      </w:r>
      <w:proofErr w:type="spellStart"/>
      <w:r w:rsidR="006959E0">
        <w:t>Technivie</w:t>
      </w:r>
      <w:proofErr w:type="spellEnd"/>
      <w:r w:rsidRPr="00611CCF">
        <w:t xml:space="preserve"> </w:t>
      </w:r>
      <w:r>
        <w:t xml:space="preserve">given with RBV </w:t>
      </w:r>
      <w:r w:rsidRPr="00611CCF">
        <w:t>in the proposed usage are:</w:t>
      </w:r>
    </w:p>
    <w:p w:rsidR="004D183A" w:rsidRPr="004D183A" w:rsidRDefault="004D183A" w:rsidP="004D183A">
      <w:pPr>
        <w:pStyle w:val="ListBullet"/>
      </w:pPr>
      <w:r w:rsidRPr="004D183A">
        <w:t>The potential for 100% SVR rates when given with RBV for 12 weeks in treatment-naïve and treatment</w:t>
      </w:r>
      <w:r w:rsidR="00B42232">
        <w:t xml:space="preserve"> </w:t>
      </w:r>
      <w:r w:rsidRPr="004D183A">
        <w:t>experienced non-cirrhotic patients with chronic HCV GT4 infection.</w:t>
      </w:r>
    </w:p>
    <w:p w:rsidR="004D183A" w:rsidRPr="004D183A" w:rsidRDefault="004D183A" w:rsidP="004D183A">
      <w:pPr>
        <w:pStyle w:val="ListBullet"/>
      </w:pPr>
      <w:r w:rsidRPr="004D183A">
        <w:t>The potential for 90% SVR12 (86.4% SVR24) rates when given without RBV for 12 weeks in treatment</w:t>
      </w:r>
      <w:r w:rsidR="00B42232">
        <w:t xml:space="preserve"> </w:t>
      </w:r>
      <w:r w:rsidRPr="004D183A">
        <w:t>naïve non-cirrhotic patients with chronic HCV GT4 infection.</w:t>
      </w:r>
    </w:p>
    <w:p w:rsidR="004D183A" w:rsidRPr="004D183A" w:rsidRDefault="004D183A" w:rsidP="004D183A">
      <w:pPr>
        <w:pStyle w:val="ListBullet"/>
      </w:pPr>
      <w:r w:rsidRPr="004D183A">
        <w:t>Well tolerated with mostly mild to moderate ADRs.</w:t>
      </w:r>
    </w:p>
    <w:p w:rsidR="004D183A" w:rsidRPr="004D183A" w:rsidRDefault="004D183A" w:rsidP="004D183A">
      <w:pPr>
        <w:pStyle w:val="ListBullet"/>
      </w:pPr>
      <w:r w:rsidRPr="004D183A">
        <w:t>Few dose interruptions or discontinuations.</w:t>
      </w:r>
    </w:p>
    <w:p w:rsidR="004D183A" w:rsidRPr="004D183A" w:rsidRDefault="004D183A" w:rsidP="004D183A">
      <w:pPr>
        <w:pStyle w:val="ListBullet"/>
      </w:pPr>
      <w:r w:rsidRPr="004D183A">
        <w:t xml:space="preserve">More effective with a superior safety profile compared with DAA plus </w:t>
      </w:r>
      <w:proofErr w:type="spellStart"/>
      <w:r w:rsidRPr="004D183A">
        <w:t>pegIFN</w:t>
      </w:r>
      <w:proofErr w:type="spellEnd"/>
      <w:r w:rsidRPr="004D183A">
        <w:t xml:space="preserve"> therapies.</w:t>
      </w:r>
    </w:p>
    <w:p w:rsidR="004D183A" w:rsidRPr="004D183A" w:rsidRDefault="004D183A" w:rsidP="004D183A">
      <w:pPr>
        <w:pStyle w:val="ListBullet"/>
      </w:pPr>
      <w:r w:rsidRPr="004D183A">
        <w:t>The potential for DDIs well understood.</w:t>
      </w:r>
    </w:p>
    <w:p w:rsidR="004D183A" w:rsidRPr="004D183A" w:rsidRDefault="004D183A" w:rsidP="004D183A">
      <w:pPr>
        <w:pStyle w:val="ListBullet"/>
      </w:pPr>
      <w:r w:rsidRPr="004D183A">
        <w:t xml:space="preserve">Contraindications and precautions identical to those identified in the </w:t>
      </w:r>
      <w:proofErr w:type="spellStart"/>
      <w:r w:rsidR="006959E0">
        <w:t>Viekira</w:t>
      </w:r>
      <w:proofErr w:type="spellEnd"/>
      <w:r w:rsidR="006959E0">
        <w:t xml:space="preserve"> Pak</w:t>
      </w:r>
      <w:r w:rsidRPr="004D183A">
        <w:t xml:space="preserve"> 3-DAA development program.</w:t>
      </w:r>
    </w:p>
    <w:p w:rsidR="00605AD4" w:rsidRDefault="00605AD4" w:rsidP="00605AD4">
      <w:pPr>
        <w:pStyle w:val="Heading4"/>
      </w:pPr>
      <w:r w:rsidRPr="00605AD4">
        <w:t>First round assessment of risks</w:t>
      </w:r>
    </w:p>
    <w:p w:rsidR="004D183A" w:rsidRPr="004D183A" w:rsidRDefault="004D183A" w:rsidP="004D183A">
      <w:r w:rsidRPr="004D183A">
        <w:t xml:space="preserve">The risks of </w:t>
      </w:r>
      <w:proofErr w:type="spellStart"/>
      <w:r w:rsidR="006959E0">
        <w:t>Technivie</w:t>
      </w:r>
      <w:proofErr w:type="spellEnd"/>
      <w:r w:rsidRPr="004D183A">
        <w:t xml:space="preserve"> given with RBV in the proposed usage are:</w:t>
      </w:r>
    </w:p>
    <w:p w:rsidR="004D183A" w:rsidRPr="004D183A" w:rsidRDefault="004D183A" w:rsidP="004D183A">
      <w:pPr>
        <w:pStyle w:val="ListBullet"/>
      </w:pPr>
      <w:r w:rsidRPr="004D183A">
        <w:t>Efficacy rates based on low pat</w:t>
      </w:r>
      <w:r w:rsidR="00B42232">
        <w:t>ient numbers in a single Phase II</w:t>
      </w:r>
      <w:r w:rsidRPr="004D183A">
        <w:t xml:space="preserve"> study.</w:t>
      </w:r>
    </w:p>
    <w:p w:rsidR="004D183A" w:rsidRPr="004D183A" w:rsidRDefault="004D183A" w:rsidP="004D183A">
      <w:pPr>
        <w:pStyle w:val="ListBullet"/>
      </w:pPr>
      <w:r w:rsidRPr="004D183A">
        <w:lastRenderedPageBreak/>
        <w:t>No data available in patients with compensated cirrhosis.</w:t>
      </w:r>
    </w:p>
    <w:p w:rsidR="004D183A" w:rsidRPr="004D183A" w:rsidRDefault="004D183A" w:rsidP="004D183A">
      <w:pPr>
        <w:pStyle w:val="ListBullet"/>
      </w:pPr>
      <w:r w:rsidRPr="004D183A">
        <w:t>Potential for severe ADRs, in particular anaemia and ALT elevations.</w:t>
      </w:r>
    </w:p>
    <w:p w:rsidR="004D183A" w:rsidRPr="004D183A" w:rsidRDefault="004D183A" w:rsidP="004D183A">
      <w:pPr>
        <w:pStyle w:val="ListBullet"/>
      </w:pPr>
      <w:r w:rsidRPr="004D183A">
        <w:t>Risks associated with DDIs, in particular systemic oestrogen medications.</w:t>
      </w:r>
    </w:p>
    <w:p w:rsidR="004D183A" w:rsidRPr="004D183A" w:rsidRDefault="004D183A" w:rsidP="004D183A">
      <w:pPr>
        <w:pStyle w:val="ListBullet"/>
      </w:pPr>
      <w:r w:rsidRPr="004D183A">
        <w:t>Limited viral resistance data due to high efficacy rates.</w:t>
      </w:r>
    </w:p>
    <w:p w:rsidR="00605AD4" w:rsidRPr="00605AD4" w:rsidRDefault="00605AD4" w:rsidP="00605AD4">
      <w:pPr>
        <w:pStyle w:val="Heading4"/>
      </w:pPr>
      <w:r w:rsidRPr="00605AD4">
        <w:t>First round assessment of benefit-risk balance</w:t>
      </w:r>
    </w:p>
    <w:p w:rsidR="004D183A" w:rsidRDefault="004D183A" w:rsidP="004D183A">
      <w:r w:rsidRPr="00611CCF">
        <w:t xml:space="preserve">The benefit-risk balance of </w:t>
      </w:r>
      <w:proofErr w:type="spellStart"/>
      <w:r w:rsidR="006959E0">
        <w:t>Technivie</w:t>
      </w:r>
      <w:proofErr w:type="spellEnd"/>
      <w:r w:rsidRPr="00611CCF">
        <w:t xml:space="preserve"> is unfavourable given the proposed usage, but would become favourable if the changes recommended </w:t>
      </w:r>
      <w:r>
        <w:t xml:space="preserve">in next section </w:t>
      </w:r>
      <w:r w:rsidRPr="00611CCF">
        <w:t>are adopted.</w:t>
      </w:r>
    </w:p>
    <w:p w:rsidR="00605AD4" w:rsidRPr="00605AD4" w:rsidRDefault="00605AD4" w:rsidP="00605AD4">
      <w:pPr>
        <w:pStyle w:val="Heading3"/>
        <w:rPr>
          <w:rFonts w:eastAsia="Cambria"/>
        </w:rPr>
      </w:pPr>
      <w:bookmarkStart w:id="120" w:name="_Toc497301626"/>
      <w:r w:rsidRPr="00605AD4">
        <w:rPr>
          <w:rFonts w:eastAsia="Cambria"/>
        </w:rPr>
        <w:t xml:space="preserve">First </w:t>
      </w:r>
      <w:r w:rsidR="00E63418">
        <w:rPr>
          <w:rFonts w:eastAsia="Cambria"/>
        </w:rPr>
        <w:t>r</w:t>
      </w:r>
      <w:r w:rsidRPr="00605AD4">
        <w:rPr>
          <w:rFonts w:eastAsia="Cambria"/>
        </w:rPr>
        <w:t xml:space="preserve">ound </w:t>
      </w:r>
      <w:r w:rsidR="00E63418">
        <w:rPr>
          <w:rFonts w:eastAsia="Cambria"/>
        </w:rPr>
        <w:t>r</w:t>
      </w:r>
      <w:r w:rsidRPr="00605AD4">
        <w:rPr>
          <w:rFonts w:eastAsia="Cambria"/>
        </w:rPr>
        <w:t xml:space="preserve">ecommendation </w:t>
      </w:r>
      <w:r w:rsidR="00E63418">
        <w:rPr>
          <w:rFonts w:eastAsia="Cambria"/>
        </w:rPr>
        <w:t>r</w:t>
      </w:r>
      <w:r w:rsidRPr="00605AD4">
        <w:rPr>
          <w:rFonts w:eastAsia="Cambria"/>
        </w:rPr>
        <w:t xml:space="preserve">egarding </w:t>
      </w:r>
      <w:r w:rsidR="00E63418">
        <w:rPr>
          <w:rFonts w:eastAsia="Cambria"/>
        </w:rPr>
        <w:t>a</w:t>
      </w:r>
      <w:r w:rsidRPr="00605AD4">
        <w:rPr>
          <w:rFonts w:eastAsia="Cambria"/>
        </w:rPr>
        <w:t>uthorisation</w:t>
      </w:r>
      <w:bookmarkEnd w:id="120"/>
    </w:p>
    <w:p w:rsidR="004D183A" w:rsidRDefault="004D183A" w:rsidP="004D183A">
      <w:r w:rsidRPr="004D183A">
        <w:t>Authorisation is not recommended for the proposed indication:</w:t>
      </w:r>
    </w:p>
    <w:p w:rsidR="004D183A" w:rsidRPr="004D183A" w:rsidRDefault="006959E0" w:rsidP="004D183A">
      <w:pPr>
        <w:ind w:left="720"/>
        <w:rPr>
          <w:i/>
        </w:rPr>
      </w:pPr>
      <w:proofErr w:type="spellStart"/>
      <w:r>
        <w:rPr>
          <w:i/>
        </w:rPr>
        <w:t>Technivie</w:t>
      </w:r>
      <w:proofErr w:type="spellEnd"/>
      <w:r w:rsidR="004D183A" w:rsidRPr="004D183A">
        <w:rPr>
          <w:i/>
        </w:rPr>
        <w:t xml:space="preserve"> is indicated in combination with ribavirin for the treatment of patients with genotype 4 chronic hepatitis C virus (HCV) infection.</w:t>
      </w:r>
    </w:p>
    <w:p w:rsidR="004D183A" w:rsidRDefault="004D183A" w:rsidP="004D183A">
      <w:r w:rsidRPr="004D183A">
        <w:t xml:space="preserve">However, authorisation is recommended for the following modified </w:t>
      </w:r>
      <w:r>
        <w:t>indication:</w:t>
      </w:r>
    </w:p>
    <w:p w:rsidR="004D183A" w:rsidRPr="004D183A" w:rsidRDefault="006959E0" w:rsidP="004D183A">
      <w:pPr>
        <w:ind w:left="720"/>
        <w:rPr>
          <w:i/>
        </w:rPr>
      </w:pPr>
      <w:proofErr w:type="spellStart"/>
      <w:r>
        <w:rPr>
          <w:i/>
        </w:rPr>
        <w:t>Technivie</w:t>
      </w:r>
      <w:proofErr w:type="spellEnd"/>
      <w:r w:rsidR="004D183A" w:rsidRPr="004D183A">
        <w:rPr>
          <w:i/>
        </w:rPr>
        <w:t xml:space="preserve"> is indicated in combination with ribavirin for the treatment of </w:t>
      </w:r>
      <w:r w:rsidR="004D183A" w:rsidRPr="004D183A">
        <w:rPr>
          <w:b/>
          <w:i/>
        </w:rPr>
        <w:t xml:space="preserve">adult </w:t>
      </w:r>
      <w:r w:rsidR="004D183A" w:rsidRPr="004D183A">
        <w:rPr>
          <w:i/>
        </w:rPr>
        <w:t xml:space="preserve">patients </w:t>
      </w:r>
      <w:r w:rsidR="004D183A" w:rsidRPr="004D183A">
        <w:rPr>
          <w:b/>
          <w:i/>
        </w:rPr>
        <w:t xml:space="preserve">without </w:t>
      </w:r>
      <w:r w:rsidR="004D183A" w:rsidRPr="004D183A">
        <w:rPr>
          <w:i/>
        </w:rPr>
        <w:t>cirrhosis with genotype 4 chronic hepatitis C virus (HCV) infection.</w:t>
      </w:r>
    </w:p>
    <w:p w:rsidR="004D183A" w:rsidRPr="004D183A" w:rsidRDefault="004D183A" w:rsidP="004D183A">
      <w:r w:rsidRPr="004D183A">
        <w:t xml:space="preserve">There are no data to support the use of </w:t>
      </w:r>
      <w:proofErr w:type="spellStart"/>
      <w:r w:rsidR="006959E0">
        <w:t>Technivie</w:t>
      </w:r>
      <w:proofErr w:type="spellEnd"/>
      <w:r w:rsidRPr="004D183A">
        <w:t xml:space="preserve">, with or without RBV, in patients with HCV GT4 infection and compensated cirrhosis. </w:t>
      </w:r>
      <w:proofErr w:type="spellStart"/>
      <w:r w:rsidR="006959E0">
        <w:t>Technivie</w:t>
      </w:r>
      <w:proofErr w:type="spellEnd"/>
      <w:r w:rsidRPr="004D183A">
        <w:t xml:space="preserve"> without RBV was effective in patients with HCV GT1b and compensated cirrhosis and it is almost certain to have value in similar patients with HCV GT4 infection. However, the HCV GT1b patients were treated for 24 weeks and it is not appropriate to extrapolate the data to HCV GT4 patients with cirrhosis treated for only 12 weeks (even though SVR4 rates were nearly 100% in the HCV GT1b patients and RBV co-administration is recommended). </w:t>
      </w:r>
    </w:p>
    <w:p w:rsidR="00605AD4" w:rsidRPr="00605AD4" w:rsidRDefault="00605AD4" w:rsidP="00605AD4">
      <w:pPr>
        <w:pStyle w:val="Heading3"/>
        <w:rPr>
          <w:rFonts w:eastAsia="Cambria"/>
        </w:rPr>
      </w:pPr>
      <w:bookmarkStart w:id="121" w:name="_Toc497301627"/>
      <w:r w:rsidRPr="00605AD4">
        <w:rPr>
          <w:rFonts w:eastAsia="Cambria"/>
        </w:rPr>
        <w:t xml:space="preserve">Clinical </w:t>
      </w:r>
      <w:r w:rsidR="00E63418">
        <w:rPr>
          <w:rFonts w:eastAsia="Cambria"/>
        </w:rPr>
        <w:t>q</w:t>
      </w:r>
      <w:r w:rsidRPr="00605AD4">
        <w:rPr>
          <w:rFonts w:eastAsia="Cambria"/>
        </w:rPr>
        <w:t>uestions</w:t>
      </w:r>
      <w:bookmarkEnd w:id="121"/>
    </w:p>
    <w:p w:rsidR="006443A8" w:rsidRDefault="006443A8" w:rsidP="006443A8">
      <w:pPr>
        <w:pStyle w:val="Heading4"/>
      </w:pPr>
      <w:bookmarkStart w:id="122" w:name="_Toc272414702"/>
      <w:bookmarkStart w:id="123" w:name="_Toc290888568"/>
      <w:bookmarkStart w:id="124" w:name="_Toc457985899"/>
      <w:r w:rsidRPr="00611CCF">
        <w:t>Pharmacokinetics</w:t>
      </w:r>
      <w:bookmarkEnd w:id="122"/>
      <w:bookmarkEnd w:id="123"/>
      <w:bookmarkEnd w:id="124"/>
    </w:p>
    <w:p w:rsidR="006443A8" w:rsidRDefault="006443A8" w:rsidP="006443A8">
      <w:pPr>
        <w:rPr>
          <w:rStyle w:val="Heading5Char"/>
          <w:rFonts w:eastAsia="Cambria"/>
        </w:rPr>
      </w:pPr>
      <w:r>
        <w:rPr>
          <w:rStyle w:val="Heading5Char"/>
          <w:rFonts w:eastAsia="Cambria"/>
        </w:rPr>
        <w:t>Question 1</w:t>
      </w:r>
    </w:p>
    <w:p w:rsidR="006443A8" w:rsidRPr="006443A8" w:rsidRDefault="006443A8" w:rsidP="006443A8">
      <w:r w:rsidRPr="006443A8">
        <w:t xml:space="preserve">Please refer to comments and address the following questions and issues: </w:t>
      </w:r>
    </w:p>
    <w:p w:rsidR="006443A8" w:rsidRPr="006443A8" w:rsidRDefault="006443A8" w:rsidP="006443A8">
      <w:pPr>
        <w:pStyle w:val="ListBullet"/>
      </w:pPr>
      <w:r w:rsidRPr="006443A8">
        <w:t xml:space="preserve">Please explain how cross-study comparisons may have contributed to the consistent PK differences observed between groups in a randomised study. </w:t>
      </w:r>
    </w:p>
    <w:p w:rsidR="006443A8" w:rsidRPr="006443A8" w:rsidRDefault="006443A8" w:rsidP="006443A8">
      <w:pPr>
        <w:pStyle w:val="ListBullet"/>
      </w:pPr>
      <w:r w:rsidRPr="006443A8">
        <w:t>Are there any known differences in hepatic pathophysiology or drug handling between patients with HCV GT4 and GT1b infections?</w:t>
      </w:r>
    </w:p>
    <w:p w:rsidR="006443A8" w:rsidRPr="006443A8" w:rsidRDefault="006443A8" w:rsidP="006443A8">
      <w:pPr>
        <w:pStyle w:val="ListBullet"/>
      </w:pPr>
      <w:r w:rsidRPr="006443A8">
        <w:t>Drug concentration/response analyses were not performed as efficacy was cons</w:t>
      </w:r>
      <w:r w:rsidR="005C67F2">
        <w:t xml:space="preserve">idered adequate in all groups. </w:t>
      </w:r>
      <w:r w:rsidRPr="006443A8">
        <w:t xml:space="preserve">However, in light of the concerns raised, please provide a comparison of the PK parameters in responder and non-responder patients in Groups 1 and 2 in study M13-393. </w:t>
      </w:r>
    </w:p>
    <w:p w:rsidR="006443A8" w:rsidRPr="00611CCF" w:rsidRDefault="006443A8" w:rsidP="006443A8">
      <w:pPr>
        <w:pStyle w:val="Heading4"/>
      </w:pPr>
      <w:bookmarkStart w:id="125" w:name="_Toc272414704"/>
      <w:bookmarkStart w:id="126" w:name="_Toc290888570"/>
      <w:bookmarkStart w:id="127" w:name="_Toc457985900"/>
      <w:r w:rsidRPr="00611CCF">
        <w:t>Efficacy</w:t>
      </w:r>
      <w:bookmarkEnd w:id="125"/>
      <w:bookmarkEnd w:id="126"/>
      <w:bookmarkEnd w:id="127"/>
    </w:p>
    <w:p w:rsidR="006443A8" w:rsidRDefault="006443A8" w:rsidP="006443A8">
      <w:pPr>
        <w:rPr>
          <w:rStyle w:val="Heading5Char"/>
          <w:rFonts w:eastAsia="Cambria"/>
        </w:rPr>
      </w:pPr>
      <w:r>
        <w:rPr>
          <w:rStyle w:val="Heading5Char"/>
          <w:rFonts w:eastAsia="Cambria"/>
        </w:rPr>
        <w:t>Question 2</w:t>
      </w:r>
    </w:p>
    <w:p w:rsidR="006443A8" w:rsidRPr="006F374E" w:rsidRDefault="006443A8" w:rsidP="006443A8">
      <w:r>
        <w:t>In the absence of clinical data, p</w:t>
      </w:r>
      <w:r w:rsidRPr="006F374E">
        <w:t xml:space="preserve">lease provide a justification </w:t>
      </w:r>
      <w:r>
        <w:t xml:space="preserve">for the use of </w:t>
      </w:r>
      <w:proofErr w:type="spellStart"/>
      <w:r w:rsidR="006959E0">
        <w:t>Technivie</w:t>
      </w:r>
      <w:proofErr w:type="spellEnd"/>
      <w:r>
        <w:t xml:space="preserve"> with RBV in HCV GT4 patients with compensated cirrhosis. Should patients be treated for 12 or 24 weeks, with or without RBV, and on what evidence is this recommendation based?</w:t>
      </w:r>
    </w:p>
    <w:p w:rsidR="006443A8" w:rsidRDefault="006443A8" w:rsidP="006443A8">
      <w:pPr>
        <w:pStyle w:val="Heading5"/>
      </w:pPr>
      <w:r>
        <w:lastRenderedPageBreak/>
        <w:t>Question 3</w:t>
      </w:r>
    </w:p>
    <w:p w:rsidR="006443A8" w:rsidRDefault="006443A8" w:rsidP="006443A8">
      <w:r w:rsidRPr="006443A8">
        <w:t>Please provide a status update for ongoing studies (M11-655 and M14-250), including summaries of interim analyses if they are available. Will population PK analyses be available?</w:t>
      </w:r>
      <w:bookmarkStart w:id="128" w:name="_Toc272414705"/>
      <w:bookmarkStart w:id="129" w:name="_Toc290888571"/>
      <w:bookmarkStart w:id="130" w:name="_Toc457985901"/>
    </w:p>
    <w:p w:rsidR="006443A8" w:rsidRPr="00611CCF" w:rsidRDefault="006443A8" w:rsidP="006443A8">
      <w:pPr>
        <w:pStyle w:val="Heading4"/>
      </w:pPr>
      <w:r w:rsidRPr="00611CCF">
        <w:t>Safety</w:t>
      </w:r>
      <w:bookmarkEnd w:id="128"/>
      <w:bookmarkEnd w:id="129"/>
      <w:bookmarkEnd w:id="130"/>
    </w:p>
    <w:p w:rsidR="006443A8" w:rsidRPr="00611CCF" w:rsidRDefault="006443A8" w:rsidP="006443A8">
      <w:r>
        <w:t>No questions.</w:t>
      </w:r>
    </w:p>
    <w:p w:rsidR="00605AD4" w:rsidRPr="00605AD4" w:rsidRDefault="00605AD4" w:rsidP="00605AD4">
      <w:pPr>
        <w:pStyle w:val="Heading3"/>
        <w:rPr>
          <w:rFonts w:eastAsia="Cambria"/>
        </w:rPr>
      </w:pPr>
      <w:bookmarkStart w:id="131" w:name="_Toc497301628"/>
      <w:r w:rsidRPr="00605AD4">
        <w:rPr>
          <w:rFonts w:eastAsia="Cambria"/>
        </w:rPr>
        <w:t xml:space="preserve">Second </w:t>
      </w:r>
      <w:r w:rsidR="00E63418">
        <w:rPr>
          <w:rFonts w:eastAsia="Cambria"/>
        </w:rPr>
        <w:t>r</w:t>
      </w:r>
      <w:r w:rsidRPr="00605AD4">
        <w:rPr>
          <w:rFonts w:eastAsia="Cambria"/>
        </w:rPr>
        <w:t xml:space="preserve">ound </w:t>
      </w:r>
      <w:r w:rsidR="00E63418">
        <w:rPr>
          <w:rFonts w:eastAsia="Cambria"/>
        </w:rPr>
        <w:t>e</w:t>
      </w:r>
      <w:r w:rsidRPr="00605AD4">
        <w:rPr>
          <w:rFonts w:eastAsia="Cambria"/>
        </w:rPr>
        <w:t>valuation</w:t>
      </w:r>
      <w:bookmarkEnd w:id="131"/>
    </w:p>
    <w:p w:rsidR="00720DBB" w:rsidRPr="00605AD4" w:rsidRDefault="00720DBB" w:rsidP="00720DBB">
      <w:r>
        <w:t>Details of sponsor’s responses to clinical questions and evaluator’s subsequent comments are contained in Attachment 2.</w:t>
      </w:r>
    </w:p>
    <w:p w:rsidR="00605AD4" w:rsidRPr="00605AD4" w:rsidRDefault="00605AD4" w:rsidP="00546154">
      <w:pPr>
        <w:pStyle w:val="Heading3"/>
        <w:rPr>
          <w:rFonts w:eastAsia="Cambria"/>
        </w:rPr>
      </w:pPr>
      <w:bookmarkStart w:id="132" w:name="_Toc497301629"/>
      <w:r w:rsidRPr="00605AD4">
        <w:rPr>
          <w:rFonts w:eastAsia="Cambria"/>
        </w:rPr>
        <w:t xml:space="preserve">Second </w:t>
      </w:r>
      <w:r w:rsidR="00E63418">
        <w:rPr>
          <w:rFonts w:eastAsia="Cambria"/>
        </w:rPr>
        <w:t>r</w:t>
      </w:r>
      <w:r w:rsidRPr="00605AD4">
        <w:rPr>
          <w:rFonts w:eastAsia="Cambria"/>
        </w:rPr>
        <w:t xml:space="preserve">ound </w:t>
      </w:r>
      <w:r w:rsidR="00E63418">
        <w:rPr>
          <w:rFonts w:eastAsia="Cambria"/>
        </w:rPr>
        <w:t>b</w:t>
      </w:r>
      <w:r w:rsidRPr="00605AD4">
        <w:rPr>
          <w:rFonts w:eastAsia="Cambria"/>
        </w:rPr>
        <w:t>enefit-</w:t>
      </w:r>
      <w:r w:rsidR="00E63418">
        <w:rPr>
          <w:rFonts w:eastAsia="Cambria"/>
        </w:rPr>
        <w:t>r</w:t>
      </w:r>
      <w:r w:rsidRPr="00605AD4">
        <w:rPr>
          <w:rFonts w:eastAsia="Cambria"/>
        </w:rPr>
        <w:t xml:space="preserve">isk </w:t>
      </w:r>
      <w:r w:rsidR="00E63418">
        <w:rPr>
          <w:rFonts w:eastAsia="Cambria"/>
        </w:rPr>
        <w:t>a</w:t>
      </w:r>
      <w:r w:rsidRPr="00605AD4">
        <w:rPr>
          <w:rFonts w:eastAsia="Cambria"/>
        </w:rPr>
        <w:t>ssessment</w:t>
      </w:r>
      <w:bookmarkEnd w:id="132"/>
    </w:p>
    <w:p w:rsidR="00AA1284" w:rsidRPr="009E5085" w:rsidRDefault="00AA1284" w:rsidP="00AA1284">
      <w:pPr>
        <w:pStyle w:val="Heading4"/>
      </w:pPr>
      <w:bookmarkStart w:id="133" w:name="_Toc272414709"/>
      <w:bookmarkStart w:id="134" w:name="_Toc290846349"/>
      <w:bookmarkStart w:id="135" w:name="_Toc442359398"/>
      <w:r w:rsidRPr="009E5085">
        <w:t>Second round assessment of benefits</w:t>
      </w:r>
      <w:bookmarkEnd w:id="133"/>
      <w:bookmarkEnd w:id="134"/>
      <w:bookmarkEnd w:id="135"/>
    </w:p>
    <w:p w:rsidR="006443A8" w:rsidRPr="00611CCF" w:rsidRDefault="006443A8" w:rsidP="006443A8">
      <w:bookmarkStart w:id="136" w:name="_Toc272414710"/>
      <w:bookmarkStart w:id="137" w:name="_Toc290846350"/>
      <w:r>
        <w:t>No change to the first round assessment.</w:t>
      </w:r>
    </w:p>
    <w:p w:rsidR="00AA1284" w:rsidRDefault="00AA1284" w:rsidP="00AA1284">
      <w:pPr>
        <w:pStyle w:val="Heading4"/>
      </w:pPr>
      <w:bookmarkStart w:id="138" w:name="_Toc442359399"/>
      <w:r w:rsidRPr="009E5085">
        <w:t>Second round assessment of risks</w:t>
      </w:r>
      <w:bookmarkEnd w:id="136"/>
      <w:bookmarkEnd w:id="137"/>
      <w:bookmarkEnd w:id="138"/>
    </w:p>
    <w:p w:rsidR="00341026" w:rsidRPr="00611CCF" w:rsidRDefault="00341026" w:rsidP="00341026">
      <w:r>
        <w:t>No change to the first round assessment.</w:t>
      </w:r>
    </w:p>
    <w:p w:rsidR="00AA1284" w:rsidRPr="009E5085" w:rsidRDefault="00AA1284" w:rsidP="00AA1284">
      <w:pPr>
        <w:pStyle w:val="Heading4"/>
      </w:pPr>
      <w:bookmarkStart w:id="139" w:name="_Toc272414711"/>
      <w:bookmarkStart w:id="140" w:name="_Toc290846351"/>
      <w:bookmarkStart w:id="141" w:name="_Toc442359400"/>
      <w:r w:rsidRPr="009E5085">
        <w:t>Second round assessment of benefit-risk balance</w:t>
      </w:r>
      <w:bookmarkEnd w:id="139"/>
      <w:bookmarkEnd w:id="140"/>
      <w:bookmarkEnd w:id="141"/>
    </w:p>
    <w:p w:rsidR="00B33C09" w:rsidRPr="00611CCF" w:rsidRDefault="00B33C09" w:rsidP="00B33C09">
      <w:r>
        <w:t>No change to the first round assessment.</w:t>
      </w:r>
    </w:p>
    <w:p w:rsidR="00AA1284" w:rsidRDefault="00AA1284" w:rsidP="00AA1284">
      <w:pPr>
        <w:pStyle w:val="Heading3"/>
      </w:pPr>
      <w:bookmarkStart w:id="142" w:name="_Toc460583202"/>
      <w:bookmarkStart w:id="143" w:name="_Toc497301630"/>
      <w:r>
        <w:t>Second round recommendation regarding authorisation</w:t>
      </w:r>
      <w:bookmarkEnd w:id="142"/>
      <w:bookmarkEnd w:id="143"/>
    </w:p>
    <w:p w:rsidR="00B33C09" w:rsidRDefault="00B33C09" w:rsidP="00B33C09">
      <w:r>
        <w:t>Authorisation is recommended for the indication:</w:t>
      </w:r>
    </w:p>
    <w:p w:rsidR="00B33C09" w:rsidRPr="00D53732" w:rsidRDefault="006959E0" w:rsidP="00D53732">
      <w:pPr>
        <w:ind w:left="720"/>
        <w:rPr>
          <w:i/>
        </w:rPr>
      </w:pPr>
      <w:proofErr w:type="spellStart"/>
      <w:r>
        <w:rPr>
          <w:i/>
        </w:rPr>
        <w:t>Technivie</w:t>
      </w:r>
      <w:proofErr w:type="spellEnd"/>
      <w:r w:rsidR="00B33C09" w:rsidRPr="00D53732">
        <w:rPr>
          <w:i/>
        </w:rPr>
        <w:t xml:space="preserve"> is indicated in combination with ribavirin for the treatment of </w:t>
      </w:r>
      <w:r w:rsidR="00B33C09" w:rsidRPr="00D53732">
        <w:rPr>
          <w:b/>
          <w:i/>
        </w:rPr>
        <w:t xml:space="preserve">adult </w:t>
      </w:r>
      <w:r w:rsidR="00B33C09" w:rsidRPr="00D53732">
        <w:rPr>
          <w:i/>
        </w:rPr>
        <w:t>patients with genotype 4 chronic hep</w:t>
      </w:r>
      <w:r w:rsidR="00D53732" w:rsidRPr="00D53732">
        <w:rPr>
          <w:i/>
        </w:rPr>
        <w:t>atitis C virus (HCV) infection.</w:t>
      </w:r>
    </w:p>
    <w:p w:rsidR="008E7846" w:rsidRPr="00E41208" w:rsidRDefault="008E7846" w:rsidP="00546154">
      <w:pPr>
        <w:pStyle w:val="Heading2"/>
      </w:pPr>
      <w:bookmarkStart w:id="144" w:name="_Toc497301631"/>
      <w:r w:rsidRPr="00E41208">
        <w:t xml:space="preserve">V. Pharmacovigilance </w:t>
      </w:r>
      <w:r>
        <w:t>f</w:t>
      </w:r>
      <w:r w:rsidRPr="00E41208">
        <w:t>indings</w:t>
      </w:r>
      <w:bookmarkEnd w:id="84"/>
      <w:bookmarkEnd w:id="85"/>
      <w:bookmarkEnd w:id="144"/>
    </w:p>
    <w:p w:rsidR="008E7846" w:rsidRDefault="00386150" w:rsidP="008E7846">
      <w:pPr>
        <w:pStyle w:val="Heading3"/>
        <w:rPr>
          <w:lang w:eastAsia="en-AU"/>
        </w:rPr>
      </w:pPr>
      <w:bookmarkStart w:id="145" w:name="_Toc247691526"/>
      <w:bookmarkStart w:id="146" w:name="_Toc314842509"/>
      <w:bookmarkStart w:id="147" w:name="_Toc497301632"/>
      <w:r>
        <w:rPr>
          <w:lang w:eastAsia="en-AU"/>
        </w:rPr>
        <w:t>Risk m</w:t>
      </w:r>
      <w:r w:rsidR="008E7846">
        <w:rPr>
          <w:lang w:eastAsia="en-AU"/>
        </w:rPr>
        <w:t xml:space="preserve">anagement </w:t>
      </w:r>
      <w:r>
        <w:rPr>
          <w:lang w:eastAsia="en-AU"/>
        </w:rPr>
        <w:t>p</w:t>
      </w:r>
      <w:r w:rsidR="008E7846">
        <w:rPr>
          <w:lang w:eastAsia="en-AU"/>
        </w:rPr>
        <w:t>lan</w:t>
      </w:r>
      <w:bookmarkEnd w:id="145"/>
      <w:bookmarkEnd w:id="146"/>
      <w:bookmarkEnd w:id="147"/>
    </w:p>
    <w:p w:rsidR="002F4DAE" w:rsidRPr="0004330A" w:rsidRDefault="002F4DAE" w:rsidP="002F4DAE">
      <w:r w:rsidRPr="0004330A">
        <w:t>The sponsor submitted a</w:t>
      </w:r>
      <w:r>
        <w:t>n</w:t>
      </w:r>
      <w:r w:rsidRPr="0004330A">
        <w:t xml:space="preserve"> EU-RMP Version </w:t>
      </w:r>
      <w:r>
        <w:t>2.0</w:t>
      </w:r>
      <w:r w:rsidRPr="0004330A">
        <w:t xml:space="preserve"> (dated </w:t>
      </w:r>
      <w:r>
        <w:t>October 2015, Data Lock Point 15 July</w:t>
      </w:r>
      <w:r w:rsidRPr="0004330A">
        <w:t xml:space="preserve"> 2015) and Australian Specific Annex</w:t>
      </w:r>
      <w:r>
        <w:t xml:space="preserve"> (ASA)</w:t>
      </w:r>
      <w:r w:rsidRPr="0004330A">
        <w:t xml:space="preserve"> Version 2.0 (dated </w:t>
      </w:r>
      <w:r>
        <w:t>October 2015</w:t>
      </w:r>
      <w:r w:rsidRPr="0004330A">
        <w:t>), which was reviewed by the RMP evaluator.</w:t>
      </w:r>
      <w:r w:rsidRPr="00F2494A">
        <w:t xml:space="preserve"> </w:t>
      </w:r>
    </w:p>
    <w:p w:rsidR="008E7846" w:rsidRDefault="003A7F6C" w:rsidP="008E7846">
      <w:pPr>
        <w:pStyle w:val="Heading4"/>
        <w:rPr>
          <w:lang w:eastAsia="en-AU"/>
        </w:rPr>
      </w:pPr>
      <w:r>
        <w:rPr>
          <w:lang w:eastAsia="en-AU"/>
        </w:rPr>
        <w:t>Safety s</w:t>
      </w:r>
      <w:r w:rsidR="008E7846">
        <w:rPr>
          <w:lang w:eastAsia="en-AU"/>
        </w:rPr>
        <w:t>pecification</w:t>
      </w:r>
    </w:p>
    <w:p w:rsidR="008E7846" w:rsidRDefault="008E7846" w:rsidP="008E7846">
      <w:pPr>
        <w:rPr>
          <w:lang w:eastAsia="en-AU"/>
        </w:rPr>
      </w:pPr>
      <w:r>
        <w:rPr>
          <w:lang w:eastAsia="en-AU"/>
        </w:rPr>
        <w:t>The</w:t>
      </w:r>
      <w:r w:rsidR="006F25B8">
        <w:rPr>
          <w:lang w:eastAsia="en-AU"/>
        </w:rPr>
        <w:t xml:space="preserve"> sponsor provided a summary of o</w:t>
      </w:r>
      <w:r>
        <w:rPr>
          <w:lang w:eastAsia="en-AU"/>
        </w:rPr>
        <w:t xml:space="preserve">ngoing safety </w:t>
      </w:r>
      <w:r w:rsidR="006F25B8">
        <w:rPr>
          <w:lang w:eastAsia="en-AU"/>
        </w:rPr>
        <w:t>c</w:t>
      </w:r>
      <w:r>
        <w:rPr>
          <w:lang w:eastAsia="en-AU"/>
        </w:rPr>
        <w:t xml:space="preserve">oncerns which are shown at Table </w:t>
      </w:r>
      <w:r w:rsidR="00BF6E49">
        <w:rPr>
          <w:lang w:eastAsia="en-AU"/>
        </w:rPr>
        <w:t>6</w:t>
      </w:r>
      <w:r>
        <w:rPr>
          <w:lang w:eastAsia="en-AU"/>
        </w:rPr>
        <w:t>.</w:t>
      </w:r>
    </w:p>
    <w:p w:rsidR="00232A97" w:rsidRDefault="00232A97" w:rsidP="00156AEF">
      <w:pPr>
        <w:pStyle w:val="TableTitle"/>
        <w:pageBreakBefore/>
      </w:pPr>
      <w:proofErr w:type="gramStart"/>
      <w:r>
        <w:lastRenderedPageBreak/>
        <w:t xml:space="preserve">Table </w:t>
      </w:r>
      <w:r w:rsidR="00BF6E49">
        <w:t>6</w:t>
      </w:r>
      <w:r>
        <w:t>:</w:t>
      </w:r>
      <w:r w:rsidRPr="004C5C28">
        <w:t xml:space="preserve"> </w:t>
      </w:r>
      <w:r>
        <w:t>Ongoing safety concerns.</w:t>
      </w:r>
      <w:proofErr w:type="gramEnd"/>
    </w:p>
    <w:tbl>
      <w:tblPr>
        <w:tblStyle w:val="TableGrid"/>
        <w:tblW w:w="0" w:type="auto"/>
        <w:tblLook w:val="04A0" w:firstRow="1" w:lastRow="0" w:firstColumn="1" w:lastColumn="0" w:noHBand="0" w:noVBand="1"/>
      </w:tblPr>
      <w:tblGrid>
        <w:gridCol w:w="2660"/>
        <w:gridCol w:w="6060"/>
      </w:tblGrid>
      <w:tr w:rsidR="00BF6E49" w:rsidRPr="00156AEF" w:rsidTr="00156AEF">
        <w:tc>
          <w:tcPr>
            <w:tcW w:w="2660" w:type="dxa"/>
          </w:tcPr>
          <w:p w:rsidR="00BF6E49" w:rsidRPr="00156AEF" w:rsidRDefault="00BF6E49" w:rsidP="00156AEF">
            <w:pPr>
              <w:rPr>
                <w:b/>
                <w:sz w:val="20"/>
                <w:szCs w:val="20"/>
              </w:rPr>
            </w:pPr>
            <w:r w:rsidRPr="00156AEF">
              <w:rPr>
                <w:sz w:val="20"/>
                <w:szCs w:val="20"/>
              </w:rPr>
              <w:t>Important identified risks</w:t>
            </w:r>
          </w:p>
        </w:tc>
        <w:tc>
          <w:tcPr>
            <w:tcW w:w="6060" w:type="dxa"/>
          </w:tcPr>
          <w:p w:rsidR="00BF6E49" w:rsidRPr="00156AEF" w:rsidRDefault="00237569" w:rsidP="00156AEF">
            <w:pPr>
              <w:rPr>
                <w:b/>
                <w:sz w:val="20"/>
                <w:szCs w:val="20"/>
              </w:rPr>
            </w:pPr>
            <w:r w:rsidRPr="00156AEF">
              <w:rPr>
                <w:sz w:val="20"/>
                <w:szCs w:val="20"/>
              </w:rPr>
              <w:t>Drug-drug interactions:</w:t>
            </w:r>
          </w:p>
          <w:p w:rsidR="001A645E" w:rsidRPr="00156AEF" w:rsidRDefault="001A645E" w:rsidP="00156AEF">
            <w:pPr>
              <w:rPr>
                <w:b/>
                <w:sz w:val="20"/>
                <w:szCs w:val="20"/>
              </w:rPr>
            </w:pPr>
            <w:r w:rsidRPr="00156AEF">
              <w:rPr>
                <w:sz w:val="20"/>
                <w:szCs w:val="20"/>
              </w:rPr>
              <w:t xml:space="preserve">Concomitant use </w:t>
            </w:r>
            <w:r w:rsidR="00F221A8" w:rsidRPr="00156AEF">
              <w:rPr>
                <w:sz w:val="20"/>
                <w:szCs w:val="20"/>
              </w:rPr>
              <w:t xml:space="preserve">with drugs that are moderate or strong inducers of CYP3A and/or strong inducers of CYP2C8. Examples include carbamazepine, phenytoin, phenobarbital, </w:t>
            </w:r>
            <w:proofErr w:type="spellStart"/>
            <w:r w:rsidR="00F221A8" w:rsidRPr="00156AEF">
              <w:rPr>
                <w:sz w:val="20"/>
                <w:szCs w:val="20"/>
              </w:rPr>
              <w:t>efavirenz</w:t>
            </w:r>
            <w:proofErr w:type="spellEnd"/>
            <w:r w:rsidR="00F221A8" w:rsidRPr="00156AEF">
              <w:rPr>
                <w:sz w:val="20"/>
                <w:szCs w:val="20"/>
              </w:rPr>
              <w:t xml:space="preserve">, </w:t>
            </w:r>
            <w:proofErr w:type="spellStart"/>
            <w:r w:rsidR="00F221A8" w:rsidRPr="00156AEF">
              <w:rPr>
                <w:sz w:val="20"/>
                <w:szCs w:val="20"/>
              </w:rPr>
              <w:t>nevirapine</w:t>
            </w:r>
            <w:proofErr w:type="spellEnd"/>
            <w:r w:rsidR="00F221A8" w:rsidRPr="00156AEF">
              <w:rPr>
                <w:sz w:val="20"/>
                <w:szCs w:val="20"/>
              </w:rPr>
              <w:t xml:space="preserve">, </w:t>
            </w:r>
            <w:proofErr w:type="spellStart"/>
            <w:r w:rsidR="00960C08" w:rsidRPr="00156AEF">
              <w:rPr>
                <w:sz w:val="20"/>
                <w:szCs w:val="20"/>
              </w:rPr>
              <w:t>etravirine</w:t>
            </w:r>
            <w:proofErr w:type="spellEnd"/>
            <w:r w:rsidR="00960C08" w:rsidRPr="00156AEF">
              <w:rPr>
                <w:sz w:val="20"/>
                <w:szCs w:val="20"/>
              </w:rPr>
              <w:t xml:space="preserve">, </w:t>
            </w:r>
            <w:proofErr w:type="spellStart"/>
            <w:r w:rsidR="00960C08" w:rsidRPr="00156AEF">
              <w:rPr>
                <w:sz w:val="20"/>
                <w:szCs w:val="20"/>
              </w:rPr>
              <w:t>enzalutamid</w:t>
            </w:r>
            <w:proofErr w:type="spellEnd"/>
            <w:r w:rsidR="00960C08" w:rsidRPr="00156AEF">
              <w:rPr>
                <w:sz w:val="20"/>
                <w:szCs w:val="20"/>
              </w:rPr>
              <w:t xml:space="preserve">, </w:t>
            </w:r>
            <w:proofErr w:type="spellStart"/>
            <w:r w:rsidR="00960C08" w:rsidRPr="00156AEF">
              <w:rPr>
                <w:sz w:val="20"/>
                <w:szCs w:val="20"/>
              </w:rPr>
              <w:t>mitotane</w:t>
            </w:r>
            <w:proofErr w:type="spellEnd"/>
            <w:r w:rsidR="00960C08" w:rsidRPr="00156AEF">
              <w:rPr>
                <w:sz w:val="20"/>
                <w:szCs w:val="20"/>
              </w:rPr>
              <w:t xml:space="preserve">, </w:t>
            </w:r>
            <w:r w:rsidR="00907347" w:rsidRPr="00156AEF">
              <w:rPr>
                <w:sz w:val="20"/>
                <w:szCs w:val="20"/>
              </w:rPr>
              <w:t>rifampicin, and St. John’s Wort (</w:t>
            </w:r>
            <w:proofErr w:type="spellStart"/>
            <w:r w:rsidR="00907347" w:rsidRPr="00156AEF">
              <w:rPr>
                <w:i/>
                <w:sz w:val="20"/>
                <w:szCs w:val="20"/>
              </w:rPr>
              <w:t>Hypericum</w:t>
            </w:r>
            <w:proofErr w:type="spellEnd"/>
            <w:r w:rsidR="00907347" w:rsidRPr="00156AEF">
              <w:rPr>
                <w:i/>
                <w:sz w:val="20"/>
                <w:szCs w:val="20"/>
              </w:rPr>
              <w:t xml:space="preserve"> </w:t>
            </w:r>
            <w:proofErr w:type="spellStart"/>
            <w:r w:rsidR="00907347" w:rsidRPr="00156AEF">
              <w:rPr>
                <w:i/>
                <w:sz w:val="20"/>
                <w:szCs w:val="20"/>
              </w:rPr>
              <w:t>perforatum</w:t>
            </w:r>
            <w:proofErr w:type="spellEnd"/>
            <w:r w:rsidR="00907347" w:rsidRPr="00156AEF">
              <w:rPr>
                <w:sz w:val="20"/>
                <w:szCs w:val="20"/>
              </w:rPr>
              <w:t>)</w:t>
            </w:r>
          </w:p>
          <w:p w:rsidR="007A5E0D" w:rsidRPr="00156AEF" w:rsidRDefault="007A5E0D" w:rsidP="00156AEF">
            <w:pPr>
              <w:rPr>
                <w:b/>
                <w:sz w:val="20"/>
                <w:szCs w:val="20"/>
              </w:rPr>
            </w:pPr>
            <w:r w:rsidRPr="00156AEF">
              <w:rPr>
                <w:sz w:val="20"/>
                <w:szCs w:val="20"/>
              </w:rPr>
              <w:t xml:space="preserve">Concomitant use </w:t>
            </w:r>
            <w:r w:rsidR="00F67CC6" w:rsidRPr="00156AEF">
              <w:rPr>
                <w:sz w:val="20"/>
                <w:szCs w:val="20"/>
              </w:rPr>
              <w:t xml:space="preserve">with drugs that are sensitive CYP3A substrates (for example, </w:t>
            </w:r>
            <w:r w:rsidR="00DC4AC1" w:rsidRPr="00156AEF">
              <w:rPr>
                <w:sz w:val="20"/>
                <w:szCs w:val="20"/>
              </w:rPr>
              <w:t>ergotamine, lovastatin, and salmeterol)</w:t>
            </w:r>
          </w:p>
          <w:p w:rsidR="007A5E0D" w:rsidRPr="00156AEF" w:rsidRDefault="007A5E0D" w:rsidP="00156AEF">
            <w:pPr>
              <w:rPr>
                <w:b/>
                <w:sz w:val="20"/>
                <w:szCs w:val="20"/>
              </w:rPr>
            </w:pPr>
            <w:r w:rsidRPr="00156AEF">
              <w:rPr>
                <w:sz w:val="20"/>
                <w:szCs w:val="20"/>
              </w:rPr>
              <w:t xml:space="preserve">Concomitant use </w:t>
            </w:r>
            <w:r w:rsidR="00EF6208" w:rsidRPr="00156AEF">
              <w:rPr>
                <w:sz w:val="20"/>
                <w:szCs w:val="20"/>
              </w:rPr>
              <w:t>with drugs that are strong CYP3A4 inhibitors</w:t>
            </w:r>
          </w:p>
          <w:p w:rsidR="007A5E0D" w:rsidRPr="00156AEF" w:rsidRDefault="007A5E0D" w:rsidP="00156AEF">
            <w:pPr>
              <w:rPr>
                <w:b/>
                <w:sz w:val="20"/>
                <w:szCs w:val="20"/>
              </w:rPr>
            </w:pPr>
            <w:r w:rsidRPr="00156AEF">
              <w:rPr>
                <w:sz w:val="20"/>
                <w:szCs w:val="20"/>
              </w:rPr>
              <w:t xml:space="preserve">Concomitant use </w:t>
            </w:r>
            <w:r w:rsidR="003662BC" w:rsidRPr="00156AEF">
              <w:rPr>
                <w:sz w:val="20"/>
                <w:szCs w:val="20"/>
              </w:rPr>
              <w:t>with drugs that are strong CYP2C8 inhibitors (for example, gemfibrozil) with the 3-DAA regimen</w:t>
            </w:r>
          </w:p>
          <w:p w:rsidR="00237569" w:rsidRPr="00156AEF" w:rsidRDefault="00237569" w:rsidP="00156AEF">
            <w:pPr>
              <w:rPr>
                <w:b/>
                <w:sz w:val="20"/>
                <w:szCs w:val="20"/>
              </w:rPr>
            </w:pPr>
            <w:r w:rsidRPr="00156AEF">
              <w:rPr>
                <w:sz w:val="20"/>
                <w:szCs w:val="20"/>
              </w:rPr>
              <w:t xml:space="preserve">Hepatotoxicity when co-administered with </w:t>
            </w:r>
            <w:proofErr w:type="spellStart"/>
            <w:r w:rsidRPr="00156AEF">
              <w:rPr>
                <w:sz w:val="20"/>
                <w:szCs w:val="20"/>
              </w:rPr>
              <w:t>ethinyl</w:t>
            </w:r>
            <w:proofErr w:type="spellEnd"/>
            <w:r w:rsidRPr="00156AEF">
              <w:rPr>
                <w:sz w:val="20"/>
                <w:szCs w:val="20"/>
              </w:rPr>
              <w:t xml:space="preserve"> </w:t>
            </w:r>
            <w:proofErr w:type="spellStart"/>
            <w:r w:rsidRPr="00156AEF">
              <w:rPr>
                <w:sz w:val="20"/>
                <w:szCs w:val="20"/>
              </w:rPr>
              <w:t>e</w:t>
            </w:r>
            <w:r w:rsidR="001A645E" w:rsidRPr="00156AEF">
              <w:rPr>
                <w:sz w:val="20"/>
                <w:szCs w:val="20"/>
              </w:rPr>
              <w:t>stradiol</w:t>
            </w:r>
            <w:proofErr w:type="spellEnd"/>
            <w:r w:rsidR="001A645E" w:rsidRPr="00156AEF">
              <w:rPr>
                <w:sz w:val="20"/>
                <w:szCs w:val="20"/>
              </w:rPr>
              <w:t>-containing medications</w:t>
            </w:r>
          </w:p>
        </w:tc>
      </w:tr>
      <w:tr w:rsidR="00BF6E49" w:rsidRPr="00156AEF" w:rsidTr="00156AEF">
        <w:tc>
          <w:tcPr>
            <w:tcW w:w="2660" w:type="dxa"/>
          </w:tcPr>
          <w:p w:rsidR="00BF6E49" w:rsidRPr="00156AEF" w:rsidRDefault="00BF6E49" w:rsidP="00156AEF">
            <w:pPr>
              <w:rPr>
                <w:b/>
                <w:sz w:val="20"/>
                <w:szCs w:val="20"/>
              </w:rPr>
            </w:pPr>
            <w:r w:rsidRPr="00156AEF">
              <w:rPr>
                <w:sz w:val="20"/>
                <w:szCs w:val="20"/>
              </w:rPr>
              <w:t>Important potential risks</w:t>
            </w:r>
          </w:p>
        </w:tc>
        <w:tc>
          <w:tcPr>
            <w:tcW w:w="6060" w:type="dxa"/>
          </w:tcPr>
          <w:p w:rsidR="001350F6" w:rsidRPr="00156AEF" w:rsidRDefault="001350F6" w:rsidP="00156AEF">
            <w:pPr>
              <w:rPr>
                <w:b/>
                <w:sz w:val="20"/>
                <w:szCs w:val="20"/>
              </w:rPr>
            </w:pPr>
            <w:r w:rsidRPr="00156AEF">
              <w:rPr>
                <w:sz w:val="20"/>
                <w:szCs w:val="20"/>
              </w:rPr>
              <w:t>Drug-drug interactions:</w:t>
            </w:r>
          </w:p>
          <w:p w:rsidR="001350F6" w:rsidRPr="00156AEF" w:rsidRDefault="001350F6" w:rsidP="00156AEF">
            <w:pPr>
              <w:rPr>
                <w:b/>
                <w:sz w:val="20"/>
                <w:szCs w:val="20"/>
              </w:rPr>
            </w:pPr>
            <w:r w:rsidRPr="00156AEF">
              <w:rPr>
                <w:sz w:val="20"/>
                <w:szCs w:val="20"/>
              </w:rPr>
              <w:t xml:space="preserve">Concomitant use </w:t>
            </w:r>
            <w:r w:rsidR="00FB3A3B" w:rsidRPr="00156AEF">
              <w:rPr>
                <w:sz w:val="20"/>
                <w:szCs w:val="20"/>
              </w:rPr>
              <w:t>with drugs that are primarily metabolised by CYP3A and CYP2C19</w:t>
            </w:r>
            <w:r w:rsidR="00E7733A" w:rsidRPr="00156AEF">
              <w:rPr>
                <w:sz w:val="20"/>
                <w:szCs w:val="20"/>
              </w:rPr>
              <w:t xml:space="preserve">; drugs that are sensitive </w:t>
            </w:r>
            <w:r w:rsidR="00262F63" w:rsidRPr="00156AEF">
              <w:rPr>
                <w:sz w:val="20"/>
                <w:szCs w:val="20"/>
              </w:rPr>
              <w:t>substrates of UGT1A1; drugs that are substrates of BCRP, OCT1, OATP1B1/1B3, or P-</w:t>
            </w:r>
            <w:proofErr w:type="spellStart"/>
            <w:r w:rsidR="00262F63" w:rsidRPr="00156AEF">
              <w:rPr>
                <w:sz w:val="20"/>
                <w:szCs w:val="20"/>
              </w:rPr>
              <w:t>gp</w:t>
            </w:r>
            <w:proofErr w:type="spellEnd"/>
            <w:r w:rsidR="00262F63" w:rsidRPr="00156AEF">
              <w:rPr>
                <w:sz w:val="20"/>
                <w:szCs w:val="20"/>
              </w:rPr>
              <w:t>, including antiretroviral regimens that contain ritonavir; or immunosuppressant medications</w:t>
            </w:r>
          </w:p>
          <w:p w:rsidR="00BF6E49" w:rsidRPr="00156AEF" w:rsidRDefault="001350F6" w:rsidP="00156AEF">
            <w:pPr>
              <w:rPr>
                <w:b/>
                <w:sz w:val="20"/>
                <w:szCs w:val="20"/>
              </w:rPr>
            </w:pPr>
            <w:r w:rsidRPr="00156AEF">
              <w:rPr>
                <w:sz w:val="20"/>
                <w:szCs w:val="20"/>
              </w:rPr>
              <w:t xml:space="preserve">Hepatotoxicity </w:t>
            </w:r>
            <w:r w:rsidR="00877A6B" w:rsidRPr="00156AEF">
              <w:rPr>
                <w:sz w:val="20"/>
                <w:szCs w:val="20"/>
              </w:rPr>
              <w:t xml:space="preserve">among non-users of </w:t>
            </w:r>
            <w:proofErr w:type="spellStart"/>
            <w:r w:rsidR="00877A6B" w:rsidRPr="00156AEF">
              <w:rPr>
                <w:sz w:val="20"/>
                <w:szCs w:val="20"/>
              </w:rPr>
              <w:t>ethinyl</w:t>
            </w:r>
            <w:proofErr w:type="spellEnd"/>
            <w:r w:rsidR="00877A6B" w:rsidRPr="00156AEF">
              <w:rPr>
                <w:sz w:val="20"/>
                <w:szCs w:val="20"/>
              </w:rPr>
              <w:t xml:space="preserve"> </w:t>
            </w:r>
            <w:proofErr w:type="spellStart"/>
            <w:r w:rsidR="00877A6B" w:rsidRPr="00156AEF">
              <w:rPr>
                <w:sz w:val="20"/>
                <w:szCs w:val="20"/>
              </w:rPr>
              <w:t>estradiol</w:t>
            </w:r>
            <w:proofErr w:type="spellEnd"/>
            <w:r w:rsidR="00877A6B" w:rsidRPr="00156AEF">
              <w:rPr>
                <w:sz w:val="20"/>
                <w:szCs w:val="20"/>
              </w:rPr>
              <w:t>-containing medications</w:t>
            </w:r>
          </w:p>
          <w:p w:rsidR="00877A6B" w:rsidRPr="00156AEF" w:rsidRDefault="00C4078E" w:rsidP="00156AEF">
            <w:pPr>
              <w:rPr>
                <w:b/>
                <w:sz w:val="20"/>
                <w:szCs w:val="20"/>
              </w:rPr>
            </w:pPr>
            <w:r w:rsidRPr="00156AEF">
              <w:rPr>
                <w:sz w:val="20"/>
                <w:szCs w:val="20"/>
              </w:rPr>
              <w:t>Potential for off-label use including:</w:t>
            </w:r>
          </w:p>
          <w:p w:rsidR="00B3306E" w:rsidRPr="00156AEF" w:rsidRDefault="00B3306E" w:rsidP="00156AEF">
            <w:pPr>
              <w:rPr>
                <w:b/>
                <w:sz w:val="20"/>
                <w:szCs w:val="20"/>
              </w:rPr>
            </w:pPr>
            <w:r w:rsidRPr="00156AEF">
              <w:rPr>
                <w:sz w:val="20"/>
                <w:szCs w:val="20"/>
              </w:rPr>
              <w:t>Use of the DAA regimen in patients with genotypes other than those specified in applicable product labelling</w:t>
            </w:r>
          </w:p>
          <w:p w:rsidR="00B3306E" w:rsidRPr="00156AEF" w:rsidRDefault="00B3306E" w:rsidP="00156AEF">
            <w:pPr>
              <w:rPr>
                <w:b/>
                <w:sz w:val="20"/>
                <w:szCs w:val="20"/>
              </w:rPr>
            </w:pPr>
            <w:r w:rsidRPr="00156AEF">
              <w:rPr>
                <w:sz w:val="20"/>
                <w:szCs w:val="20"/>
              </w:rPr>
              <w:t>Use in other DAA combinations</w:t>
            </w:r>
          </w:p>
          <w:p w:rsidR="00B3306E" w:rsidRPr="00156AEF" w:rsidRDefault="00113656" w:rsidP="00156AEF">
            <w:pPr>
              <w:rPr>
                <w:b/>
                <w:sz w:val="20"/>
                <w:szCs w:val="20"/>
              </w:rPr>
            </w:pPr>
            <w:r w:rsidRPr="00156AEF">
              <w:rPr>
                <w:sz w:val="20"/>
                <w:szCs w:val="20"/>
              </w:rPr>
              <w:t>Use in paediatric patients</w:t>
            </w:r>
          </w:p>
          <w:p w:rsidR="00B3306E" w:rsidRPr="00156AEF" w:rsidRDefault="00113656" w:rsidP="00156AEF">
            <w:pPr>
              <w:rPr>
                <w:b/>
                <w:sz w:val="20"/>
                <w:szCs w:val="20"/>
              </w:rPr>
            </w:pPr>
            <w:r w:rsidRPr="00156AEF">
              <w:rPr>
                <w:sz w:val="20"/>
                <w:szCs w:val="20"/>
              </w:rPr>
              <w:t>Medication errors</w:t>
            </w:r>
          </w:p>
          <w:p w:rsidR="00113656" w:rsidRPr="00156AEF" w:rsidRDefault="008C763B" w:rsidP="00156AEF">
            <w:pPr>
              <w:rPr>
                <w:b/>
                <w:sz w:val="20"/>
                <w:szCs w:val="20"/>
              </w:rPr>
            </w:pPr>
            <w:r w:rsidRPr="00156AEF">
              <w:rPr>
                <w:sz w:val="20"/>
                <w:szCs w:val="20"/>
              </w:rPr>
              <w:t>Risk of resistance development</w:t>
            </w:r>
          </w:p>
          <w:p w:rsidR="00C4078E" w:rsidRPr="00156AEF" w:rsidRDefault="008C763B" w:rsidP="00156AEF">
            <w:pPr>
              <w:rPr>
                <w:b/>
                <w:sz w:val="20"/>
                <w:szCs w:val="20"/>
              </w:rPr>
            </w:pPr>
            <w:r w:rsidRPr="00156AEF">
              <w:rPr>
                <w:sz w:val="20"/>
                <w:szCs w:val="20"/>
              </w:rPr>
              <w:t>Foetal development toxicity (</w:t>
            </w:r>
            <w:proofErr w:type="spellStart"/>
            <w:r w:rsidRPr="00156AEF">
              <w:rPr>
                <w:sz w:val="20"/>
                <w:szCs w:val="20"/>
              </w:rPr>
              <w:t>ombitasvir</w:t>
            </w:r>
            <w:proofErr w:type="spellEnd"/>
            <w:r w:rsidRPr="00156AEF">
              <w:rPr>
                <w:sz w:val="20"/>
                <w:szCs w:val="20"/>
              </w:rPr>
              <w:t>/</w:t>
            </w:r>
            <w:proofErr w:type="spellStart"/>
            <w:r w:rsidRPr="00156AEF">
              <w:rPr>
                <w:sz w:val="20"/>
                <w:szCs w:val="20"/>
              </w:rPr>
              <w:t>paritaprevir</w:t>
            </w:r>
            <w:proofErr w:type="spellEnd"/>
            <w:r w:rsidRPr="00156AEF">
              <w:rPr>
                <w:sz w:val="20"/>
                <w:szCs w:val="20"/>
              </w:rPr>
              <w:t>/ritonavir only; added to the EU RMP per CHMP request)</w:t>
            </w:r>
          </w:p>
        </w:tc>
      </w:tr>
      <w:tr w:rsidR="00BF6E49" w:rsidRPr="00156AEF" w:rsidTr="00156AEF">
        <w:tc>
          <w:tcPr>
            <w:tcW w:w="2660" w:type="dxa"/>
          </w:tcPr>
          <w:p w:rsidR="00BF6E49" w:rsidRPr="00156AEF" w:rsidRDefault="00023A7C" w:rsidP="00156AEF">
            <w:pPr>
              <w:rPr>
                <w:b/>
                <w:sz w:val="20"/>
                <w:szCs w:val="20"/>
              </w:rPr>
            </w:pPr>
            <w:r w:rsidRPr="00156AEF">
              <w:rPr>
                <w:sz w:val="20"/>
                <w:szCs w:val="20"/>
              </w:rPr>
              <w:t>Important m</w:t>
            </w:r>
            <w:r w:rsidR="00BF6E49" w:rsidRPr="00156AEF">
              <w:rPr>
                <w:sz w:val="20"/>
                <w:szCs w:val="20"/>
              </w:rPr>
              <w:t>issing information</w:t>
            </w:r>
          </w:p>
        </w:tc>
        <w:tc>
          <w:tcPr>
            <w:tcW w:w="6060" w:type="dxa"/>
          </w:tcPr>
          <w:p w:rsidR="00BF6E49" w:rsidRPr="00156AEF" w:rsidRDefault="00FA4078" w:rsidP="00156AEF">
            <w:pPr>
              <w:rPr>
                <w:b/>
                <w:sz w:val="20"/>
                <w:szCs w:val="20"/>
              </w:rPr>
            </w:pPr>
            <w:r w:rsidRPr="00156AEF">
              <w:rPr>
                <w:sz w:val="20"/>
                <w:szCs w:val="20"/>
              </w:rPr>
              <w:t>Safety in patients with hepatic impairment (Child-Pugh B)</w:t>
            </w:r>
          </w:p>
          <w:p w:rsidR="00FA4078" w:rsidRPr="00156AEF" w:rsidRDefault="00FA4078" w:rsidP="00156AEF">
            <w:pPr>
              <w:rPr>
                <w:b/>
                <w:sz w:val="20"/>
                <w:szCs w:val="20"/>
              </w:rPr>
            </w:pPr>
            <w:r w:rsidRPr="00156AEF">
              <w:rPr>
                <w:sz w:val="20"/>
                <w:szCs w:val="20"/>
              </w:rPr>
              <w:t>Safety in patients with renal impairment (creatinine clearance &lt; 60 mL/min)</w:t>
            </w:r>
          </w:p>
          <w:p w:rsidR="00FA4078" w:rsidRPr="00156AEF" w:rsidRDefault="00F775F3" w:rsidP="00156AEF">
            <w:pPr>
              <w:rPr>
                <w:b/>
                <w:sz w:val="20"/>
                <w:szCs w:val="20"/>
              </w:rPr>
            </w:pPr>
            <w:r w:rsidRPr="00156AEF">
              <w:rPr>
                <w:sz w:val="20"/>
                <w:szCs w:val="20"/>
              </w:rPr>
              <w:t>Safety in post live transplant patients</w:t>
            </w:r>
          </w:p>
          <w:p w:rsidR="00F775F3" w:rsidRPr="00156AEF" w:rsidRDefault="00F775F3" w:rsidP="00156AEF">
            <w:pPr>
              <w:rPr>
                <w:b/>
                <w:sz w:val="20"/>
                <w:szCs w:val="20"/>
              </w:rPr>
            </w:pPr>
            <w:r w:rsidRPr="00156AEF">
              <w:rPr>
                <w:sz w:val="20"/>
                <w:szCs w:val="20"/>
              </w:rPr>
              <w:t>Safety in patients co-infected with HIV-1</w:t>
            </w:r>
          </w:p>
          <w:p w:rsidR="00F775F3" w:rsidRPr="00156AEF" w:rsidRDefault="0092292F" w:rsidP="00156AEF">
            <w:pPr>
              <w:rPr>
                <w:b/>
                <w:sz w:val="20"/>
                <w:szCs w:val="20"/>
              </w:rPr>
            </w:pPr>
            <w:r w:rsidRPr="00156AEF">
              <w:rPr>
                <w:sz w:val="20"/>
                <w:szCs w:val="20"/>
              </w:rPr>
              <w:t>Safety in pregnancy in patients using a DAA regimen</w:t>
            </w:r>
            <w:r w:rsidR="007F3C35" w:rsidRPr="00156AEF">
              <w:rPr>
                <w:sz w:val="20"/>
                <w:szCs w:val="20"/>
              </w:rPr>
              <w:t xml:space="preserve"> without RBV</w:t>
            </w:r>
          </w:p>
          <w:p w:rsidR="007F3C35" w:rsidRPr="00156AEF" w:rsidRDefault="007F3C35" w:rsidP="00156AEF">
            <w:pPr>
              <w:rPr>
                <w:b/>
                <w:sz w:val="20"/>
                <w:szCs w:val="20"/>
              </w:rPr>
            </w:pPr>
            <w:r w:rsidRPr="00156AEF">
              <w:rPr>
                <w:sz w:val="20"/>
                <w:szCs w:val="20"/>
              </w:rPr>
              <w:t>Safety in patients co-infected with HBV</w:t>
            </w:r>
          </w:p>
          <w:p w:rsidR="007F3C35" w:rsidRPr="00156AEF" w:rsidRDefault="007F3C35" w:rsidP="00156AEF">
            <w:pPr>
              <w:rPr>
                <w:b/>
                <w:sz w:val="20"/>
                <w:szCs w:val="20"/>
              </w:rPr>
            </w:pPr>
            <w:r w:rsidRPr="00156AEF">
              <w:rPr>
                <w:sz w:val="20"/>
                <w:szCs w:val="20"/>
              </w:rPr>
              <w:t>Safety in elderly patients</w:t>
            </w:r>
          </w:p>
          <w:p w:rsidR="007F3C35" w:rsidRPr="00156AEF" w:rsidRDefault="00884969" w:rsidP="00156AEF">
            <w:pPr>
              <w:rPr>
                <w:b/>
                <w:sz w:val="20"/>
                <w:szCs w:val="20"/>
              </w:rPr>
            </w:pPr>
            <w:r w:rsidRPr="00156AEF">
              <w:rPr>
                <w:sz w:val="20"/>
                <w:szCs w:val="20"/>
              </w:rPr>
              <w:t>Safety in patients who have failed prior DAA treatments</w:t>
            </w:r>
          </w:p>
          <w:p w:rsidR="00884969" w:rsidRPr="00156AEF" w:rsidRDefault="00884969" w:rsidP="00156AEF">
            <w:pPr>
              <w:rPr>
                <w:b/>
                <w:sz w:val="20"/>
                <w:szCs w:val="20"/>
              </w:rPr>
            </w:pPr>
            <w:r w:rsidRPr="00156AEF">
              <w:rPr>
                <w:sz w:val="20"/>
                <w:szCs w:val="20"/>
              </w:rPr>
              <w:t>Safety in GT4-infected patients with cirrhosis (Note: this applies to regions where the 2-DAA regimen is approved for GT4)</w:t>
            </w:r>
          </w:p>
        </w:tc>
      </w:tr>
    </w:tbl>
    <w:p w:rsidR="00F10B50" w:rsidRDefault="00F10B50" w:rsidP="00F10B50">
      <w:pPr>
        <w:pStyle w:val="Heading5"/>
      </w:pPr>
      <w:r w:rsidRPr="00F10B50">
        <w:lastRenderedPageBreak/>
        <w:t>RMP evaluator comment</w:t>
      </w:r>
    </w:p>
    <w:p w:rsidR="00063E9B" w:rsidRPr="00063E9B" w:rsidRDefault="00063E9B" w:rsidP="00063E9B">
      <w:r w:rsidRPr="00063E9B">
        <w:t>Subject to the evaluation of the nonclinical and clinical aspects of the Safety Specification, this is considered acceptable.</w:t>
      </w:r>
    </w:p>
    <w:p w:rsidR="008E7846" w:rsidRDefault="008E7846" w:rsidP="008E7846">
      <w:pPr>
        <w:pStyle w:val="Heading4"/>
        <w:rPr>
          <w:lang w:eastAsia="en-AU"/>
        </w:rPr>
      </w:pPr>
      <w:r>
        <w:rPr>
          <w:lang w:eastAsia="en-AU"/>
        </w:rPr>
        <w:t xml:space="preserve">Pharmacovigilance </w:t>
      </w:r>
      <w:r w:rsidR="003A7F6C">
        <w:rPr>
          <w:lang w:eastAsia="en-AU"/>
        </w:rPr>
        <w:t>p</w:t>
      </w:r>
      <w:r>
        <w:rPr>
          <w:lang w:eastAsia="en-AU"/>
        </w:rPr>
        <w:t>lan</w:t>
      </w:r>
    </w:p>
    <w:p w:rsidR="00B5571D" w:rsidRPr="00B5571D" w:rsidRDefault="00B5571D" w:rsidP="00B5571D">
      <w:r w:rsidRPr="00B5571D">
        <w:t>The sponsor proposes routine</w:t>
      </w:r>
      <w:r>
        <w:rPr>
          <w:rStyle w:val="FootnoteReference"/>
        </w:rPr>
        <w:footnoteReference w:id="2"/>
      </w:r>
      <w:r w:rsidRPr="00B5571D">
        <w:t xml:space="preserve"> and additional pharmacovigilance </w:t>
      </w:r>
      <w:r w:rsidR="004D759B">
        <w:t>activities</w:t>
      </w:r>
      <w:r w:rsidRPr="00B5571D">
        <w:t>.</w:t>
      </w:r>
    </w:p>
    <w:p w:rsidR="00A3009A" w:rsidRDefault="00A3009A" w:rsidP="00A3009A">
      <w:pPr>
        <w:pStyle w:val="Heading5"/>
      </w:pPr>
      <w:r w:rsidRPr="00F10B50">
        <w:t>RMP evaluator comment</w:t>
      </w:r>
    </w:p>
    <w:p w:rsidR="00B5571D" w:rsidRPr="00B5571D" w:rsidRDefault="00B5571D" w:rsidP="00B5571D">
      <w:r w:rsidRPr="00B5571D">
        <w:t>The proposed pharmacovigilance plan appears reasonable and is considered acceptable at this stage. More recommendations may be made at the Round 2 stage.</w:t>
      </w:r>
    </w:p>
    <w:p w:rsidR="008E7846" w:rsidRDefault="008E7846" w:rsidP="008E7846">
      <w:pPr>
        <w:pStyle w:val="Heading4"/>
        <w:rPr>
          <w:lang w:eastAsia="en-AU"/>
        </w:rPr>
      </w:pPr>
      <w:r>
        <w:rPr>
          <w:lang w:eastAsia="en-AU"/>
        </w:rPr>
        <w:t xml:space="preserve">Risk </w:t>
      </w:r>
      <w:r w:rsidR="003A7F6C">
        <w:rPr>
          <w:lang w:eastAsia="en-AU"/>
        </w:rPr>
        <w:t>m</w:t>
      </w:r>
      <w:r>
        <w:rPr>
          <w:lang w:eastAsia="en-AU"/>
        </w:rPr>
        <w:t xml:space="preserve">inimisation </w:t>
      </w:r>
      <w:r w:rsidR="003A7F6C">
        <w:rPr>
          <w:lang w:eastAsia="en-AU"/>
        </w:rPr>
        <w:t>a</w:t>
      </w:r>
      <w:r>
        <w:rPr>
          <w:lang w:eastAsia="en-AU"/>
        </w:rPr>
        <w:t>ctivities</w:t>
      </w:r>
    </w:p>
    <w:p w:rsidR="00B5571D" w:rsidRPr="00B5571D" w:rsidRDefault="00A3009A" w:rsidP="00B5571D">
      <w:r w:rsidRPr="00B5571D">
        <w:t>The sponsor has proposed routine risk minimisation.</w:t>
      </w:r>
      <w:r w:rsidR="00B5571D">
        <w:rPr>
          <w:rStyle w:val="FootnoteReference"/>
        </w:rPr>
        <w:footnoteReference w:id="3"/>
      </w:r>
      <w:r w:rsidRPr="00B5571D">
        <w:t xml:space="preserve"> </w:t>
      </w:r>
      <w:r w:rsidR="00B5571D" w:rsidRPr="00B5571D">
        <w:t>The sponsor is not proposing additional risk minimisation activities.</w:t>
      </w:r>
    </w:p>
    <w:p w:rsidR="00A3009A" w:rsidRDefault="00A3009A" w:rsidP="00A3009A">
      <w:pPr>
        <w:pStyle w:val="Heading5"/>
      </w:pPr>
      <w:r w:rsidRPr="00F10B50">
        <w:t>RMP evaluator comment</w:t>
      </w:r>
    </w:p>
    <w:p w:rsidR="00B5571D" w:rsidRPr="00B5571D" w:rsidRDefault="00B5571D" w:rsidP="00B5571D">
      <w:r w:rsidRPr="00B5571D">
        <w:t>The sponsor’s conclusion is satisfactory in the context of this application.</w:t>
      </w:r>
    </w:p>
    <w:p w:rsidR="006F25B8" w:rsidRDefault="006F25B8" w:rsidP="006F25B8">
      <w:pPr>
        <w:pStyle w:val="Heading4"/>
        <w:rPr>
          <w:lang w:eastAsia="en-AU"/>
        </w:rPr>
      </w:pPr>
      <w:bookmarkStart w:id="148" w:name="_Toc247691527"/>
      <w:r w:rsidRPr="006F25B8">
        <w:rPr>
          <w:lang w:eastAsia="en-AU"/>
        </w:rPr>
        <w:t xml:space="preserve">Reconciliation of issues outlined in the RMP report </w:t>
      </w:r>
    </w:p>
    <w:p w:rsidR="00F1158B" w:rsidRDefault="00F1158B" w:rsidP="00F1158B">
      <w:pPr>
        <w:rPr>
          <w:lang w:eastAsia="en-AU"/>
        </w:rPr>
      </w:pPr>
      <w:r>
        <w:rPr>
          <w:lang w:eastAsia="en-AU"/>
        </w:rPr>
        <w:t>The following section summarises the first round evaluation of the RMP, the sponsor’s responses to issues raised by the TGA RMP reviewer, and the RMP reviewer’s evaluation of the sponsor’s responses.</w:t>
      </w:r>
    </w:p>
    <w:p w:rsidR="00A61AD1" w:rsidRDefault="00A61AD1" w:rsidP="00A61AD1">
      <w:pPr>
        <w:pStyle w:val="Heading5"/>
      </w:pPr>
      <w:r w:rsidRPr="00A24C10">
        <w:t xml:space="preserve">Recommendation </w:t>
      </w:r>
      <w:r>
        <w:t xml:space="preserve">#1 </w:t>
      </w:r>
      <w:r w:rsidRPr="00A24C10">
        <w:t>in RMP evaluation report</w:t>
      </w:r>
    </w:p>
    <w:p w:rsidR="00A61AD1" w:rsidRPr="004F4614" w:rsidRDefault="004F4614" w:rsidP="004F4614">
      <w:r w:rsidRPr="004F4614">
        <w:t xml:space="preserve">Safety considerations may be raised by the nonclinical and clinical evaluators through the consolidated </w:t>
      </w:r>
      <w:r w:rsidR="002321A5">
        <w:t>S</w:t>
      </w:r>
      <w:r w:rsidRPr="004F4614">
        <w:t xml:space="preserve">ection 31 request and/or the </w:t>
      </w:r>
      <w:r w:rsidR="002321A5">
        <w:t>n</w:t>
      </w:r>
      <w:r w:rsidRPr="004F4614">
        <w:t xml:space="preserve">onclinical and </w:t>
      </w:r>
      <w:r w:rsidR="002321A5">
        <w:t>c</w:t>
      </w:r>
      <w:r w:rsidRPr="004F4614">
        <w:t xml:space="preserve">linical </w:t>
      </w:r>
      <w:r w:rsidR="002321A5">
        <w:t>e</w:t>
      </w:r>
      <w:r w:rsidRPr="004F4614">
        <w:t>v</w:t>
      </w:r>
      <w:r>
        <w:t xml:space="preserve">aluation </w:t>
      </w:r>
      <w:r w:rsidR="002321A5">
        <w:t>r</w:t>
      </w:r>
      <w:r>
        <w:t xml:space="preserve">eports respectively. </w:t>
      </w:r>
      <w:r w:rsidRPr="004F4614">
        <w:t xml:space="preserve">It is important to ensure that the information provided in response to these includes a consideration of the relevance for the </w:t>
      </w:r>
      <w:r w:rsidR="002321A5">
        <w:t>RMP</w:t>
      </w:r>
      <w:r w:rsidRPr="004F4614">
        <w:t>, and any specific information needed to address this issue in the RMP. For any safety considerations so raised, please provide information that is relevant and necessary to address the issue in the RMP.</w:t>
      </w:r>
    </w:p>
    <w:p w:rsidR="00A61AD1" w:rsidRDefault="00A61AD1" w:rsidP="00A61AD1">
      <w:pPr>
        <w:pStyle w:val="Heading5"/>
      </w:pPr>
      <w:r>
        <w:t>Sponsor response</w:t>
      </w:r>
    </w:p>
    <w:p w:rsidR="00A61AD1" w:rsidRPr="002C242A" w:rsidRDefault="004F4614" w:rsidP="00A61AD1">
      <w:r w:rsidRPr="004F4614">
        <w:t xml:space="preserve">AbbVie has reviewed the safety considerations raised by nonclinical and clinical evaluators in the consolidated </w:t>
      </w:r>
      <w:r w:rsidR="005844D9">
        <w:t>Section 31 request and/or the n</w:t>
      </w:r>
      <w:r w:rsidRPr="004F4614">
        <w:t xml:space="preserve">onclinical and </w:t>
      </w:r>
      <w:r w:rsidR="005844D9">
        <w:t>c</w:t>
      </w:r>
      <w:r w:rsidRPr="004F4614">
        <w:t xml:space="preserve">linical </w:t>
      </w:r>
      <w:r w:rsidR="005844D9">
        <w:t>e</w:t>
      </w:r>
      <w:r w:rsidRPr="004F4614">
        <w:t xml:space="preserve">valuation </w:t>
      </w:r>
      <w:r w:rsidR="005844D9">
        <w:t>r</w:t>
      </w:r>
      <w:r w:rsidRPr="004F4614">
        <w:t xml:space="preserve">eports. No safety issues were identified relevant to be addressed in the </w:t>
      </w:r>
      <w:r w:rsidR="005844D9">
        <w:t>RMPs</w:t>
      </w:r>
      <w:r w:rsidRPr="004F4614">
        <w:t>. However, since safety data are deemed sufficient to support an application for an indication in GT4-infected patients with compensated cirrhosis, AbbVie has determined that this prior safety concern should no longer be considered missing information. Therefore, the Missing Information Safety Concern of "Safety in GT4</w:t>
      </w:r>
      <w:r w:rsidR="006079E5">
        <w:t>-</w:t>
      </w:r>
      <w:r w:rsidRPr="004F4614">
        <w:t xml:space="preserve">infected patients with cirrhosis" has been removed in the updated </w:t>
      </w:r>
      <w:r w:rsidR="00324C5E">
        <w:t>RMP</w:t>
      </w:r>
      <w:r w:rsidRPr="004F4614">
        <w:t>.</w:t>
      </w:r>
    </w:p>
    <w:p w:rsidR="00A61AD1" w:rsidRDefault="00A61AD1" w:rsidP="00A61AD1">
      <w:pPr>
        <w:pStyle w:val="Heading5"/>
      </w:pPr>
      <w:r>
        <w:t>Evaluator’s comment</w:t>
      </w:r>
    </w:p>
    <w:p w:rsidR="00A61AD1" w:rsidRDefault="004F4614" w:rsidP="00A61AD1">
      <w:pPr>
        <w:rPr>
          <w:lang w:eastAsia="en-AU"/>
        </w:rPr>
      </w:pPr>
      <w:r w:rsidRPr="004F4614">
        <w:rPr>
          <w:lang w:eastAsia="en-AU"/>
        </w:rPr>
        <w:t xml:space="preserve">The sponsor’s response to this recommendation is considered adequate as there were no recommendations in the nonclinical or clinical evaluation reports that required update to </w:t>
      </w:r>
      <w:r w:rsidRPr="004F4614">
        <w:rPr>
          <w:lang w:eastAsia="en-AU"/>
        </w:rPr>
        <w:lastRenderedPageBreak/>
        <w:t>the RMP. The justification for removing GT4-infected patients from the missing information is considered appropriate, given the application for use in this patient group. Risks associated with use in patients with cirrhosis are addressed by information in the PI.</w:t>
      </w:r>
    </w:p>
    <w:p w:rsidR="00C61C9B" w:rsidRDefault="00C61C9B" w:rsidP="00C61C9B">
      <w:pPr>
        <w:pStyle w:val="Heading5"/>
      </w:pPr>
      <w:r w:rsidRPr="00A24C10">
        <w:t xml:space="preserve">Recommendation </w:t>
      </w:r>
      <w:r>
        <w:t xml:space="preserve">#2 </w:t>
      </w:r>
      <w:r w:rsidRPr="00A24C10">
        <w:t>in RMP evaluation report</w:t>
      </w:r>
    </w:p>
    <w:p w:rsidR="00C61C9B" w:rsidRPr="000B2059" w:rsidRDefault="004F4614" w:rsidP="00C61C9B">
      <w:r w:rsidRPr="004F4614">
        <w:t>‘</w:t>
      </w:r>
      <w:r w:rsidR="009E5F1A">
        <w:t xml:space="preserve">Section </w:t>
      </w:r>
      <w:r w:rsidRPr="004F4614">
        <w:t xml:space="preserve">VI.2.7 Summary of Changes to the Risk Management Plan </w:t>
      </w:r>
      <w:proofErr w:type="gramStart"/>
      <w:r w:rsidRPr="004F4614">
        <w:t>Over</w:t>
      </w:r>
      <w:proofErr w:type="gramEnd"/>
      <w:r w:rsidRPr="004F4614">
        <w:t xml:space="preserve"> Time’ should be populated with relevant information.</w:t>
      </w:r>
    </w:p>
    <w:p w:rsidR="00C61C9B" w:rsidRDefault="00C61C9B" w:rsidP="00C61C9B">
      <w:pPr>
        <w:pStyle w:val="Heading5"/>
      </w:pPr>
      <w:r>
        <w:t>Sponsor response</w:t>
      </w:r>
    </w:p>
    <w:p w:rsidR="00C61C9B" w:rsidRPr="002C242A" w:rsidRDefault="00432683" w:rsidP="00C61C9B">
      <w:r w:rsidRPr="00432683">
        <w:t xml:space="preserve">AbbVie has updated </w:t>
      </w:r>
      <w:r w:rsidR="003E526C">
        <w:t>‘</w:t>
      </w:r>
      <w:r w:rsidRPr="00432683">
        <w:t xml:space="preserve">Section VI.27. Summary of Changes to the Risk Management Plan </w:t>
      </w:r>
      <w:proofErr w:type="gramStart"/>
      <w:r w:rsidRPr="00432683">
        <w:t>Over</w:t>
      </w:r>
      <w:proofErr w:type="gramEnd"/>
      <w:r w:rsidRPr="00432683">
        <w:t xml:space="preserve"> Time</w:t>
      </w:r>
      <w:r w:rsidR="003E526C">
        <w:t>’</w:t>
      </w:r>
      <w:r w:rsidRPr="00432683">
        <w:t xml:space="preserve">. An updated version of the </w:t>
      </w:r>
      <w:r w:rsidR="003E526C">
        <w:t>RMP</w:t>
      </w:r>
      <w:r w:rsidRPr="00432683">
        <w:t xml:space="preserve">, with the </w:t>
      </w:r>
      <w:r w:rsidR="00B01F2B">
        <w:t>ASA</w:t>
      </w:r>
      <w:r w:rsidRPr="00432683">
        <w:t xml:space="preserve">, is provided as part of AbbVie's response to </w:t>
      </w:r>
      <w:r w:rsidR="006819D7">
        <w:t>RMP</w:t>
      </w:r>
      <w:r w:rsidRPr="00432683">
        <w:t xml:space="preserve"> Evaluation Report.</w:t>
      </w:r>
    </w:p>
    <w:p w:rsidR="00C61C9B" w:rsidRDefault="00C61C9B" w:rsidP="00C61C9B">
      <w:pPr>
        <w:pStyle w:val="Heading5"/>
      </w:pPr>
      <w:r>
        <w:t>Evaluator’s comment</w:t>
      </w:r>
    </w:p>
    <w:p w:rsidR="00C61C9B" w:rsidRPr="00DC7A1B" w:rsidRDefault="00432683" w:rsidP="00DC7A1B">
      <w:r w:rsidRPr="00DC7A1B">
        <w:t>The evaluator notes the updated table and this is adequate for this recommendation.</w:t>
      </w:r>
    </w:p>
    <w:p w:rsidR="00C61C9B" w:rsidRDefault="00C61C9B" w:rsidP="00C61C9B">
      <w:pPr>
        <w:pStyle w:val="Heading5"/>
      </w:pPr>
      <w:r w:rsidRPr="00A24C10">
        <w:t xml:space="preserve">Recommendation </w:t>
      </w:r>
      <w:r>
        <w:t xml:space="preserve">#3 </w:t>
      </w:r>
      <w:r w:rsidRPr="00A24C10">
        <w:t>in RMP evaluation report</w:t>
      </w:r>
    </w:p>
    <w:p w:rsidR="00C61C9B" w:rsidRPr="000B2059" w:rsidRDefault="00DC7A1B" w:rsidP="00C61C9B">
      <w:r w:rsidRPr="00DC7A1B">
        <w:t xml:space="preserve">In the ‘Precautions’ section, under the ‘Use in Pregnancy’ heading, the sponsor should make reference to </w:t>
      </w:r>
      <w:r w:rsidR="00CC7518">
        <w:t>RBV</w:t>
      </w:r>
      <w:r w:rsidRPr="00DC7A1B">
        <w:t xml:space="preserve"> and its pregnancy category, its teratogenic and </w:t>
      </w:r>
      <w:proofErr w:type="spellStart"/>
      <w:r w:rsidRPr="00DC7A1B">
        <w:t>embryocidal</w:t>
      </w:r>
      <w:proofErr w:type="spellEnd"/>
      <w:r w:rsidRPr="00DC7A1B">
        <w:t xml:space="preserve"> potential, and the need for effective contraception.</w:t>
      </w:r>
    </w:p>
    <w:p w:rsidR="00C61C9B" w:rsidRDefault="00C61C9B" w:rsidP="00C61C9B">
      <w:pPr>
        <w:pStyle w:val="Heading5"/>
      </w:pPr>
      <w:r>
        <w:t>Sponsor response</w:t>
      </w:r>
    </w:p>
    <w:p w:rsidR="00C61C9B" w:rsidRPr="002C242A" w:rsidRDefault="00290699" w:rsidP="00C61C9B">
      <w:r>
        <w:t>AbbVie</w:t>
      </w:r>
      <w:r w:rsidR="00DC7A1B" w:rsidRPr="00DC7A1B">
        <w:t xml:space="preserve"> agrees with the requested revision. Please refer to the updated product information submitted with this response.</w:t>
      </w:r>
    </w:p>
    <w:p w:rsidR="00C61C9B" w:rsidRDefault="00C61C9B" w:rsidP="00C61C9B">
      <w:pPr>
        <w:pStyle w:val="Heading5"/>
      </w:pPr>
      <w:r>
        <w:t>Evaluator’s comment</w:t>
      </w:r>
    </w:p>
    <w:p w:rsidR="00C61C9B" w:rsidRDefault="00DC7A1B" w:rsidP="00C61C9B">
      <w:pPr>
        <w:rPr>
          <w:lang w:eastAsia="en-AU"/>
        </w:rPr>
      </w:pPr>
      <w:r w:rsidRPr="00DC7A1B">
        <w:rPr>
          <w:lang w:eastAsia="en-AU"/>
        </w:rPr>
        <w:t>The evaluator has reviewed the updated PI; it adequately addresses this recommendation.</w:t>
      </w:r>
    </w:p>
    <w:p w:rsidR="008E7846" w:rsidRDefault="008E7846" w:rsidP="008E7846">
      <w:pPr>
        <w:pStyle w:val="Heading4"/>
        <w:rPr>
          <w:lang w:eastAsia="en-AU"/>
        </w:rPr>
      </w:pPr>
      <w:r>
        <w:rPr>
          <w:lang w:eastAsia="en-AU"/>
        </w:rPr>
        <w:t xml:space="preserve">Summary of </w:t>
      </w:r>
      <w:r w:rsidR="003A7F6C">
        <w:rPr>
          <w:lang w:eastAsia="en-AU"/>
        </w:rPr>
        <w:t>r</w:t>
      </w:r>
      <w:r>
        <w:rPr>
          <w:lang w:eastAsia="en-AU"/>
        </w:rPr>
        <w:t>ecommendations</w:t>
      </w:r>
    </w:p>
    <w:p w:rsidR="00085175" w:rsidRPr="00107999" w:rsidRDefault="00085175" w:rsidP="00085175">
      <w:pPr>
        <w:pStyle w:val="Heading5"/>
      </w:pPr>
      <w:r w:rsidRPr="00107999">
        <w:t>Outstanding issues</w:t>
      </w:r>
    </w:p>
    <w:p w:rsidR="00085175" w:rsidRPr="009F15FD" w:rsidRDefault="00085175" w:rsidP="00085175">
      <w:pPr>
        <w:pStyle w:val="Heading6"/>
      </w:pPr>
      <w:r w:rsidRPr="009F15FD">
        <w:t xml:space="preserve">Issues in relation to the RMP </w:t>
      </w:r>
    </w:p>
    <w:p w:rsidR="00DC7A1B" w:rsidRPr="00DC7A1B" w:rsidRDefault="00DC7A1B" w:rsidP="00DC7A1B">
      <w:r w:rsidRPr="00DC7A1B">
        <w:t>There are no outstanding issues in relation to the RMP for this submission.</w:t>
      </w:r>
    </w:p>
    <w:p w:rsidR="00085175" w:rsidRPr="00E24D4B" w:rsidRDefault="00085175" w:rsidP="00085175">
      <w:pPr>
        <w:pStyle w:val="Heading5"/>
      </w:pPr>
      <w:r w:rsidRPr="00E24D4B">
        <w:t>Comments on the safety specification of the RMP</w:t>
      </w:r>
    </w:p>
    <w:p w:rsidR="00085175" w:rsidRPr="00E24D4B" w:rsidRDefault="00085175" w:rsidP="00085175">
      <w:pPr>
        <w:pStyle w:val="Heading6"/>
      </w:pPr>
      <w:r w:rsidRPr="00E24D4B">
        <w:t xml:space="preserve">Clinical </w:t>
      </w:r>
      <w:r>
        <w:t>e</w:t>
      </w:r>
      <w:r w:rsidRPr="00E24D4B">
        <w:t xml:space="preserve">valuation </w:t>
      </w:r>
      <w:r>
        <w:t>r</w:t>
      </w:r>
      <w:r w:rsidRPr="00E24D4B">
        <w:t xml:space="preserve">eport </w:t>
      </w:r>
    </w:p>
    <w:p w:rsidR="008A2ED0" w:rsidRPr="008A2ED0" w:rsidRDefault="008A2ED0" w:rsidP="008A2ED0">
      <w:r w:rsidRPr="008A2ED0">
        <w:t xml:space="preserve">The clinical evaluator made the following comment: </w:t>
      </w:r>
    </w:p>
    <w:p w:rsidR="008A2ED0" w:rsidRPr="008A2ED0" w:rsidRDefault="008A2ED0" w:rsidP="008A2ED0">
      <w:pPr>
        <w:ind w:left="720"/>
        <w:rPr>
          <w:i/>
        </w:rPr>
      </w:pPr>
      <w:r w:rsidRPr="008A2ED0">
        <w:rPr>
          <w:i/>
        </w:rPr>
        <w:t xml:space="preserve">The Safety Specification in the draft Risk Management Plan is satisfactory. It is an updated version of the Australian RMP for </w:t>
      </w:r>
      <w:proofErr w:type="spellStart"/>
      <w:r w:rsidR="006959E0">
        <w:rPr>
          <w:i/>
        </w:rPr>
        <w:t>Viekira</w:t>
      </w:r>
      <w:proofErr w:type="spellEnd"/>
      <w:r w:rsidR="006959E0">
        <w:rPr>
          <w:i/>
        </w:rPr>
        <w:t xml:space="preserve"> Pak</w:t>
      </w:r>
      <w:r w:rsidRPr="008A2ED0">
        <w:rPr>
          <w:i/>
        </w:rPr>
        <w:t xml:space="preserve"> dated October 2015. The incidence and prevalence of HCV infection in Australia are described, as are the demographics, co-morbidities and concomitant medications commonly used in this patient population. The use of 3-DAA with and without RBV has been extensively investigated in treatment-naïve and treatment-experienced patients, with and without compensated cirrhosis in patients with HCV GT1 infection. Only small numbers of significant safety signals have been detected in the overall population. No specific safety signals have been detected in demographic sub-groups but the RMP identifies patient groups in which further studies are in progress or planned. These include HIV and HBV co-infection, Asian populations (Chinese and Japanese), patients with moderate to severe renal or hepatic impairment, liver transplant patients, paediatric patients aged 3 - &lt;18 years and patients who experience </w:t>
      </w:r>
      <w:proofErr w:type="spellStart"/>
      <w:r w:rsidRPr="008A2ED0">
        <w:rPr>
          <w:i/>
        </w:rPr>
        <w:t>virologic</w:t>
      </w:r>
      <w:proofErr w:type="spellEnd"/>
      <w:r w:rsidRPr="008A2ED0">
        <w:rPr>
          <w:i/>
        </w:rPr>
        <w:t xml:space="preserve"> failure with a 3-DAA or 2-DAA regimen. The high risk of multiple </w:t>
      </w:r>
      <w:r w:rsidR="00D83618">
        <w:rPr>
          <w:i/>
        </w:rPr>
        <w:t>DDIs</w:t>
      </w:r>
      <w:r w:rsidRPr="008A2ED0">
        <w:rPr>
          <w:i/>
        </w:rPr>
        <w:t xml:space="preserve"> has been addressed in the PI and will be monitored post-marketing. The Sponsor will be responsible for </w:t>
      </w:r>
      <w:r w:rsidRPr="008A2ED0">
        <w:rPr>
          <w:i/>
        </w:rPr>
        <w:lastRenderedPageBreak/>
        <w:t>pharmacovigilance in Australia and standard methods applicable in Australia will be used to identify emerging ADRs.</w:t>
      </w:r>
    </w:p>
    <w:p w:rsidR="00085175" w:rsidRPr="004A71C1" w:rsidRDefault="00085175" w:rsidP="00085175">
      <w:pPr>
        <w:pStyle w:val="Heading6"/>
      </w:pPr>
      <w:r>
        <w:t>Nonc</w:t>
      </w:r>
      <w:r w:rsidRPr="004A71C1">
        <w:t xml:space="preserve">linical </w:t>
      </w:r>
      <w:r>
        <w:t>e</w:t>
      </w:r>
      <w:r w:rsidRPr="004A71C1">
        <w:t xml:space="preserve">valuation </w:t>
      </w:r>
      <w:r>
        <w:t>r</w:t>
      </w:r>
      <w:r w:rsidRPr="004A71C1">
        <w:t xml:space="preserve">eport </w:t>
      </w:r>
    </w:p>
    <w:p w:rsidR="00DC7A1B" w:rsidRPr="008A2ED0" w:rsidRDefault="008A2ED0" w:rsidP="008A2ED0">
      <w:r w:rsidRPr="008A2ED0">
        <w:t>The non</w:t>
      </w:r>
      <w:r w:rsidR="00DC7A1B" w:rsidRPr="008A2ED0">
        <w:t>clinical evaluator did not comment on the safety specification in the RMP.</w:t>
      </w:r>
    </w:p>
    <w:p w:rsidR="00085175" w:rsidRPr="00E24D4B" w:rsidRDefault="00085175" w:rsidP="00085175">
      <w:pPr>
        <w:pStyle w:val="Heading5"/>
      </w:pPr>
      <w:r w:rsidRPr="008B1938">
        <w:t xml:space="preserve">Key changes to the updated </w:t>
      </w:r>
      <w:r>
        <w:t>RMP</w:t>
      </w:r>
    </w:p>
    <w:p w:rsidR="00B1086F" w:rsidRPr="00FC2ADC" w:rsidRDefault="00B1086F" w:rsidP="00FC2ADC">
      <w:r w:rsidRPr="00FC2ADC">
        <w:t xml:space="preserve">EU-RMP Version 2.0 (dated October 2015, DLP 15 July 2015) and </w:t>
      </w:r>
      <w:r w:rsidR="00943CB1">
        <w:t>ASA Version</w:t>
      </w:r>
      <w:r w:rsidRPr="00FC2ADC">
        <w:t xml:space="preserve"> 2.0 (dated October 2015) has been superseded by:</w:t>
      </w:r>
    </w:p>
    <w:p w:rsidR="00B1086F" w:rsidRPr="00FC2ADC" w:rsidRDefault="00B1086F" w:rsidP="00FC2ADC">
      <w:pPr>
        <w:pStyle w:val="ListBullet"/>
      </w:pPr>
      <w:r w:rsidRPr="00FC2ADC">
        <w:t xml:space="preserve">EU-RMP Version 3.1 (dated May 2016, DLP 19 December 2015) + Australian-specific Annex (version </w:t>
      </w:r>
      <w:r w:rsidR="002B5320">
        <w:t>2</w:t>
      </w:r>
      <w:r w:rsidRPr="00FC2ADC">
        <w:t xml:space="preserve">.1, </w:t>
      </w:r>
      <w:r w:rsidR="002B5320">
        <w:t>June</w:t>
      </w:r>
      <w:r w:rsidRPr="00FC2ADC">
        <w:t xml:space="preserve"> 2016)</w:t>
      </w:r>
    </w:p>
    <w:p w:rsidR="00B1086F" w:rsidRPr="00FC2ADC" w:rsidRDefault="00B1086F" w:rsidP="00FC2ADC">
      <w:r w:rsidRPr="00FC2ADC">
        <w:t>In their response to the TGA S</w:t>
      </w:r>
      <w:r w:rsidR="00B9249C">
        <w:t>ection 31 r</w:t>
      </w:r>
      <w:r w:rsidRPr="00FC2ADC">
        <w:t>equests</w:t>
      </w:r>
      <w:r w:rsidR="00B9249C">
        <w:t>,</w:t>
      </w:r>
      <w:r w:rsidRPr="00FC2ADC">
        <w:t xml:space="preserve"> the sponsor provided an updated RMP (version, date). Key changes from the version evaluated at Round 1 are summarised below.</w:t>
      </w:r>
    </w:p>
    <w:p w:rsidR="00B1086F" w:rsidRPr="00EB6DD0" w:rsidRDefault="006E6E0D" w:rsidP="00EB6DD0">
      <w:pPr>
        <w:pStyle w:val="TableTitle"/>
      </w:pPr>
      <w:proofErr w:type="gramStart"/>
      <w:r>
        <w:t xml:space="preserve">Table 7: </w:t>
      </w:r>
      <w:r w:rsidRPr="006E6E0D">
        <w:t>Summary of key changes between EU-RMP V2.0 and EU-RMP V3.1</w:t>
      </w:r>
      <w:r>
        <w:t>.</w:t>
      </w:r>
      <w:proofErr w:type="gramEnd"/>
    </w:p>
    <w:tbl>
      <w:tblPr>
        <w:tblStyle w:val="TableTGAblue1"/>
        <w:tblW w:w="0" w:type="auto"/>
        <w:tblLook w:val="04A0" w:firstRow="1" w:lastRow="0" w:firstColumn="1" w:lastColumn="0" w:noHBand="0" w:noVBand="1"/>
      </w:tblPr>
      <w:tblGrid>
        <w:gridCol w:w="2025"/>
        <w:gridCol w:w="6695"/>
      </w:tblGrid>
      <w:tr w:rsidR="00B1086F" w:rsidRPr="00B1086F" w:rsidTr="00954952">
        <w:trPr>
          <w:cnfStyle w:val="100000000000" w:firstRow="1" w:lastRow="0" w:firstColumn="0" w:lastColumn="0" w:oddVBand="0" w:evenVBand="0" w:oddHBand="0" w:evenHBand="0" w:firstRowFirstColumn="0" w:firstRowLastColumn="0" w:lastRowFirstColumn="0" w:lastRowLastColumn="0"/>
          <w:cantSplit/>
          <w:trHeight w:val="274"/>
          <w:tblHeader/>
        </w:trPr>
        <w:tc>
          <w:tcPr>
            <w:tcW w:w="9854" w:type="dxa"/>
            <w:gridSpan w:val="2"/>
          </w:tcPr>
          <w:p w:rsidR="00B1086F" w:rsidRPr="00B1086F" w:rsidRDefault="00B1086F" w:rsidP="00156AEF">
            <w:pPr>
              <w:rPr>
                <w:lang w:eastAsia="en-AU"/>
              </w:rPr>
            </w:pPr>
            <w:r w:rsidRPr="00B1086F">
              <w:rPr>
                <w:lang w:eastAsia="en-AU"/>
              </w:rPr>
              <w:t>Summary of  key changes between  EU-RMP V2.0  and EU-RMP V3.1</w:t>
            </w:r>
          </w:p>
        </w:tc>
      </w:tr>
      <w:tr w:rsidR="00B1086F" w:rsidRPr="00B1086F" w:rsidTr="00954952">
        <w:trPr>
          <w:cantSplit/>
          <w:trHeight w:val="270"/>
        </w:trPr>
        <w:tc>
          <w:tcPr>
            <w:tcW w:w="2152"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rsidR="00B1086F" w:rsidRPr="007331EA" w:rsidRDefault="00B1086F" w:rsidP="00156AEF">
            <w:pPr>
              <w:rPr>
                <w:lang w:eastAsia="en-AU"/>
              </w:rPr>
            </w:pPr>
            <w:r w:rsidRPr="007331EA">
              <w:rPr>
                <w:lang w:eastAsia="en-AU"/>
              </w:rPr>
              <w:t>Safety specification</w:t>
            </w:r>
          </w:p>
        </w:tc>
        <w:tc>
          <w:tcPr>
            <w:tcW w:w="770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B1086F" w:rsidRPr="007331EA" w:rsidRDefault="00B1086F" w:rsidP="00156AEF">
            <w:pPr>
              <w:rPr>
                <w:rFonts w:ascii="Times New Roman" w:eastAsiaTheme="minorHAnsi" w:hAnsi="Times New Roman"/>
              </w:rPr>
            </w:pPr>
            <w:r w:rsidRPr="007331EA">
              <w:rPr>
                <w:rFonts w:ascii="Times New Roman" w:eastAsiaTheme="minorHAnsi" w:hAnsi="Times New Roman"/>
              </w:rPr>
              <w:t>Identified Risk Added:</w:t>
            </w:r>
          </w:p>
          <w:p w:rsidR="00B1086F" w:rsidRPr="007331EA" w:rsidRDefault="00B1086F" w:rsidP="00156AEF">
            <w:r w:rsidRPr="007331EA">
              <w:t>Hepatic decompensation and hepatic failure in patients with cirrhosis</w:t>
            </w:r>
          </w:p>
          <w:p w:rsidR="00B1086F" w:rsidRPr="007331EA" w:rsidRDefault="00B1086F" w:rsidP="00156AEF">
            <w:pPr>
              <w:rPr>
                <w:rFonts w:ascii="Times New Roman" w:eastAsiaTheme="minorHAnsi" w:hAnsi="Times New Roman"/>
              </w:rPr>
            </w:pPr>
            <w:r w:rsidRPr="007331EA">
              <w:rPr>
                <w:rFonts w:ascii="Times New Roman" w:eastAsiaTheme="minorHAnsi" w:hAnsi="Times New Roman"/>
              </w:rPr>
              <w:t>Missing Information Removed:</w:t>
            </w:r>
          </w:p>
          <w:p w:rsidR="00B1086F" w:rsidRPr="007331EA" w:rsidRDefault="00B1086F" w:rsidP="00156AEF">
            <w:r w:rsidRPr="007331EA">
              <w:t>Safety in GT4-infected patients with cirrhosis</w:t>
            </w:r>
          </w:p>
        </w:tc>
      </w:tr>
    </w:tbl>
    <w:p w:rsidR="00085175" w:rsidRPr="00734B4D" w:rsidRDefault="00085175" w:rsidP="00085175">
      <w:pPr>
        <w:pStyle w:val="Heading6"/>
      </w:pPr>
      <w:r w:rsidRPr="00734B4D">
        <w:t>RMP evaluator comment</w:t>
      </w:r>
    </w:p>
    <w:p w:rsidR="006E6E0D" w:rsidRPr="006E6E0D" w:rsidRDefault="006E6E0D" w:rsidP="006E6E0D">
      <w:r w:rsidRPr="006E6E0D">
        <w:t>The evaluator has no objection to the above changes and recommends to the Delegate that the updated version is implemented (see below).</w:t>
      </w:r>
    </w:p>
    <w:p w:rsidR="00085175" w:rsidRPr="0065641D" w:rsidRDefault="00085175" w:rsidP="00085175">
      <w:pPr>
        <w:pStyle w:val="Heading5"/>
      </w:pPr>
      <w:r w:rsidRPr="0065641D">
        <w:t>Suggested wording</w:t>
      </w:r>
      <w:r w:rsidR="00156AEF">
        <w:t xml:space="preserve"> for conditions of registration</w:t>
      </w:r>
    </w:p>
    <w:p w:rsidR="00085175" w:rsidRPr="0065641D" w:rsidRDefault="00085175" w:rsidP="00085175">
      <w:pPr>
        <w:pStyle w:val="Heading6"/>
      </w:pPr>
      <w:r w:rsidRPr="0065641D">
        <w:t>RMP</w:t>
      </w:r>
    </w:p>
    <w:p w:rsidR="006E6E0D" w:rsidRPr="006E6E0D" w:rsidRDefault="006E6E0D" w:rsidP="006E6E0D">
      <w:r w:rsidRPr="006E6E0D">
        <w:t>Any changes to which the sponsor agreed become part of the risk management system, whether they are included in the currently available version of the RMP document, or not included, inadvertently or otherwise.</w:t>
      </w:r>
    </w:p>
    <w:p w:rsidR="006E6E0D" w:rsidRPr="006E6E0D" w:rsidRDefault="006E6E0D" w:rsidP="006E6E0D">
      <w:r w:rsidRPr="006E6E0D">
        <w:t>The suggested wording is:</w:t>
      </w:r>
    </w:p>
    <w:p w:rsidR="006E6E0D" w:rsidRPr="006E6E0D" w:rsidRDefault="006E6E0D" w:rsidP="006E6E0D">
      <w:pPr>
        <w:pStyle w:val="ListBullet"/>
      </w:pPr>
      <w:r w:rsidRPr="006E6E0D">
        <w:t xml:space="preserve">Implement RMP (version 3.1, May 2016, DLP 19 December 2015) with </w:t>
      </w:r>
      <w:r w:rsidR="00560F3A">
        <w:t>ASA</w:t>
      </w:r>
      <w:r w:rsidRPr="006E6E0D">
        <w:t xml:space="preserve"> (version </w:t>
      </w:r>
      <w:r w:rsidR="00B5725A">
        <w:t>2</w:t>
      </w:r>
      <w:r w:rsidRPr="006E6E0D">
        <w:t xml:space="preserve">.1, </w:t>
      </w:r>
      <w:r w:rsidR="00B5725A">
        <w:t>June</w:t>
      </w:r>
      <w:r w:rsidRPr="006E6E0D">
        <w:t xml:space="preserve"> 2016) and any future updates as a condition of registration.</w:t>
      </w:r>
    </w:p>
    <w:p w:rsidR="008E7846" w:rsidRPr="00792A32" w:rsidRDefault="008E7846" w:rsidP="008E7846">
      <w:pPr>
        <w:pStyle w:val="Heading2"/>
      </w:pPr>
      <w:bookmarkStart w:id="149" w:name="_Toc314842510"/>
      <w:bookmarkStart w:id="150" w:name="_Toc497301633"/>
      <w:r>
        <w:t xml:space="preserve">VI. </w:t>
      </w:r>
      <w:r w:rsidRPr="00792A32">
        <w:t xml:space="preserve">Overall </w:t>
      </w:r>
      <w:r>
        <w:t>c</w:t>
      </w:r>
      <w:r w:rsidRPr="00792A32">
        <w:t xml:space="preserve">onclusion and </w:t>
      </w:r>
      <w:r>
        <w:t>r</w:t>
      </w:r>
      <w:r w:rsidRPr="00792A32">
        <w:t>isk/</w:t>
      </w:r>
      <w:r>
        <w:t>b</w:t>
      </w:r>
      <w:r w:rsidRPr="00792A32">
        <w:t xml:space="preserve">enefit </w:t>
      </w:r>
      <w:r>
        <w:t>a</w:t>
      </w:r>
      <w:r w:rsidRPr="00792A32">
        <w:t>ssessment</w:t>
      </w:r>
      <w:bookmarkEnd w:id="86"/>
      <w:bookmarkEnd w:id="148"/>
      <w:bookmarkEnd w:id="149"/>
      <w:bookmarkEnd w:id="150"/>
    </w:p>
    <w:p w:rsidR="008E7846" w:rsidRDefault="008E7846" w:rsidP="008E7846">
      <w:bookmarkStart w:id="151" w:name="_Toc247691528"/>
      <w:r>
        <w:t xml:space="preserve">The submission was summarised in the following </w:t>
      </w:r>
      <w:r w:rsidRPr="00EF5C48">
        <w:t xml:space="preserve">Delegate’s </w:t>
      </w:r>
      <w:r>
        <w:t>overview</w:t>
      </w:r>
      <w:r w:rsidRPr="00EF5C48">
        <w:t xml:space="preserve"> and recommendation</w:t>
      </w:r>
      <w:r>
        <w:t>s:</w:t>
      </w:r>
    </w:p>
    <w:p w:rsidR="008E7846" w:rsidRDefault="008E7846" w:rsidP="008E7846">
      <w:pPr>
        <w:pStyle w:val="Heading3"/>
      </w:pPr>
      <w:bookmarkStart w:id="152" w:name="_Toc314842511"/>
      <w:bookmarkStart w:id="153" w:name="_Toc497301634"/>
      <w:r>
        <w:t>Quality</w:t>
      </w:r>
      <w:bookmarkEnd w:id="151"/>
      <w:bookmarkEnd w:id="152"/>
      <w:bookmarkEnd w:id="153"/>
    </w:p>
    <w:p w:rsidR="00F10777" w:rsidRPr="00F10777" w:rsidRDefault="00F10777" w:rsidP="00F10777">
      <w:r w:rsidRPr="00F10777">
        <w:t>Registration of the proposed products was recommended with respect to pharmaceutical chemistry aspects, pending extension of GMP clearances for a couple of the manufacturing sites.</w:t>
      </w:r>
    </w:p>
    <w:p w:rsidR="008E7846" w:rsidRDefault="008E7846" w:rsidP="008E7846">
      <w:pPr>
        <w:pStyle w:val="Heading3"/>
      </w:pPr>
      <w:bookmarkStart w:id="154" w:name="_Toc314842512"/>
      <w:bookmarkStart w:id="155" w:name="_Toc497301635"/>
      <w:r>
        <w:lastRenderedPageBreak/>
        <w:t>Nonclinical</w:t>
      </w:r>
      <w:bookmarkEnd w:id="154"/>
      <w:bookmarkEnd w:id="155"/>
    </w:p>
    <w:p w:rsidR="00F10777" w:rsidRPr="00F10777" w:rsidRDefault="00F10777" w:rsidP="00F10777">
      <w:r w:rsidRPr="00F10777">
        <w:t xml:space="preserve">Adequate nonclinical data for each of the three </w:t>
      </w:r>
      <w:r w:rsidR="001C03EA">
        <w:t>DAA</w:t>
      </w:r>
      <w:r w:rsidRPr="00F10777">
        <w:t xml:space="preserve"> drugs </w:t>
      </w:r>
      <w:proofErr w:type="spellStart"/>
      <w:r w:rsidRPr="00F10777">
        <w:t>paritaprevir</w:t>
      </w:r>
      <w:proofErr w:type="spellEnd"/>
      <w:r w:rsidRPr="00F10777">
        <w:t xml:space="preserve">/ritonavir, </w:t>
      </w:r>
      <w:proofErr w:type="spellStart"/>
      <w:r w:rsidRPr="00F10777">
        <w:t>ombitasvir</w:t>
      </w:r>
      <w:proofErr w:type="spellEnd"/>
      <w:r w:rsidRPr="00F10777">
        <w:t xml:space="preserve"> and </w:t>
      </w:r>
      <w:proofErr w:type="spellStart"/>
      <w:r w:rsidRPr="00F10777">
        <w:t>dasabuvir</w:t>
      </w:r>
      <w:proofErr w:type="spellEnd"/>
      <w:r w:rsidRPr="00F10777">
        <w:t xml:space="preserve"> have been previously evaluated for registration of the 3-</w:t>
      </w:r>
      <w:r w:rsidR="00782FFC">
        <w:t>DAA combination (</w:t>
      </w:r>
      <w:proofErr w:type="spellStart"/>
      <w:r w:rsidR="00782FFC">
        <w:t>Viekira</w:t>
      </w:r>
      <w:proofErr w:type="spellEnd"/>
      <w:r w:rsidR="00782FFC">
        <w:t xml:space="preserve"> Pak</w:t>
      </w:r>
      <w:r w:rsidRPr="00F10777">
        <w:t xml:space="preserve">) for treatment of HCV GT1, and are adequate to support the current application for the 2-DAA </w:t>
      </w:r>
      <w:proofErr w:type="gramStart"/>
      <w:r w:rsidRPr="00F10777">
        <w:t>combination  of</w:t>
      </w:r>
      <w:proofErr w:type="gramEnd"/>
      <w:r w:rsidRPr="00F10777">
        <w:t xml:space="preserve"> </w:t>
      </w:r>
      <w:proofErr w:type="spellStart"/>
      <w:r w:rsidRPr="00F10777">
        <w:t>paritaprevir</w:t>
      </w:r>
      <w:proofErr w:type="spellEnd"/>
      <w:r w:rsidRPr="00F10777">
        <w:t>/</w:t>
      </w:r>
      <w:r w:rsidR="00782FFC">
        <w:t>ritonavir/</w:t>
      </w:r>
      <w:proofErr w:type="spellStart"/>
      <w:r w:rsidR="00782FFC">
        <w:t>ombitasvir</w:t>
      </w:r>
      <w:proofErr w:type="spellEnd"/>
      <w:r w:rsidR="00782FFC">
        <w:t xml:space="preserve"> (</w:t>
      </w:r>
      <w:proofErr w:type="spellStart"/>
      <w:r w:rsidR="00782FFC">
        <w:t>Technivie</w:t>
      </w:r>
      <w:proofErr w:type="spellEnd"/>
      <w:r w:rsidRPr="00F10777">
        <w:t xml:space="preserve">) with </w:t>
      </w:r>
      <w:r w:rsidR="00CC7518">
        <w:t>RBV</w:t>
      </w:r>
      <w:r w:rsidRPr="00F10777">
        <w:t xml:space="preserve">. </w:t>
      </w:r>
      <w:proofErr w:type="spellStart"/>
      <w:r w:rsidRPr="00F10777">
        <w:t>Paritaprevir</w:t>
      </w:r>
      <w:proofErr w:type="spellEnd"/>
      <w:r w:rsidRPr="00F10777">
        <w:t xml:space="preserve"> and </w:t>
      </w:r>
      <w:proofErr w:type="spellStart"/>
      <w:r w:rsidRPr="00F10777">
        <w:t>ombitasvir</w:t>
      </w:r>
      <w:proofErr w:type="spellEnd"/>
      <w:r w:rsidRPr="00F10777">
        <w:t xml:space="preserve"> were previously shown to have a high level of activity against HCV GT4 in vitro. </w:t>
      </w:r>
    </w:p>
    <w:p w:rsidR="00F10777" w:rsidRPr="00F10777" w:rsidRDefault="00F10777" w:rsidP="00F10777">
      <w:r w:rsidRPr="00F10777">
        <w:t xml:space="preserve">New data in the current submission consisted of a two-year carcinogenicity study for </w:t>
      </w:r>
      <w:proofErr w:type="spellStart"/>
      <w:r w:rsidRPr="00F10777">
        <w:t>ombitasvir</w:t>
      </w:r>
      <w:proofErr w:type="spellEnd"/>
      <w:r w:rsidRPr="00F10777">
        <w:t xml:space="preserve"> in rats, which was negative, confirming a previous negative result in a 6-month transgenic mouse study. A statement summarising the new study has been recommended for addition to the PI. Two minor corrections to the ‘Use in Pregnancy’</w:t>
      </w:r>
      <w:r>
        <w:t xml:space="preserve"> </w:t>
      </w:r>
      <w:r w:rsidRPr="00F10777">
        <w:t>section were also recommended on the basis of slightly lower clinical drug exposures in the 2-DAA regimen. The sponsor has indicated that these will be corrected and submitt</w:t>
      </w:r>
      <w:r w:rsidR="001C03EA">
        <w:t>ed with the pre ACPM response.</w:t>
      </w:r>
    </w:p>
    <w:p w:rsidR="008E7846" w:rsidRDefault="008E7846" w:rsidP="008E7846">
      <w:pPr>
        <w:pStyle w:val="Heading3"/>
      </w:pPr>
      <w:bookmarkStart w:id="156" w:name="_Toc247691530"/>
      <w:bookmarkStart w:id="157" w:name="_Toc314842513"/>
      <w:bookmarkStart w:id="158" w:name="_Toc497301636"/>
      <w:r>
        <w:t>Clinical</w:t>
      </w:r>
      <w:bookmarkEnd w:id="156"/>
      <w:bookmarkEnd w:id="157"/>
      <w:bookmarkEnd w:id="158"/>
    </w:p>
    <w:p w:rsidR="00782FFC" w:rsidRPr="002B594E" w:rsidRDefault="00782FFC" w:rsidP="00782FFC">
      <w:pPr>
        <w:pStyle w:val="Heading4"/>
      </w:pPr>
      <w:bookmarkStart w:id="159" w:name="_Toc314842514"/>
      <w:r w:rsidRPr="003F08CF">
        <w:t>Pharmacology</w:t>
      </w:r>
    </w:p>
    <w:p w:rsidR="00782FFC" w:rsidRDefault="00782FFC" w:rsidP="00782FFC">
      <w:pPr>
        <w:pStyle w:val="Heading5"/>
      </w:pPr>
      <w:r>
        <w:t>Bioavailability study M14-229</w:t>
      </w:r>
    </w:p>
    <w:p w:rsidR="00782FFC" w:rsidRPr="00782FFC" w:rsidRDefault="00782FFC" w:rsidP="00782FFC">
      <w:r w:rsidRPr="00782FFC">
        <w:t>A study</w:t>
      </w:r>
      <w:r w:rsidR="00291911">
        <w:t xml:space="preserve"> </w:t>
      </w:r>
      <w:r w:rsidR="002B13E1">
        <w:t xml:space="preserve">(M14-229) to determine the absolute bioavailability </w:t>
      </w:r>
      <w:r w:rsidRPr="00782FFC">
        <w:t>of ABT-450 (</w:t>
      </w:r>
      <w:proofErr w:type="spellStart"/>
      <w:r w:rsidRPr="00782FFC">
        <w:t>paritaprevir</w:t>
      </w:r>
      <w:proofErr w:type="spellEnd"/>
      <w:r w:rsidRPr="00782FFC">
        <w:t>) (1</w:t>
      </w:r>
      <w:r w:rsidR="002B13E1">
        <w:t>50 mg) and ABT-267(</w:t>
      </w:r>
      <w:proofErr w:type="spellStart"/>
      <w:r w:rsidR="002B13E1">
        <w:t>ombitasvir</w:t>
      </w:r>
      <w:proofErr w:type="spellEnd"/>
      <w:r w:rsidR="002B13E1">
        <w:t xml:space="preserve">) </w:t>
      </w:r>
      <w:r w:rsidRPr="00782FFC">
        <w:t xml:space="preserve">(25 mg) as an oral co-formulated product with ritonavir (100 mg) was conducted in 16 healthy subjects, with 8 subjects in two groups. The absolute bioavailability of </w:t>
      </w:r>
      <w:proofErr w:type="spellStart"/>
      <w:r w:rsidRPr="00782FFC">
        <w:t>paritaprevir</w:t>
      </w:r>
      <w:proofErr w:type="spellEnd"/>
      <w:r w:rsidRPr="00782FFC">
        <w:t xml:space="preserve"> and </w:t>
      </w:r>
      <w:proofErr w:type="spellStart"/>
      <w:r w:rsidRPr="00782FFC">
        <w:t>ombitasvir</w:t>
      </w:r>
      <w:proofErr w:type="spellEnd"/>
      <w:r w:rsidRPr="00782FFC">
        <w:t xml:space="preserve"> had not been assessed during the </w:t>
      </w:r>
      <w:proofErr w:type="spellStart"/>
      <w:r w:rsidR="006959E0">
        <w:t>Viekira</w:t>
      </w:r>
      <w:proofErr w:type="spellEnd"/>
      <w:r w:rsidR="006959E0">
        <w:t xml:space="preserve"> Pak</w:t>
      </w:r>
      <w:r w:rsidR="002B13E1">
        <w:t xml:space="preserve"> development program.</w:t>
      </w:r>
      <w:r w:rsidRPr="00782FFC">
        <w:t xml:space="preserve"> The study was evaluated by both the chemistry and clinical evaluators.</w:t>
      </w:r>
    </w:p>
    <w:p w:rsidR="00782FFC" w:rsidRPr="00782FFC" w:rsidRDefault="00782FFC" w:rsidP="00782FFC">
      <w:r w:rsidRPr="00782FFC">
        <w:t xml:space="preserve">As an oral co-formulated product with ritonavir, the mean geometric </w:t>
      </w:r>
      <w:proofErr w:type="spellStart"/>
      <w:r w:rsidRPr="00782FFC">
        <w:t>bioavailabilities</w:t>
      </w:r>
      <w:proofErr w:type="spellEnd"/>
      <w:r w:rsidRPr="00782FFC">
        <w:t xml:space="preserve"> of ABT-450(</w:t>
      </w:r>
      <w:proofErr w:type="spellStart"/>
      <w:r w:rsidRPr="00782FFC">
        <w:t>paritaprevir</w:t>
      </w:r>
      <w:proofErr w:type="spellEnd"/>
      <w:r w:rsidRPr="00782FFC">
        <w:t>) and ABT-267(</w:t>
      </w:r>
      <w:proofErr w:type="spellStart"/>
      <w:r w:rsidRPr="00782FFC">
        <w:t>ombitasvir</w:t>
      </w:r>
      <w:proofErr w:type="spellEnd"/>
      <w:r w:rsidRPr="00782FFC">
        <w:t xml:space="preserve">) under non-fasted conditions were 52.6% and 48.1%, respectively and the evaluators were satisfied that new information in the PI was adequately supported by this study. </w:t>
      </w:r>
    </w:p>
    <w:p w:rsidR="00782FFC" w:rsidRDefault="00782FFC" w:rsidP="00782FFC">
      <w:pPr>
        <w:pStyle w:val="Heading5"/>
      </w:pPr>
      <w:r w:rsidRPr="003A7D11">
        <w:t>PK in target patient population</w:t>
      </w:r>
      <w:r>
        <w:t xml:space="preserve">, </w:t>
      </w:r>
      <w:r w:rsidR="0063448B">
        <w:t>S</w:t>
      </w:r>
      <w:r>
        <w:t>tudy M13-393</w:t>
      </w:r>
    </w:p>
    <w:p w:rsidR="00782FFC" w:rsidRPr="00782FFC" w:rsidRDefault="00782FFC" w:rsidP="00782FFC">
      <w:r w:rsidRPr="00782FFC">
        <w:t>The clinical evaluator questioned the PK findings of the 2-DAA regimen measured in M13-393 (target population), highlighting that the steady state concentrations of ABT-450 were notably lower in patients with GT4 infection compared with those wi</w:t>
      </w:r>
      <w:r w:rsidR="002B13E1">
        <w:t>th GT1b infection</w:t>
      </w:r>
      <w:r w:rsidR="005A4731">
        <w:t>.</w:t>
      </w:r>
      <w:r w:rsidRPr="00782FFC">
        <w:t xml:space="preserve"> The sponsor suggested that differences in exposures between the GT4 and GT1b subjects could have occurred by chance and that this was supported by the population PK </w:t>
      </w:r>
      <w:r w:rsidR="002B13E1">
        <w:t xml:space="preserve">analysis of data from M13-393. </w:t>
      </w:r>
      <w:r w:rsidRPr="00782FFC">
        <w:t xml:space="preserve">There are no known differences in hepatic pathophysiology or drug handling between patients with HCV GT4 and GT1b infections. PK data were provided by the </w:t>
      </w:r>
      <w:r w:rsidR="002B13E1">
        <w:t>S</w:t>
      </w:r>
      <w:r w:rsidRPr="00782FFC">
        <w:t>ponsor for GT4 and GT1 treatment naïve patients receiving 2-DAA (</w:t>
      </w:r>
      <w:r w:rsidRPr="00782FFC">
        <w:rPr>
          <w:b/>
        </w:rPr>
        <w:t xml:space="preserve">without </w:t>
      </w:r>
      <w:r w:rsidR="00CC7518">
        <w:t>RBV</w:t>
      </w:r>
      <w:r w:rsidRPr="00782FFC">
        <w:t xml:space="preserve">) and showed comparable DAA exposures in responders and non-responders. There was no apparent relationship between </w:t>
      </w:r>
      <w:proofErr w:type="spellStart"/>
      <w:r w:rsidRPr="00782FFC">
        <w:t>virologic</w:t>
      </w:r>
      <w:proofErr w:type="spellEnd"/>
      <w:r w:rsidRPr="00782FFC">
        <w:t xml:space="preserve"> response and DAA exposure for treatment</w:t>
      </w:r>
      <w:r w:rsidR="002B13E1">
        <w:t xml:space="preserve"> </w:t>
      </w:r>
      <w:r w:rsidRPr="00782FFC">
        <w:t xml:space="preserve">naïve GT4 or GT1b patients in M13-393. Exposure response analysis could not be performed for the recommended HCV GT4 of regimen 2-DAA </w:t>
      </w:r>
      <w:r w:rsidRPr="00782FFC">
        <w:rPr>
          <w:b/>
        </w:rPr>
        <w:t>with</w:t>
      </w:r>
      <w:r w:rsidRPr="00782FFC">
        <w:t xml:space="preserve"> </w:t>
      </w:r>
      <w:r w:rsidR="00CC7518">
        <w:t>RBV</w:t>
      </w:r>
      <w:r w:rsidRPr="00782FFC">
        <w:t xml:space="preserve"> as no failures occurred in subjects receiving this regimen. </w:t>
      </w:r>
    </w:p>
    <w:p w:rsidR="00782FFC" w:rsidRPr="00782FFC" w:rsidRDefault="00782FFC" w:rsidP="00782FFC">
      <w:r w:rsidRPr="00782FFC">
        <w:t>The clinical evaluator was satisfied with these responses.</w:t>
      </w:r>
    </w:p>
    <w:p w:rsidR="00782FFC" w:rsidRDefault="00782FFC" w:rsidP="00782FFC">
      <w:pPr>
        <w:pStyle w:val="Heading4"/>
      </w:pPr>
      <w:r w:rsidRPr="003F08CF">
        <w:t>Efficacy</w:t>
      </w:r>
    </w:p>
    <w:p w:rsidR="00782FFC" w:rsidRDefault="00782FFC" w:rsidP="00782FFC">
      <w:r w:rsidRPr="00782FFC">
        <w:t xml:space="preserve">Data to support the HCV </w:t>
      </w:r>
      <w:r w:rsidR="00373668">
        <w:t>GT</w:t>
      </w:r>
      <w:r w:rsidRPr="00782FFC">
        <w:t xml:space="preserve">4 indication were primarily derived from the completed study M13-393 (PEARL-1). Further information to support the indication for HCV GT4 infection </w:t>
      </w:r>
      <w:r w:rsidRPr="00782FFC">
        <w:lastRenderedPageBreak/>
        <w:t>in compensated cirrhosis was provided with the Section 31 response and included interim results for the M11-665 (AGATE-1) and M14-250 (AGATE-2) studies.</w:t>
      </w:r>
    </w:p>
    <w:p w:rsidR="00782FFC" w:rsidRPr="00193B3E" w:rsidRDefault="00B44C0D" w:rsidP="00F56D78">
      <w:pPr>
        <w:pStyle w:val="TableTitle"/>
      </w:pPr>
      <w:proofErr w:type="gramStart"/>
      <w:r>
        <w:t xml:space="preserve">Table </w:t>
      </w:r>
      <w:r w:rsidR="00EE775F">
        <w:t>8</w:t>
      </w:r>
      <w:r>
        <w:t xml:space="preserve">: </w:t>
      </w:r>
      <w:r w:rsidR="00782FFC" w:rsidRPr="00D37752">
        <w:t xml:space="preserve">Overview of clinical studies for patients with </w:t>
      </w:r>
      <w:r w:rsidR="00782FFC">
        <w:t xml:space="preserve">HCV </w:t>
      </w:r>
      <w:r w:rsidR="00EE775F">
        <w:t>GT</w:t>
      </w:r>
      <w:r w:rsidR="00782FFC">
        <w:t>4 infection</w:t>
      </w:r>
      <w:r w:rsidR="00591E07">
        <w:t>.</w:t>
      </w:r>
      <w:proofErr w:type="gramEnd"/>
    </w:p>
    <w:tbl>
      <w:tblPr>
        <w:tblStyle w:val="TableTGAblue"/>
        <w:tblW w:w="9322" w:type="dxa"/>
        <w:tblLook w:val="04A0" w:firstRow="1" w:lastRow="0" w:firstColumn="1" w:lastColumn="0" w:noHBand="0" w:noVBand="1"/>
      </w:tblPr>
      <w:tblGrid>
        <w:gridCol w:w="1614"/>
        <w:gridCol w:w="1764"/>
        <w:gridCol w:w="1697"/>
        <w:gridCol w:w="1351"/>
        <w:gridCol w:w="1415"/>
        <w:gridCol w:w="1481"/>
      </w:tblGrid>
      <w:tr w:rsidR="00291911" w:rsidRPr="00156AEF" w:rsidTr="00291911">
        <w:trPr>
          <w:cnfStyle w:val="100000000000" w:firstRow="1" w:lastRow="0" w:firstColumn="0" w:lastColumn="0" w:oddVBand="0" w:evenVBand="0" w:oddHBand="0" w:evenHBand="0" w:firstRowFirstColumn="0" w:firstRowLastColumn="0" w:lastRowFirstColumn="0" w:lastRowLastColumn="0"/>
        </w:trPr>
        <w:tc>
          <w:tcPr>
            <w:tcW w:w="1574" w:type="dxa"/>
          </w:tcPr>
          <w:p w:rsidR="00782FFC" w:rsidRPr="00156AEF" w:rsidRDefault="00782FFC" w:rsidP="00156AEF">
            <w:pPr>
              <w:rPr>
                <w:b w:val="0"/>
                <w:sz w:val="20"/>
                <w:szCs w:val="20"/>
              </w:rPr>
            </w:pPr>
            <w:r w:rsidRPr="00156AEF">
              <w:rPr>
                <w:sz w:val="20"/>
                <w:szCs w:val="20"/>
              </w:rPr>
              <w:t xml:space="preserve">Study and dates </w:t>
            </w:r>
          </w:p>
        </w:tc>
        <w:tc>
          <w:tcPr>
            <w:tcW w:w="1913" w:type="dxa"/>
          </w:tcPr>
          <w:p w:rsidR="00782FFC" w:rsidRPr="00156AEF" w:rsidRDefault="00782FFC" w:rsidP="00156AEF">
            <w:pPr>
              <w:rPr>
                <w:b w:val="0"/>
                <w:sz w:val="20"/>
                <w:szCs w:val="20"/>
              </w:rPr>
            </w:pPr>
            <w:r w:rsidRPr="00156AEF">
              <w:rPr>
                <w:sz w:val="20"/>
                <w:szCs w:val="20"/>
              </w:rPr>
              <w:t>Design</w:t>
            </w:r>
          </w:p>
        </w:tc>
        <w:tc>
          <w:tcPr>
            <w:tcW w:w="1583" w:type="dxa"/>
          </w:tcPr>
          <w:p w:rsidR="00782FFC" w:rsidRPr="00156AEF" w:rsidRDefault="00782FFC" w:rsidP="00156AEF">
            <w:pPr>
              <w:rPr>
                <w:b w:val="0"/>
                <w:sz w:val="20"/>
                <w:szCs w:val="20"/>
              </w:rPr>
            </w:pPr>
            <w:r w:rsidRPr="00156AEF">
              <w:rPr>
                <w:sz w:val="20"/>
                <w:szCs w:val="20"/>
              </w:rPr>
              <w:t>Population</w:t>
            </w:r>
          </w:p>
        </w:tc>
        <w:tc>
          <w:tcPr>
            <w:tcW w:w="1417" w:type="dxa"/>
          </w:tcPr>
          <w:p w:rsidR="00782FFC" w:rsidRPr="00156AEF" w:rsidRDefault="00782FFC" w:rsidP="00156AEF">
            <w:pPr>
              <w:rPr>
                <w:b w:val="0"/>
                <w:sz w:val="20"/>
                <w:szCs w:val="20"/>
              </w:rPr>
            </w:pPr>
            <w:r w:rsidRPr="00156AEF">
              <w:rPr>
                <w:sz w:val="20"/>
                <w:szCs w:val="20"/>
              </w:rPr>
              <w:t>Number of subjects treated</w:t>
            </w:r>
          </w:p>
        </w:tc>
        <w:tc>
          <w:tcPr>
            <w:tcW w:w="1418" w:type="dxa"/>
          </w:tcPr>
          <w:p w:rsidR="00782FFC" w:rsidRPr="00156AEF" w:rsidRDefault="00782FFC" w:rsidP="00156AEF">
            <w:pPr>
              <w:rPr>
                <w:b w:val="0"/>
                <w:sz w:val="20"/>
                <w:szCs w:val="20"/>
              </w:rPr>
            </w:pPr>
            <w:r w:rsidRPr="00156AEF">
              <w:rPr>
                <w:sz w:val="20"/>
                <w:szCs w:val="20"/>
              </w:rPr>
              <w:t>Study duration</w:t>
            </w:r>
          </w:p>
        </w:tc>
        <w:tc>
          <w:tcPr>
            <w:tcW w:w="1417" w:type="dxa"/>
          </w:tcPr>
          <w:p w:rsidR="00782FFC" w:rsidRPr="00156AEF" w:rsidRDefault="00782FFC" w:rsidP="00156AEF">
            <w:pPr>
              <w:rPr>
                <w:b w:val="0"/>
                <w:sz w:val="20"/>
                <w:szCs w:val="20"/>
              </w:rPr>
            </w:pPr>
            <w:r w:rsidRPr="00156AEF">
              <w:rPr>
                <w:sz w:val="20"/>
                <w:szCs w:val="20"/>
              </w:rPr>
              <w:t>Status</w:t>
            </w:r>
          </w:p>
        </w:tc>
      </w:tr>
      <w:tr w:rsidR="00782FFC" w:rsidRPr="00156AEF" w:rsidTr="00291911">
        <w:tc>
          <w:tcPr>
            <w:tcW w:w="1574" w:type="dxa"/>
          </w:tcPr>
          <w:p w:rsidR="00782FFC" w:rsidRPr="00156AEF" w:rsidRDefault="00782FFC" w:rsidP="00156AEF">
            <w:pPr>
              <w:rPr>
                <w:sz w:val="20"/>
                <w:szCs w:val="20"/>
              </w:rPr>
            </w:pPr>
            <w:r w:rsidRPr="00156AEF">
              <w:rPr>
                <w:sz w:val="20"/>
                <w:szCs w:val="20"/>
              </w:rPr>
              <w:t>M13-393 (PEARL-1)</w:t>
            </w:r>
          </w:p>
          <w:p w:rsidR="00782FFC" w:rsidRPr="00156AEF" w:rsidRDefault="00782FFC" w:rsidP="00156AEF">
            <w:pPr>
              <w:rPr>
                <w:sz w:val="20"/>
                <w:szCs w:val="20"/>
              </w:rPr>
            </w:pPr>
          </w:p>
          <w:p w:rsidR="00782FFC" w:rsidRPr="00156AEF" w:rsidRDefault="00782FFC" w:rsidP="00156AEF">
            <w:pPr>
              <w:rPr>
                <w:sz w:val="20"/>
                <w:szCs w:val="20"/>
              </w:rPr>
            </w:pPr>
            <w:r w:rsidRPr="00156AEF">
              <w:rPr>
                <w:sz w:val="20"/>
                <w:szCs w:val="20"/>
              </w:rPr>
              <w:t>2012 - 2015</w:t>
            </w:r>
          </w:p>
        </w:tc>
        <w:tc>
          <w:tcPr>
            <w:tcW w:w="1913" w:type="dxa"/>
          </w:tcPr>
          <w:p w:rsidR="00782FFC" w:rsidRPr="00156AEF" w:rsidRDefault="00782FFC" w:rsidP="00156AEF">
            <w:pPr>
              <w:rPr>
                <w:sz w:val="20"/>
                <w:szCs w:val="20"/>
              </w:rPr>
            </w:pPr>
            <w:r w:rsidRPr="00156AEF">
              <w:rPr>
                <w:sz w:val="20"/>
                <w:szCs w:val="20"/>
              </w:rPr>
              <w:t>Open-label, multicentre, r</w:t>
            </w:r>
            <w:r w:rsidR="00786DBB" w:rsidRPr="00156AEF">
              <w:rPr>
                <w:sz w:val="20"/>
                <w:szCs w:val="20"/>
              </w:rPr>
              <w:t>andomised, international Phase II</w:t>
            </w:r>
            <w:r w:rsidRPr="00156AEF">
              <w:rPr>
                <w:sz w:val="20"/>
                <w:szCs w:val="20"/>
              </w:rPr>
              <w:t>, efficacy and safety study</w:t>
            </w:r>
          </w:p>
        </w:tc>
        <w:tc>
          <w:tcPr>
            <w:tcW w:w="1583" w:type="dxa"/>
          </w:tcPr>
          <w:p w:rsidR="00782FFC" w:rsidRPr="00156AEF" w:rsidRDefault="00782FFC" w:rsidP="00156AEF">
            <w:pPr>
              <w:rPr>
                <w:sz w:val="20"/>
                <w:szCs w:val="20"/>
              </w:rPr>
            </w:pPr>
            <w:r w:rsidRPr="00156AEF">
              <w:rPr>
                <w:sz w:val="20"/>
                <w:szCs w:val="20"/>
              </w:rPr>
              <w:t>Treatment-naïve and treatment-experienced non-cirrhotic patients with HCV GT4 infection and patients with and without cirrhosis with HCV GT1b infection</w:t>
            </w:r>
          </w:p>
        </w:tc>
        <w:tc>
          <w:tcPr>
            <w:tcW w:w="1417" w:type="dxa"/>
          </w:tcPr>
          <w:p w:rsidR="00782FFC" w:rsidRPr="00156AEF" w:rsidRDefault="00782FFC" w:rsidP="00156AEF">
            <w:pPr>
              <w:rPr>
                <w:rFonts w:eastAsia="Times New Roman"/>
                <w:sz w:val="20"/>
                <w:szCs w:val="20"/>
              </w:rPr>
            </w:pPr>
            <w:r w:rsidRPr="00156AEF">
              <w:rPr>
                <w:rFonts w:eastAsia="Times New Roman"/>
                <w:sz w:val="20"/>
                <w:szCs w:val="20"/>
              </w:rPr>
              <w:t xml:space="preserve">316 </w:t>
            </w:r>
          </w:p>
          <w:p w:rsidR="00782FFC" w:rsidRPr="00156AEF" w:rsidRDefault="00782FFC" w:rsidP="00156AEF">
            <w:pPr>
              <w:rPr>
                <w:sz w:val="20"/>
                <w:szCs w:val="20"/>
              </w:rPr>
            </w:pPr>
            <w:r w:rsidRPr="00156AEF">
              <w:rPr>
                <w:rFonts w:eastAsia="Times New Roman"/>
                <w:sz w:val="20"/>
                <w:szCs w:val="20"/>
              </w:rPr>
              <w:t>(135 patients with GT4, 181 patients with GT1b)</w:t>
            </w:r>
          </w:p>
        </w:tc>
        <w:tc>
          <w:tcPr>
            <w:tcW w:w="1418" w:type="dxa"/>
          </w:tcPr>
          <w:p w:rsidR="00782FFC" w:rsidRPr="00156AEF" w:rsidRDefault="00782FFC" w:rsidP="00156AEF">
            <w:pPr>
              <w:rPr>
                <w:sz w:val="20"/>
                <w:szCs w:val="20"/>
              </w:rPr>
            </w:pPr>
            <w:r w:rsidRPr="00156AEF">
              <w:rPr>
                <w:sz w:val="20"/>
                <w:szCs w:val="20"/>
              </w:rPr>
              <w:t>48 weeks following the  last dose of</w:t>
            </w:r>
            <w:r w:rsidR="00156AEF">
              <w:rPr>
                <w:sz w:val="20"/>
                <w:szCs w:val="20"/>
              </w:rPr>
              <w:t xml:space="preserve"> </w:t>
            </w:r>
            <w:r w:rsidRPr="00156AEF">
              <w:rPr>
                <w:sz w:val="20"/>
                <w:szCs w:val="20"/>
              </w:rPr>
              <w:t>study treatment</w:t>
            </w:r>
          </w:p>
        </w:tc>
        <w:tc>
          <w:tcPr>
            <w:tcW w:w="1417" w:type="dxa"/>
          </w:tcPr>
          <w:p w:rsidR="00782FFC" w:rsidRPr="00156AEF" w:rsidRDefault="00782FFC" w:rsidP="00156AEF">
            <w:pPr>
              <w:rPr>
                <w:sz w:val="20"/>
                <w:szCs w:val="20"/>
              </w:rPr>
            </w:pPr>
            <w:r w:rsidRPr="00156AEF">
              <w:rPr>
                <w:sz w:val="20"/>
                <w:szCs w:val="20"/>
              </w:rPr>
              <w:t>Completed</w:t>
            </w:r>
          </w:p>
        </w:tc>
      </w:tr>
      <w:tr w:rsidR="00782FFC" w:rsidRPr="00156AEF" w:rsidTr="00291911">
        <w:tc>
          <w:tcPr>
            <w:tcW w:w="1574" w:type="dxa"/>
          </w:tcPr>
          <w:p w:rsidR="00782FFC" w:rsidRPr="00156AEF" w:rsidRDefault="00782FFC" w:rsidP="00156AEF">
            <w:pPr>
              <w:rPr>
                <w:sz w:val="20"/>
                <w:szCs w:val="20"/>
              </w:rPr>
            </w:pPr>
            <w:r w:rsidRPr="00156AEF">
              <w:rPr>
                <w:sz w:val="20"/>
                <w:szCs w:val="20"/>
              </w:rPr>
              <w:t>M11-665 (AGATE-1)</w:t>
            </w:r>
          </w:p>
          <w:p w:rsidR="00782FFC" w:rsidRPr="00156AEF" w:rsidRDefault="00782FFC" w:rsidP="00156AEF">
            <w:pPr>
              <w:rPr>
                <w:sz w:val="20"/>
                <w:szCs w:val="20"/>
              </w:rPr>
            </w:pPr>
          </w:p>
          <w:p w:rsidR="00782FFC" w:rsidRPr="00156AEF" w:rsidRDefault="00782FFC" w:rsidP="00156AEF">
            <w:pPr>
              <w:rPr>
                <w:sz w:val="20"/>
                <w:szCs w:val="20"/>
              </w:rPr>
            </w:pPr>
            <w:r w:rsidRPr="00156AEF">
              <w:rPr>
                <w:sz w:val="20"/>
                <w:szCs w:val="20"/>
              </w:rPr>
              <w:t>Commenced 2014</w:t>
            </w:r>
          </w:p>
        </w:tc>
        <w:tc>
          <w:tcPr>
            <w:tcW w:w="1913" w:type="dxa"/>
          </w:tcPr>
          <w:p w:rsidR="00782FFC" w:rsidRPr="00156AEF" w:rsidRDefault="00786DBB" w:rsidP="00156AEF">
            <w:pPr>
              <w:rPr>
                <w:sz w:val="20"/>
                <w:szCs w:val="20"/>
              </w:rPr>
            </w:pPr>
            <w:r w:rsidRPr="00156AEF">
              <w:rPr>
                <w:sz w:val="20"/>
                <w:szCs w:val="20"/>
              </w:rPr>
              <w:t>Phase III</w:t>
            </w:r>
            <w:r w:rsidR="00782FFC" w:rsidRPr="00156AEF">
              <w:rPr>
                <w:sz w:val="20"/>
                <w:szCs w:val="20"/>
              </w:rPr>
              <w:t>, randomised, open-label, multicentre, international study</w:t>
            </w:r>
          </w:p>
        </w:tc>
        <w:tc>
          <w:tcPr>
            <w:tcW w:w="1583" w:type="dxa"/>
          </w:tcPr>
          <w:p w:rsidR="00782FFC" w:rsidRPr="00156AEF" w:rsidRDefault="00782FFC" w:rsidP="00156AEF">
            <w:pPr>
              <w:rPr>
                <w:sz w:val="20"/>
                <w:szCs w:val="20"/>
              </w:rPr>
            </w:pPr>
            <w:r w:rsidRPr="00156AEF">
              <w:rPr>
                <w:sz w:val="20"/>
                <w:szCs w:val="20"/>
              </w:rPr>
              <w:t>HCV GT4-infected subjects with compensated</w:t>
            </w:r>
            <w:r w:rsidR="00156AEF">
              <w:rPr>
                <w:sz w:val="20"/>
                <w:szCs w:val="20"/>
              </w:rPr>
              <w:t xml:space="preserve"> </w:t>
            </w:r>
            <w:r w:rsidRPr="00156AEF">
              <w:rPr>
                <w:sz w:val="20"/>
                <w:szCs w:val="20"/>
              </w:rPr>
              <w:t>cirrhosis</w:t>
            </w:r>
          </w:p>
        </w:tc>
        <w:tc>
          <w:tcPr>
            <w:tcW w:w="1417" w:type="dxa"/>
          </w:tcPr>
          <w:p w:rsidR="00782FFC" w:rsidRPr="00156AEF" w:rsidRDefault="00782FFC" w:rsidP="00156AEF">
            <w:pPr>
              <w:rPr>
                <w:sz w:val="20"/>
                <w:szCs w:val="20"/>
              </w:rPr>
            </w:pPr>
            <w:r w:rsidRPr="00156AEF">
              <w:rPr>
                <w:sz w:val="20"/>
                <w:szCs w:val="20"/>
              </w:rPr>
              <w:t>184</w:t>
            </w:r>
          </w:p>
        </w:tc>
        <w:tc>
          <w:tcPr>
            <w:tcW w:w="1418" w:type="dxa"/>
          </w:tcPr>
          <w:p w:rsidR="00782FFC" w:rsidRPr="00156AEF" w:rsidRDefault="00782FFC" w:rsidP="00156AEF">
            <w:pPr>
              <w:rPr>
                <w:sz w:val="20"/>
                <w:szCs w:val="20"/>
              </w:rPr>
            </w:pPr>
            <w:r w:rsidRPr="00156AEF">
              <w:rPr>
                <w:sz w:val="20"/>
                <w:szCs w:val="20"/>
              </w:rPr>
              <w:t>48 weeks following the  last dose of</w:t>
            </w:r>
            <w:r w:rsidR="00156AEF">
              <w:rPr>
                <w:sz w:val="20"/>
                <w:szCs w:val="20"/>
              </w:rPr>
              <w:t xml:space="preserve"> </w:t>
            </w:r>
            <w:r w:rsidRPr="00156AEF">
              <w:rPr>
                <w:sz w:val="20"/>
                <w:szCs w:val="20"/>
              </w:rPr>
              <w:t>study treatment</w:t>
            </w:r>
          </w:p>
        </w:tc>
        <w:tc>
          <w:tcPr>
            <w:tcW w:w="1417" w:type="dxa"/>
          </w:tcPr>
          <w:p w:rsidR="00782FFC" w:rsidRPr="00156AEF" w:rsidRDefault="00782FFC" w:rsidP="00156AEF">
            <w:pPr>
              <w:rPr>
                <w:sz w:val="20"/>
                <w:szCs w:val="20"/>
              </w:rPr>
            </w:pPr>
            <w:r w:rsidRPr="00156AEF">
              <w:rPr>
                <w:sz w:val="20"/>
                <w:szCs w:val="20"/>
              </w:rPr>
              <w:t>Ongoing</w:t>
            </w:r>
          </w:p>
        </w:tc>
      </w:tr>
      <w:tr w:rsidR="00782FFC" w:rsidRPr="00156AEF" w:rsidTr="00291911">
        <w:tc>
          <w:tcPr>
            <w:tcW w:w="1574" w:type="dxa"/>
          </w:tcPr>
          <w:p w:rsidR="00782FFC" w:rsidRPr="00156AEF" w:rsidRDefault="00782FFC" w:rsidP="00156AEF">
            <w:pPr>
              <w:rPr>
                <w:sz w:val="20"/>
                <w:szCs w:val="20"/>
              </w:rPr>
            </w:pPr>
            <w:r w:rsidRPr="00156AEF">
              <w:rPr>
                <w:sz w:val="20"/>
                <w:szCs w:val="20"/>
              </w:rPr>
              <w:t>M14-250 (AGATE-2)</w:t>
            </w:r>
          </w:p>
          <w:p w:rsidR="00782FFC" w:rsidRPr="00156AEF" w:rsidRDefault="00782FFC" w:rsidP="00156AEF">
            <w:pPr>
              <w:rPr>
                <w:sz w:val="20"/>
                <w:szCs w:val="20"/>
              </w:rPr>
            </w:pPr>
          </w:p>
          <w:p w:rsidR="00782FFC" w:rsidRPr="00156AEF" w:rsidRDefault="00782FFC" w:rsidP="00156AEF">
            <w:pPr>
              <w:rPr>
                <w:sz w:val="20"/>
                <w:szCs w:val="20"/>
              </w:rPr>
            </w:pPr>
            <w:r w:rsidRPr="00156AEF">
              <w:rPr>
                <w:sz w:val="20"/>
                <w:szCs w:val="20"/>
              </w:rPr>
              <w:t>Commenced 2014</w:t>
            </w:r>
          </w:p>
        </w:tc>
        <w:tc>
          <w:tcPr>
            <w:tcW w:w="1913" w:type="dxa"/>
          </w:tcPr>
          <w:p w:rsidR="00782FFC" w:rsidRPr="00156AEF" w:rsidRDefault="00782FFC" w:rsidP="00156AEF">
            <w:pPr>
              <w:rPr>
                <w:sz w:val="20"/>
                <w:szCs w:val="20"/>
              </w:rPr>
            </w:pPr>
            <w:r w:rsidRPr="00156AEF">
              <w:rPr>
                <w:sz w:val="20"/>
                <w:szCs w:val="20"/>
              </w:rPr>
              <w:t xml:space="preserve">Phase </w:t>
            </w:r>
            <w:r w:rsidR="00786DBB" w:rsidRPr="00156AEF">
              <w:rPr>
                <w:sz w:val="20"/>
                <w:szCs w:val="20"/>
              </w:rPr>
              <w:t>III</w:t>
            </w:r>
            <w:r w:rsidRPr="00156AEF">
              <w:rPr>
                <w:sz w:val="20"/>
                <w:szCs w:val="20"/>
              </w:rPr>
              <w:t>, open-label, randomised, multicentre study in Egypt</w:t>
            </w:r>
          </w:p>
        </w:tc>
        <w:tc>
          <w:tcPr>
            <w:tcW w:w="1583" w:type="dxa"/>
          </w:tcPr>
          <w:p w:rsidR="00782FFC" w:rsidRPr="00156AEF" w:rsidRDefault="00782FFC" w:rsidP="00156AEF">
            <w:pPr>
              <w:rPr>
                <w:sz w:val="20"/>
                <w:szCs w:val="20"/>
              </w:rPr>
            </w:pPr>
            <w:r w:rsidRPr="00156AEF">
              <w:rPr>
                <w:rFonts w:eastAsiaTheme="minorHAnsi"/>
                <w:sz w:val="20"/>
                <w:szCs w:val="20"/>
                <w:lang w:eastAsia="en-US"/>
              </w:rPr>
              <w:t>HCV GT4-infected subjects with and without compensated</w:t>
            </w:r>
            <w:r w:rsidR="00156AEF">
              <w:rPr>
                <w:rFonts w:eastAsiaTheme="minorHAnsi"/>
                <w:sz w:val="20"/>
                <w:szCs w:val="20"/>
                <w:lang w:eastAsia="en-US"/>
              </w:rPr>
              <w:t xml:space="preserve"> </w:t>
            </w:r>
            <w:r w:rsidRPr="00156AEF">
              <w:rPr>
                <w:rFonts w:eastAsiaTheme="minorHAnsi"/>
                <w:sz w:val="20"/>
                <w:szCs w:val="20"/>
                <w:lang w:eastAsia="en-US"/>
              </w:rPr>
              <w:t xml:space="preserve">cirrhosis </w:t>
            </w:r>
          </w:p>
        </w:tc>
        <w:tc>
          <w:tcPr>
            <w:tcW w:w="1417" w:type="dxa"/>
          </w:tcPr>
          <w:p w:rsidR="00782FFC" w:rsidRPr="00156AEF" w:rsidRDefault="00782FFC" w:rsidP="00156AEF">
            <w:pPr>
              <w:rPr>
                <w:sz w:val="20"/>
                <w:szCs w:val="20"/>
              </w:rPr>
            </w:pPr>
            <w:r w:rsidRPr="00156AEF">
              <w:rPr>
                <w:sz w:val="20"/>
                <w:szCs w:val="20"/>
              </w:rPr>
              <w:t>160</w:t>
            </w:r>
          </w:p>
        </w:tc>
        <w:tc>
          <w:tcPr>
            <w:tcW w:w="1418" w:type="dxa"/>
          </w:tcPr>
          <w:p w:rsidR="00782FFC" w:rsidRPr="00156AEF" w:rsidRDefault="00782FFC" w:rsidP="00156AEF">
            <w:pPr>
              <w:rPr>
                <w:sz w:val="20"/>
                <w:szCs w:val="20"/>
              </w:rPr>
            </w:pPr>
            <w:r w:rsidRPr="00156AEF">
              <w:rPr>
                <w:sz w:val="20"/>
                <w:szCs w:val="20"/>
              </w:rPr>
              <w:t>48 weeks following the  last dose of</w:t>
            </w:r>
            <w:r w:rsidR="00156AEF">
              <w:rPr>
                <w:sz w:val="20"/>
                <w:szCs w:val="20"/>
              </w:rPr>
              <w:t xml:space="preserve"> </w:t>
            </w:r>
            <w:r w:rsidRPr="00156AEF">
              <w:rPr>
                <w:sz w:val="20"/>
                <w:szCs w:val="20"/>
              </w:rPr>
              <w:t>study treatment</w:t>
            </w:r>
          </w:p>
        </w:tc>
        <w:tc>
          <w:tcPr>
            <w:tcW w:w="1417" w:type="dxa"/>
          </w:tcPr>
          <w:p w:rsidR="00782FFC" w:rsidRPr="00156AEF" w:rsidRDefault="00782FFC" w:rsidP="00156AEF">
            <w:pPr>
              <w:rPr>
                <w:sz w:val="20"/>
                <w:szCs w:val="20"/>
              </w:rPr>
            </w:pPr>
            <w:r w:rsidRPr="00156AEF">
              <w:rPr>
                <w:sz w:val="20"/>
                <w:szCs w:val="20"/>
              </w:rPr>
              <w:t>Ongoing</w:t>
            </w:r>
          </w:p>
        </w:tc>
      </w:tr>
    </w:tbl>
    <w:p w:rsidR="00782FFC" w:rsidRDefault="00782FFC" w:rsidP="00782FFC">
      <w:pPr>
        <w:pStyle w:val="Heading5"/>
      </w:pPr>
      <w:r>
        <w:t>PEARL-1,</w:t>
      </w:r>
      <w:r w:rsidRPr="00CF6A81">
        <w:t xml:space="preserve"> M13-393</w:t>
      </w:r>
    </w:p>
    <w:p w:rsidR="00782FFC" w:rsidRPr="00782FFC" w:rsidRDefault="00782FFC" w:rsidP="00782FFC">
      <w:r w:rsidRPr="00782FFC">
        <w:t>This was an open</w:t>
      </w:r>
      <w:r w:rsidR="00786DBB">
        <w:t xml:space="preserve"> label, randomised, Phase II</w:t>
      </w:r>
      <w:r w:rsidRPr="00782FFC">
        <w:t>, efficacy and safety study of the 2-DAA combination treatment administered with and without RBV in adults with chronic HCV infection.</w:t>
      </w:r>
    </w:p>
    <w:p w:rsidR="00782FFC" w:rsidRPr="00782FFC" w:rsidRDefault="00782FFC" w:rsidP="00782FFC">
      <w:r w:rsidRPr="00782FFC">
        <w:t>The study objectives were to compare the effects of the 2-DAA regimen with and without RBV on SVR12 rates in treatment</w:t>
      </w:r>
      <w:r w:rsidR="00CD2BE9">
        <w:t xml:space="preserve"> </w:t>
      </w:r>
      <w:r w:rsidRPr="00782FFC">
        <w:t>naïve and treatment</w:t>
      </w:r>
      <w:r w:rsidR="00CD2BE9">
        <w:t xml:space="preserve"> </w:t>
      </w:r>
      <w:r w:rsidRPr="00782FFC">
        <w:t>experienced non-cirrhotic patients with HCV GT4 infection and in patients with and without cirrhosis with HCV GT1b infection. The study drugs were given as tablets (ABT-450, ABT-267 and RBV) or capsules (ritonavir) and the FDC formulation proposed for marketing was not used.</w:t>
      </w:r>
    </w:p>
    <w:p w:rsidR="00782FFC" w:rsidRPr="00782FFC" w:rsidRDefault="00782FFC" w:rsidP="00782FFC">
      <w:r w:rsidRPr="00782FFC">
        <w:t>Preliminary results at 12 weeks post treatment (SVR12) have been published.</w:t>
      </w:r>
      <w:r w:rsidR="00930A8B">
        <w:rPr>
          <w:rStyle w:val="FootnoteReference"/>
        </w:rPr>
        <w:footnoteReference w:id="4"/>
      </w:r>
      <w:r w:rsidRPr="00782FFC">
        <w:t xml:space="preserve"> It was stated that the rationale for examining this comb</w:t>
      </w:r>
      <w:r w:rsidR="00786DBB">
        <w:t>ination regimen in HCV GT</w:t>
      </w:r>
      <w:r w:rsidRPr="00782FFC">
        <w:t>4</w:t>
      </w:r>
      <w:r w:rsidR="00CD2BE9">
        <w:t xml:space="preserve"> </w:t>
      </w:r>
      <w:r w:rsidRPr="00782FFC">
        <w:t xml:space="preserve">infected </w:t>
      </w:r>
      <w:r w:rsidRPr="00782FFC">
        <w:lastRenderedPageBreak/>
        <w:t>patients was based on the comparable in</w:t>
      </w:r>
      <w:r w:rsidR="00CD2BE9">
        <w:t xml:space="preserve"> </w:t>
      </w:r>
      <w:r w:rsidRPr="00782FFC">
        <w:t xml:space="preserve">vitro potency of these two </w:t>
      </w:r>
      <w:r w:rsidR="004654DD">
        <w:t>DAA</w:t>
      </w:r>
      <w:r w:rsidRPr="00782FFC">
        <w:t xml:space="preserve"> antiviral dru</w:t>
      </w:r>
      <w:r w:rsidR="00930A8B">
        <w:t xml:space="preserve">gs for HCV </w:t>
      </w:r>
      <w:r w:rsidR="00786DBB">
        <w:t>GT</w:t>
      </w:r>
      <w:r w:rsidR="00930A8B">
        <w:t xml:space="preserve">1b and </w:t>
      </w:r>
      <w:r w:rsidR="00786DBB">
        <w:t>GT</w:t>
      </w:r>
      <w:r w:rsidR="00930A8B">
        <w:t>4a.</w:t>
      </w:r>
    </w:p>
    <w:p w:rsidR="00782FFC" w:rsidRPr="00782FFC" w:rsidRDefault="00782FFC" w:rsidP="00782FFC">
      <w:r w:rsidRPr="00782FFC">
        <w:t>During the treatment periods, patients were given the 2-DAA regimen with or without RBV for 12 or 24 weeks. During the post</w:t>
      </w:r>
      <w:r w:rsidR="00B45A08">
        <w:t xml:space="preserve"> </w:t>
      </w:r>
      <w:r w:rsidRPr="00782FFC">
        <w:t>treatment period, patients who completed the study or prematurely discontinued during the treatment period were followed for a total of 48 weeks to assess HCV RNA levels and the emergence of viral resistance. The study was divided into two sub-studies in treatment</w:t>
      </w:r>
      <w:r w:rsidR="00B45A08">
        <w:t xml:space="preserve"> </w:t>
      </w:r>
      <w:r w:rsidRPr="00782FFC">
        <w:t>naïve and treatment</w:t>
      </w:r>
      <w:r w:rsidR="00B45A08">
        <w:t xml:space="preserve"> </w:t>
      </w:r>
      <w:r w:rsidRPr="00782FFC">
        <w:t>experienced non-cirrhotic patients and patients with compensated cirrhosis.</w:t>
      </w:r>
    </w:p>
    <w:p w:rsidR="00782FFC" w:rsidRDefault="00782FFC" w:rsidP="00782FFC">
      <w:r w:rsidRPr="00782FFC">
        <w:t xml:space="preserve">Of note, patients with HCV </w:t>
      </w:r>
      <w:r w:rsidR="00B45A08">
        <w:t>GT</w:t>
      </w:r>
      <w:r w:rsidRPr="00782FFC">
        <w:t>4 and cirrhosis were not included.</w:t>
      </w:r>
    </w:p>
    <w:p w:rsidR="00782FFC" w:rsidRPr="00782FFC" w:rsidRDefault="00782FFC" w:rsidP="00782FFC">
      <w:r w:rsidRPr="00782FFC">
        <w:t>The primary efficacy outcome was a comparison of the percentage of patients achieving SVR</w:t>
      </w:r>
      <w:r w:rsidRPr="00782FFC">
        <w:rPr>
          <w:vertAlign w:val="subscript"/>
        </w:rPr>
        <w:t>12</w:t>
      </w:r>
      <w:r w:rsidRPr="00782FFC">
        <w:t xml:space="preserve"> after treatment with:</w:t>
      </w:r>
    </w:p>
    <w:p w:rsidR="00782FFC" w:rsidRPr="00782FFC" w:rsidRDefault="00782FFC" w:rsidP="00782FFC">
      <w:pPr>
        <w:pStyle w:val="ListBullet"/>
      </w:pPr>
      <w:r w:rsidRPr="00782FFC">
        <w:t>The 2-DAA regimen</w:t>
      </w:r>
    </w:p>
    <w:p w:rsidR="00782FFC" w:rsidRPr="00782FFC" w:rsidRDefault="00782FFC" w:rsidP="00782FFC">
      <w:pPr>
        <w:pStyle w:val="ListBullet2"/>
      </w:pPr>
      <w:r w:rsidRPr="00782FFC">
        <w:t>among treatment</w:t>
      </w:r>
      <w:r w:rsidR="00B45A08">
        <w:t xml:space="preserve"> </w:t>
      </w:r>
      <w:r w:rsidRPr="00782FFC">
        <w:t xml:space="preserve">naïve and prior </w:t>
      </w:r>
      <w:proofErr w:type="spellStart"/>
      <w:r w:rsidRPr="00782FFC">
        <w:t>pegIFN</w:t>
      </w:r>
      <w:proofErr w:type="spellEnd"/>
      <w:r w:rsidRPr="00782FFC">
        <w:t xml:space="preserve">/RBV null responder HCV GT1b-infected patients without cirrhosis </w:t>
      </w:r>
    </w:p>
    <w:p w:rsidR="00782FFC" w:rsidRPr="00782FFC" w:rsidRDefault="00782FFC" w:rsidP="00782FFC">
      <w:pPr>
        <w:pStyle w:val="ListBullet2"/>
      </w:pPr>
      <w:r w:rsidRPr="00782FFC">
        <w:t>among treatment</w:t>
      </w:r>
      <w:r w:rsidR="00B45A08">
        <w:t xml:space="preserve"> </w:t>
      </w:r>
      <w:r w:rsidRPr="00782FFC">
        <w:t xml:space="preserve">naïve and </w:t>
      </w:r>
      <w:proofErr w:type="spellStart"/>
      <w:r w:rsidRPr="00782FFC">
        <w:t>pegIFN</w:t>
      </w:r>
      <w:proofErr w:type="spellEnd"/>
      <w:r w:rsidRPr="00782FFC">
        <w:t>/RBV treatment</w:t>
      </w:r>
      <w:r w:rsidR="00C80DEE">
        <w:t xml:space="preserve"> </w:t>
      </w:r>
      <w:r w:rsidRPr="00782FFC">
        <w:t>experienced HCV</w:t>
      </w:r>
      <w:r w:rsidR="00C80DEE">
        <w:t xml:space="preserve"> </w:t>
      </w:r>
      <w:r w:rsidRPr="00782FFC">
        <w:t>GT1b-infected patients with compensated cirrhosis</w:t>
      </w:r>
    </w:p>
    <w:p w:rsidR="00782FFC" w:rsidRPr="00782FFC" w:rsidRDefault="00782FFC" w:rsidP="00782FFC">
      <w:pPr>
        <w:pStyle w:val="ListBullet"/>
      </w:pPr>
      <w:r w:rsidRPr="00782FFC">
        <w:t>The 2-DAA regimen with and without RBV</w:t>
      </w:r>
    </w:p>
    <w:p w:rsidR="00782FFC" w:rsidRPr="00782FFC" w:rsidRDefault="00782FFC" w:rsidP="00782FFC">
      <w:pPr>
        <w:pStyle w:val="ListBullet2"/>
      </w:pPr>
      <w:r w:rsidRPr="00782FFC">
        <w:t xml:space="preserve">among treatment-naïve and </w:t>
      </w:r>
      <w:proofErr w:type="spellStart"/>
      <w:r w:rsidRPr="00782FFC">
        <w:t>pegIFN</w:t>
      </w:r>
      <w:proofErr w:type="spellEnd"/>
      <w:r w:rsidRPr="00782FFC">
        <w:t>/RBV treatment</w:t>
      </w:r>
      <w:r w:rsidR="00C80DEE">
        <w:t xml:space="preserve"> </w:t>
      </w:r>
      <w:r w:rsidRPr="00782FFC">
        <w:t>experienced HCV GT4-infected patients</w:t>
      </w:r>
    </w:p>
    <w:p w:rsidR="00782FFC" w:rsidRPr="00782FFC" w:rsidRDefault="00782FFC" w:rsidP="00782FFC">
      <w:r w:rsidRPr="00782FFC">
        <w:t>Other efficacy outcomes included:</w:t>
      </w:r>
    </w:p>
    <w:p w:rsidR="00782FFC" w:rsidRPr="00782FFC" w:rsidRDefault="00782FFC" w:rsidP="00782FFC">
      <w:pPr>
        <w:pStyle w:val="ListBullet"/>
      </w:pPr>
      <w:r w:rsidRPr="00782FFC">
        <w:t>The percentage of patients achieving SVR</w:t>
      </w:r>
      <w:r w:rsidRPr="00782FFC">
        <w:rPr>
          <w:vertAlign w:val="subscript"/>
        </w:rPr>
        <w:t>24</w:t>
      </w:r>
    </w:p>
    <w:p w:rsidR="00782FFC" w:rsidRPr="00782FFC" w:rsidRDefault="00782FFC" w:rsidP="00782FFC">
      <w:pPr>
        <w:pStyle w:val="ListBullet"/>
      </w:pPr>
      <w:r w:rsidRPr="00782FFC">
        <w:t xml:space="preserve">The percentage of patients with on-treatment </w:t>
      </w:r>
      <w:proofErr w:type="spellStart"/>
      <w:r w:rsidRPr="00782FFC">
        <w:t>virologic</w:t>
      </w:r>
      <w:proofErr w:type="spellEnd"/>
      <w:r w:rsidRPr="00782FFC">
        <w:t xml:space="preserve"> failure</w:t>
      </w:r>
    </w:p>
    <w:p w:rsidR="00782FFC" w:rsidRPr="00782FFC" w:rsidRDefault="00782FFC" w:rsidP="00782FFC">
      <w:pPr>
        <w:pStyle w:val="ListBullet"/>
      </w:pPr>
      <w:r w:rsidRPr="00782FFC">
        <w:t>The percentage of patients with post-treatment relapse</w:t>
      </w:r>
    </w:p>
    <w:p w:rsidR="00782FFC" w:rsidRPr="004D7D7B" w:rsidRDefault="00782FFC" w:rsidP="0063448B">
      <w:pPr>
        <w:pStyle w:val="Heading5"/>
      </w:pPr>
      <w:r w:rsidRPr="004D7D7B">
        <w:t>Sample size</w:t>
      </w:r>
    </w:p>
    <w:p w:rsidR="00782FFC" w:rsidRDefault="00782FFC" w:rsidP="0063448B">
      <w:r w:rsidRPr="0063448B">
        <w:t>For the primary endpoint of SVR12, the assumed rates were 70% in Group 3 and 95% in Group 2. Using Fisher’s exact test with a 2-sided significance level of 0.05, 40 patients in each group had 80% power to detect a difference of 25% between the non-cirrhotic HCV GT1b</w:t>
      </w:r>
      <w:r w:rsidR="00CD2BE9">
        <w:t xml:space="preserve"> </w:t>
      </w:r>
      <w:r w:rsidRPr="0063448B">
        <w:t>infected treatment</w:t>
      </w:r>
      <w:r w:rsidR="00C80DEE">
        <w:t xml:space="preserve"> </w:t>
      </w:r>
      <w:r w:rsidRPr="0063448B">
        <w:t>naïve patients and prior null responders treated with the 2-DAA regimen for 12 weeks.</w:t>
      </w:r>
    </w:p>
    <w:p w:rsidR="00B44C0D" w:rsidRDefault="00AF7C73" w:rsidP="00B44C0D">
      <w:pPr>
        <w:pStyle w:val="FigureTitle"/>
      </w:pPr>
      <w:r>
        <w:lastRenderedPageBreak/>
        <w:t xml:space="preserve">Figure </w:t>
      </w:r>
      <w:r w:rsidR="00930A8B">
        <w:t>3</w:t>
      </w:r>
      <w:r>
        <w:t xml:space="preserve">: </w:t>
      </w:r>
      <w:r w:rsidR="00702DCF" w:rsidRPr="00702DCF">
        <w:t>S</w:t>
      </w:r>
      <w:r w:rsidR="00702DCF">
        <w:t>tudy schematic M13-393.</w:t>
      </w:r>
    </w:p>
    <w:p w:rsidR="00B44C0D" w:rsidRDefault="00B44C0D" w:rsidP="00156AEF">
      <w:r>
        <w:rPr>
          <w:noProof/>
          <w:lang w:eastAsia="en-AU"/>
        </w:rPr>
        <w:drawing>
          <wp:inline distT="0" distB="0" distL="0" distR="0" wp14:anchorId="0843752F" wp14:editId="1EF3367C">
            <wp:extent cx="5400040" cy="3187524"/>
            <wp:effectExtent l="0" t="0" r="0" b="0"/>
            <wp:docPr id="14" name="Picture 14" descr="Figure 3: Study schematic M13-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400040" cy="3187524"/>
                    </a:xfrm>
                    <a:prstGeom prst="rect">
                      <a:avLst/>
                    </a:prstGeom>
                  </pic:spPr>
                </pic:pic>
              </a:graphicData>
            </a:graphic>
          </wp:inline>
        </w:drawing>
      </w:r>
    </w:p>
    <w:p w:rsidR="00782FFC" w:rsidRDefault="00782FFC" w:rsidP="00156AEF">
      <w:pPr>
        <w:pStyle w:val="FigureDescription"/>
      </w:pPr>
      <w:r w:rsidRPr="003B0876">
        <w:t>Note: Group 5 was cancelled and no patients were enrolled.</w:t>
      </w:r>
    </w:p>
    <w:p w:rsidR="00782FFC" w:rsidRPr="004D7D7B" w:rsidRDefault="00782FFC" w:rsidP="00332EE4">
      <w:pPr>
        <w:pStyle w:val="Heading5"/>
      </w:pPr>
      <w:r w:rsidRPr="004D7D7B">
        <w:t>Results</w:t>
      </w:r>
    </w:p>
    <w:p w:rsidR="00BD69F3" w:rsidRDefault="00BD69F3" w:rsidP="00782FFC">
      <w:pPr>
        <w:spacing w:before="0" w:after="0" w:line="240" w:lineRule="auto"/>
        <w:rPr>
          <w:rStyle w:val="Heading6Char"/>
          <w:rFonts w:eastAsia="Cambria"/>
        </w:rPr>
      </w:pPr>
      <w:r>
        <w:rPr>
          <w:rStyle w:val="Heading6Char"/>
          <w:rFonts w:eastAsia="Cambria"/>
        </w:rPr>
        <w:t>HCV GT4 Groups</w:t>
      </w:r>
    </w:p>
    <w:p w:rsidR="00BD69F3" w:rsidRPr="00BD69F3" w:rsidRDefault="00782FFC" w:rsidP="00BD69F3">
      <w:r w:rsidRPr="00BD69F3">
        <w:t>A total of 120 patients were planned and 135 patients were randomised in Groups 1, 4 and 6. A total of 130 patients completed the study</w:t>
      </w:r>
      <w:r w:rsidR="00B44C0D">
        <w:t>.</w:t>
      </w:r>
    </w:p>
    <w:p w:rsidR="00BD69F3" w:rsidRDefault="00BD69F3" w:rsidP="00782FFC">
      <w:pPr>
        <w:spacing w:before="0" w:after="0" w:line="240" w:lineRule="auto"/>
        <w:rPr>
          <w:rStyle w:val="Heading6Char"/>
          <w:rFonts w:eastAsia="Cambria"/>
        </w:rPr>
      </w:pPr>
      <w:r>
        <w:rPr>
          <w:rStyle w:val="Heading6Char"/>
          <w:rFonts w:eastAsia="Cambria"/>
        </w:rPr>
        <w:t>HCV GT1b Groups</w:t>
      </w:r>
    </w:p>
    <w:p w:rsidR="00782FFC" w:rsidRPr="00BD69F3" w:rsidRDefault="00782FFC" w:rsidP="00BD69F3">
      <w:r w:rsidRPr="00BD69F3">
        <w:t xml:space="preserve">A total of 80 </w:t>
      </w:r>
      <w:r w:rsidRPr="00BD69F3">
        <w:rPr>
          <w:b/>
        </w:rPr>
        <w:t>non-cirrhotic</w:t>
      </w:r>
      <w:r w:rsidRPr="00BD69F3">
        <w:t xml:space="preserve"> patients were planned and 82 patients were randomised in Groups 2 and 3. A total of 79 patients completed the study. </w:t>
      </w:r>
    </w:p>
    <w:p w:rsidR="00782FFC" w:rsidRPr="00BD69F3" w:rsidRDefault="00782FFC" w:rsidP="00BD69F3">
      <w:r w:rsidRPr="00BD69F3">
        <w:t xml:space="preserve">A total of 80 patients with </w:t>
      </w:r>
      <w:r w:rsidRPr="00BD69F3">
        <w:rPr>
          <w:b/>
        </w:rPr>
        <w:t>compensated cirrhosis</w:t>
      </w:r>
      <w:r w:rsidRPr="00BD69F3">
        <w:t xml:space="preserve"> were planned and 99 patients were randomised in Groups 7 and 8. A total of 96 patients completed the study</w:t>
      </w:r>
      <w:r w:rsidR="00B44C0D">
        <w:t>.</w:t>
      </w:r>
    </w:p>
    <w:p w:rsidR="00782FFC" w:rsidRPr="00976550" w:rsidRDefault="00782FFC" w:rsidP="00BD69F3">
      <w:pPr>
        <w:pStyle w:val="Heading5"/>
        <w:rPr>
          <w:lang w:eastAsia="en-AU"/>
        </w:rPr>
      </w:pPr>
      <w:r w:rsidRPr="00976550">
        <w:rPr>
          <w:lang w:eastAsia="en-AU"/>
        </w:rPr>
        <w:t>Results for the primary efficacy outcome</w:t>
      </w:r>
    </w:p>
    <w:p w:rsidR="00BD69F3" w:rsidRDefault="00BD69F3" w:rsidP="00782FF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line="240" w:lineRule="auto"/>
        <w:rPr>
          <w:rStyle w:val="Heading6Char"/>
          <w:rFonts w:eastAsia="Cambria"/>
        </w:rPr>
      </w:pPr>
      <w:r>
        <w:rPr>
          <w:rStyle w:val="Heading6Char"/>
          <w:rFonts w:eastAsia="Cambria"/>
        </w:rPr>
        <w:t>HCV GT4 Groups</w:t>
      </w:r>
    </w:p>
    <w:p w:rsidR="00782FFC" w:rsidRDefault="00782FFC" w:rsidP="00782FF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line="240" w:lineRule="auto"/>
      </w:pPr>
      <w:r w:rsidRPr="00BD69F3">
        <w:t>SVR</w:t>
      </w:r>
      <w:r w:rsidRPr="00BD69F3">
        <w:rPr>
          <w:vertAlign w:val="subscript"/>
        </w:rPr>
        <w:t>12</w:t>
      </w:r>
      <w:r w:rsidRPr="00BD69F3">
        <w:t xml:space="preserve"> was achieved in 90.9% (95% CI: 78.3, 97.5) of treatment</w:t>
      </w:r>
      <w:r w:rsidR="00BC5B02">
        <w:t xml:space="preserve"> </w:t>
      </w:r>
      <w:r w:rsidRPr="00BD69F3">
        <w:t>naïve patients treated with 2-DAA (Group 1); in 100% (95% CI: 91.6, 100.0) of treatment</w:t>
      </w:r>
      <w:r w:rsidR="00BC5B02">
        <w:t xml:space="preserve"> </w:t>
      </w:r>
      <w:r w:rsidRPr="00BD69F3">
        <w:t>naïve patients treated with 2-DAA + RBV (Group 4); and in 100% (95% CI: 92.7, 100) of treatment</w:t>
      </w:r>
      <w:r w:rsidR="00BC5B02">
        <w:t xml:space="preserve"> </w:t>
      </w:r>
      <w:r w:rsidRPr="00BD69F3">
        <w:t>experienced patients treated with 2-DAA + R</w:t>
      </w:r>
      <w:r w:rsidR="00BC5B02">
        <w:t>BV (Group 6)</w:t>
      </w:r>
      <w:r w:rsidRPr="00BD69F3">
        <w:t>. The adjusted treatment difference between Groups 1 and 4 was -9.16% (95% CI: -19.61, 1.29) which was not statistically significant (p</w:t>
      </w:r>
      <w:r w:rsidR="00093B28">
        <w:t xml:space="preserve"> </w:t>
      </w:r>
      <w:r w:rsidRPr="00BD69F3">
        <w:t>=</w:t>
      </w:r>
      <w:r w:rsidR="00093B28">
        <w:t xml:space="preserve"> </w:t>
      </w:r>
      <w:r w:rsidRPr="00BD69F3">
        <w:t>0.086). Four patients (all i</w:t>
      </w:r>
      <w:r w:rsidR="00D707CF">
        <w:t>n Group 1) were non-responders.</w:t>
      </w:r>
    </w:p>
    <w:p w:rsidR="00782FFC" w:rsidRPr="00125947" w:rsidRDefault="00D707CF" w:rsidP="00125947">
      <w:pPr>
        <w:pStyle w:val="FigureTitle"/>
      </w:pPr>
      <w:r>
        <w:lastRenderedPageBreak/>
        <w:t xml:space="preserve">Figure </w:t>
      </w:r>
      <w:r w:rsidR="00930A8B">
        <w:t>4</w:t>
      </w:r>
      <w:r>
        <w:t xml:space="preserve">: </w:t>
      </w:r>
      <w:r w:rsidR="00125947" w:rsidRPr="00125947">
        <w:t xml:space="preserve">Results for primary outcomes in patients with HCV </w:t>
      </w:r>
      <w:r w:rsidR="008927E3">
        <w:t>GT</w:t>
      </w:r>
      <w:r w:rsidR="00125947" w:rsidRPr="00125947">
        <w:t>4 infection</w:t>
      </w:r>
      <w:r w:rsidR="00125947">
        <w:t>.</w:t>
      </w:r>
    </w:p>
    <w:p w:rsidR="00782FFC" w:rsidRPr="00453D6F" w:rsidRDefault="00125947" w:rsidP="00782FF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line="240" w:lineRule="auto"/>
        <w:rPr>
          <w:rFonts w:eastAsia="Times New Roman"/>
          <w:b/>
          <w:szCs w:val="24"/>
          <w:lang w:eastAsia="en-AU"/>
        </w:rPr>
      </w:pPr>
      <w:r>
        <w:rPr>
          <w:noProof/>
          <w:lang w:eastAsia="en-AU"/>
        </w:rPr>
        <w:drawing>
          <wp:inline distT="0" distB="0" distL="0" distR="0" wp14:anchorId="4B7B2128" wp14:editId="4DB3E840">
            <wp:extent cx="5400040" cy="3101561"/>
            <wp:effectExtent l="0" t="0" r="0" b="3810"/>
            <wp:docPr id="11" name="Picture 11" descr="Figure 4: Results for primary outcomes in patients with HCV GT4 inf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400040" cy="3101561"/>
                    </a:xfrm>
                    <a:prstGeom prst="rect">
                      <a:avLst/>
                    </a:prstGeom>
                  </pic:spPr>
                </pic:pic>
              </a:graphicData>
            </a:graphic>
          </wp:inline>
        </w:drawing>
      </w:r>
    </w:p>
    <w:p w:rsidR="00125947" w:rsidRPr="00125947" w:rsidRDefault="00782FFC" w:rsidP="00156AEF">
      <w:pPr>
        <w:pStyle w:val="FigureDescription"/>
      </w:pPr>
      <w:r w:rsidRPr="00125947">
        <w:t>Error bars represent 95% CIs. HCV</w:t>
      </w:r>
      <w:r w:rsidR="00125947" w:rsidRPr="00125947">
        <w:t xml:space="preserve"> </w:t>
      </w:r>
      <w:r w:rsidRPr="00125947">
        <w:t>=</w:t>
      </w:r>
      <w:r w:rsidR="00125947" w:rsidRPr="00125947">
        <w:t xml:space="preserve"> </w:t>
      </w:r>
      <w:r w:rsidRPr="00125947">
        <w:t>hepatitis C virus. OBV</w:t>
      </w:r>
      <w:r w:rsidR="00125947" w:rsidRPr="00125947">
        <w:t xml:space="preserve"> </w:t>
      </w:r>
      <w:r w:rsidRPr="00125947">
        <w:t>=</w:t>
      </w:r>
      <w:r w:rsidR="00125947" w:rsidRPr="00125947">
        <w:t xml:space="preserve"> </w:t>
      </w:r>
      <w:proofErr w:type="spellStart"/>
      <w:r w:rsidRPr="00125947">
        <w:t>ombitasvir</w:t>
      </w:r>
      <w:proofErr w:type="spellEnd"/>
      <w:r w:rsidRPr="00125947">
        <w:t>. PTV</w:t>
      </w:r>
      <w:r w:rsidR="00125947" w:rsidRPr="00125947">
        <w:t xml:space="preserve"> </w:t>
      </w:r>
      <w:r w:rsidRPr="00125947">
        <w:t>=</w:t>
      </w:r>
      <w:r w:rsidR="00125947" w:rsidRPr="00125947">
        <w:t xml:space="preserve"> </w:t>
      </w:r>
      <w:proofErr w:type="spellStart"/>
      <w:r w:rsidRPr="00125947">
        <w:t>paritaprevir</w:t>
      </w:r>
      <w:proofErr w:type="spellEnd"/>
      <w:r w:rsidRPr="00125947">
        <w:t>. r</w:t>
      </w:r>
      <w:r w:rsidR="00125947" w:rsidRPr="00125947">
        <w:t xml:space="preserve"> </w:t>
      </w:r>
      <w:r w:rsidRPr="00125947">
        <w:t>=</w:t>
      </w:r>
      <w:r w:rsidR="00125947" w:rsidRPr="00125947">
        <w:t xml:space="preserve"> </w:t>
      </w:r>
      <w:r w:rsidRPr="00125947">
        <w:t>ritonavir. RBV</w:t>
      </w:r>
      <w:r w:rsidR="00125947" w:rsidRPr="00125947">
        <w:t xml:space="preserve"> </w:t>
      </w:r>
      <w:r w:rsidRPr="00125947">
        <w:t>=</w:t>
      </w:r>
      <w:r w:rsidR="00125947" w:rsidRPr="00125947">
        <w:t xml:space="preserve"> </w:t>
      </w:r>
      <w:r w:rsidRPr="00125947">
        <w:t>ribavirin.</w:t>
      </w:r>
      <w:r w:rsidR="00125947" w:rsidRPr="00125947">
        <w:t xml:space="preserve"> </w:t>
      </w:r>
      <w:r w:rsidRPr="00125947">
        <w:t>RVR</w:t>
      </w:r>
      <w:r w:rsidR="00125947" w:rsidRPr="00125947">
        <w:t xml:space="preserve"> </w:t>
      </w:r>
      <w:r w:rsidRPr="00125947">
        <w:t>=</w:t>
      </w:r>
      <w:r w:rsidR="00125947" w:rsidRPr="00125947">
        <w:t xml:space="preserve"> </w:t>
      </w:r>
      <w:r w:rsidRPr="00125947">
        <w:t>rapid virological response (HCV RNA &lt;25 IU/mL at treatment week 4). SVR4</w:t>
      </w:r>
      <w:r w:rsidR="00125947" w:rsidRPr="00125947">
        <w:t xml:space="preserve"> </w:t>
      </w:r>
      <w:r w:rsidRPr="00125947">
        <w:t>=</w:t>
      </w:r>
      <w:r w:rsidR="00125947" w:rsidRPr="00125947">
        <w:t xml:space="preserve"> </w:t>
      </w:r>
      <w:r w:rsidRPr="00125947">
        <w:t>sustained virological response</w:t>
      </w:r>
      <w:r w:rsidR="001772E2">
        <w:t xml:space="preserve"> </w:t>
      </w:r>
      <w:r w:rsidRPr="00125947">
        <w:t>(HCV RNA &lt;25 IU/mL) 4 weeks after the last dose of study medication. SVR12</w:t>
      </w:r>
      <w:r w:rsidR="00125947" w:rsidRPr="00125947">
        <w:t xml:space="preserve"> </w:t>
      </w:r>
      <w:r w:rsidRPr="00125947">
        <w:t>=</w:t>
      </w:r>
      <w:r w:rsidR="00125947" w:rsidRPr="00125947">
        <w:t xml:space="preserve"> </w:t>
      </w:r>
      <w:r w:rsidRPr="00125947">
        <w:t>sustained virological response 12 weeks after the last dose of</w:t>
      </w:r>
      <w:r w:rsidR="001A15FC">
        <w:t xml:space="preserve"> study drug (primary endpoint</w:t>
      </w:r>
      <w:r w:rsidR="001772E2">
        <w:t>)</w:t>
      </w:r>
    </w:p>
    <w:p w:rsidR="00BD69F3" w:rsidRPr="00125947" w:rsidRDefault="00BD69F3" w:rsidP="00125947">
      <w:pPr>
        <w:pStyle w:val="Heading6"/>
      </w:pPr>
      <w:r w:rsidRPr="00125947">
        <w:t xml:space="preserve">HCV GT1b </w:t>
      </w:r>
      <w:r w:rsidR="00156AEF">
        <w:t>groups</w:t>
      </w:r>
    </w:p>
    <w:p w:rsidR="00782FFC" w:rsidRPr="00125947" w:rsidRDefault="00782FFC" w:rsidP="00125947">
      <w:r w:rsidRPr="00125947">
        <w:t>In the primary comparison of Groups 2 and 3, SVR12 was achieved in 95.2% (95% CI: 83.8, 99.4) of treatment</w:t>
      </w:r>
      <w:r w:rsidR="001A15FC">
        <w:t xml:space="preserve"> </w:t>
      </w:r>
      <w:r w:rsidRPr="00125947">
        <w:t>naïve patients, compared with 90% (95% CI: 76.3, 97.2) of treatment</w:t>
      </w:r>
      <w:r w:rsidR="001A15FC">
        <w:t xml:space="preserve"> </w:t>
      </w:r>
      <w:r w:rsidRPr="00125947">
        <w:t xml:space="preserve">experienced null responders, all treated with </w:t>
      </w:r>
      <w:r w:rsidR="001A15FC">
        <w:t xml:space="preserve">2-DAA for 12 weeks. </w:t>
      </w:r>
      <w:r w:rsidRPr="00125947">
        <w:t>Two patients in Group 2 and four patients in Group 3 were non-responders. The adjusted estimate of the treatment difference between Groups 2 and 3 was 5.53% (95% CI: -8.48, 19.55) which was not statistically significant (p</w:t>
      </w:r>
      <w:r w:rsidR="001A15FC">
        <w:t xml:space="preserve"> </w:t>
      </w:r>
      <w:r w:rsidRPr="00125947">
        <w:t>=</w:t>
      </w:r>
      <w:r w:rsidR="001A15FC">
        <w:t xml:space="preserve"> 0.439). </w:t>
      </w:r>
      <w:r w:rsidRPr="00125947">
        <w:t>In patients with cirrhosis treated with 2-DAA for 24 weeks, SVR12 was achieved in 97.9% (95% CI: 88.7, 99.9) of treatment</w:t>
      </w:r>
      <w:r w:rsidR="001A15FC">
        <w:t xml:space="preserve"> </w:t>
      </w:r>
      <w:r w:rsidRPr="00125947">
        <w:t>naïve patients (Group 7) and 98.1% (95% CI: 89.7, 100) of treatment</w:t>
      </w:r>
      <w:r w:rsidR="001A15FC">
        <w:t xml:space="preserve"> </w:t>
      </w:r>
      <w:r w:rsidRPr="00125947">
        <w:t xml:space="preserve">experienced patients (Group 8). One patient (1.0%) in each group was a non-responder. </w:t>
      </w:r>
    </w:p>
    <w:p w:rsidR="00782FFC" w:rsidRDefault="00782FFC" w:rsidP="00782FFC">
      <w:pPr>
        <w:tabs>
          <w:tab w:val="left" w:pos="3360"/>
        </w:tabs>
        <w:spacing w:before="0" w:after="0" w:line="240" w:lineRule="auto"/>
        <w:rPr>
          <w:rFonts w:asciiTheme="minorHAnsi" w:hAnsiTheme="minorHAnsi"/>
        </w:rPr>
      </w:pPr>
      <w:r w:rsidRPr="00976550">
        <w:rPr>
          <w:rFonts w:asciiTheme="minorHAnsi" w:hAnsiTheme="minorHAnsi"/>
        </w:rPr>
        <w:t>The evaluator commented that</w:t>
      </w:r>
      <w:r>
        <w:rPr>
          <w:rFonts w:asciiTheme="minorHAnsi" w:hAnsiTheme="minorHAnsi"/>
        </w:rPr>
        <w:t xml:space="preserve"> t</w:t>
      </w:r>
      <w:r w:rsidRPr="00976550">
        <w:rPr>
          <w:rFonts w:asciiTheme="minorHAnsi" w:hAnsiTheme="minorHAnsi"/>
        </w:rPr>
        <w:t xml:space="preserve">he study was powered to </w:t>
      </w:r>
      <w:r>
        <w:rPr>
          <w:rFonts w:asciiTheme="minorHAnsi" w:hAnsiTheme="minorHAnsi"/>
        </w:rPr>
        <w:t xml:space="preserve">only </w:t>
      </w:r>
      <w:r w:rsidRPr="00976550">
        <w:rPr>
          <w:rFonts w:asciiTheme="minorHAnsi" w:hAnsiTheme="minorHAnsi"/>
        </w:rPr>
        <w:t>detect a 25% difference between groups. Patients with GT1b infection did not receive RBV. However, all non-cirrhotic GT4 patients achieved SVR12 after 12 weeks treatment with 2-DAA + RBV</w:t>
      </w:r>
      <w:r w:rsidR="001A15FC">
        <w:rPr>
          <w:rFonts w:asciiTheme="minorHAnsi" w:hAnsiTheme="minorHAnsi"/>
        </w:rPr>
        <w:t>.</w:t>
      </w:r>
    </w:p>
    <w:p w:rsidR="00782FFC" w:rsidRPr="00BD69F3" w:rsidRDefault="00782FFC" w:rsidP="00BD69F3">
      <w:pPr>
        <w:pStyle w:val="Heading5"/>
      </w:pPr>
      <w:r w:rsidRPr="00BD69F3">
        <w:t>Results for other efficacy outcomes</w:t>
      </w:r>
    </w:p>
    <w:p w:rsidR="00782FFC" w:rsidRPr="00BD69F3" w:rsidRDefault="00782FFC" w:rsidP="00BD69F3">
      <w:pPr>
        <w:pStyle w:val="Heading6"/>
      </w:pPr>
      <w:r w:rsidRPr="00BD69F3">
        <w:t xml:space="preserve">HCV GT4 </w:t>
      </w:r>
      <w:r w:rsidR="00156AEF">
        <w:t>g</w:t>
      </w:r>
      <w:r w:rsidRPr="00BD69F3">
        <w:t>roups</w:t>
      </w:r>
    </w:p>
    <w:p w:rsidR="00782FFC" w:rsidRPr="00BD69F3" w:rsidRDefault="00782FFC" w:rsidP="00BD69F3">
      <w:r w:rsidRPr="00BD69F3">
        <w:t>SVR24 was achieved in 86.4% (95% CI: 72.6, 94.8) of treatment</w:t>
      </w:r>
      <w:r w:rsidR="001A15FC">
        <w:t xml:space="preserve"> n</w:t>
      </w:r>
      <w:r w:rsidRPr="00BD69F3">
        <w:t>aïve patients treated with 2-DAA (Group 1); in 100% (95% CI: 91.6, 100.0) of treatment</w:t>
      </w:r>
      <w:r w:rsidR="001A15FC">
        <w:t xml:space="preserve"> </w:t>
      </w:r>
      <w:r w:rsidRPr="00BD69F3">
        <w:t>naïve patients treated with 2-DAA + RBV (Group 4); and in 100% (95% CI: 92.7, 100) of treatment</w:t>
      </w:r>
      <w:r w:rsidR="001A15FC">
        <w:t xml:space="preserve"> </w:t>
      </w:r>
      <w:r w:rsidRPr="00BD69F3">
        <w:t>experienced patients treated with 2-DAA + RBV</w:t>
      </w:r>
      <w:r w:rsidR="001A15FC">
        <w:t xml:space="preserve"> (Group 6)</w:t>
      </w:r>
      <w:r w:rsidRPr="00BD69F3">
        <w:t>. The adjusted treatment difference between Groups 1 and 4 was -13.74% (95% CI: -2.08, -25.40) which was statistically significant (p</w:t>
      </w:r>
      <w:r w:rsidR="001A15FC">
        <w:t xml:space="preserve"> </w:t>
      </w:r>
      <w:r w:rsidRPr="00BD69F3">
        <w:t>=</w:t>
      </w:r>
      <w:r w:rsidR="001A15FC">
        <w:t xml:space="preserve"> 0.021).</w:t>
      </w:r>
      <w:r w:rsidRPr="00BD69F3">
        <w:t xml:space="preserve"> Six patients (all in Group 1) were non-responders.</w:t>
      </w:r>
    </w:p>
    <w:p w:rsidR="00BD69F3" w:rsidRDefault="00782FFC" w:rsidP="00BD69F3">
      <w:pPr>
        <w:pStyle w:val="Heading5"/>
      </w:pPr>
      <w:proofErr w:type="spellStart"/>
      <w:r w:rsidRPr="00BD69F3">
        <w:lastRenderedPageBreak/>
        <w:t>Virologic</w:t>
      </w:r>
      <w:proofErr w:type="spellEnd"/>
      <w:r w:rsidRPr="00BD69F3">
        <w:t xml:space="preserve"> fai</w:t>
      </w:r>
      <w:r w:rsidR="00BD69F3">
        <w:t>lure and post-treatment relapse</w:t>
      </w:r>
    </w:p>
    <w:p w:rsidR="00BD69F3" w:rsidRDefault="00BD69F3" w:rsidP="00BD69F3">
      <w:pPr>
        <w:pStyle w:val="Heading6"/>
      </w:pPr>
      <w:r>
        <w:t xml:space="preserve">HCV GT4 </w:t>
      </w:r>
      <w:r w:rsidR="00156AEF">
        <w:t>g</w:t>
      </w:r>
      <w:r>
        <w:t>roups</w:t>
      </w:r>
    </w:p>
    <w:p w:rsidR="00782FFC" w:rsidRPr="00B64ED5" w:rsidRDefault="00782FFC" w:rsidP="00BD69F3">
      <w:pPr>
        <w:rPr>
          <w:rFonts w:eastAsia="Times New Roman"/>
          <w:szCs w:val="24"/>
          <w:lang w:eastAsia="en-AU"/>
        </w:rPr>
      </w:pPr>
      <w:r w:rsidRPr="00B64ED5">
        <w:rPr>
          <w:rFonts w:eastAsia="Times New Roman"/>
          <w:szCs w:val="24"/>
          <w:lang w:eastAsia="en-AU"/>
        </w:rPr>
        <w:t xml:space="preserve">No </w:t>
      </w:r>
      <w:proofErr w:type="spellStart"/>
      <w:r w:rsidRPr="00B64ED5">
        <w:rPr>
          <w:rFonts w:eastAsia="Times New Roman"/>
          <w:szCs w:val="24"/>
          <w:lang w:eastAsia="en-AU"/>
        </w:rPr>
        <w:t>virologic</w:t>
      </w:r>
      <w:proofErr w:type="spellEnd"/>
      <w:r w:rsidRPr="00B64ED5">
        <w:rPr>
          <w:rFonts w:eastAsia="Times New Roman"/>
          <w:szCs w:val="24"/>
          <w:lang w:eastAsia="en-AU"/>
        </w:rPr>
        <w:t xml:space="preserve"> failures or relapses during the post</w:t>
      </w:r>
      <w:r w:rsidR="005C4A8C">
        <w:rPr>
          <w:rFonts w:eastAsia="Times New Roman"/>
          <w:szCs w:val="24"/>
          <w:lang w:eastAsia="en-AU"/>
        </w:rPr>
        <w:t xml:space="preserve"> </w:t>
      </w:r>
      <w:r w:rsidRPr="00B64ED5">
        <w:rPr>
          <w:rFonts w:eastAsia="Times New Roman"/>
          <w:szCs w:val="24"/>
          <w:lang w:eastAsia="en-AU"/>
        </w:rPr>
        <w:t>treatment period were observed in GT4 patients treated with 2-DAA + RBV (Groups 4 and 6). In the treatment</w:t>
      </w:r>
      <w:r w:rsidR="005C4A8C">
        <w:rPr>
          <w:rFonts w:eastAsia="Times New Roman"/>
          <w:szCs w:val="24"/>
          <w:lang w:eastAsia="en-AU"/>
        </w:rPr>
        <w:t xml:space="preserve"> </w:t>
      </w:r>
      <w:r w:rsidRPr="00B64ED5">
        <w:rPr>
          <w:rFonts w:eastAsia="Times New Roman"/>
          <w:szCs w:val="24"/>
          <w:lang w:eastAsia="en-AU"/>
        </w:rPr>
        <w:t xml:space="preserve">naïve patients treated with 2-DAA (Group 1), one patient had on-treatment </w:t>
      </w:r>
      <w:proofErr w:type="spellStart"/>
      <w:r w:rsidRPr="00B64ED5">
        <w:rPr>
          <w:rFonts w:eastAsia="Times New Roman"/>
          <w:szCs w:val="24"/>
          <w:lang w:eastAsia="en-AU"/>
        </w:rPr>
        <w:t>virologic</w:t>
      </w:r>
      <w:proofErr w:type="spellEnd"/>
      <w:r w:rsidRPr="00B64ED5">
        <w:rPr>
          <w:rFonts w:eastAsia="Times New Roman"/>
          <w:szCs w:val="24"/>
          <w:lang w:eastAsia="en-AU"/>
        </w:rPr>
        <w:t xml:space="preserve"> failure and two patients relapsed </w:t>
      </w:r>
      <w:r w:rsidR="005C4A8C">
        <w:rPr>
          <w:rFonts w:eastAsia="Times New Roman"/>
          <w:szCs w:val="24"/>
          <w:lang w:eastAsia="en-AU"/>
        </w:rPr>
        <w:t>within 12 weeks post treatment.</w:t>
      </w:r>
    </w:p>
    <w:p w:rsidR="00BD69F3" w:rsidRPr="00BD69F3" w:rsidRDefault="00782FFC" w:rsidP="00BD69F3">
      <w:r w:rsidRPr="00BD69F3">
        <w:t xml:space="preserve">Other efficacy outcomes for HCV GT1b Groups are summarised </w:t>
      </w:r>
      <w:r w:rsidR="005C4A8C">
        <w:t>in the clinical evaluation report</w:t>
      </w:r>
      <w:r w:rsidR="00BD69F3" w:rsidRPr="00BD69F3">
        <w:t>.</w:t>
      </w:r>
    </w:p>
    <w:p w:rsidR="00BD69F3" w:rsidRPr="00BD69F3" w:rsidRDefault="00782FFC" w:rsidP="00BD69F3">
      <w:pPr>
        <w:pStyle w:val="Heading5"/>
      </w:pPr>
      <w:r w:rsidRPr="00BD69F3">
        <w:t xml:space="preserve">Conclusions on </w:t>
      </w:r>
      <w:r w:rsidR="00CD2BE9">
        <w:t>c</w:t>
      </w:r>
      <w:r w:rsidRPr="00BD69F3">
        <w:t xml:space="preserve">linical </w:t>
      </w:r>
      <w:r w:rsidR="00CD2BE9">
        <w:t>e</w:t>
      </w:r>
      <w:r w:rsidRPr="00BD69F3">
        <w:t>fficacy</w:t>
      </w:r>
    </w:p>
    <w:p w:rsidR="00782FFC" w:rsidRPr="00BD69F3" w:rsidRDefault="00782FFC" w:rsidP="00BD69F3">
      <w:r w:rsidRPr="00BD69F3">
        <w:t xml:space="preserve">Data to support the application to register </w:t>
      </w:r>
      <w:proofErr w:type="spellStart"/>
      <w:r w:rsidR="006959E0">
        <w:t>Technivie</w:t>
      </w:r>
      <w:proofErr w:type="spellEnd"/>
      <w:r w:rsidR="005C4A8C">
        <w:t xml:space="preserve"> are derived from a Phase II</w:t>
      </w:r>
      <w:r w:rsidRPr="00BD69F3">
        <w:t>, randomised, open</w:t>
      </w:r>
      <w:r w:rsidR="0086414A">
        <w:t xml:space="preserve"> </w:t>
      </w:r>
      <w:r w:rsidRPr="00BD69F3">
        <w:t>label, combination treatment study with 2-DAA, of  which 135 treatment</w:t>
      </w:r>
      <w:r w:rsidR="0086414A">
        <w:t xml:space="preserve"> </w:t>
      </w:r>
      <w:r w:rsidRPr="00BD69F3">
        <w:t>naïve and treatment</w:t>
      </w:r>
      <w:r w:rsidR="0086414A">
        <w:t xml:space="preserve"> </w:t>
      </w:r>
      <w:r w:rsidRPr="00BD69F3">
        <w:t>expe</w:t>
      </w:r>
      <w:r w:rsidR="0086414A">
        <w:t>rienced patients with GT4</w:t>
      </w:r>
      <w:r w:rsidRPr="00BD69F3">
        <w:t xml:space="preserve"> infection received 2-DAA with or without </w:t>
      </w:r>
      <w:r w:rsidR="00CC7518">
        <w:t>RBV</w:t>
      </w:r>
      <w:r w:rsidRPr="00BD69F3">
        <w:t xml:space="preserve">. At the pre-submission stage, the </w:t>
      </w:r>
      <w:r w:rsidR="00214ADD">
        <w:t>s</w:t>
      </w:r>
      <w:r w:rsidR="00747949">
        <w:t xml:space="preserve">ponsor approached </w:t>
      </w:r>
      <w:r w:rsidRPr="00BD69F3">
        <w:t xml:space="preserve">TGA about the design and small number of </w:t>
      </w:r>
      <w:r w:rsidR="00214ADD">
        <w:t>GT4</w:t>
      </w:r>
      <w:r w:rsidR="00D83862">
        <w:t xml:space="preserve"> </w:t>
      </w:r>
      <w:r w:rsidR="00594A24">
        <w:t xml:space="preserve">patients to support an </w:t>
      </w:r>
      <w:r w:rsidRPr="00BD69F3">
        <w:t xml:space="preserve">application. The clinical evaluator was of the opinion that although patient numbers were low, the 100% efficacy rate in patients treated with 2-DAA with RBV was sufficient to justify an indication in non-cirrhotic patients with HCV GT4 infection and that the efficacy rate in patients treated with 2-DAA without RBV was also sufficient to justify the use of </w:t>
      </w:r>
      <w:proofErr w:type="spellStart"/>
      <w:r w:rsidR="006959E0">
        <w:t>Technivie</w:t>
      </w:r>
      <w:proofErr w:type="spellEnd"/>
      <w:r w:rsidRPr="00BD69F3">
        <w:t xml:space="preserve"> in patients </w:t>
      </w:r>
      <w:r w:rsidR="00214ADD">
        <w:t>who are unable to tolerate RBV.</w:t>
      </w:r>
      <w:r w:rsidRPr="00BD69F3">
        <w:t xml:space="preserve"> </w:t>
      </w:r>
    </w:p>
    <w:p w:rsidR="00782FFC" w:rsidRPr="00BD69F3" w:rsidRDefault="00782FFC" w:rsidP="00BD69F3">
      <w:r w:rsidRPr="00BD69F3">
        <w:t>The Delegate notes that given that SVR24 rates were lower for HCV GT4 treatment</w:t>
      </w:r>
      <w:r w:rsidR="00214ADD">
        <w:t xml:space="preserve"> </w:t>
      </w:r>
      <w:r w:rsidRPr="00BD69F3">
        <w:t>naïve patients treated with 2-DAA alone (Group 1):</w:t>
      </w:r>
      <w:r w:rsidR="00214ADD">
        <w:t xml:space="preserve"> </w:t>
      </w:r>
      <w:r w:rsidRPr="00BD69F3">
        <w:t>86.4% (95% CI: 72.6, 94.8),</w:t>
      </w:r>
      <w:r w:rsidR="00214ADD">
        <w:t xml:space="preserve"> </w:t>
      </w:r>
      <w:r w:rsidRPr="00BD69F3">
        <w:t xml:space="preserve">these data further support the recommendation for use of 2-DAA with </w:t>
      </w:r>
      <w:r w:rsidR="00CC7518">
        <w:t>RBV</w:t>
      </w:r>
      <w:r w:rsidRPr="00BD69F3">
        <w:t xml:space="preserve"> for HCV GT4.</w:t>
      </w:r>
    </w:p>
    <w:p w:rsidR="00782FFC" w:rsidRPr="00BD69F3" w:rsidRDefault="00782FFC" w:rsidP="00BD69F3">
      <w:r w:rsidRPr="00BD69F3">
        <w:t>Concern was raised by the evaluator in regards to the lack of data to support use in patients with HCV GT4 infection and compensated cirrhosis. An interim analysis of studies M11-665(AGATE-1) and M14-250 (AGATE-2) was provided to support treatment with 2-DAA + RBV for 12 weeks in GT4 patients with compensated cirrhosis by the sponsor in response to the Section</w:t>
      </w:r>
      <w:r w:rsidR="00214ADD">
        <w:t xml:space="preserve"> 31 request for information.</w:t>
      </w:r>
    </w:p>
    <w:p w:rsidR="00BD69F3" w:rsidRDefault="00782FFC" w:rsidP="00A36415">
      <w:pPr>
        <w:pStyle w:val="Heading5"/>
      </w:pPr>
      <w:r w:rsidRPr="00BD69F3">
        <w:t>M11-665: HCV GT4 patients with compensated cirrhosis (AGATE-1)</w:t>
      </w:r>
      <w:r w:rsidR="00BD69F3">
        <w:t xml:space="preserve"> (Section 31 response)</w:t>
      </w:r>
    </w:p>
    <w:p w:rsidR="00A36415" w:rsidRDefault="00782FFC" w:rsidP="00A36415">
      <w:r>
        <w:rPr>
          <w:rFonts w:asciiTheme="minorHAnsi" w:hAnsiTheme="minorHAnsi"/>
        </w:rPr>
        <w:t>This is</w:t>
      </w:r>
      <w:r w:rsidRPr="008E3212">
        <w:rPr>
          <w:rFonts w:asciiTheme="minorHAnsi" w:hAnsiTheme="minorHAnsi"/>
        </w:rPr>
        <w:t xml:space="preserve"> an ongoing, open</w:t>
      </w:r>
      <w:r w:rsidR="00D05867">
        <w:rPr>
          <w:rFonts w:asciiTheme="minorHAnsi" w:hAnsiTheme="minorHAnsi"/>
        </w:rPr>
        <w:t xml:space="preserve"> </w:t>
      </w:r>
      <w:r w:rsidRPr="008E3212">
        <w:rPr>
          <w:rFonts w:asciiTheme="minorHAnsi" w:hAnsiTheme="minorHAnsi"/>
        </w:rPr>
        <w:t xml:space="preserve">label, </w:t>
      </w:r>
      <w:r w:rsidR="00D05867">
        <w:rPr>
          <w:rFonts w:asciiTheme="minorHAnsi" w:hAnsiTheme="minorHAnsi"/>
        </w:rPr>
        <w:t>multi</w:t>
      </w:r>
      <w:r>
        <w:rPr>
          <w:rFonts w:asciiTheme="minorHAnsi" w:hAnsiTheme="minorHAnsi"/>
        </w:rPr>
        <w:t xml:space="preserve">centre </w:t>
      </w:r>
      <w:r w:rsidR="00D05867">
        <w:rPr>
          <w:rFonts w:asciiTheme="minorHAnsi" w:hAnsiTheme="minorHAnsi"/>
        </w:rPr>
        <w:t>randomised, Phase III</w:t>
      </w:r>
      <w:r>
        <w:rPr>
          <w:rFonts w:asciiTheme="minorHAnsi" w:hAnsiTheme="minorHAnsi"/>
        </w:rPr>
        <w:t xml:space="preserve"> trial</w:t>
      </w:r>
      <w:r w:rsidRPr="008E3212">
        <w:rPr>
          <w:rFonts w:asciiTheme="minorHAnsi" w:hAnsiTheme="minorHAnsi"/>
        </w:rPr>
        <w:t xml:space="preserve"> of 2DAA +RBV given to HCV GT4 patients with compensated cirrhosis.</w:t>
      </w:r>
      <w:r w:rsidRPr="001C6254">
        <w:t xml:space="preserve"> </w:t>
      </w:r>
      <w:r>
        <w:rPr>
          <w:rFonts w:asciiTheme="minorHAnsi" w:hAnsiTheme="minorHAnsi"/>
        </w:rPr>
        <w:t xml:space="preserve">The study was divided into 2 parts </w:t>
      </w:r>
      <w:r w:rsidRPr="001C6254">
        <w:rPr>
          <w:rFonts w:asciiTheme="minorHAnsi" w:hAnsiTheme="minorHAnsi"/>
        </w:rPr>
        <w:t>enrolling 184 subjec</w:t>
      </w:r>
      <w:r>
        <w:rPr>
          <w:rFonts w:asciiTheme="minorHAnsi" w:hAnsiTheme="minorHAnsi"/>
        </w:rPr>
        <w:t xml:space="preserve">ts total. Part I (Arms A and B) </w:t>
      </w:r>
      <w:r w:rsidRPr="001C6254">
        <w:rPr>
          <w:rFonts w:asciiTheme="minorHAnsi" w:hAnsiTheme="minorHAnsi"/>
        </w:rPr>
        <w:t>include</w:t>
      </w:r>
      <w:r>
        <w:rPr>
          <w:rFonts w:asciiTheme="minorHAnsi" w:hAnsiTheme="minorHAnsi"/>
        </w:rPr>
        <w:t>d 120 subjects who were randomis</w:t>
      </w:r>
      <w:r w:rsidRPr="001C6254">
        <w:rPr>
          <w:rFonts w:asciiTheme="minorHAnsi" w:hAnsiTheme="minorHAnsi"/>
        </w:rPr>
        <w:t>ed to receive either 12 w</w:t>
      </w:r>
      <w:r>
        <w:rPr>
          <w:rFonts w:asciiTheme="minorHAnsi" w:hAnsiTheme="minorHAnsi"/>
        </w:rPr>
        <w:t xml:space="preserve">eeks (Arm A; n = 59) </w:t>
      </w:r>
      <w:r w:rsidRPr="001C6254">
        <w:rPr>
          <w:rFonts w:asciiTheme="minorHAnsi" w:hAnsiTheme="minorHAnsi"/>
        </w:rPr>
        <w:t>or 16 weeks (Arm B; n = 61) of treatment and Part II (</w:t>
      </w:r>
      <w:r>
        <w:rPr>
          <w:rFonts w:asciiTheme="minorHAnsi" w:hAnsiTheme="minorHAnsi"/>
        </w:rPr>
        <w:t xml:space="preserve">Arms C and D) included subjects </w:t>
      </w:r>
      <w:r w:rsidRPr="001C6254">
        <w:rPr>
          <w:rFonts w:asciiTheme="minorHAnsi" w:hAnsiTheme="minorHAnsi"/>
        </w:rPr>
        <w:t xml:space="preserve">receiving 24 weeks of treatment with </w:t>
      </w:r>
      <w:proofErr w:type="spellStart"/>
      <w:r w:rsidRPr="001C6254">
        <w:rPr>
          <w:rFonts w:asciiTheme="minorHAnsi" w:hAnsiTheme="minorHAnsi"/>
        </w:rPr>
        <w:t>om</w:t>
      </w:r>
      <w:r>
        <w:rPr>
          <w:rFonts w:asciiTheme="minorHAnsi" w:hAnsiTheme="minorHAnsi"/>
        </w:rPr>
        <w:t>bitasvir</w:t>
      </w:r>
      <w:proofErr w:type="spellEnd"/>
      <w:r>
        <w:rPr>
          <w:rFonts w:asciiTheme="minorHAnsi" w:hAnsiTheme="minorHAnsi"/>
        </w:rPr>
        <w:t>/</w:t>
      </w:r>
      <w:proofErr w:type="spellStart"/>
      <w:r>
        <w:rPr>
          <w:rFonts w:asciiTheme="minorHAnsi" w:hAnsiTheme="minorHAnsi"/>
        </w:rPr>
        <w:t>paritaprevir</w:t>
      </w:r>
      <w:proofErr w:type="spellEnd"/>
      <w:r>
        <w:rPr>
          <w:rFonts w:asciiTheme="minorHAnsi" w:hAnsiTheme="minorHAnsi"/>
        </w:rPr>
        <w:t xml:space="preserve">/ritonavir </w:t>
      </w:r>
      <w:r w:rsidRPr="001C6254">
        <w:rPr>
          <w:rFonts w:asciiTheme="minorHAnsi" w:hAnsiTheme="minorHAnsi"/>
        </w:rPr>
        <w:t>co-administered with RBV.</w:t>
      </w:r>
    </w:p>
    <w:p w:rsidR="00A36415" w:rsidRPr="00A36415" w:rsidRDefault="00782FFC" w:rsidP="00A36415">
      <w:r w:rsidRPr="00A36415">
        <w:t xml:space="preserve">Treatment was given for 12 weeks (Arm A), 16 weeks, (Arm B), or 24 weeks (Arm C). A fourth arm (Arm D) will study </w:t>
      </w:r>
      <w:r w:rsidR="00373668">
        <w:t>2-DAA</w:t>
      </w:r>
      <w:r w:rsidRPr="00A36415">
        <w:t xml:space="preserve"> + RBV given for 24 weeks to GT4 patients with compensated cirrhosis who have previously failed </w:t>
      </w:r>
      <w:r w:rsidR="0082053A">
        <w:t xml:space="preserve">prior treatment with </w:t>
      </w:r>
      <w:proofErr w:type="spellStart"/>
      <w:r w:rsidR="0082053A">
        <w:t>sofosbuvir</w:t>
      </w:r>
      <w:proofErr w:type="spellEnd"/>
      <w:r w:rsidR="0082053A">
        <w:t>/</w:t>
      </w:r>
      <w:proofErr w:type="spellStart"/>
      <w:r w:rsidR="0082053A">
        <w:t>pegIFN</w:t>
      </w:r>
      <w:proofErr w:type="spellEnd"/>
      <w:r w:rsidR="0082053A">
        <w:t xml:space="preserve">/RBV or </w:t>
      </w:r>
      <w:proofErr w:type="spellStart"/>
      <w:r w:rsidR="0082053A">
        <w:t>sofosbuvir</w:t>
      </w:r>
      <w:proofErr w:type="spellEnd"/>
      <w:r w:rsidRPr="00A36415">
        <w:t>/RBV. The primary objective was the superiority of SVR12 rates in treatment</w:t>
      </w:r>
      <w:r w:rsidR="0082053A">
        <w:t xml:space="preserve"> </w:t>
      </w:r>
      <w:r w:rsidRPr="00A36415">
        <w:t>naïve or treatment</w:t>
      </w:r>
      <w:r w:rsidR="0082053A">
        <w:t xml:space="preserve"> </w:t>
      </w:r>
      <w:r w:rsidRPr="00A36415">
        <w:t>experienced patients compared with a historical control rate in patients with and without cirrhosis.</w:t>
      </w:r>
    </w:p>
    <w:p w:rsidR="00A36415" w:rsidRPr="00A36415" w:rsidRDefault="00782FFC" w:rsidP="00A36415">
      <w:pPr>
        <w:pStyle w:val="Heading6"/>
      </w:pPr>
      <w:r w:rsidRPr="00A36415">
        <w:t>Results</w:t>
      </w:r>
    </w:p>
    <w:p w:rsidR="00782FFC" w:rsidRPr="00A36415" w:rsidRDefault="00782FFC" w:rsidP="00A36415">
      <w:r w:rsidRPr="00A36415">
        <w:t>The sponsor presented efficacy and safety data for subjects in Part I through to 27 November 2015. At the time of the database lock, all subjects in Arms A and B had completed the Treatment Period (12 weeks or 16 weeks of treatment with active study drugs [</w:t>
      </w:r>
      <w:proofErr w:type="spellStart"/>
      <w:r w:rsidRPr="00A36415">
        <w:t>ombitasvir</w:t>
      </w:r>
      <w:proofErr w:type="spellEnd"/>
      <w:r w:rsidRPr="00A36415">
        <w:t>/ABT-450/r +</w:t>
      </w:r>
      <w:r w:rsidR="0082053A">
        <w:t xml:space="preserve"> RBV]) and through to the Post-</w:t>
      </w:r>
      <w:r w:rsidRPr="00A36415">
        <w:t>Treatment Week 12 Visit or prematurely discontinued from the study.</w:t>
      </w:r>
    </w:p>
    <w:p w:rsidR="00B86BB7" w:rsidRPr="00D707CF" w:rsidRDefault="00782FFC" w:rsidP="00D707CF">
      <w:r w:rsidRPr="00D707CF">
        <w:lastRenderedPageBreak/>
        <w:t>A total of 120 patients were randomised into Arm A (n</w:t>
      </w:r>
      <w:r w:rsidR="0082053A">
        <w:t xml:space="preserve"> </w:t>
      </w:r>
      <w:r w:rsidRPr="00D707CF">
        <w:t>=</w:t>
      </w:r>
      <w:r w:rsidR="0082053A">
        <w:t xml:space="preserve"> </w:t>
      </w:r>
      <w:r w:rsidRPr="00D707CF">
        <w:t>59), or Arm B (</w:t>
      </w:r>
      <w:r w:rsidR="0082053A">
        <w:t xml:space="preserve">n </w:t>
      </w:r>
      <w:r w:rsidRPr="00D707CF">
        <w:t>=</w:t>
      </w:r>
      <w:r w:rsidR="0082053A">
        <w:t xml:space="preserve"> </w:t>
      </w:r>
      <w:r w:rsidRPr="00D707CF">
        <w:t>61). A total of 50% of patients were treatment</w:t>
      </w:r>
      <w:r w:rsidR="0082053A">
        <w:t xml:space="preserve"> </w:t>
      </w:r>
      <w:r w:rsidRPr="00D707CF">
        <w:t xml:space="preserve">experienced (55% null responders, 20% partial responders, and 25% </w:t>
      </w:r>
      <w:proofErr w:type="spellStart"/>
      <w:r w:rsidRPr="00D707CF">
        <w:t>relapsers</w:t>
      </w:r>
      <w:proofErr w:type="spellEnd"/>
      <w:r w:rsidRPr="00D707CF">
        <w:t>). The majority of patients (84.2%) had non-CC IL28B infection. In the ITT population, SVR12 was achieved by 96.6% (97.5% CI: 86.7, 99.2) of patients in Arm A, and by 98.4% (97.5% CI: 89.6, 99.8) of patients in Arm B</w:t>
      </w:r>
      <w:r w:rsidR="00B86BB7" w:rsidRPr="00D707CF">
        <w:t>.</w:t>
      </w:r>
    </w:p>
    <w:p w:rsidR="00B86BB7" w:rsidRPr="00D707CF" w:rsidRDefault="00B86BB7" w:rsidP="00D707CF">
      <w:pPr>
        <w:pStyle w:val="TableTitle"/>
      </w:pPr>
      <w:r w:rsidRPr="00D707CF">
        <w:t xml:space="preserve">Table </w:t>
      </w:r>
      <w:r w:rsidR="00591E07">
        <w:t>9</w:t>
      </w:r>
      <w:r w:rsidRPr="00D707CF">
        <w:t>:</w:t>
      </w:r>
      <w:r w:rsidR="00D707CF" w:rsidRPr="00D707CF">
        <w:t xml:space="preserve"> M11-665 SVR12 in patients given </w:t>
      </w:r>
      <w:r w:rsidR="00373668">
        <w:t>2-DAA</w:t>
      </w:r>
      <w:r w:rsidR="00D707CF" w:rsidRPr="00D707CF">
        <w:t xml:space="preserve"> + RBV for 12 or 16 weeks in the Part I ITT population</w:t>
      </w:r>
      <w:r w:rsidR="00D707CF">
        <w:t>.</w:t>
      </w:r>
    </w:p>
    <w:p w:rsidR="00782FFC" w:rsidRPr="008E3212" w:rsidRDefault="00D707CF" w:rsidP="00D707CF">
      <w:pPr>
        <w:spacing w:before="0" w:after="0" w:line="240" w:lineRule="auto"/>
        <w:rPr>
          <w:rFonts w:asciiTheme="minorHAnsi" w:hAnsiTheme="minorHAnsi"/>
          <w:b/>
        </w:rPr>
      </w:pPr>
      <w:r>
        <w:rPr>
          <w:noProof/>
          <w:lang w:eastAsia="en-AU"/>
        </w:rPr>
        <w:drawing>
          <wp:inline distT="0" distB="0" distL="0" distR="0" wp14:anchorId="09E1CE99" wp14:editId="36BF73E9">
            <wp:extent cx="5400040" cy="2677520"/>
            <wp:effectExtent l="0" t="0" r="0" b="8890"/>
            <wp:docPr id="7" name="Picture 7" descr="Table 9: M11-665 SVR12 in patients given 2-DAA + RBV for 12 or 16 weeks in the Part I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400040" cy="2677520"/>
                    </a:xfrm>
                    <a:prstGeom prst="rect">
                      <a:avLst/>
                    </a:prstGeom>
                  </pic:spPr>
                </pic:pic>
              </a:graphicData>
            </a:graphic>
          </wp:inline>
        </w:drawing>
      </w:r>
    </w:p>
    <w:p w:rsidR="00782FFC" w:rsidRPr="00D707CF" w:rsidRDefault="00782FFC" w:rsidP="00D707CF">
      <w:pPr>
        <w:pStyle w:val="TableDescription"/>
      </w:pPr>
      <w:proofErr w:type="spellStart"/>
      <w:r w:rsidRPr="00D707CF">
        <w:t>a</w:t>
      </w:r>
      <w:proofErr w:type="spellEnd"/>
      <w:r w:rsidRPr="00D707CF">
        <w:t xml:space="preserve"> On-treatment </w:t>
      </w:r>
      <w:proofErr w:type="spellStart"/>
      <w:r w:rsidRPr="00D707CF">
        <w:t>virologic</w:t>
      </w:r>
      <w:proofErr w:type="spellEnd"/>
      <w:r w:rsidRPr="00D707CF">
        <w:t xml:space="preserve"> failure was defined as breakthrough (confirmed HCV ≥ 25 IU/mL after HCV RNA</w:t>
      </w:r>
      <w:r w:rsidR="00D707CF">
        <w:t xml:space="preserve"> </w:t>
      </w:r>
      <w:r w:rsidRPr="00D707CF">
        <w:t>&lt; 25 IU/mL during treatment [LLOQ], confirmed 1 log10 IU/mL increase in HCV RNA from nadir during</w:t>
      </w:r>
      <w:r w:rsidR="00D707CF">
        <w:t xml:space="preserve"> </w:t>
      </w:r>
      <w:r w:rsidRPr="00D707CF">
        <w:t>treatment) or failure to suppress (HCV RNA persistently ≥ 25 IU/mL during treatment with at least 6 weeks of</w:t>
      </w:r>
      <w:r w:rsidR="00D707CF">
        <w:t xml:space="preserve"> </w:t>
      </w:r>
      <w:r w:rsidRPr="00D707CF">
        <w:t>treatment).</w:t>
      </w:r>
    </w:p>
    <w:p w:rsidR="00782FFC" w:rsidRPr="00D707CF" w:rsidRDefault="00782FFC" w:rsidP="00D707CF">
      <w:pPr>
        <w:pStyle w:val="TableDescription"/>
      </w:pPr>
      <w:proofErr w:type="gramStart"/>
      <w:r w:rsidRPr="00D707CF">
        <w:t>b</w:t>
      </w:r>
      <w:proofErr w:type="gramEnd"/>
      <w:r w:rsidRPr="00D707CF">
        <w:t xml:space="preserve"> Relapse was defined as confirmed HCV RNA ≥ 25 IU/mL post-treatment before or during SVR12 window among</w:t>
      </w:r>
      <w:r w:rsidR="00D707CF">
        <w:t xml:space="preserve"> </w:t>
      </w:r>
      <w:r w:rsidRPr="00D707CF">
        <w:t>subjects with HCV RNA less than 25 IU/mL at the Final Treatment Visit and who complete treatment (duration</w:t>
      </w:r>
      <w:r w:rsidR="00D707CF">
        <w:t xml:space="preserve"> </w:t>
      </w:r>
      <w:r w:rsidRPr="00D707CF">
        <w:t>≥ 77 days for Arm A and ≥ 105 days for Arm B).</w:t>
      </w:r>
    </w:p>
    <w:p w:rsidR="00782FFC" w:rsidRPr="00D707CF" w:rsidRDefault="00782FFC" w:rsidP="00D707CF">
      <w:pPr>
        <w:pStyle w:val="TableDescription"/>
      </w:pPr>
      <w:proofErr w:type="gramStart"/>
      <w:r w:rsidRPr="00D707CF">
        <w:t>c</w:t>
      </w:r>
      <w:proofErr w:type="gramEnd"/>
      <w:r w:rsidRPr="00D707CF">
        <w:t xml:space="preserve"> Premature study drug discontinuation = prematurely discontinued study drug (duration &lt; 77 days for Arm A and</w:t>
      </w:r>
      <w:r w:rsidR="00D707CF">
        <w:t xml:space="preserve"> </w:t>
      </w:r>
      <w:r w:rsidRPr="00D707CF">
        <w:t xml:space="preserve">&lt; 105 days for Arm B) and did not meet the on-treatment </w:t>
      </w:r>
      <w:proofErr w:type="spellStart"/>
      <w:r w:rsidRPr="00D707CF">
        <w:t>virologic</w:t>
      </w:r>
      <w:proofErr w:type="spellEnd"/>
      <w:r w:rsidRPr="00D707CF">
        <w:t xml:space="preserve"> failure definition.</w:t>
      </w:r>
    </w:p>
    <w:p w:rsidR="00782FFC" w:rsidRPr="00D707CF" w:rsidRDefault="00782FFC" w:rsidP="00D707CF">
      <w:pPr>
        <w:pStyle w:val="TableDescription"/>
      </w:pPr>
      <w:proofErr w:type="gramStart"/>
      <w:r w:rsidRPr="00D707CF">
        <w:t>d</w:t>
      </w:r>
      <w:proofErr w:type="gramEnd"/>
      <w:r w:rsidRPr="00D707CF">
        <w:t xml:space="preserve"> Missing SVR12 data was defined as no follow-up data in the SVR12 window (defined as any subject who</w:t>
      </w:r>
      <w:r w:rsidR="00D707CF">
        <w:t xml:space="preserve"> </w:t>
      </w:r>
      <w:r w:rsidRPr="00D707CF">
        <w:t>completed study drug without data in the SVR12 window after applying the imputation rules) and not meeting the</w:t>
      </w:r>
      <w:r w:rsidR="00D707CF">
        <w:t xml:space="preserve"> </w:t>
      </w:r>
      <w:r w:rsidRPr="00D707CF">
        <w:t>definitions of above categories.</w:t>
      </w:r>
    </w:p>
    <w:p w:rsidR="00782FFC" w:rsidRPr="00A36415" w:rsidRDefault="00782FFC" w:rsidP="00A36415">
      <w:r w:rsidRPr="00A36415">
        <w:t xml:space="preserve">Sparse PK sampling was performed in </w:t>
      </w:r>
      <w:r w:rsidR="0082053A">
        <w:t>S</w:t>
      </w:r>
      <w:r w:rsidRPr="00A36415">
        <w:t xml:space="preserve">tudy M11-665. </w:t>
      </w:r>
      <w:proofErr w:type="spellStart"/>
      <w:r w:rsidRPr="00A36415">
        <w:t>C</w:t>
      </w:r>
      <w:r w:rsidRPr="008A0277">
        <w:rPr>
          <w:vertAlign w:val="subscript"/>
        </w:rPr>
        <w:t>trough</w:t>
      </w:r>
      <w:proofErr w:type="spellEnd"/>
      <w:r w:rsidRPr="00A36415">
        <w:t xml:space="preserve"> concentrations of </w:t>
      </w:r>
      <w:proofErr w:type="spellStart"/>
      <w:r w:rsidRPr="00A36415">
        <w:t>ombitasvir</w:t>
      </w:r>
      <w:proofErr w:type="spellEnd"/>
      <w:r w:rsidRPr="00A36415">
        <w:t xml:space="preserve">, ritonavir, and RBV were comparable to those in GT1 cirrhotic patients. </w:t>
      </w:r>
      <w:proofErr w:type="spellStart"/>
      <w:r w:rsidRPr="00A36415">
        <w:t>C</w:t>
      </w:r>
      <w:r w:rsidRPr="00747949">
        <w:rPr>
          <w:vertAlign w:val="subscript"/>
        </w:rPr>
        <w:t>trough</w:t>
      </w:r>
      <w:proofErr w:type="spellEnd"/>
      <w:r w:rsidRPr="00A36415">
        <w:t xml:space="preserve"> concentrations of </w:t>
      </w:r>
      <w:proofErr w:type="spellStart"/>
      <w:r w:rsidRPr="00A36415">
        <w:t>paritaprevir</w:t>
      </w:r>
      <w:proofErr w:type="spellEnd"/>
      <w:r w:rsidRPr="00A36415">
        <w:t xml:space="preserve"> were 32% lower in GT4 patients receiving 2-DAA, compared with GT1 patients receiving 3-DAA (a known effect of the </w:t>
      </w:r>
      <w:proofErr w:type="spellStart"/>
      <w:r w:rsidRPr="00A36415">
        <w:t>dasabuvir</w:t>
      </w:r>
      <w:proofErr w:type="spellEnd"/>
      <w:r w:rsidRPr="00A36415">
        <w:t xml:space="preserve"> </w:t>
      </w:r>
      <w:r w:rsidR="00591E07">
        <w:t xml:space="preserve">and </w:t>
      </w:r>
      <w:proofErr w:type="spellStart"/>
      <w:r w:rsidR="00591E07">
        <w:t>paritaprevir</w:t>
      </w:r>
      <w:proofErr w:type="spellEnd"/>
      <w:r w:rsidR="00591E07">
        <w:t xml:space="preserve"> interaction).</w:t>
      </w:r>
    </w:p>
    <w:p w:rsidR="00A36415" w:rsidRPr="00A36415" w:rsidRDefault="00782FFC" w:rsidP="00A36415">
      <w:pPr>
        <w:pStyle w:val="Heading5"/>
      </w:pPr>
      <w:r w:rsidRPr="00A36415">
        <w:t>Study M14-250. (AGATE-2)</w:t>
      </w:r>
      <w:r w:rsidR="005703C6">
        <w:t xml:space="preserve"> t</w:t>
      </w:r>
      <w:r w:rsidRPr="00A36415">
        <w:t>reatment</w:t>
      </w:r>
      <w:r w:rsidR="005703C6">
        <w:t xml:space="preserve"> </w:t>
      </w:r>
      <w:r w:rsidRPr="00A36415">
        <w:t>naïve or treatment</w:t>
      </w:r>
      <w:r w:rsidR="005703C6">
        <w:t xml:space="preserve"> </w:t>
      </w:r>
      <w:r w:rsidRPr="00A36415">
        <w:t>experienced HCV GT4 patients, with or without compensated cirrhosis in Egyp</w:t>
      </w:r>
      <w:r w:rsidR="005703C6">
        <w:t>t</w:t>
      </w:r>
    </w:p>
    <w:p w:rsidR="00B53D6C" w:rsidRDefault="00782FFC" w:rsidP="00044B3F">
      <w:pPr>
        <w:rPr>
          <w:b/>
        </w:rPr>
      </w:pPr>
      <w:r w:rsidRPr="00A36415">
        <w:t>This is an ongoing</w:t>
      </w:r>
      <w:r w:rsidR="005703C6">
        <w:t xml:space="preserve"> open</w:t>
      </w:r>
      <w:r w:rsidR="00D761AF">
        <w:t xml:space="preserve"> </w:t>
      </w:r>
      <w:r w:rsidR="005703C6">
        <w:t>label, randomised, Phase III</w:t>
      </w:r>
      <w:r w:rsidRPr="00A36415">
        <w:t xml:space="preserve"> study of 2-DAA + RBV conducted at five sites in Egypt enrolling treatment</w:t>
      </w:r>
      <w:r w:rsidR="00D761AF">
        <w:t xml:space="preserve"> </w:t>
      </w:r>
      <w:r w:rsidRPr="00A36415">
        <w:t>naïve or treatment</w:t>
      </w:r>
      <w:r w:rsidR="00D761AF">
        <w:t xml:space="preserve"> </w:t>
      </w:r>
      <w:r w:rsidRPr="00A36415">
        <w:t>experienced HCV GT4 patients, with or without compensated cirrhosis. Arm A consists of patients without cirrhosis treated with 2-DAA + RBV for 12 weeks. Arms B and C consist of patients with compensated cirrhosis treated with 2-DAA + RBV for 12 and 24 weeks, respectively. The primary objective was to assess SVR12 rates in patients with and without cirrhosis.</w:t>
      </w:r>
    </w:p>
    <w:p w:rsidR="00591E07" w:rsidRPr="00A36415" w:rsidRDefault="00591E07" w:rsidP="00B53D6C">
      <w:pPr>
        <w:pStyle w:val="FigureTitle"/>
      </w:pPr>
      <w:r>
        <w:lastRenderedPageBreak/>
        <w:t xml:space="preserve">Figure </w:t>
      </w:r>
      <w:r w:rsidR="00B53D6C">
        <w:t>5</w:t>
      </w:r>
      <w:r>
        <w:t xml:space="preserve">: </w:t>
      </w:r>
      <w:r w:rsidR="00B53D6C" w:rsidRPr="00B53D6C">
        <w:t>Study schematic M14-250</w:t>
      </w:r>
      <w:r w:rsidR="00B53D6C">
        <w:t>.</w:t>
      </w:r>
    </w:p>
    <w:p w:rsidR="00782FFC" w:rsidRPr="0033771D" w:rsidRDefault="00B53D6C" w:rsidP="00782FFC">
      <w:pPr>
        <w:spacing w:before="0" w:after="0" w:line="240" w:lineRule="auto"/>
        <w:rPr>
          <w:rFonts w:asciiTheme="minorHAnsi" w:hAnsiTheme="minorHAnsi"/>
          <w:b/>
          <w:i/>
        </w:rPr>
      </w:pPr>
      <w:r>
        <w:rPr>
          <w:noProof/>
          <w:lang w:eastAsia="en-AU"/>
        </w:rPr>
        <w:drawing>
          <wp:inline distT="0" distB="0" distL="0" distR="0" wp14:anchorId="69CE918D" wp14:editId="34B2BB3F">
            <wp:extent cx="5400040" cy="2179632"/>
            <wp:effectExtent l="0" t="0" r="0" b="0"/>
            <wp:docPr id="10" name="Picture 10" descr="Figure 5: Study schematic M14-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400040" cy="2179632"/>
                    </a:xfrm>
                    <a:prstGeom prst="rect">
                      <a:avLst/>
                    </a:prstGeom>
                  </pic:spPr>
                </pic:pic>
              </a:graphicData>
            </a:graphic>
          </wp:inline>
        </w:drawing>
      </w:r>
    </w:p>
    <w:p w:rsidR="00782FFC" w:rsidRPr="00A36415" w:rsidRDefault="00782FFC" w:rsidP="00A36415">
      <w:r w:rsidRPr="00A36415">
        <w:t>A total of 160 patients were enrolled in Arm A (n</w:t>
      </w:r>
      <w:r w:rsidR="00CF16C0">
        <w:t xml:space="preserve"> </w:t>
      </w:r>
      <w:r w:rsidRPr="00A36415">
        <w:t>=</w:t>
      </w:r>
      <w:r w:rsidR="00CF16C0">
        <w:t xml:space="preserve"> </w:t>
      </w:r>
      <w:r w:rsidRPr="00A36415">
        <w:t>100), Arm B (n</w:t>
      </w:r>
      <w:r w:rsidR="00CF16C0">
        <w:t xml:space="preserve"> </w:t>
      </w:r>
      <w:r w:rsidRPr="00A36415">
        <w:t>=</w:t>
      </w:r>
      <w:r w:rsidR="00CF16C0">
        <w:t xml:space="preserve"> </w:t>
      </w:r>
      <w:r w:rsidRPr="00A36415">
        <w:t>31), and Arm C (n</w:t>
      </w:r>
      <w:r w:rsidR="00CF16C0">
        <w:t xml:space="preserve"> </w:t>
      </w:r>
      <w:r w:rsidRPr="00A36415">
        <w:t>=</w:t>
      </w:r>
      <w:r w:rsidR="00CF16C0">
        <w:t xml:space="preserve"> </w:t>
      </w:r>
      <w:r w:rsidRPr="00A36415">
        <w:t>29). SVR12 was achieved 94.0% (95% CI: 87.5, 97.2), 96.8% (95% CI: 83.8, 99.4), and 93.1% (95% CI: 78.0, 98.1) of patients in Arms A, B, and C,</w:t>
      </w:r>
      <w:r w:rsidR="00CF16C0">
        <w:t xml:space="preserve"> respectively.</w:t>
      </w:r>
      <w:r w:rsidRPr="00A36415">
        <w:t xml:space="preserve"> Efficacy rates were comparable in patients without cirrhosis (Arm A), and with cirrhosis (Arm B).</w:t>
      </w:r>
    </w:p>
    <w:p w:rsidR="00A36415" w:rsidRDefault="00782FFC" w:rsidP="00A36415">
      <w:r w:rsidRPr="00A36415">
        <w:t xml:space="preserve">The Delegate notes that the results of </w:t>
      </w:r>
      <w:r w:rsidR="001F2A15">
        <w:t>S</w:t>
      </w:r>
      <w:r w:rsidRPr="00A36415">
        <w:t xml:space="preserve">tudy M11-665 have been included by the sponsor in the PI [version 2, 27 June 2016] submitted with the Section 31 </w:t>
      </w:r>
      <w:proofErr w:type="gramStart"/>
      <w:r w:rsidRPr="00A36415">
        <w:t>response</w:t>
      </w:r>
      <w:proofErr w:type="gramEnd"/>
      <w:r w:rsidRPr="00A36415">
        <w:t xml:space="preserve">. The results of study M14-250 have not been included in the proposed </w:t>
      </w:r>
      <w:proofErr w:type="gramStart"/>
      <w:r w:rsidRPr="00A36415">
        <w:t>PI,</w:t>
      </w:r>
      <w:proofErr w:type="gramEnd"/>
      <w:r w:rsidRPr="00A36415">
        <w:t xml:space="preserve"> presumably as complete results are not yet available (see questions for the </w:t>
      </w:r>
      <w:r w:rsidR="001F2A15">
        <w:t>s</w:t>
      </w:r>
      <w:r w:rsidRPr="00A36415">
        <w:t xml:space="preserve">ponsor). An application to the FDA is currently under review to expand the indication of </w:t>
      </w:r>
      <w:proofErr w:type="spellStart"/>
      <w:r w:rsidR="006959E0">
        <w:t>Technivie</w:t>
      </w:r>
      <w:proofErr w:type="spellEnd"/>
      <w:r w:rsidRPr="00A36415">
        <w:t xml:space="preserve"> co-administered with RBV for 12 weeks in HCV GT4-infected patients with compensated cirrhosi</w:t>
      </w:r>
      <w:r w:rsidR="00083CB9">
        <w:t>s in the US.</w:t>
      </w:r>
    </w:p>
    <w:p w:rsidR="00A36415" w:rsidRPr="00A36415" w:rsidRDefault="00782FFC" w:rsidP="00A36415">
      <w:pPr>
        <w:pStyle w:val="Heading4"/>
      </w:pPr>
      <w:r w:rsidRPr="00A36415">
        <w:t>Safety</w:t>
      </w:r>
    </w:p>
    <w:p w:rsidR="00782FFC" w:rsidRPr="00A36415" w:rsidRDefault="00782FFC" w:rsidP="00A36415">
      <w:r w:rsidRPr="00A36415">
        <w:t xml:space="preserve">No significant new safety concerns were identified in the PEARL-I study (M13-393). The 2-DAA regimen was well tolerated with AEs occurring more commonly in patients given RBV. The most common ADRs identified in Groups 1+ 2 + 3 were headache (20.6%), asthenia (11.9%), nausea (7.1%), dry skin (5.6%), and pruritus (5.6%). The most common AEs </w:t>
      </w:r>
      <w:r w:rsidR="00187417">
        <w:t xml:space="preserve">reported in Groups 4 + 6 (that is, </w:t>
      </w:r>
      <w:r w:rsidRPr="00A36415">
        <w:t>those also taking RBV) were asthenia (23.1%), headache (20.9%), fatigue (12.1%), nausea (9.9%) and insomnia (7.7%). The most common AEs reported in Groups 7 + 8 were pruritus (16.2%), nausea (9.1%), headache (9.1%), diarrhoea (</w:t>
      </w:r>
      <w:r w:rsidR="00EB7458">
        <w:t xml:space="preserve">6.1%) and fatigue (5.1%). </w:t>
      </w:r>
      <w:r w:rsidRPr="00A36415">
        <w:t xml:space="preserve">No deaths were reported in the non-cirrhotic GT4 and GT1b patient </w:t>
      </w:r>
      <w:r w:rsidR="00EB7458">
        <w:t>g</w:t>
      </w:r>
      <w:r w:rsidRPr="00A36415">
        <w:t>roups. Two deaths were reported in the treatment</w:t>
      </w:r>
      <w:r w:rsidR="00EB7458">
        <w:t xml:space="preserve"> </w:t>
      </w:r>
      <w:r w:rsidRPr="00A36415">
        <w:t>naïve cirrhotic GT1b group, due to complications of cirrhosis, more than 3 months after the last dose of study medication.</w:t>
      </w:r>
    </w:p>
    <w:p w:rsidR="00782FFC" w:rsidRPr="00A36415" w:rsidRDefault="00782FFC" w:rsidP="00A36415">
      <w:r w:rsidRPr="00A36415">
        <w:t>For the AGATE-1 study (M11-665) preliminary results, most patients reported at least o</w:t>
      </w:r>
      <w:r w:rsidR="00B53D6C">
        <w:t>ne AE</w:t>
      </w:r>
      <w:r w:rsidRPr="00A36415">
        <w:t>, with most AEs mild or moderate and related to RBV. AEs were reported more commonly in Arm B (16 weeks), consistent with the longer treatment duration. The pattern of AEs in the two groups was comparable, and similar to the safety profile in the pivotal studies. No deaths were reported.</w:t>
      </w:r>
    </w:p>
    <w:p w:rsidR="00782FFC" w:rsidRPr="00A36415" w:rsidRDefault="00782FFC" w:rsidP="00A36415">
      <w:r w:rsidRPr="00A36415">
        <w:t xml:space="preserve">For the AGATE-2 study (M14-250), similar results were observed, with most AEs mild to </w:t>
      </w:r>
      <w:r w:rsidR="00EB7458">
        <w:t xml:space="preserve">moderate and related to RBV. </w:t>
      </w:r>
      <w:r w:rsidRPr="00A36415">
        <w:t xml:space="preserve">One death was reported, due to apnoea following a </w:t>
      </w:r>
      <w:proofErr w:type="spellStart"/>
      <w:r w:rsidRPr="00A36415">
        <w:t>suxamethonium</w:t>
      </w:r>
      <w:proofErr w:type="spellEnd"/>
      <w:r w:rsidRPr="00A36415">
        <w:t xml:space="preserve"> injection. It is requested that safety and efficacy results for this study be included in the proposed PI (see Issues for </w:t>
      </w:r>
      <w:r w:rsidR="00EB7458">
        <w:t>s</w:t>
      </w:r>
      <w:r w:rsidRPr="00A36415">
        <w:t>ponsor).</w:t>
      </w:r>
    </w:p>
    <w:p w:rsidR="00782FFC" w:rsidRPr="00A36415" w:rsidRDefault="00782FFC" w:rsidP="00A36415">
      <w:r w:rsidRPr="00A36415">
        <w:t xml:space="preserve">Major safety issues identified with the </w:t>
      </w:r>
      <w:proofErr w:type="spellStart"/>
      <w:r w:rsidR="006959E0">
        <w:t>Viekira</w:t>
      </w:r>
      <w:proofErr w:type="spellEnd"/>
      <w:r w:rsidR="006959E0">
        <w:t xml:space="preserve"> Pak</w:t>
      </w:r>
      <w:r w:rsidRPr="00A36415">
        <w:t xml:space="preserve"> submission</w:t>
      </w:r>
      <w:r w:rsidR="00A36415">
        <w:t xml:space="preserve"> </w:t>
      </w:r>
      <w:r w:rsidR="00747949">
        <w:t>and highlighted by</w:t>
      </w:r>
      <w:r w:rsidRPr="00A36415">
        <w:t xml:space="preserve"> FDA included</w:t>
      </w:r>
      <w:r w:rsidR="00A36415">
        <w:t>:</w:t>
      </w:r>
    </w:p>
    <w:p w:rsidR="00782FFC" w:rsidRPr="00B86BB7" w:rsidRDefault="00782FFC" w:rsidP="00B86BB7">
      <w:pPr>
        <w:pStyle w:val="ListBullet"/>
      </w:pPr>
      <w:r w:rsidRPr="00B86BB7">
        <w:t xml:space="preserve">An exposure-response relationship for </w:t>
      </w:r>
      <w:proofErr w:type="spellStart"/>
      <w:r w:rsidRPr="00B86BB7">
        <w:t>paritaprevir</w:t>
      </w:r>
      <w:proofErr w:type="spellEnd"/>
      <w:r w:rsidRPr="00B86BB7">
        <w:t xml:space="preserve"> for transaminase elevations and other safety parameters</w:t>
      </w:r>
    </w:p>
    <w:p w:rsidR="00782FFC" w:rsidRPr="00B86BB7" w:rsidRDefault="00782FFC" w:rsidP="00B86BB7">
      <w:pPr>
        <w:pStyle w:val="ListBullet"/>
      </w:pPr>
      <w:r w:rsidRPr="00B86BB7">
        <w:lastRenderedPageBreak/>
        <w:t>Food effect</w:t>
      </w:r>
    </w:p>
    <w:p w:rsidR="00782FFC" w:rsidRPr="00B86BB7" w:rsidRDefault="00782FFC" w:rsidP="00B86BB7">
      <w:pPr>
        <w:pStyle w:val="ListBullet"/>
      </w:pPr>
      <w:r w:rsidRPr="00B86BB7">
        <w:t xml:space="preserve">Increased exposures with hepatic impairment </w:t>
      </w:r>
    </w:p>
    <w:p w:rsidR="00782FFC" w:rsidRPr="00B86BB7" w:rsidRDefault="00782FFC" w:rsidP="00B86BB7">
      <w:pPr>
        <w:pStyle w:val="ListBullet"/>
      </w:pPr>
      <w:r w:rsidRPr="00B86BB7">
        <w:t xml:space="preserve">Multiple </w:t>
      </w:r>
      <w:r w:rsidR="00EB7458">
        <w:t>DDIs</w:t>
      </w:r>
      <w:r w:rsidRPr="00B86BB7">
        <w:t xml:space="preserve"> </w:t>
      </w:r>
    </w:p>
    <w:p w:rsidR="00782FFC" w:rsidRPr="00B86BB7" w:rsidRDefault="00782FFC" w:rsidP="00B86BB7">
      <w:pPr>
        <w:pStyle w:val="ListBullet"/>
      </w:pPr>
      <w:r w:rsidRPr="00B86BB7">
        <w:t xml:space="preserve">A </w:t>
      </w:r>
      <w:r w:rsidR="00EB7458">
        <w:t>DDI</w:t>
      </w:r>
      <w:r w:rsidRPr="00B86BB7">
        <w:t xml:space="preserve"> with oestrogen</w:t>
      </w:r>
      <w:r w:rsidR="00EB7458">
        <w:t xml:space="preserve"> </w:t>
      </w:r>
      <w:r w:rsidRPr="00B86BB7">
        <w:t xml:space="preserve">based oral </w:t>
      </w:r>
      <w:proofErr w:type="gramStart"/>
      <w:r w:rsidRPr="00B86BB7">
        <w:t>contraceptives (of unknown mechanism) that increases</w:t>
      </w:r>
      <w:proofErr w:type="gramEnd"/>
      <w:r w:rsidRPr="00B86BB7">
        <w:t xml:space="preserve"> the frequency of transaminase elevations.</w:t>
      </w:r>
    </w:p>
    <w:p w:rsidR="00782FFC" w:rsidRPr="00B86BB7" w:rsidRDefault="00782FFC" w:rsidP="00B86BB7">
      <w:r w:rsidRPr="00B86BB7">
        <w:t xml:space="preserve">It is expected that the majority of patients taking </w:t>
      </w:r>
      <w:proofErr w:type="spellStart"/>
      <w:r w:rsidR="006959E0">
        <w:t>Technivie</w:t>
      </w:r>
      <w:proofErr w:type="spellEnd"/>
      <w:r w:rsidRPr="00B86BB7">
        <w:t xml:space="preserve"> will need to take </w:t>
      </w:r>
      <w:r w:rsidR="00CC7518">
        <w:t>RBV</w:t>
      </w:r>
      <w:r w:rsidRPr="00B86BB7">
        <w:t>, which carries a risk of haemolytic anaemia.</w:t>
      </w:r>
    </w:p>
    <w:p w:rsidR="00782FFC" w:rsidRPr="00B86BB7" w:rsidRDefault="00782FFC" w:rsidP="00B86BB7">
      <w:r w:rsidRPr="00B86BB7">
        <w:t xml:space="preserve">The Delegate agrees that the ADR profile of the 3-DAA combination summarised in the current </w:t>
      </w:r>
      <w:proofErr w:type="spellStart"/>
      <w:r w:rsidR="006959E0">
        <w:t>Viekira</w:t>
      </w:r>
      <w:proofErr w:type="spellEnd"/>
      <w:r w:rsidR="006959E0">
        <w:t xml:space="preserve"> Pak</w:t>
      </w:r>
      <w:r w:rsidRPr="00B86BB7">
        <w:t>/</w:t>
      </w:r>
      <w:proofErr w:type="spellStart"/>
      <w:r w:rsidR="006959E0">
        <w:t>Viekira</w:t>
      </w:r>
      <w:proofErr w:type="spellEnd"/>
      <w:r w:rsidR="006959E0">
        <w:t xml:space="preserve"> Pak</w:t>
      </w:r>
      <w:r w:rsidRPr="00B86BB7">
        <w:t xml:space="preserve"> RBV PI should be retained in the </w:t>
      </w:r>
      <w:proofErr w:type="spellStart"/>
      <w:r w:rsidR="006959E0">
        <w:t>Technivie</w:t>
      </w:r>
      <w:proofErr w:type="spellEnd"/>
      <w:r w:rsidRPr="00B86BB7">
        <w:t xml:space="preserve"> PI. While </w:t>
      </w:r>
      <w:proofErr w:type="spellStart"/>
      <w:r w:rsidR="006959E0">
        <w:t>Technivie</w:t>
      </w:r>
      <w:proofErr w:type="spellEnd"/>
      <w:r w:rsidRPr="00B86BB7">
        <w:t xml:space="preserve"> will not be co-packaged with </w:t>
      </w:r>
      <w:r w:rsidR="00CC7518">
        <w:t>RBV</w:t>
      </w:r>
      <w:r w:rsidRPr="00B86BB7">
        <w:t xml:space="preserve">, some of the information relating to </w:t>
      </w:r>
      <w:r w:rsidR="00CC7518">
        <w:t>RBV</w:t>
      </w:r>
      <w:r w:rsidRPr="00B86BB7">
        <w:t xml:space="preserve"> included in the </w:t>
      </w:r>
      <w:proofErr w:type="spellStart"/>
      <w:r w:rsidR="006959E0">
        <w:t>Viekira</w:t>
      </w:r>
      <w:proofErr w:type="spellEnd"/>
      <w:r w:rsidR="006959E0">
        <w:t xml:space="preserve"> Pak</w:t>
      </w:r>
      <w:r w:rsidRPr="00B86BB7">
        <w:t xml:space="preserve"> RBV PI would be useful for </w:t>
      </w:r>
      <w:proofErr w:type="spellStart"/>
      <w:r w:rsidR="006959E0">
        <w:t>Technivie</w:t>
      </w:r>
      <w:proofErr w:type="spellEnd"/>
      <w:r w:rsidR="00B86BB7">
        <w:t>, given the co-administration.</w:t>
      </w:r>
    </w:p>
    <w:p w:rsidR="00782FFC" w:rsidRPr="00B86BB7" w:rsidRDefault="000F02E3" w:rsidP="00B86BB7">
      <w:pPr>
        <w:pStyle w:val="Heading5"/>
      </w:pPr>
      <w:r>
        <w:t>DDIs</w:t>
      </w:r>
    </w:p>
    <w:p w:rsidR="00782FFC" w:rsidRPr="00B86BB7" w:rsidRDefault="00782FFC" w:rsidP="00B86BB7">
      <w:r w:rsidRPr="00B86BB7">
        <w:t xml:space="preserve">A number of </w:t>
      </w:r>
      <w:r w:rsidR="00A32298">
        <w:t>DDI</w:t>
      </w:r>
      <w:r w:rsidRPr="00B86BB7">
        <w:t xml:space="preserve"> studies were conducted as part of the clinical development program for </w:t>
      </w:r>
      <w:proofErr w:type="spellStart"/>
      <w:r w:rsidR="006959E0">
        <w:t>Viekira</w:t>
      </w:r>
      <w:proofErr w:type="spellEnd"/>
      <w:r w:rsidR="006959E0">
        <w:t xml:space="preserve"> Pak</w:t>
      </w:r>
      <w:r w:rsidRPr="00B86BB7">
        <w:t xml:space="preserve"> and </w:t>
      </w:r>
      <w:proofErr w:type="spellStart"/>
      <w:r w:rsidR="006959E0">
        <w:t>Viekira</w:t>
      </w:r>
      <w:proofErr w:type="spellEnd"/>
      <w:r w:rsidR="006959E0">
        <w:t xml:space="preserve"> Pak-RBV</w:t>
      </w:r>
      <w:r w:rsidRPr="00B86BB7">
        <w:t xml:space="preserve"> with the presentation and clarity of drug interaction information in the PI extensively reviewed by the TGA and the sponsor. This information on drug interactions has been retained in the </w:t>
      </w:r>
      <w:proofErr w:type="spellStart"/>
      <w:r w:rsidR="006959E0">
        <w:t>Technivie</w:t>
      </w:r>
      <w:proofErr w:type="spellEnd"/>
      <w:r w:rsidRPr="00B86BB7">
        <w:t xml:space="preserve"> product information, with the exception of references to </w:t>
      </w:r>
      <w:proofErr w:type="spellStart"/>
      <w:r w:rsidRPr="00B86BB7">
        <w:t>dasabuvir</w:t>
      </w:r>
      <w:proofErr w:type="spellEnd"/>
      <w:r w:rsidRPr="00B86BB7">
        <w:t>. The FDA summary r</w:t>
      </w:r>
      <w:r w:rsidR="00D83618">
        <w:t>eview highlighted that the DDI</w:t>
      </w:r>
      <w:r w:rsidRPr="00B86BB7">
        <w:t xml:space="preserve"> data obtained using the 2-DAA regimen from </w:t>
      </w:r>
      <w:r w:rsidR="00FD2D4D">
        <w:t>DDI</w:t>
      </w:r>
      <w:r w:rsidRPr="00B86BB7">
        <w:t xml:space="preserve"> trials submitted as part of the </w:t>
      </w:r>
      <w:proofErr w:type="spellStart"/>
      <w:r w:rsidR="006959E0">
        <w:t>Viekira</w:t>
      </w:r>
      <w:proofErr w:type="spellEnd"/>
      <w:r w:rsidR="006959E0">
        <w:t xml:space="preserve"> Pak</w:t>
      </w:r>
      <w:r w:rsidRPr="00B86BB7">
        <w:t xml:space="preserve"> application were reviewed for the </w:t>
      </w:r>
      <w:proofErr w:type="spellStart"/>
      <w:r w:rsidR="006959E0">
        <w:t>Technivie</w:t>
      </w:r>
      <w:proofErr w:type="spellEnd"/>
      <w:r w:rsidRPr="00B86BB7">
        <w:t xml:space="preserve"> submission, with the basis for the drug-interaction labelling recommendations for the two DAA regimen compared to the three DAA </w:t>
      </w:r>
      <w:proofErr w:type="gramStart"/>
      <w:r w:rsidRPr="00B86BB7">
        <w:t>regimen</w:t>
      </w:r>
      <w:proofErr w:type="gramEnd"/>
      <w:r w:rsidRPr="00B86BB7">
        <w:t xml:space="preserve">. For most co-administered drugs, labelling recommendations were the same for the two regimens, while for other co-administered drugs, recommendations differed. The FDA medical review highlighted that there were differences in dosing recommendations between </w:t>
      </w:r>
      <w:proofErr w:type="spellStart"/>
      <w:r w:rsidR="006959E0">
        <w:t>Technivie</w:t>
      </w:r>
      <w:proofErr w:type="spellEnd"/>
      <w:r w:rsidRPr="00B86BB7">
        <w:t xml:space="preserve"> and </w:t>
      </w:r>
      <w:proofErr w:type="spellStart"/>
      <w:r w:rsidR="006959E0">
        <w:t>Viekira</w:t>
      </w:r>
      <w:proofErr w:type="spellEnd"/>
      <w:r w:rsidR="006959E0">
        <w:t xml:space="preserve"> Pak</w:t>
      </w:r>
      <w:r w:rsidRPr="00B86BB7">
        <w:t xml:space="preserve"> for </w:t>
      </w:r>
      <w:r w:rsidR="001A0ED3">
        <w:t>DDIs</w:t>
      </w:r>
      <w:r w:rsidRPr="00B86BB7">
        <w:t xml:space="preserve"> with </w:t>
      </w:r>
      <w:proofErr w:type="spellStart"/>
      <w:r w:rsidRPr="00B86BB7">
        <w:t>rosuvastatin</w:t>
      </w:r>
      <w:proofErr w:type="spellEnd"/>
      <w:r w:rsidRPr="00B86BB7">
        <w:t xml:space="preserve"> (dose should not exceed 20 mg per day with </w:t>
      </w:r>
      <w:proofErr w:type="spellStart"/>
      <w:r w:rsidR="006959E0">
        <w:t>Technivie</w:t>
      </w:r>
      <w:proofErr w:type="spellEnd"/>
      <w:r w:rsidRPr="00B86BB7">
        <w:t xml:space="preserve">), digoxin (dose should be reduced by 30-50% with </w:t>
      </w:r>
      <w:proofErr w:type="spellStart"/>
      <w:r w:rsidR="006959E0">
        <w:t>Technivie</w:t>
      </w:r>
      <w:proofErr w:type="spellEnd"/>
      <w:r w:rsidRPr="00B86BB7">
        <w:t xml:space="preserve">), and gemfibrozil (no adjustment required with </w:t>
      </w:r>
      <w:proofErr w:type="spellStart"/>
      <w:r w:rsidR="006959E0">
        <w:t>Technivie</w:t>
      </w:r>
      <w:proofErr w:type="spellEnd"/>
      <w:r w:rsidRPr="00B86BB7">
        <w:t>, as this inte</w:t>
      </w:r>
      <w:r w:rsidR="001940B0">
        <w:t xml:space="preserve">raction relates to </w:t>
      </w:r>
      <w:proofErr w:type="spellStart"/>
      <w:r w:rsidR="001940B0">
        <w:t>dasabuvir</w:t>
      </w:r>
      <w:proofErr w:type="spellEnd"/>
      <w:r w:rsidR="001940B0">
        <w:t>).</w:t>
      </w:r>
    </w:p>
    <w:p w:rsidR="00782FFC" w:rsidRPr="00B86BB7" w:rsidRDefault="00782FFC" w:rsidP="00B86BB7">
      <w:r w:rsidRPr="00B86BB7">
        <w:t xml:space="preserve">Many of the clinically relevant drug interactions for </w:t>
      </w:r>
      <w:proofErr w:type="spellStart"/>
      <w:r w:rsidR="006959E0">
        <w:t>Technivie</w:t>
      </w:r>
      <w:proofErr w:type="spellEnd"/>
      <w:r w:rsidRPr="00B86BB7">
        <w:t xml:space="preserve"> relate to </w:t>
      </w:r>
      <w:proofErr w:type="spellStart"/>
      <w:r w:rsidRPr="00B86BB7">
        <w:t>paritaprevir</w:t>
      </w:r>
      <w:proofErr w:type="spellEnd"/>
      <w:r w:rsidRPr="00B86BB7">
        <w:t xml:space="preserve"> being extensively metabolised by CYP3A4, with ritonavir a potent inhibitor of CYP3A4.  Co-administration of </w:t>
      </w:r>
      <w:proofErr w:type="spellStart"/>
      <w:r w:rsidR="006959E0">
        <w:t>Viekira</w:t>
      </w:r>
      <w:proofErr w:type="spellEnd"/>
      <w:r w:rsidR="006959E0">
        <w:t xml:space="preserve"> Pak</w:t>
      </w:r>
      <w:r w:rsidRPr="00B86BB7">
        <w:t xml:space="preserve"> with strong inhibitors of CYP3A may increase </w:t>
      </w:r>
      <w:proofErr w:type="spellStart"/>
      <w:r w:rsidRPr="00B86BB7">
        <w:t>paritaprevir</w:t>
      </w:r>
      <w:proofErr w:type="spellEnd"/>
      <w:r w:rsidRPr="00B86BB7">
        <w:t xml:space="preserve"> and ritonavir concentrations. Conversely, drugs which are moderate or strong inducers of CYP3A may result in substantially lower concentrations of </w:t>
      </w:r>
      <w:proofErr w:type="spellStart"/>
      <w:r w:rsidRPr="00B86BB7">
        <w:t>paritaprevir</w:t>
      </w:r>
      <w:proofErr w:type="spellEnd"/>
      <w:r w:rsidRPr="00B86BB7">
        <w:t xml:space="preserve"> and ritonavir and reduced therapeutic effect.  The drugs in </w:t>
      </w:r>
      <w:proofErr w:type="spellStart"/>
      <w:r w:rsidR="006959E0">
        <w:t>Viekira</w:t>
      </w:r>
      <w:proofErr w:type="spellEnd"/>
      <w:r w:rsidR="006959E0">
        <w:t xml:space="preserve"> Pak</w:t>
      </w:r>
      <w:r w:rsidRPr="00B86BB7">
        <w:t xml:space="preserve"> and </w:t>
      </w:r>
      <w:proofErr w:type="spellStart"/>
      <w:r w:rsidR="006959E0">
        <w:t>Technivie</w:t>
      </w:r>
      <w:proofErr w:type="spellEnd"/>
      <w:r w:rsidRPr="00B86BB7">
        <w:t xml:space="preserve"> also inhibit P-glycoprotein and organic anion transporting polypeptide (OATP) transporters, further increasing the possibility of </w:t>
      </w:r>
      <w:r w:rsidR="001940B0">
        <w:t>DDIs</w:t>
      </w:r>
      <w:r w:rsidRPr="00B86BB7">
        <w:t xml:space="preserve">. </w:t>
      </w:r>
      <w:proofErr w:type="spellStart"/>
      <w:r w:rsidRPr="00B86BB7">
        <w:t>Ombitasvir</w:t>
      </w:r>
      <w:proofErr w:type="spellEnd"/>
      <w:r w:rsidRPr="00B86BB7">
        <w:t xml:space="preserve"> does not appear to contribute substantially to </w:t>
      </w:r>
      <w:r w:rsidR="001940B0">
        <w:t>DDIs</w:t>
      </w:r>
      <w:r w:rsidRPr="00B86BB7">
        <w:t xml:space="preserve"> observed and is metabolised via amide hydrolysis followed by oxidative metabolism.</w:t>
      </w:r>
    </w:p>
    <w:p w:rsidR="00782FFC" w:rsidRPr="00B86BB7" w:rsidRDefault="00782FFC" w:rsidP="00B86BB7">
      <w:r w:rsidRPr="00B86BB7">
        <w:t>In practice, many clinicians will use information sources such as the University of Liverpool’s Hepat</w:t>
      </w:r>
      <w:r w:rsidR="0053236A">
        <w:t xml:space="preserve">itis Drug Interactions website </w:t>
      </w:r>
      <w:r w:rsidRPr="00B86BB7">
        <w:t>in reviewing a patient’s concomitant medications before commencing DAA therapy.</w:t>
      </w:r>
    </w:p>
    <w:p w:rsidR="00782FFC" w:rsidRPr="001828CB" w:rsidRDefault="00782FFC" w:rsidP="00B86BB7">
      <w:pPr>
        <w:pStyle w:val="Heading5"/>
      </w:pPr>
      <w:r w:rsidRPr="001828CB">
        <w:t>Post-marketing data</w:t>
      </w:r>
    </w:p>
    <w:p w:rsidR="00782FFC" w:rsidRPr="00B86BB7" w:rsidRDefault="00782FFC" w:rsidP="00B86BB7">
      <w:r w:rsidRPr="00B86BB7">
        <w:t xml:space="preserve">Post-marketing exposure for 2-DAA + RBV for </w:t>
      </w:r>
      <w:r w:rsidR="00373668">
        <w:t>GT</w:t>
      </w:r>
      <w:r w:rsidRPr="00B86BB7">
        <w:t xml:space="preserve">4 </w:t>
      </w:r>
      <w:proofErr w:type="gramStart"/>
      <w:r w:rsidRPr="00B86BB7">
        <w:t>was</w:t>
      </w:r>
      <w:proofErr w:type="gramEnd"/>
      <w:r w:rsidRPr="00B86BB7">
        <w:t xml:space="preserve"> not described in detail in this submission or the clinical evaluation. The Delegate has requested that the sponsor provide an updated number of patients exposed to 2</w:t>
      </w:r>
      <w:r w:rsidR="005D0208">
        <w:t>-</w:t>
      </w:r>
      <w:r w:rsidRPr="00B86BB7">
        <w:t xml:space="preserve">DAA + RBV for </w:t>
      </w:r>
      <w:r w:rsidR="00373668">
        <w:t>GT</w:t>
      </w:r>
      <w:r w:rsidRPr="00B86BB7">
        <w:t>4 in clinical trials and an estimated number of post-marketing exposures to 2</w:t>
      </w:r>
      <w:r w:rsidR="005D0208">
        <w:t>-</w:t>
      </w:r>
      <w:r w:rsidRPr="00B86BB7">
        <w:t xml:space="preserve">DAA + RBV. Patients in Australia have been receiving 2-DAA + RBV for </w:t>
      </w:r>
      <w:r w:rsidR="00373668">
        <w:t>GT</w:t>
      </w:r>
      <w:r w:rsidRPr="00B86BB7">
        <w:t xml:space="preserve">4 under the </w:t>
      </w:r>
      <w:r w:rsidR="002E1795">
        <w:t>Special Access Scheme</w:t>
      </w:r>
      <w:r w:rsidRPr="00B86BB7">
        <w:t xml:space="preserve">, and a report of this program, including the number of patients supplied, </w:t>
      </w:r>
      <w:r w:rsidR="005D0208">
        <w:t>AEs</w:t>
      </w:r>
      <w:r w:rsidRPr="00B86BB7">
        <w:t xml:space="preserve"> including treatment failures has also been requested with the pre</w:t>
      </w:r>
      <w:r w:rsidR="002E1795">
        <w:t xml:space="preserve"> </w:t>
      </w:r>
      <w:r w:rsidRPr="00B86BB7">
        <w:t>ACPM response.</w:t>
      </w:r>
    </w:p>
    <w:p w:rsidR="00782FFC" w:rsidRPr="00B86BB7" w:rsidRDefault="00782FFC" w:rsidP="00B86BB7">
      <w:r w:rsidRPr="00B86BB7">
        <w:lastRenderedPageBreak/>
        <w:t xml:space="preserve">Serious hepatotoxicity, including liver transplantation and death in patients with advanced liver disease receiving </w:t>
      </w:r>
      <w:proofErr w:type="spellStart"/>
      <w:r w:rsidR="006959E0">
        <w:t>Viekira</w:t>
      </w:r>
      <w:proofErr w:type="spellEnd"/>
      <w:r w:rsidR="006959E0">
        <w:t xml:space="preserve"> Pak</w:t>
      </w:r>
      <w:r w:rsidRPr="00B86BB7">
        <w:t xml:space="preserve"> and </w:t>
      </w:r>
      <w:proofErr w:type="spellStart"/>
      <w:r w:rsidR="006959E0">
        <w:t>Technivie</w:t>
      </w:r>
      <w:proofErr w:type="spellEnd"/>
      <w:r w:rsidRPr="00B86BB7">
        <w:t>, was reported in late 2015, with consequent modifications to the PI required by regulatory authorities. Whil</w:t>
      </w:r>
      <w:r w:rsidR="002A347A">
        <w:t>e</w:t>
      </w:r>
      <w:r w:rsidRPr="00B86BB7">
        <w:t xml:space="preserve"> some of these changes have been retained in the proposed PI for </w:t>
      </w:r>
      <w:proofErr w:type="spellStart"/>
      <w:r w:rsidR="006959E0">
        <w:t>Technivie</w:t>
      </w:r>
      <w:proofErr w:type="spellEnd"/>
      <w:r w:rsidRPr="00B86BB7">
        <w:t>, the Delegate requests all relevant changes be included in relation to hepatic decompensation (</w:t>
      </w:r>
      <w:r w:rsidR="00B53D6C">
        <w:t>s</w:t>
      </w:r>
      <w:r w:rsidRPr="00B86BB7">
        <w:t>e</w:t>
      </w:r>
      <w:r w:rsidR="00B53D6C">
        <w:t xml:space="preserve">e </w:t>
      </w:r>
      <w:r w:rsidR="00A96C3F">
        <w:t>r</w:t>
      </w:r>
      <w:r w:rsidR="00B53D6C">
        <w:t>eview of PI)</w:t>
      </w:r>
      <w:r w:rsidRPr="00B86BB7">
        <w:t>.</w:t>
      </w:r>
    </w:p>
    <w:p w:rsidR="008E7846" w:rsidRDefault="00386150" w:rsidP="007B6132">
      <w:pPr>
        <w:pStyle w:val="Heading3"/>
        <w:rPr>
          <w:lang w:eastAsia="en-AU"/>
        </w:rPr>
      </w:pPr>
      <w:bookmarkStart w:id="160" w:name="_Toc497301637"/>
      <w:r>
        <w:rPr>
          <w:lang w:eastAsia="en-AU"/>
        </w:rPr>
        <w:t>Risk m</w:t>
      </w:r>
      <w:r w:rsidR="008E7846">
        <w:rPr>
          <w:lang w:eastAsia="en-AU"/>
        </w:rPr>
        <w:t xml:space="preserve">anagement </w:t>
      </w:r>
      <w:r>
        <w:rPr>
          <w:lang w:eastAsia="en-AU"/>
        </w:rPr>
        <w:t>p</w:t>
      </w:r>
      <w:r w:rsidR="008E7846">
        <w:rPr>
          <w:lang w:eastAsia="en-AU"/>
        </w:rPr>
        <w:t>lan</w:t>
      </w:r>
      <w:bookmarkEnd w:id="159"/>
      <w:bookmarkEnd w:id="160"/>
    </w:p>
    <w:p w:rsidR="005832CF" w:rsidRPr="007A7CF5" w:rsidRDefault="005832CF" w:rsidP="007A7CF5">
      <w:r w:rsidRPr="007A7CF5">
        <w:t>The submission was not referred to Advisory Committee on Safety of Medicines</w:t>
      </w:r>
      <w:r w:rsidR="002A347A">
        <w:t xml:space="preserve"> (ACSOM)</w:t>
      </w:r>
      <w:r w:rsidRPr="007A7CF5">
        <w:t xml:space="preserve">. There were no outstanding issues in relation to the RMP for this submission. </w:t>
      </w:r>
    </w:p>
    <w:p w:rsidR="008E7846" w:rsidRDefault="00AA0ED0" w:rsidP="008E7846">
      <w:pPr>
        <w:pStyle w:val="Heading3"/>
      </w:pPr>
      <w:bookmarkStart w:id="161" w:name="_Toc247691531"/>
      <w:bookmarkStart w:id="162" w:name="_Toc314842515"/>
      <w:bookmarkStart w:id="163" w:name="_Toc497301638"/>
      <w:bookmarkStart w:id="164" w:name="_Toc196046505"/>
      <w:bookmarkStart w:id="165" w:name="_Toc196046949"/>
      <w:r>
        <w:t>Risk-benefit a</w:t>
      </w:r>
      <w:r w:rsidR="008E7846">
        <w:t>nalysis</w:t>
      </w:r>
      <w:bookmarkEnd w:id="161"/>
      <w:bookmarkEnd w:id="162"/>
      <w:bookmarkEnd w:id="163"/>
    </w:p>
    <w:p w:rsidR="00D23139" w:rsidRDefault="00D23139" w:rsidP="00D23139">
      <w:pPr>
        <w:pStyle w:val="Heading4"/>
      </w:pPr>
      <w:r w:rsidRPr="00D23139">
        <w:t xml:space="preserve">Delegate’s considerations </w:t>
      </w:r>
    </w:p>
    <w:p w:rsidR="007A7CF5" w:rsidRPr="007A7CF5" w:rsidRDefault="00747949" w:rsidP="007A7CF5">
      <w:r>
        <w:t xml:space="preserve">Overseas approval by </w:t>
      </w:r>
      <w:r w:rsidR="007A7CF5" w:rsidRPr="007A7CF5">
        <w:t xml:space="preserve">FDA and </w:t>
      </w:r>
      <w:r>
        <w:t xml:space="preserve">Health </w:t>
      </w:r>
      <w:r w:rsidR="007A7CF5" w:rsidRPr="007A7CF5">
        <w:t xml:space="preserve">Canada has not yet included patients </w:t>
      </w:r>
      <w:r>
        <w:t>with compensated cirrhosis. EMA</w:t>
      </w:r>
      <w:r w:rsidR="007A7CF5">
        <w:t xml:space="preserve"> has approved use of </w:t>
      </w:r>
      <w:proofErr w:type="spellStart"/>
      <w:r w:rsidR="007A7CF5">
        <w:t>Viekirax</w:t>
      </w:r>
      <w:proofErr w:type="spellEnd"/>
      <w:r w:rsidR="007A7CF5" w:rsidRPr="007A7CF5">
        <w:t xml:space="preserve"> with </w:t>
      </w:r>
      <w:r w:rsidR="00CC7518">
        <w:t>RBV</w:t>
      </w:r>
      <w:r w:rsidR="007A7CF5" w:rsidRPr="007A7CF5">
        <w:t xml:space="preserve"> in patients with HCV </w:t>
      </w:r>
      <w:r w:rsidR="00373668">
        <w:t>GT</w:t>
      </w:r>
      <w:r w:rsidR="007A7CF5" w:rsidRPr="007A7CF5">
        <w:t>4, with and without compensated cirrhosis.</w:t>
      </w:r>
    </w:p>
    <w:p w:rsidR="007A7CF5" w:rsidRPr="007A7CF5" w:rsidRDefault="007A7CF5" w:rsidP="007A7CF5">
      <w:r w:rsidRPr="007A7CF5">
        <w:t xml:space="preserve">Given the post-marketing reports of serious hepatotoxicity in patients receiving </w:t>
      </w:r>
      <w:proofErr w:type="spellStart"/>
      <w:r w:rsidR="006959E0">
        <w:t>Viekira</w:t>
      </w:r>
      <w:proofErr w:type="spellEnd"/>
      <w:r w:rsidR="006959E0">
        <w:t xml:space="preserve"> Pak</w:t>
      </w:r>
      <w:r w:rsidRPr="007A7CF5">
        <w:t xml:space="preserve"> and </w:t>
      </w:r>
      <w:proofErr w:type="spellStart"/>
      <w:r w:rsidR="006959E0">
        <w:t>Technivie</w:t>
      </w:r>
      <w:proofErr w:type="spellEnd"/>
      <w:r w:rsidRPr="007A7CF5">
        <w:t xml:space="preserve"> and contra-indicated use in severe hepatic impairment, it is assumed that prescribers will be aware of these risks, which can be handled appropriately by adequate information in the </w:t>
      </w:r>
      <w:r w:rsidR="00AB3A6D">
        <w:t>PI</w:t>
      </w:r>
      <w:r w:rsidRPr="007A7CF5">
        <w:t xml:space="preserve"> in addition to risk minimisation activities directed at prescribers and patients.</w:t>
      </w:r>
    </w:p>
    <w:p w:rsidR="007A7CF5" w:rsidRPr="007A7CF5" w:rsidRDefault="007A7CF5" w:rsidP="007A7CF5">
      <w:r w:rsidRPr="007A7CF5">
        <w:t xml:space="preserve">Safety data for </w:t>
      </w:r>
      <w:proofErr w:type="spellStart"/>
      <w:r w:rsidR="006959E0">
        <w:t>Technivie</w:t>
      </w:r>
      <w:proofErr w:type="spellEnd"/>
      <w:r w:rsidRPr="007A7CF5">
        <w:t xml:space="preserve"> is reliant on the larger database for </w:t>
      </w:r>
      <w:proofErr w:type="spellStart"/>
      <w:r w:rsidR="006959E0">
        <w:t>Viekira</w:t>
      </w:r>
      <w:proofErr w:type="spellEnd"/>
      <w:r w:rsidR="006959E0">
        <w:t xml:space="preserve"> Pak</w:t>
      </w:r>
      <w:r w:rsidRPr="007A7CF5">
        <w:t xml:space="preserve"> and it is appropriate that the larger ADR and complex drug interaction profile of the 3-DAA combination be retained in the PI for </w:t>
      </w:r>
      <w:proofErr w:type="spellStart"/>
      <w:r w:rsidR="006959E0">
        <w:t>Technivie</w:t>
      </w:r>
      <w:proofErr w:type="spellEnd"/>
      <w:r w:rsidRPr="007A7CF5">
        <w:t xml:space="preserve">, with some minor differences. Safety data from clinical trials for </w:t>
      </w:r>
      <w:proofErr w:type="spellStart"/>
      <w:r w:rsidR="006959E0">
        <w:t>Technivie</w:t>
      </w:r>
      <w:proofErr w:type="spellEnd"/>
      <w:r w:rsidRPr="007A7CF5">
        <w:t xml:space="preserve"> will be limited to the smaller trials for patients with </w:t>
      </w:r>
      <w:r w:rsidR="00373668">
        <w:t>GT</w:t>
      </w:r>
      <w:r w:rsidRPr="007A7CF5">
        <w:t>4 infection.</w:t>
      </w:r>
    </w:p>
    <w:p w:rsidR="007A7CF5" w:rsidRPr="007A7CF5" w:rsidRDefault="006959E0" w:rsidP="007A7CF5">
      <w:proofErr w:type="spellStart"/>
      <w:r>
        <w:t>Technivie</w:t>
      </w:r>
      <w:proofErr w:type="spellEnd"/>
      <w:r w:rsidR="007A7CF5" w:rsidRPr="007A7CF5">
        <w:t xml:space="preserve"> is to be marketed as a separate and distinct good from </w:t>
      </w:r>
      <w:proofErr w:type="spellStart"/>
      <w:r>
        <w:t>Viekira</w:t>
      </w:r>
      <w:proofErr w:type="spellEnd"/>
      <w:r>
        <w:t xml:space="preserve"> Pak</w:t>
      </w:r>
      <w:r w:rsidR="002F1832">
        <w:t>/</w:t>
      </w:r>
      <w:proofErr w:type="spellStart"/>
      <w:r>
        <w:t>Viekira</w:t>
      </w:r>
      <w:proofErr w:type="spellEnd"/>
      <w:r>
        <w:t xml:space="preserve"> Pak</w:t>
      </w:r>
      <w:r w:rsidR="007A7CF5" w:rsidRPr="007A7CF5">
        <w:t xml:space="preserve"> </w:t>
      </w:r>
      <w:proofErr w:type="gramStart"/>
      <w:r w:rsidR="007A7CF5" w:rsidRPr="007A7CF5">
        <w:t>RBV,</w:t>
      </w:r>
      <w:proofErr w:type="gramEnd"/>
      <w:r w:rsidR="007A7CF5" w:rsidRPr="007A7CF5">
        <w:t xml:space="preserve"> however there is the potential for market confusion given the similarity of the products and the variation in presentation of the product information.</w:t>
      </w:r>
    </w:p>
    <w:p w:rsidR="007A7CF5" w:rsidRDefault="007A7CF5" w:rsidP="007A7CF5">
      <w:r w:rsidRPr="007A7CF5">
        <w:t xml:space="preserve">The Delegate is of the opinion that data are sufficient to recommend registration of </w:t>
      </w:r>
      <w:proofErr w:type="spellStart"/>
      <w:r w:rsidR="006959E0">
        <w:t>Technivie</w:t>
      </w:r>
      <w:proofErr w:type="spellEnd"/>
      <w:r w:rsidRPr="007A7CF5">
        <w:t xml:space="preserve"> in combination with </w:t>
      </w:r>
      <w:r w:rsidR="00CC7518">
        <w:t>RBV</w:t>
      </w:r>
      <w:r w:rsidRPr="007A7CF5">
        <w:t xml:space="preserve"> for the treatment of patients with </w:t>
      </w:r>
      <w:r w:rsidR="002F1832">
        <w:t>HCV</w:t>
      </w:r>
      <w:r w:rsidRPr="007A7CF5">
        <w:t xml:space="preserve"> </w:t>
      </w:r>
      <w:r w:rsidR="008927E3">
        <w:t xml:space="preserve">GT4 </w:t>
      </w:r>
      <w:r w:rsidRPr="007A7CF5">
        <w:t xml:space="preserve">infection. Approval is subject to implementation of RMP (version 3.1, May 2016, DLP 19 December 2015) with </w:t>
      </w:r>
      <w:r w:rsidR="00CB59A6">
        <w:t>ASA</w:t>
      </w:r>
      <w:r w:rsidRPr="007A7CF5">
        <w:t xml:space="preserve"> (version 3.1, May 2016) and any future updates as a condition of registration.</w:t>
      </w:r>
    </w:p>
    <w:p w:rsidR="00A4307F" w:rsidRDefault="00A4307F" w:rsidP="00A4307F">
      <w:pPr>
        <w:pStyle w:val="Heading4"/>
      </w:pPr>
      <w:r>
        <w:t>Summary of issues</w:t>
      </w:r>
    </w:p>
    <w:p w:rsidR="00A4307F" w:rsidRPr="00A4307F" w:rsidRDefault="00A4307F" w:rsidP="00A4307F">
      <w:r>
        <w:t xml:space="preserve">HCV </w:t>
      </w:r>
      <w:r w:rsidR="00373668">
        <w:t>GT</w:t>
      </w:r>
      <w:r>
        <w:t>4</w:t>
      </w:r>
      <w:r w:rsidRPr="007A7CF5">
        <w:t xml:space="preserve"> infection </w:t>
      </w:r>
      <w:r w:rsidRPr="00A4307F">
        <w:t>is rare in Australia. Data to support this application was in</w:t>
      </w:r>
      <w:r w:rsidR="004B54E1">
        <w:t>itially based on a small Phase II</w:t>
      </w:r>
      <w:r w:rsidRPr="00A4307F">
        <w:t xml:space="preserve"> study, which included 135 </w:t>
      </w:r>
      <w:r w:rsidR="00373668">
        <w:t>GT</w:t>
      </w:r>
      <w:r w:rsidRPr="00A4307F">
        <w:t xml:space="preserve">4 patients without cirrhosis as a subgroup. The application has been substantiated with the availability of interim data from two studies which include GT4 patients with compensated cirrhosis. </w:t>
      </w:r>
    </w:p>
    <w:p w:rsidR="00A4307F" w:rsidRPr="00A4307F" w:rsidRDefault="006959E0" w:rsidP="00A4307F">
      <w:proofErr w:type="spellStart"/>
      <w:r>
        <w:t>Technivie</w:t>
      </w:r>
      <w:proofErr w:type="spellEnd"/>
      <w:r w:rsidR="00A4307F" w:rsidRPr="00A4307F">
        <w:t xml:space="preserve"> is to be marketed as a separate and distinct good from </w:t>
      </w:r>
      <w:proofErr w:type="spellStart"/>
      <w:r>
        <w:t>Viekira</w:t>
      </w:r>
      <w:proofErr w:type="spellEnd"/>
      <w:r>
        <w:t xml:space="preserve"> Pak</w:t>
      </w:r>
      <w:r w:rsidR="00A4307F" w:rsidRPr="00A4307F">
        <w:t xml:space="preserve"> and </w:t>
      </w:r>
      <w:proofErr w:type="spellStart"/>
      <w:r>
        <w:t>Viekira</w:t>
      </w:r>
      <w:proofErr w:type="spellEnd"/>
      <w:r>
        <w:t xml:space="preserve"> Pak</w:t>
      </w:r>
      <w:r w:rsidR="00911BAF">
        <w:t xml:space="preserve"> RBV; </w:t>
      </w:r>
      <w:r w:rsidR="00A4307F" w:rsidRPr="00A4307F">
        <w:t>however</w:t>
      </w:r>
      <w:r w:rsidR="00911BAF">
        <w:t>,</w:t>
      </w:r>
      <w:r w:rsidR="00A4307F" w:rsidRPr="00A4307F">
        <w:t xml:space="preserve"> there is the potential for market confusion given the similarity of the products and the variation in presentation of the </w:t>
      </w:r>
      <w:r w:rsidR="00B73681">
        <w:t>PI</w:t>
      </w:r>
      <w:r w:rsidR="00A4307F" w:rsidRPr="00A4307F">
        <w:t>.</w:t>
      </w:r>
    </w:p>
    <w:p w:rsidR="001341E6" w:rsidRDefault="001341E6" w:rsidP="00AE3137">
      <w:pPr>
        <w:pStyle w:val="Heading4"/>
      </w:pPr>
      <w:r>
        <w:t>Issues for sponsor</w:t>
      </w:r>
    </w:p>
    <w:p w:rsidR="00936B57" w:rsidRPr="007A7CF5" w:rsidRDefault="00936B57" w:rsidP="00F93C6D">
      <w:pPr>
        <w:pStyle w:val="ListBullet"/>
      </w:pPr>
      <w:r w:rsidRPr="007A7CF5">
        <w:t>Please provide an update of the overseas regulatory status</w:t>
      </w:r>
      <w:r>
        <w:t>.</w:t>
      </w:r>
    </w:p>
    <w:p w:rsidR="00936B57" w:rsidRPr="007A7CF5" w:rsidRDefault="00936B57" w:rsidP="00F93C6D">
      <w:pPr>
        <w:pStyle w:val="ListBullet"/>
      </w:pPr>
      <w:r w:rsidRPr="007A7CF5">
        <w:lastRenderedPageBreak/>
        <w:t>Although not directly relevant to the indication sought (</w:t>
      </w:r>
      <w:r w:rsidR="00373668">
        <w:t>GT</w:t>
      </w:r>
      <w:r w:rsidRPr="007A7CF5">
        <w:t xml:space="preserve">4 infection), what are </w:t>
      </w:r>
      <w:r w:rsidR="00290699">
        <w:t>AbbVie</w:t>
      </w:r>
      <w:r w:rsidRPr="007A7CF5">
        <w:t xml:space="preserve">’s comments on the implications of the PEARL-1 study for using 2-DAA for GT1b, given the efficacy results in this patient population? </w:t>
      </w:r>
    </w:p>
    <w:p w:rsidR="00936B57" w:rsidRPr="007A7CF5" w:rsidRDefault="00936B57" w:rsidP="00F93C6D">
      <w:pPr>
        <w:pStyle w:val="ListBullet"/>
      </w:pPr>
      <w:r w:rsidRPr="007A7CF5">
        <w:t>Please include the most recent efficacy and safety results of Study M14-250(AGATE-2) in the proposed PI.</w:t>
      </w:r>
    </w:p>
    <w:p w:rsidR="00936B57" w:rsidRPr="007A7CF5" w:rsidRDefault="00936B57" w:rsidP="00F93C6D">
      <w:pPr>
        <w:pStyle w:val="ListBullet"/>
      </w:pPr>
      <w:r w:rsidRPr="007A7CF5">
        <w:t xml:space="preserve">In relation to interactions with other medicines, please provide a summary, in tabular format, highlighting the co-administered drugs where recommendations are different for </w:t>
      </w:r>
      <w:proofErr w:type="spellStart"/>
      <w:r w:rsidR="006959E0">
        <w:t>Viekira</w:t>
      </w:r>
      <w:proofErr w:type="spellEnd"/>
      <w:r w:rsidR="006959E0">
        <w:t xml:space="preserve"> Pak</w:t>
      </w:r>
      <w:r w:rsidRPr="007A7CF5">
        <w:t>/</w:t>
      </w:r>
      <w:proofErr w:type="spellStart"/>
      <w:r w:rsidR="006959E0">
        <w:t>Viekira</w:t>
      </w:r>
      <w:proofErr w:type="spellEnd"/>
      <w:r w:rsidR="006959E0">
        <w:t xml:space="preserve"> Pak</w:t>
      </w:r>
      <w:r w:rsidRPr="007A7CF5">
        <w:t xml:space="preserve"> RBV and </w:t>
      </w:r>
      <w:proofErr w:type="spellStart"/>
      <w:r w:rsidR="006959E0">
        <w:t>Technivie</w:t>
      </w:r>
      <w:proofErr w:type="spellEnd"/>
      <w:r w:rsidRPr="007A7CF5">
        <w:t xml:space="preserve"> and the reasons for this, with reference to the proposed PI for </w:t>
      </w:r>
      <w:proofErr w:type="spellStart"/>
      <w:r w:rsidR="006959E0">
        <w:t>Technivie</w:t>
      </w:r>
      <w:proofErr w:type="spellEnd"/>
      <w:r w:rsidRPr="007A7CF5">
        <w:t>.</w:t>
      </w:r>
    </w:p>
    <w:p w:rsidR="00936B57" w:rsidRPr="007A7CF5" w:rsidRDefault="00936B57" w:rsidP="00F93C6D">
      <w:pPr>
        <w:pStyle w:val="ListBullet"/>
      </w:pPr>
      <w:r w:rsidRPr="007A7CF5">
        <w:t>Why was the FDC proposed for marketing not used for the PEARL-1 study? The FDA Clinical Pharmacolo</w:t>
      </w:r>
      <w:r w:rsidR="002F1832">
        <w:t>gy and Biopharmaceutics Review highlighted that the P</w:t>
      </w:r>
      <w:r w:rsidRPr="007A7CF5">
        <w:t>hase III 3-DAA studies used the co-formulated product and that the co-formulated product had higher ABT-450 (</w:t>
      </w:r>
      <w:proofErr w:type="spellStart"/>
      <w:r w:rsidRPr="007A7CF5">
        <w:t>paritaprevir</w:t>
      </w:r>
      <w:proofErr w:type="spellEnd"/>
      <w:r w:rsidRPr="007A7CF5">
        <w:t>) exposures than the individual tablets. Did the AGATE-1 and AGATE-2 studies use the FDC?</w:t>
      </w:r>
    </w:p>
    <w:p w:rsidR="00936B57" w:rsidRPr="007A7CF5" w:rsidRDefault="00936B57" w:rsidP="00936B57">
      <w:r w:rsidRPr="007A7CF5">
        <w:t>As requested by email</w:t>
      </w:r>
      <w:r>
        <w:t>:</w:t>
      </w:r>
    </w:p>
    <w:p w:rsidR="00936B57" w:rsidRPr="007A7CF5" w:rsidRDefault="00936B57" w:rsidP="00F93C6D">
      <w:pPr>
        <w:pStyle w:val="ListBullet"/>
      </w:pPr>
      <w:r w:rsidRPr="007A7CF5">
        <w:t xml:space="preserve">Please provide an updated number of patients exposed to </w:t>
      </w:r>
      <w:r w:rsidR="00373668">
        <w:t>2-DAA</w:t>
      </w:r>
      <w:r w:rsidRPr="007A7CF5">
        <w:t xml:space="preserve"> + RBV for </w:t>
      </w:r>
      <w:r w:rsidR="00373668">
        <w:t>GT</w:t>
      </w:r>
      <w:r w:rsidRPr="007A7CF5">
        <w:t xml:space="preserve">4 in clinical trials and an estimated number of post-marketing exposures to </w:t>
      </w:r>
      <w:r w:rsidR="00373668">
        <w:t>2-DAA</w:t>
      </w:r>
      <w:r w:rsidRPr="007A7CF5">
        <w:t xml:space="preserve"> + RBV.</w:t>
      </w:r>
    </w:p>
    <w:p w:rsidR="00936B57" w:rsidRPr="007A7CF5" w:rsidRDefault="00936B57" w:rsidP="00F93C6D">
      <w:pPr>
        <w:pStyle w:val="ListBullet"/>
      </w:pPr>
      <w:r w:rsidRPr="007A7CF5">
        <w:t>Plea</w:t>
      </w:r>
      <w:r w:rsidR="00A31462">
        <w:t>se provide a report of the Special Access Scheme</w:t>
      </w:r>
      <w:r w:rsidRPr="007A7CF5">
        <w:t xml:space="preserve"> for patients receiving 2-DAA + RBV for </w:t>
      </w:r>
      <w:r w:rsidR="00373668">
        <w:t>GT</w:t>
      </w:r>
      <w:r w:rsidRPr="007A7CF5">
        <w:t xml:space="preserve">4, including the number of patients supplied and </w:t>
      </w:r>
      <w:r w:rsidR="00D83618">
        <w:t>AEs</w:t>
      </w:r>
      <w:r w:rsidRPr="007A7CF5">
        <w:t xml:space="preserve"> including treatment failures.</w:t>
      </w:r>
    </w:p>
    <w:p w:rsidR="00D23139" w:rsidRDefault="00D23139" w:rsidP="00D23139">
      <w:pPr>
        <w:pStyle w:val="Heading4"/>
      </w:pPr>
      <w:r w:rsidRPr="00D23139">
        <w:t>Proposed action</w:t>
      </w:r>
    </w:p>
    <w:p w:rsidR="001341E6" w:rsidRDefault="001341E6" w:rsidP="00232A97">
      <w:r>
        <w:t>The Delegate has</w:t>
      </w:r>
      <w:r w:rsidRPr="001341E6">
        <w:t xml:space="preserve"> no reason to say, at this time, that the application for </w:t>
      </w:r>
      <w:proofErr w:type="spellStart"/>
      <w:r w:rsidR="006959E0">
        <w:t>Technivie</w:t>
      </w:r>
      <w:proofErr w:type="spellEnd"/>
      <w:r w:rsidRPr="001341E6">
        <w:t xml:space="preserve"> should not be approve</w:t>
      </w:r>
      <w:r>
        <w:t>d for registration.</w:t>
      </w:r>
    </w:p>
    <w:p w:rsidR="00232A97" w:rsidRPr="00232A97" w:rsidRDefault="001341E6" w:rsidP="00232A97">
      <w:r w:rsidRPr="001341E6">
        <w:t xml:space="preserve">Approval is subject to implementation of the EU-RMP (version 3.1, May 2016, DLP 19 December 2015) with </w:t>
      </w:r>
      <w:r w:rsidR="00F6780D">
        <w:t>ASA</w:t>
      </w:r>
      <w:r w:rsidRPr="001341E6">
        <w:t xml:space="preserve"> (version 3.1, May 2016) and any future updates as a condition of registration.</w:t>
      </w:r>
    </w:p>
    <w:p w:rsidR="00D23139" w:rsidRDefault="00D23139" w:rsidP="00D23139">
      <w:pPr>
        <w:pStyle w:val="Heading4"/>
      </w:pPr>
      <w:r w:rsidRPr="00D23139">
        <w:t>Request for ACPM advice</w:t>
      </w:r>
    </w:p>
    <w:p w:rsidR="00936B57" w:rsidRPr="00C80339" w:rsidRDefault="00936B57" w:rsidP="00936B57">
      <w:pPr>
        <w:rPr>
          <w:rFonts w:asciiTheme="minorHAnsi" w:hAnsiTheme="minorHAnsi"/>
        </w:rPr>
      </w:pPr>
      <w:r w:rsidRPr="00C80339">
        <w:rPr>
          <w:rFonts w:asciiTheme="minorHAnsi" w:hAnsiTheme="minorHAnsi"/>
        </w:rPr>
        <w:t>The committee is requested to provide advice on the following specific issues:</w:t>
      </w:r>
    </w:p>
    <w:p w:rsidR="00936B57" w:rsidRDefault="00936B57" w:rsidP="00936B57">
      <w:pPr>
        <w:pStyle w:val="ListBullet"/>
      </w:pPr>
      <w:r>
        <w:t>T</w:t>
      </w:r>
      <w:r w:rsidRPr="00C74AD9">
        <w:t xml:space="preserve">here is variation in the presentation of production information for </w:t>
      </w:r>
      <w:proofErr w:type="spellStart"/>
      <w:r w:rsidR="006959E0">
        <w:t>Technivie</w:t>
      </w:r>
      <w:proofErr w:type="spellEnd"/>
      <w:r w:rsidRPr="00C74AD9">
        <w:t>, compared with overseas regulators</w:t>
      </w:r>
      <w:r>
        <w:t xml:space="preserve"> and compared to </w:t>
      </w:r>
      <w:proofErr w:type="spellStart"/>
      <w:r w:rsidR="006959E0">
        <w:t>Viekira</w:t>
      </w:r>
      <w:proofErr w:type="spellEnd"/>
      <w:r w:rsidR="006959E0">
        <w:t xml:space="preserve"> Pak</w:t>
      </w:r>
      <w:r>
        <w:t xml:space="preserve"> and </w:t>
      </w:r>
      <w:proofErr w:type="spellStart"/>
      <w:r w:rsidR="006959E0">
        <w:t>Viekira</w:t>
      </w:r>
      <w:proofErr w:type="spellEnd"/>
      <w:r w:rsidR="006959E0">
        <w:t xml:space="preserve"> Pak</w:t>
      </w:r>
      <w:r>
        <w:t xml:space="preserve"> RBV. </w:t>
      </w:r>
      <w:r w:rsidRPr="00C74AD9">
        <w:t xml:space="preserve">The Australian PI for </w:t>
      </w:r>
      <w:proofErr w:type="spellStart"/>
      <w:r w:rsidR="006959E0">
        <w:t>Technivie</w:t>
      </w:r>
      <w:proofErr w:type="spellEnd"/>
      <w:r w:rsidRPr="00C74AD9">
        <w:t xml:space="preserve"> is proposed as a stand-alone </w:t>
      </w:r>
      <w:r w:rsidR="00146A8A">
        <w:t>PI</w:t>
      </w:r>
      <w:r w:rsidRPr="00C74AD9">
        <w:t xml:space="preserve">, similar to the US and Canada. Please comment on the presentation of the </w:t>
      </w:r>
      <w:r>
        <w:t xml:space="preserve">proposed </w:t>
      </w:r>
      <w:r w:rsidRPr="00C74AD9">
        <w:t>PI</w:t>
      </w:r>
      <w:r>
        <w:t xml:space="preserve"> and the potential for market confusion with </w:t>
      </w:r>
      <w:proofErr w:type="spellStart"/>
      <w:r w:rsidR="006959E0">
        <w:t>Viekira</w:t>
      </w:r>
      <w:proofErr w:type="spellEnd"/>
      <w:r w:rsidR="006959E0">
        <w:t xml:space="preserve"> Pak</w:t>
      </w:r>
      <w:r w:rsidRPr="00C74AD9">
        <w:t xml:space="preserve"> and </w:t>
      </w:r>
      <w:proofErr w:type="spellStart"/>
      <w:r w:rsidR="006959E0">
        <w:t>Viekira</w:t>
      </w:r>
      <w:proofErr w:type="spellEnd"/>
      <w:r w:rsidR="006959E0">
        <w:t xml:space="preserve"> Pak</w:t>
      </w:r>
      <w:r w:rsidRPr="00C74AD9">
        <w:t xml:space="preserve"> RBV</w:t>
      </w:r>
      <w:r>
        <w:t xml:space="preserve"> in Australia.</w:t>
      </w:r>
    </w:p>
    <w:p w:rsidR="00936B57" w:rsidRDefault="006959E0" w:rsidP="00936B57">
      <w:pPr>
        <w:pStyle w:val="ListBullet"/>
      </w:pPr>
      <w:proofErr w:type="spellStart"/>
      <w:r>
        <w:t>Technivie</w:t>
      </w:r>
      <w:proofErr w:type="spellEnd"/>
      <w:r w:rsidR="00936B57">
        <w:t xml:space="preserve"> will not be packaged with RBV but is recommended to given with </w:t>
      </w:r>
      <w:r w:rsidR="00CC7518">
        <w:t>RBV</w:t>
      </w:r>
      <w:r w:rsidR="00936B57">
        <w:t xml:space="preserve">, as per the indication. Please comment of the adequacy of the </w:t>
      </w:r>
      <w:proofErr w:type="spellStart"/>
      <w:r>
        <w:t>Technivie</w:t>
      </w:r>
      <w:proofErr w:type="spellEnd"/>
      <w:r w:rsidR="00936B57">
        <w:t xml:space="preserve"> PI with respect to information regarding potential risks associated with </w:t>
      </w:r>
      <w:r w:rsidR="00CC7518">
        <w:t>RBV</w:t>
      </w:r>
      <w:r w:rsidR="00936B57">
        <w:t>.</w:t>
      </w:r>
    </w:p>
    <w:p w:rsidR="00936B57" w:rsidRPr="00BD3768" w:rsidRDefault="00936B57" w:rsidP="00936B57">
      <w:pPr>
        <w:pStyle w:val="ListBullet"/>
      </w:pPr>
      <w:r>
        <w:t xml:space="preserve">The adequacy and clarity of the </w:t>
      </w:r>
      <w:r w:rsidRPr="005C2359">
        <w:t xml:space="preserve">safety and </w:t>
      </w:r>
      <w:r w:rsidR="00A2581D">
        <w:t>DDI</w:t>
      </w:r>
      <w:r>
        <w:t xml:space="preserve"> information</w:t>
      </w:r>
      <w:r w:rsidRPr="005C2359">
        <w:t xml:space="preserve"> </w:t>
      </w:r>
      <w:r>
        <w:t xml:space="preserve">of the PI, </w:t>
      </w:r>
      <w:r w:rsidRPr="00422C66">
        <w:t xml:space="preserve">noting the presentation of overseas PI, and the </w:t>
      </w:r>
      <w:proofErr w:type="spellStart"/>
      <w:r w:rsidR="006959E0">
        <w:t>Viekira</w:t>
      </w:r>
      <w:proofErr w:type="spellEnd"/>
      <w:r w:rsidR="006959E0">
        <w:t xml:space="preserve"> Pak</w:t>
      </w:r>
      <w:r w:rsidRPr="00422C66">
        <w:t xml:space="preserve"> RBV</w:t>
      </w:r>
      <w:r>
        <w:t xml:space="preserve"> PI.</w:t>
      </w:r>
    </w:p>
    <w:p w:rsidR="00936B57" w:rsidRPr="00C80339" w:rsidRDefault="00936B57" w:rsidP="00936B57">
      <w:pPr>
        <w:pStyle w:val="ListBullet"/>
      </w:pPr>
      <w:r>
        <w:t xml:space="preserve">The wording of the indication. The proposed indication is </w:t>
      </w:r>
      <w:r w:rsidRPr="00C001DA">
        <w:t>for the treatm</w:t>
      </w:r>
      <w:r>
        <w:t xml:space="preserve">ent of patients with </w:t>
      </w:r>
      <w:r w:rsidR="00B669A2">
        <w:t xml:space="preserve">HCV </w:t>
      </w:r>
      <w:r w:rsidR="00373668">
        <w:t>GT</w:t>
      </w:r>
      <w:r w:rsidR="00B669A2">
        <w:t>4</w:t>
      </w:r>
      <w:r w:rsidRPr="00C001DA">
        <w:t xml:space="preserve"> infection</w:t>
      </w:r>
      <w:r>
        <w:t xml:space="preserve"> in combination with </w:t>
      </w:r>
      <w:r w:rsidR="00CC7518">
        <w:t>RBV</w:t>
      </w:r>
      <w:r>
        <w:t xml:space="preserve">. </w:t>
      </w:r>
    </w:p>
    <w:p w:rsidR="00936B57" w:rsidRDefault="00936B57" w:rsidP="00936B57">
      <w:pPr>
        <w:rPr>
          <w:rFonts w:asciiTheme="minorHAnsi" w:hAnsiTheme="minorHAnsi"/>
        </w:rPr>
      </w:pPr>
      <w:r w:rsidRPr="00C80339">
        <w:rPr>
          <w:rFonts w:asciiTheme="minorHAnsi" w:hAnsiTheme="minorHAnsi"/>
        </w:rPr>
        <w:t xml:space="preserve">The committee is </w:t>
      </w:r>
      <w:r>
        <w:rPr>
          <w:rFonts w:asciiTheme="minorHAnsi" w:hAnsiTheme="minorHAnsi"/>
        </w:rPr>
        <w:t>(</w:t>
      </w:r>
      <w:r w:rsidRPr="00C80339">
        <w:rPr>
          <w:rFonts w:asciiTheme="minorHAnsi" w:hAnsiTheme="minorHAnsi"/>
        </w:rPr>
        <w:t>also</w:t>
      </w:r>
      <w:r>
        <w:rPr>
          <w:rFonts w:asciiTheme="minorHAnsi" w:hAnsiTheme="minorHAnsi"/>
        </w:rPr>
        <w:t>)</w:t>
      </w:r>
      <w:r w:rsidRPr="00C80339">
        <w:rPr>
          <w:rFonts w:asciiTheme="minorHAnsi" w:hAnsiTheme="minorHAnsi"/>
        </w:rPr>
        <w:t xml:space="preserve"> requested to provide advice on any other issues that it thinks may be relevant to a decision on whether or not to approve this application.</w:t>
      </w:r>
    </w:p>
    <w:p w:rsidR="00D23139" w:rsidRDefault="00232A97" w:rsidP="00A5457F">
      <w:pPr>
        <w:pStyle w:val="Heading4"/>
      </w:pPr>
      <w:r>
        <w:lastRenderedPageBreak/>
        <w:t>Response from s</w:t>
      </w:r>
      <w:r w:rsidR="00D23139" w:rsidRPr="00D23139">
        <w:t xml:space="preserve">ponsor </w:t>
      </w:r>
    </w:p>
    <w:p w:rsidR="00871922" w:rsidRPr="00871922" w:rsidRDefault="00871922" w:rsidP="00807B3C">
      <w:pPr>
        <w:pStyle w:val="Heading5"/>
        <w:rPr>
          <w:rFonts w:eastAsia="Arial,Bold"/>
        </w:rPr>
      </w:pPr>
      <w:r w:rsidRPr="00871922">
        <w:rPr>
          <w:rFonts w:eastAsia="Arial,Bold"/>
        </w:rPr>
        <w:t xml:space="preserve">Change to </w:t>
      </w:r>
      <w:r w:rsidR="00156AEF" w:rsidRPr="00871922">
        <w:rPr>
          <w:rFonts w:eastAsia="Arial,Bold"/>
        </w:rPr>
        <w:t>dosing and administration</w:t>
      </w:r>
    </w:p>
    <w:p w:rsidR="00232A97" w:rsidRDefault="00871922" w:rsidP="00871922">
      <w:r w:rsidRPr="00871922">
        <w:t xml:space="preserve">AbbVie wish to highlight to the committee the dosing </w:t>
      </w:r>
      <w:r w:rsidR="00B26E8A">
        <w:t>regimen was updated in AbbVie’</w:t>
      </w:r>
      <w:r>
        <w:t xml:space="preserve">s </w:t>
      </w:r>
      <w:r w:rsidR="00CC2280">
        <w:t xml:space="preserve">Section </w:t>
      </w:r>
      <w:r w:rsidRPr="00871922">
        <w:t>31 response to include an additional patient populati</w:t>
      </w:r>
      <w:r>
        <w:t xml:space="preserve">on, </w:t>
      </w:r>
      <w:r w:rsidR="00373668">
        <w:t>GT</w:t>
      </w:r>
      <w:r>
        <w:t xml:space="preserve">4 with compensated </w:t>
      </w:r>
      <w:r w:rsidRPr="00871922">
        <w:t xml:space="preserve">cirrhosis for the duration of 12 weeks (changes in </w:t>
      </w:r>
      <w:r w:rsidR="00A8245A">
        <w:rPr>
          <w:b/>
        </w:rPr>
        <w:t>bold</w:t>
      </w:r>
      <w:r w:rsidRPr="00871922">
        <w:t xml:space="preserve"> text)</w:t>
      </w:r>
      <w:r w:rsidR="00EF281D">
        <w:t>.</w:t>
      </w:r>
    </w:p>
    <w:p w:rsidR="00EF281D" w:rsidRDefault="0026271C" w:rsidP="0026271C">
      <w:pPr>
        <w:pStyle w:val="TableTitle"/>
      </w:pPr>
      <w:proofErr w:type="gramStart"/>
      <w:r>
        <w:t>Table 10</w:t>
      </w:r>
      <w:r w:rsidR="00995D21">
        <w:t>:</w:t>
      </w:r>
      <w:r w:rsidR="00373A2E">
        <w:t xml:space="preserve"> Updated dosing regimen.</w:t>
      </w:r>
      <w:proofErr w:type="gramEnd"/>
    </w:p>
    <w:tbl>
      <w:tblPr>
        <w:tblStyle w:val="TableTGAblue"/>
        <w:tblW w:w="0" w:type="auto"/>
        <w:tblLook w:val="04A0" w:firstRow="1" w:lastRow="0" w:firstColumn="1" w:lastColumn="0" w:noHBand="0" w:noVBand="1"/>
      </w:tblPr>
      <w:tblGrid>
        <w:gridCol w:w="3369"/>
        <w:gridCol w:w="2444"/>
        <w:gridCol w:w="2907"/>
      </w:tblGrid>
      <w:tr w:rsidR="00DC2DE1" w:rsidRPr="00DC2DE1" w:rsidTr="00BE3ED7">
        <w:trPr>
          <w:cnfStyle w:val="100000000000" w:firstRow="1" w:lastRow="0" w:firstColumn="0" w:lastColumn="0" w:oddVBand="0" w:evenVBand="0" w:oddHBand="0" w:evenHBand="0" w:firstRowFirstColumn="0" w:firstRowLastColumn="0" w:lastRowFirstColumn="0" w:lastRowLastColumn="0"/>
        </w:trPr>
        <w:tc>
          <w:tcPr>
            <w:tcW w:w="3369" w:type="dxa"/>
          </w:tcPr>
          <w:p w:rsidR="00DC2DE1" w:rsidRPr="00DC2DE1" w:rsidRDefault="00DC2DE1" w:rsidP="00156AEF">
            <w:r>
              <w:t>Patient population</w:t>
            </w:r>
          </w:p>
        </w:tc>
        <w:tc>
          <w:tcPr>
            <w:tcW w:w="2444" w:type="dxa"/>
          </w:tcPr>
          <w:p w:rsidR="00DC2DE1" w:rsidRPr="00DC2DE1" w:rsidRDefault="00DC2DE1" w:rsidP="00156AEF">
            <w:r>
              <w:t>Treatment</w:t>
            </w:r>
          </w:p>
        </w:tc>
        <w:tc>
          <w:tcPr>
            <w:tcW w:w="2907" w:type="dxa"/>
          </w:tcPr>
          <w:p w:rsidR="00DC2DE1" w:rsidRPr="00DC2DE1" w:rsidRDefault="00DC2DE1" w:rsidP="00156AEF">
            <w:r>
              <w:t>Duration</w:t>
            </w:r>
          </w:p>
        </w:tc>
      </w:tr>
      <w:tr w:rsidR="00DC2DE1" w:rsidRPr="00DC2DE1" w:rsidTr="00BE3ED7">
        <w:tc>
          <w:tcPr>
            <w:tcW w:w="3369" w:type="dxa"/>
          </w:tcPr>
          <w:p w:rsidR="00DC2DE1" w:rsidRPr="00BE3ED7" w:rsidRDefault="00373668" w:rsidP="00156AEF">
            <w:r>
              <w:t>GT</w:t>
            </w:r>
            <w:r w:rsidR="00BE3ED7" w:rsidRPr="00BE3ED7">
              <w:t>4 without cirrhosis</w:t>
            </w:r>
          </w:p>
        </w:tc>
        <w:tc>
          <w:tcPr>
            <w:tcW w:w="2444" w:type="dxa"/>
          </w:tcPr>
          <w:p w:rsidR="00DC2DE1" w:rsidRPr="00DC2DE1" w:rsidRDefault="00BE3ED7" w:rsidP="00156AEF">
            <w:proofErr w:type="spellStart"/>
            <w:r>
              <w:t>Technivie</w:t>
            </w:r>
            <w:proofErr w:type="spellEnd"/>
            <w:r>
              <w:t xml:space="preserve"> + ribavirin</w:t>
            </w:r>
            <w:r w:rsidR="007D53C6">
              <w:t>*</w:t>
            </w:r>
          </w:p>
        </w:tc>
        <w:tc>
          <w:tcPr>
            <w:tcW w:w="2907" w:type="dxa"/>
          </w:tcPr>
          <w:p w:rsidR="00DC2DE1" w:rsidRPr="00DC2DE1" w:rsidRDefault="00BE3ED7" w:rsidP="00156AEF">
            <w:r>
              <w:t>12 weeks</w:t>
            </w:r>
          </w:p>
        </w:tc>
      </w:tr>
      <w:tr w:rsidR="00DC2DE1" w:rsidRPr="00DC2DE1" w:rsidTr="00BE3ED7">
        <w:tc>
          <w:tcPr>
            <w:tcW w:w="3369" w:type="dxa"/>
          </w:tcPr>
          <w:p w:rsidR="00DC2DE1" w:rsidRPr="00DC2DE1" w:rsidRDefault="00373668" w:rsidP="00156AEF">
            <w:r>
              <w:t>GT</w:t>
            </w:r>
            <w:r w:rsidR="00BE3ED7">
              <w:t xml:space="preserve">4 </w:t>
            </w:r>
            <w:r w:rsidR="00BE3ED7" w:rsidRPr="00BE3ED7">
              <w:t>with compensated cirrhosis</w:t>
            </w:r>
          </w:p>
        </w:tc>
        <w:tc>
          <w:tcPr>
            <w:tcW w:w="2444" w:type="dxa"/>
          </w:tcPr>
          <w:p w:rsidR="00DC2DE1" w:rsidRPr="00BE3ED7" w:rsidRDefault="00BE3ED7" w:rsidP="00156AEF">
            <w:proofErr w:type="spellStart"/>
            <w:r w:rsidRPr="00BE3ED7">
              <w:t>Technivie</w:t>
            </w:r>
            <w:proofErr w:type="spellEnd"/>
            <w:r w:rsidRPr="00BE3ED7">
              <w:t xml:space="preserve"> + ribavirin</w:t>
            </w:r>
          </w:p>
        </w:tc>
        <w:tc>
          <w:tcPr>
            <w:tcW w:w="2907" w:type="dxa"/>
          </w:tcPr>
          <w:p w:rsidR="00DC2DE1" w:rsidRPr="00BE3ED7" w:rsidRDefault="00BE3ED7" w:rsidP="00156AEF">
            <w:r w:rsidRPr="00BE3ED7">
              <w:t>12 weeks</w:t>
            </w:r>
          </w:p>
        </w:tc>
      </w:tr>
    </w:tbl>
    <w:p w:rsidR="00995D21" w:rsidRDefault="007D53C6" w:rsidP="00156AEF">
      <w:pPr>
        <w:pStyle w:val="TableDescription"/>
      </w:pPr>
      <w:r>
        <w:t xml:space="preserve">* </w:t>
      </w:r>
      <w:proofErr w:type="spellStart"/>
      <w:r>
        <w:t>Technivie</w:t>
      </w:r>
      <w:proofErr w:type="spellEnd"/>
      <w:r>
        <w:t xml:space="preserve"> administered without RBV for 12 weeks may be considered for treatment naïve patients </w:t>
      </w:r>
      <w:r w:rsidRPr="007A11C5">
        <w:rPr>
          <w:b/>
        </w:rPr>
        <w:t>without cirrhosis</w:t>
      </w:r>
      <w:r>
        <w:t xml:space="preserve"> who cannot take or tolerate ribavirin (see CLINICAL TRIALS).</w:t>
      </w:r>
    </w:p>
    <w:p w:rsidR="00394229" w:rsidRPr="00B425FA" w:rsidRDefault="00394229" w:rsidP="00B425FA">
      <w:pPr>
        <w:pStyle w:val="Heading5"/>
      </w:pPr>
      <w:r w:rsidRPr="00B425FA">
        <w:t>Specific issue 1</w:t>
      </w:r>
    </w:p>
    <w:p w:rsidR="00C20EDB" w:rsidRPr="00C20EDB" w:rsidRDefault="00C20EDB" w:rsidP="00C20EDB">
      <w:pPr>
        <w:pStyle w:val="ListBullet"/>
        <w:rPr>
          <w:i/>
        </w:rPr>
      </w:pPr>
      <w:r w:rsidRPr="00C20EDB">
        <w:rPr>
          <w:i/>
        </w:rPr>
        <w:t xml:space="preserve">There is variation in the presentation of production information for </w:t>
      </w:r>
      <w:proofErr w:type="spellStart"/>
      <w:r w:rsidR="006959E0">
        <w:rPr>
          <w:i/>
        </w:rPr>
        <w:t>Technivie</w:t>
      </w:r>
      <w:proofErr w:type="spellEnd"/>
      <w:r w:rsidRPr="00C20EDB">
        <w:rPr>
          <w:i/>
        </w:rPr>
        <w:t xml:space="preserve">, compared with overseas regulators and compared to </w:t>
      </w:r>
      <w:proofErr w:type="spellStart"/>
      <w:r w:rsidR="006959E0">
        <w:rPr>
          <w:i/>
        </w:rPr>
        <w:t>Viekira</w:t>
      </w:r>
      <w:proofErr w:type="spellEnd"/>
      <w:r w:rsidR="006959E0">
        <w:rPr>
          <w:i/>
        </w:rPr>
        <w:t xml:space="preserve"> Pak</w:t>
      </w:r>
      <w:r w:rsidRPr="00C20EDB">
        <w:rPr>
          <w:i/>
        </w:rPr>
        <w:t xml:space="preserve"> and </w:t>
      </w:r>
      <w:proofErr w:type="spellStart"/>
      <w:r w:rsidR="006959E0">
        <w:rPr>
          <w:i/>
        </w:rPr>
        <w:t>Viekira</w:t>
      </w:r>
      <w:proofErr w:type="spellEnd"/>
      <w:r w:rsidR="006959E0">
        <w:rPr>
          <w:i/>
        </w:rPr>
        <w:t xml:space="preserve"> Pak</w:t>
      </w:r>
      <w:r w:rsidRPr="00C20EDB">
        <w:rPr>
          <w:i/>
        </w:rPr>
        <w:t xml:space="preserve"> RBV. The Australian PI for </w:t>
      </w:r>
      <w:proofErr w:type="spellStart"/>
      <w:r w:rsidR="006959E0">
        <w:rPr>
          <w:i/>
        </w:rPr>
        <w:t>Technivie</w:t>
      </w:r>
      <w:proofErr w:type="spellEnd"/>
      <w:r w:rsidRPr="00C20EDB">
        <w:rPr>
          <w:i/>
        </w:rPr>
        <w:t xml:space="preserve"> is proposed as a standalone </w:t>
      </w:r>
      <w:r w:rsidR="009455CA">
        <w:rPr>
          <w:i/>
        </w:rPr>
        <w:t>PI</w:t>
      </w:r>
      <w:r w:rsidRPr="00C20EDB">
        <w:rPr>
          <w:i/>
        </w:rPr>
        <w:t xml:space="preserve">, similar to the US and Canada. Please comment on the presentation of the proposed PI and the potential for market confusion with </w:t>
      </w:r>
      <w:proofErr w:type="spellStart"/>
      <w:r w:rsidR="006959E0">
        <w:rPr>
          <w:i/>
        </w:rPr>
        <w:t>Viekira</w:t>
      </w:r>
      <w:proofErr w:type="spellEnd"/>
      <w:r w:rsidR="006959E0">
        <w:rPr>
          <w:i/>
        </w:rPr>
        <w:t xml:space="preserve"> Pak</w:t>
      </w:r>
      <w:r w:rsidRPr="00C20EDB">
        <w:rPr>
          <w:i/>
        </w:rPr>
        <w:t xml:space="preserve"> and </w:t>
      </w:r>
      <w:proofErr w:type="spellStart"/>
      <w:r w:rsidR="006959E0">
        <w:rPr>
          <w:i/>
        </w:rPr>
        <w:t>Viekira</w:t>
      </w:r>
      <w:proofErr w:type="spellEnd"/>
      <w:r w:rsidR="006959E0">
        <w:rPr>
          <w:i/>
        </w:rPr>
        <w:t xml:space="preserve"> Pak</w:t>
      </w:r>
      <w:r w:rsidRPr="00C20EDB">
        <w:rPr>
          <w:i/>
        </w:rPr>
        <w:t xml:space="preserve"> RBV in Australia.</w:t>
      </w:r>
    </w:p>
    <w:p w:rsidR="00C20EDB" w:rsidRDefault="00C20EDB" w:rsidP="003935B7">
      <w:pPr>
        <w:pStyle w:val="Heading5"/>
      </w:pPr>
      <w:r>
        <w:t xml:space="preserve">AbbVie </w:t>
      </w:r>
      <w:r w:rsidR="003935B7">
        <w:t>r</w:t>
      </w:r>
      <w:r>
        <w:t>esponse</w:t>
      </w:r>
    </w:p>
    <w:p w:rsidR="00DC2DE1" w:rsidRDefault="00C20EDB" w:rsidP="00871922">
      <w:r w:rsidRPr="00C20EDB">
        <w:t xml:space="preserve">AbbVie has updated the </w:t>
      </w:r>
      <w:proofErr w:type="spellStart"/>
      <w:r w:rsidR="006959E0">
        <w:t>Technivie</w:t>
      </w:r>
      <w:proofErr w:type="spellEnd"/>
      <w:r w:rsidRPr="00C20EDB">
        <w:t xml:space="preserve"> PI to align with the safety updates approved for </w:t>
      </w:r>
      <w:proofErr w:type="spellStart"/>
      <w:r w:rsidR="006959E0">
        <w:t>Viekira</w:t>
      </w:r>
      <w:proofErr w:type="spellEnd"/>
      <w:r w:rsidR="006959E0">
        <w:t xml:space="preserve"> Pak</w:t>
      </w:r>
      <w:r w:rsidRPr="00C20EDB">
        <w:t xml:space="preserve"> and </w:t>
      </w:r>
      <w:proofErr w:type="spellStart"/>
      <w:r w:rsidR="006959E0">
        <w:t>Viekira</w:t>
      </w:r>
      <w:proofErr w:type="spellEnd"/>
      <w:r w:rsidR="006959E0">
        <w:t xml:space="preserve"> Pak-RBV</w:t>
      </w:r>
      <w:r w:rsidRPr="00C20EDB">
        <w:t xml:space="preserve"> PI whil</w:t>
      </w:r>
      <w:r w:rsidR="0086418F">
        <w:t>e</w:t>
      </w:r>
      <w:r w:rsidRPr="00C20EDB">
        <w:t xml:space="preserve"> this application was under review.</w:t>
      </w:r>
    </w:p>
    <w:p w:rsidR="00205EE0" w:rsidRDefault="00205EE0" w:rsidP="00871922">
      <w:r w:rsidRPr="00205EE0">
        <w:t xml:space="preserve">AbbVie believes there is no potential for market confusion between </w:t>
      </w:r>
      <w:proofErr w:type="spellStart"/>
      <w:r w:rsidR="006959E0">
        <w:t>Technivie</w:t>
      </w:r>
      <w:proofErr w:type="spellEnd"/>
      <w:r w:rsidRPr="00205EE0">
        <w:t xml:space="preserve">, </w:t>
      </w:r>
      <w:proofErr w:type="spellStart"/>
      <w:r w:rsidR="006959E0">
        <w:t>Viekira</w:t>
      </w:r>
      <w:proofErr w:type="spellEnd"/>
      <w:r w:rsidR="006959E0">
        <w:t xml:space="preserve"> Pak</w:t>
      </w:r>
      <w:r w:rsidRPr="00205EE0">
        <w:t xml:space="preserve"> and </w:t>
      </w:r>
      <w:proofErr w:type="spellStart"/>
      <w:r w:rsidR="006959E0">
        <w:t>Viekira</w:t>
      </w:r>
      <w:proofErr w:type="spellEnd"/>
      <w:r w:rsidR="006959E0">
        <w:t xml:space="preserve"> Pak-RBV</w:t>
      </w:r>
      <w:r w:rsidRPr="00205EE0">
        <w:t xml:space="preserve"> in Australia due to the distinct product labe</w:t>
      </w:r>
      <w:r>
        <w:t>ls, and standalone PI and CMIs.</w:t>
      </w:r>
    </w:p>
    <w:p w:rsidR="00B425FA" w:rsidRDefault="00B425FA" w:rsidP="00B425FA">
      <w:pPr>
        <w:pStyle w:val="Heading5"/>
      </w:pPr>
      <w:r>
        <w:t>Specific issue 2</w:t>
      </w:r>
    </w:p>
    <w:p w:rsidR="00205EE0" w:rsidRPr="00205EE0" w:rsidRDefault="006959E0" w:rsidP="00205EE0">
      <w:pPr>
        <w:pStyle w:val="ListBullet"/>
        <w:rPr>
          <w:i/>
        </w:rPr>
      </w:pPr>
      <w:proofErr w:type="spellStart"/>
      <w:r>
        <w:rPr>
          <w:i/>
        </w:rPr>
        <w:t>Technivie</w:t>
      </w:r>
      <w:proofErr w:type="spellEnd"/>
      <w:r w:rsidR="00205EE0" w:rsidRPr="00205EE0">
        <w:rPr>
          <w:i/>
        </w:rPr>
        <w:t xml:space="preserve"> will not be packaged with RBV but is recommended to given with </w:t>
      </w:r>
      <w:r w:rsidR="00CC7518">
        <w:rPr>
          <w:i/>
        </w:rPr>
        <w:t>RBV</w:t>
      </w:r>
      <w:r w:rsidR="00205EE0" w:rsidRPr="00205EE0">
        <w:rPr>
          <w:i/>
        </w:rPr>
        <w:t xml:space="preserve">, as per the indication. Please comment of the adequacy of the </w:t>
      </w:r>
      <w:proofErr w:type="spellStart"/>
      <w:r>
        <w:rPr>
          <w:i/>
        </w:rPr>
        <w:t>Technivie</w:t>
      </w:r>
      <w:proofErr w:type="spellEnd"/>
      <w:r w:rsidR="00205EE0" w:rsidRPr="00205EE0">
        <w:rPr>
          <w:i/>
        </w:rPr>
        <w:t xml:space="preserve"> PI with respect to information regarding potential risks associated with </w:t>
      </w:r>
      <w:r w:rsidR="00CC7518">
        <w:rPr>
          <w:i/>
        </w:rPr>
        <w:t>RBV</w:t>
      </w:r>
      <w:r w:rsidR="00205EE0" w:rsidRPr="00205EE0">
        <w:rPr>
          <w:i/>
        </w:rPr>
        <w:t>.</w:t>
      </w:r>
    </w:p>
    <w:p w:rsidR="004458AA" w:rsidRDefault="004458AA" w:rsidP="004458AA">
      <w:pPr>
        <w:pStyle w:val="Heading5"/>
      </w:pPr>
      <w:r>
        <w:t>AbbVie response</w:t>
      </w:r>
    </w:p>
    <w:p w:rsidR="00205EE0" w:rsidRDefault="00AA0FFF" w:rsidP="00871922">
      <w:r>
        <w:t>Please refer to AbbVie’</w:t>
      </w:r>
      <w:r w:rsidR="0091532A" w:rsidRPr="0091532A">
        <w:t>s response</w:t>
      </w:r>
      <w:r w:rsidR="0091532A">
        <w:t xml:space="preserve"> below.</w:t>
      </w:r>
    </w:p>
    <w:p w:rsidR="00B425FA" w:rsidRDefault="00B425FA" w:rsidP="00B425FA">
      <w:pPr>
        <w:pStyle w:val="Heading5"/>
      </w:pPr>
      <w:r>
        <w:t>Specific issue 3</w:t>
      </w:r>
    </w:p>
    <w:p w:rsidR="0091532A" w:rsidRPr="008C15AB" w:rsidRDefault="00B425FA" w:rsidP="00BC106F">
      <w:pPr>
        <w:pStyle w:val="ListBullet"/>
        <w:rPr>
          <w:i/>
        </w:rPr>
      </w:pPr>
      <w:r w:rsidRPr="008C15AB">
        <w:rPr>
          <w:i/>
        </w:rPr>
        <w:t xml:space="preserve">The adequacy and clarity of the safety and </w:t>
      </w:r>
      <w:r w:rsidR="00027476">
        <w:rPr>
          <w:i/>
        </w:rPr>
        <w:t>DDI</w:t>
      </w:r>
      <w:r w:rsidRPr="008C15AB">
        <w:rPr>
          <w:i/>
        </w:rPr>
        <w:t xml:space="preserve"> information of the PI, noting the presentation of overseas PI, and the </w:t>
      </w:r>
      <w:proofErr w:type="spellStart"/>
      <w:r w:rsidR="006959E0">
        <w:rPr>
          <w:i/>
        </w:rPr>
        <w:t>Viekira</w:t>
      </w:r>
      <w:proofErr w:type="spellEnd"/>
      <w:r w:rsidR="006959E0">
        <w:rPr>
          <w:i/>
        </w:rPr>
        <w:t xml:space="preserve"> Pak</w:t>
      </w:r>
      <w:r w:rsidRPr="008C15AB">
        <w:rPr>
          <w:i/>
        </w:rPr>
        <w:t xml:space="preserve"> RBV PI.</w:t>
      </w:r>
    </w:p>
    <w:p w:rsidR="00BC106F" w:rsidRDefault="00BC106F" w:rsidP="00BC106F">
      <w:pPr>
        <w:pStyle w:val="Heading5"/>
      </w:pPr>
      <w:r>
        <w:t>AbbVie response</w:t>
      </w:r>
    </w:p>
    <w:p w:rsidR="00B425FA" w:rsidRDefault="00BC106F" w:rsidP="00871922">
      <w:r w:rsidRPr="00BC106F">
        <w:t xml:space="preserve">AbbVie has updated the </w:t>
      </w:r>
      <w:proofErr w:type="spellStart"/>
      <w:r w:rsidR="006959E0">
        <w:t>Technivie</w:t>
      </w:r>
      <w:proofErr w:type="spellEnd"/>
      <w:r w:rsidRPr="00BC106F">
        <w:t xml:space="preserve"> PI to align with the safety and </w:t>
      </w:r>
      <w:r w:rsidR="00DF2E2C">
        <w:t>DDI</w:t>
      </w:r>
      <w:r w:rsidRPr="00BC106F">
        <w:t xml:space="preserve"> updates approved for </w:t>
      </w:r>
      <w:proofErr w:type="spellStart"/>
      <w:r w:rsidR="006959E0">
        <w:t>Viekira</w:t>
      </w:r>
      <w:proofErr w:type="spellEnd"/>
      <w:r w:rsidR="006959E0">
        <w:t xml:space="preserve"> Pak</w:t>
      </w:r>
      <w:r w:rsidRPr="00BC106F">
        <w:t xml:space="preserve"> and </w:t>
      </w:r>
      <w:proofErr w:type="spellStart"/>
      <w:r w:rsidR="006959E0">
        <w:t>Viekira</w:t>
      </w:r>
      <w:proofErr w:type="spellEnd"/>
      <w:r w:rsidR="006959E0">
        <w:t xml:space="preserve"> Pak-RBV</w:t>
      </w:r>
      <w:r w:rsidRPr="00BC106F">
        <w:t xml:space="preserve"> PI whil</w:t>
      </w:r>
      <w:r w:rsidR="002C6A6D">
        <w:t>e</w:t>
      </w:r>
      <w:r w:rsidRPr="00BC106F">
        <w:t xml:space="preserve"> this application was under review.</w:t>
      </w:r>
    </w:p>
    <w:p w:rsidR="004C66EF" w:rsidRDefault="004C66EF" w:rsidP="004C66EF">
      <w:pPr>
        <w:pStyle w:val="Heading5"/>
      </w:pPr>
      <w:r>
        <w:t>Specific issue 4</w:t>
      </w:r>
    </w:p>
    <w:p w:rsidR="00BC106F" w:rsidRPr="008C15AB" w:rsidRDefault="004C66EF" w:rsidP="007C43FD">
      <w:pPr>
        <w:pStyle w:val="ListBullet"/>
        <w:rPr>
          <w:i/>
        </w:rPr>
      </w:pPr>
      <w:r w:rsidRPr="008C15AB">
        <w:rPr>
          <w:i/>
        </w:rPr>
        <w:t xml:space="preserve">The wording of the indication. The proposed indication is for the treatment of patients with </w:t>
      </w:r>
      <w:r w:rsidR="004F0E21">
        <w:rPr>
          <w:i/>
        </w:rPr>
        <w:t xml:space="preserve">HCV </w:t>
      </w:r>
      <w:r w:rsidR="00373668">
        <w:rPr>
          <w:i/>
        </w:rPr>
        <w:t>GT</w:t>
      </w:r>
      <w:r w:rsidRPr="008C15AB">
        <w:rPr>
          <w:i/>
        </w:rPr>
        <w:t xml:space="preserve">4 infection in combination with </w:t>
      </w:r>
      <w:r w:rsidR="00CC7518">
        <w:rPr>
          <w:i/>
        </w:rPr>
        <w:t>RBV</w:t>
      </w:r>
      <w:r w:rsidRPr="008C15AB">
        <w:rPr>
          <w:i/>
        </w:rPr>
        <w:t>.</w:t>
      </w:r>
    </w:p>
    <w:p w:rsidR="004C66EF" w:rsidRDefault="007C43FD" w:rsidP="005F02C9">
      <w:pPr>
        <w:pStyle w:val="Heading5"/>
      </w:pPr>
      <w:r>
        <w:lastRenderedPageBreak/>
        <w:t>AbbVie response</w:t>
      </w:r>
    </w:p>
    <w:p w:rsidR="0062565F" w:rsidRDefault="00290699" w:rsidP="00871922">
      <w:r>
        <w:t>AbbVie</w:t>
      </w:r>
      <w:r w:rsidR="005F02C9" w:rsidRPr="005F02C9">
        <w:t xml:space="preserve"> has accep</w:t>
      </w:r>
      <w:r w:rsidR="00863294">
        <w:t xml:space="preserve">ted the </w:t>
      </w:r>
      <w:r w:rsidR="00CD726E">
        <w:t>e</w:t>
      </w:r>
      <w:r w:rsidR="00863294">
        <w:t>valuator’</w:t>
      </w:r>
      <w:r w:rsidR="005F02C9" w:rsidRPr="005F02C9">
        <w:t xml:space="preserve">s recommendation noted in the </w:t>
      </w:r>
      <w:r w:rsidR="003A5495">
        <w:t>c</w:t>
      </w:r>
      <w:r w:rsidR="005F02C9" w:rsidRPr="005F02C9">
        <w:t xml:space="preserve">linical </w:t>
      </w:r>
      <w:r w:rsidR="003A5495">
        <w:t>e</w:t>
      </w:r>
      <w:r w:rsidR="005F02C9" w:rsidRPr="005F02C9">
        <w:t xml:space="preserve">valuation </w:t>
      </w:r>
      <w:r w:rsidR="003A5495">
        <w:t>r</w:t>
      </w:r>
      <w:r w:rsidR="005F02C9" w:rsidRPr="005F02C9">
        <w:t xml:space="preserve">eport </w:t>
      </w:r>
      <w:r w:rsidR="0062565F">
        <w:t>to modify the indication to:</w:t>
      </w:r>
    </w:p>
    <w:p w:rsidR="0062565F" w:rsidRPr="0062565F" w:rsidRDefault="006959E0" w:rsidP="0062565F">
      <w:pPr>
        <w:ind w:left="720"/>
        <w:rPr>
          <w:i/>
        </w:rPr>
      </w:pPr>
      <w:proofErr w:type="spellStart"/>
      <w:r>
        <w:rPr>
          <w:i/>
        </w:rPr>
        <w:t>Technivie</w:t>
      </w:r>
      <w:proofErr w:type="spellEnd"/>
      <w:r w:rsidR="005F02C9" w:rsidRPr="0062565F">
        <w:rPr>
          <w:i/>
        </w:rPr>
        <w:t xml:space="preserve"> is indicated in combination with </w:t>
      </w:r>
      <w:r w:rsidR="00CC7518">
        <w:rPr>
          <w:i/>
        </w:rPr>
        <w:t>RBV</w:t>
      </w:r>
      <w:r w:rsidR="005F02C9" w:rsidRPr="0062565F">
        <w:rPr>
          <w:i/>
        </w:rPr>
        <w:t xml:space="preserve"> for the treatment of adult patients with genotype 4 chronic hepat</w:t>
      </w:r>
      <w:r w:rsidR="0062565F" w:rsidRPr="0062565F">
        <w:rPr>
          <w:i/>
        </w:rPr>
        <w:t>itis C virus (HCV) infection.</w:t>
      </w:r>
    </w:p>
    <w:p w:rsidR="00BC106F" w:rsidRDefault="00290699" w:rsidP="00871922">
      <w:r>
        <w:t>AbbVie</w:t>
      </w:r>
      <w:r w:rsidR="005F02C9" w:rsidRPr="005F02C9">
        <w:t xml:space="preserve"> believes this indication is supported by data generated in HCV </w:t>
      </w:r>
      <w:r w:rsidR="00373668">
        <w:t>GT</w:t>
      </w:r>
      <w:r w:rsidR="004F49AD">
        <w:t xml:space="preserve">4 </w:t>
      </w:r>
      <w:r w:rsidR="005F02C9" w:rsidRPr="005F02C9">
        <w:t xml:space="preserve">infected patients with and without prior </w:t>
      </w:r>
      <w:proofErr w:type="spellStart"/>
      <w:r w:rsidR="005F02C9" w:rsidRPr="005F02C9">
        <w:t>pegylated</w:t>
      </w:r>
      <w:proofErr w:type="spellEnd"/>
      <w:r w:rsidR="005F02C9" w:rsidRPr="005F02C9">
        <w:t xml:space="preserve"> interferon and </w:t>
      </w:r>
      <w:r w:rsidR="00CC7518">
        <w:t>RBV</w:t>
      </w:r>
      <w:r w:rsidR="005F02C9" w:rsidRPr="005F02C9">
        <w:t xml:space="preserve"> experience and with and without cirrhosis.</w:t>
      </w:r>
    </w:p>
    <w:p w:rsidR="005F02C9" w:rsidRDefault="003A5495" w:rsidP="004E43D1">
      <w:pPr>
        <w:pStyle w:val="Heading5"/>
      </w:pPr>
      <w:r>
        <w:t>Specific issue 5</w:t>
      </w:r>
    </w:p>
    <w:p w:rsidR="003A5495" w:rsidRPr="008C15AB" w:rsidRDefault="008C15AB" w:rsidP="008C15AB">
      <w:pPr>
        <w:pStyle w:val="ListBullet"/>
        <w:rPr>
          <w:i/>
        </w:rPr>
      </w:pPr>
      <w:r w:rsidRPr="008C15AB">
        <w:rPr>
          <w:i/>
        </w:rPr>
        <w:t>Please provide an update of the overseas regulatory status.</w:t>
      </w:r>
    </w:p>
    <w:p w:rsidR="00083F48" w:rsidRDefault="00083F48" w:rsidP="00083F48">
      <w:pPr>
        <w:pStyle w:val="Heading5"/>
      </w:pPr>
      <w:r>
        <w:t>AbbVie response</w:t>
      </w:r>
    </w:p>
    <w:p w:rsidR="00083F48" w:rsidRDefault="00083F48" w:rsidP="00871922">
      <w:r>
        <w:t>This has been provided.</w:t>
      </w:r>
    </w:p>
    <w:p w:rsidR="00240295" w:rsidRDefault="00240295" w:rsidP="00240295">
      <w:pPr>
        <w:pStyle w:val="Heading5"/>
      </w:pPr>
      <w:r>
        <w:t>Specific issue 6</w:t>
      </w:r>
    </w:p>
    <w:p w:rsidR="00083F48" w:rsidRPr="007F6D24" w:rsidRDefault="003C13FA" w:rsidP="007F6D24">
      <w:pPr>
        <w:pStyle w:val="ListBullet"/>
        <w:rPr>
          <w:i/>
        </w:rPr>
      </w:pPr>
      <w:r w:rsidRPr="007F6D24">
        <w:rPr>
          <w:i/>
        </w:rPr>
        <w:t>Although not directly relevant to the indication sought (</w:t>
      </w:r>
      <w:r w:rsidR="00373668">
        <w:rPr>
          <w:i/>
        </w:rPr>
        <w:t>GT</w:t>
      </w:r>
      <w:r w:rsidRPr="007F6D24">
        <w:rPr>
          <w:i/>
        </w:rPr>
        <w:t xml:space="preserve">4 infection), what are </w:t>
      </w:r>
      <w:r w:rsidR="00290699">
        <w:rPr>
          <w:i/>
        </w:rPr>
        <w:t>AbbVie</w:t>
      </w:r>
      <w:r w:rsidRPr="007F6D24">
        <w:rPr>
          <w:i/>
        </w:rPr>
        <w:t>'s comments on the implications of the PEARL-1 study for using 2-DAA for GT1b, given the efficacy results in this patient population</w:t>
      </w:r>
      <w:r w:rsidR="007F6D24" w:rsidRPr="007F6D24">
        <w:rPr>
          <w:i/>
        </w:rPr>
        <w:t>.</w:t>
      </w:r>
    </w:p>
    <w:p w:rsidR="00586ED1" w:rsidRDefault="00586ED1" w:rsidP="00586ED1">
      <w:pPr>
        <w:pStyle w:val="Heading5"/>
      </w:pPr>
      <w:r>
        <w:t>AbbVie response</w:t>
      </w:r>
    </w:p>
    <w:p w:rsidR="00586ED1" w:rsidRDefault="00586ED1" w:rsidP="00871922">
      <w:r w:rsidRPr="00586ED1">
        <w:t xml:space="preserve">AbbVie does not believe that a recommendation of </w:t>
      </w:r>
      <w:proofErr w:type="spellStart"/>
      <w:r w:rsidRPr="00586ED1">
        <w:t>Viekirax</w:t>
      </w:r>
      <w:proofErr w:type="spellEnd"/>
      <w:r w:rsidRPr="00586ED1">
        <w:t xml:space="preserve"> alone for the treatment of </w:t>
      </w:r>
      <w:r w:rsidR="00373668">
        <w:t>GT</w:t>
      </w:r>
      <w:r w:rsidR="005559CA">
        <w:t xml:space="preserve">1b </w:t>
      </w:r>
      <w:r w:rsidRPr="00586ED1">
        <w:t xml:space="preserve">infected patients is appropriate. Regimen selections for the </w:t>
      </w:r>
      <w:r w:rsidR="00373668">
        <w:t>GT</w:t>
      </w:r>
      <w:r w:rsidRPr="00586ED1">
        <w:t xml:space="preserve">1 subtypes are supported by efficacy and safety data as provided to the </w:t>
      </w:r>
      <w:proofErr w:type="spellStart"/>
      <w:r w:rsidR="006959E0">
        <w:t>Viekira</w:t>
      </w:r>
      <w:proofErr w:type="spellEnd"/>
      <w:r w:rsidR="006959E0">
        <w:t xml:space="preserve"> Pak</w:t>
      </w:r>
      <w:r w:rsidRPr="00586ED1">
        <w:t xml:space="preserve"> and </w:t>
      </w:r>
      <w:proofErr w:type="spellStart"/>
      <w:r w:rsidR="006959E0">
        <w:t>Viekira</w:t>
      </w:r>
      <w:proofErr w:type="spellEnd"/>
      <w:r w:rsidR="006959E0">
        <w:t xml:space="preserve"> Pak</w:t>
      </w:r>
      <w:r w:rsidRPr="00586ED1">
        <w:t xml:space="preserve"> RBV </w:t>
      </w:r>
      <w:proofErr w:type="gramStart"/>
      <w:r w:rsidRPr="00586ED1">
        <w:t>applic</w:t>
      </w:r>
      <w:r w:rsidR="007C2DD5">
        <w:t>ations ,</w:t>
      </w:r>
      <w:proofErr w:type="gramEnd"/>
      <w:r w:rsidR="007C2DD5">
        <w:t xml:space="preserve"> and are summarised for </w:t>
      </w:r>
      <w:r w:rsidR="00373668">
        <w:t>GT</w:t>
      </w:r>
      <w:r w:rsidRPr="00586ED1">
        <w:t>1b below. No new</w:t>
      </w:r>
      <w:r w:rsidR="007C2DD5">
        <w:t xml:space="preserve"> </w:t>
      </w:r>
      <w:r w:rsidRPr="00586ED1">
        <w:t>data have led to different conclusions regarding these recommendations.</w:t>
      </w:r>
    </w:p>
    <w:p w:rsidR="00586ED1" w:rsidRDefault="00586ED1" w:rsidP="00586ED1">
      <w:pPr>
        <w:pStyle w:val="Heading6"/>
      </w:pPr>
      <w:r w:rsidRPr="00586ED1">
        <w:t xml:space="preserve">Regimen for HCV </w:t>
      </w:r>
      <w:r w:rsidR="00373668">
        <w:t>GT</w:t>
      </w:r>
      <w:r w:rsidR="007C2DD5">
        <w:t>1b i</w:t>
      </w:r>
      <w:r w:rsidRPr="00586ED1">
        <w:t>nfected</w:t>
      </w:r>
      <w:r>
        <w:t xml:space="preserve"> </w:t>
      </w:r>
      <w:r w:rsidR="007C2DD5">
        <w:t>treatment experienced s</w:t>
      </w:r>
      <w:r>
        <w:t>ubjects</w:t>
      </w:r>
    </w:p>
    <w:p w:rsidR="00586ED1" w:rsidRDefault="00586ED1" w:rsidP="00871922">
      <w:r w:rsidRPr="00586ED1">
        <w:t xml:space="preserve">In HCV </w:t>
      </w:r>
      <w:r w:rsidR="00373668">
        <w:t>GT</w:t>
      </w:r>
      <w:r w:rsidR="007C2DD5">
        <w:t xml:space="preserve">1b </w:t>
      </w:r>
      <w:r w:rsidRPr="00586ED1">
        <w:t>infected treatment</w:t>
      </w:r>
      <w:r w:rsidR="007C2DD5">
        <w:t xml:space="preserve"> </w:t>
      </w:r>
      <w:r w:rsidRPr="00586ED1">
        <w:t xml:space="preserve">experienced subjects, treatment with 3 active agents (3-DAA regimen or 2-DAA + RBV) was as effective as treatment with 4 active agents (3-DAA + RBV), as these regimens resulted in similar low </w:t>
      </w:r>
      <w:proofErr w:type="spellStart"/>
      <w:r w:rsidRPr="00586ED1">
        <w:t>virologic</w:t>
      </w:r>
      <w:proofErr w:type="spellEnd"/>
      <w:r w:rsidRPr="00586ED1">
        <w:t xml:space="preserve"> failure rates. However, further reduction from 3 active agents to 2 active agents (</w:t>
      </w:r>
      <w:proofErr w:type="spellStart"/>
      <w:r w:rsidRPr="00586ED1">
        <w:t>paritaprevir</w:t>
      </w:r>
      <w:proofErr w:type="spellEnd"/>
      <w:r w:rsidRPr="00586ED1">
        <w:t xml:space="preserve">/r + </w:t>
      </w:r>
      <w:proofErr w:type="spellStart"/>
      <w:r w:rsidRPr="00586ED1">
        <w:t>ombitasvir</w:t>
      </w:r>
      <w:proofErr w:type="spellEnd"/>
      <w:r w:rsidRPr="00586ED1">
        <w:t xml:space="preserve">) resulted in a 6.6% </w:t>
      </w:r>
      <w:proofErr w:type="spellStart"/>
      <w:r w:rsidRPr="00586ED1">
        <w:t>virologic</w:t>
      </w:r>
      <w:proofErr w:type="spellEnd"/>
      <w:r w:rsidRPr="00586ED1">
        <w:t xml:space="preserve"> failure rate, which was higher, in cross study comparison, to that observed in the prior treatment</w:t>
      </w:r>
      <w:r w:rsidR="00E12A15">
        <w:t xml:space="preserve"> </w:t>
      </w:r>
      <w:r w:rsidRPr="00586ED1">
        <w:t xml:space="preserve">experienced group receiving the 3-DAA regimen in Study M13-389 (0%). These findings indicate that inclusion of </w:t>
      </w:r>
      <w:proofErr w:type="spellStart"/>
      <w:r w:rsidRPr="00586ED1">
        <w:t>dasabuvir</w:t>
      </w:r>
      <w:proofErr w:type="spellEnd"/>
      <w:r w:rsidRPr="00586ED1">
        <w:t xml:space="preserve"> in the regimen is necessary to maximi</w:t>
      </w:r>
      <w:r w:rsidR="00E12A15">
        <w:t>s</w:t>
      </w:r>
      <w:r w:rsidRPr="00586ED1">
        <w:t xml:space="preserve">e SVR rates and reduce the risk of treatment failure in HCV GT1b </w:t>
      </w:r>
      <w:r>
        <w:t>treatment</w:t>
      </w:r>
      <w:r w:rsidR="00E12A15">
        <w:t xml:space="preserve"> </w:t>
      </w:r>
      <w:r>
        <w:t>experienced patients.</w:t>
      </w:r>
    </w:p>
    <w:p w:rsidR="00586ED1" w:rsidRDefault="00E12A15" w:rsidP="00871922">
      <w:r>
        <w:t xml:space="preserve">The Phase </w:t>
      </w:r>
      <w:proofErr w:type="spellStart"/>
      <w:r>
        <w:t>II</w:t>
      </w:r>
      <w:r w:rsidR="00586ED1" w:rsidRPr="00586ED1">
        <w:t>b</w:t>
      </w:r>
      <w:proofErr w:type="spellEnd"/>
      <w:r w:rsidR="00586ED1" w:rsidRPr="00586ED1">
        <w:t xml:space="preserve"> Study M11-652 suggested that a </w:t>
      </w:r>
      <w:proofErr w:type="spellStart"/>
      <w:r w:rsidR="00586ED1" w:rsidRPr="00586ED1">
        <w:t>paritaprevir</w:t>
      </w:r>
      <w:proofErr w:type="spellEnd"/>
      <w:r w:rsidR="00586ED1" w:rsidRPr="00586ED1">
        <w:t xml:space="preserve">/r + </w:t>
      </w:r>
      <w:proofErr w:type="spellStart"/>
      <w:r w:rsidR="00586ED1" w:rsidRPr="00586ED1">
        <w:t>ombitasvir</w:t>
      </w:r>
      <w:proofErr w:type="spellEnd"/>
      <w:r w:rsidR="00586ED1" w:rsidRPr="00586ED1">
        <w:t xml:space="preserve"> + RBV regimen showed comparable efficacy to a 3-DAA regimen in GT1b-infected </w:t>
      </w:r>
      <w:proofErr w:type="spellStart"/>
      <w:r w:rsidR="00586ED1" w:rsidRPr="00586ED1">
        <w:t>treatmentexperienced</w:t>
      </w:r>
      <w:proofErr w:type="spellEnd"/>
      <w:r w:rsidR="00586ED1" w:rsidRPr="00586ED1">
        <w:t xml:space="preserve"> subjects. However, the safety profile of the 3-DAA regimen that includes </w:t>
      </w:r>
      <w:proofErr w:type="spellStart"/>
      <w:r w:rsidR="00586ED1" w:rsidRPr="00586ED1">
        <w:t>dasabuvir</w:t>
      </w:r>
      <w:proofErr w:type="spellEnd"/>
      <w:r w:rsidR="00586ED1" w:rsidRPr="00586ED1">
        <w:t xml:space="preserve"> without RBV is more favo</w:t>
      </w:r>
      <w:r w:rsidR="00D74A61">
        <w:t>u</w:t>
      </w:r>
      <w:r w:rsidR="00586ED1" w:rsidRPr="00586ED1">
        <w:t>rable than that of a 3</w:t>
      </w:r>
      <w:r w:rsidR="00D74A61">
        <w:t xml:space="preserve"> </w:t>
      </w:r>
      <w:r w:rsidR="00586ED1" w:rsidRPr="00586ED1">
        <w:t xml:space="preserve">agent regimen that </w:t>
      </w:r>
      <w:r w:rsidR="00D74A61">
        <w:t xml:space="preserve">includes RBV without </w:t>
      </w:r>
      <w:proofErr w:type="spellStart"/>
      <w:r w:rsidR="00D74A61">
        <w:t>dasabuvir</w:t>
      </w:r>
      <w:proofErr w:type="spellEnd"/>
      <w:r w:rsidR="00586ED1" w:rsidRPr="00586ED1">
        <w:t xml:space="preserve">. The 3-DAA regimen without RBV was therefore selected as the optimal regimen for HCV </w:t>
      </w:r>
      <w:r w:rsidR="00373668">
        <w:t>GT</w:t>
      </w:r>
      <w:r w:rsidR="00586ED1" w:rsidRPr="00586ED1">
        <w:t>1b</w:t>
      </w:r>
      <w:r w:rsidR="00D74A61">
        <w:t xml:space="preserve"> </w:t>
      </w:r>
      <w:r w:rsidR="00586ED1" w:rsidRPr="00586ED1">
        <w:t>infected treatment</w:t>
      </w:r>
      <w:r w:rsidR="00D74A61">
        <w:t xml:space="preserve"> </w:t>
      </w:r>
      <w:r w:rsidR="00586ED1" w:rsidRPr="00586ED1">
        <w:t>experienced subjects.</w:t>
      </w:r>
    </w:p>
    <w:p w:rsidR="00586ED1" w:rsidRDefault="00586ED1" w:rsidP="00586ED1">
      <w:pPr>
        <w:pStyle w:val="Heading6"/>
      </w:pPr>
      <w:r w:rsidRPr="00586ED1">
        <w:t xml:space="preserve">Regimen for HCV </w:t>
      </w:r>
      <w:r w:rsidR="00373668">
        <w:t>GT</w:t>
      </w:r>
      <w:r w:rsidRPr="00586ED1">
        <w:t>1b</w:t>
      </w:r>
      <w:r w:rsidR="0018111D">
        <w:t xml:space="preserve"> i</w:t>
      </w:r>
      <w:r w:rsidRPr="00586ED1">
        <w:t xml:space="preserve">nfected </w:t>
      </w:r>
      <w:r w:rsidR="00782CCA">
        <w:t>t</w:t>
      </w:r>
      <w:r w:rsidRPr="00586ED1">
        <w:t>reat</w:t>
      </w:r>
      <w:r w:rsidR="00782CCA">
        <w:t>ment n</w:t>
      </w:r>
      <w:r>
        <w:t xml:space="preserve">aïve </w:t>
      </w:r>
      <w:r w:rsidR="00782CCA">
        <w:t>s</w:t>
      </w:r>
      <w:r>
        <w:t>ubjects</w:t>
      </w:r>
    </w:p>
    <w:p w:rsidR="00586ED1" w:rsidRDefault="00586ED1" w:rsidP="00871922">
      <w:r w:rsidRPr="00586ED1">
        <w:t xml:space="preserve">The 3-DAA regimen with and without RBV provides similarly low </w:t>
      </w:r>
      <w:proofErr w:type="spellStart"/>
      <w:r w:rsidRPr="00586ED1">
        <w:t>virologic</w:t>
      </w:r>
      <w:proofErr w:type="spellEnd"/>
      <w:r w:rsidRPr="00586ED1">
        <w:t xml:space="preserve"> failure rates (≤ 0.5%) in HCV </w:t>
      </w:r>
      <w:r w:rsidR="00373668">
        <w:t>GT</w:t>
      </w:r>
      <w:r w:rsidRPr="00586ED1">
        <w:t>1b</w:t>
      </w:r>
      <w:r w:rsidR="00C9764D">
        <w:t xml:space="preserve"> </w:t>
      </w:r>
      <w:r w:rsidRPr="00586ED1">
        <w:t>infected treatment</w:t>
      </w:r>
      <w:r w:rsidR="00C9764D">
        <w:t xml:space="preserve"> </w:t>
      </w:r>
      <w:r w:rsidRPr="00586ED1">
        <w:t xml:space="preserve">naive subjects. The 2-DAA regimen with </w:t>
      </w:r>
      <w:proofErr w:type="spellStart"/>
      <w:r w:rsidRPr="00586ED1">
        <w:t>paritaprevir</w:t>
      </w:r>
      <w:proofErr w:type="spellEnd"/>
      <w:r w:rsidRPr="00586ED1">
        <w:t xml:space="preserve">/r and </w:t>
      </w:r>
      <w:proofErr w:type="spellStart"/>
      <w:r w:rsidRPr="00586ED1">
        <w:t>ombitasvir</w:t>
      </w:r>
      <w:proofErr w:type="spellEnd"/>
      <w:r w:rsidRPr="00586ED1">
        <w:t xml:space="preserve"> in treatment</w:t>
      </w:r>
      <w:r w:rsidR="00C9764D">
        <w:t xml:space="preserve"> </w:t>
      </w:r>
      <w:r w:rsidRPr="00586ED1">
        <w:t xml:space="preserve">naïve </w:t>
      </w:r>
      <w:r w:rsidR="00373668">
        <w:t>GT</w:t>
      </w:r>
      <w:r w:rsidRPr="00586ED1">
        <w:t>1b</w:t>
      </w:r>
      <w:r w:rsidR="00C9764D">
        <w:t xml:space="preserve"> </w:t>
      </w:r>
      <w:r w:rsidRPr="00586ED1">
        <w:t>infected subjects was expl</w:t>
      </w:r>
      <w:r w:rsidR="005651A4">
        <w:t xml:space="preserve">ored in 42 subjects in a Phase </w:t>
      </w:r>
      <w:proofErr w:type="spellStart"/>
      <w:r w:rsidR="005651A4">
        <w:t>II</w:t>
      </w:r>
      <w:r w:rsidR="00373668">
        <w:t>b</w:t>
      </w:r>
      <w:proofErr w:type="spellEnd"/>
      <w:r w:rsidR="00373668">
        <w:t xml:space="preserve"> study (Study M13-393</w:t>
      </w:r>
      <w:r w:rsidRPr="00586ED1">
        <w:t xml:space="preserve">). No </w:t>
      </w:r>
      <w:proofErr w:type="spellStart"/>
      <w:r w:rsidRPr="00586ED1">
        <w:t>virologic</w:t>
      </w:r>
      <w:proofErr w:type="spellEnd"/>
      <w:r w:rsidRPr="00586ED1">
        <w:t xml:space="preserve"> failures were observed in</w:t>
      </w:r>
      <w:r w:rsidR="00C14EA3">
        <w:t xml:space="preserve"> </w:t>
      </w:r>
      <w:r w:rsidRPr="00586ED1">
        <w:t>treatment</w:t>
      </w:r>
      <w:r w:rsidR="00C14EA3">
        <w:t xml:space="preserve"> </w:t>
      </w:r>
      <w:r w:rsidRPr="00586ED1">
        <w:t xml:space="preserve">naïve subjects. However, the proposed 3-DAA regimen is still considered optimal for GT1b treatment-naïve subjects based on the following </w:t>
      </w:r>
      <w:r>
        <w:t>considerations:</w:t>
      </w:r>
    </w:p>
    <w:p w:rsidR="00586ED1" w:rsidRDefault="00586ED1" w:rsidP="00586ED1">
      <w:pPr>
        <w:pStyle w:val="ListBullet"/>
      </w:pPr>
      <w:r w:rsidRPr="00586ED1">
        <w:rPr>
          <w:b/>
        </w:rPr>
        <w:lastRenderedPageBreak/>
        <w:t xml:space="preserve">Baseline NS5A resistance may lead to </w:t>
      </w:r>
      <w:proofErr w:type="spellStart"/>
      <w:r w:rsidRPr="00586ED1">
        <w:rPr>
          <w:b/>
        </w:rPr>
        <w:t>virologic</w:t>
      </w:r>
      <w:proofErr w:type="spellEnd"/>
      <w:r w:rsidRPr="00586ED1">
        <w:rPr>
          <w:b/>
        </w:rPr>
        <w:t xml:space="preserve"> failure with a 2-DAA regimen:</w:t>
      </w:r>
      <w:r w:rsidRPr="00586ED1">
        <w:t xml:space="preserve"> In patients treated with a protease/NS5A inhibitor combination, the impact of certain pre</w:t>
      </w:r>
      <w:r w:rsidR="005651A4">
        <w:t>-</w:t>
      </w:r>
      <w:r w:rsidRPr="00586ED1">
        <w:t>existing NS5A resistant variants is likely to be significant, as these patients will be receiving functional monotherapy with the protease inhibitor. Baseline prevalence of the</w:t>
      </w:r>
      <w:r>
        <w:t xml:space="preserve"> </w:t>
      </w:r>
      <w:r w:rsidRPr="00586ED1">
        <w:t>Y93H variant in GT1b</w:t>
      </w:r>
      <w:r w:rsidR="00FB5874">
        <w:t xml:space="preserve"> was 7.5% in subjects in AbbVie’</w:t>
      </w:r>
      <w:r w:rsidRPr="00586ED1">
        <w:t>s clinical trials. This variant confers 77</w:t>
      </w:r>
      <w:r w:rsidR="00FB5874">
        <w:t xml:space="preserve"> f</w:t>
      </w:r>
      <w:r w:rsidRPr="00586ED1">
        <w:t xml:space="preserve">old resistance to </w:t>
      </w:r>
      <w:proofErr w:type="spellStart"/>
      <w:r w:rsidRPr="00586ED1">
        <w:t>ombitasvir</w:t>
      </w:r>
      <w:proofErr w:type="spellEnd"/>
      <w:r w:rsidRPr="00586ED1">
        <w:t xml:space="preserve"> compared to wild type virus and has been the predominant variant in subjects who fail NS5A based therapy. Inclusion of a third DAA is likely to mitigate the i</w:t>
      </w:r>
      <w:r>
        <w:t>mpact of pre-existing variants.</w:t>
      </w:r>
    </w:p>
    <w:p w:rsidR="00586ED1" w:rsidRDefault="00586ED1" w:rsidP="00586ED1">
      <w:pPr>
        <w:pStyle w:val="ListBullet"/>
      </w:pPr>
      <w:r w:rsidRPr="00586ED1">
        <w:rPr>
          <w:b/>
        </w:rPr>
        <w:t>Patients with negative predictive factors may have lower SVR rates with the 2-DAA regimen:</w:t>
      </w:r>
      <w:r w:rsidRPr="00586ED1">
        <w:t xml:space="preserve"> As shown above, a 2-DAA regimen is not adequate to maximi</w:t>
      </w:r>
      <w:r w:rsidR="00B26E8A">
        <w:t>s</w:t>
      </w:r>
      <w:r w:rsidRPr="00586ED1">
        <w:t xml:space="preserve">e SVR rates in HCV </w:t>
      </w:r>
      <w:r w:rsidR="00373668">
        <w:t>GT</w:t>
      </w:r>
      <w:r w:rsidRPr="00586ED1">
        <w:t>1b</w:t>
      </w:r>
      <w:r w:rsidR="00D82161">
        <w:t xml:space="preserve"> </w:t>
      </w:r>
      <w:r w:rsidRPr="00586ED1">
        <w:t>infected treatment</w:t>
      </w:r>
      <w:r w:rsidR="0000559B">
        <w:t xml:space="preserve"> </w:t>
      </w:r>
      <w:r w:rsidRPr="00586ED1">
        <w:t>experienced subjects. The population of untreated subjects includes those who would be null responders to IFN</w:t>
      </w:r>
      <w:r w:rsidR="00B906D3">
        <w:t xml:space="preserve"> </w:t>
      </w:r>
      <w:r w:rsidRPr="00586ED1">
        <w:t>based therapy and/or who have multiple negative predictive factors. About 1 in 4 treatment</w:t>
      </w:r>
      <w:r w:rsidR="00B906D3">
        <w:t xml:space="preserve"> </w:t>
      </w:r>
      <w:r w:rsidRPr="00586ED1">
        <w:t>naïve subjects has been shown to be a null responder to IFN, and a 2 DAA regimen would not be optimal in these subjects. Other negative predictive factors which have a similar impact on response as prior null response may also result in reduced response to the 2-DAA regimen in treatment</w:t>
      </w:r>
      <w:r w:rsidR="00B906D3">
        <w:t xml:space="preserve"> </w:t>
      </w:r>
      <w:r w:rsidRPr="00586ED1">
        <w:t>naïve s</w:t>
      </w:r>
      <w:r w:rsidR="00B906D3">
        <w:t xml:space="preserve">ubjects. For example, in Phase </w:t>
      </w:r>
      <w:proofErr w:type="spellStart"/>
      <w:r w:rsidR="00B906D3">
        <w:t>II</w:t>
      </w:r>
      <w:r w:rsidRPr="00586ED1">
        <w:t>b</w:t>
      </w:r>
      <w:proofErr w:type="spellEnd"/>
      <w:r w:rsidRPr="00586ED1">
        <w:t xml:space="preserve"> Study M11-652, in an analysis of SVR12 that included all regimens (3 and 4 active agents), the odd</w:t>
      </w:r>
      <w:r w:rsidR="002E3338">
        <w:t>s ratio for IL28B was 1.74 (that is</w:t>
      </w:r>
      <w:r w:rsidRPr="00586ED1">
        <w:t>, 74% higher odds of achieving SVR</w:t>
      </w:r>
      <w:r w:rsidRPr="00D82161">
        <w:rPr>
          <w:vertAlign w:val="subscript"/>
        </w:rPr>
        <w:t>12</w:t>
      </w:r>
      <w:r w:rsidRPr="00586ED1">
        <w:t xml:space="preserve"> for IL2</w:t>
      </w:r>
      <w:r w:rsidR="00D82161">
        <w:t xml:space="preserve">8B CC </w:t>
      </w:r>
      <w:r w:rsidR="008927E3">
        <w:t>GT</w:t>
      </w:r>
      <w:r w:rsidR="00D82161">
        <w:t xml:space="preserve"> compared to non-</w:t>
      </w:r>
      <w:r w:rsidRPr="00586ED1">
        <w:t xml:space="preserve">CC). But when the analysis was restricted to regimens with 3 active agents, the odds ratio increased to 2.85, indicating a larger negative predictive effect of non-CC </w:t>
      </w:r>
      <w:r w:rsidR="008927E3">
        <w:t>GT</w:t>
      </w:r>
      <w:r w:rsidRPr="00586ED1">
        <w:t xml:space="preserve"> on the odds of achieving SVR</w:t>
      </w:r>
      <w:r w:rsidRPr="00D82161">
        <w:rPr>
          <w:vertAlign w:val="subscript"/>
        </w:rPr>
        <w:t>12</w:t>
      </w:r>
      <w:r w:rsidRPr="00586ED1">
        <w:t xml:space="preserve"> for reg</w:t>
      </w:r>
      <w:r>
        <w:t>imens with fewer active agents.</w:t>
      </w:r>
    </w:p>
    <w:p w:rsidR="00586ED1" w:rsidRDefault="00586ED1" w:rsidP="00586ED1">
      <w:pPr>
        <w:pStyle w:val="ListBullet"/>
      </w:pPr>
      <w:proofErr w:type="spellStart"/>
      <w:r w:rsidRPr="00586ED1">
        <w:rPr>
          <w:b/>
        </w:rPr>
        <w:t>Dasabuvir</w:t>
      </w:r>
      <w:proofErr w:type="spellEnd"/>
      <w:r w:rsidRPr="00586ED1">
        <w:rPr>
          <w:b/>
        </w:rPr>
        <w:t xml:space="preserve"> does not present additional safety risk:</w:t>
      </w:r>
      <w:r w:rsidRPr="00586ED1">
        <w:t xml:space="preserve"> </w:t>
      </w:r>
      <w:proofErr w:type="spellStart"/>
      <w:r w:rsidRPr="00586ED1">
        <w:t>Dasabuvir</w:t>
      </w:r>
      <w:proofErr w:type="spellEnd"/>
      <w:r w:rsidRPr="00586ED1">
        <w:t xml:space="preserve"> has been well tolerated in clinical trials, and regimens with and without </w:t>
      </w:r>
      <w:proofErr w:type="spellStart"/>
      <w:r w:rsidRPr="00586ED1">
        <w:t>dasabuvir</w:t>
      </w:r>
      <w:proofErr w:type="spellEnd"/>
      <w:r w:rsidRPr="00586ED1">
        <w:t xml:space="preserve"> show comparable safet</w:t>
      </w:r>
      <w:r w:rsidR="00D82161">
        <w:t>y profiles. In contrast, AbbVie’</w:t>
      </w:r>
      <w:r w:rsidRPr="00586ED1">
        <w:t>s regimen</w:t>
      </w:r>
      <w:r w:rsidR="00D82161">
        <w:t xml:space="preserve"> </w:t>
      </w:r>
      <w:r w:rsidRPr="00586ED1">
        <w:t>controlled studies (with and without RBV) have demonstrated that RBV was associated w</w:t>
      </w:r>
      <w:r w:rsidR="00D83618">
        <w:t>ith a higher frequency of AE</w:t>
      </w:r>
      <w:r w:rsidRPr="00586ED1">
        <w:t xml:space="preserve">s, including </w:t>
      </w:r>
      <w:proofErr w:type="spellStart"/>
      <w:r w:rsidRPr="00586ED1">
        <w:t>hemolytic</w:t>
      </w:r>
      <w:proofErr w:type="spellEnd"/>
      <w:r w:rsidRPr="00586ED1">
        <w:t xml:space="preserve"> </w:t>
      </w:r>
      <w:proofErr w:type="spellStart"/>
      <w:r w:rsidRPr="00586ED1">
        <w:t>anemia</w:t>
      </w:r>
      <w:proofErr w:type="spellEnd"/>
      <w:r w:rsidRPr="00586ED1">
        <w:t xml:space="preserve"> and hyperbilirubinemia. Given the choice of a regimen containing RBV or a regimen containing </w:t>
      </w:r>
      <w:proofErr w:type="spellStart"/>
      <w:r w:rsidRPr="00586ED1">
        <w:t>dasabuvir</w:t>
      </w:r>
      <w:proofErr w:type="spellEnd"/>
      <w:r w:rsidRPr="00586ED1">
        <w:t xml:space="preserve">, a regimen which includes </w:t>
      </w:r>
      <w:proofErr w:type="spellStart"/>
      <w:r w:rsidRPr="00586ED1">
        <w:t>dasabuvir</w:t>
      </w:r>
      <w:proofErr w:type="spellEnd"/>
      <w:r w:rsidRPr="00586ED1">
        <w:t xml:space="preserve"> is preferred due to the RBV safety profile. Thus, </w:t>
      </w:r>
      <w:proofErr w:type="spellStart"/>
      <w:r w:rsidRPr="00586ED1">
        <w:t>dasabuvir</w:t>
      </w:r>
      <w:proofErr w:type="spellEnd"/>
      <w:r w:rsidRPr="00586ED1">
        <w:t xml:space="preserve"> is preferred over RBV as the third active agent for the regimen.</w:t>
      </w:r>
    </w:p>
    <w:p w:rsidR="003676EB" w:rsidRDefault="003676EB" w:rsidP="003676EB">
      <w:pPr>
        <w:pStyle w:val="Heading5"/>
      </w:pPr>
      <w:r>
        <w:t>Specific issue 7</w:t>
      </w:r>
    </w:p>
    <w:p w:rsidR="003676EB" w:rsidRPr="00226018" w:rsidRDefault="003676EB" w:rsidP="00226018">
      <w:pPr>
        <w:pStyle w:val="ListBullet"/>
        <w:rPr>
          <w:i/>
        </w:rPr>
      </w:pPr>
      <w:r w:rsidRPr="00226018">
        <w:rPr>
          <w:i/>
        </w:rPr>
        <w:t>Please include the most recent efficacy and safety results of Study M14- 250 (AGATE-2) in the proposed PI.</w:t>
      </w:r>
    </w:p>
    <w:p w:rsidR="00A2343F" w:rsidRDefault="00A2343F" w:rsidP="00A2343F">
      <w:pPr>
        <w:pStyle w:val="Heading5"/>
      </w:pPr>
      <w:r>
        <w:t>AbbVie response</w:t>
      </w:r>
    </w:p>
    <w:p w:rsidR="00A2343F" w:rsidRDefault="00A2343F" w:rsidP="00A2343F">
      <w:r>
        <w:t>This has been provided.</w:t>
      </w:r>
    </w:p>
    <w:p w:rsidR="00A2343F" w:rsidRDefault="00A2343F" w:rsidP="00A2343F">
      <w:pPr>
        <w:pStyle w:val="Heading5"/>
      </w:pPr>
      <w:r>
        <w:t>Specific issue 8</w:t>
      </w:r>
    </w:p>
    <w:p w:rsidR="00A2343F" w:rsidRPr="00F5422F" w:rsidRDefault="00FD2763" w:rsidP="00F5422F">
      <w:pPr>
        <w:pStyle w:val="ListBullet"/>
        <w:rPr>
          <w:i/>
        </w:rPr>
      </w:pPr>
      <w:r w:rsidRPr="00F5422F">
        <w:rPr>
          <w:i/>
        </w:rPr>
        <w:t xml:space="preserve">In relation to interactions with other medicines, please provide a summary, in tabular format, highlighting the co-administered drugs where recommendations are different for </w:t>
      </w:r>
      <w:proofErr w:type="spellStart"/>
      <w:r w:rsidR="006959E0">
        <w:rPr>
          <w:i/>
        </w:rPr>
        <w:t>Viekira</w:t>
      </w:r>
      <w:proofErr w:type="spellEnd"/>
      <w:r w:rsidR="006959E0">
        <w:rPr>
          <w:i/>
        </w:rPr>
        <w:t xml:space="preserve"> Pak</w:t>
      </w:r>
      <w:r w:rsidRPr="00F5422F">
        <w:rPr>
          <w:i/>
        </w:rPr>
        <w:t>/</w:t>
      </w:r>
      <w:proofErr w:type="spellStart"/>
      <w:r w:rsidR="006959E0">
        <w:rPr>
          <w:i/>
        </w:rPr>
        <w:t>Viekira</w:t>
      </w:r>
      <w:proofErr w:type="spellEnd"/>
      <w:r w:rsidR="006959E0">
        <w:rPr>
          <w:i/>
        </w:rPr>
        <w:t xml:space="preserve"> Pak</w:t>
      </w:r>
      <w:r w:rsidRPr="00F5422F">
        <w:rPr>
          <w:i/>
        </w:rPr>
        <w:t xml:space="preserve"> RBV and </w:t>
      </w:r>
      <w:proofErr w:type="spellStart"/>
      <w:r w:rsidR="006959E0">
        <w:rPr>
          <w:i/>
        </w:rPr>
        <w:t>Technivie</w:t>
      </w:r>
      <w:proofErr w:type="spellEnd"/>
      <w:r w:rsidRPr="00F5422F">
        <w:rPr>
          <w:i/>
        </w:rPr>
        <w:t xml:space="preserve"> and the reasons for this, with reference to the proposed PI for </w:t>
      </w:r>
      <w:proofErr w:type="spellStart"/>
      <w:r w:rsidR="006959E0">
        <w:rPr>
          <w:i/>
        </w:rPr>
        <w:t>Technivie</w:t>
      </w:r>
      <w:proofErr w:type="spellEnd"/>
      <w:r w:rsidRPr="00F5422F">
        <w:rPr>
          <w:i/>
        </w:rPr>
        <w:t>.</w:t>
      </w:r>
    </w:p>
    <w:p w:rsidR="00392D3D" w:rsidRDefault="00392D3D" w:rsidP="00392D3D">
      <w:pPr>
        <w:pStyle w:val="Heading5"/>
      </w:pPr>
      <w:r>
        <w:t>AbbVie response</w:t>
      </w:r>
    </w:p>
    <w:p w:rsidR="00536ED4" w:rsidRDefault="00392D3D" w:rsidP="00320E88">
      <w:pPr>
        <w:rPr>
          <w:b/>
        </w:rPr>
      </w:pPr>
      <w:r w:rsidRPr="00392D3D">
        <w:t xml:space="preserve">Please refer to the </w:t>
      </w:r>
      <w:r w:rsidR="00902072">
        <w:t>information</w:t>
      </w:r>
      <w:r w:rsidRPr="00392D3D">
        <w:t xml:space="preserve"> below</w:t>
      </w:r>
      <w:r>
        <w:t>.</w:t>
      </w:r>
    </w:p>
    <w:p w:rsidR="00DE377F" w:rsidRDefault="00DE377F" w:rsidP="00AD4000">
      <w:pPr>
        <w:pStyle w:val="TableTitle"/>
      </w:pPr>
      <w:r>
        <w:t>Table 11:</w:t>
      </w:r>
      <w:r w:rsidR="00E25AC2" w:rsidRPr="00E25AC2">
        <w:t xml:space="preserve"> Contraindicated in </w:t>
      </w:r>
      <w:proofErr w:type="spellStart"/>
      <w:r w:rsidR="00E25AC2" w:rsidRPr="00E25AC2">
        <w:t>Viekira</w:t>
      </w:r>
      <w:proofErr w:type="spellEnd"/>
      <w:r w:rsidR="00E25AC2" w:rsidRPr="00E25AC2">
        <w:t xml:space="preserve"> Pak and </w:t>
      </w:r>
      <w:proofErr w:type="spellStart"/>
      <w:r w:rsidR="00E25AC2" w:rsidRPr="00E25AC2">
        <w:t>Viekira</w:t>
      </w:r>
      <w:proofErr w:type="spellEnd"/>
      <w:r w:rsidR="00E25AC2" w:rsidRPr="00E25AC2">
        <w:t xml:space="preserve"> Pak-RB</w:t>
      </w:r>
      <w:r w:rsidR="00E25AC2">
        <w:t xml:space="preserve">V PI but not </w:t>
      </w:r>
      <w:proofErr w:type="spellStart"/>
      <w:r w:rsidR="00E25AC2">
        <w:t>Technivie</w:t>
      </w:r>
      <w:proofErr w:type="spellEnd"/>
      <w:r w:rsidR="00E25AC2">
        <w:t>.</w:t>
      </w:r>
    </w:p>
    <w:tbl>
      <w:tblPr>
        <w:tblStyle w:val="TableTGAblue"/>
        <w:tblW w:w="0" w:type="auto"/>
        <w:tblLook w:val="04A0" w:firstRow="1" w:lastRow="0" w:firstColumn="1" w:lastColumn="0" w:noHBand="0" w:noVBand="1"/>
      </w:tblPr>
      <w:tblGrid>
        <w:gridCol w:w="2093"/>
        <w:gridCol w:w="6627"/>
      </w:tblGrid>
      <w:tr w:rsidR="00AD4000" w:rsidRPr="00F92F7E" w:rsidTr="00085A8C">
        <w:trPr>
          <w:cnfStyle w:val="100000000000" w:firstRow="1" w:lastRow="0" w:firstColumn="0" w:lastColumn="0" w:oddVBand="0" w:evenVBand="0" w:oddHBand="0" w:evenHBand="0" w:firstRowFirstColumn="0" w:firstRowLastColumn="0" w:lastRowFirstColumn="0" w:lastRowLastColumn="0"/>
        </w:trPr>
        <w:tc>
          <w:tcPr>
            <w:tcW w:w="2093" w:type="dxa"/>
          </w:tcPr>
          <w:p w:rsidR="00AD4000" w:rsidRPr="00F92F7E" w:rsidRDefault="00AD4000" w:rsidP="00156AEF"/>
        </w:tc>
        <w:tc>
          <w:tcPr>
            <w:tcW w:w="6627" w:type="dxa"/>
          </w:tcPr>
          <w:p w:rsidR="00AD4000" w:rsidRPr="00F92F7E" w:rsidRDefault="00AD4000" w:rsidP="00156AEF">
            <w:r w:rsidRPr="00F92F7E">
              <w:t>Reason</w:t>
            </w:r>
          </w:p>
        </w:tc>
      </w:tr>
      <w:tr w:rsidR="00AD4000" w:rsidRPr="00F92F7E" w:rsidTr="00085A8C">
        <w:tc>
          <w:tcPr>
            <w:tcW w:w="2093" w:type="dxa"/>
          </w:tcPr>
          <w:p w:rsidR="00AD4000" w:rsidRPr="00F92F7E" w:rsidRDefault="00085A8C" w:rsidP="00156AEF">
            <w:r w:rsidRPr="00085A8C">
              <w:t>Gemfibrozil</w:t>
            </w:r>
          </w:p>
        </w:tc>
        <w:tc>
          <w:tcPr>
            <w:tcW w:w="6627" w:type="dxa"/>
          </w:tcPr>
          <w:p w:rsidR="00AD4000" w:rsidRPr="00F92F7E" w:rsidRDefault="00085A8C" w:rsidP="00156AEF">
            <w:r w:rsidRPr="00085A8C">
              <w:t xml:space="preserve">Gemfibrozil increases </w:t>
            </w:r>
            <w:proofErr w:type="spellStart"/>
            <w:r w:rsidRPr="00085A8C">
              <w:t>dasabuvir</w:t>
            </w:r>
            <w:proofErr w:type="spellEnd"/>
            <w:r w:rsidRPr="00085A8C">
              <w:t xml:space="preserve"> concentrations only and is not contraindicated with </w:t>
            </w:r>
            <w:proofErr w:type="spellStart"/>
            <w:r w:rsidRPr="00085A8C">
              <w:t>ombitasvir</w:t>
            </w:r>
            <w:proofErr w:type="spellEnd"/>
            <w:r w:rsidRPr="00085A8C">
              <w:t>/</w:t>
            </w:r>
            <w:proofErr w:type="spellStart"/>
            <w:r w:rsidRPr="00085A8C">
              <w:t>paritaprevir</w:t>
            </w:r>
            <w:proofErr w:type="spellEnd"/>
            <w:r w:rsidRPr="00085A8C">
              <w:t>/r</w:t>
            </w:r>
          </w:p>
        </w:tc>
      </w:tr>
    </w:tbl>
    <w:p w:rsidR="004E4281" w:rsidRDefault="004E4281" w:rsidP="00DF450D">
      <w:pPr>
        <w:pStyle w:val="TableTitle"/>
      </w:pPr>
      <w:proofErr w:type="gramStart"/>
      <w:r>
        <w:lastRenderedPageBreak/>
        <w:t>Table 12:</w:t>
      </w:r>
      <w:r w:rsidR="008C6D2F" w:rsidRPr="008C6D2F">
        <w:t xml:space="preserve"> Interactions in </w:t>
      </w:r>
      <w:proofErr w:type="spellStart"/>
      <w:r w:rsidR="005A4731">
        <w:t>Viekira</w:t>
      </w:r>
      <w:proofErr w:type="spellEnd"/>
      <w:r w:rsidR="008C6D2F" w:rsidRPr="008C6D2F">
        <w:t xml:space="preserve"> Pa</w:t>
      </w:r>
      <w:r w:rsidR="008C6D2F">
        <w:t xml:space="preserve">k PI but not </w:t>
      </w:r>
      <w:proofErr w:type="spellStart"/>
      <w:r w:rsidR="008C6D2F">
        <w:t>Technivie</w:t>
      </w:r>
      <w:proofErr w:type="spellEnd"/>
      <w:r w:rsidR="008C6D2F">
        <w:t>.</w:t>
      </w:r>
      <w:proofErr w:type="gramEnd"/>
    </w:p>
    <w:tbl>
      <w:tblPr>
        <w:tblStyle w:val="TableTGAblue"/>
        <w:tblW w:w="0" w:type="auto"/>
        <w:tblLook w:val="04A0" w:firstRow="1" w:lastRow="0" w:firstColumn="1" w:lastColumn="0" w:noHBand="0" w:noVBand="1"/>
      </w:tblPr>
      <w:tblGrid>
        <w:gridCol w:w="2093"/>
        <w:gridCol w:w="6627"/>
      </w:tblGrid>
      <w:tr w:rsidR="00DF450D" w:rsidRPr="00F92F7E" w:rsidTr="00C9764D">
        <w:trPr>
          <w:cnfStyle w:val="100000000000" w:firstRow="1" w:lastRow="0" w:firstColumn="0" w:lastColumn="0" w:oddVBand="0" w:evenVBand="0" w:oddHBand="0" w:evenHBand="0" w:firstRowFirstColumn="0" w:firstRowLastColumn="0" w:lastRowFirstColumn="0" w:lastRowLastColumn="0"/>
        </w:trPr>
        <w:tc>
          <w:tcPr>
            <w:tcW w:w="2093" w:type="dxa"/>
          </w:tcPr>
          <w:p w:rsidR="00DF450D" w:rsidRPr="00F92F7E" w:rsidRDefault="00DF450D" w:rsidP="00156AEF"/>
        </w:tc>
        <w:tc>
          <w:tcPr>
            <w:tcW w:w="6627" w:type="dxa"/>
          </w:tcPr>
          <w:p w:rsidR="00DF450D" w:rsidRPr="00F92F7E" w:rsidRDefault="00DF450D" w:rsidP="00156AEF">
            <w:r w:rsidRPr="00F92F7E">
              <w:t>Reason</w:t>
            </w:r>
          </w:p>
        </w:tc>
      </w:tr>
      <w:tr w:rsidR="00DF450D" w:rsidRPr="00F92F7E" w:rsidTr="00C9764D">
        <w:tc>
          <w:tcPr>
            <w:tcW w:w="2093" w:type="dxa"/>
          </w:tcPr>
          <w:p w:rsidR="00DF450D" w:rsidRPr="00F92F7E" w:rsidRDefault="00DF450D" w:rsidP="00156AEF">
            <w:proofErr w:type="spellStart"/>
            <w:r w:rsidRPr="00DF450D">
              <w:t>Deferasirox</w:t>
            </w:r>
            <w:proofErr w:type="spellEnd"/>
          </w:p>
        </w:tc>
        <w:tc>
          <w:tcPr>
            <w:tcW w:w="6627" w:type="dxa"/>
          </w:tcPr>
          <w:p w:rsidR="00DF450D" w:rsidRPr="00F92F7E" w:rsidRDefault="00DF450D" w:rsidP="00156AEF">
            <w:r w:rsidRPr="00DF450D">
              <w:t xml:space="preserve">Clinically, </w:t>
            </w:r>
            <w:proofErr w:type="spellStart"/>
            <w:r w:rsidRPr="00DF450D">
              <w:t>deferasirox</w:t>
            </w:r>
            <w:proofErr w:type="spellEnd"/>
            <w:r w:rsidRPr="00DF450D">
              <w:t xml:space="preserve"> affects </w:t>
            </w:r>
            <w:proofErr w:type="spellStart"/>
            <w:r w:rsidRPr="00DF450D">
              <w:t>dasabuvir</w:t>
            </w:r>
            <w:proofErr w:type="spellEnd"/>
            <w:r w:rsidRPr="00DF450D">
              <w:t xml:space="preserve"> (DAS) exposures. </w:t>
            </w:r>
            <w:proofErr w:type="spellStart"/>
            <w:r w:rsidR="006959E0">
              <w:t>Technivie</w:t>
            </w:r>
            <w:proofErr w:type="spellEnd"/>
            <w:r w:rsidRPr="00DF450D">
              <w:t xml:space="preserve"> does not include DAS, hence</w:t>
            </w:r>
            <w:r>
              <w:t xml:space="preserve"> excluded from the </w:t>
            </w:r>
            <w:proofErr w:type="spellStart"/>
            <w:r w:rsidR="006959E0">
              <w:t>Technivie</w:t>
            </w:r>
            <w:proofErr w:type="spellEnd"/>
            <w:r>
              <w:t xml:space="preserve"> PI</w:t>
            </w:r>
          </w:p>
        </w:tc>
      </w:tr>
      <w:tr w:rsidR="00766426" w:rsidRPr="00F92F7E" w:rsidTr="00766426">
        <w:tc>
          <w:tcPr>
            <w:tcW w:w="2093" w:type="dxa"/>
          </w:tcPr>
          <w:p w:rsidR="00766426" w:rsidRPr="00F92F7E" w:rsidRDefault="00766426" w:rsidP="00156AEF">
            <w:proofErr w:type="spellStart"/>
            <w:r w:rsidRPr="00766426">
              <w:t>Teriflunomide</w:t>
            </w:r>
            <w:proofErr w:type="spellEnd"/>
          </w:p>
        </w:tc>
        <w:tc>
          <w:tcPr>
            <w:tcW w:w="6627" w:type="dxa"/>
          </w:tcPr>
          <w:p w:rsidR="00766426" w:rsidRPr="00F92F7E" w:rsidRDefault="00766426" w:rsidP="00156AEF">
            <w:r w:rsidRPr="00766426">
              <w:t xml:space="preserve">Clinically, </w:t>
            </w:r>
            <w:proofErr w:type="spellStart"/>
            <w:r w:rsidRPr="00766426">
              <w:t>teriflunomide</w:t>
            </w:r>
            <w:proofErr w:type="spellEnd"/>
            <w:r w:rsidRPr="00766426">
              <w:t xml:space="preserve"> affects DAS exposures. </w:t>
            </w:r>
            <w:proofErr w:type="spellStart"/>
            <w:r w:rsidR="006959E0">
              <w:t>Technivie</w:t>
            </w:r>
            <w:proofErr w:type="spellEnd"/>
            <w:r w:rsidRPr="00766426">
              <w:t xml:space="preserve"> does not include DAS, hence</w:t>
            </w:r>
            <w:r>
              <w:t xml:space="preserve"> excluded from the </w:t>
            </w:r>
            <w:proofErr w:type="spellStart"/>
            <w:r w:rsidR="006959E0">
              <w:t>Technivie</w:t>
            </w:r>
            <w:proofErr w:type="spellEnd"/>
            <w:r>
              <w:t xml:space="preserve"> PI</w:t>
            </w:r>
          </w:p>
        </w:tc>
      </w:tr>
    </w:tbl>
    <w:p w:rsidR="00392D3D" w:rsidRDefault="00392D3D" w:rsidP="00BF6C5A">
      <w:pPr>
        <w:pStyle w:val="TableTitle"/>
      </w:pPr>
      <w:proofErr w:type="gramStart"/>
      <w:r>
        <w:t>Table 1</w:t>
      </w:r>
      <w:r w:rsidR="004E4281">
        <w:t>3</w:t>
      </w:r>
      <w:r>
        <w:t>:</w:t>
      </w:r>
      <w:r w:rsidR="00E17987" w:rsidRPr="00E17987">
        <w:t xml:space="preserve"> Differences in dosing recommendations between </w:t>
      </w:r>
      <w:proofErr w:type="spellStart"/>
      <w:r w:rsidR="005A4731">
        <w:t>Viekira</w:t>
      </w:r>
      <w:proofErr w:type="spellEnd"/>
      <w:r w:rsidR="005A4731">
        <w:t xml:space="preserve"> Pak</w:t>
      </w:r>
      <w:r w:rsidR="00E17987" w:rsidRPr="00E17987">
        <w:t xml:space="preserve"> and </w:t>
      </w:r>
      <w:proofErr w:type="spellStart"/>
      <w:r w:rsidR="00E17987" w:rsidRPr="00E17987">
        <w:t>Technivie</w:t>
      </w:r>
      <w:proofErr w:type="spellEnd"/>
      <w:r w:rsidR="00E17987">
        <w:t>.</w:t>
      </w:r>
      <w:proofErr w:type="gramEnd"/>
    </w:p>
    <w:tbl>
      <w:tblPr>
        <w:tblStyle w:val="TableTGAblue"/>
        <w:tblW w:w="0" w:type="auto"/>
        <w:tblLook w:val="04A0" w:firstRow="1" w:lastRow="0" w:firstColumn="1" w:lastColumn="0" w:noHBand="0" w:noVBand="1"/>
      </w:tblPr>
      <w:tblGrid>
        <w:gridCol w:w="2180"/>
        <w:gridCol w:w="2180"/>
        <w:gridCol w:w="2180"/>
        <w:gridCol w:w="2180"/>
      </w:tblGrid>
      <w:tr w:rsidR="00BF6C5A" w:rsidRPr="00BF6C5A" w:rsidTr="00BF6C5A">
        <w:trPr>
          <w:cnfStyle w:val="100000000000" w:firstRow="1" w:lastRow="0" w:firstColumn="0" w:lastColumn="0" w:oddVBand="0" w:evenVBand="0" w:oddHBand="0" w:evenHBand="0" w:firstRowFirstColumn="0" w:firstRowLastColumn="0" w:lastRowFirstColumn="0" w:lastRowLastColumn="0"/>
        </w:trPr>
        <w:tc>
          <w:tcPr>
            <w:tcW w:w="2180" w:type="dxa"/>
          </w:tcPr>
          <w:p w:rsidR="00BF6C5A" w:rsidRPr="00BF6C5A" w:rsidRDefault="00BF6C5A" w:rsidP="00156AEF"/>
        </w:tc>
        <w:tc>
          <w:tcPr>
            <w:tcW w:w="2180" w:type="dxa"/>
          </w:tcPr>
          <w:p w:rsidR="00BF6C5A" w:rsidRPr="00BF6C5A" w:rsidRDefault="00430008" w:rsidP="00156AEF">
            <w:r>
              <w:t>VP</w:t>
            </w:r>
          </w:p>
        </w:tc>
        <w:tc>
          <w:tcPr>
            <w:tcW w:w="2180" w:type="dxa"/>
          </w:tcPr>
          <w:p w:rsidR="00BF6C5A" w:rsidRPr="00BF6C5A" w:rsidRDefault="00430008" w:rsidP="00156AEF">
            <w:proofErr w:type="spellStart"/>
            <w:r w:rsidRPr="00430008">
              <w:t>Technivie</w:t>
            </w:r>
            <w:proofErr w:type="spellEnd"/>
          </w:p>
        </w:tc>
        <w:tc>
          <w:tcPr>
            <w:tcW w:w="2180" w:type="dxa"/>
          </w:tcPr>
          <w:p w:rsidR="00BF6C5A" w:rsidRPr="00BF6C5A" w:rsidRDefault="00430008" w:rsidP="00156AEF">
            <w:r>
              <w:t>Reason</w:t>
            </w:r>
          </w:p>
        </w:tc>
      </w:tr>
      <w:tr w:rsidR="00BF6C5A" w:rsidRPr="00BF6C5A" w:rsidTr="00BF6C5A">
        <w:tc>
          <w:tcPr>
            <w:tcW w:w="2180" w:type="dxa"/>
          </w:tcPr>
          <w:p w:rsidR="00BF6C5A" w:rsidRPr="00BF6C5A" w:rsidRDefault="00430008" w:rsidP="00156AEF">
            <w:r w:rsidRPr="00430008">
              <w:t>Digoxin</w:t>
            </w:r>
          </w:p>
        </w:tc>
        <w:tc>
          <w:tcPr>
            <w:tcW w:w="2180" w:type="dxa"/>
          </w:tcPr>
          <w:p w:rsidR="00BF6C5A" w:rsidRPr="00BF6C5A" w:rsidRDefault="00710949" w:rsidP="00156AEF">
            <w:r w:rsidRPr="00710949">
              <w:t>While no dose adjustment is necessary for digoxin, appropriate monitoring of seru</w:t>
            </w:r>
            <w:r>
              <w:t>m digoxin levels is recommended</w:t>
            </w:r>
          </w:p>
        </w:tc>
        <w:tc>
          <w:tcPr>
            <w:tcW w:w="2180" w:type="dxa"/>
          </w:tcPr>
          <w:p w:rsidR="00BF6C5A" w:rsidRPr="00BF6C5A" w:rsidRDefault="00710949" w:rsidP="00156AEF">
            <w:r>
              <w:t>Decrease digoxin dose by 30-</w:t>
            </w:r>
            <w:r w:rsidRPr="00710949">
              <w:t>50%. Appropriate monitoring of seru</w:t>
            </w:r>
            <w:r>
              <w:t>m digoxin levels is recommended</w:t>
            </w:r>
          </w:p>
        </w:tc>
        <w:tc>
          <w:tcPr>
            <w:tcW w:w="2180" w:type="dxa"/>
          </w:tcPr>
          <w:p w:rsidR="00BF6C5A" w:rsidRPr="00BF6C5A" w:rsidRDefault="00710949" w:rsidP="00156AEF">
            <w:r w:rsidRPr="00710949">
              <w:t>Digoxin exposure</w:t>
            </w:r>
            <w:r>
              <w:t xml:space="preserve">s are higher with </w:t>
            </w:r>
            <w:proofErr w:type="spellStart"/>
            <w:r>
              <w:t>Technivie</w:t>
            </w:r>
            <w:proofErr w:type="spellEnd"/>
            <w:r>
              <w:t xml:space="preserve"> versus </w:t>
            </w:r>
            <w:r w:rsidRPr="00710949">
              <w:t>VP for unknown reasons</w:t>
            </w:r>
          </w:p>
        </w:tc>
      </w:tr>
      <w:tr w:rsidR="00BF6C5A" w:rsidRPr="00BF6C5A" w:rsidTr="00BF6C5A">
        <w:tc>
          <w:tcPr>
            <w:tcW w:w="2180" w:type="dxa"/>
          </w:tcPr>
          <w:p w:rsidR="00BF6C5A" w:rsidRPr="00BF6C5A" w:rsidRDefault="00430008" w:rsidP="00156AEF">
            <w:proofErr w:type="spellStart"/>
            <w:r w:rsidRPr="00430008">
              <w:t>Rosuvastatin</w:t>
            </w:r>
            <w:proofErr w:type="spellEnd"/>
          </w:p>
        </w:tc>
        <w:tc>
          <w:tcPr>
            <w:tcW w:w="2180" w:type="dxa"/>
          </w:tcPr>
          <w:p w:rsidR="00BF6C5A" w:rsidRPr="00BF6C5A" w:rsidRDefault="00577104" w:rsidP="00156AEF">
            <w:r w:rsidRPr="00577104">
              <w:t xml:space="preserve">The maximum daily dose of </w:t>
            </w:r>
            <w:proofErr w:type="spellStart"/>
            <w:r w:rsidRPr="00577104">
              <w:t>rosuvastatin</w:t>
            </w:r>
            <w:proofErr w:type="spellEnd"/>
            <w:r w:rsidRPr="00577104">
              <w:t xml:space="preserve"> should be 5 mg</w:t>
            </w:r>
          </w:p>
        </w:tc>
        <w:tc>
          <w:tcPr>
            <w:tcW w:w="2180" w:type="dxa"/>
          </w:tcPr>
          <w:p w:rsidR="00BF6C5A" w:rsidRPr="00BF6C5A" w:rsidRDefault="00577104" w:rsidP="00156AEF">
            <w:proofErr w:type="spellStart"/>
            <w:r w:rsidRPr="00577104">
              <w:t>Rosuvastatin</w:t>
            </w:r>
            <w:proofErr w:type="spellEnd"/>
            <w:r w:rsidRPr="00577104">
              <w:t xml:space="preserve"> dose should not exceed 20 mg per day</w:t>
            </w:r>
          </w:p>
        </w:tc>
        <w:tc>
          <w:tcPr>
            <w:tcW w:w="2180" w:type="dxa"/>
          </w:tcPr>
          <w:p w:rsidR="00BF6C5A" w:rsidRPr="00BF6C5A" w:rsidRDefault="00577104" w:rsidP="00156AEF">
            <w:proofErr w:type="spellStart"/>
            <w:r w:rsidRPr="00577104">
              <w:t>Rosuvastatin</w:t>
            </w:r>
            <w:proofErr w:type="spellEnd"/>
            <w:r w:rsidRPr="00577104">
              <w:t xml:space="preserve"> exposure</w:t>
            </w:r>
            <w:r w:rsidR="00323361">
              <w:t xml:space="preserve">s are higher with VP versus </w:t>
            </w:r>
            <w:proofErr w:type="spellStart"/>
            <w:r w:rsidRPr="00577104">
              <w:t>Technivie</w:t>
            </w:r>
            <w:proofErr w:type="spellEnd"/>
            <w:r w:rsidRPr="00577104">
              <w:t>; likely due to the potential effect of ABT-333 on BCRP</w:t>
            </w:r>
          </w:p>
        </w:tc>
      </w:tr>
    </w:tbl>
    <w:p w:rsidR="00C54F66" w:rsidRDefault="00C54F66" w:rsidP="00C54F66">
      <w:pPr>
        <w:pStyle w:val="Heading5"/>
      </w:pPr>
      <w:r>
        <w:t>Specific issue 10</w:t>
      </w:r>
    </w:p>
    <w:p w:rsidR="00C54F66" w:rsidRPr="002D0CA3" w:rsidRDefault="002D0CA3" w:rsidP="002D0CA3">
      <w:pPr>
        <w:pStyle w:val="ListBullet"/>
        <w:rPr>
          <w:i/>
        </w:rPr>
      </w:pPr>
      <w:r w:rsidRPr="002D0CA3">
        <w:rPr>
          <w:i/>
        </w:rPr>
        <w:t>Why was the FDC proposed for marketing not used for the PEARL-1 study? The FDA Clinical Pharmacolo</w:t>
      </w:r>
      <w:r w:rsidR="00BD5590">
        <w:rPr>
          <w:i/>
        </w:rPr>
        <w:t xml:space="preserve">gy and Biopharmaceutics Review </w:t>
      </w:r>
      <w:r w:rsidRPr="002D0CA3">
        <w:rPr>
          <w:i/>
        </w:rPr>
        <w:t>highlighte</w:t>
      </w:r>
      <w:r w:rsidR="00BD5590">
        <w:rPr>
          <w:i/>
        </w:rPr>
        <w:t>d that the P</w:t>
      </w:r>
      <w:r w:rsidRPr="002D0CA3">
        <w:rPr>
          <w:i/>
        </w:rPr>
        <w:t>hase III 3-DAA studies used the co-formulated product and that the co-formulated product had higher ABT-450 (</w:t>
      </w:r>
      <w:proofErr w:type="spellStart"/>
      <w:r w:rsidRPr="002D0CA3">
        <w:rPr>
          <w:i/>
        </w:rPr>
        <w:t>paritaprevir</w:t>
      </w:r>
      <w:proofErr w:type="spellEnd"/>
      <w:r w:rsidRPr="002D0CA3">
        <w:rPr>
          <w:i/>
        </w:rPr>
        <w:t>) exposures than the individual tablets. Did the AGATE-1 and AGATE-2 studies use the FDC?</w:t>
      </w:r>
    </w:p>
    <w:p w:rsidR="00307527" w:rsidRDefault="00307527" w:rsidP="00307527">
      <w:pPr>
        <w:pStyle w:val="Heading5"/>
      </w:pPr>
      <w:r>
        <w:t>AbbVie response</w:t>
      </w:r>
    </w:p>
    <w:p w:rsidR="00307527" w:rsidRDefault="007F73E8" w:rsidP="00871922">
      <w:r w:rsidRPr="007F73E8">
        <w:t>FDC proposed for marketing was not used for the PEARL-1 study as it was not available at the start of the study. FDC was used for AGATE-1 and AGATE-2 studies.</w:t>
      </w:r>
    </w:p>
    <w:p w:rsidR="00307527" w:rsidRDefault="00307527" w:rsidP="00307527">
      <w:pPr>
        <w:pStyle w:val="Heading5"/>
      </w:pPr>
      <w:r>
        <w:t>Specific issue 11</w:t>
      </w:r>
    </w:p>
    <w:p w:rsidR="00307527" w:rsidRPr="007F73E8" w:rsidRDefault="00B60E32" w:rsidP="007F73E8">
      <w:pPr>
        <w:pStyle w:val="ListBullet"/>
        <w:rPr>
          <w:i/>
        </w:rPr>
      </w:pPr>
      <w:r>
        <w:rPr>
          <w:i/>
        </w:rPr>
        <w:t>As requested by email: a</w:t>
      </w:r>
      <w:r w:rsidR="007F73E8" w:rsidRPr="007F73E8">
        <w:rPr>
          <w:i/>
        </w:rPr>
        <w:t xml:space="preserve"> report (as current as possible) of the patients who have received supply of 2-DAA + RBV for </w:t>
      </w:r>
      <w:r w:rsidR="008927E3">
        <w:rPr>
          <w:i/>
        </w:rPr>
        <w:t>GT</w:t>
      </w:r>
      <w:r w:rsidR="007F73E8" w:rsidRPr="007F73E8">
        <w:rPr>
          <w:i/>
        </w:rPr>
        <w:t xml:space="preserve">4 under the </w:t>
      </w:r>
      <w:r w:rsidR="008927E3">
        <w:rPr>
          <w:i/>
        </w:rPr>
        <w:t>Special Access Scheme</w:t>
      </w:r>
      <w:r w:rsidR="007F73E8" w:rsidRPr="007F73E8">
        <w:rPr>
          <w:i/>
        </w:rPr>
        <w:t xml:space="preserve"> in Australia, similar to the report that was prepared for the </w:t>
      </w:r>
      <w:r w:rsidR="00373668">
        <w:rPr>
          <w:i/>
        </w:rPr>
        <w:t>3-DAA</w:t>
      </w:r>
      <w:r w:rsidR="007F73E8" w:rsidRPr="007F73E8">
        <w:rPr>
          <w:i/>
        </w:rPr>
        <w:t xml:space="preserve"> +/- RBV combination for the </w:t>
      </w:r>
      <w:proofErr w:type="spellStart"/>
      <w:r w:rsidR="007F73E8" w:rsidRPr="007F73E8">
        <w:rPr>
          <w:i/>
        </w:rPr>
        <w:t>Viekira</w:t>
      </w:r>
      <w:proofErr w:type="spellEnd"/>
      <w:r w:rsidR="007F73E8" w:rsidRPr="007F73E8">
        <w:rPr>
          <w:i/>
        </w:rPr>
        <w:t xml:space="preserve"> Pak and </w:t>
      </w:r>
      <w:proofErr w:type="spellStart"/>
      <w:r w:rsidR="007F73E8" w:rsidRPr="007F73E8">
        <w:rPr>
          <w:i/>
        </w:rPr>
        <w:t>Viekira</w:t>
      </w:r>
      <w:proofErr w:type="spellEnd"/>
      <w:r w:rsidR="007F73E8" w:rsidRPr="007F73E8">
        <w:rPr>
          <w:i/>
        </w:rPr>
        <w:t xml:space="preserve"> Pak RBV in 2015. Please highlight the number of patients supplied, whether any </w:t>
      </w:r>
      <w:r w:rsidR="00D83618">
        <w:rPr>
          <w:i/>
        </w:rPr>
        <w:t>AEs</w:t>
      </w:r>
      <w:r w:rsidR="007F73E8" w:rsidRPr="007F73E8">
        <w:rPr>
          <w:i/>
        </w:rPr>
        <w:t>, including treatment failures, have been reported and the details of these events.</w:t>
      </w:r>
    </w:p>
    <w:p w:rsidR="00307527" w:rsidRDefault="00307527" w:rsidP="00307527">
      <w:pPr>
        <w:pStyle w:val="Heading5"/>
      </w:pPr>
      <w:r>
        <w:lastRenderedPageBreak/>
        <w:t>AbbVie response</w:t>
      </w:r>
    </w:p>
    <w:p w:rsidR="00D87FCB" w:rsidRDefault="00D87FCB" w:rsidP="00F33739">
      <w:pPr>
        <w:pStyle w:val="Heading6"/>
      </w:pPr>
      <w:r>
        <w:t>Search strategy</w:t>
      </w:r>
    </w:p>
    <w:p w:rsidR="00D87FCB" w:rsidRDefault="00E16108" w:rsidP="00BB5F55">
      <w:r>
        <w:t>As of 20 August 2016, AbbVie’</w:t>
      </w:r>
      <w:r w:rsidR="00D87FCB" w:rsidRPr="00D87FCB">
        <w:t xml:space="preserve">s regimen of </w:t>
      </w:r>
      <w:r w:rsidR="00373668">
        <w:t>2-DAA</w:t>
      </w:r>
      <w:r w:rsidR="00D87FCB" w:rsidRPr="00D87FCB">
        <w:t xml:space="preserve"> +/- RBV for HCV GT4 has been shipped to 68 unique patients enrolled in Australia's Patient Named Basis/Expanded Access Progra</w:t>
      </w:r>
      <w:r w:rsidR="009E6A4A">
        <w:t xml:space="preserve">m (PNB/EAP). </w:t>
      </w:r>
      <w:r w:rsidR="005D42EA">
        <w:t>A search of AbbVie’</w:t>
      </w:r>
      <w:r w:rsidR="005D42EA" w:rsidRPr="00D87FCB">
        <w:t>s global safety database (AEGIS) through 25 August 2016 yielded 24 reports</w:t>
      </w:r>
      <w:r w:rsidR="005D42EA" w:rsidRPr="00460B1D">
        <w:t xml:space="preserve"> </w:t>
      </w:r>
      <w:r w:rsidR="005D42EA" w:rsidRPr="00D87FCB">
        <w:t xml:space="preserve">for all cases with use of 2-DAA with or without </w:t>
      </w:r>
      <w:r w:rsidR="005D42EA">
        <w:t>RBV</w:t>
      </w:r>
      <w:r w:rsidR="005D42EA" w:rsidRPr="00D87FCB">
        <w:t xml:space="preserve"> originating in Australia</w:t>
      </w:r>
      <w:r w:rsidR="00D87FCB" w:rsidRPr="00D87FCB">
        <w:t xml:space="preserve">. Of the 24 reports, 9 involved subjects participating in the PNB program (C15-141), 11 were facilitated reports, two were clinical trial reports, and one was a spontaneous report. This summary will focus on the 9 cases identified from </w:t>
      </w:r>
      <w:r w:rsidR="00D87FCB">
        <w:t>the Australian PNB/EAP program.</w:t>
      </w:r>
    </w:p>
    <w:p w:rsidR="00D87FCB" w:rsidRDefault="00D87FCB" w:rsidP="00F33739">
      <w:pPr>
        <w:pStyle w:val="Heading6"/>
      </w:pPr>
      <w:r>
        <w:t>Results</w:t>
      </w:r>
    </w:p>
    <w:p w:rsidR="00BB5F55" w:rsidRDefault="00D87FCB" w:rsidP="00BB5F55">
      <w:r w:rsidRPr="00D87FCB">
        <w:t xml:space="preserve">The search identified a total of 9 subjects experiencing a total of 17 </w:t>
      </w:r>
      <w:r w:rsidR="00D83618">
        <w:t>AEs</w:t>
      </w:r>
      <w:r w:rsidRPr="00D87FCB">
        <w:t>, which are characteri</w:t>
      </w:r>
      <w:r w:rsidR="00C127E4">
        <w:t>s</w:t>
      </w:r>
      <w:r w:rsidRPr="00D87FCB">
        <w:t xml:space="preserve">ed in the following </w:t>
      </w:r>
      <w:r w:rsidR="00C127E4">
        <w:t>SOC</w:t>
      </w:r>
      <w:r>
        <w:t>/</w:t>
      </w:r>
      <w:r w:rsidR="00C127E4">
        <w:t xml:space="preserve">PT </w:t>
      </w:r>
      <w:r>
        <w:t>table.</w:t>
      </w:r>
    </w:p>
    <w:p w:rsidR="00D87FCB" w:rsidRDefault="00D87FCB" w:rsidP="00D87FCB">
      <w:pPr>
        <w:pStyle w:val="TableTitle"/>
      </w:pPr>
      <w:proofErr w:type="gramStart"/>
      <w:r>
        <w:t>Table 1</w:t>
      </w:r>
      <w:r w:rsidR="003410C6">
        <w:t>4</w:t>
      </w:r>
      <w:r>
        <w:t>:</w:t>
      </w:r>
      <w:r w:rsidRPr="00E17987">
        <w:t xml:space="preserve"> </w:t>
      </w:r>
      <w:r w:rsidR="00943E95" w:rsidRPr="00943E95">
        <w:t xml:space="preserve">Distribution of </w:t>
      </w:r>
      <w:r w:rsidR="00D83618">
        <w:t>AEs</w:t>
      </w:r>
      <w:r w:rsidR="00943E95" w:rsidRPr="00943E95">
        <w:t xml:space="preserve"> </w:t>
      </w:r>
      <w:r w:rsidR="00D83618">
        <w:t>e</w:t>
      </w:r>
      <w:r w:rsidR="00943E95" w:rsidRPr="00943E95">
        <w:t xml:space="preserve">xperienced by </w:t>
      </w:r>
      <w:r w:rsidR="00D83618">
        <w:t>p</w:t>
      </w:r>
      <w:r w:rsidR="00943E95" w:rsidRPr="00943E95">
        <w:t xml:space="preserve">atients </w:t>
      </w:r>
      <w:r w:rsidR="00D83618">
        <w:t>t</w:t>
      </w:r>
      <w:r w:rsidR="00943E95" w:rsidRPr="00943E95">
        <w:t xml:space="preserve">aking </w:t>
      </w:r>
      <w:proofErr w:type="spellStart"/>
      <w:r w:rsidR="00D83618">
        <w:t>o</w:t>
      </w:r>
      <w:r w:rsidR="00943E95" w:rsidRPr="00943E95">
        <w:t>mbitasvir</w:t>
      </w:r>
      <w:proofErr w:type="spellEnd"/>
      <w:r w:rsidR="00943E95" w:rsidRPr="00943E95">
        <w:t>/</w:t>
      </w:r>
      <w:proofErr w:type="spellStart"/>
      <w:r w:rsidR="00D83618">
        <w:t>p</w:t>
      </w:r>
      <w:r w:rsidR="00943E95" w:rsidRPr="00943E95">
        <w:t>aritaprevir</w:t>
      </w:r>
      <w:proofErr w:type="spellEnd"/>
      <w:r w:rsidR="00943E95" w:rsidRPr="00943E95">
        <w:t>/</w:t>
      </w:r>
      <w:r w:rsidR="00D83618">
        <w:t>r</w:t>
      </w:r>
      <w:r w:rsidR="00943E95" w:rsidRPr="00943E95">
        <w:t xml:space="preserve">itonavir as </w:t>
      </w:r>
      <w:r w:rsidR="00D83618">
        <w:t>p</w:t>
      </w:r>
      <w:r w:rsidR="00943E95" w:rsidRPr="00943E95">
        <w:t>art of the Australia Patient Named Basis Program through 25 August 2016</w:t>
      </w:r>
      <w:r>
        <w:t>.</w:t>
      </w:r>
      <w:proofErr w:type="gramEnd"/>
    </w:p>
    <w:p w:rsidR="00D87FCB" w:rsidRDefault="00260227" w:rsidP="00BB5F55">
      <w:r>
        <w:rPr>
          <w:noProof/>
          <w:lang w:eastAsia="en-AU"/>
        </w:rPr>
        <w:drawing>
          <wp:inline distT="0" distB="0" distL="0" distR="0" wp14:anchorId="47C61E60" wp14:editId="16883573">
            <wp:extent cx="5400040" cy="3608681"/>
            <wp:effectExtent l="0" t="0" r="0" b="0"/>
            <wp:docPr id="13" name="Picture 13" descr="Table 14: Distribution of AEs experienced by patients taking ombitasvir/paritaprevir/ritonavir as part of the Australia Patient Named Basis Program through 25 August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400040" cy="3608681"/>
                    </a:xfrm>
                    <a:prstGeom prst="rect">
                      <a:avLst/>
                    </a:prstGeom>
                  </pic:spPr>
                </pic:pic>
              </a:graphicData>
            </a:graphic>
          </wp:inline>
        </w:drawing>
      </w:r>
    </w:p>
    <w:p w:rsidR="00260227" w:rsidRDefault="00260227" w:rsidP="00BB5F55">
      <w:r w:rsidRPr="00260227">
        <w:t xml:space="preserve">For 7 of the 9 reports, the indication was stated as HCV GT4, and for the remaining two reports, HCV with the </w:t>
      </w:r>
      <w:r w:rsidR="007E5CE4">
        <w:t xml:space="preserve">GT </w:t>
      </w:r>
      <w:r w:rsidRPr="00260227">
        <w:t xml:space="preserve">not provided was given as the indication. Of the 9 reports, only one report had a single event that was considered serious. This </w:t>
      </w:r>
      <w:r>
        <w:t>case report is presented below:</w:t>
      </w:r>
    </w:p>
    <w:p w:rsidR="00260227" w:rsidRDefault="00260227" w:rsidP="00E73C53">
      <w:pPr>
        <w:pStyle w:val="ListBullet"/>
      </w:pPr>
      <w:r>
        <w:t xml:space="preserve">One subject </w:t>
      </w:r>
      <w:r w:rsidRPr="00260227">
        <w:t>experienced trea</w:t>
      </w:r>
      <w:r w:rsidR="006548E3">
        <w:t xml:space="preserve">tment failure with </w:t>
      </w:r>
      <w:proofErr w:type="spellStart"/>
      <w:r w:rsidR="00954E66">
        <w:t>o</w:t>
      </w:r>
      <w:r w:rsidR="006548E3">
        <w:t>mbitasvir</w:t>
      </w:r>
      <w:proofErr w:type="spellEnd"/>
      <w:r w:rsidR="006548E3">
        <w:t>/</w:t>
      </w:r>
      <w:proofErr w:type="spellStart"/>
      <w:r w:rsidR="00954E66">
        <w:t>p</w:t>
      </w:r>
      <w:r w:rsidR="006548E3">
        <w:t>aritaprevir</w:t>
      </w:r>
      <w:proofErr w:type="spellEnd"/>
      <w:r w:rsidR="006548E3">
        <w:t>/</w:t>
      </w:r>
      <w:r w:rsidR="00954E66">
        <w:t>r</w:t>
      </w:r>
      <w:r w:rsidRPr="00260227">
        <w:t xml:space="preserve">itonavir and </w:t>
      </w:r>
      <w:r w:rsidR="00CC7518">
        <w:t>RBV</w:t>
      </w:r>
      <w:r w:rsidRPr="00260227">
        <w:t xml:space="preserve"> for </w:t>
      </w:r>
      <w:r w:rsidR="00D162B9">
        <w:t>HCV GT4</w:t>
      </w:r>
      <w:r w:rsidRPr="00260227">
        <w:t xml:space="preserve">. In addition to hepatitis C, the </w:t>
      </w:r>
      <w:r w:rsidR="000D419E">
        <w:t xml:space="preserve">subject </w:t>
      </w:r>
      <w:r w:rsidRPr="00260227">
        <w:t>had a relevant medical history of cirrhosis. Concomitant medications included Avanza (mirtazapine), for an unspecified indication. Laboratory values included the following: HCV</w:t>
      </w:r>
      <w:r w:rsidR="00B73EF5">
        <w:t xml:space="preserve"> RNA (baseline):</w:t>
      </w:r>
      <w:r w:rsidR="00CA103B" w:rsidRPr="00CA103B">
        <w:t xml:space="preserve"> 5,4</w:t>
      </w:r>
      <w:r w:rsidR="00B73EF5">
        <w:t>84,600 IU/L; HCV RNA (Week 2): 102,700 IU/L; HCV RNA (Week 4):</w:t>
      </w:r>
      <w:r w:rsidR="00CA103B" w:rsidRPr="00CA103B">
        <w:t xml:space="preserve"> </w:t>
      </w:r>
      <w:r w:rsidR="00B73EF5">
        <w:t>187,300 IU/L; HCV RNA (Week 8):</w:t>
      </w:r>
      <w:r w:rsidR="00CA103B" w:rsidRPr="00CA103B">
        <w:t xml:space="preserve"> 2,444,054 IU/L. The drug regimen was stopped after 63 days (9 weeks).</w:t>
      </w:r>
    </w:p>
    <w:p w:rsidR="00650454" w:rsidRDefault="004F4EB0" w:rsidP="00BB5F55">
      <w:r w:rsidRPr="004F4EB0">
        <w:lastRenderedPageBreak/>
        <w:t xml:space="preserve">The remaining 8 of the 9 reports from the Australian </w:t>
      </w:r>
      <w:r w:rsidR="00AB58BE" w:rsidRPr="00AB58BE">
        <w:t>Patient Named Basis</w:t>
      </w:r>
      <w:r w:rsidRPr="004F4EB0">
        <w:t xml:space="preserve"> program all involved non</w:t>
      </w:r>
      <w:r>
        <w:t>-</w:t>
      </w:r>
      <w:r w:rsidRPr="004F4EB0">
        <w:t>serious events. These 8 non</w:t>
      </w:r>
      <w:r>
        <w:t>-</w:t>
      </w:r>
      <w:r w:rsidRPr="004F4EB0">
        <w:t>serious cases are briefl</w:t>
      </w:r>
      <w:r>
        <w:t>y summari</w:t>
      </w:r>
      <w:r w:rsidR="00AB58BE">
        <w:t>s</w:t>
      </w:r>
      <w:r>
        <w:t>ed in the table below.</w:t>
      </w:r>
    </w:p>
    <w:p w:rsidR="00E35D73" w:rsidRDefault="00E35D73" w:rsidP="00E35D73">
      <w:pPr>
        <w:pStyle w:val="TableTitle"/>
      </w:pPr>
      <w:r>
        <w:t>Table 15:</w:t>
      </w:r>
      <w:r w:rsidRPr="00E17987">
        <w:t xml:space="preserve"> </w:t>
      </w:r>
      <w:r w:rsidR="00942B1A">
        <w:t>AE</w:t>
      </w:r>
      <w:r w:rsidRPr="00E35D73">
        <w:t xml:space="preserve"> details for </w:t>
      </w:r>
      <w:r w:rsidR="00E26902">
        <w:t>n</w:t>
      </w:r>
      <w:r w:rsidRPr="00E35D73">
        <w:t>on-</w:t>
      </w:r>
      <w:r w:rsidR="00E26902">
        <w:t>s</w:t>
      </w:r>
      <w:r w:rsidRPr="00E35D73">
        <w:t xml:space="preserve">erious </w:t>
      </w:r>
      <w:r w:rsidR="00E26902">
        <w:t>r</w:t>
      </w:r>
      <w:r w:rsidRPr="00E35D73">
        <w:t>eports (n</w:t>
      </w:r>
      <w:r>
        <w:t xml:space="preserve"> </w:t>
      </w:r>
      <w:r w:rsidRPr="00E35D73">
        <w:t>=</w:t>
      </w:r>
      <w:r>
        <w:t xml:space="preserve"> </w:t>
      </w:r>
      <w:r w:rsidRPr="00E35D73">
        <w:t>8)</w:t>
      </w:r>
      <w:r>
        <w:t>.</w:t>
      </w:r>
    </w:p>
    <w:p w:rsidR="004F4EB0" w:rsidRDefault="000C2C37" w:rsidP="00BB5F55">
      <w:r>
        <w:rPr>
          <w:noProof/>
          <w:lang w:eastAsia="en-AU"/>
        </w:rPr>
        <w:drawing>
          <wp:inline distT="0" distB="0" distL="0" distR="0" wp14:anchorId="027737D3" wp14:editId="32A55239">
            <wp:extent cx="4168094" cy="3012072"/>
            <wp:effectExtent l="0" t="0" r="4445" b="0"/>
            <wp:docPr id="15" name="Picture 15" descr="Table 15: AE details for non-serious reports (n =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4171852" cy="3014788"/>
                    </a:xfrm>
                    <a:prstGeom prst="rect">
                      <a:avLst/>
                    </a:prstGeom>
                  </pic:spPr>
                </pic:pic>
              </a:graphicData>
            </a:graphic>
          </wp:inline>
        </w:drawing>
      </w:r>
    </w:p>
    <w:p w:rsidR="00AA2981" w:rsidRDefault="00AA2981" w:rsidP="00AA2981">
      <w:pPr>
        <w:pStyle w:val="Heading6"/>
      </w:pPr>
      <w:r w:rsidRPr="00AA2981">
        <w:t>Conclusion</w:t>
      </w:r>
    </w:p>
    <w:p w:rsidR="00D87FCB" w:rsidRDefault="00AA2981" w:rsidP="00BB5F55">
      <w:r w:rsidRPr="00AA2981">
        <w:t xml:space="preserve">No new safety findings were apparent from review of these </w:t>
      </w:r>
      <w:r>
        <w:t>AE</w:t>
      </w:r>
      <w:r w:rsidRPr="00AA2981">
        <w:t xml:space="preserve"> reports from the</w:t>
      </w:r>
      <w:r w:rsidR="001E33CA">
        <w:t xml:space="preserve"> Australian Special Access Scheme </w:t>
      </w:r>
      <w:r w:rsidRPr="00AA2981">
        <w:t>of patient named basis use.</w:t>
      </w:r>
    </w:p>
    <w:p w:rsidR="00307527" w:rsidRDefault="00307527" w:rsidP="00307527">
      <w:pPr>
        <w:pStyle w:val="Heading5"/>
      </w:pPr>
      <w:r>
        <w:t>Specific issue 12</w:t>
      </w:r>
    </w:p>
    <w:p w:rsidR="00307527" w:rsidRPr="00D159F6" w:rsidRDefault="00BB5F55" w:rsidP="00D159F6">
      <w:pPr>
        <w:pStyle w:val="ListBullet"/>
        <w:rPr>
          <w:i/>
        </w:rPr>
      </w:pPr>
      <w:r w:rsidRPr="00D159F6">
        <w:rPr>
          <w:i/>
        </w:rPr>
        <w:t xml:space="preserve">As requested by email: given the post-marketing exposure for 2-DAA + RBV for </w:t>
      </w:r>
      <w:r w:rsidR="00373668">
        <w:rPr>
          <w:i/>
        </w:rPr>
        <w:t>GT</w:t>
      </w:r>
      <w:r w:rsidRPr="00D159F6">
        <w:rPr>
          <w:i/>
        </w:rPr>
        <w:t>4 has not been described in detail in this submission or the</w:t>
      </w:r>
      <w:r w:rsidR="000D419E">
        <w:rPr>
          <w:i/>
        </w:rPr>
        <w:t xml:space="preserve"> clinical evaluation, would AbbV</w:t>
      </w:r>
      <w:r w:rsidRPr="00D159F6">
        <w:rPr>
          <w:i/>
        </w:rPr>
        <w:t xml:space="preserve">ie be able to provide an updated number of patients exposed to </w:t>
      </w:r>
      <w:r w:rsidR="00373668">
        <w:rPr>
          <w:i/>
        </w:rPr>
        <w:t>2-DAA</w:t>
      </w:r>
      <w:r w:rsidRPr="00D159F6">
        <w:rPr>
          <w:i/>
        </w:rPr>
        <w:t xml:space="preserve"> + RBV for </w:t>
      </w:r>
      <w:r w:rsidR="00373668">
        <w:rPr>
          <w:i/>
        </w:rPr>
        <w:t>GT</w:t>
      </w:r>
      <w:r w:rsidRPr="00D159F6">
        <w:rPr>
          <w:i/>
        </w:rPr>
        <w:t xml:space="preserve">4 in clinical trials and if possible an estimated number of post-marketing exposures to </w:t>
      </w:r>
      <w:r w:rsidR="00373668">
        <w:rPr>
          <w:i/>
        </w:rPr>
        <w:t>2-DAA</w:t>
      </w:r>
      <w:r w:rsidRPr="00D159F6">
        <w:rPr>
          <w:i/>
        </w:rPr>
        <w:t xml:space="preserve"> + RBV. The summary should capture both efficacy and safety outcomes</w:t>
      </w:r>
    </w:p>
    <w:p w:rsidR="00307527" w:rsidRDefault="00307527" w:rsidP="00307527">
      <w:pPr>
        <w:pStyle w:val="Heading5"/>
      </w:pPr>
      <w:r>
        <w:t>AbbVie response</w:t>
      </w:r>
    </w:p>
    <w:p w:rsidR="00BC4532" w:rsidRDefault="00BC4532" w:rsidP="00BC4532">
      <w:pPr>
        <w:pStyle w:val="Heading6"/>
      </w:pPr>
      <w:r w:rsidRPr="00BC4532">
        <w:t xml:space="preserve">Exposure to the </w:t>
      </w:r>
      <w:r w:rsidR="00373668">
        <w:t>2-DAA</w:t>
      </w:r>
      <w:r w:rsidRPr="00BC4532">
        <w:t xml:space="preserve"> + RBV regimen in patients with HCV GT4 infec</w:t>
      </w:r>
      <w:r>
        <w:t>tion in AbbVie clinical trials</w:t>
      </w:r>
    </w:p>
    <w:p w:rsidR="00BC4532" w:rsidRDefault="00BC4532" w:rsidP="00CB3641">
      <w:r w:rsidRPr="00BC4532">
        <w:t xml:space="preserve">There is no change to the number of patients exposed to </w:t>
      </w:r>
      <w:r w:rsidR="00373668">
        <w:t>2-DAA</w:t>
      </w:r>
      <w:r w:rsidRPr="00BC4532">
        <w:t xml:space="preserve"> + RBV in AbbVie clinical trials dedicated to HCV GT4. Summaries of patients exposed to </w:t>
      </w:r>
      <w:r w:rsidR="00373668">
        <w:t>2-DAA</w:t>
      </w:r>
      <w:r w:rsidRPr="00BC4532">
        <w:t xml:space="preserve"> + RBV for </w:t>
      </w:r>
      <w:r w:rsidR="00373668">
        <w:t>GT</w:t>
      </w:r>
      <w:r w:rsidRPr="00BC4532">
        <w:t xml:space="preserve">4 in clinical trials ( M13-393, M11-665 [Part 1] and M14-250) with corresponding safety and efficacy were provided in the original </w:t>
      </w:r>
      <w:r w:rsidR="00462920">
        <w:t xml:space="preserve">application submitted on 5 November </w:t>
      </w:r>
      <w:r w:rsidRPr="00BC4532">
        <w:t>2015 and Abb</w:t>
      </w:r>
      <w:r w:rsidR="00F50209">
        <w:t>V</w:t>
      </w:r>
      <w:r w:rsidRPr="00BC4532">
        <w:t xml:space="preserve">ie response to the consolidated </w:t>
      </w:r>
      <w:r w:rsidR="00462920">
        <w:t>S</w:t>
      </w:r>
      <w:r w:rsidRPr="00BC4532">
        <w:t xml:space="preserve">ection 31 request submitted on </w:t>
      </w:r>
      <w:r w:rsidR="00462920">
        <w:t>29 June</w:t>
      </w:r>
      <w:r w:rsidRPr="00BC4532">
        <w:t xml:space="preserve"> 2016, respectively. This information is referenced in the De</w:t>
      </w:r>
      <w:r w:rsidR="00BA03C9">
        <w:t>legate’</w:t>
      </w:r>
      <w:r w:rsidR="00462920">
        <w:t>s Overview</w:t>
      </w:r>
      <w:r w:rsidRPr="00BC4532">
        <w:t>. M11-665 Part 2 (2</w:t>
      </w:r>
      <w:r w:rsidR="0098353B">
        <w:t>-</w:t>
      </w:r>
      <w:r w:rsidRPr="00BC4532">
        <w:t>DAA + RBV for 24 weeks) has enrolled 64 subjects with safety and eff</w:t>
      </w:r>
      <w:r>
        <w:t>icacy evaluation still ongoing.</w:t>
      </w:r>
    </w:p>
    <w:p w:rsidR="00BC4532" w:rsidRDefault="00BC4532" w:rsidP="00BC4532">
      <w:pPr>
        <w:pStyle w:val="Heading6"/>
      </w:pPr>
      <w:r w:rsidRPr="00BC4532">
        <w:t xml:space="preserve">Post-marketing </w:t>
      </w:r>
      <w:r w:rsidR="003F1B6A">
        <w:t>e</w:t>
      </w:r>
      <w:r w:rsidRPr="00BC4532">
        <w:t xml:space="preserve">xposure of the AbbVie </w:t>
      </w:r>
      <w:r w:rsidR="00373668">
        <w:t>2-DAA</w:t>
      </w:r>
      <w:r w:rsidRPr="00BC4532">
        <w:t xml:space="preserve"> + RBV regimen in p</w:t>
      </w:r>
      <w:r>
        <w:t>atients with HCV GT4 infection</w:t>
      </w:r>
    </w:p>
    <w:p w:rsidR="00BC4532" w:rsidRDefault="00BC4532" w:rsidP="00CB3641">
      <w:r w:rsidRPr="00BC4532">
        <w:t xml:space="preserve">Limited data are available </w:t>
      </w:r>
      <w:r w:rsidR="004779BB">
        <w:t>regarding utilization of AbbVie’</w:t>
      </w:r>
      <w:r w:rsidRPr="00BC4532">
        <w:t>s 2</w:t>
      </w:r>
      <w:r w:rsidR="0098353B">
        <w:t>-</w:t>
      </w:r>
      <w:r w:rsidRPr="00BC4532">
        <w:t>DAA regimen with RBV. AbbVie</w:t>
      </w:r>
      <w:r w:rsidR="0098353B">
        <w:t>’</w:t>
      </w:r>
      <w:r w:rsidRPr="00BC4532">
        <w:t>s 2</w:t>
      </w:r>
      <w:r w:rsidR="0098353B">
        <w:t>-</w:t>
      </w:r>
      <w:r w:rsidRPr="00BC4532">
        <w:t xml:space="preserve">DAA regimen, in the absence of co-administered </w:t>
      </w:r>
      <w:proofErr w:type="spellStart"/>
      <w:r w:rsidRPr="00BC4532">
        <w:t>dasabuvir</w:t>
      </w:r>
      <w:proofErr w:type="spellEnd"/>
      <w:r w:rsidRPr="00BC4532">
        <w:t>, has been distributed worldwide for a total of 43,045 12-week patient treatment courses from 25 November 2014 through 31 July 2016. A DAA utili</w:t>
      </w:r>
      <w:r w:rsidR="000B082C">
        <w:t>s</w:t>
      </w:r>
      <w:r w:rsidRPr="00BC4532">
        <w:t xml:space="preserve">ation study was performed by IMS for AbbVie using prescription records from the Germany Longitudinal Prescription database </w:t>
      </w:r>
      <w:r w:rsidRPr="00BC4532">
        <w:lastRenderedPageBreak/>
        <w:t>(</w:t>
      </w:r>
      <w:proofErr w:type="spellStart"/>
      <w:r w:rsidRPr="00BC4532">
        <w:t>LRx</w:t>
      </w:r>
      <w:proofErr w:type="spellEnd"/>
      <w:r w:rsidRPr="00BC4532">
        <w:t>). From 19 December 2014 through 31 May 2016, 264 patients were identified as receiving AbbVie</w:t>
      </w:r>
      <w:r w:rsidR="000B12E7">
        <w:t>’</w:t>
      </w:r>
      <w:r w:rsidRPr="00BC4532">
        <w:t>s 2</w:t>
      </w:r>
      <w:r w:rsidR="0098353B">
        <w:t>-</w:t>
      </w:r>
      <w:r w:rsidRPr="00BC4532">
        <w:t>DAA regimen, with 92% of those being co-prescribed RBV.</w:t>
      </w:r>
    </w:p>
    <w:p w:rsidR="00E05F19" w:rsidRDefault="00E05F19" w:rsidP="00CB3641">
      <w:r w:rsidRPr="00E05F19">
        <w:t>There are no corresponding efficacy and safety data available for this utili</w:t>
      </w:r>
      <w:r w:rsidR="00861E4F">
        <w:t>s</w:t>
      </w:r>
      <w:r w:rsidRPr="00E05F19">
        <w:t xml:space="preserve">ation in Australia for </w:t>
      </w:r>
      <w:r w:rsidR="000B12E7">
        <w:t>the co-administration of AbbVie’</w:t>
      </w:r>
      <w:r w:rsidRPr="00E05F19">
        <w:t>s 2</w:t>
      </w:r>
      <w:r w:rsidR="00A57B4F">
        <w:t>-</w:t>
      </w:r>
      <w:r w:rsidRPr="00E05F19">
        <w:t>DAA with RBV.</w:t>
      </w:r>
    </w:p>
    <w:p w:rsidR="008E7846" w:rsidRDefault="008E7846" w:rsidP="008E7846">
      <w:pPr>
        <w:pStyle w:val="Heading4"/>
      </w:pPr>
      <w:r>
        <w:t xml:space="preserve">Advisory Committee </w:t>
      </w:r>
      <w:r w:rsidR="00E63418">
        <w:t>c</w:t>
      </w:r>
      <w:r>
        <w:t>onsiderations</w:t>
      </w:r>
    </w:p>
    <w:p w:rsidR="000E30AA" w:rsidRPr="005E3BB5" w:rsidRDefault="00D23139" w:rsidP="000E30AA">
      <w:pPr>
        <w:rPr>
          <w:rFonts w:cs="Calibri"/>
          <w:b/>
        </w:rPr>
      </w:pPr>
      <w:r w:rsidRPr="00D23139">
        <w:rPr>
          <w:bCs/>
        </w:rPr>
        <w:t xml:space="preserve">The Advisory Committee on Prescription Medicines (ACPM), </w:t>
      </w:r>
      <w:r w:rsidR="000E30AA" w:rsidRPr="005E3BB5">
        <w:rPr>
          <w:rFonts w:cs="Calibri"/>
        </w:rPr>
        <w:t xml:space="preserve">taking into account the submitted evidence of efficacy, safety and quality, agreed with the </w:t>
      </w:r>
      <w:r w:rsidR="000E30AA">
        <w:rPr>
          <w:rFonts w:cs="Calibri"/>
        </w:rPr>
        <w:t>D</w:t>
      </w:r>
      <w:r w:rsidR="000E30AA" w:rsidRPr="005E3BB5">
        <w:rPr>
          <w:rFonts w:cs="Calibri"/>
        </w:rPr>
        <w:t xml:space="preserve">elegate and considered </w:t>
      </w:r>
      <w:proofErr w:type="spellStart"/>
      <w:r w:rsidR="000A6B6E">
        <w:t>Technivie</w:t>
      </w:r>
      <w:proofErr w:type="spellEnd"/>
      <w:r w:rsidR="000A6B6E">
        <w:t xml:space="preserve"> </w:t>
      </w:r>
      <w:r w:rsidR="008C2784">
        <w:rPr>
          <w:bCs/>
          <w:noProof/>
        </w:rPr>
        <w:t>FDC</w:t>
      </w:r>
      <w:r w:rsidR="000E30AA" w:rsidRPr="005E3BB5">
        <w:rPr>
          <w:bCs/>
          <w:noProof/>
        </w:rPr>
        <w:t xml:space="preserve"> tablet</w:t>
      </w:r>
      <w:r w:rsidR="000E30AA" w:rsidRPr="005E3BB5">
        <w:rPr>
          <w:bCs/>
        </w:rPr>
        <w:t xml:space="preserve"> containing </w:t>
      </w:r>
      <w:r w:rsidR="000E30AA" w:rsidRPr="005E3BB5">
        <w:rPr>
          <w:bCs/>
          <w:noProof/>
        </w:rPr>
        <w:t>75</w:t>
      </w:r>
      <w:r w:rsidR="00E371AA">
        <w:rPr>
          <w:bCs/>
          <w:noProof/>
        </w:rPr>
        <w:t xml:space="preserve"> </w:t>
      </w:r>
      <w:r w:rsidR="000E30AA" w:rsidRPr="005E3BB5">
        <w:rPr>
          <w:bCs/>
          <w:noProof/>
        </w:rPr>
        <w:t>mg/50</w:t>
      </w:r>
      <w:r w:rsidR="00E371AA">
        <w:rPr>
          <w:bCs/>
          <w:noProof/>
        </w:rPr>
        <w:t xml:space="preserve"> </w:t>
      </w:r>
      <w:r w:rsidR="000E30AA" w:rsidRPr="005E3BB5">
        <w:rPr>
          <w:bCs/>
          <w:noProof/>
        </w:rPr>
        <w:t>mg/12.5</w:t>
      </w:r>
      <w:r w:rsidR="00E371AA">
        <w:rPr>
          <w:bCs/>
          <w:noProof/>
        </w:rPr>
        <w:t xml:space="preserve"> </w:t>
      </w:r>
      <w:r w:rsidR="000E30AA" w:rsidRPr="005E3BB5">
        <w:rPr>
          <w:bCs/>
          <w:noProof/>
        </w:rPr>
        <w:t>mg</w:t>
      </w:r>
      <w:r w:rsidR="000E30AA" w:rsidRPr="005E3BB5">
        <w:rPr>
          <w:bCs/>
        </w:rPr>
        <w:t xml:space="preserve"> of </w:t>
      </w:r>
      <w:r w:rsidR="00BC4ED7">
        <w:rPr>
          <w:bCs/>
          <w:noProof/>
        </w:rPr>
        <w:t>p</w:t>
      </w:r>
      <w:r w:rsidR="00CB26C0">
        <w:rPr>
          <w:bCs/>
          <w:noProof/>
        </w:rPr>
        <w:t>aritaprevir/</w:t>
      </w:r>
      <w:r w:rsidR="00BC4ED7">
        <w:rPr>
          <w:bCs/>
          <w:noProof/>
        </w:rPr>
        <w:t>r</w:t>
      </w:r>
      <w:r w:rsidR="00CB26C0">
        <w:rPr>
          <w:bCs/>
          <w:noProof/>
        </w:rPr>
        <w:t>itonavir/</w:t>
      </w:r>
      <w:r w:rsidR="00BC4ED7">
        <w:rPr>
          <w:bCs/>
          <w:noProof/>
        </w:rPr>
        <w:t>o</w:t>
      </w:r>
      <w:r w:rsidR="000E30AA" w:rsidRPr="005E3BB5">
        <w:rPr>
          <w:bCs/>
          <w:noProof/>
        </w:rPr>
        <w:t>mbitasvir</w:t>
      </w:r>
      <w:r w:rsidR="000E30AA" w:rsidRPr="005E3BB5">
        <w:rPr>
          <w:b/>
          <w:bCs/>
        </w:rPr>
        <w:t xml:space="preserve"> </w:t>
      </w:r>
      <w:r w:rsidR="000E30AA" w:rsidRPr="005E3BB5">
        <w:rPr>
          <w:rFonts w:cs="Calibri"/>
        </w:rPr>
        <w:t>to have an overall positive benefit</w:t>
      </w:r>
      <w:r w:rsidR="00CB26C0">
        <w:rPr>
          <w:rFonts w:cs="Calibri"/>
        </w:rPr>
        <w:t>-</w:t>
      </w:r>
      <w:r w:rsidR="000E30AA" w:rsidRPr="005E3BB5">
        <w:rPr>
          <w:rFonts w:cs="Calibri"/>
        </w:rPr>
        <w:t xml:space="preserve">risk profile for the </w:t>
      </w:r>
      <w:r w:rsidR="000E30AA">
        <w:rPr>
          <w:rFonts w:cs="Calibri"/>
        </w:rPr>
        <w:t>proposed</w:t>
      </w:r>
      <w:r w:rsidR="000E30AA" w:rsidRPr="005E3BB5">
        <w:rPr>
          <w:rFonts w:cs="Calibri"/>
        </w:rPr>
        <w:t xml:space="preserve"> indication</w:t>
      </w:r>
      <w:r w:rsidR="00E371AA">
        <w:rPr>
          <w:rFonts w:cs="Calibri"/>
          <w:b/>
        </w:rPr>
        <w:t>:</w:t>
      </w:r>
    </w:p>
    <w:p w:rsidR="000E30AA" w:rsidRPr="00E40AAB" w:rsidRDefault="00D91ACE" w:rsidP="00E40AAB">
      <w:pPr>
        <w:ind w:left="720"/>
        <w:rPr>
          <w:i/>
        </w:rPr>
      </w:pPr>
      <w:proofErr w:type="spellStart"/>
      <w:r w:rsidRPr="00E40AAB">
        <w:rPr>
          <w:i/>
        </w:rPr>
        <w:t>Technivie</w:t>
      </w:r>
      <w:proofErr w:type="spellEnd"/>
      <w:r w:rsidRPr="00E40AAB">
        <w:rPr>
          <w:i/>
        </w:rPr>
        <w:t xml:space="preserve"> </w:t>
      </w:r>
      <w:r w:rsidR="000E30AA" w:rsidRPr="00E40AAB">
        <w:rPr>
          <w:i/>
        </w:rPr>
        <w:t xml:space="preserve">is indicated in combination with </w:t>
      </w:r>
      <w:r w:rsidR="00CC7518">
        <w:rPr>
          <w:i/>
        </w:rPr>
        <w:t>RBV</w:t>
      </w:r>
      <w:r w:rsidR="000E30AA" w:rsidRPr="00E40AAB">
        <w:rPr>
          <w:i/>
        </w:rPr>
        <w:t xml:space="preserve"> for the treatment of adult patients with genotype 4 chronic hepatitis C virus (HCV) infection.</w:t>
      </w:r>
    </w:p>
    <w:p w:rsidR="000E30AA" w:rsidRPr="00237093" w:rsidRDefault="00DE6D61" w:rsidP="00237093">
      <w:r w:rsidRPr="00237093">
        <w:t xml:space="preserve">In </w:t>
      </w:r>
      <w:r w:rsidR="00B74185">
        <w:t xml:space="preserve">making this recommendation, </w:t>
      </w:r>
      <w:r w:rsidRPr="00237093">
        <w:t>ACPM:</w:t>
      </w:r>
    </w:p>
    <w:p w:rsidR="000E30AA" w:rsidRPr="00237093" w:rsidRDefault="001A0ECA" w:rsidP="00237093">
      <w:pPr>
        <w:pStyle w:val="ListBullet"/>
      </w:pPr>
      <w:r>
        <w:t>N</w:t>
      </w:r>
      <w:r w:rsidR="000E30AA" w:rsidRPr="00237093">
        <w:t xml:space="preserve">oted that evidence regarding safety and efficacy for the treatment of </w:t>
      </w:r>
      <w:r w:rsidR="00291036">
        <w:t>HCV GT4</w:t>
      </w:r>
      <w:r w:rsidR="000E30AA" w:rsidRPr="00237093">
        <w:t xml:space="preserve"> infection was sufficient to support registration.</w:t>
      </w:r>
    </w:p>
    <w:p w:rsidR="000E30AA" w:rsidRPr="00237093" w:rsidRDefault="001A0ECA" w:rsidP="00237093">
      <w:pPr>
        <w:pStyle w:val="ListBullet"/>
      </w:pPr>
      <w:r>
        <w:t>E</w:t>
      </w:r>
      <w:r w:rsidR="000E30AA" w:rsidRPr="00237093">
        <w:t xml:space="preserve">xpressed concern regarding multiple </w:t>
      </w:r>
      <w:r w:rsidR="00D83618">
        <w:t>DDIs</w:t>
      </w:r>
      <w:r w:rsidR="000E30AA" w:rsidRPr="00237093">
        <w:t xml:space="preserve"> with </w:t>
      </w:r>
      <w:proofErr w:type="spellStart"/>
      <w:r w:rsidR="006959E0">
        <w:t>Technivie</w:t>
      </w:r>
      <w:proofErr w:type="spellEnd"/>
      <w:r w:rsidR="000E30AA" w:rsidRPr="00237093">
        <w:t>.</w:t>
      </w:r>
    </w:p>
    <w:p w:rsidR="000E30AA" w:rsidRPr="00237093" w:rsidRDefault="000E30AA" w:rsidP="00237093">
      <w:pPr>
        <w:pStyle w:val="ListBullet"/>
      </w:pPr>
      <w:r w:rsidRPr="00237093">
        <w:t xml:space="preserve">The committee advised on the need for prescriber education to ensure that </w:t>
      </w:r>
      <w:r w:rsidR="00CC7518">
        <w:t>RBV</w:t>
      </w:r>
      <w:r w:rsidRPr="00237093">
        <w:t xml:space="preserve"> is given with </w:t>
      </w:r>
      <w:proofErr w:type="spellStart"/>
      <w:r w:rsidR="006959E0">
        <w:t>Technivie</w:t>
      </w:r>
      <w:proofErr w:type="spellEnd"/>
      <w:r w:rsidRPr="00237093">
        <w:t>.</w:t>
      </w:r>
    </w:p>
    <w:p w:rsidR="000E30AA" w:rsidRPr="00237093" w:rsidRDefault="000E30AA" w:rsidP="00237093">
      <w:pPr>
        <w:pStyle w:val="Heading5"/>
      </w:pPr>
      <w:r w:rsidRPr="00237093">
        <w:t>Proposed conditions of registration</w:t>
      </w:r>
    </w:p>
    <w:p w:rsidR="000E30AA" w:rsidRPr="00237093" w:rsidRDefault="000E30AA" w:rsidP="00237093">
      <w:r w:rsidRPr="00237093">
        <w:t>ACPM agreed with the Delegate on the proposed conditions of registration.</w:t>
      </w:r>
    </w:p>
    <w:p w:rsidR="000E30AA" w:rsidRPr="00237093" w:rsidRDefault="000E30AA" w:rsidP="00237093">
      <w:pPr>
        <w:pStyle w:val="Heading5"/>
      </w:pPr>
      <w:r w:rsidRPr="00237093">
        <w:t xml:space="preserve">Proposed </w:t>
      </w:r>
      <w:r w:rsidR="00237093">
        <w:t>PI/CMI</w:t>
      </w:r>
      <w:r w:rsidRPr="00237093">
        <w:t xml:space="preserve"> amendments</w:t>
      </w:r>
    </w:p>
    <w:p w:rsidR="000E30AA" w:rsidRPr="00237093" w:rsidRDefault="000E30AA" w:rsidP="00237093">
      <w:r w:rsidRPr="00237093">
        <w:t>ACPM agreed with the Delegate to the proposed amendments to the Product Information (PI) and Consumer Medicine Information (CMI) and specifically advised on the inclusion of the following:</w:t>
      </w:r>
    </w:p>
    <w:p w:rsidR="000E30AA" w:rsidRPr="00237093" w:rsidRDefault="004A64F4" w:rsidP="00237093">
      <w:pPr>
        <w:pStyle w:val="ListBullet"/>
      </w:pPr>
      <w:r>
        <w:t>A</w:t>
      </w:r>
      <w:r w:rsidR="000E30AA" w:rsidRPr="00237093">
        <w:t xml:space="preserve"> statement in the </w:t>
      </w:r>
      <w:r w:rsidR="00AD2507">
        <w:t>‘</w:t>
      </w:r>
      <w:r w:rsidR="000E30AA" w:rsidRPr="00237093">
        <w:t>Interactions</w:t>
      </w:r>
      <w:r w:rsidR="00AD2507">
        <w:t>’</w:t>
      </w:r>
      <w:r w:rsidR="000E30AA" w:rsidRPr="00237093">
        <w:t xml:space="preserve"> with other medicines</w:t>
      </w:r>
      <w:r w:rsidR="00AD2507">
        <w:t xml:space="preserve"> section </w:t>
      </w:r>
      <w:r w:rsidR="000E30AA" w:rsidRPr="00237093">
        <w:t>of the PI and relevant sections of the CMI to include atorvastatin.</w:t>
      </w:r>
    </w:p>
    <w:p w:rsidR="000E30AA" w:rsidRPr="00D724FC" w:rsidRDefault="00EB0B89" w:rsidP="00EB0B89">
      <w:pPr>
        <w:pStyle w:val="Heading5"/>
        <w:rPr>
          <w:szCs w:val="22"/>
          <w:highlight w:val="yellow"/>
        </w:rPr>
      </w:pPr>
      <w:r>
        <w:t>Specific a</w:t>
      </w:r>
      <w:r w:rsidR="000E30AA" w:rsidRPr="00D724FC">
        <w:t>dvice</w:t>
      </w:r>
    </w:p>
    <w:p w:rsidR="000E30AA" w:rsidRPr="00CA04F9" w:rsidRDefault="000E30AA" w:rsidP="00CA04F9">
      <w:pPr>
        <w:rPr>
          <w:highlight w:val="yellow"/>
        </w:rPr>
      </w:pPr>
      <w:r w:rsidRPr="00CA04F9">
        <w:t>ACPM advised the following in response to the Delegate’s specific questions on this submission:</w:t>
      </w:r>
    </w:p>
    <w:p w:rsidR="000E30AA" w:rsidRPr="00CA04F9" w:rsidRDefault="000E30AA" w:rsidP="00CA04F9">
      <w:pPr>
        <w:pStyle w:val="ListBullet"/>
        <w:rPr>
          <w:i/>
        </w:rPr>
      </w:pPr>
      <w:r w:rsidRPr="00CA04F9">
        <w:rPr>
          <w:i/>
        </w:rPr>
        <w:t xml:space="preserve">There is variation in the presentation of production information for </w:t>
      </w:r>
      <w:proofErr w:type="spellStart"/>
      <w:r w:rsidR="006959E0">
        <w:rPr>
          <w:i/>
        </w:rPr>
        <w:t>Technivie</w:t>
      </w:r>
      <w:proofErr w:type="spellEnd"/>
      <w:r w:rsidRPr="00CA04F9">
        <w:rPr>
          <w:i/>
        </w:rPr>
        <w:t xml:space="preserve">, compared with overseas regulators and compared to </w:t>
      </w:r>
      <w:proofErr w:type="spellStart"/>
      <w:r w:rsidR="006959E0">
        <w:rPr>
          <w:i/>
        </w:rPr>
        <w:t>Viekira</w:t>
      </w:r>
      <w:proofErr w:type="spellEnd"/>
      <w:r w:rsidR="006959E0">
        <w:rPr>
          <w:i/>
        </w:rPr>
        <w:t xml:space="preserve"> Pak</w:t>
      </w:r>
      <w:r w:rsidRPr="00CA04F9">
        <w:rPr>
          <w:i/>
        </w:rPr>
        <w:t xml:space="preserve"> and </w:t>
      </w:r>
      <w:proofErr w:type="spellStart"/>
      <w:r w:rsidR="006959E0">
        <w:rPr>
          <w:i/>
        </w:rPr>
        <w:t>Viekira</w:t>
      </w:r>
      <w:proofErr w:type="spellEnd"/>
      <w:r w:rsidR="006959E0">
        <w:rPr>
          <w:i/>
        </w:rPr>
        <w:t xml:space="preserve"> Pak</w:t>
      </w:r>
      <w:r w:rsidRPr="00CA04F9">
        <w:rPr>
          <w:i/>
        </w:rPr>
        <w:t xml:space="preserve"> RBV. The Australian PI for </w:t>
      </w:r>
      <w:proofErr w:type="spellStart"/>
      <w:r w:rsidR="006959E0">
        <w:rPr>
          <w:i/>
        </w:rPr>
        <w:t>Technivie</w:t>
      </w:r>
      <w:proofErr w:type="spellEnd"/>
      <w:r w:rsidRPr="00CA04F9">
        <w:rPr>
          <w:i/>
        </w:rPr>
        <w:t xml:space="preserve"> is proposed as a stand-alone product information, similar to the US and Canada. Please comment on the presentation of the proposed PI and the potential for market confusion with </w:t>
      </w:r>
      <w:proofErr w:type="spellStart"/>
      <w:r w:rsidR="006959E0">
        <w:rPr>
          <w:i/>
        </w:rPr>
        <w:t>Viekira</w:t>
      </w:r>
      <w:proofErr w:type="spellEnd"/>
      <w:r w:rsidR="006959E0">
        <w:rPr>
          <w:i/>
        </w:rPr>
        <w:t xml:space="preserve"> Pak</w:t>
      </w:r>
      <w:r w:rsidRPr="00CA04F9">
        <w:rPr>
          <w:i/>
        </w:rPr>
        <w:t xml:space="preserve"> and </w:t>
      </w:r>
      <w:proofErr w:type="spellStart"/>
      <w:r w:rsidR="006959E0">
        <w:rPr>
          <w:i/>
        </w:rPr>
        <w:t>Viekira</w:t>
      </w:r>
      <w:proofErr w:type="spellEnd"/>
      <w:r w:rsidR="006959E0">
        <w:rPr>
          <w:i/>
        </w:rPr>
        <w:t xml:space="preserve"> Pak</w:t>
      </w:r>
      <w:r w:rsidRPr="00CA04F9">
        <w:rPr>
          <w:i/>
        </w:rPr>
        <w:t xml:space="preserve"> RBV in Australia.</w:t>
      </w:r>
    </w:p>
    <w:p w:rsidR="000E30AA" w:rsidRPr="00CA04F9" w:rsidRDefault="000E30AA" w:rsidP="00CA04F9">
      <w:r w:rsidRPr="00CA04F9">
        <w:t xml:space="preserve">ACPM considered that </w:t>
      </w:r>
      <w:proofErr w:type="spellStart"/>
      <w:r w:rsidR="006959E0">
        <w:t>Technivie</w:t>
      </w:r>
      <w:proofErr w:type="spellEnd"/>
      <w:r w:rsidRPr="00CA04F9">
        <w:t xml:space="preserve"> is sufficiently different to </w:t>
      </w:r>
      <w:proofErr w:type="spellStart"/>
      <w:r w:rsidR="006959E0">
        <w:t>Viekira</w:t>
      </w:r>
      <w:proofErr w:type="spellEnd"/>
      <w:r w:rsidR="006959E0">
        <w:t xml:space="preserve"> Pak</w:t>
      </w:r>
      <w:r w:rsidRPr="00CA04F9">
        <w:t xml:space="preserve"> and confusion is unlikely. However, the committee advised that given that prescribers may not necessarily be highly experienced, prescriber education will be required to ensure </w:t>
      </w:r>
      <w:r w:rsidR="00CC7518">
        <w:t>RBV</w:t>
      </w:r>
      <w:r w:rsidRPr="00CA04F9">
        <w:t xml:space="preserve"> is not inadvertently omitted.</w:t>
      </w:r>
    </w:p>
    <w:p w:rsidR="000E30AA" w:rsidRPr="00CA04F9" w:rsidRDefault="006959E0" w:rsidP="00CA04F9">
      <w:pPr>
        <w:pStyle w:val="ListBullet"/>
        <w:rPr>
          <w:i/>
        </w:rPr>
      </w:pPr>
      <w:proofErr w:type="spellStart"/>
      <w:r>
        <w:rPr>
          <w:i/>
        </w:rPr>
        <w:t>Technivie</w:t>
      </w:r>
      <w:proofErr w:type="spellEnd"/>
      <w:r w:rsidR="000E30AA" w:rsidRPr="00CA04F9">
        <w:rPr>
          <w:i/>
        </w:rPr>
        <w:t xml:space="preserve"> will not be packaged with RBV but is recommended to given with </w:t>
      </w:r>
      <w:r w:rsidR="00CC7518">
        <w:rPr>
          <w:i/>
        </w:rPr>
        <w:t>RBV</w:t>
      </w:r>
      <w:r w:rsidR="000E30AA" w:rsidRPr="00CA04F9">
        <w:rPr>
          <w:i/>
        </w:rPr>
        <w:t xml:space="preserve">, as per the indication. Please comment of the adequacy of the </w:t>
      </w:r>
      <w:proofErr w:type="spellStart"/>
      <w:r>
        <w:rPr>
          <w:i/>
        </w:rPr>
        <w:t>Technivie</w:t>
      </w:r>
      <w:proofErr w:type="spellEnd"/>
      <w:r w:rsidR="000E30AA" w:rsidRPr="00CA04F9">
        <w:rPr>
          <w:i/>
        </w:rPr>
        <w:t xml:space="preserve"> PI with respect to information regarding potential risks associated with </w:t>
      </w:r>
      <w:r w:rsidR="00CC7518">
        <w:rPr>
          <w:i/>
        </w:rPr>
        <w:t>RBV</w:t>
      </w:r>
      <w:r w:rsidR="000E30AA" w:rsidRPr="00CA04F9">
        <w:rPr>
          <w:i/>
        </w:rPr>
        <w:t>.</w:t>
      </w:r>
    </w:p>
    <w:p w:rsidR="000E30AA" w:rsidRPr="00CA04F9" w:rsidRDefault="000E30AA" w:rsidP="00CA04F9">
      <w:r w:rsidRPr="00CA04F9">
        <w:t xml:space="preserve">ACPM expressed concern that </w:t>
      </w:r>
      <w:proofErr w:type="spellStart"/>
      <w:r w:rsidR="006959E0">
        <w:t>Technivie</w:t>
      </w:r>
      <w:proofErr w:type="spellEnd"/>
      <w:r w:rsidRPr="00CA04F9">
        <w:t xml:space="preserve"> will not be packaged with </w:t>
      </w:r>
      <w:r w:rsidR="00CC7518">
        <w:t>RBV</w:t>
      </w:r>
      <w:r w:rsidR="00B74185">
        <w:t xml:space="preserve">. </w:t>
      </w:r>
      <w:r w:rsidRPr="00CA04F9">
        <w:t xml:space="preserve">ACPM also noted that the sponsor has now included the risks associated with </w:t>
      </w:r>
      <w:r w:rsidR="00CC7518">
        <w:t>RBV</w:t>
      </w:r>
      <w:r w:rsidRPr="00CA04F9">
        <w:t xml:space="preserve"> combination treatment highlighting pregnancy issues in the updated PI. Information on pregnancy class includes </w:t>
      </w:r>
      <w:r w:rsidR="00CC7518">
        <w:lastRenderedPageBreak/>
        <w:t>RBV</w:t>
      </w:r>
      <w:r w:rsidRPr="00CA04F9">
        <w:t xml:space="preserve"> </w:t>
      </w:r>
      <w:r w:rsidR="00861E4F">
        <w:t xml:space="preserve">Pregnancy </w:t>
      </w:r>
      <w:r w:rsidR="00745A42">
        <w:t>C</w:t>
      </w:r>
      <w:r w:rsidRPr="00CA04F9">
        <w:t>ategory X.</w:t>
      </w:r>
      <w:r w:rsidR="00861E4F">
        <w:rPr>
          <w:rStyle w:val="FootnoteReference"/>
        </w:rPr>
        <w:footnoteReference w:id="5"/>
      </w:r>
      <w:r w:rsidR="00861E4F">
        <w:t xml:space="preserve"> </w:t>
      </w:r>
      <w:r w:rsidRPr="00CA04F9">
        <w:t>ACPM advised that prescriber education will be required and information regarding potential risks should be included in CMI.</w:t>
      </w:r>
    </w:p>
    <w:p w:rsidR="000E30AA" w:rsidRPr="00CA04F9" w:rsidRDefault="000E30AA" w:rsidP="00CA04F9">
      <w:pPr>
        <w:pStyle w:val="ListBullet"/>
        <w:rPr>
          <w:i/>
        </w:rPr>
      </w:pPr>
      <w:r w:rsidRPr="00CA04F9">
        <w:rPr>
          <w:i/>
        </w:rPr>
        <w:t xml:space="preserve">The adequacy and clarity of the safety and </w:t>
      </w:r>
      <w:r w:rsidR="00D83618">
        <w:rPr>
          <w:i/>
        </w:rPr>
        <w:t>DDI</w:t>
      </w:r>
      <w:r w:rsidRPr="00CA04F9">
        <w:rPr>
          <w:i/>
        </w:rPr>
        <w:t xml:space="preserve"> information of the PI, noting the presentation of overseas PI, and the </w:t>
      </w:r>
      <w:proofErr w:type="spellStart"/>
      <w:r w:rsidR="006959E0">
        <w:rPr>
          <w:i/>
        </w:rPr>
        <w:t>Viekira</w:t>
      </w:r>
      <w:proofErr w:type="spellEnd"/>
      <w:r w:rsidR="006959E0">
        <w:rPr>
          <w:i/>
        </w:rPr>
        <w:t xml:space="preserve"> Pak</w:t>
      </w:r>
      <w:r w:rsidRPr="00CA04F9">
        <w:rPr>
          <w:i/>
        </w:rPr>
        <w:t xml:space="preserve"> RBV PI.</w:t>
      </w:r>
    </w:p>
    <w:p w:rsidR="000E30AA" w:rsidRPr="00CA04F9" w:rsidRDefault="000E30AA" w:rsidP="00CA04F9">
      <w:r w:rsidRPr="00CA04F9">
        <w:t xml:space="preserve">ACPM was of the view that updated version of the </w:t>
      </w:r>
      <w:proofErr w:type="spellStart"/>
      <w:r w:rsidR="006959E0">
        <w:t>Technivie</w:t>
      </w:r>
      <w:proofErr w:type="spellEnd"/>
      <w:r w:rsidRPr="00CA04F9">
        <w:t xml:space="preserve"> PI was in line with </w:t>
      </w:r>
      <w:proofErr w:type="spellStart"/>
      <w:r w:rsidR="006959E0">
        <w:t>Viekira</w:t>
      </w:r>
      <w:proofErr w:type="spellEnd"/>
      <w:r w:rsidR="006959E0">
        <w:t xml:space="preserve"> Pak</w:t>
      </w:r>
      <w:r w:rsidRPr="00CA04F9">
        <w:t xml:space="preserve"> RBV. The committee advised to include information regarding </w:t>
      </w:r>
      <w:r w:rsidR="00D83618">
        <w:t xml:space="preserve">DDIs </w:t>
      </w:r>
      <w:r w:rsidRPr="00CA04F9">
        <w:t>with atorvastatin.</w:t>
      </w:r>
    </w:p>
    <w:p w:rsidR="000E30AA" w:rsidRPr="00CA04F9" w:rsidRDefault="000E30AA" w:rsidP="00CA04F9">
      <w:pPr>
        <w:pStyle w:val="ListBullet"/>
        <w:rPr>
          <w:i/>
        </w:rPr>
      </w:pPr>
      <w:r w:rsidRPr="00CA04F9">
        <w:rPr>
          <w:i/>
        </w:rPr>
        <w:t xml:space="preserve">The wording of the indication. The proposed indication is for the treatment of patients with genotype 4 chronic hepatitis C virus (HCV) infection in combination with </w:t>
      </w:r>
      <w:r w:rsidR="00CC7518">
        <w:rPr>
          <w:i/>
        </w:rPr>
        <w:t>RBV</w:t>
      </w:r>
      <w:r w:rsidRPr="00CA04F9">
        <w:rPr>
          <w:i/>
        </w:rPr>
        <w:t>.</w:t>
      </w:r>
    </w:p>
    <w:p w:rsidR="009C0A96" w:rsidRDefault="000E30AA" w:rsidP="00CA04F9">
      <w:r w:rsidRPr="00CA04F9">
        <w:t>ACPM agreed with the changes in the wording of the indication made by the sponsor, which were suggested in clinical evaluation report:</w:t>
      </w:r>
    </w:p>
    <w:p w:rsidR="009C0A96" w:rsidRPr="009C0A96" w:rsidRDefault="006959E0" w:rsidP="009C0A96">
      <w:pPr>
        <w:ind w:left="720"/>
        <w:rPr>
          <w:i/>
        </w:rPr>
      </w:pPr>
      <w:proofErr w:type="spellStart"/>
      <w:r>
        <w:rPr>
          <w:i/>
        </w:rPr>
        <w:t>Technivie</w:t>
      </w:r>
      <w:proofErr w:type="spellEnd"/>
      <w:r w:rsidR="000E30AA" w:rsidRPr="009C0A96">
        <w:rPr>
          <w:i/>
        </w:rPr>
        <w:t xml:space="preserve"> is indicated in combination with ribavirin for the treatment of adult patients with genotype 4 chronic hepatitis C virus (HCV) infection.</w:t>
      </w:r>
    </w:p>
    <w:p w:rsidR="000E30AA" w:rsidRPr="00CA04F9" w:rsidRDefault="000E30AA" w:rsidP="00CA04F9">
      <w:r w:rsidRPr="00CA04F9">
        <w:t>Data provided from the AGATE-1 and AGATE-2 studies were sufficient to extend the indication to patients with compensated cirrhosis.</w:t>
      </w:r>
    </w:p>
    <w:p w:rsidR="000E30AA" w:rsidRPr="00CA04F9" w:rsidRDefault="000E30AA" w:rsidP="00CA04F9">
      <w:r w:rsidRPr="00CA04F9">
        <w:t xml:space="preserve">ACPM advised that implementation by the sponsor of the recommendations outlined </w:t>
      </w:r>
      <w:r w:rsidR="00454CCF">
        <w:t>above to the satisfaction of</w:t>
      </w:r>
      <w:r w:rsidRPr="00CA04F9">
        <w:t xml:space="preserve"> TGA, in addition to the evidence of efficacy and safety provided would support the safe and effective use of this product.</w:t>
      </w:r>
    </w:p>
    <w:p w:rsidR="008E7846" w:rsidRPr="002E238E" w:rsidRDefault="008E7846" w:rsidP="008E7846">
      <w:pPr>
        <w:pStyle w:val="Heading3"/>
      </w:pPr>
      <w:bookmarkStart w:id="166" w:name="_Toc247691532"/>
      <w:bookmarkStart w:id="167" w:name="_Toc314842516"/>
      <w:bookmarkStart w:id="168" w:name="_Toc497301639"/>
      <w:bookmarkEnd w:id="87"/>
      <w:bookmarkEnd w:id="164"/>
      <w:bookmarkEnd w:id="165"/>
      <w:r>
        <w:t>Outcome</w:t>
      </w:r>
      <w:bookmarkEnd w:id="166"/>
      <w:bookmarkEnd w:id="167"/>
      <w:bookmarkEnd w:id="168"/>
    </w:p>
    <w:p w:rsidR="00D23139" w:rsidRPr="00D23139" w:rsidRDefault="00D23139" w:rsidP="00D23139">
      <w:bookmarkStart w:id="169" w:name="_Toc247691533"/>
      <w:bookmarkStart w:id="170" w:name="_Toc314842517"/>
      <w:r w:rsidRPr="00D23139">
        <w:t xml:space="preserve">Based on a review of quality, safety and efficacy, TGA approved the registration of </w:t>
      </w:r>
      <w:proofErr w:type="spellStart"/>
      <w:r w:rsidR="00522BC3">
        <w:t>Technivie</w:t>
      </w:r>
      <w:proofErr w:type="spellEnd"/>
      <w:r w:rsidR="00522BC3">
        <w:t xml:space="preserve"> </w:t>
      </w:r>
      <w:r w:rsidR="002B78D4" w:rsidRPr="00D9042D">
        <w:t>blister pack</w:t>
      </w:r>
      <w:r w:rsidR="002B78D4">
        <w:t xml:space="preserve"> </w:t>
      </w:r>
      <w:r w:rsidR="003711FE" w:rsidRPr="00D9042D">
        <w:t xml:space="preserve">tablets </w:t>
      </w:r>
      <w:r w:rsidR="000B0AFF">
        <w:t xml:space="preserve">containing </w:t>
      </w:r>
      <w:proofErr w:type="spellStart"/>
      <w:r w:rsidR="00522BC3" w:rsidRPr="00D9042D">
        <w:t>paritaprevir</w:t>
      </w:r>
      <w:proofErr w:type="spellEnd"/>
      <w:r w:rsidR="00522BC3" w:rsidRPr="00D9042D">
        <w:t>/ritonavir/</w:t>
      </w:r>
      <w:proofErr w:type="spellStart"/>
      <w:r w:rsidR="00522BC3" w:rsidRPr="00D9042D">
        <w:t>ombitasvir</w:t>
      </w:r>
      <w:proofErr w:type="spellEnd"/>
      <w:r w:rsidR="00522BC3" w:rsidRPr="00D9042D">
        <w:t xml:space="preserve"> 75</w:t>
      </w:r>
      <w:r w:rsidR="00EB2432">
        <w:t xml:space="preserve"> </w:t>
      </w:r>
      <w:r w:rsidR="00522BC3" w:rsidRPr="00D9042D">
        <w:t>mg/50</w:t>
      </w:r>
      <w:r w:rsidR="00EB2432">
        <w:t xml:space="preserve"> </w:t>
      </w:r>
      <w:r w:rsidR="00522BC3" w:rsidRPr="00D9042D">
        <w:t>mg/12.5</w:t>
      </w:r>
      <w:r w:rsidR="00EB2432">
        <w:t xml:space="preserve"> </w:t>
      </w:r>
      <w:r w:rsidR="00522BC3" w:rsidRPr="00D9042D">
        <w:t>mg</w:t>
      </w:r>
      <w:r w:rsidRPr="00D23139">
        <w:t>, indicated for:</w:t>
      </w:r>
    </w:p>
    <w:p w:rsidR="00D23139" w:rsidRPr="00232A97" w:rsidRDefault="002A7C0B" w:rsidP="002A7C0B">
      <w:pPr>
        <w:ind w:left="720"/>
        <w:rPr>
          <w:i/>
        </w:rPr>
      </w:pPr>
      <w:proofErr w:type="spellStart"/>
      <w:r>
        <w:rPr>
          <w:i/>
        </w:rPr>
        <w:t>Technivie</w:t>
      </w:r>
      <w:proofErr w:type="spellEnd"/>
      <w:r>
        <w:rPr>
          <w:i/>
        </w:rPr>
        <w:t xml:space="preserve"> </w:t>
      </w:r>
      <w:r w:rsidRPr="002A7C0B">
        <w:rPr>
          <w:i/>
        </w:rPr>
        <w:t>is indicated in combination with ribavirin for the treatment of adult patients with genotype 4 chronic hepatitis C virus (HCV) infection</w:t>
      </w:r>
    </w:p>
    <w:p w:rsidR="00D23139" w:rsidRPr="00D23139" w:rsidRDefault="00D23139" w:rsidP="00D23139">
      <w:pPr>
        <w:pStyle w:val="Heading4"/>
      </w:pPr>
      <w:r w:rsidRPr="00D23139">
        <w:t>Specific conditions of registration applying to these goods</w:t>
      </w:r>
    </w:p>
    <w:p w:rsidR="00B2002F" w:rsidRDefault="00640C10" w:rsidP="00B2002F">
      <w:pPr>
        <w:pStyle w:val="ListBullet"/>
      </w:pPr>
      <w:r w:rsidRPr="00640C10">
        <w:t xml:space="preserve">The </w:t>
      </w:r>
      <w:proofErr w:type="spellStart"/>
      <w:r w:rsidRPr="00640C10">
        <w:t>T</w:t>
      </w:r>
      <w:r>
        <w:t>echnivie</w:t>
      </w:r>
      <w:proofErr w:type="spellEnd"/>
      <w:r w:rsidRPr="00640C10">
        <w:t xml:space="preserve"> RMP (version 3.1, May 2016, DLP 19 December 2015) with </w:t>
      </w:r>
      <w:r w:rsidR="00310E2A">
        <w:t>ASA</w:t>
      </w:r>
      <w:r w:rsidR="00B2002F">
        <w:t xml:space="preserve"> (</w:t>
      </w:r>
      <w:r w:rsidR="00AF674C" w:rsidRPr="006E6E0D">
        <w:t xml:space="preserve">version </w:t>
      </w:r>
      <w:r w:rsidR="00AF674C">
        <w:t>2</w:t>
      </w:r>
      <w:r w:rsidR="00AF674C" w:rsidRPr="006E6E0D">
        <w:t xml:space="preserve">.1, </w:t>
      </w:r>
      <w:r w:rsidR="00AF674C">
        <w:t>June</w:t>
      </w:r>
      <w:r w:rsidR="00AF674C" w:rsidRPr="006E6E0D">
        <w:t xml:space="preserve"> 2016</w:t>
      </w:r>
      <w:r w:rsidRPr="00640C10">
        <w:t>), and any subsequent revisions, as agreed with the TGA will be implemented in Australia</w:t>
      </w:r>
    </w:p>
    <w:p w:rsidR="008E7846" w:rsidRDefault="00A80B5B" w:rsidP="00D23139">
      <w:pPr>
        <w:pStyle w:val="Heading2"/>
      </w:pPr>
      <w:bookmarkStart w:id="171" w:name="_Toc497301640"/>
      <w:proofErr w:type="gramStart"/>
      <w:r>
        <w:t>Attachment 1.</w:t>
      </w:r>
      <w:proofErr w:type="gramEnd"/>
      <w:r>
        <w:t xml:space="preserve"> </w:t>
      </w:r>
      <w:r w:rsidR="008E7846">
        <w:t xml:space="preserve">Product </w:t>
      </w:r>
      <w:r w:rsidR="00AA0ED0">
        <w:t>I</w:t>
      </w:r>
      <w:r w:rsidR="008E7846">
        <w:t>nformation</w:t>
      </w:r>
      <w:bookmarkEnd w:id="169"/>
      <w:bookmarkEnd w:id="170"/>
      <w:bookmarkEnd w:id="171"/>
    </w:p>
    <w:p w:rsidR="00C80137" w:rsidRDefault="002B3624" w:rsidP="00C80137">
      <w:pPr>
        <w:rPr>
          <w:color w:val="000000"/>
          <w:lang w:eastAsia="en-AU"/>
        </w:rPr>
      </w:pPr>
      <w:r w:rsidRPr="00232A97">
        <w:t xml:space="preserve">The </w:t>
      </w:r>
      <w:r w:rsidR="00133A1B" w:rsidRPr="00232A97">
        <w:t>PI</w:t>
      </w:r>
      <w:r w:rsidR="000F4CE7">
        <w:t xml:space="preserve"> approved for </w:t>
      </w:r>
      <w:proofErr w:type="spellStart"/>
      <w:r w:rsidR="000F4CE7">
        <w:t>Technivie</w:t>
      </w:r>
      <w:proofErr w:type="spellEnd"/>
      <w:r w:rsidRPr="00232A97">
        <w:t xml:space="preserve"> at the time this AusPAR was published is at Attachment 1. For the most recent </w:t>
      </w:r>
      <w:r w:rsidR="00133A1B" w:rsidRPr="00232A97">
        <w:t>PI,</w:t>
      </w:r>
      <w:r w:rsidRPr="00232A97">
        <w:t xml:space="preserve"> please refer to the </w:t>
      </w:r>
      <w:r w:rsidR="007C6B9B" w:rsidRPr="00232A97">
        <w:t>TGA website at &lt;</w:t>
      </w:r>
      <w:hyperlink r:id="rId26" w:history="1">
        <w:r w:rsidR="007C6B9B" w:rsidRPr="00232A97">
          <w:rPr>
            <w:rStyle w:val="Hyperlink"/>
          </w:rPr>
          <w:t>https://www.tga.gov.au/product-information-pi</w:t>
        </w:r>
      </w:hyperlink>
      <w:r w:rsidR="00232A97">
        <w:t>&gt;.</w:t>
      </w:r>
    </w:p>
    <w:p w:rsidR="00C80137" w:rsidRDefault="00C80137" w:rsidP="00C80137">
      <w:pPr>
        <w:pStyle w:val="Heading2"/>
        <w:rPr>
          <w:lang w:eastAsia="en-AU"/>
        </w:rPr>
      </w:pPr>
      <w:bookmarkStart w:id="172" w:name="_Toc497301641"/>
      <w:proofErr w:type="gramStart"/>
      <w:r>
        <w:rPr>
          <w:lang w:eastAsia="en-AU"/>
        </w:rPr>
        <w:t>Attachment 2.</w:t>
      </w:r>
      <w:proofErr w:type="gramEnd"/>
      <w:r w:rsidR="00A80B5B">
        <w:rPr>
          <w:lang w:eastAsia="en-AU"/>
        </w:rPr>
        <w:t xml:space="preserve"> </w:t>
      </w:r>
      <w:r>
        <w:rPr>
          <w:lang w:eastAsia="en-AU"/>
        </w:rPr>
        <w:t>Extract from the Clinical Evaluation Report</w:t>
      </w:r>
      <w:bookmarkEnd w:id="172"/>
    </w:p>
    <w:p w:rsidR="00291957" w:rsidRDefault="008E7846" w:rsidP="00232A97">
      <w:pPr>
        <w:autoSpaceDE w:val="0"/>
        <w:autoSpaceDN w:val="0"/>
        <w:adjustRightInd w:val="0"/>
        <w:spacing w:after="0"/>
        <w:rPr>
          <w:lang w:eastAsia="ja-JP"/>
        </w:rPr>
      </w:pPr>
      <w:r w:rsidRPr="00C80137">
        <w:rPr>
          <w:b/>
        </w:rPr>
        <w:br w:type="page"/>
      </w:r>
    </w:p>
    <w:p w:rsidR="00C80137" w:rsidRPr="001D043B" w:rsidRDefault="00C80137" w:rsidP="003A7F6C">
      <w:pPr>
        <w:pStyle w:val="TableTitle"/>
        <w:sectPr w:rsidR="00C80137" w:rsidRPr="001D043B" w:rsidSect="00B452CE">
          <w:headerReference w:type="even" r:id="rId27"/>
          <w:headerReference w:type="default" r:id="rId28"/>
          <w:headerReference w:type="first" r:id="rId29"/>
          <w:footerReference w:type="first" r:id="rId30"/>
          <w:pgSz w:w="11906" w:h="16838" w:code="9"/>
          <w:pgMar w:top="834" w:right="1701" w:bottom="1191" w:left="1701" w:header="907" w:footer="216" w:gutter="0"/>
          <w:cols w:space="708"/>
          <w:docGrid w:linePitch="360"/>
        </w:sectPr>
      </w:pP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1C32CD" w:rsidRPr="00487162" w:rsidTr="00A05FA4">
        <w:trPr>
          <w:trHeight w:hRule="exact" w:val="704"/>
        </w:trPr>
        <w:tc>
          <w:tcPr>
            <w:tcW w:w="9175" w:type="dxa"/>
          </w:tcPr>
          <w:p w:rsidR="001C32CD" w:rsidRPr="00487162" w:rsidRDefault="001C32CD" w:rsidP="00A05FA4">
            <w:pPr>
              <w:pStyle w:val="TGASignoff"/>
            </w:pPr>
            <w:r w:rsidRPr="00487162">
              <w:lastRenderedPageBreak/>
              <w:t>Therapeutic Goods Administration</w:t>
            </w:r>
          </w:p>
        </w:tc>
      </w:tr>
      <w:tr w:rsidR="001C32CD" w:rsidRPr="004C239D" w:rsidTr="00A05FA4">
        <w:trPr>
          <w:trHeight w:val="1221"/>
        </w:trPr>
        <w:tc>
          <w:tcPr>
            <w:tcW w:w="9175" w:type="dxa"/>
            <w:tcMar>
              <w:top w:w="28" w:type="dxa"/>
            </w:tcMar>
          </w:tcPr>
          <w:p w:rsidR="001C32CD" w:rsidRPr="00487162" w:rsidRDefault="001C32CD" w:rsidP="00A05FA4">
            <w:pPr>
              <w:pStyle w:val="Address"/>
            </w:pPr>
            <w:r w:rsidRPr="00487162">
              <w:t>PO Box 100 Woden ACT 2606 Australia</w:t>
            </w:r>
          </w:p>
          <w:p w:rsidR="001C32CD" w:rsidRPr="00487162" w:rsidRDefault="001C32CD" w:rsidP="00A05FA4">
            <w:pPr>
              <w:pStyle w:val="Address"/>
            </w:pPr>
            <w:r w:rsidRPr="00487162">
              <w:t xml:space="preserve">Email: </w:t>
            </w:r>
            <w:hyperlink r:id="rId31" w:history="1">
              <w:r w:rsidRPr="004C239D">
                <w:rPr>
                  <w:rStyle w:val="Hyperlink"/>
                </w:rPr>
                <w:t>info@tga.gov.au</w:t>
              </w:r>
            </w:hyperlink>
            <w:r w:rsidRPr="00487162">
              <w:t xml:space="preserve">  Phone: 1800 020 653  Fax: 02 6232 8605</w:t>
            </w:r>
          </w:p>
          <w:p w:rsidR="001C32CD" w:rsidRPr="004C239D" w:rsidRDefault="00044D2D" w:rsidP="00A05FA4">
            <w:pPr>
              <w:pStyle w:val="Address"/>
              <w:spacing w:line="260" w:lineRule="atLeast"/>
              <w:rPr>
                <w:b/>
                <w:color w:val="0000FF"/>
                <w:u w:val="single"/>
              </w:rPr>
            </w:pPr>
            <w:hyperlink r:id="rId32" w:history="1">
              <w:r w:rsidR="007C6B9B" w:rsidRPr="007C6B9B">
                <w:rPr>
                  <w:rStyle w:val="Hyperlink"/>
                  <w:b/>
                </w:rPr>
                <w:t>https://www.tga.gov.au</w:t>
              </w:r>
            </w:hyperlink>
          </w:p>
        </w:tc>
      </w:tr>
    </w:tbl>
    <w:p w:rsidR="00774E1D" w:rsidRPr="008A5E0B" w:rsidRDefault="00774E1D" w:rsidP="004C239D"/>
    <w:sectPr w:rsidR="00774E1D" w:rsidRPr="008A5E0B" w:rsidSect="001C32CD">
      <w:headerReference w:type="even" r:id="rId33"/>
      <w:headerReference w:type="default" r:id="rId34"/>
      <w:footerReference w:type="default" r:id="rId35"/>
      <w:headerReference w:type="first" r:id="rId36"/>
      <w:footerReference w:type="first" r:id="rId37"/>
      <w:pgSz w:w="11906" w:h="16838" w:code="9"/>
      <w:pgMar w:top="13467" w:right="1701" w:bottom="426" w:left="1701" w:header="907"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8425F" w:rsidRDefault="00B8425F" w:rsidP="00C40A36">
      <w:pPr>
        <w:spacing w:after="0"/>
      </w:pPr>
      <w:r>
        <w:separator/>
      </w:r>
    </w:p>
  </w:endnote>
  <w:endnote w:type="continuationSeparator" w:id="0">
    <w:p w:rsidR="00B8425F" w:rsidRDefault="00B8425F"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Helv">
    <w:panose1 w:val="020B060402020203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0000012" w:usb3="00000000" w:csb0="0002009F" w:csb1="00000000"/>
  </w:font>
  <w:font w:name="Arial,Bold">
    <w:altName w:val="MS Mincho"/>
    <w:panose1 w:val="00000000000000000000"/>
    <w:charset w:val="80"/>
    <w:family w:val="auto"/>
    <w:notTrueType/>
    <w:pitch w:val="default"/>
    <w:sig w:usb0="00000000" w:usb1="08070000" w:usb2="00000010" w:usb3="00000000" w:csb0="00020000" w:csb1="00000000"/>
  </w:font>
  <w:font w:name="MingLiU">
    <w:altName w:val="細明體"/>
    <w:panose1 w:val="02020509000000000000"/>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371"/>
      <w:gridCol w:w="1490"/>
    </w:tblGrid>
    <w:tr w:rsidR="00B8425F" w:rsidRPr="00487162" w:rsidTr="00DB750B">
      <w:trPr>
        <w:trHeight w:val="269"/>
      </w:trPr>
      <w:tc>
        <w:tcPr>
          <w:tcW w:w="7371" w:type="dxa"/>
          <w:tcMar>
            <w:top w:w="142" w:type="dxa"/>
            <w:bottom w:w="0" w:type="dxa"/>
          </w:tcMar>
        </w:tcPr>
        <w:p w:rsidR="00B8425F" w:rsidRPr="00487162" w:rsidRDefault="00B8425F" w:rsidP="00A13816">
          <w:pPr>
            <w:pStyle w:val="Footer"/>
          </w:pPr>
          <w:r w:rsidRPr="00487162">
            <w:t>AusPA</w:t>
          </w:r>
          <w:r>
            <w:t xml:space="preserve">R </w:t>
          </w:r>
          <w:proofErr w:type="spellStart"/>
          <w:r>
            <w:t>Technivie</w:t>
          </w:r>
          <w:proofErr w:type="spellEnd"/>
          <w:r>
            <w:t xml:space="preserve"> AbbV</w:t>
          </w:r>
          <w:r w:rsidRPr="002447E6">
            <w:t>ie Pty Ltd</w:t>
          </w:r>
          <w:r>
            <w:t xml:space="preserve"> </w:t>
          </w:r>
          <w:r w:rsidRPr="009E13A5">
            <w:t>PM-2015-03141-1-2</w:t>
          </w:r>
          <w:r>
            <w:br/>
          </w:r>
          <w:r w:rsidR="00A13816">
            <w:t>Final 5 October</w:t>
          </w:r>
          <w:r>
            <w:t xml:space="preserve"> 2017</w:t>
          </w:r>
        </w:p>
      </w:tc>
      <w:tc>
        <w:tcPr>
          <w:tcW w:w="1490" w:type="dxa"/>
          <w:tcMar>
            <w:top w:w="142" w:type="dxa"/>
            <w:bottom w:w="0" w:type="dxa"/>
          </w:tcMar>
        </w:tcPr>
        <w:p w:rsidR="00B8425F" w:rsidRPr="00487162" w:rsidRDefault="00B8425F" w:rsidP="00DB750B">
          <w:pPr>
            <w:pStyle w:val="Footer"/>
            <w:jc w:val="right"/>
          </w:pPr>
          <w:r w:rsidRPr="00487162">
            <w:t xml:space="preserve">Page </w:t>
          </w:r>
          <w:r>
            <w:fldChar w:fldCharType="begin"/>
          </w:r>
          <w:r>
            <w:instrText xml:space="preserve"> PAGE  \* Arabic </w:instrText>
          </w:r>
          <w:r>
            <w:fldChar w:fldCharType="separate"/>
          </w:r>
          <w:r w:rsidR="00044D2D">
            <w:rPr>
              <w:noProof/>
            </w:rPr>
            <w:t>45</w:t>
          </w:r>
          <w:r>
            <w:fldChar w:fldCharType="end"/>
          </w:r>
          <w:r w:rsidRPr="00487162">
            <w:t xml:space="preserve"> of </w:t>
          </w:r>
          <w:fldSimple w:instr=" NUMPAGES  \* Arabic ">
            <w:r w:rsidR="00044D2D">
              <w:rPr>
                <w:noProof/>
              </w:rPr>
              <w:t>46</w:t>
            </w:r>
          </w:fldSimple>
        </w:p>
      </w:tc>
    </w:tr>
  </w:tbl>
  <w:p w:rsidR="00B8425F" w:rsidRDefault="00B8425F" w:rsidP="003D1E6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B8425F" w:rsidRPr="00487162" w:rsidTr="00E45619">
      <w:trPr>
        <w:trHeight w:val="269"/>
      </w:trPr>
      <w:tc>
        <w:tcPr>
          <w:tcW w:w="4519" w:type="dxa"/>
          <w:tcBorders>
            <w:top w:val="single" w:sz="4" w:space="0" w:color="auto"/>
          </w:tcBorders>
          <w:tcMar>
            <w:top w:w="142" w:type="dxa"/>
            <w:bottom w:w="0" w:type="dxa"/>
          </w:tcMar>
        </w:tcPr>
        <w:p w:rsidR="00B8425F" w:rsidRPr="00487162" w:rsidRDefault="00B8425F" w:rsidP="00FE1DEE">
          <w:pPr>
            <w:pStyle w:val="Footer"/>
          </w:pPr>
          <w:r w:rsidRPr="00487162">
            <w:t>Document title, Part #, Section # - Section title</w:t>
          </w:r>
        </w:p>
        <w:p w:rsidR="00B8425F" w:rsidRPr="00487162" w:rsidRDefault="00B8425F" w:rsidP="00FE1DEE">
          <w:pPr>
            <w:pStyle w:val="Footer"/>
          </w:pPr>
          <w:r w:rsidRPr="00487162">
            <w:t>V1.0 October 2010</w:t>
          </w:r>
        </w:p>
      </w:tc>
      <w:tc>
        <w:tcPr>
          <w:tcW w:w="4342" w:type="dxa"/>
          <w:tcBorders>
            <w:top w:val="single" w:sz="4" w:space="0" w:color="auto"/>
          </w:tcBorders>
          <w:tcMar>
            <w:top w:w="142" w:type="dxa"/>
            <w:bottom w:w="0" w:type="dxa"/>
          </w:tcMar>
        </w:tcPr>
        <w:p w:rsidR="00B8425F" w:rsidRPr="00487162" w:rsidRDefault="00B8425F"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fldSimple w:instr=" NUMPAGES  ">
            <w:r>
              <w:rPr>
                <w:noProof/>
              </w:rPr>
              <w:t>4</w:t>
            </w:r>
          </w:fldSimple>
        </w:p>
      </w:tc>
    </w:tr>
  </w:tbl>
  <w:p w:rsidR="00B8425F" w:rsidRDefault="00B8425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425F" w:rsidRPr="001C32CD" w:rsidRDefault="00B8425F" w:rsidP="001C32CD">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B8425F" w:rsidTr="0010601F">
      <w:trPr>
        <w:trHeight w:val="108"/>
      </w:trPr>
      <w:tc>
        <w:tcPr>
          <w:tcW w:w="8875" w:type="dxa"/>
          <w:gridSpan w:val="2"/>
          <w:tcBorders>
            <w:bottom w:val="single" w:sz="4" w:space="0" w:color="auto"/>
          </w:tcBorders>
          <w:tcMar>
            <w:right w:w="284" w:type="dxa"/>
          </w:tcMar>
        </w:tcPr>
        <w:p w:rsidR="00B8425F" w:rsidRDefault="00B8425F" w:rsidP="006E08B3">
          <w:pPr>
            <w:pStyle w:val="Heading3"/>
          </w:pPr>
          <w:r>
            <w:t>Copyright</w:t>
          </w:r>
        </w:p>
        <w:p w:rsidR="00B8425F" w:rsidRDefault="00B8425F" w:rsidP="006E08B3">
          <w:r>
            <w:rPr>
              <w:rFonts w:cs="Arial"/>
            </w:rPr>
            <w:t>©</w:t>
          </w:r>
          <w:r>
            <w:t xml:space="preserve"> Commonwealth of Australia [add year]</w:t>
          </w:r>
        </w:p>
        <w:p w:rsidR="00B8425F" w:rsidRDefault="00B8425F" w:rsidP="006E08B3"/>
        <w:p w:rsidR="00B8425F" w:rsidRDefault="00B8425F"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B8425F" w:rsidRDefault="00B8425F" w:rsidP="006E08B3"/>
        <w:p w:rsidR="00B8425F" w:rsidRDefault="00B8425F" w:rsidP="006E08B3">
          <w:pPr>
            <w:pStyle w:val="Heading3"/>
          </w:pPr>
          <w:r>
            <w:t>Confidentiality</w:t>
          </w:r>
        </w:p>
        <w:p w:rsidR="00B8425F" w:rsidRDefault="00B8425F"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B8425F" w:rsidRDefault="00B8425F" w:rsidP="006E08B3"/>
        <w:p w:rsidR="00B8425F" w:rsidRDefault="00B8425F" w:rsidP="006E08B3">
          <w:r>
            <w:t>For submission made by individuals, all personal details, other than your name, will be removed from your submission before it is published on the TGA’s Internet site.</w:t>
          </w:r>
        </w:p>
        <w:p w:rsidR="00B8425F" w:rsidRDefault="00B8425F" w:rsidP="006E08B3"/>
        <w:p w:rsidR="00B8425F" w:rsidRDefault="00B8425F" w:rsidP="006E08B3">
          <w:r>
            <w:t xml:space="preserve">In addition, a list of parties making submissions will be published. If you do not wish to be identified with your submission you must specifically request this in the space provided </w:t>
          </w:r>
          <w:proofErr w:type="spellStart"/>
          <w:r>
            <w:t>ib</w:t>
          </w:r>
          <w:proofErr w:type="spellEnd"/>
          <w:r>
            <w:t xml:space="preserve"> the submission coversheet.</w:t>
          </w:r>
        </w:p>
      </w:tc>
    </w:tr>
    <w:tr w:rsidR="00B8425F" w:rsidTr="0010601F">
      <w:trPr>
        <w:trHeight w:val="417"/>
      </w:trPr>
      <w:tc>
        <w:tcPr>
          <w:tcW w:w="4519" w:type="dxa"/>
          <w:tcBorders>
            <w:top w:val="single" w:sz="4" w:space="0" w:color="auto"/>
          </w:tcBorders>
          <w:tcMar>
            <w:top w:w="142" w:type="dxa"/>
            <w:bottom w:w="0" w:type="dxa"/>
          </w:tcMar>
        </w:tcPr>
        <w:p w:rsidR="00B8425F" w:rsidRDefault="00B8425F" w:rsidP="006E08B3">
          <w:r>
            <w:t>Document title, Part #, Section # - Section title</w:t>
          </w:r>
        </w:p>
        <w:p w:rsidR="00B8425F" w:rsidRDefault="00B8425F" w:rsidP="006E08B3">
          <w:r>
            <w:t>V1.0 October 2010</w:t>
          </w:r>
        </w:p>
      </w:tc>
      <w:tc>
        <w:tcPr>
          <w:tcW w:w="4356" w:type="dxa"/>
          <w:tcBorders>
            <w:top w:val="single" w:sz="4" w:space="0" w:color="auto"/>
          </w:tcBorders>
          <w:tcMar>
            <w:top w:w="142" w:type="dxa"/>
            <w:bottom w:w="0" w:type="dxa"/>
          </w:tcMar>
        </w:tcPr>
        <w:p w:rsidR="00B8425F" w:rsidRDefault="00B8425F"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fldSimple w:instr=" NUMPAGES  \* Arabic ">
            <w:r>
              <w:rPr>
                <w:noProof/>
              </w:rPr>
              <w:t>4</w:t>
            </w:r>
          </w:fldSimple>
          <w:r>
            <w:t xml:space="preserve">  </w:t>
          </w:r>
        </w:p>
      </w:tc>
    </w:tr>
  </w:tbl>
  <w:p w:rsidR="00B8425F" w:rsidRDefault="00B8425F"/>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8425F" w:rsidRDefault="00B8425F" w:rsidP="00C40A36">
      <w:pPr>
        <w:spacing w:after="0"/>
      </w:pPr>
      <w:r>
        <w:separator/>
      </w:r>
    </w:p>
  </w:footnote>
  <w:footnote w:type="continuationSeparator" w:id="0">
    <w:p w:rsidR="00B8425F" w:rsidRDefault="00B8425F" w:rsidP="00C40A36">
      <w:pPr>
        <w:spacing w:after="0"/>
      </w:pPr>
      <w:r>
        <w:continuationSeparator/>
      </w:r>
    </w:p>
  </w:footnote>
  <w:footnote w:id="1">
    <w:p w:rsidR="00B8425F" w:rsidRPr="009838C0" w:rsidRDefault="00B8425F">
      <w:pPr>
        <w:pStyle w:val="FootnoteText"/>
        <w:rPr>
          <w:lang w:val="en-US"/>
        </w:rPr>
      </w:pPr>
      <w:r>
        <w:rPr>
          <w:rStyle w:val="FootnoteReference"/>
        </w:rPr>
        <w:footnoteRef/>
      </w:r>
      <w:r>
        <w:t xml:space="preserve"> </w:t>
      </w:r>
      <w:proofErr w:type="gramStart"/>
      <w:r>
        <w:t>European Medicines Agency, “</w:t>
      </w:r>
      <w:r w:rsidRPr="009838C0">
        <w:t>Guideline on clinical evaluation of medicinal products for the t</w:t>
      </w:r>
      <w:r>
        <w:t>reatment of chronic hepatitis C (</w:t>
      </w:r>
      <w:r w:rsidRPr="004F66B2">
        <w:t>EMEA/CHMP/51240/2011</w:t>
      </w:r>
      <w:r>
        <w:t>)”, 20 January 2011.</w:t>
      </w:r>
      <w:proofErr w:type="gramEnd"/>
    </w:p>
  </w:footnote>
  <w:footnote w:id="2">
    <w:p w:rsidR="00B8425F" w:rsidRPr="00B5571D" w:rsidRDefault="00B8425F">
      <w:pPr>
        <w:pStyle w:val="FootnoteText"/>
        <w:rPr>
          <w:lang w:val="en-US"/>
        </w:rPr>
      </w:pPr>
      <w:r>
        <w:rPr>
          <w:rStyle w:val="FootnoteReference"/>
        </w:rPr>
        <w:footnoteRef/>
      </w:r>
      <w:r>
        <w:t xml:space="preserve"> </w:t>
      </w:r>
      <w:r w:rsidRPr="0097468F">
        <w:t>Routine pharmacovigilance practices involve the following: (a) All suspected adverse reactions that are reported to the personnel of the company are collected and collated in an accessible manner; (b) Reporting to regulatory authorities; (c) Continuous monitoring of the safety profiles of approved products including signal detection and updating of labe</w:t>
      </w:r>
      <w:r>
        <w:t>l</w:t>
      </w:r>
      <w:r w:rsidRPr="0097468F">
        <w:t>ling; (d) Submission of Periodic Safety Update Reports (PSURs); and (e) Meeting other local regulatory agency requirements.</w:t>
      </w:r>
    </w:p>
  </w:footnote>
  <w:footnote w:id="3">
    <w:p w:rsidR="00B8425F" w:rsidRPr="00B5571D" w:rsidRDefault="00B8425F" w:rsidP="00B5571D">
      <w:pPr>
        <w:pStyle w:val="FootnoteText"/>
        <w:rPr>
          <w:lang w:val="en-US"/>
        </w:rPr>
      </w:pPr>
      <w:r>
        <w:rPr>
          <w:rStyle w:val="FootnoteReference"/>
        </w:rPr>
        <w:footnoteRef/>
      </w:r>
      <w:r>
        <w:t xml:space="preserve"> </w:t>
      </w:r>
      <w:r w:rsidRPr="0097468F">
        <w:t xml:space="preserve">Routine risk minimisation activities may be limited to ensuring that suitable warnings are included in the </w:t>
      </w:r>
      <w:r>
        <w:t>PI</w:t>
      </w:r>
      <w:r w:rsidRPr="0097468F">
        <w:t xml:space="preserve"> or by careful use of labelling and packaging</w:t>
      </w:r>
      <w:r>
        <w:t>.</w:t>
      </w:r>
    </w:p>
  </w:footnote>
  <w:footnote w:id="4">
    <w:p w:rsidR="00B8425F" w:rsidRPr="00930A8B" w:rsidRDefault="00B8425F">
      <w:pPr>
        <w:pStyle w:val="FootnoteText"/>
        <w:rPr>
          <w:lang w:val="en-US"/>
        </w:rPr>
      </w:pPr>
      <w:r>
        <w:rPr>
          <w:rStyle w:val="FootnoteReference"/>
        </w:rPr>
        <w:footnoteRef/>
      </w:r>
      <w:r>
        <w:t xml:space="preserve"> </w:t>
      </w:r>
      <w:proofErr w:type="spellStart"/>
      <w:r w:rsidRPr="00930A8B">
        <w:t>Hézode</w:t>
      </w:r>
      <w:proofErr w:type="spellEnd"/>
      <w:r w:rsidRPr="00930A8B">
        <w:t xml:space="preserve"> C</w:t>
      </w:r>
      <w:r>
        <w:t xml:space="preserve">, et al. </w:t>
      </w:r>
      <w:proofErr w:type="spellStart"/>
      <w:r w:rsidRPr="00930A8B">
        <w:t>Ombitasvir</w:t>
      </w:r>
      <w:proofErr w:type="spellEnd"/>
      <w:r w:rsidRPr="00930A8B">
        <w:t xml:space="preserve"> plus </w:t>
      </w:r>
      <w:proofErr w:type="spellStart"/>
      <w:r w:rsidRPr="00930A8B">
        <w:t>paritaprevir</w:t>
      </w:r>
      <w:proofErr w:type="spellEnd"/>
      <w:r w:rsidRPr="00930A8B">
        <w:t xml:space="preserve"> plus ritonavir with or without ribavirin in treatment-naive and treatment-experienced patients with genotype 4 chronic hepatitis C virus infection (PEARL-I): a randomised, open-label trial. </w:t>
      </w:r>
      <w:r w:rsidRPr="00B22FB8">
        <w:rPr>
          <w:i/>
        </w:rPr>
        <w:t>Lancet</w:t>
      </w:r>
      <w:r>
        <w:t xml:space="preserve"> 385: 2502-9 (2015).</w:t>
      </w:r>
    </w:p>
  </w:footnote>
  <w:footnote w:id="5">
    <w:p w:rsidR="00B8425F" w:rsidRPr="00861E4F" w:rsidRDefault="00B8425F">
      <w:pPr>
        <w:pStyle w:val="FootnoteText"/>
        <w:rPr>
          <w:lang w:val="en-US"/>
        </w:rPr>
      </w:pPr>
      <w:r>
        <w:rPr>
          <w:rStyle w:val="FootnoteReference"/>
        </w:rPr>
        <w:footnoteRef/>
      </w:r>
      <w:r>
        <w:t xml:space="preserve"> Pregnancy </w:t>
      </w:r>
      <w:r w:rsidRPr="00B74185">
        <w:t>Category X</w:t>
      </w:r>
      <w:r>
        <w:t>:</w:t>
      </w:r>
      <w:r w:rsidRPr="00B74185">
        <w:t xml:space="preserve"> Drugs which have such a high risk of causing permanent damage to the f</w:t>
      </w:r>
      <w:r>
        <w:t>o</w:t>
      </w:r>
      <w:r w:rsidRPr="00B74185">
        <w:t>etus that they should not be used in pregnancy or when there is a possibility of pregnancy.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425F" w:rsidRDefault="00B8425F" w:rsidP="00E45619">
    <w:pPr>
      <w:pStyle w:val="Header"/>
    </w:pPr>
    <w:r>
      <w:t>Therapeutic Goods Administration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425F" w:rsidRDefault="00B8425F">
    <w:pPr>
      <w:rPr>
        <w:noProof/>
        <w:lang w:eastAsia="en-AU"/>
      </w:rPr>
    </w:pPr>
    <w:r w:rsidRPr="00347824">
      <w:rPr>
        <w:noProof/>
        <w:lang w:eastAsia="en-AU"/>
      </w:rPr>
      <w:drawing>
        <wp:anchor distT="0" distB="0" distL="114300" distR="114300" simplePos="0" relativeHeight="251659264" behindDoc="1" locked="0" layoutInCell="1" allowOverlap="1" wp14:anchorId="4CF9F59B" wp14:editId="2C501B38">
          <wp:simplePos x="0" y="0"/>
          <wp:positionH relativeFrom="column">
            <wp:posOffset>-1089660</wp:posOffset>
          </wp:positionH>
          <wp:positionV relativeFrom="paragraph">
            <wp:posOffset>-585470</wp:posOffset>
          </wp:positionV>
          <wp:extent cx="7572375" cy="10706100"/>
          <wp:effectExtent l="19050" t="0" r="0" b="0"/>
          <wp:wrapNone/>
          <wp:docPr id="3"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rsidR="00B8425F" w:rsidRDefault="00B8425F" w:rsidP="00593AD1">
    <w:pPr>
      <w:pStyle w:val="HeaderNoLine"/>
    </w:pPr>
    <w:r>
      <w:rPr>
        <w:noProof/>
        <w:lang w:eastAsia="en-AU"/>
      </w:rPr>
      <w:drawing>
        <wp:inline distT="0" distB="0" distL="0" distR="0" wp14:anchorId="1830FA01" wp14:editId="29F3B6DB">
          <wp:extent cx="5400675" cy="7639050"/>
          <wp:effectExtent l="0" t="0" r="9525" b="0"/>
          <wp:docPr id="4" name="Picture 4"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blu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0675" cy="763905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425F" w:rsidRDefault="00B8425F">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425F" w:rsidRDefault="00B8425F">
    <w:pPr>
      <w:pStyle w:val="Header"/>
    </w:pPr>
    <w:r>
      <w:t>Therapeutic Goods Administration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425F" w:rsidRDefault="00B8425F">
    <w:pPr>
      <w:pStyle w:val="Header"/>
    </w:pPr>
    <w:r>
      <w:t>Therapeutic Goods Administration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425F" w:rsidRDefault="00B8425F">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425F" w:rsidRDefault="00B8425F" w:rsidP="004C239D">
    <w:pPr>
      <w:pStyle w:val="HeaderNoLin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425F" w:rsidRDefault="00B8425F" w:rsidP="006E08B3">
    <w:r>
      <w:t>Therapeutic Goods Administration</w:t>
    </w:r>
  </w:p>
  <w:p w:rsidR="00B8425F" w:rsidRDefault="00B8425F" w:rsidP="006D03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406830BE"/>
    <w:lvl w:ilvl="0">
      <w:start w:val="1"/>
      <w:numFmt w:val="bullet"/>
      <w:lvlText w:val=""/>
      <w:lvlJc w:val="left"/>
      <w:pPr>
        <w:tabs>
          <w:tab w:val="num" w:pos="926"/>
        </w:tabs>
        <w:ind w:left="926" w:hanging="360"/>
      </w:pPr>
      <w:rPr>
        <w:rFonts w:ascii="Symbol" w:hAnsi="Symbol" w:hint="default"/>
      </w:rPr>
    </w:lvl>
  </w:abstractNum>
  <w:abstractNum w:abstractNumId="1">
    <w:nsid w:val="FFFFFF83"/>
    <w:multiLevelType w:val="singleLevel"/>
    <w:tmpl w:val="A04AD474"/>
    <w:lvl w:ilvl="0">
      <w:start w:val="1"/>
      <w:numFmt w:val="bullet"/>
      <w:lvlText w:val="–"/>
      <w:lvlJc w:val="left"/>
      <w:pPr>
        <w:ind w:left="643" w:hanging="360"/>
      </w:pPr>
      <w:rPr>
        <w:rFonts w:ascii="Arial" w:hAnsi="Arial" w:hint="default"/>
      </w:rPr>
    </w:lvl>
  </w:abstractNum>
  <w:abstractNum w:abstractNumId="2">
    <w:nsid w:val="FFFFFF89"/>
    <w:multiLevelType w:val="singleLevel"/>
    <w:tmpl w:val="F4085A32"/>
    <w:lvl w:ilvl="0">
      <w:start w:val="1"/>
      <w:numFmt w:val="bullet"/>
      <w:lvlText w:val=""/>
      <w:lvlJc w:val="left"/>
      <w:pPr>
        <w:tabs>
          <w:tab w:val="num" w:pos="360"/>
        </w:tabs>
        <w:ind w:left="360" w:hanging="360"/>
      </w:pPr>
      <w:rPr>
        <w:rFonts w:ascii="Symbol" w:hAnsi="Symbol" w:hint="default"/>
      </w:rPr>
    </w:lvl>
  </w:abstractNum>
  <w:abstractNum w:abstractNumId="3">
    <w:nsid w:val="FFFFFFFE"/>
    <w:multiLevelType w:val="singleLevel"/>
    <w:tmpl w:val="B8320B0A"/>
    <w:lvl w:ilvl="0">
      <w:numFmt w:val="bullet"/>
      <w:lvlText w:val="*"/>
      <w:lvlJc w:val="left"/>
    </w:lvl>
  </w:abstractNum>
  <w:abstractNum w:abstractNumId="4">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5">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6">
    <w:nsid w:val="18970642"/>
    <w:multiLevelType w:val="hybridMultilevel"/>
    <w:tmpl w:val="2F30BF4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nsid w:val="1E734851"/>
    <w:multiLevelType w:val="hybridMultilevel"/>
    <w:tmpl w:val="2B5CC9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2EAB1C37"/>
    <w:multiLevelType w:val="hybridMultilevel"/>
    <w:tmpl w:val="1BBEA2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3066740A"/>
    <w:multiLevelType w:val="hybridMultilevel"/>
    <w:tmpl w:val="BCF2103E"/>
    <w:lvl w:ilvl="0" w:tplc="AAAE3F22">
      <w:start w:val="1"/>
      <w:numFmt w:val="bullet"/>
      <w:pStyle w:val="Bullet1"/>
      <w:lvlText w:val="•"/>
      <w:lvlJc w:val="left"/>
      <w:pPr>
        <w:tabs>
          <w:tab w:val="num" w:pos="284"/>
        </w:tabs>
        <w:ind w:left="284" w:hanging="284"/>
      </w:pPr>
      <w:rPr>
        <w:rFonts w:ascii="Times New Roman" w:hAnsi="Times New Roman" w:cs="Times New Roman" w:hint="default"/>
      </w:rPr>
    </w:lvl>
    <w:lvl w:ilvl="1" w:tplc="0C090003" w:tentative="1">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10">
    <w:nsid w:val="3AC02909"/>
    <w:multiLevelType w:val="hybridMultilevel"/>
    <w:tmpl w:val="0BF2B618"/>
    <w:lvl w:ilvl="0" w:tplc="3B76980A">
      <w:start w:val="1"/>
      <w:numFmt w:val="bullet"/>
      <w:pStyle w:val="Bullet2"/>
      <w:lvlText w:val="-"/>
      <w:lvlJc w:val="left"/>
      <w:pPr>
        <w:tabs>
          <w:tab w:val="num" w:pos="567"/>
        </w:tabs>
        <w:ind w:left="567" w:hanging="283"/>
      </w:pPr>
      <w:rPr>
        <w:rFonts w:ascii="Arial" w:hAnsi="Arial" w:hint="default"/>
      </w:rPr>
    </w:lvl>
    <w:lvl w:ilvl="1" w:tplc="0C090003" w:tentative="1">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11">
    <w:nsid w:val="49CA0BB4"/>
    <w:multiLevelType w:val="hybridMultilevel"/>
    <w:tmpl w:val="349476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51700EE6"/>
    <w:multiLevelType w:val="hybridMultilevel"/>
    <w:tmpl w:val="8C065A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51706F0A"/>
    <w:multiLevelType w:val="hybridMultilevel"/>
    <w:tmpl w:val="43269D74"/>
    <w:lvl w:ilvl="0" w:tplc="0C090001">
      <w:start w:val="1"/>
      <w:numFmt w:val="bullet"/>
      <w:lvlText w:val=""/>
      <w:lvlJc w:val="left"/>
      <w:pPr>
        <w:ind w:left="644"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62354F8E"/>
    <w:multiLevelType w:val="hybridMultilevel"/>
    <w:tmpl w:val="97C632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6D54766C"/>
    <w:multiLevelType w:val="hybridMultilevel"/>
    <w:tmpl w:val="C964A2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7B431830"/>
    <w:multiLevelType w:val="hybridMultilevel"/>
    <w:tmpl w:val="B896D53C"/>
    <w:lvl w:ilvl="0" w:tplc="3D54505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nsid w:val="7B7B770C"/>
    <w:multiLevelType w:val="hybridMultilevel"/>
    <w:tmpl w:val="D42090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5"/>
  </w:num>
  <w:num w:numId="4">
    <w:abstractNumId w:val="5"/>
  </w:num>
  <w:num w:numId="5">
    <w:abstractNumId w:val="0"/>
  </w:num>
  <w:num w:numId="6">
    <w:abstractNumId w:val="5"/>
  </w:num>
  <w:num w:numId="7">
    <w:abstractNumId w:val="5"/>
  </w:num>
  <w:num w:numId="8">
    <w:abstractNumId w:val="4"/>
  </w:num>
  <w:num w:numId="9">
    <w:abstractNumId w:val="4"/>
  </w:num>
  <w:num w:numId="10">
    <w:abstractNumId w:val="4"/>
  </w:num>
  <w:num w:numId="11">
    <w:abstractNumId w:val="4"/>
  </w:num>
  <w:num w:numId="12">
    <w:abstractNumId w:val="3"/>
    <w:lvlOverride w:ilvl="0">
      <w:lvl w:ilvl="0">
        <w:numFmt w:val="bullet"/>
        <w:lvlText w:val="•"/>
        <w:legacy w:legacy="1" w:legacySpace="0" w:legacyIndent="0"/>
        <w:lvlJc w:val="left"/>
        <w:rPr>
          <w:rFonts w:ascii="Helv" w:hAnsi="Helv" w:hint="default"/>
        </w:rPr>
      </w:lvl>
    </w:lvlOverride>
  </w:num>
  <w:num w:numId="13">
    <w:abstractNumId w:val="5"/>
  </w:num>
  <w:num w:numId="14">
    <w:abstractNumId w:val="5"/>
  </w:num>
  <w:num w:numId="15">
    <w:abstractNumId w:val="5"/>
  </w:num>
  <w:num w:numId="16">
    <w:abstractNumId w:val="4"/>
  </w:num>
  <w:num w:numId="17">
    <w:abstractNumId w:val="4"/>
  </w:num>
  <w:num w:numId="18">
    <w:abstractNumId w:val="4"/>
  </w:num>
  <w:num w:numId="19">
    <w:abstractNumId w:val="5"/>
  </w:num>
  <w:num w:numId="20">
    <w:abstractNumId w:val="5"/>
  </w:num>
  <w:num w:numId="21">
    <w:abstractNumId w:val="5"/>
  </w:num>
  <w:num w:numId="22">
    <w:abstractNumId w:val="4"/>
  </w:num>
  <w:num w:numId="23">
    <w:abstractNumId w:val="4"/>
  </w:num>
  <w:num w:numId="24">
    <w:abstractNumId w:val="4"/>
  </w:num>
  <w:num w:numId="25">
    <w:abstractNumId w:val="4"/>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26">
    <w:abstractNumId w:val="4"/>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7">
    <w:abstractNumId w:val="13"/>
  </w:num>
  <w:num w:numId="28">
    <w:abstractNumId w:val="14"/>
  </w:num>
  <w:num w:numId="29">
    <w:abstractNumId w:val="6"/>
  </w:num>
  <w:num w:numId="30">
    <w:abstractNumId w:val="9"/>
  </w:num>
  <w:num w:numId="31">
    <w:abstractNumId w:val="10"/>
  </w:num>
  <w:num w:numId="32">
    <w:abstractNumId w:val="16"/>
  </w:num>
  <w:num w:numId="33">
    <w:abstractNumId w:val="12"/>
  </w:num>
  <w:num w:numId="34">
    <w:abstractNumId w:val="8"/>
  </w:num>
  <w:num w:numId="35">
    <w:abstractNumId w:val="15"/>
  </w:num>
  <w:num w:numId="36">
    <w:abstractNumId w:val="11"/>
  </w:num>
  <w:num w:numId="37">
    <w:abstractNumId w:val="7"/>
  </w:num>
  <w:num w:numId="3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8192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3B0A"/>
    <w:rsid w:val="00002031"/>
    <w:rsid w:val="00004734"/>
    <w:rsid w:val="0000559B"/>
    <w:rsid w:val="00006B22"/>
    <w:rsid w:val="00010C55"/>
    <w:rsid w:val="0001276A"/>
    <w:rsid w:val="00023A7C"/>
    <w:rsid w:val="000246AE"/>
    <w:rsid w:val="00025C67"/>
    <w:rsid w:val="00026AE1"/>
    <w:rsid w:val="00027476"/>
    <w:rsid w:val="00031600"/>
    <w:rsid w:val="000319BC"/>
    <w:rsid w:val="0004330A"/>
    <w:rsid w:val="00044772"/>
    <w:rsid w:val="00044B3F"/>
    <w:rsid w:val="00044D2D"/>
    <w:rsid w:val="0005559E"/>
    <w:rsid w:val="00056940"/>
    <w:rsid w:val="000604D6"/>
    <w:rsid w:val="00063E9B"/>
    <w:rsid w:val="00067EEF"/>
    <w:rsid w:val="000734D8"/>
    <w:rsid w:val="00077775"/>
    <w:rsid w:val="00083CB9"/>
    <w:rsid w:val="00083F48"/>
    <w:rsid w:val="00085175"/>
    <w:rsid w:val="00085A8C"/>
    <w:rsid w:val="00090471"/>
    <w:rsid w:val="00093B28"/>
    <w:rsid w:val="00095BCD"/>
    <w:rsid w:val="00096321"/>
    <w:rsid w:val="00096AA7"/>
    <w:rsid w:val="000A3AED"/>
    <w:rsid w:val="000A6B6E"/>
    <w:rsid w:val="000B082C"/>
    <w:rsid w:val="000B0AFF"/>
    <w:rsid w:val="000B12E7"/>
    <w:rsid w:val="000B3532"/>
    <w:rsid w:val="000B3A75"/>
    <w:rsid w:val="000B442F"/>
    <w:rsid w:val="000B4C7B"/>
    <w:rsid w:val="000B5F90"/>
    <w:rsid w:val="000C00C2"/>
    <w:rsid w:val="000C2C37"/>
    <w:rsid w:val="000C690F"/>
    <w:rsid w:val="000D1295"/>
    <w:rsid w:val="000D16D3"/>
    <w:rsid w:val="000D1B22"/>
    <w:rsid w:val="000D391B"/>
    <w:rsid w:val="000D3D6D"/>
    <w:rsid w:val="000D419E"/>
    <w:rsid w:val="000D4FC7"/>
    <w:rsid w:val="000E30AA"/>
    <w:rsid w:val="000E6196"/>
    <w:rsid w:val="000F02E3"/>
    <w:rsid w:val="000F4869"/>
    <w:rsid w:val="000F4CE7"/>
    <w:rsid w:val="000F5B42"/>
    <w:rsid w:val="000F6E6F"/>
    <w:rsid w:val="00104A9B"/>
    <w:rsid w:val="0010601F"/>
    <w:rsid w:val="0010788A"/>
    <w:rsid w:val="00107A31"/>
    <w:rsid w:val="00110EA5"/>
    <w:rsid w:val="00112F56"/>
    <w:rsid w:val="00113656"/>
    <w:rsid w:val="001216A0"/>
    <w:rsid w:val="00121F6F"/>
    <w:rsid w:val="00125318"/>
    <w:rsid w:val="00125947"/>
    <w:rsid w:val="001305A2"/>
    <w:rsid w:val="00133238"/>
    <w:rsid w:val="00133A1B"/>
    <w:rsid w:val="001341E6"/>
    <w:rsid w:val="001350F6"/>
    <w:rsid w:val="00135394"/>
    <w:rsid w:val="00137AC9"/>
    <w:rsid w:val="0014197B"/>
    <w:rsid w:val="00141ED8"/>
    <w:rsid w:val="001447CD"/>
    <w:rsid w:val="00146A8A"/>
    <w:rsid w:val="001516B1"/>
    <w:rsid w:val="00154EBB"/>
    <w:rsid w:val="00156316"/>
    <w:rsid w:val="00156AEF"/>
    <w:rsid w:val="00157C8D"/>
    <w:rsid w:val="00160801"/>
    <w:rsid w:val="00161181"/>
    <w:rsid w:val="00162D14"/>
    <w:rsid w:val="001646B5"/>
    <w:rsid w:val="00165389"/>
    <w:rsid w:val="0017693F"/>
    <w:rsid w:val="001772E2"/>
    <w:rsid w:val="0018110E"/>
    <w:rsid w:val="0018111D"/>
    <w:rsid w:val="00181684"/>
    <w:rsid w:val="001843C6"/>
    <w:rsid w:val="001850E0"/>
    <w:rsid w:val="00186637"/>
    <w:rsid w:val="00187417"/>
    <w:rsid w:val="00193B3E"/>
    <w:rsid w:val="001940B0"/>
    <w:rsid w:val="001A0ECA"/>
    <w:rsid w:val="001A0ED3"/>
    <w:rsid w:val="001A15FC"/>
    <w:rsid w:val="001A2158"/>
    <w:rsid w:val="001A525F"/>
    <w:rsid w:val="001A5A96"/>
    <w:rsid w:val="001A645E"/>
    <w:rsid w:val="001B09F9"/>
    <w:rsid w:val="001B496B"/>
    <w:rsid w:val="001B5C90"/>
    <w:rsid w:val="001B6448"/>
    <w:rsid w:val="001C03EA"/>
    <w:rsid w:val="001C32CD"/>
    <w:rsid w:val="001C55C5"/>
    <w:rsid w:val="001D2984"/>
    <w:rsid w:val="001D51D5"/>
    <w:rsid w:val="001D5F7B"/>
    <w:rsid w:val="001E07CF"/>
    <w:rsid w:val="001E33CA"/>
    <w:rsid w:val="001E59F1"/>
    <w:rsid w:val="001F0068"/>
    <w:rsid w:val="001F2A15"/>
    <w:rsid w:val="001F2CEE"/>
    <w:rsid w:val="001F49EB"/>
    <w:rsid w:val="001F6CBA"/>
    <w:rsid w:val="00201D4E"/>
    <w:rsid w:val="00203F25"/>
    <w:rsid w:val="00205EE0"/>
    <w:rsid w:val="002076C9"/>
    <w:rsid w:val="00214ADD"/>
    <w:rsid w:val="00220B8A"/>
    <w:rsid w:val="00221E5C"/>
    <w:rsid w:val="002257F3"/>
    <w:rsid w:val="00226018"/>
    <w:rsid w:val="002321A5"/>
    <w:rsid w:val="00232A97"/>
    <w:rsid w:val="00233456"/>
    <w:rsid w:val="002339A5"/>
    <w:rsid w:val="00233F4B"/>
    <w:rsid w:val="00237093"/>
    <w:rsid w:val="00237569"/>
    <w:rsid w:val="00240295"/>
    <w:rsid w:val="002447E6"/>
    <w:rsid w:val="0024628E"/>
    <w:rsid w:val="00257848"/>
    <w:rsid w:val="00260227"/>
    <w:rsid w:val="0026271C"/>
    <w:rsid w:val="00262F63"/>
    <w:rsid w:val="00267FAA"/>
    <w:rsid w:val="0027084A"/>
    <w:rsid w:val="00271C3B"/>
    <w:rsid w:val="0027266B"/>
    <w:rsid w:val="00282C3F"/>
    <w:rsid w:val="00286434"/>
    <w:rsid w:val="00286C59"/>
    <w:rsid w:val="00290699"/>
    <w:rsid w:val="00291036"/>
    <w:rsid w:val="00291911"/>
    <w:rsid w:val="00291957"/>
    <w:rsid w:val="00291BD3"/>
    <w:rsid w:val="002942D1"/>
    <w:rsid w:val="0029501A"/>
    <w:rsid w:val="002A1BA0"/>
    <w:rsid w:val="002A347A"/>
    <w:rsid w:val="002A3721"/>
    <w:rsid w:val="002A7C0B"/>
    <w:rsid w:val="002B13E1"/>
    <w:rsid w:val="002B1638"/>
    <w:rsid w:val="002B3624"/>
    <w:rsid w:val="002B5320"/>
    <w:rsid w:val="002B78D4"/>
    <w:rsid w:val="002C09EB"/>
    <w:rsid w:val="002C6A6D"/>
    <w:rsid w:val="002D0952"/>
    <w:rsid w:val="002D0CA3"/>
    <w:rsid w:val="002D6DEC"/>
    <w:rsid w:val="002D7477"/>
    <w:rsid w:val="002E1795"/>
    <w:rsid w:val="002E3338"/>
    <w:rsid w:val="002E40B3"/>
    <w:rsid w:val="002E4C9A"/>
    <w:rsid w:val="002F11F8"/>
    <w:rsid w:val="002F1832"/>
    <w:rsid w:val="002F3F56"/>
    <w:rsid w:val="002F44B5"/>
    <w:rsid w:val="002F4DAE"/>
    <w:rsid w:val="00304CB0"/>
    <w:rsid w:val="00307527"/>
    <w:rsid w:val="00310E2A"/>
    <w:rsid w:val="00311AC0"/>
    <w:rsid w:val="00320E88"/>
    <w:rsid w:val="00323361"/>
    <w:rsid w:val="00323437"/>
    <w:rsid w:val="003246D1"/>
    <w:rsid w:val="00324C5E"/>
    <w:rsid w:val="0032583B"/>
    <w:rsid w:val="00326150"/>
    <w:rsid w:val="00327883"/>
    <w:rsid w:val="003321F4"/>
    <w:rsid w:val="00332EE4"/>
    <w:rsid w:val="00335504"/>
    <w:rsid w:val="00335559"/>
    <w:rsid w:val="003359F1"/>
    <w:rsid w:val="00340C18"/>
    <w:rsid w:val="00341026"/>
    <w:rsid w:val="003410C6"/>
    <w:rsid w:val="003442FD"/>
    <w:rsid w:val="00345BF0"/>
    <w:rsid w:val="0034705D"/>
    <w:rsid w:val="00347824"/>
    <w:rsid w:val="00350567"/>
    <w:rsid w:val="003516DE"/>
    <w:rsid w:val="003521E8"/>
    <w:rsid w:val="003662BC"/>
    <w:rsid w:val="003676EB"/>
    <w:rsid w:val="00367FED"/>
    <w:rsid w:val="00370CE3"/>
    <w:rsid w:val="003711FE"/>
    <w:rsid w:val="003728F3"/>
    <w:rsid w:val="00373668"/>
    <w:rsid w:val="00373A2E"/>
    <w:rsid w:val="0037496E"/>
    <w:rsid w:val="00376E09"/>
    <w:rsid w:val="00383221"/>
    <w:rsid w:val="00385501"/>
    <w:rsid w:val="00386150"/>
    <w:rsid w:val="003874CE"/>
    <w:rsid w:val="00390900"/>
    <w:rsid w:val="00392D3D"/>
    <w:rsid w:val="003935B7"/>
    <w:rsid w:val="00394229"/>
    <w:rsid w:val="003A2098"/>
    <w:rsid w:val="003A5495"/>
    <w:rsid w:val="003A7588"/>
    <w:rsid w:val="003A7F6C"/>
    <w:rsid w:val="003B35BC"/>
    <w:rsid w:val="003B4D60"/>
    <w:rsid w:val="003B69DE"/>
    <w:rsid w:val="003B7E39"/>
    <w:rsid w:val="003C13FA"/>
    <w:rsid w:val="003C51AE"/>
    <w:rsid w:val="003C58DC"/>
    <w:rsid w:val="003D098D"/>
    <w:rsid w:val="003D1E62"/>
    <w:rsid w:val="003E0B99"/>
    <w:rsid w:val="003E2486"/>
    <w:rsid w:val="003E3208"/>
    <w:rsid w:val="003E454D"/>
    <w:rsid w:val="003E4B4C"/>
    <w:rsid w:val="003E526C"/>
    <w:rsid w:val="003F0B04"/>
    <w:rsid w:val="003F1B6A"/>
    <w:rsid w:val="003F3312"/>
    <w:rsid w:val="003F3A02"/>
    <w:rsid w:val="003F44E3"/>
    <w:rsid w:val="0040134E"/>
    <w:rsid w:val="00406EEB"/>
    <w:rsid w:val="004158DE"/>
    <w:rsid w:val="00424C6F"/>
    <w:rsid w:val="00430008"/>
    <w:rsid w:val="00432683"/>
    <w:rsid w:val="004334C7"/>
    <w:rsid w:val="004369E1"/>
    <w:rsid w:val="0043748F"/>
    <w:rsid w:val="00440A2D"/>
    <w:rsid w:val="00441C3F"/>
    <w:rsid w:val="004458AA"/>
    <w:rsid w:val="00454CCF"/>
    <w:rsid w:val="004564A7"/>
    <w:rsid w:val="004617BF"/>
    <w:rsid w:val="00462920"/>
    <w:rsid w:val="00462EF6"/>
    <w:rsid w:val="00463658"/>
    <w:rsid w:val="004637A0"/>
    <w:rsid w:val="004654DD"/>
    <w:rsid w:val="004670EA"/>
    <w:rsid w:val="00467536"/>
    <w:rsid w:val="004722CC"/>
    <w:rsid w:val="004779BB"/>
    <w:rsid w:val="004936E4"/>
    <w:rsid w:val="00494E60"/>
    <w:rsid w:val="0049527F"/>
    <w:rsid w:val="00497487"/>
    <w:rsid w:val="004A6189"/>
    <w:rsid w:val="004A64F4"/>
    <w:rsid w:val="004A7390"/>
    <w:rsid w:val="004B097D"/>
    <w:rsid w:val="004B351F"/>
    <w:rsid w:val="004B54E1"/>
    <w:rsid w:val="004B6197"/>
    <w:rsid w:val="004B7B76"/>
    <w:rsid w:val="004C239D"/>
    <w:rsid w:val="004C2DCA"/>
    <w:rsid w:val="004C61D2"/>
    <w:rsid w:val="004C66EF"/>
    <w:rsid w:val="004D183A"/>
    <w:rsid w:val="004D190D"/>
    <w:rsid w:val="004D759B"/>
    <w:rsid w:val="004E4281"/>
    <w:rsid w:val="004E43D1"/>
    <w:rsid w:val="004F00BF"/>
    <w:rsid w:val="004F0C4A"/>
    <w:rsid w:val="004F0E21"/>
    <w:rsid w:val="004F0F38"/>
    <w:rsid w:val="004F201D"/>
    <w:rsid w:val="004F28CC"/>
    <w:rsid w:val="004F4614"/>
    <w:rsid w:val="004F47D6"/>
    <w:rsid w:val="004F49AD"/>
    <w:rsid w:val="004F4EB0"/>
    <w:rsid w:val="004F66B2"/>
    <w:rsid w:val="00501921"/>
    <w:rsid w:val="00516804"/>
    <w:rsid w:val="00521073"/>
    <w:rsid w:val="0052153D"/>
    <w:rsid w:val="00522BC3"/>
    <w:rsid w:val="00530354"/>
    <w:rsid w:val="0053236A"/>
    <w:rsid w:val="00535D48"/>
    <w:rsid w:val="0053625B"/>
    <w:rsid w:val="00536ED4"/>
    <w:rsid w:val="005434C6"/>
    <w:rsid w:val="00543B39"/>
    <w:rsid w:val="00546154"/>
    <w:rsid w:val="00550096"/>
    <w:rsid w:val="00555280"/>
    <w:rsid w:val="005559CA"/>
    <w:rsid w:val="00556219"/>
    <w:rsid w:val="00557FF9"/>
    <w:rsid w:val="00560F3A"/>
    <w:rsid w:val="00562327"/>
    <w:rsid w:val="005651A4"/>
    <w:rsid w:val="00565B2C"/>
    <w:rsid w:val="005703C6"/>
    <w:rsid w:val="005711D5"/>
    <w:rsid w:val="00576378"/>
    <w:rsid w:val="00577104"/>
    <w:rsid w:val="00577130"/>
    <w:rsid w:val="00577945"/>
    <w:rsid w:val="00577E38"/>
    <w:rsid w:val="005832CF"/>
    <w:rsid w:val="005844D9"/>
    <w:rsid w:val="00585322"/>
    <w:rsid w:val="005857C6"/>
    <w:rsid w:val="00586ED1"/>
    <w:rsid w:val="00587EC0"/>
    <w:rsid w:val="0059158B"/>
    <w:rsid w:val="00591E07"/>
    <w:rsid w:val="0059256D"/>
    <w:rsid w:val="00592F6E"/>
    <w:rsid w:val="00593A89"/>
    <w:rsid w:val="00593AD1"/>
    <w:rsid w:val="00594A24"/>
    <w:rsid w:val="00596E1B"/>
    <w:rsid w:val="005A20F1"/>
    <w:rsid w:val="005A4731"/>
    <w:rsid w:val="005A68B6"/>
    <w:rsid w:val="005A6C65"/>
    <w:rsid w:val="005B4FB6"/>
    <w:rsid w:val="005C34A4"/>
    <w:rsid w:val="005C4A8C"/>
    <w:rsid w:val="005C5570"/>
    <w:rsid w:val="005C67F2"/>
    <w:rsid w:val="005C79A4"/>
    <w:rsid w:val="005D0208"/>
    <w:rsid w:val="005D42EA"/>
    <w:rsid w:val="005D5442"/>
    <w:rsid w:val="005D5C58"/>
    <w:rsid w:val="005D7489"/>
    <w:rsid w:val="005E40A2"/>
    <w:rsid w:val="005F02C9"/>
    <w:rsid w:val="00603F32"/>
    <w:rsid w:val="00604F4A"/>
    <w:rsid w:val="006050D2"/>
    <w:rsid w:val="00605AD4"/>
    <w:rsid w:val="006079E5"/>
    <w:rsid w:val="00611D48"/>
    <w:rsid w:val="0061246A"/>
    <w:rsid w:val="0062565F"/>
    <w:rsid w:val="00625A6E"/>
    <w:rsid w:val="0062623D"/>
    <w:rsid w:val="00631665"/>
    <w:rsid w:val="00632398"/>
    <w:rsid w:val="00633036"/>
    <w:rsid w:val="006334AE"/>
    <w:rsid w:val="0063448B"/>
    <w:rsid w:val="00636DB9"/>
    <w:rsid w:val="006404F7"/>
    <w:rsid w:val="00640B98"/>
    <w:rsid w:val="00640C10"/>
    <w:rsid w:val="00640FC3"/>
    <w:rsid w:val="00642020"/>
    <w:rsid w:val="006443A8"/>
    <w:rsid w:val="00650454"/>
    <w:rsid w:val="006504E8"/>
    <w:rsid w:val="00650D4C"/>
    <w:rsid w:val="00652801"/>
    <w:rsid w:val="0065337B"/>
    <w:rsid w:val="0065419D"/>
    <w:rsid w:val="006548E3"/>
    <w:rsid w:val="006604D8"/>
    <w:rsid w:val="00662146"/>
    <w:rsid w:val="00664A5B"/>
    <w:rsid w:val="0066735C"/>
    <w:rsid w:val="006763D2"/>
    <w:rsid w:val="00680C08"/>
    <w:rsid w:val="006819D7"/>
    <w:rsid w:val="00681EEA"/>
    <w:rsid w:val="00682E41"/>
    <w:rsid w:val="006916A0"/>
    <w:rsid w:val="006931B1"/>
    <w:rsid w:val="006959E0"/>
    <w:rsid w:val="006A08B8"/>
    <w:rsid w:val="006A15C0"/>
    <w:rsid w:val="006B364B"/>
    <w:rsid w:val="006B6FC4"/>
    <w:rsid w:val="006C2966"/>
    <w:rsid w:val="006C3898"/>
    <w:rsid w:val="006C3E2A"/>
    <w:rsid w:val="006C55E4"/>
    <w:rsid w:val="006C642F"/>
    <w:rsid w:val="006D03E5"/>
    <w:rsid w:val="006D1058"/>
    <w:rsid w:val="006D1EF3"/>
    <w:rsid w:val="006D5D3E"/>
    <w:rsid w:val="006E08B3"/>
    <w:rsid w:val="006E6E0D"/>
    <w:rsid w:val="006F17AC"/>
    <w:rsid w:val="006F25B8"/>
    <w:rsid w:val="006F572E"/>
    <w:rsid w:val="0070133A"/>
    <w:rsid w:val="00702DCF"/>
    <w:rsid w:val="007046D6"/>
    <w:rsid w:val="00705DB0"/>
    <w:rsid w:val="00710949"/>
    <w:rsid w:val="007115E6"/>
    <w:rsid w:val="00713F29"/>
    <w:rsid w:val="0071524D"/>
    <w:rsid w:val="00720DBB"/>
    <w:rsid w:val="00722B57"/>
    <w:rsid w:val="00730F8A"/>
    <w:rsid w:val="007321EA"/>
    <w:rsid w:val="007331EA"/>
    <w:rsid w:val="00735A8C"/>
    <w:rsid w:val="00741BA2"/>
    <w:rsid w:val="0074253D"/>
    <w:rsid w:val="0074429B"/>
    <w:rsid w:val="00745A42"/>
    <w:rsid w:val="00747949"/>
    <w:rsid w:val="00754FAA"/>
    <w:rsid w:val="007615BC"/>
    <w:rsid w:val="00762F05"/>
    <w:rsid w:val="00764D1A"/>
    <w:rsid w:val="007652FF"/>
    <w:rsid w:val="00766426"/>
    <w:rsid w:val="00770CAC"/>
    <w:rsid w:val="00770EF1"/>
    <w:rsid w:val="00773EF7"/>
    <w:rsid w:val="00774E1D"/>
    <w:rsid w:val="007765D8"/>
    <w:rsid w:val="0077675A"/>
    <w:rsid w:val="00780355"/>
    <w:rsid w:val="007819FD"/>
    <w:rsid w:val="00782CCA"/>
    <w:rsid w:val="00782FFC"/>
    <w:rsid w:val="00785717"/>
    <w:rsid w:val="00785721"/>
    <w:rsid w:val="00786DBB"/>
    <w:rsid w:val="00793A59"/>
    <w:rsid w:val="007A11C5"/>
    <w:rsid w:val="007A2B2F"/>
    <w:rsid w:val="007A32B3"/>
    <w:rsid w:val="007A3B0A"/>
    <w:rsid w:val="007A5E0D"/>
    <w:rsid w:val="007A7CF5"/>
    <w:rsid w:val="007B6132"/>
    <w:rsid w:val="007B6E9F"/>
    <w:rsid w:val="007C1216"/>
    <w:rsid w:val="007C1AF7"/>
    <w:rsid w:val="007C2210"/>
    <w:rsid w:val="007C246D"/>
    <w:rsid w:val="007C267F"/>
    <w:rsid w:val="007C2DD5"/>
    <w:rsid w:val="007C3655"/>
    <w:rsid w:val="007C43FD"/>
    <w:rsid w:val="007C6B9B"/>
    <w:rsid w:val="007D53C6"/>
    <w:rsid w:val="007E1142"/>
    <w:rsid w:val="007E5CE4"/>
    <w:rsid w:val="007F3C35"/>
    <w:rsid w:val="007F4877"/>
    <w:rsid w:val="007F6D24"/>
    <w:rsid w:val="007F73E8"/>
    <w:rsid w:val="00802B65"/>
    <w:rsid w:val="00805D27"/>
    <w:rsid w:val="00806DCB"/>
    <w:rsid w:val="00807B3C"/>
    <w:rsid w:val="0082053A"/>
    <w:rsid w:val="00821776"/>
    <w:rsid w:val="00825E7C"/>
    <w:rsid w:val="008321F5"/>
    <w:rsid w:val="00832369"/>
    <w:rsid w:val="00833E6C"/>
    <w:rsid w:val="00834660"/>
    <w:rsid w:val="00836BC2"/>
    <w:rsid w:val="00837A1C"/>
    <w:rsid w:val="0084305A"/>
    <w:rsid w:val="00843CEC"/>
    <w:rsid w:val="00846063"/>
    <w:rsid w:val="0085156D"/>
    <w:rsid w:val="00851684"/>
    <w:rsid w:val="0085641B"/>
    <w:rsid w:val="00857136"/>
    <w:rsid w:val="00860573"/>
    <w:rsid w:val="00861E4F"/>
    <w:rsid w:val="00863294"/>
    <w:rsid w:val="0086414A"/>
    <w:rsid w:val="0086418F"/>
    <w:rsid w:val="0086747C"/>
    <w:rsid w:val="00871922"/>
    <w:rsid w:val="00873665"/>
    <w:rsid w:val="00877A6B"/>
    <w:rsid w:val="00884969"/>
    <w:rsid w:val="00885B11"/>
    <w:rsid w:val="00886D15"/>
    <w:rsid w:val="00887D17"/>
    <w:rsid w:val="00887DD8"/>
    <w:rsid w:val="008915C6"/>
    <w:rsid w:val="00891BA9"/>
    <w:rsid w:val="008927E3"/>
    <w:rsid w:val="00893ABB"/>
    <w:rsid w:val="00894FB1"/>
    <w:rsid w:val="00896018"/>
    <w:rsid w:val="008960DD"/>
    <w:rsid w:val="0089635C"/>
    <w:rsid w:val="008A0277"/>
    <w:rsid w:val="008A1383"/>
    <w:rsid w:val="008A2B9D"/>
    <w:rsid w:val="008A2ED0"/>
    <w:rsid w:val="008A3D9F"/>
    <w:rsid w:val="008A5E0B"/>
    <w:rsid w:val="008A6D59"/>
    <w:rsid w:val="008B1A58"/>
    <w:rsid w:val="008B4B03"/>
    <w:rsid w:val="008B596F"/>
    <w:rsid w:val="008C02CA"/>
    <w:rsid w:val="008C159F"/>
    <w:rsid w:val="008C15AB"/>
    <w:rsid w:val="008C1623"/>
    <w:rsid w:val="008C1850"/>
    <w:rsid w:val="008C2784"/>
    <w:rsid w:val="008C2EC0"/>
    <w:rsid w:val="008C51A9"/>
    <w:rsid w:val="008C6D2F"/>
    <w:rsid w:val="008C763B"/>
    <w:rsid w:val="008E7846"/>
    <w:rsid w:val="008F02E5"/>
    <w:rsid w:val="008F1CCC"/>
    <w:rsid w:val="008F2967"/>
    <w:rsid w:val="008F6943"/>
    <w:rsid w:val="00902072"/>
    <w:rsid w:val="00902A21"/>
    <w:rsid w:val="00906B85"/>
    <w:rsid w:val="00907347"/>
    <w:rsid w:val="00910801"/>
    <w:rsid w:val="0091183E"/>
    <w:rsid w:val="00911BAF"/>
    <w:rsid w:val="00912165"/>
    <w:rsid w:val="0091532A"/>
    <w:rsid w:val="00920330"/>
    <w:rsid w:val="009219D7"/>
    <w:rsid w:val="0092292F"/>
    <w:rsid w:val="00922D53"/>
    <w:rsid w:val="00923B70"/>
    <w:rsid w:val="00924482"/>
    <w:rsid w:val="00930237"/>
    <w:rsid w:val="00930A8B"/>
    <w:rsid w:val="00936B57"/>
    <w:rsid w:val="00937C17"/>
    <w:rsid w:val="00940A89"/>
    <w:rsid w:val="00942B1A"/>
    <w:rsid w:val="00942D31"/>
    <w:rsid w:val="00943CB1"/>
    <w:rsid w:val="00943E95"/>
    <w:rsid w:val="009455CA"/>
    <w:rsid w:val="00946EA5"/>
    <w:rsid w:val="00952E5C"/>
    <w:rsid w:val="00954952"/>
    <w:rsid w:val="00954E66"/>
    <w:rsid w:val="00960C08"/>
    <w:rsid w:val="00962512"/>
    <w:rsid w:val="00963C08"/>
    <w:rsid w:val="009704BA"/>
    <w:rsid w:val="00972E02"/>
    <w:rsid w:val="0097468F"/>
    <w:rsid w:val="009752A5"/>
    <w:rsid w:val="0098353B"/>
    <w:rsid w:val="009838C0"/>
    <w:rsid w:val="0098585A"/>
    <w:rsid w:val="00995D21"/>
    <w:rsid w:val="009966FD"/>
    <w:rsid w:val="00996FFD"/>
    <w:rsid w:val="009A0456"/>
    <w:rsid w:val="009A4CED"/>
    <w:rsid w:val="009A690D"/>
    <w:rsid w:val="009A7F44"/>
    <w:rsid w:val="009B1D12"/>
    <w:rsid w:val="009B3D29"/>
    <w:rsid w:val="009B3FF8"/>
    <w:rsid w:val="009B416B"/>
    <w:rsid w:val="009B7E9D"/>
    <w:rsid w:val="009B7FA4"/>
    <w:rsid w:val="009C0A96"/>
    <w:rsid w:val="009C4BD5"/>
    <w:rsid w:val="009D10B6"/>
    <w:rsid w:val="009D7B77"/>
    <w:rsid w:val="009E0BB0"/>
    <w:rsid w:val="009E13A5"/>
    <w:rsid w:val="009E3FBB"/>
    <w:rsid w:val="009E5E0B"/>
    <w:rsid w:val="009E5F1A"/>
    <w:rsid w:val="009E66BE"/>
    <w:rsid w:val="009E6A4A"/>
    <w:rsid w:val="009F7353"/>
    <w:rsid w:val="00A04F85"/>
    <w:rsid w:val="00A05FA4"/>
    <w:rsid w:val="00A102E4"/>
    <w:rsid w:val="00A12C42"/>
    <w:rsid w:val="00A13816"/>
    <w:rsid w:val="00A14DF7"/>
    <w:rsid w:val="00A17930"/>
    <w:rsid w:val="00A2343F"/>
    <w:rsid w:val="00A2581D"/>
    <w:rsid w:val="00A3009A"/>
    <w:rsid w:val="00A31462"/>
    <w:rsid w:val="00A314A2"/>
    <w:rsid w:val="00A32298"/>
    <w:rsid w:val="00A3246D"/>
    <w:rsid w:val="00A34B9D"/>
    <w:rsid w:val="00A36415"/>
    <w:rsid w:val="00A36FA7"/>
    <w:rsid w:val="00A4307F"/>
    <w:rsid w:val="00A44DDB"/>
    <w:rsid w:val="00A456D6"/>
    <w:rsid w:val="00A475B7"/>
    <w:rsid w:val="00A47AF7"/>
    <w:rsid w:val="00A47C3E"/>
    <w:rsid w:val="00A50226"/>
    <w:rsid w:val="00A5457F"/>
    <w:rsid w:val="00A57B4F"/>
    <w:rsid w:val="00A60BAD"/>
    <w:rsid w:val="00A61AD1"/>
    <w:rsid w:val="00A745DA"/>
    <w:rsid w:val="00A74AA6"/>
    <w:rsid w:val="00A80B5B"/>
    <w:rsid w:val="00A8245A"/>
    <w:rsid w:val="00A84E36"/>
    <w:rsid w:val="00A964D1"/>
    <w:rsid w:val="00A96C3F"/>
    <w:rsid w:val="00AA0ED0"/>
    <w:rsid w:val="00AA0EFD"/>
    <w:rsid w:val="00AA0FFF"/>
    <w:rsid w:val="00AA1284"/>
    <w:rsid w:val="00AA2981"/>
    <w:rsid w:val="00AB1E79"/>
    <w:rsid w:val="00AB3A6D"/>
    <w:rsid w:val="00AB58BE"/>
    <w:rsid w:val="00AC2B40"/>
    <w:rsid w:val="00AC2BB2"/>
    <w:rsid w:val="00AC2C3C"/>
    <w:rsid w:val="00AC512D"/>
    <w:rsid w:val="00AD0083"/>
    <w:rsid w:val="00AD2507"/>
    <w:rsid w:val="00AD3935"/>
    <w:rsid w:val="00AD4000"/>
    <w:rsid w:val="00AE3137"/>
    <w:rsid w:val="00AE65EB"/>
    <w:rsid w:val="00AE67A7"/>
    <w:rsid w:val="00AF1D94"/>
    <w:rsid w:val="00AF60C5"/>
    <w:rsid w:val="00AF674C"/>
    <w:rsid w:val="00AF7C73"/>
    <w:rsid w:val="00B009C6"/>
    <w:rsid w:val="00B01548"/>
    <w:rsid w:val="00B01F2B"/>
    <w:rsid w:val="00B0282C"/>
    <w:rsid w:val="00B1086F"/>
    <w:rsid w:val="00B13EBD"/>
    <w:rsid w:val="00B164E8"/>
    <w:rsid w:val="00B2002F"/>
    <w:rsid w:val="00B21D29"/>
    <w:rsid w:val="00B22C20"/>
    <w:rsid w:val="00B22FB8"/>
    <w:rsid w:val="00B25034"/>
    <w:rsid w:val="00B26E8A"/>
    <w:rsid w:val="00B3306E"/>
    <w:rsid w:val="00B33588"/>
    <w:rsid w:val="00B33863"/>
    <w:rsid w:val="00B33C09"/>
    <w:rsid w:val="00B33C28"/>
    <w:rsid w:val="00B37D17"/>
    <w:rsid w:val="00B40CE4"/>
    <w:rsid w:val="00B4175E"/>
    <w:rsid w:val="00B42232"/>
    <w:rsid w:val="00B425FA"/>
    <w:rsid w:val="00B44C0D"/>
    <w:rsid w:val="00B452CE"/>
    <w:rsid w:val="00B45A08"/>
    <w:rsid w:val="00B51D08"/>
    <w:rsid w:val="00B53D6C"/>
    <w:rsid w:val="00B54C25"/>
    <w:rsid w:val="00B5571D"/>
    <w:rsid w:val="00B5725A"/>
    <w:rsid w:val="00B60B7B"/>
    <w:rsid w:val="00B60E32"/>
    <w:rsid w:val="00B669A2"/>
    <w:rsid w:val="00B73681"/>
    <w:rsid w:val="00B73EF5"/>
    <w:rsid w:val="00B74185"/>
    <w:rsid w:val="00B76B91"/>
    <w:rsid w:val="00B7719A"/>
    <w:rsid w:val="00B77EB1"/>
    <w:rsid w:val="00B811C6"/>
    <w:rsid w:val="00B8425F"/>
    <w:rsid w:val="00B855B0"/>
    <w:rsid w:val="00B863DE"/>
    <w:rsid w:val="00B86BB7"/>
    <w:rsid w:val="00B8794F"/>
    <w:rsid w:val="00B906D3"/>
    <w:rsid w:val="00B9249C"/>
    <w:rsid w:val="00B92E08"/>
    <w:rsid w:val="00BA03C9"/>
    <w:rsid w:val="00BA6CC0"/>
    <w:rsid w:val="00BB21AA"/>
    <w:rsid w:val="00BB5F55"/>
    <w:rsid w:val="00BC0E96"/>
    <w:rsid w:val="00BC106F"/>
    <w:rsid w:val="00BC4532"/>
    <w:rsid w:val="00BC4ED7"/>
    <w:rsid w:val="00BC5B02"/>
    <w:rsid w:val="00BC622A"/>
    <w:rsid w:val="00BD2C04"/>
    <w:rsid w:val="00BD5590"/>
    <w:rsid w:val="00BD69F3"/>
    <w:rsid w:val="00BD77D1"/>
    <w:rsid w:val="00BE0A78"/>
    <w:rsid w:val="00BE1A1A"/>
    <w:rsid w:val="00BE2DAD"/>
    <w:rsid w:val="00BE3ED7"/>
    <w:rsid w:val="00BE79F0"/>
    <w:rsid w:val="00BE7DC0"/>
    <w:rsid w:val="00BF046D"/>
    <w:rsid w:val="00BF1190"/>
    <w:rsid w:val="00BF2030"/>
    <w:rsid w:val="00BF3725"/>
    <w:rsid w:val="00BF5D04"/>
    <w:rsid w:val="00BF6C5A"/>
    <w:rsid w:val="00BF6E49"/>
    <w:rsid w:val="00C0016B"/>
    <w:rsid w:val="00C009AA"/>
    <w:rsid w:val="00C01D73"/>
    <w:rsid w:val="00C068DD"/>
    <w:rsid w:val="00C1022E"/>
    <w:rsid w:val="00C1164D"/>
    <w:rsid w:val="00C127E4"/>
    <w:rsid w:val="00C14EA3"/>
    <w:rsid w:val="00C16861"/>
    <w:rsid w:val="00C20EDB"/>
    <w:rsid w:val="00C30BF5"/>
    <w:rsid w:val="00C346AB"/>
    <w:rsid w:val="00C34DE8"/>
    <w:rsid w:val="00C37225"/>
    <w:rsid w:val="00C404A6"/>
    <w:rsid w:val="00C4078E"/>
    <w:rsid w:val="00C40A36"/>
    <w:rsid w:val="00C44236"/>
    <w:rsid w:val="00C44419"/>
    <w:rsid w:val="00C45E7B"/>
    <w:rsid w:val="00C471B1"/>
    <w:rsid w:val="00C5429E"/>
    <w:rsid w:val="00C54F66"/>
    <w:rsid w:val="00C61C9B"/>
    <w:rsid w:val="00C6316B"/>
    <w:rsid w:val="00C634A9"/>
    <w:rsid w:val="00C63CB2"/>
    <w:rsid w:val="00C64586"/>
    <w:rsid w:val="00C70D53"/>
    <w:rsid w:val="00C73D0B"/>
    <w:rsid w:val="00C772FF"/>
    <w:rsid w:val="00C77452"/>
    <w:rsid w:val="00C80137"/>
    <w:rsid w:val="00C801AF"/>
    <w:rsid w:val="00C80256"/>
    <w:rsid w:val="00C80DEE"/>
    <w:rsid w:val="00C9475A"/>
    <w:rsid w:val="00C94CD4"/>
    <w:rsid w:val="00C95411"/>
    <w:rsid w:val="00C9747E"/>
    <w:rsid w:val="00C9764D"/>
    <w:rsid w:val="00CA04F9"/>
    <w:rsid w:val="00CA103B"/>
    <w:rsid w:val="00CB26C0"/>
    <w:rsid w:val="00CB3641"/>
    <w:rsid w:val="00CB3F7C"/>
    <w:rsid w:val="00CB59A6"/>
    <w:rsid w:val="00CB62B9"/>
    <w:rsid w:val="00CB6BC0"/>
    <w:rsid w:val="00CC1B7C"/>
    <w:rsid w:val="00CC2280"/>
    <w:rsid w:val="00CC66CA"/>
    <w:rsid w:val="00CC727F"/>
    <w:rsid w:val="00CC7518"/>
    <w:rsid w:val="00CD2BE9"/>
    <w:rsid w:val="00CD497D"/>
    <w:rsid w:val="00CD726E"/>
    <w:rsid w:val="00CE11CD"/>
    <w:rsid w:val="00CE4D1D"/>
    <w:rsid w:val="00CF15C3"/>
    <w:rsid w:val="00CF16C0"/>
    <w:rsid w:val="00CF2B6F"/>
    <w:rsid w:val="00CF2F3E"/>
    <w:rsid w:val="00CF58B6"/>
    <w:rsid w:val="00D0062D"/>
    <w:rsid w:val="00D017ED"/>
    <w:rsid w:val="00D040D3"/>
    <w:rsid w:val="00D04C65"/>
    <w:rsid w:val="00D05867"/>
    <w:rsid w:val="00D131C3"/>
    <w:rsid w:val="00D159F6"/>
    <w:rsid w:val="00D162B9"/>
    <w:rsid w:val="00D201D2"/>
    <w:rsid w:val="00D224FE"/>
    <w:rsid w:val="00D23139"/>
    <w:rsid w:val="00D425BB"/>
    <w:rsid w:val="00D4410B"/>
    <w:rsid w:val="00D53732"/>
    <w:rsid w:val="00D53922"/>
    <w:rsid w:val="00D6493E"/>
    <w:rsid w:val="00D707CF"/>
    <w:rsid w:val="00D718F6"/>
    <w:rsid w:val="00D7195D"/>
    <w:rsid w:val="00D7301E"/>
    <w:rsid w:val="00D73517"/>
    <w:rsid w:val="00D74A61"/>
    <w:rsid w:val="00D761AF"/>
    <w:rsid w:val="00D77D78"/>
    <w:rsid w:val="00D82161"/>
    <w:rsid w:val="00D83618"/>
    <w:rsid w:val="00D83862"/>
    <w:rsid w:val="00D83AE1"/>
    <w:rsid w:val="00D855D4"/>
    <w:rsid w:val="00D87FCB"/>
    <w:rsid w:val="00D902C9"/>
    <w:rsid w:val="00D91ACE"/>
    <w:rsid w:val="00D93466"/>
    <w:rsid w:val="00DA1124"/>
    <w:rsid w:val="00DA7EAB"/>
    <w:rsid w:val="00DB6124"/>
    <w:rsid w:val="00DB750B"/>
    <w:rsid w:val="00DB75B7"/>
    <w:rsid w:val="00DC2DE1"/>
    <w:rsid w:val="00DC4AC1"/>
    <w:rsid w:val="00DC6E02"/>
    <w:rsid w:val="00DC7A1B"/>
    <w:rsid w:val="00DD28CD"/>
    <w:rsid w:val="00DE02AE"/>
    <w:rsid w:val="00DE2E0F"/>
    <w:rsid w:val="00DE31A7"/>
    <w:rsid w:val="00DE377F"/>
    <w:rsid w:val="00DE3857"/>
    <w:rsid w:val="00DE6D61"/>
    <w:rsid w:val="00DF00BF"/>
    <w:rsid w:val="00DF1D7F"/>
    <w:rsid w:val="00DF24A2"/>
    <w:rsid w:val="00DF2E2C"/>
    <w:rsid w:val="00DF450D"/>
    <w:rsid w:val="00DF4BE4"/>
    <w:rsid w:val="00E02FB4"/>
    <w:rsid w:val="00E045CE"/>
    <w:rsid w:val="00E05F19"/>
    <w:rsid w:val="00E12A15"/>
    <w:rsid w:val="00E13FC7"/>
    <w:rsid w:val="00E16108"/>
    <w:rsid w:val="00E17987"/>
    <w:rsid w:val="00E20571"/>
    <w:rsid w:val="00E20DB1"/>
    <w:rsid w:val="00E235F7"/>
    <w:rsid w:val="00E23659"/>
    <w:rsid w:val="00E239D4"/>
    <w:rsid w:val="00E25AC2"/>
    <w:rsid w:val="00E25E9C"/>
    <w:rsid w:val="00E26130"/>
    <w:rsid w:val="00E26902"/>
    <w:rsid w:val="00E35D73"/>
    <w:rsid w:val="00E371AA"/>
    <w:rsid w:val="00E37F33"/>
    <w:rsid w:val="00E40AAB"/>
    <w:rsid w:val="00E40B22"/>
    <w:rsid w:val="00E44ED1"/>
    <w:rsid w:val="00E45619"/>
    <w:rsid w:val="00E4588F"/>
    <w:rsid w:val="00E46DA3"/>
    <w:rsid w:val="00E51BB1"/>
    <w:rsid w:val="00E6128E"/>
    <w:rsid w:val="00E624A5"/>
    <w:rsid w:val="00E63418"/>
    <w:rsid w:val="00E6476F"/>
    <w:rsid w:val="00E64BA4"/>
    <w:rsid w:val="00E7344E"/>
    <w:rsid w:val="00E73C53"/>
    <w:rsid w:val="00E7733A"/>
    <w:rsid w:val="00E80689"/>
    <w:rsid w:val="00E82665"/>
    <w:rsid w:val="00E85D33"/>
    <w:rsid w:val="00EA64E6"/>
    <w:rsid w:val="00EB0798"/>
    <w:rsid w:val="00EB0B89"/>
    <w:rsid w:val="00EB2432"/>
    <w:rsid w:val="00EB40AD"/>
    <w:rsid w:val="00EB586E"/>
    <w:rsid w:val="00EB5FC8"/>
    <w:rsid w:val="00EB6DD0"/>
    <w:rsid w:val="00EB7458"/>
    <w:rsid w:val="00EC06AC"/>
    <w:rsid w:val="00EC097B"/>
    <w:rsid w:val="00EC1756"/>
    <w:rsid w:val="00EC463D"/>
    <w:rsid w:val="00EC7A85"/>
    <w:rsid w:val="00ED2922"/>
    <w:rsid w:val="00ED3CAD"/>
    <w:rsid w:val="00ED5A41"/>
    <w:rsid w:val="00EE1DE8"/>
    <w:rsid w:val="00EE27C2"/>
    <w:rsid w:val="00EE44BF"/>
    <w:rsid w:val="00EE4C36"/>
    <w:rsid w:val="00EE4EC2"/>
    <w:rsid w:val="00EE775F"/>
    <w:rsid w:val="00EF0346"/>
    <w:rsid w:val="00EF1EE2"/>
    <w:rsid w:val="00EF281D"/>
    <w:rsid w:val="00EF4BAD"/>
    <w:rsid w:val="00EF6208"/>
    <w:rsid w:val="00F033EC"/>
    <w:rsid w:val="00F04F68"/>
    <w:rsid w:val="00F0659B"/>
    <w:rsid w:val="00F10777"/>
    <w:rsid w:val="00F10B50"/>
    <w:rsid w:val="00F1158B"/>
    <w:rsid w:val="00F12670"/>
    <w:rsid w:val="00F14B27"/>
    <w:rsid w:val="00F1612A"/>
    <w:rsid w:val="00F16A37"/>
    <w:rsid w:val="00F21C8F"/>
    <w:rsid w:val="00F221A8"/>
    <w:rsid w:val="00F258C6"/>
    <w:rsid w:val="00F25A73"/>
    <w:rsid w:val="00F3148D"/>
    <w:rsid w:val="00F31EBB"/>
    <w:rsid w:val="00F325C5"/>
    <w:rsid w:val="00F32635"/>
    <w:rsid w:val="00F32FE0"/>
    <w:rsid w:val="00F33739"/>
    <w:rsid w:val="00F35298"/>
    <w:rsid w:val="00F45446"/>
    <w:rsid w:val="00F47333"/>
    <w:rsid w:val="00F47E37"/>
    <w:rsid w:val="00F50209"/>
    <w:rsid w:val="00F53C07"/>
    <w:rsid w:val="00F5422F"/>
    <w:rsid w:val="00F54B65"/>
    <w:rsid w:val="00F56D78"/>
    <w:rsid w:val="00F640B6"/>
    <w:rsid w:val="00F6608C"/>
    <w:rsid w:val="00F66DF2"/>
    <w:rsid w:val="00F6780D"/>
    <w:rsid w:val="00F67CC6"/>
    <w:rsid w:val="00F67EFB"/>
    <w:rsid w:val="00F75990"/>
    <w:rsid w:val="00F775F3"/>
    <w:rsid w:val="00F80E40"/>
    <w:rsid w:val="00F812D1"/>
    <w:rsid w:val="00F848D9"/>
    <w:rsid w:val="00F92F7E"/>
    <w:rsid w:val="00F93C6D"/>
    <w:rsid w:val="00FA0237"/>
    <w:rsid w:val="00FA0F96"/>
    <w:rsid w:val="00FA4078"/>
    <w:rsid w:val="00FA5B82"/>
    <w:rsid w:val="00FA639E"/>
    <w:rsid w:val="00FA63BB"/>
    <w:rsid w:val="00FB3A3B"/>
    <w:rsid w:val="00FB5874"/>
    <w:rsid w:val="00FC1FCA"/>
    <w:rsid w:val="00FC25E4"/>
    <w:rsid w:val="00FC2ADC"/>
    <w:rsid w:val="00FC4EF7"/>
    <w:rsid w:val="00FC6DFD"/>
    <w:rsid w:val="00FD0824"/>
    <w:rsid w:val="00FD119B"/>
    <w:rsid w:val="00FD1EDC"/>
    <w:rsid w:val="00FD2763"/>
    <w:rsid w:val="00FD2D4D"/>
    <w:rsid w:val="00FE1DEE"/>
    <w:rsid w:val="00FE3FD3"/>
    <w:rsid w:val="00FF2126"/>
    <w:rsid w:val="00FF3719"/>
    <w:rsid w:val="00FF5755"/>
    <w:rsid w:val="00FF62A9"/>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8192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35" w:unhideWhenUsed="0"/>
    <w:lsdException w:name="List Bullet" w:semiHidden="0" w:uiPriority="2" w:unhideWhenUsed="0" w:qFormat="1"/>
    <w:lsdException w:name="List Bullet 2" w:semiHidden="0" w:uiPriority="2" w:unhideWhenUsed="0" w:qFormat="1"/>
    <w:lsdException w:name="List Bullet 3" w:uiPriority="2"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1"/>
    <w:qFormat/>
    <w:rsid w:val="00AD3935"/>
    <w:pPr>
      <w:spacing w:before="120" w:after="120" w:line="240" w:lineRule="atLeast"/>
    </w:pPr>
    <w:rPr>
      <w:rFonts w:ascii="Cambria" w:eastAsia="Cambria" w:hAnsi="Cambria" w:cs="Times New Roman"/>
    </w:rPr>
  </w:style>
  <w:style w:type="paragraph" w:styleId="Heading1">
    <w:name w:val="heading 1"/>
    <w:basedOn w:val="Heading2"/>
    <w:next w:val="Normal"/>
    <w:link w:val="Heading1Char"/>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4722CC"/>
    <w:pPr>
      <w:keepNext/>
      <w:keepLines/>
      <w:spacing w:before="480" w:after="0" w:line="220" w:lineRule="atLeast"/>
      <w:outlineLvl w:val="2"/>
    </w:pPr>
    <w:rPr>
      <w:rFonts w:ascii="Arial" w:eastAsia="Times New Roman" w:hAnsi="Arial"/>
      <w:b/>
      <w:bCs/>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rsid w:val="00770CAC"/>
    <w:pPr>
      <w:keepNext/>
      <w:spacing w:after="60" w:line="180" w:lineRule="atLeast"/>
      <w:outlineLvl w:val="6"/>
    </w:pPr>
    <w:rPr>
      <w:rFonts w:eastAsia="Times New Roman"/>
      <w:bCs/>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AD3935"/>
    <w:rPr>
      <w:rFonts w:ascii="Arial" w:eastAsia="Times New Roman" w:hAnsi="Arial" w:cs="Times New Roman"/>
      <w:b/>
      <w:bCs/>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156AEF"/>
    <w:pPr>
      <w:keepNext/>
      <w:keepLines/>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70CAC"/>
    <w:rPr>
      <w:rFonts w:ascii="Cambria" w:eastAsia="Times New Roman" w:hAnsi="Cambria" w:cs="Times New Roman"/>
      <w:bCs/>
      <w:sz w:val="20"/>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4C2DCA"/>
    <w:pPr>
      <w:numPr>
        <w:numId w:val="21"/>
      </w:numPr>
    </w:pPr>
  </w:style>
  <w:style w:type="paragraph" w:styleId="ListBullet2">
    <w:name w:val="List Bullet 2"/>
    <w:basedOn w:val="Normal"/>
    <w:uiPriority w:val="2"/>
    <w:qFormat/>
    <w:rsid w:val="004C2DCA"/>
    <w:pPr>
      <w:numPr>
        <w:ilvl w:val="1"/>
        <w:numId w:val="21"/>
      </w:numPr>
    </w:pPr>
  </w:style>
  <w:style w:type="paragraph" w:styleId="ListBullet3">
    <w:name w:val="List Bullet 3"/>
    <w:basedOn w:val="Normal"/>
    <w:uiPriority w:val="2"/>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24"/>
      </w:numPr>
    </w:pPr>
  </w:style>
  <w:style w:type="paragraph" w:customStyle="1" w:styleId="Numberbullet2">
    <w:name w:val="Number bullet 2"/>
    <w:basedOn w:val="ListBullet2"/>
    <w:qFormat/>
    <w:rsid w:val="004C2DCA"/>
    <w:pPr>
      <w:numPr>
        <w:numId w:val="24"/>
      </w:numPr>
    </w:pPr>
  </w:style>
  <w:style w:type="paragraph" w:customStyle="1" w:styleId="Numberbullet3">
    <w:name w:val="Number bullet 3"/>
    <w:basedOn w:val="ListBullet3"/>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1B5C90"/>
    <w:pPr>
      <w:spacing w:before="0" w:line="240" w:lineRule="auto"/>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link w:val="TabletextChar"/>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link w:val="TableTitleChar"/>
    <w:qFormat/>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iPriority w:val="99"/>
    <w:semiHidden/>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uiPriority w:val="99"/>
    <w:semiHidden/>
    <w:rsid w:val="001B5C90"/>
    <w:rPr>
      <w:rFonts w:ascii="Cambria" w:eastAsia="Cambria" w:hAnsi="Cambria" w:cs="Times New Roman"/>
      <w:sz w:val="18"/>
      <w:szCs w:val="20"/>
    </w:rPr>
  </w:style>
  <w:style w:type="character" w:styleId="FootnoteReference">
    <w:name w:val="footnote reference"/>
    <w:basedOn w:val="DefaultParagraphFont"/>
    <w:uiPriority w:val="99"/>
    <w:semiHidden/>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DD28CD"/>
    <w:pPr>
      <w:ind w:left="992" w:hanging="992"/>
    </w:pPr>
  </w:style>
  <w:style w:type="paragraph" w:styleId="EndnoteText">
    <w:name w:val="endnote text"/>
    <w:basedOn w:val="Normal"/>
    <w:link w:val="EndnoteTextChar"/>
    <w:uiPriority w:val="99"/>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0E6196"/>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0E6196"/>
    <w:rPr>
      <w:vertAlign w:val="superscript"/>
    </w:rPr>
  </w:style>
  <w:style w:type="character" w:styleId="CommentReference">
    <w:name w:val="annotation reference"/>
    <w:basedOn w:val="DefaultParagraphFont"/>
    <w:uiPriority w:val="99"/>
    <w:semiHidden/>
    <w:unhideWhenUsed/>
    <w:rsid w:val="00EC463D"/>
    <w:rPr>
      <w:sz w:val="16"/>
      <w:szCs w:val="16"/>
    </w:rPr>
  </w:style>
  <w:style w:type="paragraph" w:styleId="CommentText">
    <w:name w:val="annotation text"/>
    <w:basedOn w:val="Normal"/>
    <w:link w:val="CommentTextChar"/>
    <w:uiPriority w:val="99"/>
    <w:semiHidden/>
    <w:unhideWhenUsed/>
    <w:rsid w:val="00EC463D"/>
    <w:pPr>
      <w:spacing w:line="240" w:lineRule="auto"/>
    </w:pPr>
    <w:rPr>
      <w:sz w:val="20"/>
      <w:szCs w:val="20"/>
    </w:rPr>
  </w:style>
  <w:style w:type="character" w:customStyle="1" w:styleId="CommentTextChar">
    <w:name w:val="Comment Text Char"/>
    <w:basedOn w:val="DefaultParagraphFont"/>
    <w:link w:val="CommentText"/>
    <w:uiPriority w:val="99"/>
    <w:semiHidden/>
    <w:rsid w:val="00EC463D"/>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EC463D"/>
    <w:rPr>
      <w:b/>
      <w:bCs/>
    </w:rPr>
  </w:style>
  <w:style w:type="character" w:customStyle="1" w:styleId="CommentSubjectChar">
    <w:name w:val="Comment Subject Char"/>
    <w:basedOn w:val="CommentTextChar"/>
    <w:link w:val="CommentSubject"/>
    <w:uiPriority w:val="99"/>
    <w:semiHidden/>
    <w:rsid w:val="00EC463D"/>
    <w:rPr>
      <w:rFonts w:ascii="Cambria" w:eastAsia="Cambria" w:hAnsi="Cambria" w:cs="Times New Roman"/>
      <w:b/>
      <w:bCs/>
      <w:sz w:val="20"/>
      <w:szCs w:val="20"/>
    </w:rPr>
  </w:style>
  <w:style w:type="paragraph" w:styleId="Revision">
    <w:name w:val="Revision"/>
    <w:hidden/>
    <w:uiPriority w:val="99"/>
    <w:semiHidden/>
    <w:rsid w:val="003442FD"/>
    <w:pPr>
      <w:spacing w:after="0" w:line="240" w:lineRule="auto"/>
    </w:pPr>
    <w:rPr>
      <w:rFonts w:ascii="Cambria" w:eastAsia="Cambria" w:hAnsi="Cambria" w:cs="Times New Roman"/>
    </w:rPr>
  </w:style>
  <w:style w:type="paragraph" w:customStyle="1" w:styleId="Instructions">
    <w:name w:val="Instructions"/>
    <w:basedOn w:val="Normal"/>
    <w:next w:val="Normal"/>
    <w:uiPriority w:val="1"/>
    <w:qFormat/>
    <w:rsid w:val="00EE27C2"/>
    <w:rPr>
      <w:i/>
      <w:color w:val="007099"/>
    </w:rPr>
  </w:style>
  <w:style w:type="paragraph" w:styleId="ListParagraph">
    <w:name w:val="List Paragraph"/>
    <w:basedOn w:val="Normal"/>
    <w:uiPriority w:val="34"/>
    <w:qFormat/>
    <w:rsid w:val="000E30AA"/>
    <w:pPr>
      <w:tabs>
        <w:tab w:val="left" w:pos="567"/>
      </w:tabs>
      <w:adjustRightInd w:val="0"/>
      <w:snapToGrid w:val="0"/>
      <w:spacing w:before="0" w:after="240" w:line="240" w:lineRule="auto"/>
      <w:ind w:left="720"/>
      <w:contextualSpacing/>
    </w:pPr>
    <w:rPr>
      <w:rFonts w:eastAsia="MS Mincho"/>
      <w:szCs w:val="20"/>
      <w:lang w:val="en-GB" w:eastAsia="ja-JP"/>
    </w:rPr>
  </w:style>
  <w:style w:type="paragraph" w:customStyle="1" w:styleId="TableCaption">
    <w:name w:val="Table Caption"/>
    <w:basedOn w:val="Normal"/>
    <w:link w:val="TableCaptionChar"/>
    <w:qFormat/>
    <w:rsid w:val="000B5F90"/>
    <w:pPr>
      <w:adjustRightInd w:val="0"/>
      <w:snapToGrid w:val="0"/>
      <w:spacing w:after="240"/>
    </w:pPr>
    <w:rPr>
      <w:rFonts w:eastAsia="MS Mincho"/>
      <w:i/>
      <w:snapToGrid w:val="0"/>
      <w:sz w:val="19"/>
      <w:szCs w:val="20"/>
      <w:lang w:eastAsia="ja-JP"/>
    </w:rPr>
  </w:style>
  <w:style w:type="paragraph" w:customStyle="1" w:styleId="TableHeader">
    <w:name w:val="Table Header"/>
    <w:basedOn w:val="Normal"/>
    <w:rsid w:val="000B5F90"/>
    <w:pPr>
      <w:keepNext/>
      <w:keepLines/>
      <w:widowControl w:val="0"/>
      <w:spacing w:before="60" w:after="60" w:line="200" w:lineRule="exact"/>
      <w:jc w:val="center"/>
    </w:pPr>
    <w:rPr>
      <w:rFonts w:eastAsia="MS Mincho" w:cstheme="minorBidi"/>
      <w:b/>
      <w:kern w:val="2"/>
      <w:sz w:val="19"/>
      <w:szCs w:val="19"/>
    </w:rPr>
  </w:style>
  <w:style w:type="character" w:customStyle="1" w:styleId="TabletextChar">
    <w:name w:val="Table text Char"/>
    <w:basedOn w:val="DefaultParagraphFont"/>
    <w:link w:val="Tabletext"/>
    <w:rsid w:val="000B5F90"/>
    <w:rPr>
      <w:rFonts w:ascii="Cambria" w:eastAsia="Cambria" w:hAnsi="Cambria" w:cs="Times New Roman"/>
      <w:sz w:val="19"/>
    </w:rPr>
  </w:style>
  <w:style w:type="character" w:customStyle="1" w:styleId="TableCaptionChar">
    <w:name w:val="Table Caption Char"/>
    <w:basedOn w:val="TabletextChar"/>
    <w:link w:val="TableCaption"/>
    <w:rsid w:val="000B5F90"/>
    <w:rPr>
      <w:rFonts w:ascii="Cambria" w:eastAsia="MS Mincho" w:hAnsi="Cambria" w:cs="Times New Roman"/>
      <w:i/>
      <w:snapToGrid w:val="0"/>
      <w:sz w:val="19"/>
      <w:szCs w:val="20"/>
      <w:lang w:eastAsia="ja-JP"/>
    </w:rPr>
  </w:style>
  <w:style w:type="character" w:customStyle="1" w:styleId="TableTitleChar">
    <w:name w:val="Table Title Char"/>
    <w:basedOn w:val="DefaultParagraphFont"/>
    <w:link w:val="TableTitle"/>
    <w:rsid w:val="000B5F90"/>
    <w:rPr>
      <w:rFonts w:ascii="Cambria" w:eastAsia="Cambria" w:hAnsi="Cambria" w:cs="Times New Roman"/>
      <w:b/>
    </w:rPr>
  </w:style>
  <w:style w:type="paragraph" w:customStyle="1" w:styleId="Standard">
    <w:name w:val="Standard"/>
    <w:basedOn w:val="Normal"/>
    <w:link w:val="StandardChar"/>
    <w:rsid w:val="000B5F90"/>
    <w:pPr>
      <w:widowControl w:val="0"/>
      <w:spacing w:before="0" w:after="220" w:line="252" w:lineRule="auto"/>
    </w:pPr>
    <w:rPr>
      <w:rFonts w:eastAsia="Times New Roman"/>
      <w:kern w:val="16"/>
      <w:szCs w:val="24"/>
    </w:rPr>
  </w:style>
  <w:style w:type="character" w:customStyle="1" w:styleId="StandardChar">
    <w:name w:val="Standard Char"/>
    <w:basedOn w:val="DefaultParagraphFont"/>
    <w:link w:val="Standard"/>
    <w:rsid w:val="000B5F90"/>
    <w:rPr>
      <w:rFonts w:ascii="Cambria" w:eastAsia="Times New Roman" w:hAnsi="Cambria" w:cs="Times New Roman"/>
      <w:kern w:val="16"/>
      <w:szCs w:val="24"/>
    </w:rPr>
  </w:style>
  <w:style w:type="paragraph" w:customStyle="1" w:styleId="Bullet1">
    <w:name w:val="Bullet 1"/>
    <w:basedOn w:val="Normal"/>
    <w:rsid w:val="00F0659B"/>
    <w:pPr>
      <w:numPr>
        <w:numId w:val="30"/>
      </w:numPr>
      <w:spacing w:after="0" w:line="240" w:lineRule="auto"/>
    </w:pPr>
    <w:rPr>
      <w:rFonts w:eastAsia="Times New Roman"/>
      <w:kern w:val="24"/>
      <w:szCs w:val="24"/>
      <w:lang w:eastAsia="en-AU"/>
    </w:rPr>
  </w:style>
  <w:style w:type="paragraph" w:customStyle="1" w:styleId="Bullet2">
    <w:name w:val="Bullet 2"/>
    <w:basedOn w:val="Bullet1"/>
    <w:rsid w:val="00F0659B"/>
    <w:pPr>
      <w:numPr>
        <w:numId w:val="31"/>
      </w:numPr>
    </w:pPr>
  </w:style>
  <w:style w:type="paragraph" w:styleId="Quote">
    <w:name w:val="Quote"/>
    <w:basedOn w:val="Standard"/>
    <w:next w:val="Standard"/>
    <w:link w:val="QuoteChar"/>
    <w:qFormat/>
    <w:rsid w:val="00F10B50"/>
    <w:pPr>
      <w:widowControl/>
      <w:spacing w:after="120" w:line="240" w:lineRule="auto"/>
      <w:ind w:left="397" w:right="397"/>
    </w:pPr>
    <w:rPr>
      <w:snapToGrid w:val="0"/>
    </w:rPr>
  </w:style>
  <w:style w:type="character" w:customStyle="1" w:styleId="QuoteChar">
    <w:name w:val="Quote Char"/>
    <w:basedOn w:val="DefaultParagraphFont"/>
    <w:link w:val="Quote"/>
    <w:rsid w:val="00F10B50"/>
    <w:rPr>
      <w:rFonts w:ascii="Cambria" w:eastAsia="Times New Roman" w:hAnsi="Cambria" w:cs="Times New Roman"/>
      <w:snapToGrid w:val="0"/>
      <w:kern w:val="16"/>
      <w:szCs w:val="24"/>
    </w:rPr>
  </w:style>
  <w:style w:type="table" w:customStyle="1" w:styleId="TableTGAblue1">
    <w:name w:val="Table TGA blue1"/>
    <w:basedOn w:val="TableNormal"/>
    <w:uiPriority w:val="99"/>
    <w:qFormat/>
    <w:rsid w:val="00B1086F"/>
    <w:pPr>
      <w:spacing w:after="0" w:line="240" w:lineRule="auto"/>
    </w:pPr>
    <w:rPr>
      <w:rFonts w:ascii="Cambria" w:hAnsi="Cambria" w:cs="Times New Roman"/>
      <w:color w:val="000000"/>
      <w:szCs w:val="21"/>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wordWrap/>
      </w:pPr>
      <w:rPr>
        <w:rFonts w:ascii="Cambria" w:hAnsi="Cambria" w:hint="default"/>
        <w:b/>
        <w:color w:val="FFFFFF"/>
        <w:sz w:val="22"/>
        <w:szCs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35" w:unhideWhenUsed="0"/>
    <w:lsdException w:name="List Bullet" w:semiHidden="0" w:uiPriority="2" w:unhideWhenUsed="0" w:qFormat="1"/>
    <w:lsdException w:name="List Bullet 2" w:semiHidden="0" w:uiPriority="2" w:unhideWhenUsed="0" w:qFormat="1"/>
    <w:lsdException w:name="List Bullet 3" w:uiPriority="2"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1"/>
    <w:qFormat/>
    <w:rsid w:val="00AD3935"/>
    <w:pPr>
      <w:spacing w:before="120" w:after="120" w:line="240" w:lineRule="atLeast"/>
    </w:pPr>
    <w:rPr>
      <w:rFonts w:ascii="Cambria" w:eastAsia="Cambria" w:hAnsi="Cambria" w:cs="Times New Roman"/>
    </w:rPr>
  </w:style>
  <w:style w:type="paragraph" w:styleId="Heading1">
    <w:name w:val="heading 1"/>
    <w:basedOn w:val="Heading2"/>
    <w:next w:val="Normal"/>
    <w:link w:val="Heading1Char"/>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4722CC"/>
    <w:pPr>
      <w:keepNext/>
      <w:keepLines/>
      <w:spacing w:before="480" w:after="0" w:line="220" w:lineRule="atLeast"/>
      <w:outlineLvl w:val="2"/>
    </w:pPr>
    <w:rPr>
      <w:rFonts w:ascii="Arial" w:eastAsia="Times New Roman" w:hAnsi="Arial"/>
      <w:b/>
      <w:bCs/>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rsid w:val="00770CAC"/>
    <w:pPr>
      <w:keepNext/>
      <w:spacing w:after="60" w:line="180" w:lineRule="atLeast"/>
      <w:outlineLvl w:val="6"/>
    </w:pPr>
    <w:rPr>
      <w:rFonts w:eastAsia="Times New Roman"/>
      <w:bCs/>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AD3935"/>
    <w:rPr>
      <w:rFonts w:ascii="Arial" w:eastAsia="Times New Roman" w:hAnsi="Arial" w:cs="Times New Roman"/>
      <w:b/>
      <w:bCs/>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156AEF"/>
    <w:pPr>
      <w:keepNext/>
      <w:keepLines/>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70CAC"/>
    <w:rPr>
      <w:rFonts w:ascii="Cambria" w:eastAsia="Times New Roman" w:hAnsi="Cambria" w:cs="Times New Roman"/>
      <w:bCs/>
      <w:sz w:val="20"/>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4C2DCA"/>
    <w:pPr>
      <w:numPr>
        <w:numId w:val="21"/>
      </w:numPr>
    </w:pPr>
  </w:style>
  <w:style w:type="paragraph" w:styleId="ListBullet2">
    <w:name w:val="List Bullet 2"/>
    <w:basedOn w:val="Normal"/>
    <w:uiPriority w:val="2"/>
    <w:qFormat/>
    <w:rsid w:val="004C2DCA"/>
    <w:pPr>
      <w:numPr>
        <w:ilvl w:val="1"/>
        <w:numId w:val="21"/>
      </w:numPr>
    </w:pPr>
  </w:style>
  <w:style w:type="paragraph" w:styleId="ListBullet3">
    <w:name w:val="List Bullet 3"/>
    <w:basedOn w:val="Normal"/>
    <w:uiPriority w:val="2"/>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24"/>
      </w:numPr>
    </w:pPr>
  </w:style>
  <w:style w:type="paragraph" w:customStyle="1" w:styleId="Numberbullet2">
    <w:name w:val="Number bullet 2"/>
    <w:basedOn w:val="ListBullet2"/>
    <w:qFormat/>
    <w:rsid w:val="004C2DCA"/>
    <w:pPr>
      <w:numPr>
        <w:numId w:val="24"/>
      </w:numPr>
    </w:pPr>
  </w:style>
  <w:style w:type="paragraph" w:customStyle="1" w:styleId="Numberbullet3">
    <w:name w:val="Number bullet 3"/>
    <w:basedOn w:val="ListBullet3"/>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1B5C90"/>
    <w:pPr>
      <w:spacing w:before="0" w:line="240" w:lineRule="auto"/>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link w:val="TabletextChar"/>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link w:val="TableTitleChar"/>
    <w:qFormat/>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iPriority w:val="99"/>
    <w:semiHidden/>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uiPriority w:val="99"/>
    <w:semiHidden/>
    <w:rsid w:val="001B5C90"/>
    <w:rPr>
      <w:rFonts w:ascii="Cambria" w:eastAsia="Cambria" w:hAnsi="Cambria" w:cs="Times New Roman"/>
      <w:sz w:val="18"/>
      <w:szCs w:val="20"/>
    </w:rPr>
  </w:style>
  <w:style w:type="character" w:styleId="FootnoteReference">
    <w:name w:val="footnote reference"/>
    <w:basedOn w:val="DefaultParagraphFont"/>
    <w:uiPriority w:val="99"/>
    <w:semiHidden/>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DD28CD"/>
    <w:pPr>
      <w:ind w:left="992" w:hanging="992"/>
    </w:pPr>
  </w:style>
  <w:style w:type="paragraph" w:styleId="EndnoteText">
    <w:name w:val="endnote text"/>
    <w:basedOn w:val="Normal"/>
    <w:link w:val="EndnoteTextChar"/>
    <w:uiPriority w:val="99"/>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0E6196"/>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0E6196"/>
    <w:rPr>
      <w:vertAlign w:val="superscript"/>
    </w:rPr>
  </w:style>
  <w:style w:type="character" w:styleId="CommentReference">
    <w:name w:val="annotation reference"/>
    <w:basedOn w:val="DefaultParagraphFont"/>
    <w:uiPriority w:val="99"/>
    <w:semiHidden/>
    <w:unhideWhenUsed/>
    <w:rsid w:val="00EC463D"/>
    <w:rPr>
      <w:sz w:val="16"/>
      <w:szCs w:val="16"/>
    </w:rPr>
  </w:style>
  <w:style w:type="paragraph" w:styleId="CommentText">
    <w:name w:val="annotation text"/>
    <w:basedOn w:val="Normal"/>
    <w:link w:val="CommentTextChar"/>
    <w:uiPriority w:val="99"/>
    <w:semiHidden/>
    <w:unhideWhenUsed/>
    <w:rsid w:val="00EC463D"/>
    <w:pPr>
      <w:spacing w:line="240" w:lineRule="auto"/>
    </w:pPr>
    <w:rPr>
      <w:sz w:val="20"/>
      <w:szCs w:val="20"/>
    </w:rPr>
  </w:style>
  <w:style w:type="character" w:customStyle="1" w:styleId="CommentTextChar">
    <w:name w:val="Comment Text Char"/>
    <w:basedOn w:val="DefaultParagraphFont"/>
    <w:link w:val="CommentText"/>
    <w:uiPriority w:val="99"/>
    <w:semiHidden/>
    <w:rsid w:val="00EC463D"/>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EC463D"/>
    <w:rPr>
      <w:b/>
      <w:bCs/>
    </w:rPr>
  </w:style>
  <w:style w:type="character" w:customStyle="1" w:styleId="CommentSubjectChar">
    <w:name w:val="Comment Subject Char"/>
    <w:basedOn w:val="CommentTextChar"/>
    <w:link w:val="CommentSubject"/>
    <w:uiPriority w:val="99"/>
    <w:semiHidden/>
    <w:rsid w:val="00EC463D"/>
    <w:rPr>
      <w:rFonts w:ascii="Cambria" w:eastAsia="Cambria" w:hAnsi="Cambria" w:cs="Times New Roman"/>
      <w:b/>
      <w:bCs/>
      <w:sz w:val="20"/>
      <w:szCs w:val="20"/>
    </w:rPr>
  </w:style>
  <w:style w:type="paragraph" w:styleId="Revision">
    <w:name w:val="Revision"/>
    <w:hidden/>
    <w:uiPriority w:val="99"/>
    <w:semiHidden/>
    <w:rsid w:val="003442FD"/>
    <w:pPr>
      <w:spacing w:after="0" w:line="240" w:lineRule="auto"/>
    </w:pPr>
    <w:rPr>
      <w:rFonts w:ascii="Cambria" w:eastAsia="Cambria" w:hAnsi="Cambria" w:cs="Times New Roman"/>
    </w:rPr>
  </w:style>
  <w:style w:type="paragraph" w:customStyle="1" w:styleId="Instructions">
    <w:name w:val="Instructions"/>
    <w:basedOn w:val="Normal"/>
    <w:next w:val="Normal"/>
    <w:uiPriority w:val="1"/>
    <w:qFormat/>
    <w:rsid w:val="00EE27C2"/>
    <w:rPr>
      <w:i/>
      <w:color w:val="007099"/>
    </w:rPr>
  </w:style>
  <w:style w:type="paragraph" w:styleId="ListParagraph">
    <w:name w:val="List Paragraph"/>
    <w:basedOn w:val="Normal"/>
    <w:uiPriority w:val="34"/>
    <w:qFormat/>
    <w:rsid w:val="000E30AA"/>
    <w:pPr>
      <w:tabs>
        <w:tab w:val="left" w:pos="567"/>
      </w:tabs>
      <w:adjustRightInd w:val="0"/>
      <w:snapToGrid w:val="0"/>
      <w:spacing w:before="0" w:after="240" w:line="240" w:lineRule="auto"/>
      <w:ind w:left="720"/>
      <w:contextualSpacing/>
    </w:pPr>
    <w:rPr>
      <w:rFonts w:eastAsia="MS Mincho"/>
      <w:szCs w:val="20"/>
      <w:lang w:val="en-GB" w:eastAsia="ja-JP"/>
    </w:rPr>
  </w:style>
  <w:style w:type="paragraph" w:customStyle="1" w:styleId="TableCaption">
    <w:name w:val="Table Caption"/>
    <w:basedOn w:val="Normal"/>
    <w:link w:val="TableCaptionChar"/>
    <w:qFormat/>
    <w:rsid w:val="000B5F90"/>
    <w:pPr>
      <w:adjustRightInd w:val="0"/>
      <w:snapToGrid w:val="0"/>
      <w:spacing w:after="240"/>
    </w:pPr>
    <w:rPr>
      <w:rFonts w:eastAsia="MS Mincho"/>
      <w:i/>
      <w:snapToGrid w:val="0"/>
      <w:sz w:val="19"/>
      <w:szCs w:val="20"/>
      <w:lang w:eastAsia="ja-JP"/>
    </w:rPr>
  </w:style>
  <w:style w:type="paragraph" w:customStyle="1" w:styleId="TableHeader">
    <w:name w:val="Table Header"/>
    <w:basedOn w:val="Normal"/>
    <w:rsid w:val="000B5F90"/>
    <w:pPr>
      <w:keepNext/>
      <w:keepLines/>
      <w:widowControl w:val="0"/>
      <w:spacing w:before="60" w:after="60" w:line="200" w:lineRule="exact"/>
      <w:jc w:val="center"/>
    </w:pPr>
    <w:rPr>
      <w:rFonts w:eastAsia="MS Mincho" w:cstheme="minorBidi"/>
      <w:b/>
      <w:kern w:val="2"/>
      <w:sz w:val="19"/>
      <w:szCs w:val="19"/>
    </w:rPr>
  </w:style>
  <w:style w:type="character" w:customStyle="1" w:styleId="TabletextChar">
    <w:name w:val="Table text Char"/>
    <w:basedOn w:val="DefaultParagraphFont"/>
    <w:link w:val="Tabletext"/>
    <w:rsid w:val="000B5F90"/>
    <w:rPr>
      <w:rFonts w:ascii="Cambria" w:eastAsia="Cambria" w:hAnsi="Cambria" w:cs="Times New Roman"/>
      <w:sz w:val="19"/>
    </w:rPr>
  </w:style>
  <w:style w:type="character" w:customStyle="1" w:styleId="TableCaptionChar">
    <w:name w:val="Table Caption Char"/>
    <w:basedOn w:val="TabletextChar"/>
    <w:link w:val="TableCaption"/>
    <w:rsid w:val="000B5F90"/>
    <w:rPr>
      <w:rFonts w:ascii="Cambria" w:eastAsia="MS Mincho" w:hAnsi="Cambria" w:cs="Times New Roman"/>
      <w:i/>
      <w:snapToGrid w:val="0"/>
      <w:sz w:val="19"/>
      <w:szCs w:val="20"/>
      <w:lang w:eastAsia="ja-JP"/>
    </w:rPr>
  </w:style>
  <w:style w:type="character" w:customStyle="1" w:styleId="TableTitleChar">
    <w:name w:val="Table Title Char"/>
    <w:basedOn w:val="DefaultParagraphFont"/>
    <w:link w:val="TableTitle"/>
    <w:rsid w:val="000B5F90"/>
    <w:rPr>
      <w:rFonts w:ascii="Cambria" w:eastAsia="Cambria" w:hAnsi="Cambria" w:cs="Times New Roman"/>
      <w:b/>
    </w:rPr>
  </w:style>
  <w:style w:type="paragraph" w:customStyle="1" w:styleId="Standard">
    <w:name w:val="Standard"/>
    <w:basedOn w:val="Normal"/>
    <w:link w:val="StandardChar"/>
    <w:rsid w:val="000B5F90"/>
    <w:pPr>
      <w:widowControl w:val="0"/>
      <w:spacing w:before="0" w:after="220" w:line="252" w:lineRule="auto"/>
    </w:pPr>
    <w:rPr>
      <w:rFonts w:eastAsia="Times New Roman"/>
      <w:kern w:val="16"/>
      <w:szCs w:val="24"/>
    </w:rPr>
  </w:style>
  <w:style w:type="character" w:customStyle="1" w:styleId="StandardChar">
    <w:name w:val="Standard Char"/>
    <w:basedOn w:val="DefaultParagraphFont"/>
    <w:link w:val="Standard"/>
    <w:rsid w:val="000B5F90"/>
    <w:rPr>
      <w:rFonts w:ascii="Cambria" w:eastAsia="Times New Roman" w:hAnsi="Cambria" w:cs="Times New Roman"/>
      <w:kern w:val="16"/>
      <w:szCs w:val="24"/>
    </w:rPr>
  </w:style>
  <w:style w:type="paragraph" w:customStyle="1" w:styleId="Bullet1">
    <w:name w:val="Bullet 1"/>
    <w:basedOn w:val="Normal"/>
    <w:rsid w:val="00F0659B"/>
    <w:pPr>
      <w:numPr>
        <w:numId w:val="30"/>
      </w:numPr>
      <w:spacing w:after="0" w:line="240" w:lineRule="auto"/>
    </w:pPr>
    <w:rPr>
      <w:rFonts w:eastAsia="Times New Roman"/>
      <w:kern w:val="24"/>
      <w:szCs w:val="24"/>
      <w:lang w:eastAsia="en-AU"/>
    </w:rPr>
  </w:style>
  <w:style w:type="paragraph" w:customStyle="1" w:styleId="Bullet2">
    <w:name w:val="Bullet 2"/>
    <w:basedOn w:val="Bullet1"/>
    <w:rsid w:val="00F0659B"/>
    <w:pPr>
      <w:numPr>
        <w:numId w:val="31"/>
      </w:numPr>
    </w:pPr>
  </w:style>
  <w:style w:type="paragraph" w:styleId="Quote">
    <w:name w:val="Quote"/>
    <w:basedOn w:val="Standard"/>
    <w:next w:val="Standard"/>
    <w:link w:val="QuoteChar"/>
    <w:qFormat/>
    <w:rsid w:val="00F10B50"/>
    <w:pPr>
      <w:widowControl/>
      <w:spacing w:after="120" w:line="240" w:lineRule="auto"/>
      <w:ind w:left="397" w:right="397"/>
    </w:pPr>
    <w:rPr>
      <w:snapToGrid w:val="0"/>
    </w:rPr>
  </w:style>
  <w:style w:type="character" w:customStyle="1" w:styleId="QuoteChar">
    <w:name w:val="Quote Char"/>
    <w:basedOn w:val="DefaultParagraphFont"/>
    <w:link w:val="Quote"/>
    <w:rsid w:val="00F10B50"/>
    <w:rPr>
      <w:rFonts w:ascii="Cambria" w:eastAsia="Times New Roman" w:hAnsi="Cambria" w:cs="Times New Roman"/>
      <w:snapToGrid w:val="0"/>
      <w:kern w:val="16"/>
      <w:szCs w:val="24"/>
    </w:rPr>
  </w:style>
  <w:style w:type="table" w:customStyle="1" w:styleId="TableTGAblue1">
    <w:name w:val="Table TGA blue1"/>
    <w:basedOn w:val="TableNormal"/>
    <w:uiPriority w:val="99"/>
    <w:qFormat/>
    <w:rsid w:val="00B1086F"/>
    <w:pPr>
      <w:spacing w:after="0" w:line="240" w:lineRule="auto"/>
    </w:pPr>
    <w:rPr>
      <w:rFonts w:ascii="Cambria" w:hAnsi="Cambria" w:cs="Times New Roman"/>
      <w:color w:val="000000"/>
      <w:szCs w:val="21"/>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wordWrap/>
      </w:pPr>
      <w:rPr>
        <w:rFonts w:ascii="Cambria" w:hAnsi="Cambria" w:hint="default"/>
        <w:b/>
        <w:color w:val="FFFFFF"/>
        <w:sz w:val="22"/>
        <w:szCs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179036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6.png"/><Relationship Id="rId26" Type="http://schemas.openxmlformats.org/officeDocument/2006/relationships/hyperlink" Target="https://www.tga.gov.au/product-information-pi"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header" Target="header7.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header" Target="header6.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2.png"/><Relationship Id="rId32" Type="http://schemas.openxmlformats.org/officeDocument/2006/relationships/hyperlink" Target="https://www.tga.gov.au" TargetMode="External"/><Relationship Id="rId37" Type="http://schemas.openxmlformats.org/officeDocument/2006/relationships/footer" Target="footer4.xml"/><Relationship Id="rId5" Type="http://schemas.openxmlformats.org/officeDocument/2006/relationships/settings" Target="settings.xml"/><Relationship Id="rId15" Type="http://schemas.openxmlformats.org/officeDocument/2006/relationships/hyperlink" Target="https://www.tga.gov.au/product-information-pi" TargetMode="External"/><Relationship Id="rId23" Type="http://schemas.openxmlformats.org/officeDocument/2006/relationships/image" Target="media/image11.png"/><Relationship Id="rId28" Type="http://schemas.openxmlformats.org/officeDocument/2006/relationships/header" Target="header4.xml"/><Relationship Id="rId36" Type="http://schemas.openxmlformats.org/officeDocument/2006/relationships/header" Target="header8.xml"/><Relationship Id="rId10" Type="http://schemas.openxmlformats.org/officeDocument/2006/relationships/hyperlink" Target="mailto:tga.copyright@tga.gov.au" TargetMode="External"/><Relationship Id="rId19" Type="http://schemas.openxmlformats.org/officeDocument/2006/relationships/image" Target="media/image7.png"/><Relationship Id="rId31" Type="http://schemas.openxmlformats.org/officeDocument/2006/relationships/hyperlink" Target="mailto:info@tga.gov.au" TargetMode="External"/><Relationship Id="rId4" Type="http://schemas.microsoft.com/office/2007/relationships/stylesWithEffects" Target="stylesWithEffects.xml"/><Relationship Id="rId9" Type="http://schemas.openxmlformats.org/officeDocument/2006/relationships/hyperlink" Target="https://www.tga.gov.au" TargetMode="External"/><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header" Target="header3.xml"/><Relationship Id="rId30" Type="http://schemas.openxmlformats.org/officeDocument/2006/relationships/footer" Target="footer2.xml"/><Relationship Id="rId35" Type="http://schemas.openxmlformats.org/officeDocument/2006/relationships/footer" Target="footer3.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patp\AppData\Local\Hewlett-Packard\HP%20TRIM\TEMP\HPTRIM.5172\R12%20926607%20%20AusPAR%20-%20template.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D142CE-DDE7-43FA-AC94-DABD718AF3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R12 926607  AusPAR - template</Template>
  <TotalTime>16</TotalTime>
  <Pages>46</Pages>
  <Words>13226</Words>
  <Characters>82404</Characters>
  <Application>Microsoft Office Word</Application>
  <DocSecurity>0</DocSecurity>
  <Lines>3169</Lines>
  <Paragraphs>1875</Paragraphs>
  <ScaleCrop>false</ScaleCrop>
  <HeadingPairs>
    <vt:vector size="2" baseType="variant">
      <vt:variant>
        <vt:lpstr>Title</vt:lpstr>
      </vt:variant>
      <vt:variant>
        <vt:i4>1</vt:i4>
      </vt:variant>
    </vt:vector>
  </HeadingPairs>
  <TitlesOfParts>
    <vt:vector size="1" baseType="lpstr">
      <vt:lpstr>Australian public assessment for...</vt:lpstr>
    </vt:vector>
  </TitlesOfParts>
  <Company>Department of Health Therapeutic Goods Administration</Company>
  <LinksUpToDate>false</LinksUpToDate>
  <CharactersWithSpaces>93755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for paritaprevir / ritonavir / ombitasvir</dc:title>
  <dc:subject>prescription medicines</dc:subject>
  <dc:creator>Therapeutic Goods Administration</dc:creator>
  <cp:keywords>AusPARs</cp:keywords>
  <cp:lastModifiedBy>LACK, Janet</cp:lastModifiedBy>
  <cp:revision>4</cp:revision>
  <cp:lastPrinted>2015-09-22T23:39:00Z</cp:lastPrinted>
  <dcterms:created xsi:type="dcterms:W3CDTF">2017-11-01T00:53:00Z</dcterms:created>
  <dcterms:modified xsi:type="dcterms:W3CDTF">2017-11-01T04:29:00Z</dcterms:modified>
  <cp:category/>
</cp:coreProperties>
</file>