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FFD" w:rsidRPr="00823076" w:rsidRDefault="00AA7FFD">
      <w:pPr>
        <w:pStyle w:val="Heading1"/>
        <w:rPr>
          <w:color w:val="000000"/>
        </w:rPr>
      </w:pPr>
      <w:r w:rsidRPr="00823076">
        <w:rPr>
          <w:color w:val="000000"/>
        </w:rPr>
        <w:t xml:space="preserve">NAME OF THE </w:t>
      </w:r>
      <w:r w:rsidR="006E463F" w:rsidRPr="00823076">
        <w:rPr>
          <w:color w:val="000000"/>
        </w:rPr>
        <w:t>MEDICINE</w:t>
      </w:r>
    </w:p>
    <w:p w:rsidR="00AA7FFD" w:rsidRPr="00823076" w:rsidRDefault="006E463F">
      <w:pPr>
        <w:pStyle w:val="BodyText2"/>
        <w:rPr>
          <w:rFonts w:cs="Times New Roman"/>
          <w:color w:val="000000"/>
          <w:szCs w:val="20"/>
          <w:highlight w:val="yellow"/>
        </w:rPr>
      </w:pPr>
      <w:proofErr w:type="spellStart"/>
      <w:r w:rsidRPr="00823076">
        <w:rPr>
          <w:snapToGrid w:val="0"/>
          <w:color w:val="000000"/>
        </w:rPr>
        <w:t>Vectibix</w:t>
      </w:r>
      <w:proofErr w:type="spellEnd"/>
      <w:r w:rsidRPr="00823076">
        <w:rPr>
          <w:snapToGrid w:val="0"/>
          <w:color w:val="000000"/>
          <w:vertAlign w:val="superscript"/>
        </w:rPr>
        <w:t>®</w:t>
      </w:r>
      <w:r w:rsidRPr="00823076">
        <w:rPr>
          <w:snapToGrid w:val="0"/>
          <w:color w:val="000000"/>
        </w:rPr>
        <w:t xml:space="preserve"> </w:t>
      </w:r>
      <w:r w:rsidRPr="00823076">
        <w:rPr>
          <w:color w:val="000000"/>
        </w:rPr>
        <w:t xml:space="preserve">is the Amgen Inc. trademark for </w:t>
      </w:r>
      <w:proofErr w:type="spellStart"/>
      <w:r w:rsidRPr="00823076">
        <w:rPr>
          <w:color w:val="000000"/>
        </w:rPr>
        <w:t>panitumumab</w:t>
      </w:r>
      <w:proofErr w:type="spellEnd"/>
      <w:r w:rsidRPr="00823076">
        <w:rPr>
          <w:color w:val="000000"/>
        </w:rPr>
        <w:t xml:space="preserve"> (</w:t>
      </w:r>
      <w:proofErr w:type="spellStart"/>
      <w:r w:rsidR="00AA7FFD" w:rsidRPr="00823076">
        <w:rPr>
          <w:color w:val="000000"/>
        </w:rPr>
        <w:t>rch</w:t>
      </w:r>
      <w:proofErr w:type="spellEnd"/>
      <w:r w:rsidR="00AA7FFD" w:rsidRPr="00823076">
        <w:rPr>
          <w:color w:val="000000"/>
        </w:rPr>
        <w:t>)</w:t>
      </w:r>
      <w:r w:rsidRPr="00823076">
        <w:rPr>
          <w:color w:val="000000"/>
        </w:rPr>
        <w:t>.</w:t>
      </w:r>
    </w:p>
    <w:p w:rsidR="00AA7FFD" w:rsidRPr="00823076" w:rsidRDefault="00AA7FFD">
      <w:pPr>
        <w:pStyle w:val="CPCLH1"/>
        <w:tabs>
          <w:tab w:val="clear" w:pos="600"/>
          <w:tab w:val="clear" w:pos="1200"/>
          <w:tab w:val="clear" w:pos="1800"/>
          <w:tab w:val="clear" w:pos="2400"/>
          <w:tab w:val="clear" w:pos="3000"/>
          <w:tab w:val="clear" w:pos="3600"/>
          <w:tab w:val="clear" w:pos="4200"/>
          <w:tab w:val="clear" w:pos="4800"/>
          <w:tab w:val="clear" w:pos="5400"/>
          <w:tab w:val="clear" w:pos="6000"/>
          <w:tab w:val="clear" w:pos="6600"/>
        </w:tabs>
        <w:jc w:val="left"/>
        <w:rPr>
          <w:rFonts w:ascii="Times New Roman" w:hAnsi="Times New Roman"/>
          <w:b w:val="0"/>
          <w:bCs/>
          <w:color w:val="000000"/>
          <w:sz w:val="24"/>
        </w:rPr>
      </w:pPr>
    </w:p>
    <w:p w:rsidR="00AA7FFD" w:rsidRPr="00823076" w:rsidRDefault="00AA7FFD">
      <w:pPr>
        <w:pStyle w:val="Heading1"/>
        <w:rPr>
          <w:color w:val="000000"/>
        </w:rPr>
      </w:pPr>
      <w:r w:rsidRPr="00823076">
        <w:rPr>
          <w:color w:val="000000"/>
        </w:rPr>
        <w:t>DESCRIPTION</w:t>
      </w:r>
    </w:p>
    <w:p w:rsidR="00AA7FFD" w:rsidRPr="00823076" w:rsidRDefault="00AA7FFD">
      <w:pPr>
        <w:rPr>
          <w:color w:val="000000"/>
          <w:sz w:val="24"/>
        </w:rPr>
      </w:pPr>
      <w:proofErr w:type="spellStart"/>
      <w:r w:rsidRPr="00823076">
        <w:rPr>
          <w:color w:val="000000"/>
          <w:sz w:val="24"/>
        </w:rPr>
        <w:t>Panitumumab</w:t>
      </w:r>
      <w:proofErr w:type="spellEnd"/>
      <w:r w:rsidRPr="00823076">
        <w:rPr>
          <w:color w:val="000000"/>
          <w:sz w:val="24"/>
        </w:rPr>
        <w:t xml:space="preserve"> is presented as a concentrate for solution for</w:t>
      </w:r>
      <w:r w:rsidR="001D6585">
        <w:rPr>
          <w:color w:val="000000"/>
          <w:sz w:val="24"/>
        </w:rPr>
        <w:t xml:space="preserve"> infusion, supplied in a </w:t>
      </w:r>
      <w:proofErr w:type="spellStart"/>
      <w:r w:rsidR="001D6585">
        <w:rPr>
          <w:color w:val="000000"/>
          <w:sz w:val="24"/>
        </w:rPr>
        <w:t>single</w:t>
      </w:r>
      <w:r w:rsidR="001D6585">
        <w:rPr>
          <w:color w:val="000000"/>
          <w:sz w:val="24"/>
        </w:rPr>
        <w:noBreakHyphen/>
      </w:r>
      <w:r w:rsidRPr="00823076">
        <w:rPr>
          <w:color w:val="000000"/>
          <w:sz w:val="24"/>
        </w:rPr>
        <w:t>use</w:t>
      </w:r>
      <w:proofErr w:type="spellEnd"/>
      <w:r w:rsidRPr="00823076">
        <w:rPr>
          <w:color w:val="000000"/>
          <w:sz w:val="24"/>
        </w:rPr>
        <w:t xml:space="preserve"> Type 1 glass vial with elastomeric rubber stopper and </w:t>
      </w:r>
      <w:proofErr w:type="spellStart"/>
      <w:r w:rsidRPr="00823076">
        <w:rPr>
          <w:color w:val="000000"/>
          <w:sz w:val="24"/>
        </w:rPr>
        <w:t>aluminium</w:t>
      </w:r>
      <w:proofErr w:type="spellEnd"/>
      <w:r w:rsidRPr="00823076">
        <w:rPr>
          <w:color w:val="000000"/>
          <w:sz w:val="24"/>
        </w:rPr>
        <w:t xml:space="preserve"> seal with flip-off plastic cap.</w:t>
      </w:r>
    </w:p>
    <w:p w:rsidR="00AA7FFD" w:rsidRPr="00823076" w:rsidRDefault="00AA7FFD">
      <w:pPr>
        <w:rPr>
          <w:color w:val="000000"/>
          <w:sz w:val="24"/>
        </w:rPr>
      </w:pPr>
    </w:p>
    <w:p w:rsidR="00AA7FFD" w:rsidRPr="00823076" w:rsidRDefault="00AA7FFD">
      <w:pPr>
        <w:rPr>
          <w:color w:val="000000"/>
          <w:sz w:val="24"/>
        </w:rPr>
      </w:pPr>
      <w:proofErr w:type="spellStart"/>
      <w:r w:rsidRPr="00823076">
        <w:rPr>
          <w:color w:val="000000"/>
          <w:sz w:val="24"/>
        </w:rPr>
        <w:t>Panitumumab</w:t>
      </w:r>
      <w:proofErr w:type="spellEnd"/>
      <w:r w:rsidRPr="00823076">
        <w:rPr>
          <w:color w:val="000000"/>
          <w:sz w:val="24"/>
        </w:rPr>
        <w:t xml:space="preserve"> is a fully human</w:t>
      </w:r>
      <w:r w:rsidRPr="00823076">
        <w:rPr>
          <w:color w:val="000000"/>
          <w:sz w:val="24"/>
          <w:szCs w:val="22"/>
        </w:rPr>
        <w:t xml:space="preserve"> IgG2 </w:t>
      </w:r>
      <w:r w:rsidRPr="00823076">
        <w:rPr>
          <w:color w:val="000000"/>
          <w:sz w:val="24"/>
        </w:rPr>
        <w:t xml:space="preserve">monoclonal antibody that binds specifically to the human epidermal growth factor receptor (EGFR). </w:t>
      </w:r>
      <w:r w:rsidR="006E463F" w:rsidRPr="00823076">
        <w:rPr>
          <w:color w:val="000000"/>
          <w:sz w:val="24"/>
        </w:rPr>
        <w:t xml:space="preserve"> </w:t>
      </w:r>
      <w:proofErr w:type="spellStart"/>
      <w:r w:rsidRPr="00823076">
        <w:rPr>
          <w:color w:val="000000"/>
          <w:sz w:val="24"/>
        </w:rPr>
        <w:t>Panitumumab</w:t>
      </w:r>
      <w:proofErr w:type="spellEnd"/>
      <w:r w:rsidRPr="00823076">
        <w:rPr>
          <w:color w:val="000000"/>
          <w:sz w:val="24"/>
        </w:rPr>
        <w:t xml:space="preserve"> is produced using recombinant DNA technology in genetically engineered mammalian (CHO) cells. </w:t>
      </w:r>
      <w:r w:rsidR="006E463F" w:rsidRPr="00823076">
        <w:rPr>
          <w:color w:val="000000"/>
          <w:sz w:val="24"/>
        </w:rPr>
        <w:t xml:space="preserve"> </w:t>
      </w:r>
      <w:r w:rsidRPr="00823076">
        <w:rPr>
          <w:color w:val="000000"/>
          <w:sz w:val="24"/>
        </w:rPr>
        <w:t xml:space="preserve">It consists </w:t>
      </w:r>
      <w:r w:rsidRPr="007114A7">
        <w:rPr>
          <w:color w:val="000000"/>
          <w:sz w:val="24"/>
        </w:rPr>
        <w:t>of 2 gamma heavy chains and 2</w:t>
      </w:r>
      <w:r w:rsidRPr="00823076">
        <w:rPr>
          <w:color w:val="000000"/>
          <w:sz w:val="24"/>
        </w:rPr>
        <w:t xml:space="preserve"> kappa light chains, and has a molecular weight of approximately 147 </w:t>
      </w:r>
      <w:proofErr w:type="spellStart"/>
      <w:r w:rsidRPr="00823076">
        <w:rPr>
          <w:color w:val="000000"/>
          <w:sz w:val="24"/>
        </w:rPr>
        <w:t>kilodaltons</w:t>
      </w:r>
      <w:proofErr w:type="spellEnd"/>
      <w:r w:rsidRPr="00823076">
        <w:rPr>
          <w:color w:val="000000"/>
          <w:sz w:val="24"/>
        </w:rPr>
        <w:t>.</w:t>
      </w:r>
    </w:p>
    <w:p w:rsidR="00AA7FFD" w:rsidRPr="00823076" w:rsidRDefault="00AA7FFD">
      <w:pPr>
        <w:rPr>
          <w:color w:val="000000"/>
          <w:sz w:val="24"/>
        </w:rPr>
      </w:pPr>
    </w:p>
    <w:p w:rsidR="00AA7FFD" w:rsidRPr="007114A7" w:rsidRDefault="006E463F" w:rsidP="00000BBF">
      <w:pPr>
        <w:pStyle w:val="Text"/>
        <w:spacing w:after="0" w:line="240" w:lineRule="auto"/>
        <w:rPr>
          <w:rFonts w:ascii="Times New Roman" w:hAnsi="Times New Roman"/>
          <w:bCs/>
          <w:color w:val="000000"/>
          <w:sz w:val="24"/>
        </w:rPr>
      </w:pPr>
      <w:proofErr w:type="spellStart"/>
      <w:r w:rsidRPr="00823076">
        <w:rPr>
          <w:rFonts w:ascii="Times New Roman" w:hAnsi="Times New Roman"/>
          <w:bCs/>
          <w:color w:val="000000"/>
          <w:sz w:val="24"/>
        </w:rPr>
        <w:t>Vectibix</w:t>
      </w:r>
      <w:proofErr w:type="spellEnd"/>
      <w:r w:rsidR="00F85B87" w:rsidRPr="00823076">
        <w:rPr>
          <w:rFonts w:ascii="Times New Roman" w:hAnsi="Times New Roman"/>
          <w:bCs/>
          <w:color w:val="000000"/>
          <w:sz w:val="24"/>
        </w:rPr>
        <w:t xml:space="preserve"> is a sterile, colo</w:t>
      </w:r>
      <w:r w:rsidRPr="00823076">
        <w:rPr>
          <w:rFonts w:ascii="Times New Roman" w:hAnsi="Times New Roman"/>
          <w:bCs/>
          <w:color w:val="000000"/>
          <w:sz w:val="24"/>
        </w:rPr>
        <w:t>u</w:t>
      </w:r>
      <w:r w:rsidR="00F85B87" w:rsidRPr="00823076">
        <w:rPr>
          <w:rFonts w:ascii="Times New Roman" w:hAnsi="Times New Roman"/>
          <w:bCs/>
          <w:color w:val="000000"/>
          <w:sz w:val="24"/>
        </w:rPr>
        <w:t>rless</w:t>
      </w:r>
      <w:r w:rsidR="00AA7FFD" w:rsidRPr="00823076">
        <w:rPr>
          <w:rFonts w:ascii="Times New Roman" w:hAnsi="Times New Roman"/>
          <w:bCs/>
          <w:color w:val="000000"/>
          <w:sz w:val="24"/>
        </w:rPr>
        <w:t xml:space="preserve"> solution for intravenous (IV) infusion, which may contain visible </w:t>
      </w:r>
      <w:r w:rsidR="00AF35A9" w:rsidRPr="00C16CDC">
        <w:rPr>
          <w:rFonts w:ascii="Times New Roman" w:hAnsi="Times New Roman"/>
          <w:bCs/>
          <w:sz w:val="24"/>
        </w:rPr>
        <w:t xml:space="preserve">translucent to white, </w:t>
      </w:r>
      <w:r w:rsidR="00AA7FFD" w:rsidRPr="00C16CDC">
        <w:rPr>
          <w:rFonts w:ascii="Times New Roman" w:hAnsi="Times New Roman"/>
          <w:bCs/>
          <w:sz w:val="24"/>
        </w:rPr>
        <w:t>amorphous</w:t>
      </w:r>
      <w:r w:rsidR="00AF35A9" w:rsidRPr="00C16CDC">
        <w:rPr>
          <w:rFonts w:ascii="Times New Roman" w:hAnsi="Times New Roman"/>
          <w:bCs/>
          <w:sz w:val="24"/>
        </w:rPr>
        <w:t xml:space="preserve">, </w:t>
      </w:r>
      <w:proofErr w:type="spellStart"/>
      <w:r w:rsidR="00AF35A9" w:rsidRPr="00C16CDC">
        <w:rPr>
          <w:rFonts w:ascii="Times New Roman" w:hAnsi="Times New Roman"/>
          <w:bCs/>
          <w:sz w:val="24"/>
        </w:rPr>
        <w:t>proteinaceous</w:t>
      </w:r>
      <w:proofErr w:type="spellEnd"/>
      <w:r w:rsidR="00AA7FFD" w:rsidRPr="00C16CDC">
        <w:rPr>
          <w:rFonts w:ascii="Times New Roman" w:hAnsi="Times New Roman"/>
          <w:bCs/>
          <w:sz w:val="24"/>
        </w:rPr>
        <w:t xml:space="preserve"> </w:t>
      </w:r>
      <w:proofErr w:type="spellStart"/>
      <w:r w:rsidR="00AA7FFD" w:rsidRPr="00823076">
        <w:rPr>
          <w:rFonts w:ascii="Times New Roman" w:hAnsi="Times New Roman"/>
          <w:bCs/>
          <w:color w:val="000000"/>
          <w:sz w:val="24"/>
        </w:rPr>
        <w:t>panitumumab</w:t>
      </w:r>
      <w:proofErr w:type="spellEnd"/>
      <w:r w:rsidR="00AA7FFD" w:rsidRPr="00823076">
        <w:rPr>
          <w:rFonts w:ascii="Times New Roman" w:hAnsi="Times New Roman"/>
          <w:bCs/>
          <w:color w:val="000000"/>
          <w:sz w:val="24"/>
        </w:rPr>
        <w:t xml:space="preserve"> particles.</w:t>
      </w:r>
      <w:r w:rsidR="00AA7FFD" w:rsidRPr="00823076">
        <w:rPr>
          <w:rFonts w:ascii="Times New Roman" w:hAnsi="Times New Roman"/>
          <w:color w:val="000000"/>
          <w:sz w:val="24"/>
        </w:rPr>
        <w:t xml:space="preserve"> </w:t>
      </w:r>
      <w:r w:rsidRPr="00823076">
        <w:rPr>
          <w:rFonts w:ascii="Times New Roman" w:hAnsi="Times New Roman"/>
          <w:color w:val="000000"/>
          <w:sz w:val="24"/>
        </w:rPr>
        <w:t xml:space="preserve"> </w:t>
      </w:r>
      <w:proofErr w:type="spellStart"/>
      <w:r w:rsidRPr="00823076">
        <w:rPr>
          <w:rFonts w:ascii="Times New Roman" w:hAnsi="Times New Roman"/>
          <w:bCs/>
          <w:color w:val="000000"/>
          <w:sz w:val="24"/>
        </w:rPr>
        <w:t>Vectibix</w:t>
      </w:r>
      <w:proofErr w:type="spellEnd"/>
      <w:r w:rsidR="00AA7FFD" w:rsidRPr="00823076">
        <w:rPr>
          <w:rFonts w:ascii="Times New Roman" w:hAnsi="Times New Roman"/>
          <w:bCs/>
          <w:color w:val="000000"/>
          <w:sz w:val="24"/>
        </w:rPr>
        <w:t xml:space="preserve"> is formulated with </w:t>
      </w:r>
      <w:proofErr w:type="spellStart"/>
      <w:r w:rsidR="00AA7FFD" w:rsidRPr="00823076">
        <w:rPr>
          <w:rFonts w:ascii="Times New Roman" w:hAnsi="Times New Roman"/>
          <w:bCs/>
          <w:color w:val="000000"/>
          <w:sz w:val="24"/>
        </w:rPr>
        <w:t>panitumumab</w:t>
      </w:r>
      <w:proofErr w:type="spellEnd"/>
      <w:r w:rsidR="00AA7FFD" w:rsidRPr="00823076">
        <w:rPr>
          <w:rFonts w:ascii="Times New Roman" w:hAnsi="Times New Roman"/>
          <w:bCs/>
          <w:color w:val="000000"/>
          <w:sz w:val="24"/>
        </w:rPr>
        <w:t xml:space="preserve"> at a concentration of 20 mg/</w:t>
      </w:r>
      <w:proofErr w:type="spellStart"/>
      <w:r w:rsidR="00AA7FFD" w:rsidRPr="00823076">
        <w:rPr>
          <w:rFonts w:ascii="Times New Roman" w:hAnsi="Times New Roman"/>
          <w:bCs/>
          <w:color w:val="000000"/>
          <w:sz w:val="24"/>
        </w:rPr>
        <w:t>mL</w:t>
      </w:r>
      <w:proofErr w:type="spellEnd"/>
      <w:r w:rsidR="00AA7FFD" w:rsidRPr="00823076">
        <w:rPr>
          <w:rFonts w:ascii="Times New Roman" w:hAnsi="Times New Roman"/>
          <w:bCs/>
          <w:color w:val="000000"/>
          <w:sz w:val="24"/>
        </w:rPr>
        <w:t xml:space="preserve"> in a </w:t>
      </w:r>
      <w:r w:rsidR="00AA7FFD" w:rsidRPr="007114A7">
        <w:rPr>
          <w:rFonts w:ascii="Times New Roman" w:hAnsi="Times New Roman"/>
          <w:bCs/>
          <w:color w:val="000000"/>
          <w:sz w:val="24"/>
        </w:rPr>
        <w:t xml:space="preserve">preservative-free solution containing 50 </w:t>
      </w:r>
      <w:proofErr w:type="spellStart"/>
      <w:r w:rsidR="00AA7FFD" w:rsidRPr="007114A7">
        <w:rPr>
          <w:rFonts w:ascii="Times New Roman" w:hAnsi="Times New Roman"/>
          <w:bCs/>
          <w:color w:val="000000"/>
          <w:sz w:val="24"/>
        </w:rPr>
        <w:t>mM</w:t>
      </w:r>
      <w:proofErr w:type="spellEnd"/>
      <w:r w:rsidR="00AA7FFD" w:rsidRPr="007114A7">
        <w:rPr>
          <w:rFonts w:ascii="Times New Roman" w:hAnsi="Times New Roman"/>
          <w:bCs/>
          <w:color w:val="000000"/>
          <w:sz w:val="24"/>
        </w:rPr>
        <w:t xml:space="preserve"> sodium acetate, 100 </w:t>
      </w:r>
      <w:proofErr w:type="spellStart"/>
      <w:r w:rsidR="00AA7FFD" w:rsidRPr="007114A7">
        <w:rPr>
          <w:rFonts w:ascii="Times New Roman" w:hAnsi="Times New Roman"/>
          <w:bCs/>
          <w:color w:val="000000"/>
          <w:sz w:val="24"/>
        </w:rPr>
        <w:t>mM</w:t>
      </w:r>
      <w:proofErr w:type="spellEnd"/>
      <w:r w:rsidR="00AA7FFD" w:rsidRPr="007114A7">
        <w:rPr>
          <w:rFonts w:ascii="Times New Roman" w:hAnsi="Times New Roman"/>
          <w:bCs/>
          <w:color w:val="000000"/>
          <w:sz w:val="24"/>
        </w:rPr>
        <w:t xml:space="preserve"> sodium chloride, and Water for Injection</w:t>
      </w:r>
      <w:r w:rsidRPr="007114A7">
        <w:rPr>
          <w:rFonts w:ascii="Times New Roman" w:hAnsi="Times New Roman"/>
          <w:bCs/>
          <w:color w:val="000000"/>
          <w:sz w:val="24"/>
        </w:rPr>
        <w:t>s</w:t>
      </w:r>
      <w:r w:rsidR="00AA7FFD" w:rsidRPr="007114A7">
        <w:rPr>
          <w:rFonts w:ascii="Times New Roman" w:hAnsi="Times New Roman"/>
          <w:bCs/>
          <w:color w:val="000000"/>
          <w:sz w:val="24"/>
        </w:rPr>
        <w:t xml:space="preserve">. </w:t>
      </w:r>
    </w:p>
    <w:p w:rsidR="00AA7FFD" w:rsidRPr="007114A7" w:rsidRDefault="00AA7FFD" w:rsidP="00000BBF">
      <w:pPr>
        <w:pStyle w:val="Text"/>
        <w:spacing w:after="0" w:line="240" w:lineRule="auto"/>
        <w:rPr>
          <w:rFonts w:ascii="Times New Roman" w:hAnsi="Times New Roman"/>
          <w:bCs/>
          <w:color w:val="000000"/>
          <w:sz w:val="24"/>
        </w:rPr>
      </w:pPr>
    </w:p>
    <w:p w:rsidR="00AA7FFD" w:rsidRPr="007114A7" w:rsidRDefault="00AA7FFD">
      <w:pPr>
        <w:pStyle w:val="Heading1"/>
        <w:rPr>
          <w:color w:val="000000"/>
        </w:rPr>
      </w:pPr>
      <w:r w:rsidRPr="007114A7">
        <w:rPr>
          <w:color w:val="000000"/>
        </w:rPr>
        <w:t>PHARMACOLOGY</w:t>
      </w:r>
    </w:p>
    <w:p w:rsidR="00AA7FFD" w:rsidRPr="00823076" w:rsidRDefault="00AA7FFD">
      <w:pPr>
        <w:pStyle w:val="Heading2"/>
        <w:spacing w:after="0" w:line="240" w:lineRule="auto"/>
        <w:rPr>
          <w:rFonts w:ascii="Times New Roman" w:hAnsi="Times New Roman"/>
          <w:color w:val="000000"/>
          <w:sz w:val="24"/>
        </w:rPr>
      </w:pPr>
      <w:r w:rsidRPr="007114A7">
        <w:rPr>
          <w:rFonts w:ascii="Times New Roman" w:hAnsi="Times New Roman"/>
          <w:color w:val="000000"/>
          <w:sz w:val="24"/>
        </w:rPr>
        <w:t xml:space="preserve">Mechanism of </w:t>
      </w:r>
      <w:r w:rsidRPr="007114A7">
        <w:rPr>
          <w:rFonts w:ascii="Times New Roman" w:hAnsi="Times New Roman"/>
          <w:caps/>
          <w:color w:val="000000"/>
          <w:sz w:val="24"/>
        </w:rPr>
        <w:t>a</w:t>
      </w:r>
      <w:r w:rsidRPr="007114A7">
        <w:rPr>
          <w:rFonts w:ascii="Times New Roman" w:hAnsi="Times New Roman"/>
          <w:color w:val="000000"/>
          <w:sz w:val="24"/>
        </w:rPr>
        <w:t>ction</w:t>
      </w:r>
    </w:p>
    <w:p w:rsidR="00AA7FFD" w:rsidRPr="00823076" w:rsidRDefault="00AA7FFD" w:rsidP="00064E5F">
      <w:pPr>
        <w:pStyle w:val="Text"/>
        <w:spacing w:after="0" w:line="240" w:lineRule="auto"/>
        <w:rPr>
          <w:rFonts w:ascii="Times New Roman" w:hAnsi="Times New Roman"/>
          <w:color w:val="000000"/>
          <w:sz w:val="24"/>
        </w:rPr>
      </w:pPr>
      <w:proofErr w:type="spellStart"/>
      <w:r w:rsidRPr="00823076">
        <w:rPr>
          <w:rFonts w:ascii="Times New Roman" w:hAnsi="Times New Roman"/>
          <w:color w:val="000000"/>
          <w:sz w:val="24"/>
        </w:rPr>
        <w:t>Panitumumab</w:t>
      </w:r>
      <w:proofErr w:type="spellEnd"/>
      <w:r w:rsidRPr="00823076">
        <w:rPr>
          <w:rFonts w:ascii="Times New Roman" w:hAnsi="Times New Roman"/>
          <w:color w:val="000000"/>
          <w:sz w:val="24"/>
        </w:rPr>
        <w:t xml:space="preserve"> binds with high affinity to the </w:t>
      </w:r>
      <w:proofErr w:type="spellStart"/>
      <w:r w:rsidRPr="00823076">
        <w:rPr>
          <w:rFonts w:ascii="Times New Roman" w:hAnsi="Times New Roman"/>
          <w:color w:val="000000"/>
          <w:sz w:val="24"/>
        </w:rPr>
        <w:t>ligand</w:t>
      </w:r>
      <w:proofErr w:type="spellEnd"/>
      <w:r w:rsidRPr="00823076">
        <w:rPr>
          <w:rFonts w:ascii="Times New Roman" w:hAnsi="Times New Roman"/>
          <w:color w:val="000000"/>
          <w:sz w:val="24"/>
        </w:rPr>
        <w:t xml:space="preserve"> binding domain of human </w:t>
      </w:r>
      <w:r w:rsidR="007B0C66" w:rsidRPr="00C16CDC">
        <w:rPr>
          <w:rFonts w:ascii="Times New Roman" w:hAnsi="Times New Roman"/>
          <w:sz w:val="24"/>
        </w:rPr>
        <w:t>EGFR</w:t>
      </w:r>
      <w:r w:rsidRPr="00C16CDC">
        <w:rPr>
          <w:rFonts w:ascii="Times New Roman" w:hAnsi="Times New Roman"/>
          <w:sz w:val="24"/>
        </w:rPr>
        <w:t xml:space="preserve"> </w:t>
      </w:r>
      <w:r w:rsidRPr="00823076">
        <w:rPr>
          <w:rFonts w:ascii="Times New Roman" w:hAnsi="Times New Roman"/>
          <w:color w:val="000000"/>
          <w:sz w:val="24"/>
        </w:rPr>
        <w:t xml:space="preserve">and competitively inhibits receptor </w:t>
      </w:r>
      <w:proofErr w:type="spellStart"/>
      <w:r w:rsidRPr="00823076">
        <w:rPr>
          <w:rFonts w:ascii="Times New Roman" w:hAnsi="Times New Roman"/>
          <w:color w:val="000000"/>
          <w:sz w:val="24"/>
        </w:rPr>
        <w:t>autophosphorylation</w:t>
      </w:r>
      <w:proofErr w:type="spellEnd"/>
      <w:r w:rsidRPr="00823076">
        <w:rPr>
          <w:rFonts w:ascii="Times New Roman" w:hAnsi="Times New Roman"/>
          <w:color w:val="000000"/>
          <w:sz w:val="24"/>
        </w:rPr>
        <w:t xml:space="preserve"> induced by EGFR </w:t>
      </w:r>
      <w:proofErr w:type="spellStart"/>
      <w:r w:rsidRPr="00823076">
        <w:rPr>
          <w:rFonts w:ascii="Times New Roman" w:hAnsi="Times New Roman"/>
          <w:color w:val="000000"/>
          <w:sz w:val="24"/>
        </w:rPr>
        <w:t>ligands</w:t>
      </w:r>
      <w:proofErr w:type="spellEnd"/>
      <w:r w:rsidR="00996DC2" w:rsidRPr="00823076">
        <w:rPr>
          <w:rFonts w:ascii="Times New Roman" w:hAnsi="Times New Roman"/>
          <w:color w:val="000000"/>
          <w:sz w:val="24"/>
        </w:rPr>
        <w:t xml:space="preserve"> </w:t>
      </w:r>
      <w:r w:rsidR="00996DC2" w:rsidRPr="00823076">
        <w:rPr>
          <w:rFonts w:ascii="Times New Roman" w:hAnsi="Times New Roman"/>
          <w:color w:val="000000"/>
          <w:sz w:val="24"/>
          <w:szCs w:val="24"/>
        </w:rPr>
        <w:t>(</w:t>
      </w:r>
      <w:r w:rsidR="00996DC2" w:rsidRPr="00823076">
        <w:rPr>
          <w:rFonts w:ascii="Times New Roman" w:hAnsi="Times New Roman"/>
          <w:color w:val="000000"/>
          <w:sz w:val="24"/>
          <w:szCs w:val="24"/>
          <w:lang w:val="en-US"/>
        </w:rPr>
        <w:t xml:space="preserve">EGF, transforming growth factor-alpha, </w:t>
      </w:r>
      <w:proofErr w:type="spellStart"/>
      <w:r w:rsidR="00996DC2" w:rsidRPr="00823076">
        <w:rPr>
          <w:rFonts w:ascii="Times New Roman" w:hAnsi="Times New Roman"/>
          <w:color w:val="000000"/>
          <w:sz w:val="24"/>
          <w:szCs w:val="24"/>
          <w:lang w:val="en-US"/>
        </w:rPr>
        <w:t>betacellulin</w:t>
      </w:r>
      <w:proofErr w:type="spellEnd"/>
      <w:r w:rsidR="00996DC2" w:rsidRPr="00823076">
        <w:rPr>
          <w:rFonts w:ascii="Times New Roman" w:hAnsi="Times New Roman"/>
          <w:color w:val="000000"/>
          <w:sz w:val="24"/>
          <w:szCs w:val="24"/>
          <w:lang w:val="en-US"/>
        </w:rPr>
        <w:t xml:space="preserve">, </w:t>
      </w:r>
      <w:r w:rsidR="00996DC2" w:rsidRPr="00D079C2">
        <w:rPr>
          <w:rFonts w:ascii="Times New Roman" w:hAnsi="Times New Roman"/>
          <w:color w:val="000000"/>
          <w:sz w:val="24"/>
          <w:szCs w:val="24"/>
          <w:lang w:val="en-US"/>
        </w:rPr>
        <w:t>HB</w:t>
      </w:r>
      <w:r w:rsidR="00D079C2">
        <w:rPr>
          <w:rFonts w:ascii="Times New Roman" w:hAnsi="Times New Roman"/>
          <w:color w:val="000000"/>
          <w:sz w:val="24"/>
          <w:szCs w:val="24"/>
          <w:lang w:val="en-US"/>
        </w:rPr>
        <w:noBreakHyphen/>
      </w:r>
      <w:r w:rsidR="00996DC2" w:rsidRPr="00D079C2">
        <w:rPr>
          <w:rFonts w:ascii="Times New Roman" w:hAnsi="Times New Roman"/>
          <w:color w:val="000000"/>
          <w:sz w:val="24"/>
          <w:szCs w:val="24"/>
          <w:lang w:val="en-US"/>
        </w:rPr>
        <w:t>EGF</w:t>
      </w:r>
      <w:r w:rsidR="00996DC2" w:rsidRPr="00823076">
        <w:rPr>
          <w:rFonts w:ascii="Times New Roman" w:hAnsi="Times New Roman"/>
          <w:color w:val="000000"/>
          <w:sz w:val="24"/>
          <w:szCs w:val="24"/>
          <w:lang w:val="en-US"/>
        </w:rPr>
        <w:t xml:space="preserve">, </w:t>
      </w:r>
      <w:proofErr w:type="spellStart"/>
      <w:r w:rsidR="00996DC2" w:rsidRPr="00823076">
        <w:rPr>
          <w:rFonts w:ascii="Times New Roman" w:hAnsi="Times New Roman"/>
          <w:color w:val="000000"/>
          <w:sz w:val="24"/>
          <w:szCs w:val="24"/>
          <w:lang w:val="en-US"/>
        </w:rPr>
        <w:t>epiregulin</w:t>
      </w:r>
      <w:proofErr w:type="spellEnd"/>
      <w:r w:rsidR="00996DC2" w:rsidRPr="00823076">
        <w:rPr>
          <w:rFonts w:ascii="Times New Roman" w:hAnsi="Times New Roman"/>
          <w:color w:val="000000"/>
          <w:sz w:val="24"/>
          <w:szCs w:val="24"/>
          <w:lang w:val="en-US"/>
        </w:rPr>
        <w:t xml:space="preserve">, and </w:t>
      </w:r>
      <w:proofErr w:type="spellStart"/>
      <w:r w:rsidR="00996DC2" w:rsidRPr="00823076">
        <w:rPr>
          <w:rFonts w:ascii="Times New Roman" w:hAnsi="Times New Roman"/>
          <w:color w:val="000000"/>
          <w:sz w:val="24"/>
          <w:szCs w:val="24"/>
          <w:lang w:val="en-US"/>
        </w:rPr>
        <w:t>amphiregulin</w:t>
      </w:r>
      <w:proofErr w:type="spellEnd"/>
      <w:r w:rsidR="00996DC2" w:rsidRPr="00823076">
        <w:rPr>
          <w:rFonts w:ascii="Times New Roman" w:hAnsi="Times New Roman"/>
          <w:color w:val="000000"/>
          <w:sz w:val="24"/>
          <w:szCs w:val="24"/>
          <w:lang w:val="en-US"/>
        </w:rPr>
        <w:t>)</w:t>
      </w:r>
      <w:r w:rsidR="00B1531C" w:rsidRPr="00823076">
        <w:rPr>
          <w:rFonts w:ascii="Times New Roman" w:hAnsi="Times New Roman"/>
          <w:color w:val="000000"/>
          <w:sz w:val="24"/>
        </w:rPr>
        <w:t>.</w:t>
      </w:r>
      <w:r w:rsidRPr="00823076">
        <w:rPr>
          <w:rFonts w:ascii="Times New Roman" w:hAnsi="Times New Roman"/>
          <w:color w:val="000000"/>
          <w:sz w:val="24"/>
        </w:rPr>
        <w:t xml:space="preserve"> </w:t>
      </w:r>
      <w:r w:rsidR="006E463F" w:rsidRPr="00823076">
        <w:rPr>
          <w:rFonts w:ascii="Times New Roman" w:hAnsi="Times New Roman"/>
          <w:color w:val="000000"/>
          <w:sz w:val="24"/>
        </w:rPr>
        <w:t xml:space="preserve"> </w:t>
      </w:r>
      <w:r w:rsidRPr="00823076">
        <w:rPr>
          <w:rFonts w:ascii="Times New Roman" w:hAnsi="Times New Roman"/>
          <w:color w:val="000000"/>
          <w:sz w:val="24"/>
        </w:rPr>
        <w:t xml:space="preserve">EGFR is a </w:t>
      </w:r>
      <w:proofErr w:type="spellStart"/>
      <w:r w:rsidRPr="00823076">
        <w:rPr>
          <w:rFonts w:ascii="Times New Roman" w:hAnsi="Times New Roman"/>
          <w:color w:val="000000"/>
          <w:sz w:val="24"/>
        </w:rPr>
        <w:t>transmembrane</w:t>
      </w:r>
      <w:proofErr w:type="spellEnd"/>
      <w:r w:rsidRPr="00823076">
        <w:rPr>
          <w:rFonts w:ascii="Times New Roman" w:hAnsi="Times New Roman"/>
          <w:color w:val="000000"/>
          <w:sz w:val="24"/>
        </w:rPr>
        <w:t xml:space="preserve"> glycoprotein that is a member of a subfamily of type I receptor tyrosine </w:t>
      </w:r>
      <w:proofErr w:type="spellStart"/>
      <w:r w:rsidRPr="00823076">
        <w:rPr>
          <w:rFonts w:ascii="Times New Roman" w:hAnsi="Times New Roman"/>
          <w:color w:val="000000"/>
          <w:sz w:val="24"/>
        </w:rPr>
        <w:t>kinases</w:t>
      </w:r>
      <w:proofErr w:type="spellEnd"/>
      <w:r w:rsidRPr="00823076">
        <w:rPr>
          <w:rFonts w:ascii="Times New Roman" w:hAnsi="Times New Roman"/>
          <w:color w:val="000000"/>
          <w:sz w:val="24"/>
        </w:rPr>
        <w:t xml:space="preserve"> including </w:t>
      </w:r>
      <w:r w:rsidRPr="00823076">
        <w:rPr>
          <w:rFonts w:ascii="Times New Roman" w:hAnsi="Times New Roman"/>
          <w:color w:val="000000"/>
          <w:sz w:val="24"/>
          <w:szCs w:val="12"/>
        </w:rPr>
        <w:t>EGFR (</w:t>
      </w:r>
      <w:r w:rsidR="00D079C2">
        <w:rPr>
          <w:rFonts w:ascii="Times New Roman" w:hAnsi="Times New Roman"/>
          <w:color w:val="000000"/>
          <w:sz w:val="24"/>
          <w:szCs w:val="12"/>
        </w:rPr>
        <w:t>HER1/c</w:t>
      </w:r>
      <w:r w:rsidR="00D079C2">
        <w:rPr>
          <w:rFonts w:ascii="Times New Roman" w:hAnsi="Times New Roman"/>
          <w:color w:val="000000"/>
          <w:sz w:val="24"/>
          <w:szCs w:val="12"/>
        </w:rPr>
        <w:noBreakHyphen/>
      </w:r>
      <w:r w:rsidRPr="00D079C2">
        <w:rPr>
          <w:rFonts w:ascii="Times New Roman" w:hAnsi="Times New Roman"/>
          <w:color w:val="000000"/>
          <w:sz w:val="24"/>
          <w:szCs w:val="12"/>
        </w:rPr>
        <w:t>ErbB-1</w:t>
      </w:r>
      <w:r w:rsidRPr="00823076">
        <w:rPr>
          <w:rFonts w:ascii="Times New Roman" w:hAnsi="Times New Roman"/>
          <w:color w:val="000000"/>
          <w:sz w:val="24"/>
          <w:szCs w:val="12"/>
        </w:rPr>
        <w:t xml:space="preserve">), HER2, HER3, and HER4. </w:t>
      </w:r>
      <w:r w:rsidR="006E463F" w:rsidRPr="00823076">
        <w:rPr>
          <w:rFonts w:ascii="Times New Roman" w:hAnsi="Times New Roman"/>
          <w:color w:val="000000"/>
          <w:sz w:val="24"/>
          <w:szCs w:val="12"/>
        </w:rPr>
        <w:t xml:space="preserve"> </w:t>
      </w:r>
      <w:r w:rsidRPr="00823076">
        <w:rPr>
          <w:rFonts w:ascii="Times New Roman" w:hAnsi="Times New Roman"/>
          <w:color w:val="000000"/>
          <w:sz w:val="24"/>
          <w:szCs w:val="12"/>
        </w:rPr>
        <w:t xml:space="preserve">EGFR </w:t>
      </w:r>
      <w:r w:rsidRPr="00823076">
        <w:rPr>
          <w:rFonts w:ascii="Times New Roman" w:hAnsi="Times New Roman"/>
          <w:color w:val="000000"/>
          <w:sz w:val="24"/>
        </w:rPr>
        <w:t xml:space="preserve">promotes cell </w:t>
      </w:r>
      <w:r w:rsidR="00AC022A" w:rsidRPr="00823076">
        <w:rPr>
          <w:rFonts w:ascii="Times New Roman" w:hAnsi="Times New Roman"/>
          <w:color w:val="000000"/>
          <w:sz w:val="24"/>
        </w:rPr>
        <w:t xml:space="preserve">proliferation </w:t>
      </w:r>
      <w:r w:rsidRPr="00823076">
        <w:rPr>
          <w:rFonts w:ascii="Times New Roman" w:hAnsi="Times New Roman"/>
          <w:color w:val="000000"/>
          <w:sz w:val="24"/>
        </w:rPr>
        <w:t xml:space="preserve">in normal epithelial tissues, including the skin and hair follicle.  </w:t>
      </w:r>
      <w:proofErr w:type="spellStart"/>
      <w:r w:rsidR="00AC022A" w:rsidRPr="00823076">
        <w:rPr>
          <w:rFonts w:ascii="Times New Roman" w:hAnsi="Times New Roman"/>
          <w:color w:val="000000"/>
          <w:sz w:val="24"/>
        </w:rPr>
        <w:t>Overexpression</w:t>
      </w:r>
      <w:proofErr w:type="spellEnd"/>
      <w:r w:rsidR="00AC022A" w:rsidRPr="00823076">
        <w:rPr>
          <w:rFonts w:ascii="Times New Roman" w:hAnsi="Times New Roman"/>
          <w:color w:val="000000"/>
          <w:sz w:val="24"/>
        </w:rPr>
        <w:t xml:space="preserve"> of EGFR is also detected in many human cancers, including those of the colon and rectum. </w:t>
      </w:r>
      <w:r w:rsidR="006E463F" w:rsidRPr="00823076">
        <w:rPr>
          <w:rFonts w:ascii="Times New Roman" w:hAnsi="Times New Roman"/>
          <w:color w:val="000000"/>
          <w:sz w:val="24"/>
        </w:rPr>
        <w:t xml:space="preserve"> </w:t>
      </w:r>
      <w:r w:rsidRPr="00823076">
        <w:rPr>
          <w:rFonts w:ascii="Times New Roman" w:hAnsi="Times New Roman"/>
          <w:color w:val="000000"/>
          <w:sz w:val="24"/>
        </w:rPr>
        <w:t xml:space="preserve">Binding of </w:t>
      </w:r>
      <w:proofErr w:type="spellStart"/>
      <w:r w:rsidRPr="00823076">
        <w:rPr>
          <w:rFonts w:ascii="Times New Roman" w:hAnsi="Times New Roman"/>
          <w:color w:val="000000"/>
          <w:sz w:val="24"/>
        </w:rPr>
        <w:t>panitumumab</w:t>
      </w:r>
      <w:proofErr w:type="spellEnd"/>
      <w:r w:rsidRPr="00823076">
        <w:rPr>
          <w:rFonts w:ascii="Times New Roman" w:hAnsi="Times New Roman"/>
          <w:color w:val="000000"/>
          <w:sz w:val="24"/>
        </w:rPr>
        <w:t xml:space="preserve"> to EGFR results in the internali</w:t>
      </w:r>
      <w:r w:rsidR="006E463F" w:rsidRPr="00823076">
        <w:rPr>
          <w:rFonts w:ascii="Times New Roman" w:hAnsi="Times New Roman"/>
          <w:color w:val="000000"/>
          <w:sz w:val="24"/>
        </w:rPr>
        <w:t>s</w:t>
      </w:r>
      <w:r w:rsidRPr="00823076">
        <w:rPr>
          <w:rFonts w:ascii="Times New Roman" w:hAnsi="Times New Roman"/>
          <w:color w:val="000000"/>
          <w:sz w:val="24"/>
        </w:rPr>
        <w:t xml:space="preserve">ation of the receptor, inhibition of cell </w:t>
      </w:r>
      <w:r w:rsidR="00AC022A" w:rsidRPr="00823076">
        <w:rPr>
          <w:rFonts w:ascii="Times New Roman" w:hAnsi="Times New Roman"/>
          <w:color w:val="000000"/>
          <w:sz w:val="24"/>
        </w:rPr>
        <w:t>proliferation,</w:t>
      </w:r>
      <w:r w:rsidRPr="00823076">
        <w:rPr>
          <w:rFonts w:ascii="Times New Roman" w:hAnsi="Times New Roman"/>
          <w:color w:val="000000"/>
          <w:sz w:val="24"/>
        </w:rPr>
        <w:t xml:space="preserve"> and decreased interleukin 8 and vascular endothelial growth factor production. </w:t>
      </w:r>
    </w:p>
    <w:p w:rsidR="00000BBF" w:rsidRDefault="00000BBF">
      <w:pPr>
        <w:pStyle w:val="Text"/>
        <w:spacing w:after="0" w:line="240" w:lineRule="auto"/>
        <w:rPr>
          <w:rFonts w:ascii="Times New Roman" w:hAnsi="Times New Roman"/>
          <w:sz w:val="24"/>
        </w:rPr>
      </w:pPr>
    </w:p>
    <w:p w:rsidR="00AA7FFD" w:rsidRPr="007114A7" w:rsidRDefault="008260C6" w:rsidP="00000BBF">
      <w:pPr>
        <w:pStyle w:val="Text"/>
        <w:spacing w:after="0" w:line="240" w:lineRule="auto"/>
        <w:rPr>
          <w:rFonts w:ascii="Times New Roman" w:hAnsi="Times New Roman"/>
          <w:sz w:val="24"/>
        </w:rPr>
      </w:pPr>
      <w:r w:rsidRPr="00C16CDC">
        <w:rPr>
          <w:rFonts w:ascii="Times New Roman" w:hAnsi="Times New Roman"/>
          <w:sz w:val="24"/>
        </w:rPr>
        <w:t>In vitro</w:t>
      </w:r>
      <w:r w:rsidR="00AA7FFD" w:rsidRPr="00C16CDC">
        <w:rPr>
          <w:rFonts w:ascii="Times New Roman" w:hAnsi="Times New Roman"/>
          <w:sz w:val="24"/>
        </w:rPr>
        <w:t xml:space="preserve"> assays and </w:t>
      </w:r>
      <w:r w:rsidR="00BD4E8A" w:rsidRPr="00C16CDC">
        <w:rPr>
          <w:rFonts w:ascii="Times New Roman" w:hAnsi="Times New Roman"/>
          <w:sz w:val="24"/>
        </w:rPr>
        <w:t>in viv</w:t>
      </w:r>
      <w:r w:rsidRPr="00C16CDC">
        <w:rPr>
          <w:rFonts w:ascii="Times New Roman" w:hAnsi="Times New Roman"/>
          <w:sz w:val="24"/>
        </w:rPr>
        <w:t>o</w:t>
      </w:r>
      <w:r w:rsidR="00AA7FFD" w:rsidRPr="00C16CDC">
        <w:rPr>
          <w:rFonts w:ascii="Times New Roman" w:hAnsi="Times New Roman"/>
          <w:sz w:val="24"/>
        </w:rPr>
        <w:t xml:space="preserve"> </w:t>
      </w:r>
      <w:r w:rsidR="00AA7FFD" w:rsidRPr="002606B4">
        <w:rPr>
          <w:rFonts w:ascii="Times New Roman" w:hAnsi="Times New Roman"/>
          <w:color w:val="000000"/>
          <w:sz w:val="24"/>
        </w:rPr>
        <w:t xml:space="preserve">animal studies have shown </w:t>
      </w:r>
      <w:r w:rsidR="00AA7FFD" w:rsidRPr="007114A7">
        <w:rPr>
          <w:rFonts w:ascii="Times New Roman" w:hAnsi="Times New Roman"/>
          <w:color w:val="000000"/>
          <w:sz w:val="24"/>
        </w:rPr>
        <w:t>that</w:t>
      </w:r>
      <w:r w:rsidR="00AA7FFD" w:rsidRPr="007114A7">
        <w:rPr>
          <w:rFonts w:ascii="Times New Roman" w:hAnsi="Times New Roman"/>
          <w:bCs/>
          <w:color w:val="000000"/>
          <w:sz w:val="24"/>
        </w:rPr>
        <w:t xml:space="preserve"> </w:t>
      </w:r>
      <w:proofErr w:type="spellStart"/>
      <w:r w:rsidR="00AA7FFD" w:rsidRPr="007114A7">
        <w:rPr>
          <w:rFonts w:ascii="Times New Roman" w:hAnsi="Times New Roman"/>
          <w:bCs/>
          <w:color w:val="000000"/>
          <w:sz w:val="24"/>
        </w:rPr>
        <w:t>panitumumab</w:t>
      </w:r>
      <w:proofErr w:type="spellEnd"/>
      <w:r w:rsidR="00AA7FFD" w:rsidRPr="007114A7">
        <w:rPr>
          <w:rFonts w:ascii="Times New Roman" w:hAnsi="Times New Roman"/>
          <w:bCs/>
          <w:color w:val="000000"/>
          <w:sz w:val="24"/>
        </w:rPr>
        <w:t xml:space="preserve"> </w:t>
      </w:r>
      <w:r w:rsidR="00AA7FFD" w:rsidRPr="007114A7">
        <w:rPr>
          <w:rFonts w:ascii="Times New Roman" w:hAnsi="Times New Roman"/>
          <w:color w:val="000000"/>
          <w:sz w:val="24"/>
        </w:rPr>
        <w:t>inhibits the</w:t>
      </w:r>
      <w:r w:rsidR="00AA7FFD" w:rsidRPr="007114A7">
        <w:rPr>
          <w:rFonts w:ascii="Times New Roman" w:hAnsi="Times New Roman"/>
          <w:sz w:val="24"/>
        </w:rPr>
        <w:t xml:space="preserve"> </w:t>
      </w:r>
      <w:r w:rsidR="00AC022A" w:rsidRPr="007114A7">
        <w:rPr>
          <w:rFonts w:ascii="Times New Roman" w:hAnsi="Times New Roman"/>
          <w:sz w:val="24"/>
        </w:rPr>
        <w:t>proliferation</w:t>
      </w:r>
      <w:r w:rsidR="00AA7FFD" w:rsidRPr="007114A7">
        <w:rPr>
          <w:rFonts w:ascii="Times New Roman" w:hAnsi="Times New Roman"/>
          <w:sz w:val="24"/>
        </w:rPr>
        <w:t xml:space="preserve"> of </w:t>
      </w:r>
      <w:r w:rsidR="00AC022A" w:rsidRPr="007114A7">
        <w:rPr>
          <w:rFonts w:ascii="Times New Roman" w:hAnsi="Times New Roman"/>
          <w:sz w:val="24"/>
        </w:rPr>
        <w:t xml:space="preserve">some </w:t>
      </w:r>
      <w:r w:rsidR="00AA7FFD" w:rsidRPr="007114A7">
        <w:rPr>
          <w:rFonts w:ascii="Times New Roman" w:hAnsi="Times New Roman"/>
          <w:sz w:val="24"/>
        </w:rPr>
        <w:t xml:space="preserve">tumour cells expressing EGFR.  </w:t>
      </w:r>
      <w:r w:rsidR="00AA7FFD" w:rsidRPr="007114A7">
        <w:rPr>
          <w:rFonts w:ascii="Times New Roman" w:hAnsi="Times New Roman"/>
          <w:color w:val="231F20"/>
          <w:sz w:val="24"/>
          <w:szCs w:val="12"/>
        </w:rPr>
        <w:t xml:space="preserve">No anti-tumour effects of </w:t>
      </w:r>
      <w:proofErr w:type="spellStart"/>
      <w:r w:rsidR="00AA7FFD" w:rsidRPr="007114A7">
        <w:rPr>
          <w:rFonts w:ascii="Times New Roman" w:hAnsi="Times New Roman"/>
          <w:bCs/>
          <w:sz w:val="24"/>
        </w:rPr>
        <w:t>panitumumab</w:t>
      </w:r>
      <w:proofErr w:type="spellEnd"/>
      <w:r w:rsidR="00AA7FFD" w:rsidRPr="007114A7">
        <w:rPr>
          <w:rFonts w:ascii="Times New Roman" w:hAnsi="Times New Roman"/>
          <w:color w:val="231F20"/>
          <w:sz w:val="24"/>
          <w:szCs w:val="12"/>
        </w:rPr>
        <w:t xml:space="preserve"> were observed in human tumour </w:t>
      </w:r>
      <w:proofErr w:type="spellStart"/>
      <w:r w:rsidR="00AA7FFD" w:rsidRPr="007114A7">
        <w:rPr>
          <w:rFonts w:ascii="Times New Roman" w:hAnsi="Times New Roman"/>
          <w:color w:val="231F20"/>
          <w:sz w:val="24"/>
          <w:szCs w:val="12"/>
        </w:rPr>
        <w:t>xenografts</w:t>
      </w:r>
      <w:proofErr w:type="spellEnd"/>
      <w:r w:rsidR="00AA7FFD" w:rsidRPr="007114A7">
        <w:rPr>
          <w:rFonts w:ascii="Times New Roman" w:hAnsi="Times New Roman"/>
          <w:color w:val="231F20"/>
          <w:sz w:val="24"/>
          <w:szCs w:val="12"/>
        </w:rPr>
        <w:t xml:space="preserve"> lacking EGFR expression.  </w:t>
      </w:r>
    </w:p>
    <w:p w:rsidR="003621D9" w:rsidRPr="007114A7" w:rsidRDefault="003621D9" w:rsidP="003621D9">
      <w:pPr>
        <w:pStyle w:val="Text"/>
        <w:spacing w:after="0" w:line="240" w:lineRule="auto"/>
        <w:rPr>
          <w:rFonts w:ascii="Times New Roman" w:hAnsi="Times New Roman"/>
          <w:sz w:val="24"/>
        </w:rPr>
      </w:pPr>
    </w:p>
    <w:p w:rsidR="003621D9" w:rsidRPr="002606B4" w:rsidRDefault="003621D9" w:rsidP="003621D9">
      <w:pPr>
        <w:pStyle w:val="Text"/>
        <w:spacing w:after="0" w:line="240" w:lineRule="auto"/>
        <w:rPr>
          <w:rFonts w:ascii="Times New Roman" w:hAnsi="Times New Roman"/>
          <w:color w:val="000000"/>
          <w:sz w:val="24"/>
        </w:rPr>
      </w:pPr>
      <w:r w:rsidRPr="007114A7">
        <w:rPr>
          <w:rFonts w:ascii="Times New Roman" w:hAnsi="Times New Roman"/>
          <w:color w:val="000000"/>
          <w:sz w:val="24"/>
        </w:rPr>
        <w:t xml:space="preserve">The Kirsten rat sarcoma 2 viral </w:t>
      </w:r>
      <w:proofErr w:type="spellStart"/>
      <w:r w:rsidRPr="007114A7">
        <w:rPr>
          <w:rFonts w:ascii="Times New Roman" w:hAnsi="Times New Roman"/>
          <w:color w:val="000000"/>
          <w:sz w:val="24"/>
        </w:rPr>
        <w:t>oncogene</w:t>
      </w:r>
      <w:proofErr w:type="spellEnd"/>
      <w:r w:rsidRPr="007114A7">
        <w:rPr>
          <w:rFonts w:ascii="Times New Roman" w:hAnsi="Times New Roman"/>
          <w:color w:val="000000"/>
          <w:sz w:val="24"/>
        </w:rPr>
        <w:t xml:space="preserve"> homologue</w:t>
      </w:r>
      <w:r w:rsidR="0014613F" w:rsidRPr="0014613F">
        <w:rPr>
          <w:rFonts w:ascii="Times New Roman" w:hAnsi="Times New Roman"/>
          <w:color w:val="000000"/>
          <w:sz w:val="24"/>
        </w:rPr>
        <w:t xml:space="preserve"> </w:t>
      </w:r>
      <w:r w:rsidR="004657AA" w:rsidRPr="00C16CDC">
        <w:rPr>
          <w:rFonts w:ascii="Times New Roman" w:hAnsi="Times New Roman"/>
          <w:sz w:val="24"/>
        </w:rPr>
        <w:t>(</w:t>
      </w:r>
      <w:r w:rsidR="008260C6" w:rsidRPr="00C16CDC">
        <w:rPr>
          <w:rFonts w:ascii="Times New Roman" w:hAnsi="Times New Roman"/>
          <w:i/>
          <w:sz w:val="24"/>
        </w:rPr>
        <w:t>KRAS</w:t>
      </w:r>
      <w:r w:rsidR="004657AA" w:rsidRPr="00C16CDC">
        <w:rPr>
          <w:rFonts w:ascii="Times New Roman" w:hAnsi="Times New Roman"/>
          <w:i/>
          <w:sz w:val="24"/>
        </w:rPr>
        <w:t xml:space="preserve">) </w:t>
      </w:r>
      <w:r w:rsidRPr="007114A7">
        <w:rPr>
          <w:rFonts w:ascii="Times New Roman" w:hAnsi="Times New Roman"/>
          <w:color w:val="000000"/>
          <w:sz w:val="24"/>
        </w:rPr>
        <w:t xml:space="preserve">gene encodes a small, GTP-binding protein involved in signal transduction. </w:t>
      </w:r>
      <w:r w:rsidR="006E463F" w:rsidRPr="007114A7">
        <w:rPr>
          <w:rFonts w:ascii="Times New Roman" w:hAnsi="Times New Roman"/>
          <w:color w:val="000000"/>
          <w:sz w:val="24"/>
        </w:rPr>
        <w:t xml:space="preserve"> </w:t>
      </w:r>
      <w:r w:rsidRPr="007114A7">
        <w:rPr>
          <w:rFonts w:ascii="Times New Roman" w:hAnsi="Times New Roman"/>
          <w:color w:val="000000"/>
          <w:sz w:val="24"/>
        </w:rPr>
        <w:t>A variety of stimuli, including that from the EGFR, activate</w:t>
      </w:r>
      <w:r w:rsidRPr="004D43E3">
        <w:rPr>
          <w:rFonts w:ascii="Times New Roman" w:hAnsi="Times New Roman"/>
          <w:sz w:val="24"/>
        </w:rPr>
        <w:t>s</w:t>
      </w:r>
      <w:r w:rsidRPr="00AA1022">
        <w:rPr>
          <w:rFonts w:ascii="Times New Roman" w:hAnsi="Times New Roman"/>
          <w:sz w:val="24"/>
        </w:rPr>
        <w:t xml:space="preserve"> </w:t>
      </w:r>
      <w:r w:rsidRPr="007114A7">
        <w:rPr>
          <w:rFonts w:ascii="Times New Roman" w:hAnsi="Times New Roman"/>
          <w:i/>
          <w:color w:val="000000"/>
          <w:sz w:val="24"/>
        </w:rPr>
        <w:t>KRAS</w:t>
      </w:r>
      <w:r w:rsidRPr="007114A7">
        <w:rPr>
          <w:rFonts w:ascii="Times New Roman" w:hAnsi="Times New Roman"/>
          <w:color w:val="000000"/>
          <w:sz w:val="24"/>
        </w:rPr>
        <w:t xml:space="preserve"> which in turn stimulat</w:t>
      </w:r>
      <w:r w:rsidRPr="002606B4">
        <w:rPr>
          <w:rFonts w:ascii="Times New Roman" w:hAnsi="Times New Roman"/>
          <w:color w:val="000000"/>
          <w:sz w:val="24"/>
        </w:rPr>
        <w:t>es other intracellular proteins to promote cell proliferation, cell survival and angiogenesis.</w:t>
      </w:r>
    </w:p>
    <w:p w:rsidR="002606B4" w:rsidRPr="0083593B" w:rsidRDefault="002606B4" w:rsidP="003621D9">
      <w:pPr>
        <w:pStyle w:val="Text"/>
        <w:spacing w:after="0" w:line="240" w:lineRule="auto"/>
        <w:rPr>
          <w:rFonts w:ascii="Times New Roman" w:hAnsi="Times New Roman"/>
          <w:color w:val="000000"/>
          <w:sz w:val="24"/>
          <w:u w:val="single"/>
        </w:rPr>
      </w:pPr>
    </w:p>
    <w:p w:rsidR="003621D9" w:rsidRPr="002606B4" w:rsidRDefault="003621D9" w:rsidP="003621D9">
      <w:pPr>
        <w:rPr>
          <w:color w:val="000000"/>
          <w:sz w:val="24"/>
        </w:rPr>
      </w:pPr>
      <w:r w:rsidRPr="002606B4">
        <w:rPr>
          <w:color w:val="000000"/>
          <w:sz w:val="24"/>
        </w:rPr>
        <w:t xml:space="preserve">Activating mutations in the </w:t>
      </w:r>
      <w:r w:rsidRPr="002606B4">
        <w:rPr>
          <w:i/>
          <w:color w:val="000000"/>
          <w:sz w:val="24"/>
        </w:rPr>
        <w:t>KRAS</w:t>
      </w:r>
      <w:r w:rsidRPr="002606B4">
        <w:rPr>
          <w:color w:val="000000"/>
          <w:sz w:val="24"/>
        </w:rPr>
        <w:t xml:space="preserve"> gene occur frequently in a variety of human </w:t>
      </w:r>
      <w:proofErr w:type="spellStart"/>
      <w:r w:rsidRPr="002606B4">
        <w:rPr>
          <w:color w:val="000000"/>
          <w:sz w:val="24"/>
        </w:rPr>
        <w:t>tumours</w:t>
      </w:r>
      <w:proofErr w:type="spellEnd"/>
      <w:r w:rsidRPr="002606B4">
        <w:rPr>
          <w:color w:val="000000"/>
          <w:sz w:val="24"/>
        </w:rPr>
        <w:t xml:space="preserve"> and have been implicated in both </w:t>
      </w:r>
      <w:proofErr w:type="spellStart"/>
      <w:r w:rsidRPr="002606B4">
        <w:rPr>
          <w:color w:val="000000"/>
          <w:sz w:val="24"/>
        </w:rPr>
        <w:t>oncogenesis</w:t>
      </w:r>
      <w:proofErr w:type="spellEnd"/>
      <w:r w:rsidRPr="002606B4">
        <w:rPr>
          <w:color w:val="000000"/>
          <w:sz w:val="24"/>
        </w:rPr>
        <w:t xml:space="preserve"> and </w:t>
      </w:r>
      <w:proofErr w:type="spellStart"/>
      <w:r w:rsidRPr="002606B4">
        <w:rPr>
          <w:color w:val="000000"/>
          <w:sz w:val="24"/>
        </w:rPr>
        <w:t>tumour</w:t>
      </w:r>
      <w:proofErr w:type="spellEnd"/>
      <w:r w:rsidRPr="002606B4">
        <w:rPr>
          <w:color w:val="000000"/>
          <w:sz w:val="24"/>
        </w:rPr>
        <w:t xml:space="preserve"> progression.</w:t>
      </w:r>
    </w:p>
    <w:p w:rsidR="00D516E7" w:rsidRPr="0083593B" w:rsidRDefault="00D516E7" w:rsidP="00D516E7">
      <w:pPr>
        <w:pStyle w:val="Text"/>
        <w:spacing w:after="0" w:line="240" w:lineRule="auto"/>
        <w:rPr>
          <w:rFonts w:ascii="Times New Roman" w:hAnsi="Times New Roman"/>
          <w:color w:val="000000"/>
          <w:sz w:val="24"/>
          <w:u w:val="single"/>
        </w:rPr>
      </w:pPr>
    </w:p>
    <w:p w:rsidR="00AA7FFD" w:rsidRDefault="00AA7FFD">
      <w:pPr>
        <w:pStyle w:val="Heading2"/>
        <w:spacing w:after="0" w:line="240" w:lineRule="auto"/>
        <w:rPr>
          <w:rFonts w:ascii="Times New Roman" w:hAnsi="Times New Roman"/>
          <w:sz w:val="24"/>
        </w:rPr>
      </w:pPr>
      <w:r>
        <w:rPr>
          <w:rFonts w:ascii="Times New Roman" w:hAnsi="Times New Roman"/>
          <w:sz w:val="24"/>
        </w:rPr>
        <w:lastRenderedPageBreak/>
        <w:t>Pharmacokinetics</w:t>
      </w:r>
    </w:p>
    <w:p w:rsidR="00AA7FFD" w:rsidRDefault="00AA7FFD">
      <w:pPr>
        <w:rPr>
          <w:sz w:val="24"/>
          <w:szCs w:val="24"/>
          <w:lang w:val="en-CA"/>
        </w:rPr>
      </w:pPr>
      <w:proofErr w:type="spellStart"/>
      <w:r>
        <w:rPr>
          <w:sz w:val="24"/>
        </w:rPr>
        <w:t>Panitumumab</w:t>
      </w:r>
      <w:proofErr w:type="spellEnd"/>
      <w:r>
        <w:rPr>
          <w:sz w:val="24"/>
        </w:rPr>
        <w:t xml:space="preserve"> administered as a single agent or in combination with chemotherapy exhibits nonlinear pharmacokinetics.  The concentration</w:t>
      </w:r>
      <w:r w:rsidRPr="007114A7">
        <w:rPr>
          <w:sz w:val="24"/>
        </w:rPr>
        <w:t>-time profile</w:t>
      </w:r>
      <w:r>
        <w:rPr>
          <w:sz w:val="24"/>
        </w:rPr>
        <w:t xml:space="preserve"> is best described by a 2-compartment </w:t>
      </w:r>
      <w:r w:rsidR="00EF1969" w:rsidRPr="00AD0135">
        <w:rPr>
          <w:sz w:val="24"/>
        </w:rPr>
        <w:t xml:space="preserve">(central and peripheral) </w:t>
      </w:r>
      <w:r>
        <w:rPr>
          <w:sz w:val="24"/>
        </w:rPr>
        <w:t xml:space="preserve">pharmacokinetic model with dual linear and nonlinear clearance pathways likely mediated by the </w:t>
      </w:r>
      <w:proofErr w:type="spellStart"/>
      <w:r>
        <w:rPr>
          <w:sz w:val="24"/>
        </w:rPr>
        <w:t>reticuloendothelial</w:t>
      </w:r>
      <w:proofErr w:type="spellEnd"/>
      <w:r>
        <w:rPr>
          <w:sz w:val="24"/>
        </w:rPr>
        <w:t xml:space="preserve"> system and EGFR</w:t>
      </w:r>
      <w:r w:rsidRPr="007114A7">
        <w:rPr>
          <w:sz w:val="24"/>
        </w:rPr>
        <w:t xml:space="preserve">, respectively.  Since </w:t>
      </w:r>
      <w:proofErr w:type="spellStart"/>
      <w:r w:rsidRPr="007114A7">
        <w:rPr>
          <w:sz w:val="24"/>
        </w:rPr>
        <w:t>panitumumab</w:t>
      </w:r>
      <w:proofErr w:type="spellEnd"/>
      <w:r w:rsidRPr="007114A7">
        <w:rPr>
          <w:sz w:val="24"/>
        </w:rPr>
        <w:t xml:space="preserve"> that is bound to cel</w:t>
      </w:r>
      <w:r w:rsidR="00144ED1" w:rsidRPr="007114A7">
        <w:rPr>
          <w:sz w:val="24"/>
        </w:rPr>
        <w:t xml:space="preserve">l-surface EGFR can be </w:t>
      </w:r>
      <w:proofErr w:type="spellStart"/>
      <w:r w:rsidR="00144ED1" w:rsidRPr="007114A7">
        <w:rPr>
          <w:sz w:val="24"/>
        </w:rPr>
        <w:t>internalis</w:t>
      </w:r>
      <w:r w:rsidRPr="007114A7">
        <w:rPr>
          <w:sz w:val="24"/>
        </w:rPr>
        <w:t>ed</w:t>
      </w:r>
      <w:proofErr w:type="spellEnd"/>
      <w:r w:rsidRPr="007114A7">
        <w:rPr>
          <w:sz w:val="24"/>
        </w:rPr>
        <w:t xml:space="preserve"> and degraded, the nonlinear clearance is probably related to </w:t>
      </w:r>
      <w:proofErr w:type="spellStart"/>
      <w:r w:rsidRPr="007114A7">
        <w:rPr>
          <w:sz w:val="24"/>
        </w:rPr>
        <w:t>saturable</w:t>
      </w:r>
      <w:proofErr w:type="spellEnd"/>
      <w:r w:rsidRPr="007114A7">
        <w:rPr>
          <w:sz w:val="24"/>
        </w:rPr>
        <w:t xml:space="preserve"> binding of </w:t>
      </w:r>
      <w:proofErr w:type="spellStart"/>
      <w:r w:rsidRPr="007114A7">
        <w:rPr>
          <w:sz w:val="24"/>
        </w:rPr>
        <w:t>panitumumab</w:t>
      </w:r>
      <w:proofErr w:type="spellEnd"/>
      <w:r w:rsidRPr="007114A7">
        <w:rPr>
          <w:sz w:val="24"/>
        </w:rPr>
        <w:t xml:space="preserve"> to EGFR.  </w:t>
      </w:r>
      <w:r w:rsidRPr="00BD4E8A">
        <w:rPr>
          <w:sz w:val="24"/>
        </w:rPr>
        <w:t>The average clearance value decreases with increasing dose and approaches the clearance value for endogenous IgG2 (</w:t>
      </w:r>
      <w:r w:rsidR="00D40391">
        <w:rPr>
          <w:sz w:val="24"/>
        </w:rPr>
        <w:t>1-</w:t>
      </w:r>
      <w:r w:rsidRPr="00BD4E8A">
        <w:rPr>
          <w:sz w:val="24"/>
        </w:rPr>
        <w:t xml:space="preserve">4 </w:t>
      </w:r>
      <w:proofErr w:type="spellStart"/>
      <w:r w:rsidRPr="00BD4E8A">
        <w:rPr>
          <w:sz w:val="24"/>
        </w:rPr>
        <w:t>mL</w:t>
      </w:r>
      <w:proofErr w:type="spellEnd"/>
      <w:r w:rsidRPr="00BD4E8A">
        <w:rPr>
          <w:sz w:val="24"/>
        </w:rPr>
        <w:t xml:space="preserve">/day/kg).  </w:t>
      </w:r>
      <w:r w:rsidRPr="00BD4E8A">
        <w:rPr>
          <w:sz w:val="24"/>
          <w:szCs w:val="24"/>
        </w:rPr>
        <w:t>Steady-state is obtained after 3 doses at 6 mg/kg given once every</w:t>
      </w:r>
      <w:r w:rsidR="006E463F" w:rsidRPr="00BD4E8A">
        <w:rPr>
          <w:sz w:val="24"/>
          <w:szCs w:val="24"/>
        </w:rPr>
        <w:t xml:space="preserve"> 2 weeks.</w:t>
      </w:r>
      <w:r w:rsidRPr="00BD4E8A">
        <w:rPr>
          <w:sz w:val="24"/>
          <w:szCs w:val="24"/>
        </w:rPr>
        <w:t xml:space="preserve">  At steady-state, mean minimum serum concentration </w:t>
      </w:r>
      <w:r w:rsidR="00216320" w:rsidRPr="00BD4E8A">
        <w:rPr>
          <w:sz w:val="24"/>
          <w:szCs w:val="24"/>
        </w:rPr>
        <w:t xml:space="preserve">was </w:t>
      </w:r>
      <w:r w:rsidRPr="00BD4E8A">
        <w:rPr>
          <w:sz w:val="24"/>
          <w:szCs w:val="24"/>
        </w:rPr>
        <w:t xml:space="preserve">47 </w:t>
      </w:r>
      <w:proofErr w:type="spellStart"/>
      <w:r w:rsidRPr="00BD4E8A">
        <w:rPr>
          <w:sz w:val="24"/>
          <w:szCs w:val="24"/>
        </w:rPr>
        <w:t>μg</w:t>
      </w:r>
      <w:proofErr w:type="spellEnd"/>
      <w:r w:rsidRPr="00BD4E8A">
        <w:rPr>
          <w:sz w:val="24"/>
          <w:szCs w:val="24"/>
        </w:rPr>
        <w:t>/</w:t>
      </w:r>
      <w:proofErr w:type="spellStart"/>
      <w:r w:rsidRPr="00BD4E8A">
        <w:rPr>
          <w:sz w:val="24"/>
          <w:szCs w:val="24"/>
        </w:rPr>
        <w:t>mL</w:t>
      </w:r>
      <w:proofErr w:type="spellEnd"/>
      <w:r w:rsidRPr="00BD4E8A">
        <w:rPr>
          <w:sz w:val="24"/>
          <w:szCs w:val="24"/>
        </w:rPr>
        <w:t xml:space="preserve"> (SD </w:t>
      </w:r>
      <w:bookmarkStart w:id="0" w:name="OLE_LINK6"/>
      <w:r w:rsidRPr="00BD4E8A">
        <w:rPr>
          <w:sz w:val="24"/>
          <w:szCs w:val="24"/>
        </w:rPr>
        <w:sym w:font="Symbol" w:char="F0B1"/>
      </w:r>
      <w:bookmarkEnd w:id="0"/>
      <w:r w:rsidRPr="00BD4E8A">
        <w:rPr>
          <w:sz w:val="24"/>
          <w:szCs w:val="24"/>
        </w:rPr>
        <w:t xml:space="preserve"> 19), mean maximum serum concentration </w:t>
      </w:r>
      <w:r w:rsidR="00216320" w:rsidRPr="00BD4E8A">
        <w:rPr>
          <w:sz w:val="24"/>
          <w:szCs w:val="24"/>
        </w:rPr>
        <w:t>was</w:t>
      </w:r>
      <w:r w:rsidRPr="00BD4E8A">
        <w:rPr>
          <w:sz w:val="24"/>
          <w:szCs w:val="24"/>
        </w:rPr>
        <w:t xml:space="preserve"> 219 </w:t>
      </w:r>
      <w:proofErr w:type="spellStart"/>
      <w:r w:rsidRPr="00BD4E8A">
        <w:rPr>
          <w:sz w:val="24"/>
          <w:szCs w:val="24"/>
        </w:rPr>
        <w:t>μg</w:t>
      </w:r>
      <w:proofErr w:type="spellEnd"/>
      <w:r w:rsidRPr="00BD4E8A">
        <w:rPr>
          <w:sz w:val="24"/>
          <w:szCs w:val="24"/>
        </w:rPr>
        <w:t>/</w:t>
      </w:r>
      <w:proofErr w:type="spellStart"/>
      <w:r w:rsidRPr="00BD4E8A">
        <w:rPr>
          <w:sz w:val="24"/>
          <w:szCs w:val="24"/>
        </w:rPr>
        <w:t>mL</w:t>
      </w:r>
      <w:proofErr w:type="spellEnd"/>
      <w:r w:rsidRPr="00BD4E8A">
        <w:rPr>
          <w:sz w:val="24"/>
          <w:szCs w:val="24"/>
        </w:rPr>
        <w:t xml:space="preserve"> (SD </w:t>
      </w:r>
      <w:r w:rsidRPr="00BD4E8A">
        <w:rPr>
          <w:sz w:val="24"/>
          <w:szCs w:val="24"/>
        </w:rPr>
        <w:sym w:font="Symbol" w:char="F0B1"/>
      </w:r>
      <w:r w:rsidRPr="00BD4E8A">
        <w:rPr>
          <w:sz w:val="24"/>
          <w:szCs w:val="24"/>
        </w:rPr>
        <w:t xml:space="preserve"> 54), and mean area under the concentration time curve (AUC) </w:t>
      </w:r>
      <w:r w:rsidR="00216320" w:rsidRPr="00BD4E8A">
        <w:rPr>
          <w:sz w:val="24"/>
          <w:szCs w:val="24"/>
        </w:rPr>
        <w:t>was</w:t>
      </w:r>
      <w:r w:rsidRPr="00BD4E8A">
        <w:rPr>
          <w:sz w:val="24"/>
          <w:szCs w:val="24"/>
        </w:rPr>
        <w:t xml:space="preserve"> 1431 </w:t>
      </w:r>
      <w:proofErr w:type="spellStart"/>
      <w:r w:rsidRPr="00BD4E8A">
        <w:rPr>
          <w:sz w:val="24"/>
          <w:szCs w:val="24"/>
        </w:rPr>
        <w:t>μg</w:t>
      </w:r>
      <w:proofErr w:type="spellEnd"/>
      <w:r w:rsidRPr="00BD4E8A">
        <w:rPr>
          <w:sz w:val="24"/>
          <w:szCs w:val="24"/>
        </w:rPr>
        <w:sym w:font="Symbol" w:char="F0B7"/>
      </w:r>
      <w:r w:rsidRPr="00BD4E8A">
        <w:rPr>
          <w:sz w:val="24"/>
          <w:szCs w:val="24"/>
        </w:rPr>
        <w:t>day/</w:t>
      </w:r>
      <w:proofErr w:type="spellStart"/>
      <w:r w:rsidRPr="00BD4E8A">
        <w:rPr>
          <w:sz w:val="24"/>
          <w:szCs w:val="24"/>
        </w:rPr>
        <w:t>mL</w:t>
      </w:r>
      <w:proofErr w:type="spellEnd"/>
      <w:r w:rsidRPr="00BD4E8A">
        <w:rPr>
          <w:sz w:val="24"/>
          <w:szCs w:val="24"/>
        </w:rPr>
        <w:t xml:space="preserve"> (SD </w:t>
      </w:r>
      <w:r w:rsidRPr="00BD4E8A">
        <w:rPr>
          <w:sz w:val="24"/>
          <w:szCs w:val="24"/>
        </w:rPr>
        <w:sym w:font="Symbol" w:char="F0B1"/>
      </w:r>
      <w:r w:rsidRPr="00BD4E8A">
        <w:rPr>
          <w:sz w:val="24"/>
          <w:szCs w:val="24"/>
        </w:rPr>
        <w:t xml:space="preserve"> 412) do</w:t>
      </w:r>
      <w:r w:rsidR="00216320" w:rsidRPr="00BD4E8A">
        <w:rPr>
          <w:sz w:val="24"/>
          <w:szCs w:val="24"/>
        </w:rPr>
        <w:t>se</w:t>
      </w:r>
      <w:r w:rsidRPr="00BD4E8A">
        <w:rPr>
          <w:sz w:val="24"/>
          <w:szCs w:val="24"/>
        </w:rPr>
        <w:t xml:space="preserve">.  The mean half-life value during the dosing interval </w:t>
      </w:r>
      <w:r w:rsidR="00216320" w:rsidRPr="00BD4E8A">
        <w:rPr>
          <w:sz w:val="24"/>
          <w:szCs w:val="24"/>
        </w:rPr>
        <w:t xml:space="preserve">was </w:t>
      </w:r>
      <w:r w:rsidRPr="00BD4E8A">
        <w:rPr>
          <w:sz w:val="24"/>
          <w:szCs w:val="24"/>
        </w:rPr>
        <w:t xml:space="preserve">7.5 days (SD </w:t>
      </w:r>
      <w:r w:rsidRPr="00BD4E8A">
        <w:rPr>
          <w:sz w:val="24"/>
          <w:szCs w:val="24"/>
        </w:rPr>
        <w:sym w:font="Symbol" w:char="F0B1"/>
      </w:r>
      <w:r w:rsidRPr="00BD4E8A">
        <w:rPr>
          <w:sz w:val="24"/>
          <w:szCs w:val="24"/>
        </w:rPr>
        <w:t xml:space="preserve"> 1.8)</w:t>
      </w:r>
      <w:r w:rsidR="00216320" w:rsidRPr="00BD4E8A">
        <w:rPr>
          <w:sz w:val="24"/>
          <w:szCs w:val="24"/>
        </w:rPr>
        <w:t>.</w:t>
      </w:r>
      <w:r w:rsidRPr="00BD4E8A">
        <w:rPr>
          <w:sz w:val="24"/>
          <w:szCs w:val="24"/>
        </w:rPr>
        <w:t xml:space="preserve"> </w:t>
      </w:r>
      <w:r w:rsidR="00EF1969" w:rsidRPr="00BD4E8A">
        <w:rPr>
          <w:sz w:val="24"/>
          <w:szCs w:val="24"/>
        </w:rPr>
        <w:t xml:space="preserve"> </w:t>
      </w:r>
      <w:r w:rsidR="00EF1969" w:rsidRPr="00BD4E8A">
        <w:rPr>
          <w:sz w:val="24"/>
          <w:szCs w:val="24"/>
          <w:lang w:val="en-CA"/>
        </w:rPr>
        <w:t xml:space="preserve">Compartmental analysis suggested that the volume of distribution approximated the plasma volume (42 </w:t>
      </w:r>
      <w:proofErr w:type="spellStart"/>
      <w:r w:rsidR="00EF1969" w:rsidRPr="00BD4E8A">
        <w:rPr>
          <w:sz w:val="24"/>
          <w:szCs w:val="24"/>
          <w:lang w:val="en-CA"/>
        </w:rPr>
        <w:t>mL</w:t>
      </w:r>
      <w:proofErr w:type="spellEnd"/>
      <w:r w:rsidR="00EF1969" w:rsidRPr="00BD4E8A">
        <w:rPr>
          <w:sz w:val="24"/>
          <w:szCs w:val="24"/>
          <w:lang w:val="en-CA"/>
        </w:rPr>
        <w:t xml:space="preserve">/kg) for the central compartment and was approximately 26 </w:t>
      </w:r>
      <w:proofErr w:type="spellStart"/>
      <w:r w:rsidR="00EF1969" w:rsidRPr="00BD4E8A">
        <w:rPr>
          <w:sz w:val="24"/>
          <w:szCs w:val="24"/>
          <w:lang w:val="en-CA"/>
        </w:rPr>
        <w:t>mL</w:t>
      </w:r>
      <w:proofErr w:type="spellEnd"/>
      <w:r w:rsidR="00EF1969" w:rsidRPr="00BD4E8A">
        <w:rPr>
          <w:sz w:val="24"/>
          <w:szCs w:val="24"/>
          <w:lang w:val="en-CA"/>
        </w:rPr>
        <w:t>/kg for the peripheral compartment.</w:t>
      </w:r>
    </w:p>
    <w:p w:rsidR="0025335F" w:rsidRPr="00870E7E" w:rsidRDefault="0025335F">
      <w:pPr>
        <w:rPr>
          <w:sz w:val="24"/>
          <w:lang w:val="en-AU"/>
        </w:rPr>
      </w:pPr>
    </w:p>
    <w:p w:rsidR="00AA7FFD" w:rsidRDefault="00AA7FFD">
      <w:pPr>
        <w:pStyle w:val="Heading3"/>
        <w:spacing w:after="0" w:line="240" w:lineRule="auto"/>
        <w:rPr>
          <w:rFonts w:ascii="Times New Roman" w:hAnsi="Times New Roman"/>
          <w:sz w:val="24"/>
        </w:rPr>
      </w:pPr>
      <w:r>
        <w:rPr>
          <w:rFonts w:ascii="Times New Roman" w:hAnsi="Times New Roman"/>
          <w:sz w:val="24"/>
        </w:rPr>
        <w:t>Special Populations</w:t>
      </w:r>
    </w:p>
    <w:p w:rsidR="00AA7FFD" w:rsidRDefault="00AA7FFD">
      <w:pPr>
        <w:pStyle w:val="Text"/>
        <w:suppressAutoHyphens w:val="0"/>
        <w:spacing w:after="0" w:line="240" w:lineRule="auto"/>
        <w:rPr>
          <w:rFonts w:ascii="Times New Roman" w:hAnsi="Times New Roman"/>
          <w:sz w:val="24"/>
        </w:rPr>
      </w:pPr>
      <w:r>
        <w:rPr>
          <w:rFonts w:ascii="Times New Roman" w:hAnsi="Times New Roman"/>
          <w:sz w:val="24"/>
        </w:rPr>
        <w:t xml:space="preserve">A population pharmacokinetic analysis was performed to explore the potential effects of selected covariates on </w:t>
      </w:r>
      <w:proofErr w:type="spellStart"/>
      <w:r>
        <w:rPr>
          <w:rFonts w:ascii="Times New Roman" w:hAnsi="Times New Roman"/>
          <w:sz w:val="24"/>
        </w:rPr>
        <w:t>panitumumab</w:t>
      </w:r>
      <w:proofErr w:type="spellEnd"/>
      <w:r>
        <w:rPr>
          <w:rFonts w:ascii="Times New Roman" w:hAnsi="Times New Roman"/>
          <w:sz w:val="24"/>
        </w:rPr>
        <w:t xml:space="preserve"> pharmacokinetics.  Results suggest that age, gender, tumour type, race, hepatic function, renal function, chemotherapeutic agents, and EGFR expression in tumour cells had no apparent impact on the pharmacokinetics of </w:t>
      </w:r>
      <w:proofErr w:type="spellStart"/>
      <w:r>
        <w:rPr>
          <w:rFonts w:ascii="Times New Roman" w:hAnsi="Times New Roman"/>
          <w:sz w:val="24"/>
        </w:rPr>
        <w:t>panitumumab</w:t>
      </w:r>
      <w:proofErr w:type="spellEnd"/>
      <w:r>
        <w:rPr>
          <w:rFonts w:ascii="Times New Roman" w:hAnsi="Times New Roman"/>
          <w:sz w:val="24"/>
        </w:rPr>
        <w:t>.</w:t>
      </w:r>
    </w:p>
    <w:p w:rsidR="00AA7FFD" w:rsidRDefault="00AA7FFD">
      <w:pPr>
        <w:pStyle w:val="Text"/>
        <w:suppressAutoHyphens w:val="0"/>
        <w:spacing w:after="0" w:line="240" w:lineRule="auto"/>
        <w:rPr>
          <w:rFonts w:ascii="Times New Roman" w:hAnsi="Times New Roman"/>
          <w:sz w:val="24"/>
        </w:rPr>
      </w:pPr>
    </w:p>
    <w:p w:rsidR="00AA7FFD" w:rsidRPr="00000BBF" w:rsidRDefault="00AA7FFD" w:rsidP="00000BBF">
      <w:pPr>
        <w:pStyle w:val="Heading3"/>
        <w:spacing w:after="0" w:line="240" w:lineRule="auto"/>
        <w:rPr>
          <w:rFonts w:ascii="Times New Roman" w:hAnsi="Times New Roman"/>
          <w:bCs/>
          <w:iCs/>
          <w:sz w:val="24"/>
        </w:rPr>
      </w:pPr>
      <w:r w:rsidRPr="00000BBF">
        <w:rPr>
          <w:rFonts w:ascii="Times New Roman" w:hAnsi="Times New Roman"/>
          <w:bCs/>
          <w:iCs/>
          <w:sz w:val="24"/>
        </w:rPr>
        <w:t>Renal and Hepatic Insufficiency</w:t>
      </w:r>
    </w:p>
    <w:p w:rsidR="00AA7FFD" w:rsidRDefault="00AA7FFD">
      <w:pPr>
        <w:rPr>
          <w:sz w:val="24"/>
        </w:rPr>
      </w:pPr>
      <w:r>
        <w:rPr>
          <w:sz w:val="24"/>
        </w:rPr>
        <w:t xml:space="preserve">No clinical studies have been conducted to examine the pharmacokinetics of </w:t>
      </w:r>
      <w:proofErr w:type="spellStart"/>
      <w:r>
        <w:rPr>
          <w:sz w:val="24"/>
        </w:rPr>
        <w:t>panitumumab</w:t>
      </w:r>
      <w:proofErr w:type="spellEnd"/>
      <w:r>
        <w:rPr>
          <w:sz w:val="24"/>
        </w:rPr>
        <w:t xml:space="preserve"> in patients with renal impairment or hepatic impairment.</w:t>
      </w:r>
    </w:p>
    <w:p w:rsidR="00AA7FFD" w:rsidRDefault="00AA7FFD">
      <w:pPr>
        <w:rPr>
          <w:sz w:val="24"/>
        </w:rPr>
      </w:pPr>
    </w:p>
    <w:p w:rsidR="00AA7FFD" w:rsidRPr="00000BBF" w:rsidRDefault="00AA7FFD" w:rsidP="00000BBF">
      <w:pPr>
        <w:pStyle w:val="Heading3"/>
        <w:spacing w:after="0" w:line="240" w:lineRule="auto"/>
        <w:rPr>
          <w:rFonts w:ascii="Times New Roman" w:hAnsi="Times New Roman"/>
          <w:bCs/>
          <w:iCs/>
          <w:sz w:val="24"/>
        </w:rPr>
      </w:pPr>
      <w:r w:rsidRPr="00000BBF">
        <w:rPr>
          <w:rFonts w:ascii="Times New Roman" w:hAnsi="Times New Roman"/>
          <w:bCs/>
          <w:iCs/>
          <w:sz w:val="24"/>
        </w:rPr>
        <w:t>Geriatric Patients</w:t>
      </w:r>
    </w:p>
    <w:p w:rsidR="00AA7FFD" w:rsidRPr="002606B4" w:rsidRDefault="00AA7FFD">
      <w:pPr>
        <w:rPr>
          <w:color w:val="000000"/>
          <w:sz w:val="24"/>
        </w:rPr>
      </w:pPr>
      <w:r>
        <w:rPr>
          <w:sz w:val="24"/>
        </w:rPr>
        <w:t xml:space="preserve">No age-related differences in the pharmacokinetics of </w:t>
      </w:r>
      <w:proofErr w:type="spellStart"/>
      <w:r>
        <w:rPr>
          <w:sz w:val="24"/>
        </w:rPr>
        <w:t>panitumumab</w:t>
      </w:r>
      <w:proofErr w:type="spellEnd"/>
      <w:r>
        <w:rPr>
          <w:sz w:val="24"/>
        </w:rPr>
        <w:t xml:space="preserve"> were observed in clinical studies in patients 26 to 85 years of age (see PRECAUTIONS:</w:t>
      </w:r>
      <w:r w:rsidRPr="002606B4">
        <w:rPr>
          <w:color w:val="000000"/>
          <w:sz w:val="24"/>
        </w:rPr>
        <w:t xml:space="preserve"> Use</w:t>
      </w:r>
      <w:r w:rsidR="006E463F" w:rsidRPr="002606B4">
        <w:rPr>
          <w:color w:val="000000"/>
          <w:sz w:val="24"/>
        </w:rPr>
        <w:t xml:space="preserve"> in the Elderly</w:t>
      </w:r>
      <w:r w:rsidRPr="002606B4">
        <w:rPr>
          <w:color w:val="000000"/>
          <w:sz w:val="24"/>
        </w:rPr>
        <w:t>).</w:t>
      </w:r>
    </w:p>
    <w:p w:rsidR="00AA7FFD" w:rsidRPr="00000BBF" w:rsidRDefault="00AA7FFD" w:rsidP="00000BBF">
      <w:pPr>
        <w:pStyle w:val="Text"/>
        <w:spacing w:after="0" w:line="240" w:lineRule="auto"/>
        <w:rPr>
          <w:rFonts w:ascii="Times New Roman" w:hAnsi="Times New Roman"/>
          <w:bCs/>
          <w:sz w:val="24"/>
        </w:rPr>
      </w:pPr>
    </w:p>
    <w:p w:rsidR="00AA7FFD" w:rsidRPr="00000BBF" w:rsidRDefault="00AA7FFD" w:rsidP="00000BBF">
      <w:pPr>
        <w:pStyle w:val="Heading2"/>
        <w:spacing w:after="0" w:line="240" w:lineRule="auto"/>
        <w:rPr>
          <w:rFonts w:ascii="Times New Roman" w:hAnsi="Times New Roman"/>
          <w:bCs/>
          <w:iCs/>
          <w:sz w:val="24"/>
          <w:u w:val="single"/>
        </w:rPr>
      </w:pPr>
      <w:r w:rsidRPr="00000BBF">
        <w:rPr>
          <w:rFonts w:ascii="Times New Roman" w:hAnsi="Times New Roman"/>
          <w:bCs/>
          <w:iCs/>
          <w:sz w:val="24"/>
        </w:rPr>
        <w:t>Immunogenicity</w:t>
      </w:r>
    </w:p>
    <w:p w:rsidR="002648DA" w:rsidRDefault="002648DA" w:rsidP="002648DA">
      <w:pPr>
        <w:numPr>
          <w:ilvl w:val="12"/>
          <w:numId w:val="0"/>
        </w:numPr>
        <w:ind w:right="-1"/>
        <w:rPr>
          <w:iCs/>
          <w:sz w:val="24"/>
        </w:rPr>
      </w:pPr>
      <w:r w:rsidRPr="00C16CDC">
        <w:rPr>
          <w:iCs/>
          <w:sz w:val="24"/>
        </w:rPr>
        <w:t>As with all therapeutic proteins, there i</w:t>
      </w:r>
      <w:r w:rsidR="00BD4E8A" w:rsidRPr="00C16CDC">
        <w:rPr>
          <w:iCs/>
          <w:sz w:val="24"/>
        </w:rPr>
        <w:t>s</w:t>
      </w:r>
      <w:r w:rsidR="00476A44">
        <w:rPr>
          <w:iCs/>
          <w:sz w:val="24"/>
        </w:rPr>
        <w:t xml:space="preserve"> potential for immunogenicity.  </w:t>
      </w:r>
      <w:r w:rsidR="004657AA" w:rsidRPr="00C16CDC">
        <w:rPr>
          <w:iCs/>
          <w:sz w:val="24"/>
        </w:rPr>
        <w:t xml:space="preserve">The immunogenicity of </w:t>
      </w:r>
      <w:proofErr w:type="spellStart"/>
      <w:r w:rsidR="000904A8" w:rsidRPr="00C16CDC">
        <w:rPr>
          <w:iCs/>
          <w:sz w:val="24"/>
        </w:rPr>
        <w:t>panitumumab</w:t>
      </w:r>
      <w:proofErr w:type="spellEnd"/>
      <w:r w:rsidR="00C16CDC">
        <w:rPr>
          <w:iCs/>
          <w:sz w:val="24"/>
        </w:rPr>
        <w:t xml:space="preserve"> </w:t>
      </w:r>
      <w:r w:rsidR="00AA7FFD">
        <w:rPr>
          <w:iCs/>
          <w:sz w:val="24"/>
        </w:rPr>
        <w:t>has been evaluated using two differe</w:t>
      </w:r>
      <w:r w:rsidR="00AA7FFD" w:rsidRPr="00C16CDC">
        <w:rPr>
          <w:iCs/>
          <w:sz w:val="24"/>
        </w:rPr>
        <w:t xml:space="preserve">nt </w:t>
      </w:r>
      <w:r w:rsidRPr="00C16CDC">
        <w:rPr>
          <w:iCs/>
          <w:sz w:val="24"/>
        </w:rPr>
        <w:t xml:space="preserve">screening </w:t>
      </w:r>
      <w:r w:rsidR="00AA7FFD" w:rsidRPr="00C16CDC">
        <w:rPr>
          <w:iCs/>
          <w:sz w:val="24"/>
        </w:rPr>
        <w:t xml:space="preserve">immunoassays </w:t>
      </w:r>
      <w:r w:rsidRPr="00C16CDC">
        <w:rPr>
          <w:iCs/>
          <w:sz w:val="24"/>
        </w:rPr>
        <w:t xml:space="preserve">for the detection of binding </w:t>
      </w:r>
      <w:r w:rsidR="00A560B4" w:rsidRPr="00C16CDC">
        <w:rPr>
          <w:iCs/>
          <w:sz w:val="24"/>
        </w:rPr>
        <w:t>a</w:t>
      </w:r>
      <w:r w:rsidRPr="00C16CDC">
        <w:rPr>
          <w:iCs/>
          <w:sz w:val="24"/>
        </w:rPr>
        <w:t>nti-</w:t>
      </w:r>
      <w:proofErr w:type="spellStart"/>
      <w:r w:rsidRPr="00C16CDC">
        <w:rPr>
          <w:iCs/>
          <w:sz w:val="24"/>
        </w:rPr>
        <w:t>panitumumab</w:t>
      </w:r>
      <w:proofErr w:type="spellEnd"/>
      <w:r w:rsidRPr="00C16CDC">
        <w:rPr>
          <w:iCs/>
          <w:sz w:val="24"/>
        </w:rPr>
        <w:t xml:space="preserve"> antibodies </w:t>
      </w:r>
      <w:r w:rsidR="00AA7FFD" w:rsidRPr="00C16CDC">
        <w:rPr>
          <w:sz w:val="24"/>
        </w:rPr>
        <w:t>(</w:t>
      </w:r>
      <w:r w:rsidR="00AA7FFD" w:rsidRPr="007114A7">
        <w:rPr>
          <w:sz w:val="24"/>
        </w:rPr>
        <w:t xml:space="preserve">an ELISA which detects high-affinity antibodies, and a </w:t>
      </w:r>
      <w:proofErr w:type="spellStart"/>
      <w:r w:rsidR="00DC3DEE" w:rsidRPr="00C16CDC">
        <w:rPr>
          <w:sz w:val="24"/>
        </w:rPr>
        <w:t>Biacore</w:t>
      </w:r>
      <w:proofErr w:type="spellEnd"/>
      <w:r w:rsidR="00DC3DEE" w:rsidRPr="00C16CDC">
        <w:rPr>
          <w:sz w:val="24"/>
          <w:vertAlign w:val="superscript"/>
        </w:rPr>
        <w:t xml:space="preserve">® </w:t>
      </w:r>
      <w:r w:rsidR="00AA7FFD" w:rsidRPr="007114A7">
        <w:rPr>
          <w:sz w:val="24"/>
        </w:rPr>
        <w:t>Biosensor Immunoassay which detects both high</w:t>
      </w:r>
      <w:r w:rsidR="00FB64C9" w:rsidRPr="007114A7">
        <w:rPr>
          <w:sz w:val="24"/>
        </w:rPr>
        <w:t>-</w:t>
      </w:r>
      <w:r w:rsidR="00AA7FFD" w:rsidRPr="007114A7">
        <w:rPr>
          <w:sz w:val="24"/>
        </w:rPr>
        <w:t xml:space="preserve"> and low-affinity antibodies)</w:t>
      </w:r>
      <w:r w:rsidR="006E463F" w:rsidRPr="002648DA">
        <w:rPr>
          <w:sz w:val="24"/>
        </w:rPr>
        <w:t xml:space="preserve">. </w:t>
      </w:r>
      <w:r w:rsidR="006E463F" w:rsidRPr="00C16CDC">
        <w:rPr>
          <w:sz w:val="24"/>
        </w:rPr>
        <w:t xml:space="preserve"> </w:t>
      </w:r>
      <w:r w:rsidRPr="00C16CDC">
        <w:rPr>
          <w:sz w:val="24"/>
        </w:rPr>
        <w:t>For pati</w:t>
      </w:r>
      <w:r w:rsidRPr="00C16CDC">
        <w:rPr>
          <w:iCs/>
          <w:sz w:val="24"/>
        </w:rPr>
        <w:t>ents whose sera tested positive in either screening immunoassay, an</w:t>
      </w:r>
      <w:r w:rsidR="004657AA" w:rsidRPr="00C16CDC">
        <w:rPr>
          <w:iCs/>
          <w:sz w:val="24"/>
        </w:rPr>
        <w:t xml:space="preserve"> in vitro</w:t>
      </w:r>
      <w:r w:rsidRPr="00C16CDC">
        <w:rPr>
          <w:iCs/>
          <w:sz w:val="24"/>
        </w:rPr>
        <w:t xml:space="preserve"> biological assay was performed to detect </w:t>
      </w:r>
      <w:proofErr w:type="spellStart"/>
      <w:r w:rsidRPr="00C16CDC">
        <w:rPr>
          <w:iCs/>
          <w:sz w:val="24"/>
        </w:rPr>
        <w:t>neutrali</w:t>
      </w:r>
      <w:r w:rsidR="00E909DA" w:rsidRPr="00C16CDC">
        <w:rPr>
          <w:iCs/>
          <w:sz w:val="24"/>
        </w:rPr>
        <w:t>s</w:t>
      </w:r>
      <w:r w:rsidRPr="00C16CDC">
        <w:rPr>
          <w:iCs/>
          <w:sz w:val="24"/>
        </w:rPr>
        <w:t>ing</w:t>
      </w:r>
      <w:proofErr w:type="spellEnd"/>
      <w:r w:rsidRPr="00C16CDC">
        <w:rPr>
          <w:iCs/>
          <w:sz w:val="24"/>
        </w:rPr>
        <w:t xml:space="preserve"> antibodies.</w:t>
      </w:r>
    </w:p>
    <w:p w:rsidR="00C16CDC" w:rsidRDefault="00C16CDC" w:rsidP="00A560B4">
      <w:pPr>
        <w:keepNext/>
        <w:rPr>
          <w:iCs/>
          <w:sz w:val="24"/>
        </w:rPr>
      </w:pPr>
    </w:p>
    <w:p w:rsidR="00A560B4" w:rsidRPr="00C16CDC" w:rsidRDefault="00B44A76" w:rsidP="00A560B4">
      <w:pPr>
        <w:keepNext/>
        <w:rPr>
          <w:sz w:val="24"/>
        </w:rPr>
      </w:pPr>
      <w:proofErr w:type="spellStart"/>
      <w:r w:rsidRPr="00C16CDC">
        <w:rPr>
          <w:sz w:val="24"/>
        </w:rPr>
        <w:t>Vectibix</w:t>
      </w:r>
      <w:proofErr w:type="spellEnd"/>
      <w:r w:rsidR="00A560B4" w:rsidRPr="00C16CDC">
        <w:rPr>
          <w:sz w:val="24"/>
        </w:rPr>
        <w:t xml:space="preserve"> </w:t>
      </w:r>
      <w:proofErr w:type="spellStart"/>
      <w:r w:rsidR="00A560B4" w:rsidRPr="00C16CDC">
        <w:rPr>
          <w:sz w:val="24"/>
        </w:rPr>
        <w:t>monotherapy</w:t>
      </w:r>
      <w:proofErr w:type="spellEnd"/>
      <w:r w:rsidR="00A560B4" w:rsidRPr="00C16CDC">
        <w:rPr>
          <w:sz w:val="24"/>
        </w:rPr>
        <w:t>:</w:t>
      </w:r>
    </w:p>
    <w:p w:rsidR="00A560B4" w:rsidRPr="00C16CDC" w:rsidRDefault="00A560B4" w:rsidP="00A560B4">
      <w:pPr>
        <w:pStyle w:val="BodyText"/>
        <w:numPr>
          <w:ilvl w:val="0"/>
          <w:numId w:val="9"/>
        </w:numPr>
        <w:tabs>
          <w:tab w:val="clear" w:pos="72"/>
          <w:tab w:val="clear" w:pos="780"/>
          <w:tab w:val="clear" w:pos="9540"/>
          <w:tab w:val="left" w:pos="720"/>
        </w:tabs>
        <w:spacing w:after="0"/>
        <w:ind w:left="720"/>
        <w:rPr>
          <w:rFonts w:ascii="Times New Roman" w:hAnsi="Times New Roman"/>
          <w:sz w:val="24"/>
          <w:szCs w:val="20"/>
          <w:lang w:val="en-US"/>
        </w:rPr>
      </w:pPr>
      <w:r w:rsidRPr="00C16CDC">
        <w:rPr>
          <w:rFonts w:ascii="Times New Roman" w:hAnsi="Times New Roman"/>
          <w:sz w:val="24"/>
          <w:szCs w:val="20"/>
          <w:lang w:val="en-US"/>
        </w:rPr>
        <w:t xml:space="preserve">The incidence of binding antibodies (excluding </w:t>
      </w:r>
      <w:proofErr w:type="spellStart"/>
      <w:r w:rsidRPr="00C16CDC">
        <w:rPr>
          <w:rFonts w:ascii="Times New Roman" w:hAnsi="Times New Roman"/>
          <w:sz w:val="24"/>
          <w:szCs w:val="20"/>
          <w:lang w:val="en-US"/>
        </w:rPr>
        <w:t>predose</w:t>
      </w:r>
      <w:proofErr w:type="spellEnd"/>
      <w:r w:rsidRPr="00C16CDC">
        <w:rPr>
          <w:rFonts w:ascii="Times New Roman" w:hAnsi="Times New Roman"/>
          <w:sz w:val="24"/>
          <w:szCs w:val="20"/>
          <w:lang w:val="en-US"/>
        </w:rPr>
        <w:t xml:space="preserve"> and transient positive patients) was &lt; 1% as detected by the acid-dissociation ELISA and 3.8% as detected by the </w:t>
      </w:r>
      <w:proofErr w:type="spellStart"/>
      <w:r w:rsidRPr="00C16CDC">
        <w:rPr>
          <w:rFonts w:ascii="Times New Roman" w:hAnsi="Times New Roman"/>
          <w:sz w:val="24"/>
          <w:szCs w:val="20"/>
          <w:lang w:val="en-US"/>
        </w:rPr>
        <w:t>Biacore</w:t>
      </w:r>
      <w:proofErr w:type="spellEnd"/>
      <w:r w:rsidRPr="00C16CDC">
        <w:rPr>
          <w:rFonts w:ascii="Times New Roman" w:hAnsi="Times New Roman"/>
          <w:sz w:val="24"/>
          <w:szCs w:val="20"/>
          <w:lang w:val="en-US"/>
        </w:rPr>
        <w:t xml:space="preserve"> assay;</w:t>
      </w:r>
    </w:p>
    <w:p w:rsidR="00A560B4" w:rsidRPr="00C16CDC" w:rsidRDefault="00A560B4" w:rsidP="00A560B4">
      <w:pPr>
        <w:pStyle w:val="BodyText"/>
        <w:numPr>
          <w:ilvl w:val="0"/>
          <w:numId w:val="9"/>
        </w:numPr>
        <w:tabs>
          <w:tab w:val="clear" w:pos="72"/>
          <w:tab w:val="clear" w:pos="780"/>
          <w:tab w:val="clear" w:pos="9540"/>
          <w:tab w:val="left" w:pos="720"/>
        </w:tabs>
        <w:spacing w:after="0"/>
        <w:ind w:left="720"/>
        <w:rPr>
          <w:rFonts w:ascii="Times New Roman" w:hAnsi="Times New Roman"/>
          <w:sz w:val="24"/>
          <w:szCs w:val="20"/>
          <w:lang w:val="en-US"/>
        </w:rPr>
      </w:pPr>
      <w:r w:rsidRPr="00C16CDC">
        <w:rPr>
          <w:rFonts w:ascii="Times New Roman" w:hAnsi="Times New Roman"/>
          <w:sz w:val="24"/>
          <w:szCs w:val="20"/>
          <w:lang w:val="en-US"/>
        </w:rPr>
        <w:lastRenderedPageBreak/>
        <w:t xml:space="preserve">The incidence of </w:t>
      </w:r>
      <w:proofErr w:type="spellStart"/>
      <w:r w:rsidRPr="00C16CDC">
        <w:rPr>
          <w:rFonts w:ascii="Times New Roman" w:hAnsi="Times New Roman"/>
          <w:sz w:val="24"/>
          <w:szCs w:val="20"/>
          <w:lang w:val="en-US"/>
        </w:rPr>
        <w:t>neutrali</w:t>
      </w:r>
      <w:r w:rsidR="00E909DA" w:rsidRPr="00C16CDC">
        <w:rPr>
          <w:rFonts w:ascii="Times New Roman" w:hAnsi="Times New Roman"/>
          <w:sz w:val="24"/>
          <w:szCs w:val="20"/>
          <w:lang w:val="en-US"/>
        </w:rPr>
        <w:t>s</w:t>
      </w:r>
      <w:r w:rsidRPr="00C16CDC">
        <w:rPr>
          <w:rFonts w:ascii="Times New Roman" w:hAnsi="Times New Roman"/>
          <w:sz w:val="24"/>
          <w:szCs w:val="20"/>
          <w:lang w:val="en-US"/>
        </w:rPr>
        <w:t>ing</w:t>
      </w:r>
      <w:proofErr w:type="spellEnd"/>
      <w:r w:rsidRPr="00C16CDC">
        <w:rPr>
          <w:rFonts w:ascii="Times New Roman" w:hAnsi="Times New Roman"/>
          <w:sz w:val="24"/>
          <w:szCs w:val="20"/>
          <w:lang w:val="en-US"/>
        </w:rPr>
        <w:t xml:space="preserve"> antibodies (excluding </w:t>
      </w:r>
      <w:proofErr w:type="spellStart"/>
      <w:r w:rsidRPr="00C16CDC">
        <w:rPr>
          <w:rFonts w:ascii="Times New Roman" w:hAnsi="Times New Roman"/>
          <w:sz w:val="24"/>
          <w:szCs w:val="20"/>
          <w:lang w:val="en-US"/>
        </w:rPr>
        <w:t>predose</w:t>
      </w:r>
      <w:proofErr w:type="spellEnd"/>
      <w:r w:rsidRPr="00C16CDC">
        <w:rPr>
          <w:rFonts w:ascii="Times New Roman" w:hAnsi="Times New Roman"/>
          <w:sz w:val="24"/>
          <w:szCs w:val="20"/>
          <w:lang w:val="en-US"/>
        </w:rPr>
        <w:t xml:space="preserve"> and transient positive patients) was &lt; 1%;</w:t>
      </w:r>
    </w:p>
    <w:p w:rsidR="00AA7FFD" w:rsidRPr="00A560B4" w:rsidRDefault="00AA7FFD" w:rsidP="00A560B4">
      <w:pPr>
        <w:pStyle w:val="BodyText"/>
        <w:numPr>
          <w:ilvl w:val="0"/>
          <w:numId w:val="9"/>
        </w:numPr>
        <w:tabs>
          <w:tab w:val="clear" w:pos="72"/>
          <w:tab w:val="clear" w:pos="780"/>
          <w:tab w:val="clear" w:pos="9540"/>
          <w:tab w:val="left" w:pos="720"/>
        </w:tabs>
        <w:spacing w:after="0"/>
        <w:ind w:left="720"/>
        <w:rPr>
          <w:rFonts w:ascii="Times New Roman" w:hAnsi="Times New Roman"/>
          <w:sz w:val="24"/>
          <w:szCs w:val="20"/>
          <w:lang w:val="en-US"/>
        </w:rPr>
      </w:pPr>
      <w:r w:rsidRPr="00A560B4">
        <w:rPr>
          <w:rFonts w:ascii="Times New Roman" w:hAnsi="Times New Roman"/>
          <w:sz w:val="24"/>
          <w:szCs w:val="20"/>
          <w:lang w:val="en-US"/>
        </w:rPr>
        <w:t>Compared with patients who did not develop antibodies, no relationship between the presence of anti-</w:t>
      </w:r>
      <w:proofErr w:type="spellStart"/>
      <w:r w:rsidRPr="00A560B4">
        <w:rPr>
          <w:rFonts w:ascii="Times New Roman" w:hAnsi="Times New Roman"/>
          <w:sz w:val="24"/>
          <w:szCs w:val="20"/>
          <w:lang w:val="en-US"/>
        </w:rPr>
        <w:t>panitumumab</w:t>
      </w:r>
      <w:proofErr w:type="spellEnd"/>
      <w:r w:rsidRPr="00A560B4">
        <w:rPr>
          <w:rFonts w:ascii="Times New Roman" w:hAnsi="Times New Roman"/>
          <w:sz w:val="24"/>
          <w:szCs w:val="20"/>
          <w:lang w:val="en-US"/>
        </w:rPr>
        <w:t xml:space="preserve"> antibodies and pharmacokinetics, efficacy and safety has been observed.</w:t>
      </w:r>
    </w:p>
    <w:p w:rsidR="00A560B4" w:rsidRPr="00A560B4" w:rsidRDefault="00A560B4" w:rsidP="00A560B4">
      <w:pPr>
        <w:pStyle w:val="BodyText"/>
        <w:tabs>
          <w:tab w:val="clear" w:pos="72"/>
          <w:tab w:val="clear" w:pos="9540"/>
          <w:tab w:val="left" w:pos="720"/>
        </w:tabs>
        <w:spacing w:after="0"/>
        <w:rPr>
          <w:rFonts w:ascii="Times New Roman" w:hAnsi="Times New Roman"/>
          <w:sz w:val="24"/>
          <w:szCs w:val="20"/>
          <w:lang w:val="en-US"/>
        </w:rPr>
      </w:pPr>
    </w:p>
    <w:p w:rsidR="00A560B4" w:rsidRPr="00C16CDC" w:rsidRDefault="00A560B4" w:rsidP="00BD4E8A">
      <w:pPr>
        <w:keepNext/>
        <w:rPr>
          <w:sz w:val="24"/>
        </w:rPr>
      </w:pPr>
      <w:r w:rsidRPr="00C16CDC">
        <w:rPr>
          <w:sz w:val="24"/>
        </w:rPr>
        <w:t xml:space="preserve">In combination with </w:t>
      </w:r>
      <w:proofErr w:type="spellStart"/>
      <w:r w:rsidRPr="00C16CDC">
        <w:rPr>
          <w:sz w:val="24"/>
        </w:rPr>
        <w:t>irinotecan</w:t>
      </w:r>
      <w:proofErr w:type="spellEnd"/>
      <w:r w:rsidRPr="00C16CDC">
        <w:rPr>
          <w:sz w:val="24"/>
        </w:rPr>
        <w:t xml:space="preserve">- or </w:t>
      </w:r>
      <w:proofErr w:type="spellStart"/>
      <w:r w:rsidRPr="00C16CDC">
        <w:rPr>
          <w:sz w:val="24"/>
        </w:rPr>
        <w:t>oxaliplatin</w:t>
      </w:r>
      <w:proofErr w:type="spellEnd"/>
      <w:r w:rsidRPr="00C16CDC">
        <w:rPr>
          <w:sz w:val="24"/>
        </w:rPr>
        <w:t xml:space="preserve">-based chemotherapy: </w:t>
      </w:r>
    </w:p>
    <w:p w:rsidR="00A560B4" w:rsidRPr="00C16CDC" w:rsidRDefault="00A560B4" w:rsidP="00BD4E8A">
      <w:pPr>
        <w:pStyle w:val="BodyText"/>
        <w:numPr>
          <w:ilvl w:val="0"/>
          <w:numId w:val="9"/>
        </w:numPr>
        <w:tabs>
          <w:tab w:val="clear" w:pos="72"/>
          <w:tab w:val="clear" w:pos="780"/>
          <w:tab w:val="clear" w:pos="9540"/>
        </w:tabs>
        <w:adjustRightInd/>
        <w:spacing w:after="0"/>
        <w:ind w:left="720"/>
        <w:rPr>
          <w:rFonts w:ascii="Times New Roman" w:hAnsi="Times New Roman"/>
          <w:sz w:val="24"/>
          <w:szCs w:val="20"/>
          <w:lang w:val="en-US"/>
        </w:rPr>
      </w:pPr>
      <w:r w:rsidRPr="00C16CDC">
        <w:rPr>
          <w:rFonts w:ascii="Times New Roman" w:hAnsi="Times New Roman"/>
          <w:sz w:val="24"/>
          <w:szCs w:val="20"/>
          <w:lang w:val="en-US"/>
        </w:rPr>
        <w:t xml:space="preserve">The incidence of binding antibodies (excluding </w:t>
      </w:r>
      <w:proofErr w:type="spellStart"/>
      <w:r w:rsidRPr="00C16CDC">
        <w:rPr>
          <w:rFonts w:ascii="Times New Roman" w:hAnsi="Times New Roman"/>
          <w:sz w:val="24"/>
          <w:szCs w:val="20"/>
          <w:lang w:val="en-US"/>
        </w:rPr>
        <w:t>predose</w:t>
      </w:r>
      <w:proofErr w:type="spellEnd"/>
      <w:r w:rsidRPr="00C16CDC">
        <w:rPr>
          <w:rFonts w:ascii="Times New Roman" w:hAnsi="Times New Roman"/>
          <w:sz w:val="24"/>
          <w:szCs w:val="20"/>
          <w:lang w:val="en-US"/>
        </w:rPr>
        <w:t xml:space="preserve"> positive patients) was 1.0%  as detected by the acid-dissociation ELISA and &lt; 1% as detected by the </w:t>
      </w:r>
      <w:proofErr w:type="spellStart"/>
      <w:r w:rsidRPr="00C16CDC">
        <w:rPr>
          <w:rFonts w:ascii="Times New Roman" w:hAnsi="Times New Roman"/>
          <w:sz w:val="24"/>
          <w:szCs w:val="20"/>
          <w:lang w:val="en-US"/>
        </w:rPr>
        <w:t>Biacore</w:t>
      </w:r>
      <w:proofErr w:type="spellEnd"/>
      <w:r w:rsidRPr="00C16CDC">
        <w:rPr>
          <w:rFonts w:ascii="Times New Roman" w:hAnsi="Times New Roman"/>
          <w:sz w:val="24"/>
          <w:szCs w:val="20"/>
          <w:lang w:val="en-US"/>
        </w:rPr>
        <w:t xml:space="preserve"> assay;</w:t>
      </w:r>
    </w:p>
    <w:p w:rsidR="00A560B4" w:rsidRPr="00C16CDC" w:rsidRDefault="00A560B4" w:rsidP="00A560B4">
      <w:pPr>
        <w:pStyle w:val="BodyText"/>
        <w:numPr>
          <w:ilvl w:val="0"/>
          <w:numId w:val="9"/>
        </w:numPr>
        <w:tabs>
          <w:tab w:val="clear" w:pos="72"/>
          <w:tab w:val="clear" w:pos="780"/>
          <w:tab w:val="clear" w:pos="9540"/>
        </w:tabs>
        <w:adjustRightInd/>
        <w:spacing w:after="0"/>
        <w:ind w:left="720"/>
        <w:rPr>
          <w:rFonts w:ascii="Times New Roman" w:hAnsi="Times New Roman"/>
          <w:sz w:val="24"/>
          <w:szCs w:val="20"/>
          <w:lang w:val="en-US"/>
        </w:rPr>
      </w:pPr>
      <w:r w:rsidRPr="00C16CDC">
        <w:rPr>
          <w:rFonts w:ascii="Times New Roman" w:hAnsi="Times New Roman"/>
          <w:sz w:val="24"/>
          <w:szCs w:val="20"/>
          <w:lang w:val="en-US"/>
        </w:rPr>
        <w:t xml:space="preserve">The incidence of </w:t>
      </w:r>
      <w:proofErr w:type="spellStart"/>
      <w:r w:rsidRPr="00C16CDC">
        <w:rPr>
          <w:rFonts w:ascii="Times New Roman" w:hAnsi="Times New Roman"/>
          <w:sz w:val="24"/>
          <w:szCs w:val="20"/>
          <w:lang w:val="en-US"/>
        </w:rPr>
        <w:t>neutrali</w:t>
      </w:r>
      <w:r w:rsidR="00E909DA" w:rsidRPr="00C16CDC">
        <w:rPr>
          <w:rFonts w:ascii="Times New Roman" w:hAnsi="Times New Roman"/>
          <w:sz w:val="24"/>
          <w:szCs w:val="20"/>
          <w:lang w:val="en-US"/>
        </w:rPr>
        <w:t>s</w:t>
      </w:r>
      <w:r w:rsidRPr="00C16CDC">
        <w:rPr>
          <w:rFonts w:ascii="Times New Roman" w:hAnsi="Times New Roman"/>
          <w:sz w:val="24"/>
          <w:szCs w:val="20"/>
          <w:lang w:val="en-US"/>
        </w:rPr>
        <w:t>ing</w:t>
      </w:r>
      <w:proofErr w:type="spellEnd"/>
      <w:r w:rsidRPr="00C16CDC">
        <w:rPr>
          <w:rFonts w:ascii="Times New Roman" w:hAnsi="Times New Roman"/>
          <w:sz w:val="24"/>
          <w:szCs w:val="20"/>
          <w:lang w:val="en-US"/>
        </w:rPr>
        <w:t xml:space="preserve"> antibodies (excluding </w:t>
      </w:r>
      <w:proofErr w:type="spellStart"/>
      <w:r w:rsidRPr="00C16CDC">
        <w:rPr>
          <w:rFonts w:ascii="Times New Roman" w:hAnsi="Times New Roman"/>
          <w:sz w:val="24"/>
          <w:szCs w:val="20"/>
          <w:lang w:val="en-US"/>
        </w:rPr>
        <w:t>predose</w:t>
      </w:r>
      <w:proofErr w:type="spellEnd"/>
      <w:r w:rsidRPr="00C16CDC">
        <w:rPr>
          <w:rFonts w:ascii="Times New Roman" w:hAnsi="Times New Roman"/>
          <w:sz w:val="24"/>
          <w:szCs w:val="20"/>
          <w:lang w:val="en-US"/>
        </w:rPr>
        <w:t xml:space="preserve"> positive patients) was &lt;</w:t>
      </w:r>
      <w:r w:rsidR="00BD4E8A" w:rsidRPr="00C16CDC">
        <w:rPr>
          <w:rFonts w:ascii="Times New Roman" w:hAnsi="Times New Roman"/>
          <w:sz w:val="24"/>
          <w:szCs w:val="20"/>
          <w:lang w:val="en-US"/>
        </w:rPr>
        <w:t> </w:t>
      </w:r>
      <w:r w:rsidRPr="00C16CDC">
        <w:rPr>
          <w:rFonts w:ascii="Times New Roman" w:hAnsi="Times New Roman"/>
          <w:sz w:val="24"/>
          <w:szCs w:val="20"/>
          <w:lang w:val="en-US"/>
        </w:rPr>
        <w:t>1%;</w:t>
      </w:r>
    </w:p>
    <w:p w:rsidR="00A560B4" w:rsidRPr="00C16CDC" w:rsidRDefault="00A560B4" w:rsidP="00A560B4">
      <w:pPr>
        <w:pStyle w:val="BodyText"/>
        <w:numPr>
          <w:ilvl w:val="0"/>
          <w:numId w:val="9"/>
        </w:numPr>
        <w:tabs>
          <w:tab w:val="clear" w:pos="72"/>
          <w:tab w:val="clear" w:pos="780"/>
          <w:tab w:val="clear" w:pos="9540"/>
        </w:tabs>
        <w:adjustRightInd/>
        <w:spacing w:after="0"/>
        <w:ind w:left="720"/>
        <w:rPr>
          <w:rFonts w:ascii="Times New Roman" w:hAnsi="Times New Roman"/>
          <w:sz w:val="24"/>
          <w:szCs w:val="20"/>
          <w:lang w:val="en-US"/>
        </w:rPr>
      </w:pPr>
      <w:r w:rsidRPr="00C16CDC">
        <w:rPr>
          <w:rFonts w:ascii="Times New Roman" w:hAnsi="Times New Roman"/>
          <w:sz w:val="24"/>
          <w:szCs w:val="20"/>
          <w:lang w:val="en-US"/>
        </w:rPr>
        <w:t xml:space="preserve">No evidence of an altered safety profile was found in patients who tested positive for antibodies to </w:t>
      </w:r>
      <w:proofErr w:type="spellStart"/>
      <w:r w:rsidR="00D516E7" w:rsidRPr="00C16CDC">
        <w:rPr>
          <w:rFonts w:ascii="Times New Roman" w:hAnsi="Times New Roman"/>
          <w:sz w:val="24"/>
          <w:szCs w:val="20"/>
          <w:lang w:val="en-US"/>
        </w:rPr>
        <w:t>panitumumab</w:t>
      </w:r>
      <w:proofErr w:type="spellEnd"/>
      <w:r w:rsidRPr="00C16CDC">
        <w:rPr>
          <w:rFonts w:ascii="Times New Roman" w:hAnsi="Times New Roman"/>
          <w:sz w:val="24"/>
          <w:szCs w:val="20"/>
          <w:lang w:val="en-US"/>
        </w:rPr>
        <w:t>.</w:t>
      </w:r>
    </w:p>
    <w:p w:rsidR="00AA7FFD" w:rsidRPr="00A560B4" w:rsidRDefault="00AA7FFD">
      <w:pPr>
        <w:ind w:right="-559"/>
        <w:rPr>
          <w:sz w:val="24"/>
        </w:rPr>
      </w:pPr>
    </w:p>
    <w:p w:rsidR="00AA7FFD" w:rsidRPr="00C16CDC" w:rsidRDefault="00AA7FFD">
      <w:r w:rsidRPr="00C16CDC">
        <w:rPr>
          <w:sz w:val="24"/>
        </w:rPr>
        <w:t xml:space="preserve">The detection of antibody formation is dependent on the sensitivity and specificity of the assay.  The observed incidence of antibody positivity in an assay may be influenced by several factors including </w:t>
      </w:r>
      <w:r w:rsidR="00E909DA" w:rsidRPr="00C16CDC">
        <w:rPr>
          <w:sz w:val="24"/>
        </w:rPr>
        <w:t xml:space="preserve">assay methodology, </w:t>
      </w:r>
      <w:r w:rsidRPr="00C16CDC">
        <w:rPr>
          <w:sz w:val="24"/>
        </w:rPr>
        <w:t xml:space="preserve">sample handling, </w:t>
      </w:r>
      <w:r w:rsidR="00E909DA" w:rsidRPr="00C16CDC">
        <w:rPr>
          <w:sz w:val="24"/>
        </w:rPr>
        <w:t xml:space="preserve">timing of sample collection, </w:t>
      </w:r>
      <w:r w:rsidRPr="00C16CDC">
        <w:rPr>
          <w:sz w:val="24"/>
        </w:rPr>
        <w:t>concomitant medications and underlying disease, therefore comparison of the incidence of antibodies to other products may be misleading.</w:t>
      </w:r>
    </w:p>
    <w:p w:rsidR="00B44A76" w:rsidRDefault="00B44A76">
      <w:pPr>
        <w:pStyle w:val="Heading1"/>
        <w:suppressAutoHyphens/>
      </w:pPr>
    </w:p>
    <w:p w:rsidR="00AA7FFD" w:rsidRDefault="00AA7FFD">
      <w:pPr>
        <w:pStyle w:val="Heading1"/>
        <w:suppressAutoHyphens/>
      </w:pPr>
      <w:r>
        <w:t>CLINICAL TRIALS</w:t>
      </w:r>
    </w:p>
    <w:p w:rsidR="00A560B4" w:rsidRPr="00C16CDC" w:rsidRDefault="00B44A76" w:rsidP="00C851A5">
      <w:pPr>
        <w:pStyle w:val="Heading2"/>
        <w:spacing w:after="0" w:line="240" w:lineRule="auto"/>
        <w:rPr>
          <w:rFonts w:ascii="Times New Roman" w:hAnsi="Times New Roman"/>
          <w:sz w:val="24"/>
        </w:rPr>
      </w:pPr>
      <w:proofErr w:type="spellStart"/>
      <w:r w:rsidRPr="00C16CDC">
        <w:rPr>
          <w:rFonts w:ascii="Times New Roman" w:hAnsi="Times New Roman"/>
          <w:sz w:val="24"/>
        </w:rPr>
        <w:t>Vectibix</w:t>
      </w:r>
      <w:proofErr w:type="spellEnd"/>
      <w:r w:rsidR="00A560B4" w:rsidRPr="00C16CDC">
        <w:rPr>
          <w:rFonts w:ascii="Times New Roman" w:hAnsi="Times New Roman"/>
          <w:sz w:val="24"/>
        </w:rPr>
        <w:t xml:space="preserve"> </w:t>
      </w:r>
      <w:proofErr w:type="spellStart"/>
      <w:r w:rsidR="00A560B4" w:rsidRPr="00C16CDC">
        <w:rPr>
          <w:rFonts w:ascii="Times New Roman" w:hAnsi="Times New Roman"/>
          <w:sz w:val="24"/>
        </w:rPr>
        <w:t>Monotherapy</w:t>
      </w:r>
      <w:proofErr w:type="spellEnd"/>
    </w:p>
    <w:p w:rsidR="00AA7FFD" w:rsidRPr="002606B4" w:rsidRDefault="00AA7FFD" w:rsidP="00B10D64">
      <w:pPr>
        <w:pStyle w:val="BodyText"/>
        <w:spacing w:after="0"/>
        <w:rPr>
          <w:rFonts w:ascii="Times New Roman" w:hAnsi="Times New Roman"/>
          <w:color w:val="000000"/>
          <w:sz w:val="24"/>
        </w:rPr>
      </w:pPr>
      <w:r w:rsidRPr="002606B4">
        <w:rPr>
          <w:rFonts w:ascii="Times New Roman" w:hAnsi="Times New Roman"/>
          <w:color w:val="000000"/>
          <w:sz w:val="24"/>
        </w:rPr>
        <w:t>The efficacy of</w:t>
      </w:r>
      <w:r w:rsidR="00976FC3">
        <w:rPr>
          <w:rFonts w:ascii="Times New Roman" w:hAnsi="Times New Roman"/>
          <w:color w:val="000000"/>
          <w:sz w:val="24"/>
        </w:rPr>
        <w:t xml:space="preserve"> </w:t>
      </w:r>
      <w:proofErr w:type="spellStart"/>
      <w:r w:rsidRPr="00976FC3">
        <w:rPr>
          <w:rFonts w:ascii="Times New Roman" w:hAnsi="Times New Roman"/>
          <w:color w:val="000000"/>
          <w:sz w:val="24"/>
        </w:rPr>
        <w:t>panitumumab</w:t>
      </w:r>
      <w:proofErr w:type="spellEnd"/>
      <w:r w:rsidRPr="002606B4">
        <w:rPr>
          <w:rFonts w:ascii="Times New Roman" w:hAnsi="Times New Roman"/>
          <w:color w:val="000000"/>
          <w:sz w:val="24"/>
        </w:rPr>
        <w:t xml:space="preserve"> </w:t>
      </w:r>
      <w:r w:rsidR="00A560B4" w:rsidRPr="00C16CDC">
        <w:rPr>
          <w:rFonts w:ascii="Times New Roman" w:hAnsi="Times New Roman"/>
          <w:sz w:val="24"/>
        </w:rPr>
        <w:t xml:space="preserve">as </w:t>
      </w:r>
      <w:proofErr w:type="spellStart"/>
      <w:r w:rsidR="00A560B4" w:rsidRPr="00C16CDC">
        <w:rPr>
          <w:rFonts w:ascii="Times New Roman" w:hAnsi="Times New Roman"/>
          <w:sz w:val="24"/>
        </w:rPr>
        <w:t>monotherapy</w:t>
      </w:r>
      <w:proofErr w:type="spellEnd"/>
      <w:r w:rsidR="00A560B4" w:rsidRPr="00C16CDC">
        <w:rPr>
          <w:rFonts w:ascii="Times New Roman" w:hAnsi="Times New Roman"/>
          <w:sz w:val="24"/>
        </w:rPr>
        <w:t xml:space="preserve"> </w:t>
      </w:r>
      <w:r w:rsidRPr="00C16CDC">
        <w:rPr>
          <w:rFonts w:ascii="Times New Roman" w:hAnsi="Times New Roman"/>
          <w:sz w:val="24"/>
        </w:rPr>
        <w:t>in</w:t>
      </w:r>
      <w:r w:rsidRPr="002606B4">
        <w:rPr>
          <w:rFonts w:ascii="Times New Roman" w:hAnsi="Times New Roman"/>
          <w:color w:val="000000"/>
          <w:sz w:val="24"/>
        </w:rPr>
        <w:t xml:space="preserve"> patients with metastatic colorectal cancer (</w:t>
      </w:r>
      <w:proofErr w:type="spellStart"/>
      <w:r w:rsidRPr="002606B4">
        <w:rPr>
          <w:rFonts w:ascii="Times New Roman" w:hAnsi="Times New Roman"/>
          <w:color w:val="000000"/>
          <w:sz w:val="24"/>
        </w:rPr>
        <w:t>mCRC</w:t>
      </w:r>
      <w:proofErr w:type="spellEnd"/>
      <w:r w:rsidRPr="002606B4">
        <w:rPr>
          <w:rFonts w:ascii="Times New Roman" w:hAnsi="Times New Roman"/>
          <w:color w:val="000000"/>
          <w:sz w:val="24"/>
        </w:rPr>
        <w:t xml:space="preserve">) who had disease progression during or after prior chemotherapy was studied in a </w:t>
      </w:r>
      <w:r w:rsidR="000B3396" w:rsidRPr="002606B4">
        <w:rPr>
          <w:rFonts w:ascii="Times New Roman" w:hAnsi="Times New Roman"/>
          <w:color w:val="000000"/>
          <w:sz w:val="24"/>
        </w:rPr>
        <w:t xml:space="preserve">Phase 3 </w:t>
      </w:r>
      <w:r w:rsidRPr="002606B4">
        <w:rPr>
          <w:rFonts w:ascii="Times New Roman" w:hAnsi="Times New Roman"/>
          <w:color w:val="000000"/>
          <w:sz w:val="24"/>
        </w:rPr>
        <w:t>randomi</w:t>
      </w:r>
      <w:r w:rsidR="006E463F" w:rsidRPr="002606B4">
        <w:rPr>
          <w:rFonts w:ascii="Times New Roman" w:hAnsi="Times New Roman"/>
          <w:color w:val="000000"/>
          <w:sz w:val="24"/>
        </w:rPr>
        <w:t>s</w:t>
      </w:r>
      <w:r w:rsidRPr="002606B4">
        <w:rPr>
          <w:rFonts w:ascii="Times New Roman" w:hAnsi="Times New Roman"/>
          <w:color w:val="000000"/>
          <w:sz w:val="24"/>
        </w:rPr>
        <w:t xml:space="preserve">ed, controlled trial (463 patients) and </w:t>
      </w:r>
      <w:r w:rsidR="000B3396" w:rsidRPr="002606B4">
        <w:rPr>
          <w:rFonts w:ascii="Times New Roman" w:hAnsi="Times New Roman"/>
          <w:color w:val="000000"/>
          <w:sz w:val="24"/>
        </w:rPr>
        <w:t xml:space="preserve">Phase 2 </w:t>
      </w:r>
      <w:r w:rsidRPr="002606B4">
        <w:rPr>
          <w:rFonts w:ascii="Times New Roman" w:hAnsi="Times New Roman"/>
          <w:color w:val="000000"/>
          <w:sz w:val="24"/>
        </w:rPr>
        <w:t xml:space="preserve">open-label, single-arm trials (384 patients). </w:t>
      </w:r>
    </w:p>
    <w:p w:rsidR="006E463F" w:rsidRDefault="006E463F">
      <w:pPr>
        <w:pStyle w:val="BodyText"/>
        <w:spacing w:after="0"/>
        <w:rPr>
          <w:rFonts w:ascii="Times New Roman" w:hAnsi="Times New Roman"/>
          <w:color w:val="000000"/>
          <w:sz w:val="24"/>
        </w:rPr>
      </w:pPr>
    </w:p>
    <w:p w:rsidR="00AA7FFD" w:rsidRPr="002606B4" w:rsidRDefault="00AA7FFD">
      <w:pPr>
        <w:pStyle w:val="Heading2"/>
        <w:spacing w:after="0" w:line="240" w:lineRule="auto"/>
        <w:rPr>
          <w:rFonts w:ascii="Times New Roman" w:hAnsi="Times New Roman"/>
          <w:i/>
          <w:iCs/>
          <w:color w:val="000000"/>
          <w:sz w:val="24"/>
        </w:rPr>
      </w:pPr>
      <w:r w:rsidRPr="002606B4">
        <w:rPr>
          <w:rFonts w:ascii="Times New Roman" w:hAnsi="Times New Roman"/>
          <w:i/>
          <w:iCs/>
          <w:color w:val="000000"/>
          <w:sz w:val="24"/>
        </w:rPr>
        <w:t>Randomi</w:t>
      </w:r>
      <w:r w:rsidR="006E463F" w:rsidRPr="002606B4">
        <w:rPr>
          <w:rFonts w:ascii="Times New Roman" w:hAnsi="Times New Roman"/>
          <w:i/>
          <w:iCs/>
          <w:color w:val="000000"/>
          <w:sz w:val="24"/>
        </w:rPr>
        <w:t>s</w:t>
      </w:r>
      <w:r w:rsidRPr="002606B4">
        <w:rPr>
          <w:rFonts w:ascii="Times New Roman" w:hAnsi="Times New Roman"/>
          <w:i/>
          <w:iCs/>
          <w:color w:val="000000"/>
          <w:sz w:val="24"/>
        </w:rPr>
        <w:t>ed, Controlled Trial</w:t>
      </w:r>
    </w:p>
    <w:p w:rsidR="00AA7FFD" w:rsidRPr="002606B4" w:rsidRDefault="00AA7FFD">
      <w:pPr>
        <w:pStyle w:val="BodyText"/>
        <w:spacing w:after="0"/>
        <w:rPr>
          <w:rFonts w:ascii="Times New Roman" w:hAnsi="Times New Roman"/>
          <w:color w:val="000000"/>
          <w:sz w:val="24"/>
        </w:rPr>
      </w:pPr>
      <w:r w:rsidRPr="002606B4">
        <w:rPr>
          <w:rFonts w:ascii="Times New Roman" w:hAnsi="Times New Roman"/>
          <w:color w:val="000000"/>
          <w:sz w:val="24"/>
        </w:rPr>
        <w:t>A multinational</w:t>
      </w:r>
      <w:r w:rsidR="00870E7E" w:rsidRPr="002606B4">
        <w:rPr>
          <w:rFonts w:ascii="Times New Roman" w:hAnsi="Times New Roman"/>
          <w:color w:val="000000"/>
          <w:sz w:val="24"/>
        </w:rPr>
        <w:t xml:space="preserve"> Phase 3</w:t>
      </w:r>
      <w:r w:rsidRPr="002606B4">
        <w:rPr>
          <w:rFonts w:ascii="Times New Roman" w:hAnsi="Times New Roman"/>
          <w:color w:val="000000"/>
          <w:sz w:val="24"/>
        </w:rPr>
        <w:t xml:space="preserve">, </w:t>
      </w:r>
      <w:r w:rsidR="006E463F" w:rsidRPr="002606B4">
        <w:rPr>
          <w:rFonts w:ascii="Times New Roman" w:hAnsi="Times New Roman"/>
          <w:color w:val="000000"/>
          <w:sz w:val="24"/>
        </w:rPr>
        <w:t>randomised</w:t>
      </w:r>
      <w:r w:rsidRPr="002606B4">
        <w:rPr>
          <w:rFonts w:ascii="Times New Roman" w:hAnsi="Times New Roman"/>
          <w:color w:val="000000"/>
          <w:sz w:val="24"/>
        </w:rPr>
        <w:t xml:space="preserve">, controlled trial was conducted in 463 patients with EGFR-expressing metastatic carcinoma of the colon or rectum after confirmed failure of </w:t>
      </w:r>
      <w:proofErr w:type="spellStart"/>
      <w:r w:rsidRPr="002606B4">
        <w:rPr>
          <w:rFonts w:ascii="Times New Roman" w:hAnsi="Times New Roman"/>
          <w:color w:val="000000"/>
          <w:sz w:val="24"/>
        </w:rPr>
        <w:t>fluoropyrimidine</w:t>
      </w:r>
      <w:proofErr w:type="spellEnd"/>
      <w:r w:rsidRPr="002606B4">
        <w:rPr>
          <w:rFonts w:ascii="Times New Roman" w:hAnsi="Times New Roman"/>
          <w:color w:val="000000"/>
          <w:sz w:val="24"/>
        </w:rPr>
        <w:t xml:space="preserve">, </w:t>
      </w:r>
      <w:proofErr w:type="spellStart"/>
      <w:r w:rsidRPr="002606B4">
        <w:rPr>
          <w:rFonts w:ascii="Times New Roman" w:hAnsi="Times New Roman"/>
          <w:color w:val="000000"/>
          <w:sz w:val="24"/>
        </w:rPr>
        <w:t>oxaliplatin</w:t>
      </w:r>
      <w:proofErr w:type="spellEnd"/>
      <w:r w:rsidRPr="002606B4">
        <w:rPr>
          <w:rFonts w:ascii="Times New Roman" w:hAnsi="Times New Roman"/>
          <w:color w:val="000000"/>
          <w:sz w:val="24"/>
        </w:rPr>
        <w:t xml:space="preserve"> and </w:t>
      </w:r>
      <w:proofErr w:type="spellStart"/>
      <w:r w:rsidRPr="002606B4">
        <w:rPr>
          <w:rFonts w:ascii="Times New Roman" w:hAnsi="Times New Roman"/>
          <w:color w:val="000000"/>
          <w:sz w:val="24"/>
        </w:rPr>
        <w:t>irinotecan</w:t>
      </w:r>
      <w:proofErr w:type="spellEnd"/>
      <w:r w:rsidRPr="002606B4">
        <w:rPr>
          <w:rFonts w:ascii="Times New Roman" w:hAnsi="Times New Roman"/>
          <w:color w:val="000000"/>
          <w:sz w:val="24"/>
        </w:rPr>
        <w:t>-containing regimens, as assessed by a blinded Independent Review Committee (IRC</w:t>
      </w:r>
      <w:r w:rsidRPr="002606B4">
        <w:rPr>
          <w:rFonts w:ascii="Times New Roman" w:hAnsi="Times New Roman"/>
          <w:color w:val="000000"/>
          <w:sz w:val="24"/>
          <w:szCs w:val="24"/>
        </w:rPr>
        <w:t xml:space="preserve">). </w:t>
      </w:r>
      <w:r w:rsidR="006E463F" w:rsidRPr="002606B4">
        <w:rPr>
          <w:rFonts w:ascii="Times New Roman" w:hAnsi="Times New Roman"/>
          <w:color w:val="000000"/>
          <w:sz w:val="24"/>
          <w:szCs w:val="24"/>
        </w:rPr>
        <w:t xml:space="preserve"> </w:t>
      </w:r>
      <w:r w:rsidR="005F347F" w:rsidRPr="002606B4">
        <w:rPr>
          <w:rFonts w:ascii="Times New Roman" w:hAnsi="Times New Roman"/>
          <w:color w:val="000000"/>
          <w:sz w:val="24"/>
          <w:szCs w:val="24"/>
        </w:rPr>
        <w:t>Patients were required to have tumours with at least 1+ membrane staining intensity for EGFR by the DAKO</w:t>
      </w:r>
      <w:r w:rsidR="005F58DE" w:rsidRPr="002606B4">
        <w:rPr>
          <w:rFonts w:ascii="Times New Roman" w:hAnsi="Times New Roman"/>
          <w:color w:val="000000"/>
          <w:sz w:val="24"/>
          <w:szCs w:val="24"/>
        </w:rPr>
        <w:t xml:space="preserve"> EGFR</w:t>
      </w:r>
      <w:r w:rsidR="005F347F" w:rsidRPr="002606B4">
        <w:rPr>
          <w:rFonts w:ascii="Times New Roman" w:hAnsi="Times New Roman"/>
          <w:color w:val="000000"/>
          <w:sz w:val="24"/>
          <w:szCs w:val="24"/>
        </w:rPr>
        <w:t xml:space="preserve"> </w:t>
      </w:r>
      <w:proofErr w:type="spellStart"/>
      <w:r w:rsidR="005F347F" w:rsidRPr="002606B4">
        <w:rPr>
          <w:rFonts w:ascii="Times New Roman" w:hAnsi="Times New Roman"/>
          <w:color w:val="000000"/>
          <w:sz w:val="24"/>
          <w:szCs w:val="24"/>
        </w:rPr>
        <w:t>pharmDx</w:t>
      </w:r>
      <w:proofErr w:type="spellEnd"/>
      <w:r w:rsidR="005F347F" w:rsidRPr="002606B4">
        <w:rPr>
          <w:rFonts w:ascii="Times New Roman" w:hAnsi="Times New Roman"/>
          <w:color w:val="000000"/>
          <w:sz w:val="24"/>
          <w:szCs w:val="24"/>
          <w:vertAlign w:val="superscript"/>
        </w:rPr>
        <w:t>®</w:t>
      </w:r>
      <w:r w:rsidR="00A13069">
        <w:rPr>
          <w:rFonts w:ascii="Times New Roman" w:hAnsi="Times New Roman"/>
          <w:color w:val="000000"/>
          <w:sz w:val="24"/>
          <w:szCs w:val="24"/>
        </w:rPr>
        <w:t xml:space="preserve"> test kit in ≥ </w:t>
      </w:r>
      <w:r w:rsidR="005F347F" w:rsidRPr="002606B4">
        <w:rPr>
          <w:rFonts w:ascii="Times New Roman" w:hAnsi="Times New Roman"/>
          <w:color w:val="000000"/>
          <w:sz w:val="24"/>
          <w:szCs w:val="24"/>
        </w:rPr>
        <w:t>10% of evaluated tumour cells in the original protocol (n</w:t>
      </w:r>
      <w:r w:rsidR="006E463F" w:rsidRPr="002606B4">
        <w:rPr>
          <w:rFonts w:ascii="Times New Roman" w:hAnsi="Times New Roman"/>
          <w:color w:val="000000"/>
          <w:sz w:val="24"/>
          <w:szCs w:val="24"/>
        </w:rPr>
        <w:t xml:space="preserve"> </w:t>
      </w:r>
      <w:r w:rsidR="005F347F" w:rsidRPr="002606B4">
        <w:rPr>
          <w:rFonts w:ascii="Times New Roman" w:hAnsi="Times New Roman"/>
          <w:color w:val="000000"/>
          <w:sz w:val="24"/>
          <w:szCs w:val="24"/>
        </w:rPr>
        <w:t>=</w:t>
      </w:r>
      <w:r w:rsidR="006E463F" w:rsidRPr="002606B4">
        <w:rPr>
          <w:rFonts w:ascii="Times New Roman" w:hAnsi="Times New Roman"/>
          <w:color w:val="000000"/>
          <w:sz w:val="24"/>
          <w:szCs w:val="24"/>
        </w:rPr>
        <w:t xml:space="preserve"> </w:t>
      </w:r>
      <w:r w:rsidR="00A13069">
        <w:rPr>
          <w:rFonts w:ascii="Times New Roman" w:hAnsi="Times New Roman"/>
          <w:color w:val="000000"/>
          <w:sz w:val="24"/>
          <w:szCs w:val="24"/>
        </w:rPr>
        <w:t xml:space="preserve">99) or ≥ </w:t>
      </w:r>
      <w:r w:rsidR="005F347F" w:rsidRPr="002606B4">
        <w:rPr>
          <w:rFonts w:ascii="Times New Roman" w:hAnsi="Times New Roman"/>
          <w:color w:val="000000"/>
          <w:sz w:val="24"/>
          <w:szCs w:val="24"/>
        </w:rPr>
        <w:t>1% of evaluated tumo</w:t>
      </w:r>
      <w:r w:rsidR="00E25B19" w:rsidRPr="002606B4">
        <w:rPr>
          <w:rFonts w:ascii="Times New Roman" w:hAnsi="Times New Roman"/>
          <w:color w:val="000000"/>
          <w:sz w:val="24"/>
          <w:szCs w:val="24"/>
        </w:rPr>
        <w:t>u</w:t>
      </w:r>
      <w:r w:rsidR="005F347F" w:rsidRPr="002606B4">
        <w:rPr>
          <w:rFonts w:ascii="Times New Roman" w:hAnsi="Times New Roman"/>
          <w:color w:val="000000"/>
          <w:sz w:val="24"/>
          <w:szCs w:val="24"/>
        </w:rPr>
        <w:t>r cells in an amendment (n</w:t>
      </w:r>
      <w:r w:rsidR="006E463F" w:rsidRPr="002606B4">
        <w:rPr>
          <w:rFonts w:ascii="Times New Roman" w:hAnsi="Times New Roman"/>
          <w:color w:val="000000"/>
          <w:sz w:val="24"/>
          <w:szCs w:val="24"/>
        </w:rPr>
        <w:t xml:space="preserve"> </w:t>
      </w:r>
      <w:r w:rsidR="005F347F" w:rsidRPr="002606B4">
        <w:rPr>
          <w:rFonts w:ascii="Times New Roman" w:hAnsi="Times New Roman"/>
          <w:color w:val="000000"/>
          <w:sz w:val="24"/>
          <w:szCs w:val="24"/>
        </w:rPr>
        <w:t>=</w:t>
      </w:r>
      <w:r w:rsidR="006E463F" w:rsidRPr="002606B4">
        <w:rPr>
          <w:rFonts w:ascii="Times New Roman" w:hAnsi="Times New Roman"/>
          <w:color w:val="000000"/>
          <w:sz w:val="24"/>
          <w:szCs w:val="24"/>
        </w:rPr>
        <w:t xml:space="preserve"> </w:t>
      </w:r>
      <w:r w:rsidR="005F347F" w:rsidRPr="002606B4">
        <w:rPr>
          <w:rFonts w:ascii="Times New Roman" w:hAnsi="Times New Roman"/>
          <w:color w:val="000000"/>
          <w:sz w:val="24"/>
          <w:szCs w:val="24"/>
        </w:rPr>
        <w:t xml:space="preserve">364) (see  </w:t>
      </w:r>
      <w:r w:rsidR="00200E87" w:rsidRPr="002606B4">
        <w:rPr>
          <w:rFonts w:ascii="Times New Roman" w:hAnsi="Times New Roman"/>
          <w:color w:val="000000"/>
          <w:sz w:val="24"/>
          <w:szCs w:val="24"/>
        </w:rPr>
        <w:t xml:space="preserve">CLINICAL TRIALS: </w:t>
      </w:r>
      <w:r w:rsidR="005F347F" w:rsidRPr="002606B4">
        <w:rPr>
          <w:rFonts w:ascii="Times New Roman" w:hAnsi="Times New Roman"/>
          <w:color w:val="000000"/>
          <w:sz w:val="24"/>
          <w:szCs w:val="24"/>
        </w:rPr>
        <w:t xml:space="preserve">EGFR Expression and </w:t>
      </w:r>
      <w:r w:rsidR="005F347F" w:rsidRPr="007114A7">
        <w:rPr>
          <w:rFonts w:ascii="Times New Roman" w:hAnsi="Times New Roman"/>
          <w:color w:val="000000"/>
          <w:sz w:val="24"/>
          <w:szCs w:val="24"/>
        </w:rPr>
        <w:t>Response).</w:t>
      </w:r>
      <w:r w:rsidR="005F347F" w:rsidRPr="007114A7">
        <w:rPr>
          <w:rFonts w:cs="Arial"/>
          <w:color w:val="000000"/>
          <w:szCs w:val="20"/>
        </w:rPr>
        <w:t xml:space="preserve"> </w:t>
      </w:r>
      <w:r w:rsidRPr="007114A7">
        <w:rPr>
          <w:rFonts w:cs="Arial"/>
          <w:color w:val="000000"/>
          <w:szCs w:val="20"/>
        </w:rPr>
        <w:t xml:space="preserve"> </w:t>
      </w:r>
      <w:r w:rsidRPr="007114A7">
        <w:rPr>
          <w:rFonts w:ascii="Times New Roman" w:hAnsi="Times New Roman"/>
          <w:color w:val="000000"/>
          <w:sz w:val="24"/>
        </w:rPr>
        <w:t>Patients were</w:t>
      </w:r>
      <w:r w:rsidR="006E463F" w:rsidRPr="007114A7">
        <w:rPr>
          <w:rFonts w:ascii="Times New Roman" w:hAnsi="Times New Roman"/>
          <w:color w:val="000000"/>
          <w:sz w:val="24"/>
        </w:rPr>
        <w:t xml:space="preserve"> randomised</w:t>
      </w:r>
      <w:r w:rsidRPr="007114A7">
        <w:rPr>
          <w:rFonts w:ascii="Times New Roman" w:hAnsi="Times New Roman"/>
          <w:color w:val="000000"/>
          <w:sz w:val="24"/>
        </w:rPr>
        <w:t xml:space="preserve"> 1:1 to receive </w:t>
      </w:r>
      <w:proofErr w:type="spellStart"/>
      <w:r w:rsidRPr="007114A7">
        <w:rPr>
          <w:rFonts w:ascii="Times New Roman" w:hAnsi="Times New Roman"/>
          <w:color w:val="000000"/>
          <w:sz w:val="24"/>
        </w:rPr>
        <w:t>panitumumab</w:t>
      </w:r>
      <w:proofErr w:type="spellEnd"/>
      <w:r w:rsidRPr="007114A7">
        <w:rPr>
          <w:rFonts w:ascii="Times New Roman" w:hAnsi="Times New Roman"/>
          <w:color w:val="000000"/>
          <w:sz w:val="24"/>
        </w:rPr>
        <w:t xml:space="preserve"> at a dose of 6 mg/kg given once every two weeks plus best supportive care </w:t>
      </w:r>
      <w:r w:rsidRPr="00C16CDC">
        <w:rPr>
          <w:rFonts w:ascii="Times New Roman" w:hAnsi="Times New Roman"/>
          <w:sz w:val="24"/>
        </w:rPr>
        <w:t>(</w:t>
      </w:r>
      <w:r w:rsidR="00131408" w:rsidRPr="00C16CDC">
        <w:rPr>
          <w:rFonts w:ascii="Times New Roman" w:hAnsi="Times New Roman"/>
          <w:sz w:val="24"/>
        </w:rPr>
        <w:t xml:space="preserve">BSC; </w:t>
      </w:r>
      <w:r w:rsidRPr="007114A7">
        <w:rPr>
          <w:rFonts w:ascii="Times New Roman" w:hAnsi="Times New Roman"/>
          <w:color w:val="000000"/>
          <w:sz w:val="24"/>
        </w:rPr>
        <w:t>not including chemotherapy agents) or</w:t>
      </w:r>
      <w:r w:rsidRPr="002606B4">
        <w:rPr>
          <w:rFonts w:ascii="Times New Roman" w:hAnsi="Times New Roman"/>
          <w:color w:val="000000"/>
          <w:sz w:val="24"/>
        </w:rPr>
        <w:t xml:space="preserve"> BSC alone (231 </w:t>
      </w:r>
      <w:proofErr w:type="spellStart"/>
      <w:r w:rsidRPr="002606B4">
        <w:rPr>
          <w:rFonts w:ascii="Times New Roman" w:hAnsi="Times New Roman"/>
          <w:color w:val="000000"/>
          <w:sz w:val="24"/>
        </w:rPr>
        <w:t>panitumumab</w:t>
      </w:r>
      <w:proofErr w:type="spellEnd"/>
      <w:r w:rsidRPr="002606B4">
        <w:rPr>
          <w:rFonts w:ascii="Times New Roman" w:hAnsi="Times New Roman"/>
          <w:color w:val="000000"/>
          <w:sz w:val="24"/>
        </w:rPr>
        <w:t xml:space="preserve"> plus BSC, 232 BSC alone).  Premedication for the prevention of potential infusion reactions was not mandated by protocol.  Patients were treated until disease progression or unacceptable toxicity.  The IRC assessed tumour response to </w:t>
      </w:r>
      <w:proofErr w:type="spellStart"/>
      <w:r w:rsidRPr="002606B4">
        <w:rPr>
          <w:rFonts w:ascii="Times New Roman" w:hAnsi="Times New Roman"/>
          <w:color w:val="000000"/>
          <w:sz w:val="24"/>
        </w:rPr>
        <w:t>panitumumab</w:t>
      </w:r>
      <w:proofErr w:type="spellEnd"/>
      <w:r w:rsidRPr="002606B4">
        <w:rPr>
          <w:rFonts w:ascii="Times New Roman" w:hAnsi="Times New Roman"/>
          <w:color w:val="000000"/>
          <w:sz w:val="24"/>
        </w:rPr>
        <w:t xml:space="preserve"> per modified-RECIST criteria.  Upon disease progression (as determined by the investigator), BSC</w:t>
      </w:r>
      <w:r w:rsidR="00BE1E48" w:rsidRPr="00C16CDC">
        <w:rPr>
          <w:rFonts w:ascii="Times New Roman" w:hAnsi="Times New Roman"/>
          <w:sz w:val="24"/>
        </w:rPr>
        <w:t>-</w:t>
      </w:r>
      <w:r w:rsidRPr="002606B4">
        <w:rPr>
          <w:rFonts w:ascii="Times New Roman" w:hAnsi="Times New Roman"/>
          <w:color w:val="000000"/>
          <w:sz w:val="24"/>
        </w:rPr>
        <w:t xml:space="preserve">alone patients were eligible to cross over and receive </w:t>
      </w:r>
      <w:proofErr w:type="spellStart"/>
      <w:r w:rsidRPr="002606B4">
        <w:rPr>
          <w:rFonts w:ascii="Times New Roman" w:hAnsi="Times New Roman"/>
          <w:color w:val="000000"/>
          <w:sz w:val="24"/>
        </w:rPr>
        <w:t>panitumumab</w:t>
      </w:r>
      <w:proofErr w:type="spellEnd"/>
      <w:r w:rsidRPr="002606B4">
        <w:rPr>
          <w:rFonts w:ascii="Times New Roman" w:hAnsi="Times New Roman"/>
          <w:color w:val="000000"/>
          <w:sz w:val="24"/>
        </w:rPr>
        <w:t xml:space="preserve"> at a dose of 6 mg/kg given once every two weeks. </w:t>
      </w:r>
    </w:p>
    <w:p w:rsidR="00AA7FFD" w:rsidRPr="002606B4" w:rsidRDefault="00AA7FFD">
      <w:pPr>
        <w:pStyle w:val="BodyText"/>
        <w:spacing w:after="0"/>
        <w:rPr>
          <w:rFonts w:ascii="Times New Roman" w:hAnsi="Times New Roman"/>
          <w:color w:val="000000"/>
          <w:sz w:val="24"/>
        </w:rPr>
      </w:pPr>
    </w:p>
    <w:p w:rsidR="00AA7FFD" w:rsidRPr="002606B4" w:rsidRDefault="00AA7FFD">
      <w:pPr>
        <w:pStyle w:val="BodyText"/>
        <w:spacing w:after="0"/>
        <w:rPr>
          <w:rFonts w:ascii="Times New Roman" w:hAnsi="Times New Roman"/>
          <w:color w:val="000000"/>
          <w:sz w:val="24"/>
        </w:rPr>
      </w:pPr>
      <w:r w:rsidRPr="007114A7">
        <w:rPr>
          <w:rFonts w:ascii="Times New Roman" w:hAnsi="Times New Roman"/>
          <w:color w:val="000000"/>
          <w:sz w:val="24"/>
        </w:rPr>
        <w:lastRenderedPageBreak/>
        <w:t xml:space="preserve">Of the 463 </w:t>
      </w:r>
      <w:r w:rsidR="006E463F" w:rsidRPr="007114A7">
        <w:rPr>
          <w:rFonts w:ascii="Times New Roman" w:hAnsi="Times New Roman"/>
          <w:color w:val="000000"/>
          <w:sz w:val="24"/>
        </w:rPr>
        <w:t>randomised</w:t>
      </w:r>
      <w:r w:rsidRPr="007114A7">
        <w:rPr>
          <w:rFonts w:ascii="Times New Roman" w:hAnsi="Times New Roman"/>
          <w:color w:val="000000"/>
          <w:sz w:val="24"/>
        </w:rPr>
        <w:t xml:space="preserve"> patients, 294 (63%) were men.  The median age was 62 years (range 2</w:t>
      </w:r>
      <w:r w:rsidR="00A13069">
        <w:rPr>
          <w:rFonts w:ascii="Times New Roman" w:hAnsi="Times New Roman"/>
          <w:color w:val="000000"/>
          <w:sz w:val="24"/>
        </w:rPr>
        <w:t>7-</w:t>
      </w:r>
      <w:r w:rsidR="00BE1E48" w:rsidRPr="00C16CDC">
        <w:rPr>
          <w:rFonts w:ascii="Times New Roman" w:hAnsi="Times New Roman"/>
          <w:sz w:val="24"/>
        </w:rPr>
        <w:t xml:space="preserve">to </w:t>
      </w:r>
      <w:r w:rsidRPr="00C16CDC">
        <w:rPr>
          <w:rFonts w:ascii="Times New Roman" w:hAnsi="Times New Roman"/>
          <w:sz w:val="24"/>
        </w:rPr>
        <w:t>83</w:t>
      </w:r>
      <w:r w:rsidR="00BE1E48" w:rsidRPr="00C16CDC">
        <w:rPr>
          <w:rFonts w:ascii="Times New Roman" w:hAnsi="Times New Roman"/>
          <w:sz w:val="24"/>
        </w:rPr>
        <w:t xml:space="preserve"> years</w:t>
      </w:r>
      <w:r w:rsidRPr="00C16CDC">
        <w:rPr>
          <w:rFonts w:ascii="Times New Roman" w:hAnsi="Times New Roman"/>
          <w:sz w:val="24"/>
        </w:rPr>
        <w:t>),</w:t>
      </w:r>
      <w:r w:rsidRPr="00C16CDC">
        <w:rPr>
          <w:rFonts w:ascii="Times New Roman" w:hAnsi="Times New Roman"/>
          <w:color w:val="000000"/>
          <w:sz w:val="24"/>
        </w:rPr>
        <w:t xml:space="preserve"> </w:t>
      </w:r>
      <w:r w:rsidRPr="007114A7">
        <w:rPr>
          <w:rFonts w:ascii="Times New Roman" w:hAnsi="Times New Roman"/>
          <w:color w:val="000000"/>
          <w:sz w:val="24"/>
        </w:rPr>
        <w:t xml:space="preserve">and the majority was Caucasian (457, 99%).  Three hundred and ninety-six of 463 (86%) patients had a baseline ECOG </w:t>
      </w:r>
      <w:r w:rsidR="00014799" w:rsidRPr="00014799">
        <w:rPr>
          <w:rFonts w:ascii="Times New Roman" w:hAnsi="Times New Roman"/>
          <w:color w:val="000000"/>
          <w:sz w:val="24"/>
          <w:lang w:val="en-US"/>
        </w:rPr>
        <w:t>(Eastern Cooperative Oncology Group)</w:t>
      </w:r>
      <w:r w:rsidR="00014799">
        <w:rPr>
          <w:rFonts w:ascii="Times New Roman" w:hAnsi="Times New Roman"/>
          <w:color w:val="000000"/>
          <w:sz w:val="24"/>
          <w:lang w:val="en-US"/>
        </w:rPr>
        <w:t xml:space="preserve"> </w:t>
      </w:r>
      <w:r w:rsidRPr="007114A7">
        <w:rPr>
          <w:rFonts w:ascii="Times New Roman" w:hAnsi="Times New Roman"/>
          <w:color w:val="000000"/>
          <w:sz w:val="24"/>
        </w:rPr>
        <w:t xml:space="preserve">Performance Status </w:t>
      </w:r>
      <w:r w:rsidRPr="007114A7">
        <w:rPr>
          <w:rFonts w:ascii="Times New Roman" w:hAnsi="Times New Roman"/>
          <w:color w:val="000000"/>
          <w:sz w:val="24"/>
          <w:szCs w:val="12"/>
        </w:rPr>
        <w:t xml:space="preserve">of 0 or 1.  Three hundred and ten of 463 (67%) patients had colon cancer and 153/463 (33%) had rectal cancer.  </w:t>
      </w:r>
      <w:r w:rsidRPr="007114A7">
        <w:rPr>
          <w:rFonts w:ascii="Times New Roman" w:hAnsi="Times New Roman"/>
          <w:color w:val="000000"/>
          <w:sz w:val="24"/>
        </w:rPr>
        <w:t>Of the 232</w:t>
      </w:r>
      <w:r w:rsidRPr="002606B4">
        <w:rPr>
          <w:rFonts w:ascii="Times New Roman" w:hAnsi="Times New Roman"/>
          <w:color w:val="000000"/>
          <w:sz w:val="24"/>
        </w:rPr>
        <w:t xml:space="preserve"> patients </w:t>
      </w:r>
      <w:r w:rsidR="006E463F" w:rsidRPr="002606B4">
        <w:rPr>
          <w:rFonts w:ascii="Times New Roman" w:hAnsi="Times New Roman"/>
          <w:color w:val="000000"/>
          <w:sz w:val="24"/>
        </w:rPr>
        <w:t>randomised</w:t>
      </w:r>
      <w:r w:rsidRPr="002606B4">
        <w:rPr>
          <w:rFonts w:ascii="Times New Roman" w:hAnsi="Times New Roman"/>
          <w:color w:val="000000"/>
          <w:sz w:val="24"/>
        </w:rPr>
        <w:t xml:space="preserve"> to BSC alone, </w:t>
      </w:r>
      <w:r w:rsidRPr="00832707">
        <w:rPr>
          <w:rFonts w:ascii="Times New Roman" w:hAnsi="Times New Roman"/>
          <w:color w:val="000000"/>
          <w:sz w:val="24"/>
        </w:rPr>
        <w:t>174</w:t>
      </w:r>
      <w:r w:rsidRPr="00EA3B5E">
        <w:rPr>
          <w:rFonts w:ascii="Times New Roman" w:hAnsi="Times New Roman"/>
          <w:color w:val="000000"/>
          <w:sz w:val="24"/>
        </w:rPr>
        <w:t xml:space="preserve"> (</w:t>
      </w:r>
      <w:r w:rsidRPr="00832707">
        <w:rPr>
          <w:rFonts w:ascii="Times New Roman" w:hAnsi="Times New Roman"/>
          <w:color w:val="000000"/>
          <w:sz w:val="24"/>
        </w:rPr>
        <w:t>75</w:t>
      </w:r>
      <w:r w:rsidRPr="00EA3B5E">
        <w:rPr>
          <w:rFonts w:ascii="Times New Roman" w:hAnsi="Times New Roman"/>
          <w:color w:val="000000"/>
          <w:sz w:val="24"/>
        </w:rPr>
        <w:t xml:space="preserve">%) went on to receive </w:t>
      </w:r>
      <w:proofErr w:type="spellStart"/>
      <w:r w:rsidRPr="00EA3B5E">
        <w:rPr>
          <w:rFonts w:ascii="Times New Roman" w:hAnsi="Times New Roman"/>
          <w:color w:val="000000"/>
          <w:sz w:val="24"/>
        </w:rPr>
        <w:t>panitumumab</w:t>
      </w:r>
      <w:proofErr w:type="spellEnd"/>
      <w:r w:rsidRPr="00EA3B5E">
        <w:rPr>
          <w:rFonts w:ascii="Times New Roman" w:hAnsi="Times New Roman"/>
          <w:color w:val="000000"/>
          <w:sz w:val="24"/>
        </w:rPr>
        <w:t xml:space="preserve"> after a median treatment interval of </w:t>
      </w:r>
      <w:r w:rsidRPr="00832707">
        <w:rPr>
          <w:rFonts w:ascii="Times New Roman" w:hAnsi="Times New Roman"/>
          <w:color w:val="000000"/>
          <w:sz w:val="24"/>
        </w:rPr>
        <w:t>7.0</w:t>
      </w:r>
      <w:r w:rsidRPr="00EA3B5E">
        <w:rPr>
          <w:rFonts w:ascii="Times New Roman" w:hAnsi="Times New Roman"/>
          <w:color w:val="000000"/>
          <w:sz w:val="24"/>
        </w:rPr>
        <w:t xml:space="preserve"> weeks </w:t>
      </w:r>
      <w:r w:rsidRPr="00832707">
        <w:rPr>
          <w:rFonts w:ascii="Times New Roman" w:hAnsi="Times New Roman"/>
          <w:color w:val="000000"/>
          <w:sz w:val="24"/>
        </w:rPr>
        <w:t>(95% CI: 6.6, 7.3)</w:t>
      </w:r>
      <w:r w:rsidRPr="002606B4">
        <w:rPr>
          <w:rFonts w:ascii="Times New Roman" w:hAnsi="Times New Roman"/>
          <w:color w:val="000000"/>
          <w:sz w:val="24"/>
        </w:rPr>
        <w:t>.</w:t>
      </w:r>
    </w:p>
    <w:p w:rsidR="00AA7FFD" w:rsidRPr="002606B4" w:rsidRDefault="00AA7FFD">
      <w:pPr>
        <w:pStyle w:val="BodyText"/>
        <w:spacing w:after="0"/>
        <w:rPr>
          <w:rFonts w:ascii="Times New Roman" w:hAnsi="Times New Roman"/>
          <w:color w:val="000000"/>
          <w:sz w:val="24"/>
        </w:rPr>
      </w:pPr>
    </w:p>
    <w:p w:rsidR="00C16CDC" w:rsidRDefault="00AA7FFD" w:rsidP="003621D9">
      <w:pPr>
        <w:pStyle w:val="BodyText"/>
        <w:spacing w:after="0"/>
        <w:rPr>
          <w:rFonts w:ascii="Times New Roman" w:hAnsi="Times New Roman"/>
          <w:strike/>
          <w:color w:val="000000"/>
          <w:sz w:val="24"/>
        </w:rPr>
      </w:pPr>
      <w:r w:rsidRPr="002606B4">
        <w:rPr>
          <w:rFonts w:ascii="Times New Roman" w:hAnsi="Times New Roman"/>
          <w:color w:val="000000"/>
          <w:sz w:val="24"/>
        </w:rPr>
        <w:t xml:space="preserve">The efficacy of </w:t>
      </w:r>
      <w:proofErr w:type="spellStart"/>
      <w:r w:rsidRPr="002606B4">
        <w:rPr>
          <w:rFonts w:ascii="Times New Roman" w:hAnsi="Times New Roman"/>
          <w:color w:val="000000"/>
          <w:sz w:val="24"/>
        </w:rPr>
        <w:t>panitumumab</w:t>
      </w:r>
      <w:proofErr w:type="spellEnd"/>
      <w:r w:rsidRPr="002606B4">
        <w:rPr>
          <w:rFonts w:ascii="Times New Roman" w:hAnsi="Times New Roman"/>
          <w:color w:val="000000"/>
          <w:sz w:val="24"/>
        </w:rPr>
        <w:t xml:space="preserve"> was evaluated in all </w:t>
      </w:r>
      <w:r w:rsidR="006E463F" w:rsidRPr="002606B4">
        <w:rPr>
          <w:rFonts w:ascii="Times New Roman" w:hAnsi="Times New Roman"/>
          <w:color w:val="000000"/>
          <w:sz w:val="24"/>
        </w:rPr>
        <w:t>randomised</w:t>
      </w:r>
      <w:r w:rsidRPr="002606B4">
        <w:rPr>
          <w:rFonts w:ascii="Times New Roman" w:hAnsi="Times New Roman"/>
          <w:color w:val="000000"/>
          <w:sz w:val="24"/>
        </w:rPr>
        <w:t xml:space="preserve"> patients </w:t>
      </w:r>
      <w:r w:rsidR="00556CDE" w:rsidRPr="007114A7">
        <w:rPr>
          <w:rFonts w:ascii="Times New Roman" w:hAnsi="Times New Roman"/>
          <w:color w:val="000000"/>
          <w:sz w:val="24"/>
        </w:rPr>
        <w:t>using an inten</w:t>
      </w:r>
      <w:r w:rsidR="00556CDE" w:rsidRPr="00C16CDC">
        <w:rPr>
          <w:rFonts w:ascii="Times New Roman" w:hAnsi="Times New Roman"/>
          <w:sz w:val="24"/>
        </w:rPr>
        <w:t>t</w:t>
      </w:r>
      <w:r w:rsidR="007B0C66" w:rsidRPr="00C16CDC">
        <w:rPr>
          <w:rFonts w:ascii="Times New Roman" w:hAnsi="Times New Roman"/>
          <w:sz w:val="24"/>
        </w:rPr>
        <w:t>-</w:t>
      </w:r>
      <w:r w:rsidR="00556CDE" w:rsidRPr="00C16CDC">
        <w:rPr>
          <w:rFonts w:ascii="Times New Roman" w:hAnsi="Times New Roman"/>
          <w:sz w:val="24"/>
        </w:rPr>
        <w:t>to</w:t>
      </w:r>
      <w:r w:rsidR="007B0C66" w:rsidRPr="00C16CDC">
        <w:rPr>
          <w:rFonts w:ascii="Times New Roman" w:hAnsi="Times New Roman"/>
          <w:sz w:val="24"/>
        </w:rPr>
        <w:t>-</w:t>
      </w:r>
      <w:r w:rsidR="00556CDE" w:rsidRPr="007114A7">
        <w:rPr>
          <w:rFonts w:ascii="Times New Roman" w:hAnsi="Times New Roman"/>
          <w:color w:val="000000"/>
          <w:sz w:val="24"/>
        </w:rPr>
        <w:t xml:space="preserve">treat </w:t>
      </w:r>
      <w:r w:rsidR="005A230C" w:rsidRPr="007114A7">
        <w:rPr>
          <w:rFonts w:ascii="Times New Roman" w:hAnsi="Times New Roman"/>
          <w:color w:val="000000"/>
          <w:sz w:val="24"/>
        </w:rPr>
        <w:t xml:space="preserve">analysis, </w:t>
      </w:r>
      <w:r w:rsidRPr="007114A7">
        <w:rPr>
          <w:rFonts w:ascii="Times New Roman" w:hAnsi="Times New Roman"/>
          <w:color w:val="000000"/>
          <w:sz w:val="24"/>
        </w:rPr>
        <w:t>with a primary endpoint of progression-free survival (PFS) and secondary endpoints including response rate and overall surviva</w:t>
      </w:r>
      <w:r w:rsidRPr="00C16CDC">
        <w:rPr>
          <w:rFonts w:ascii="Times New Roman" w:hAnsi="Times New Roman"/>
          <w:sz w:val="24"/>
        </w:rPr>
        <w:t>l</w:t>
      </w:r>
      <w:r w:rsidR="00B44A76" w:rsidRPr="00C16CDC">
        <w:rPr>
          <w:rFonts w:ascii="Times New Roman" w:hAnsi="Times New Roman"/>
          <w:sz w:val="24"/>
        </w:rPr>
        <w:t xml:space="preserve"> (OS)</w:t>
      </w:r>
      <w:r w:rsidRPr="00C16CDC">
        <w:rPr>
          <w:rFonts w:ascii="Times New Roman" w:hAnsi="Times New Roman"/>
          <w:sz w:val="24"/>
        </w:rPr>
        <w:t>.</w:t>
      </w:r>
      <w:r w:rsidRPr="007114A7">
        <w:rPr>
          <w:rFonts w:ascii="Times New Roman" w:hAnsi="Times New Roman"/>
          <w:color w:val="000000"/>
          <w:sz w:val="24"/>
        </w:rPr>
        <w:t xml:space="preserve">  For the primary endpoint</w:t>
      </w:r>
      <w:r w:rsidRPr="002606B4">
        <w:rPr>
          <w:rFonts w:ascii="Times New Roman" w:hAnsi="Times New Roman"/>
          <w:color w:val="000000"/>
          <w:sz w:val="24"/>
        </w:rPr>
        <w:t xml:space="preserve"> of PFS, the analysis was based on IRC review of all patients.  In patients who received </w:t>
      </w:r>
      <w:proofErr w:type="spellStart"/>
      <w:r w:rsidRPr="002606B4">
        <w:rPr>
          <w:rFonts w:ascii="Times New Roman" w:hAnsi="Times New Roman"/>
          <w:color w:val="000000"/>
          <w:sz w:val="24"/>
        </w:rPr>
        <w:t>panitumumab</w:t>
      </w:r>
      <w:proofErr w:type="spellEnd"/>
      <w:r w:rsidRPr="002606B4">
        <w:rPr>
          <w:rFonts w:ascii="Times New Roman" w:hAnsi="Times New Roman"/>
          <w:color w:val="000000"/>
          <w:sz w:val="24"/>
        </w:rPr>
        <w:t xml:space="preserve">, the rate of disease progression or death was reduced by 46% </w:t>
      </w:r>
      <w:r w:rsidR="003B383C" w:rsidRPr="002606B4">
        <w:rPr>
          <w:rFonts w:ascii="Times New Roman" w:hAnsi="Times New Roman"/>
          <w:color w:val="000000"/>
          <w:sz w:val="24"/>
        </w:rPr>
        <w:t xml:space="preserve">relative to patients </w:t>
      </w:r>
      <w:r w:rsidR="00131408" w:rsidRPr="00C16CDC">
        <w:rPr>
          <w:rFonts w:ascii="Times New Roman" w:hAnsi="Times New Roman"/>
          <w:sz w:val="24"/>
        </w:rPr>
        <w:t xml:space="preserve">who </w:t>
      </w:r>
      <w:r w:rsidR="003B383C" w:rsidRPr="002606B4">
        <w:rPr>
          <w:rFonts w:ascii="Times New Roman" w:hAnsi="Times New Roman"/>
          <w:color w:val="000000"/>
          <w:sz w:val="24"/>
        </w:rPr>
        <w:t xml:space="preserve">received BSC alone </w:t>
      </w:r>
      <w:r w:rsidR="00200E87" w:rsidRPr="002606B4">
        <w:rPr>
          <w:rFonts w:ascii="Times New Roman" w:hAnsi="Times New Roman"/>
          <w:color w:val="000000"/>
          <w:sz w:val="24"/>
        </w:rPr>
        <w:t>(</w:t>
      </w:r>
      <w:r w:rsidRPr="002606B4">
        <w:rPr>
          <w:rFonts w:ascii="Times New Roman" w:hAnsi="Times New Roman"/>
          <w:color w:val="000000"/>
          <w:sz w:val="24"/>
        </w:rPr>
        <w:t>Hazard Ratio</w:t>
      </w:r>
      <w:r w:rsidR="00B44A76">
        <w:rPr>
          <w:rFonts w:ascii="Times New Roman" w:hAnsi="Times New Roman"/>
          <w:color w:val="000000"/>
          <w:sz w:val="24"/>
        </w:rPr>
        <w:t xml:space="preserve"> </w:t>
      </w:r>
      <w:r w:rsidR="00131408" w:rsidRPr="00C16CDC">
        <w:rPr>
          <w:rFonts w:ascii="Times New Roman" w:hAnsi="Times New Roman"/>
          <w:sz w:val="24"/>
        </w:rPr>
        <w:t>[HR]</w:t>
      </w:r>
      <w:r w:rsidRPr="00C16CDC">
        <w:rPr>
          <w:rFonts w:ascii="Times New Roman" w:hAnsi="Times New Roman"/>
          <w:sz w:val="24"/>
        </w:rPr>
        <w:t xml:space="preserve"> </w:t>
      </w:r>
      <w:r w:rsidRPr="002606B4">
        <w:rPr>
          <w:rFonts w:ascii="Times New Roman" w:hAnsi="Times New Roman"/>
          <w:color w:val="000000"/>
          <w:sz w:val="24"/>
        </w:rPr>
        <w:t xml:space="preserve">= 0.54 </w:t>
      </w:r>
      <w:r w:rsidR="00200E87" w:rsidRPr="002606B4">
        <w:rPr>
          <w:rFonts w:ascii="Times New Roman" w:hAnsi="Times New Roman"/>
          <w:color w:val="000000"/>
          <w:sz w:val="24"/>
        </w:rPr>
        <w:t>[</w:t>
      </w:r>
      <w:r w:rsidRPr="002606B4">
        <w:rPr>
          <w:rFonts w:ascii="Times New Roman" w:hAnsi="Times New Roman"/>
          <w:color w:val="000000"/>
          <w:sz w:val="24"/>
        </w:rPr>
        <w:t>95% CI: 0.44, 0.66</w:t>
      </w:r>
      <w:r w:rsidR="00CE3ACA" w:rsidRPr="002606B4">
        <w:rPr>
          <w:rFonts w:ascii="Times New Roman" w:hAnsi="Times New Roman"/>
          <w:color w:val="000000"/>
          <w:sz w:val="24"/>
        </w:rPr>
        <w:t>]</w:t>
      </w:r>
      <w:r w:rsidRPr="002606B4">
        <w:rPr>
          <w:rFonts w:ascii="Times New Roman" w:hAnsi="Times New Roman"/>
          <w:color w:val="000000"/>
          <w:sz w:val="24"/>
        </w:rPr>
        <w:t xml:space="preserve">, </w:t>
      </w:r>
      <w:r w:rsidR="00D079C2">
        <w:rPr>
          <w:rFonts w:ascii="Times New Roman" w:hAnsi="Times New Roman"/>
          <w:color w:val="000000"/>
          <w:sz w:val="24"/>
        </w:rPr>
        <w:t>p </w:t>
      </w:r>
      <w:r w:rsidRPr="00D079C2">
        <w:rPr>
          <w:rFonts w:ascii="Times New Roman" w:hAnsi="Times New Roman"/>
          <w:color w:val="000000"/>
          <w:sz w:val="24"/>
        </w:rPr>
        <w:t>&lt;</w:t>
      </w:r>
      <w:r w:rsidR="00D079C2">
        <w:rPr>
          <w:rFonts w:ascii="Times New Roman" w:hAnsi="Times New Roman"/>
          <w:color w:val="000000"/>
          <w:sz w:val="24"/>
        </w:rPr>
        <w:t> </w:t>
      </w:r>
      <w:r w:rsidRPr="00D079C2">
        <w:rPr>
          <w:rFonts w:ascii="Times New Roman" w:hAnsi="Times New Roman"/>
          <w:color w:val="000000"/>
          <w:sz w:val="24"/>
        </w:rPr>
        <w:t>0.001</w:t>
      </w:r>
      <w:r w:rsidR="00CE3ACA" w:rsidRPr="002606B4">
        <w:rPr>
          <w:rFonts w:ascii="Times New Roman" w:hAnsi="Times New Roman"/>
          <w:color w:val="000000"/>
          <w:sz w:val="24"/>
        </w:rPr>
        <w:t>)</w:t>
      </w:r>
      <w:r w:rsidRPr="002606B4">
        <w:rPr>
          <w:rFonts w:ascii="Times New Roman" w:hAnsi="Times New Roman"/>
          <w:color w:val="000000"/>
          <w:sz w:val="24"/>
        </w:rPr>
        <w:t>.</w:t>
      </w:r>
    </w:p>
    <w:p w:rsidR="00C16CDC" w:rsidRDefault="00C16CDC" w:rsidP="003621D9">
      <w:pPr>
        <w:pStyle w:val="BodyText"/>
        <w:spacing w:after="0"/>
        <w:rPr>
          <w:rFonts w:ascii="Times New Roman" w:hAnsi="Times New Roman"/>
          <w:strike/>
          <w:color w:val="000000"/>
          <w:sz w:val="24"/>
        </w:rPr>
      </w:pPr>
    </w:p>
    <w:p w:rsidR="003621D9" w:rsidRPr="00C16CDC" w:rsidRDefault="003621D9" w:rsidP="003621D9">
      <w:pPr>
        <w:pStyle w:val="BodyText"/>
        <w:spacing w:after="0"/>
        <w:rPr>
          <w:rFonts w:ascii="Times New Roman" w:hAnsi="Times New Roman"/>
          <w:strike/>
          <w:color w:val="000000"/>
          <w:sz w:val="24"/>
        </w:rPr>
      </w:pPr>
      <w:r w:rsidRPr="00823076">
        <w:rPr>
          <w:rFonts w:ascii="Times New Roman" w:hAnsi="Times New Roman"/>
          <w:color w:val="000000"/>
          <w:sz w:val="24"/>
          <w:szCs w:val="24"/>
        </w:rPr>
        <w:t xml:space="preserve">The relationship between clinical efficacy and </w:t>
      </w:r>
      <w:r w:rsidRPr="00823076">
        <w:rPr>
          <w:rFonts w:ascii="Times New Roman" w:hAnsi="Times New Roman"/>
          <w:i/>
          <w:color w:val="000000"/>
          <w:sz w:val="24"/>
          <w:szCs w:val="24"/>
        </w:rPr>
        <w:t>KRAS</w:t>
      </w:r>
      <w:r w:rsidRPr="00823076">
        <w:rPr>
          <w:rFonts w:ascii="Times New Roman" w:hAnsi="Times New Roman"/>
          <w:color w:val="000000"/>
          <w:sz w:val="24"/>
          <w:szCs w:val="24"/>
        </w:rPr>
        <w:t xml:space="preserve"> mutational status was evaluated in tumour tissue in a prospectively defined analysis of the randomised controlled trial described above.</w:t>
      </w:r>
    </w:p>
    <w:p w:rsidR="00823076" w:rsidRPr="0083593B" w:rsidRDefault="00823076" w:rsidP="003621D9">
      <w:pPr>
        <w:pStyle w:val="BodyText"/>
        <w:spacing w:after="0"/>
        <w:rPr>
          <w:rFonts w:ascii="Times New Roman" w:hAnsi="Times New Roman"/>
          <w:color w:val="000000"/>
          <w:sz w:val="24"/>
          <w:szCs w:val="24"/>
          <w:u w:val="single"/>
        </w:rPr>
      </w:pPr>
    </w:p>
    <w:p w:rsidR="00823076" w:rsidRPr="0083593B" w:rsidRDefault="00823076" w:rsidP="003621D9">
      <w:pPr>
        <w:pStyle w:val="BodyText"/>
        <w:spacing w:after="0"/>
        <w:rPr>
          <w:rFonts w:ascii="Times New Roman" w:hAnsi="Times New Roman"/>
          <w:color w:val="000000"/>
          <w:sz w:val="24"/>
          <w:szCs w:val="24"/>
        </w:rPr>
      </w:pPr>
      <w:r w:rsidRPr="0083593B">
        <w:rPr>
          <w:rFonts w:ascii="Times New Roman" w:hAnsi="Times New Roman"/>
          <w:color w:val="000000"/>
          <w:sz w:val="24"/>
          <w:szCs w:val="24"/>
          <w:lang w:val="en-GB"/>
        </w:rPr>
        <w:t xml:space="preserve">Tumour samples obtained from the primary resection of colorectal cancer were analysed for the presence of the seven most common activating mutations in </w:t>
      </w:r>
      <w:proofErr w:type="spellStart"/>
      <w:r w:rsidRPr="0083593B">
        <w:rPr>
          <w:rFonts w:ascii="Times New Roman" w:hAnsi="Times New Roman"/>
          <w:color w:val="000000"/>
          <w:sz w:val="24"/>
          <w:szCs w:val="24"/>
          <w:lang w:val="en-GB"/>
        </w:rPr>
        <w:t>codon</w:t>
      </w:r>
      <w:r w:rsidR="00821199" w:rsidRPr="0083593B">
        <w:rPr>
          <w:rFonts w:ascii="Times New Roman" w:hAnsi="Times New Roman"/>
          <w:color w:val="000000"/>
          <w:sz w:val="24"/>
          <w:szCs w:val="24"/>
          <w:lang w:val="en-GB"/>
        </w:rPr>
        <w:t>s</w:t>
      </w:r>
      <w:proofErr w:type="spellEnd"/>
      <w:r w:rsidRPr="0083593B">
        <w:rPr>
          <w:rFonts w:ascii="Times New Roman" w:hAnsi="Times New Roman"/>
          <w:color w:val="000000"/>
          <w:sz w:val="24"/>
          <w:szCs w:val="24"/>
          <w:lang w:val="en-GB"/>
        </w:rPr>
        <w:t xml:space="preserve"> 12 and 13 (Gly12Asp, Gly12Ala, Gly12Val, Gly12Ser, Gly12Arg, Gly12Cys, and Gly13Asp) of the </w:t>
      </w:r>
      <w:r w:rsidRPr="0083593B">
        <w:rPr>
          <w:rFonts w:ascii="Times New Roman" w:hAnsi="Times New Roman"/>
          <w:i/>
          <w:iCs/>
          <w:color w:val="000000"/>
          <w:sz w:val="24"/>
          <w:szCs w:val="24"/>
          <w:lang w:val="en-GB"/>
        </w:rPr>
        <w:t>KRAS</w:t>
      </w:r>
      <w:r w:rsidRPr="0083593B">
        <w:rPr>
          <w:rFonts w:ascii="Times New Roman" w:hAnsi="Times New Roman"/>
          <w:color w:val="000000"/>
          <w:sz w:val="24"/>
          <w:szCs w:val="24"/>
          <w:lang w:val="en-GB"/>
        </w:rPr>
        <w:t xml:space="preserve"> gene by using an allele-specific polymerase chain reaction. </w:t>
      </w:r>
      <w:r w:rsidR="00C16CDC" w:rsidRPr="00C16CDC">
        <w:rPr>
          <w:rFonts w:ascii="Times New Roman" w:hAnsi="Times New Roman"/>
          <w:color w:val="000000"/>
          <w:sz w:val="24"/>
          <w:szCs w:val="24"/>
          <w:lang w:val="en-GB"/>
        </w:rPr>
        <w:t xml:space="preserve"> </w:t>
      </w:r>
      <w:r w:rsidR="004C7660" w:rsidRPr="00C16CDC">
        <w:rPr>
          <w:rFonts w:ascii="Times New Roman" w:hAnsi="Times New Roman"/>
          <w:sz w:val="24"/>
          <w:szCs w:val="24"/>
          <w:lang w:val="en-GB"/>
        </w:rPr>
        <w:t>Four hundred and twenty-</w:t>
      </w:r>
      <w:r w:rsidR="00131408" w:rsidRPr="00C16CDC">
        <w:rPr>
          <w:rFonts w:ascii="Times New Roman" w:hAnsi="Times New Roman"/>
          <w:sz w:val="24"/>
          <w:szCs w:val="24"/>
          <w:lang w:val="en-GB"/>
        </w:rPr>
        <w:t xml:space="preserve">seven </w:t>
      </w:r>
      <w:r w:rsidRPr="0083593B">
        <w:rPr>
          <w:rFonts w:ascii="Times New Roman" w:hAnsi="Times New Roman"/>
          <w:color w:val="000000"/>
          <w:sz w:val="24"/>
          <w:szCs w:val="24"/>
          <w:lang w:val="en-GB"/>
        </w:rPr>
        <w:t xml:space="preserve">(92%) patients were evaluable for </w:t>
      </w:r>
      <w:r w:rsidRPr="0083593B">
        <w:rPr>
          <w:rFonts w:ascii="Times New Roman" w:hAnsi="Times New Roman"/>
          <w:i/>
          <w:color w:val="000000"/>
          <w:sz w:val="24"/>
          <w:szCs w:val="24"/>
          <w:lang w:val="en-GB"/>
        </w:rPr>
        <w:t>KRAS</w:t>
      </w:r>
      <w:r w:rsidRPr="0083593B">
        <w:rPr>
          <w:rFonts w:ascii="Times New Roman" w:hAnsi="Times New Roman"/>
          <w:color w:val="000000"/>
          <w:sz w:val="24"/>
          <w:szCs w:val="24"/>
          <w:lang w:val="en-GB"/>
        </w:rPr>
        <w:t xml:space="preserve"> status of which 184 had mutations.</w:t>
      </w:r>
    </w:p>
    <w:p w:rsidR="003621D9" w:rsidRPr="0083593B" w:rsidRDefault="003621D9" w:rsidP="003621D9">
      <w:pPr>
        <w:pStyle w:val="BodyText"/>
        <w:spacing w:after="0"/>
        <w:rPr>
          <w:rFonts w:ascii="Times New Roman" w:hAnsi="Times New Roman"/>
          <w:color w:val="000000"/>
          <w:sz w:val="24"/>
          <w:szCs w:val="24"/>
          <w:u w:val="single"/>
        </w:rPr>
      </w:pPr>
    </w:p>
    <w:p w:rsidR="003621D9" w:rsidRPr="00C16CDC" w:rsidRDefault="003621D9" w:rsidP="00AA040D">
      <w:pPr>
        <w:pStyle w:val="BodyText"/>
        <w:tabs>
          <w:tab w:val="left" w:pos="3119"/>
        </w:tabs>
        <w:spacing w:after="0"/>
        <w:rPr>
          <w:rFonts w:ascii="Times New Roman" w:eastAsia="MS Mincho" w:hAnsi="Times New Roman"/>
          <w:sz w:val="24"/>
          <w:szCs w:val="24"/>
        </w:rPr>
      </w:pPr>
      <w:r w:rsidRPr="00AA040D">
        <w:rPr>
          <w:rFonts w:ascii="Times New Roman" w:hAnsi="Times New Roman"/>
          <w:color w:val="000000"/>
          <w:sz w:val="24"/>
          <w:szCs w:val="24"/>
        </w:rPr>
        <w:t xml:space="preserve">The </w:t>
      </w:r>
      <w:r w:rsidR="002868A0" w:rsidRPr="00C16CDC">
        <w:rPr>
          <w:rFonts w:ascii="Times New Roman" w:eastAsia="MS Mincho" w:hAnsi="Times New Roman"/>
          <w:sz w:val="24"/>
          <w:szCs w:val="24"/>
        </w:rPr>
        <w:t>HR</w:t>
      </w:r>
      <w:r w:rsidRPr="00C16CDC">
        <w:rPr>
          <w:rFonts w:ascii="Times New Roman" w:hAnsi="Times New Roman"/>
          <w:sz w:val="24"/>
          <w:szCs w:val="24"/>
        </w:rPr>
        <w:t xml:space="preserve"> for PFS </w:t>
      </w:r>
      <w:r w:rsidRPr="00C16CDC">
        <w:rPr>
          <w:rFonts w:ascii="Times New Roman" w:eastAsia="MS Mincho" w:hAnsi="Times New Roman"/>
          <w:sz w:val="24"/>
          <w:szCs w:val="24"/>
        </w:rPr>
        <w:t xml:space="preserve">was 0.45 </w:t>
      </w:r>
      <w:r w:rsidR="00CE3ACA" w:rsidRPr="00C16CDC">
        <w:rPr>
          <w:rFonts w:ascii="Times New Roman" w:eastAsia="MS Mincho" w:hAnsi="Times New Roman"/>
          <w:sz w:val="24"/>
          <w:szCs w:val="24"/>
        </w:rPr>
        <w:t>[</w:t>
      </w:r>
      <w:r w:rsidRPr="00C16CDC">
        <w:rPr>
          <w:rFonts w:ascii="Times New Roman" w:eastAsia="MS Mincho" w:hAnsi="Times New Roman"/>
          <w:sz w:val="24"/>
          <w:szCs w:val="24"/>
        </w:rPr>
        <w:t>95% CI: 0.34</w:t>
      </w:r>
      <w:r w:rsidRPr="00C16CDC">
        <w:rPr>
          <w:rFonts w:ascii="Times New Roman" w:eastAsia="MS Mincho" w:hAnsi="Times New Roman"/>
          <w:strike/>
          <w:sz w:val="24"/>
          <w:szCs w:val="24"/>
        </w:rPr>
        <w:t>-</w:t>
      </w:r>
      <w:r w:rsidRPr="00C16CDC">
        <w:rPr>
          <w:rFonts w:ascii="Times New Roman" w:eastAsia="MS Mincho" w:hAnsi="Times New Roman"/>
          <w:sz w:val="24"/>
          <w:szCs w:val="24"/>
        </w:rPr>
        <w:t>0.59</w:t>
      </w:r>
      <w:r w:rsidR="00CE3ACA" w:rsidRPr="00C16CDC">
        <w:rPr>
          <w:rFonts w:ascii="Times New Roman" w:eastAsia="MS Mincho" w:hAnsi="Times New Roman"/>
          <w:sz w:val="24"/>
          <w:szCs w:val="24"/>
        </w:rPr>
        <w:t>]</w:t>
      </w:r>
      <w:r w:rsidRPr="00C16CDC">
        <w:rPr>
          <w:rFonts w:ascii="Times New Roman" w:eastAsia="MS Mincho" w:hAnsi="Times New Roman"/>
          <w:sz w:val="24"/>
          <w:szCs w:val="24"/>
        </w:rPr>
        <w:t xml:space="preserve"> in patients with </w:t>
      </w:r>
      <w:r w:rsidR="000832AA" w:rsidRPr="00C16CDC">
        <w:rPr>
          <w:rFonts w:ascii="Times New Roman" w:eastAsia="MS Mincho" w:hAnsi="Times New Roman"/>
          <w:sz w:val="24"/>
          <w:szCs w:val="24"/>
        </w:rPr>
        <w:t xml:space="preserve">wild-type </w:t>
      </w:r>
      <w:r w:rsidRPr="00C16CDC">
        <w:rPr>
          <w:rFonts w:ascii="Times New Roman" w:eastAsia="MS Mincho" w:hAnsi="Times New Roman"/>
          <w:i/>
          <w:sz w:val="24"/>
          <w:szCs w:val="24"/>
        </w:rPr>
        <w:t>KRAS</w:t>
      </w:r>
      <w:r w:rsidRPr="00C16CDC">
        <w:rPr>
          <w:rFonts w:ascii="Times New Roman" w:eastAsia="MS Mincho" w:hAnsi="Times New Roman"/>
          <w:sz w:val="24"/>
          <w:szCs w:val="24"/>
        </w:rPr>
        <w:t xml:space="preserve"> </w:t>
      </w:r>
      <w:proofErr w:type="spellStart"/>
      <w:r w:rsidR="00330A00" w:rsidRPr="00C16CDC">
        <w:rPr>
          <w:rFonts w:ascii="Times New Roman" w:eastAsia="MS Mincho" w:hAnsi="Times New Roman"/>
          <w:sz w:val="24"/>
          <w:szCs w:val="24"/>
        </w:rPr>
        <w:t>mCRC</w:t>
      </w:r>
      <w:proofErr w:type="spellEnd"/>
      <w:r w:rsidR="00B44A76" w:rsidRPr="00C16CDC">
        <w:rPr>
          <w:rFonts w:ascii="Times New Roman" w:eastAsia="MS Mincho" w:hAnsi="Times New Roman"/>
          <w:sz w:val="24"/>
          <w:szCs w:val="24"/>
        </w:rPr>
        <w:t xml:space="preserve"> </w:t>
      </w:r>
      <w:r w:rsidRPr="00C16CDC">
        <w:rPr>
          <w:rFonts w:ascii="Times New Roman" w:eastAsia="MS Mincho" w:hAnsi="Times New Roman"/>
          <w:sz w:val="24"/>
          <w:szCs w:val="24"/>
        </w:rPr>
        <w:t xml:space="preserve">and 0.99 </w:t>
      </w:r>
      <w:r w:rsidR="00CE3ACA" w:rsidRPr="00C16CDC">
        <w:rPr>
          <w:rFonts w:ascii="Times New Roman" w:eastAsia="MS Mincho" w:hAnsi="Times New Roman"/>
          <w:sz w:val="24"/>
          <w:szCs w:val="24"/>
        </w:rPr>
        <w:t>[</w:t>
      </w:r>
      <w:r w:rsidRPr="00C16CDC">
        <w:rPr>
          <w:rFonts w:ascii="Times New Roman" w:eastAsia="MS Mincho" w:hAnsi="Times New Roman"/>
          <w:sz w:val="24"/>
          <w:szCs w:val="24"/>
        </w:rPr>
        <w:t>95% CI: 0.73-1.36</w:t>
      </w:r>
      <w:r w:rsidR="00CE3ACA" w:rsidRPr="00C16CDC">
        <w:rPr>
          <w:rFonts w:ascii="Times New Roman" w:eastAsia="MS Mincho" w:hAnsi="Times New Roman"/>
          <w:sz w:val="24"/>
          <w:szCs w:val="24"/>
        </w:rPr>
        <w:t>]</w:t>
      </w:r>
      <w:r w:rsidRPr="00C16CDC">
        <w:rPr>
          <w:rFonts w:ascii="Times New Roman" w:eastAsia="MS Mincho" w:hAnsi="Times New Roman"/>
          <w:sz w:val="24"/>
          <w:szCs w:val="24"/>
        </w:rPr>
        <w:t xml:space="preserve"> in patients with </w:t>
      </w:r>
      <w:r w:rsidR="00330A00" w:rsidRPr="00C16CDC">
        <w:rPr>
          <w:rFonts w:ascii="Times New Roman" w:eastAsia="MS Mincho" w:hAnsi="Times New Roman"/>
          <w:sz w:val="24"/>
          <w:szCs w:val="24"/>
        </w:rPr>
        <w:t xml:space="preserve">mutant </w:t>
      </w:r>
      <w:r w:rsidRPr="00C16CDC">
        <w:rPr>
          <w:rFonts w:ascii="Times New Roman" w:eastAsia="MS Mincho" w:hAnsi="Times New Roman"/>
          <w:i/>
          <w:sz w:val="24"/>
          <w:szCs w:val="24"/>
        </w:rPr>
        <w:t>KRAS</w:t>
      </w:r>
      <w:r w:rsidR="00B44A76" w:rsidRPr="00C16CDC">
        <w:rPr>
          <w:rFonts w:ascii="Times New Roman" w:eastAsia="MS Mincho" w:hAnsi="Times New Roman"/>
          <w:i/>
          <w:sz w:val="24"/>
          <w:szCs w:val="24"/>
        </w:rPr>
        <w:t xml:space="preserve"> </w:t>
      </w:r>
      <w:proofErr w:type="spellStart"/>
      <w:r w:rsidR="00330A00" w:rsidRPr="00C16CDC">
        <w:rPr>
          <w:rFonts w:ascii="Times New Roman" w:eastAsia="MS Mincho" w:hAnsi="Times New Roman"/>
          <w:sz w:val="24"/>
          <w:szCs w:val="24"/>
        </w:rPr>
        <w:t>mCRC</w:t>
      </w:r>
      <w:proofErr w:type="spellEnd"/>
      <w:r w:rsidRPr="00823076">
        <w:rPr>
          <w:rFonts w:ascii="Times New Roman" w:eastAsia="MS Mincho" w:hAnsi="Times New Roman"/>
          <w:color w:val="000000"/>
          <w:sz w:val="24"/>
          <w:szCs w:val="24"/>
        </w:rPr>
        <w:t xml:space="preserve">. </w:t>
      </w:r>
      <w:r w:rsidR="00DD23B2" w:rsidRPr="00823076">
        <w:rPr>
          <w:rFonts w:ascii="Times New Roman" w:eastAsia="MS Mincho" w:hAnsi="Times New Roman"/>
          <w:color w:val="000000"/>
          <w:sz w:val="24"/>
          <w:szCs w:val="24"/>
        </w:rPr>
        <w:t xml:space="preserve"> </w:t>
      </w:r>
      <w:r w:rsidRPr="00823076">
        <w:rPr>
          <w:rFonts w:ascii="Times New Roman" w:eastAsia="MS Mincho" w:hAnsi="Times New Roman"/>
          <w:color w:val="000000"/>
          <w:sz w:val="24"/>
          <w:szCs w:val="24"/>
        </w:rPr>
        <w:t>In an analysis a</w:t>
      </w:r>
      <w:r w:rsidRPr="00823076">
        <w:rPr>
          <w:rFonts w:ascii="Times New Roman" w:hAnsi="Times New Roman"/>
          <w:iCs/>
          <w:color w:val="000000"/>
          <w:sz w:val="24"/>
          <w:szCs w:val="24"/>
        </w:rPr>
        <w:t xml:space="preserve">djusting for potential bias from unscheduled assessments, </w:t>
      </w:r>
      <w:r w:rsidRPr="00823076">
        <w:rPr>
          <w:rFonts w:ascii="Times New Roman" w:eastAsia="MS Mincho" w:hAnsi="Times New Roman"/>
          <w:color w:val="000000"/>
          <w:sz w:val="24"/>
          <w:szCs w:val="24"/>
        </w:rPr>
        <w:t>the hazard ratio for PFS was 0.49</w:t>
      </w:r>
      <w:r w:rsidR="00BA265E">
        <w:rPr>
          <w:rFonts w:ascii="Times New Roman" w:eastAsia="MS Mincho" w:hAnsi="Times New Roman"/>
          <w:color w:val="000000"/>
          <w:sz w:val="24"/>
          <w:szCs w:val="24"/>
        </w:rPr>
        <w:t xml:space="preserve"> </w:t>
      </w:r>
      <w:r w:rsidR="00CE3ACA" w:rsidRPr="00823076">
        <w:rPr>
          <w:rFonts w:ascii="Times New Roman" w:eastAsia="MS Mincho" w:hAnsi="Times New Roman"/>
          <w:color w:val="000000"/>
          <w:sz w:val="24"/>
          <w:szCs w:val="24"/>
        </w:rPr>
        <w:t>[</w:t>
      </w:r>
      <w:r w:rsidRPr="00823076">
        <w:rPr>
          <w:rFonts w:ascii="Times New Roman" w:eastAsia="MS Mincho" w:hAnsi="Times New Roman"/>
          <w:color w:val="000000"/>
          <w:sz w:val="24"/>
          <w:szCs w:val="24"/>
        </w:rPr>
        <w:t>95% CI: 0</w:t>
      </w:r>
      <w:r w:rsidRPr="007114A7">
        <w:rPr>
          <w:rFonts w:ascii="Times New Roman" w:eastAsia="MS Mincho" w:hAnsi="Times New Roman"/>
          <w:color w:val="000000"/>
          <w:sz w:val="24"/>
          <w:szCs w:val="24"/>
        </w:rPr>
        <w:t>.37</w:t>
      </w:r>
      <w:r w:rsidRPr="009B6D00">
        <w:rPr>
          <w:rFonts w:ascii="Times New Roman" w:eastAsia="MS Mincho" w:hAnsi="Times New Roman"/>
          <w:strike/>
          <w:color w:val="000000"/>
          <w:sz w:val="24"/>
          <w:szCs w:val="24"/>
        </w:rPr>
        <w:t>-</w:t>
      </w:r>
      <w:r w:rsidRPr="007114A7">
        <w:rPr>
          <w:rFonts w:ascii="Times New Roman" w:eastAsia="MS Mincho" w:hAnsi="Times New Roman"/>
          <w:color w:val="000000"/>
          <w:sz w:val="24"/>
          <w:szCs w:val="24"/>
        </w:rPr>
        <w:t>0.65</w:t>
      </w:r>
      <w:r w:rsidR="00CE3ACA" w:rsidRPr="007114A7">
        <w:rPr>
          <w:rFonts w:ascii="Times New Roman" w:eastAsia="MS Mincho" w:hAnsi="Times New Roman"/>
          <w:color w:val="000000"/>
          <w:sz w:val="24"/>
          <w:szCs w:val="24"/>
        </w:rPr>
        <w:t>]</w:t>
      </w:r>
      <w:r w:rsidRPr="007114A7">
        <w:rPr>
          <w:rFonts w:ascii="Times New Roman" w:eastAsia="MS Mincho" w:hAnsi="Times New Roman"/>
          <w:color w:val="000000"/>
          <w:sz w:val="24"/>
          <w:szCs w:val="24"/>
        </w:rPr>
        <w:t xml:space="preserve"> in favour of </w:t>
      </w:r>
      <w:proofErr w:type="spellStart"/>
      <w:r w:rsidRPr="007114A7">
        <w:rPr>
          <w:rFonts w:ascii="Times New Roman" w:eastAsia="MS Mincho" w:hAnsi="Times New Roman"/>
          <w:color w:val="000000"/>
          <w:sz w:val="24"/>
          <w:szCs w:val="24"/>
        </w:rPr>
        <w:t>panitumumab</w:t>
      </w:r>
      <w:proofErr w:type="spellEnd"/>
      <w:r w:rsidRPr="007114A7">
        <w:rPr>
          <w:rFonts w:ascii="Times New Roman" w:eastAsia="MS Mincho" w:hAnsi="Times New Roman"/>
          <w:color w:val="000000"/>
          <w:sz w:val="24"/>
          <w:szCs w:val="24"/>
        </w:rPr>
        <w:t xml:space="preserve"> in the </w:t>
      </w:r>
      <w:r w:rsidR="000832AA" w:rsidRPr="00C16CDC">
        <w:rPr>
          <w:rFonts w:ascii="Times New Roman" w:eastAsia="MS Mincho" w:hAnsi="Times New Roman"/>
          <w:sz w:val="24"/>
          <w:szCs w:val="24"/>
        </w:rPr>
        <w:t>wild-type</w:t>
      </w:r>
      <w:r w:rsidR="000832AA" w:rsidRPr="00C16CDC">
        <w:rPr>
          <w:rFonts w:ascii="Times New Roman" w:eastAsia="MS Mincho" w:hAnsi="Times New Roman"/>
          <w:i/>
          <w:sz w:val="24"/>
          <w:szCs w:val="24"/>
        </w:rPr>
        <w:t xml:space="preserve"> </w:t>
      </w:r>
      <w:r w:rsidRPr="00C16CDC">
        <w:rPr>
          <w:rFonts w:ascii="Times New Roman" w:eastAsia="MS Mincho" w:hAnsi="Times New Roman"/>
          <w:i/>
          <w:sz w:val="24"/>
          <w:szCs w:val="24"/>
        </w:rPr>
        <w:t>KRAS</w:t>
      </w:r>
      <w:r w:rsidRPr="00C16CDC">
        <w:rPr>
          <w:rFonts w:ascii="Times New Roman" w:eastAsia="MS Mincho" w:hAnsi="Times New Roman"/>
          <w:sz w:val="24"/>
          <w:szCs w:val="24"/>
        </w:rPr>
        <w:t xml:space="preserve"> </w:t>
      </w:r>
      <w:proofErr w:type="spellStart"/>
      <w:r w:rsidR="00330A00" w:rsidRPr="00C16CDC">
        <w:rPr>
          <w:rFonts w:ascii="Times New Roman" w:eastAsia="MS Mincho" w:hAnsi="Times New Roman"/>
          <w:sz w:val="24"/>
          <w:szCs w:val="24"/>
        </w:rPr>
        <w:t>mCRC</w:t>
      </w:r>
      <w:proofErr w:type="spellEnd"/>
      <w:r w:rsidR="00330A00" w:rsidRPr="00C16CDC">
        <w:rPr>
          <w:rFonts w:ascii="Times New Roman" w:eastAsia="MS Mincho" w:hAnsi="Times New Roman"/>
          <w:sz w:val="24"/>
          <w:szCs w:val="24"/>
        </w:rPr>
        <w:t xml:space="preserve"> </w:t>
      </w:r>
      <w:r w:rsidRPr="00C16CDC">
        <w:rPr>
          <w:rFonts w:ascii="Times New Roman" w:eastAsia="MS Mincho" w:hAnsi="Times New Roman"/>
          <w:sz w:val="24"/>
          <w:szCs w:val="24"/>
        </w:rPr>
        <w:t>group and 1.07</w:t>
      </w:r>
      <w:r w:rsidR="00CE3ACA" w:rsidRPr="00C16CDC">
        <w:rPr>
          <w:rFonts w:ascii="Times New Roman" w:eastAsia="MS Mincho" w:hAnsi="Times New Roman"/>
          <w:sz w:val="24"/>
          <w:szCs w:val="24"/>
        </w:rPr>
        <w:t xml:space="preserve"> [</w:t>
      </w:r>
      <w:r w:rsidRPr="00C16CDC">
        <w:rPr>
          <w:rFonts w:ascii="Times New Roman" w:eastAsia="MS Mincho" w:hAnsi="Times New Roman"/>
          <w:sz w:val="24"/>
          <w:szCs w:val="24"/>
        </w:rPr>
        <w:t>95% CI: 0.77</w:t>
      </w:r>
      <w:r w:rsidR="00D079C2" w:rsidRPr="00C16CDC">
        <w:rPr>
          <w:rFonts w:ascii="Times New Roman" w:eastAsia="MS Mincho" w:hAnsi="Times New Roman"/>
          <w:strike/>
          <w:sz w:val="24"/>
          <w:szCs w:val="24"/>
        </w:rPr>
        <w:noBreakHyphen/>
      </w:r>
      <w:r w:rsidRPr="00C16CDC">
        <w:rPr>
          <w:rFonts w:ascii="Times New Roman" w:eastAsia="MS Mincho" w:hAnsi="Times New Roman"/>
          <w:sz w:val="24"/>
          <w:szCs w:val="24"/>
        </w:rPr>
        <w:t>1.48</w:t>
      </w:r>
      <w:r w:rsidR="00CE3ACA" w:rsidRPr="00C16CDC">
        <w:rPr>
          <w:rFonts w:ascii="Times New Roman" w:eastAsia="MS Mincho" w:hAnsi="Times New Roman"/>
          <w:sz w:val="24"/>
          <w:szCs w:val="24"/>
        </w:rPr>
        <w:t>]</w:t>
      </w:r>
      <w:r w:rsidRPr="00C16CDC">
        <w:rPr>
          <w:rFonts w:ascii="Times New Roman" w:eastAsia="MS Mincho" w:hAnsi="Times New Roman"/>
          <w:sz w:val="24"/>
          <w:szCs w:val="24"/>
        </w:rPr>
        <w:t xml:space="preserve"> in the </w:t>
      </w:r>
      <w:r w:rsidR="00272E7A" w:rsidRPr="00C16CDC">
        <w:rPr>
          <w:rFonts w:ascii="Times New Roman" w:eastAsia="MS Mincho" w:hAnsi="Times New Roman"/>
          <w:sz w:val="24"/>
          <w:szCs w:val="24"/>
        </w:rPr>
        <w:t xml:space="preserve">mutant </w:t>
      </w:r>
      <w:r w:rsidRPr="00C16CDC">
        <w:rPr>
          <w:rFonts w:ascii="Times New Roman" w:eastAsia="MS Mincho" w:hAnsi="Times New Roman"/>
          <w:i/>
          <w:sz w:val="24"/>
          <w:szCs w:val="24"/>
        </w:rPr>
        <w:t>KRAS</w:t>
      </w:r>
      <w:r w:rsidRPr="00C16CDC">
        <w:rPr>
          <w:rFonts w:ascii="Times New Roman" w:eastAsia="MS Mincho" w:hAnsi="Times New Roman"/>
          <w:sz w:val="24"/>
          <w:szCs w:val="24"/>
        </w:rPr>
        <w:t xml:space="preserve"> </w:t>
      </w:r>
      <w:proofErr w:type="spellStart"/>
      <w:r w:rsidR="00272E7A" w:rsidRPr="00C16CDC">
        <w:rPr>
          <w:rFonts w:ascii="Times New Roman" w:eastAsia="MS Mincho" w:hAnsi="Times New Roman"/>
          <w:sz w:val="24"/>
          <w:szCs w:val="24"/>
        </w:rPr>
        <w:t>mCRC</w:t>
      </w:r>
      <w:proofErr w:type="spellEnd"/>
      <w:r w:rsidRPr="00C16CDC">
        <w:rPr>
          <w:rFonts w:ascii="Times New Roman" w:eastAsia="MS Mincho" w:hAnsi="Times New Roman"/>
          <w:sz w:val="24"/>
          <w:szCs w:val="24"/>
        </w:rPr>
        <w:t xml:space="preserve"> group</w:t>
      </w:r>
      <w:r w:rsidRPr="007114A7">
        <w:rPr>
          <w:rFonts w:ascii="Times New Roman" w:eastAsia="MS Mincho" w:hAnsi="Times New Roman"/>
          <w:color w:val="000000"/>
          <w:sz w:val="24"/>
          <w:szCs w:val="24"/>
        </w:rPr>
        <w:t xml:space="preserve">. </w:t>
      </w:r>
      <w:r w:rsidR="00DD23B2" w:rsidRPr="007114A7">
        <w:rPr>
          <w:rFonts w:ascii="Times New Roman" w:eastAsia="MS Mincho" w:hAnsi="Times New Roman"/>
          <w:color w:val="000000"/>
          <w:sz w:val="24"/>
          <w:szCs w:val="24"/>
        </w:rPr>
        <w:t xml:space="preserve"> </w:t>
      </w:r>
      <w:r w:rsidRPr="007114A7">
        <w:rPr>
          <w:rFonts w:ascii="Times New Roman" w:eastAsia="MS Mincho" w:hAnsi="Times New Roman"/>
          <w:color w:val="000000"/>
          <w:sz w:val="24"/>
          <w:szCs w:val="24"/>
        </w:rPr>
        <w:t xml:space="preserve">For patients randomised to </w:t>
      </w:r>
      <w:proofErr w:type="spellStart"/>
      <w:r w:rsidRPr="007114A7">
        <w:rPr>
          <w:rFonts w:ascii="Times New Roman" w:eastAsia="MS Mincho" w:hAnsi="Times New Roman"/>
          <w:color w:val="000000"/>
          <w:sz w:val="24"/>
          <w:szCs w:val="24"/>
        </w:rPr>
        <w:t>panitumumab</w:t>
      </w:r>
      <w:proofErr w:type="spellEnd"/>
      <w:r w:rsidRPr="007114A7">
        <w:rPr>
          <w:rFonts w:ascii="Times New Roman" w:eastAsia="MS Mincho" w:hAnsi="Times New Roman"/>
          <w:color w:val="000000"/>
          <w:sz w:val="24"/>
          <w:szCs w:val="24"/>
        </w:rPr>
        <w:t xml:space="preserve">, the objective response rate (central review) in patients with </w:t>
      </w:r>
      <w:r w:rsidR="000832AA" w:rsidRPr="00C16CDC">
        <w:rPr>
          <w:rFonts w:ascii="Times New Roman" w:eastAsia="MS Mincho" w:hAnsi="Times New Roman"/>
          <w:sz w:val="24"/>
          <w:szCs w:val="24"/>
        </w:rPr>
        <w:t>wild-type</w:t>
      </w:r>
      <w:r w:rsidR="000832AA" w:rsidRPr="00C16CDC">
        <w:rPr>
          <w:rFonts w:ascii="Times New Roman" w:eastAsia="MS Mincho" w:hAnsi="Times New Roman"/>
          <w:i/>
          <w:strike/>
          <w:sz w:val="24"/>
          <w:szCs w:val="24"/>
        </w:rPr>
        <w:t xml:space="preserve"> </w:t>
      </w:r>
      <w:r w:rsidR="00272E7A" w:rsidRPr="00C16CDC">
        <w:rPr>
          <w:rFonts w:ascii="Times New Roman" w:eastAsia="MS Mincho" w:hAnsi="Times New Roman"/>
          <w:sz w:val="24"/>
          <w:szCs w:val="24"/>
        </w:rPr>
        <w:t xml:space="preserve">versus mutant </w:t>
      </w:r>
      <w:r w:rsidRPr="00C16CDC">
        <w:rPr>
          <w:rFonts w:ascii="Times New Roman" w:eastAsia="MS Mincho" w:hAnsi="Times New Roman"/>
          <w:i/>
          <w:sz w:val="24"/>
          <w:szCs w:val="24"/>
        </w:rPr>
        <w:t>KRAS</w:t>
      </w:r>
      <w:r w:rsidRPr="00C16CDC">
        <w:rPr>
          <w:rFonts w:ascii="Times New Roman" w:eastAsia="MS Mincho" w:hAnsi="Times New Roman"/>
          <w:sz w:val="24"/>
          <w:szCs w:val="24"/>
        </w:rPr>
        <w:t xml:space="preserve"> </w:t>
      </w:r>
      <w:proofErr w:type="spellStart"/>
      <w:r w:rsidR="00272E7A" w:rsidRPr="00C16CDC">
        <w:rPr>
          <w:rFonts w:ascii="Times New Roman" w:eastAsia="MS Mincho" w:hAnsi="Times New Roman"/>
          <w:sz w:val="24"/>
          <w:szCs w:val="24"/>
        </w:rPr>
        <w:t>mCRC</w:t>
      </w:r>
      <w:proofErr w:type="spellEnd"/>
      <w:r w:rsidR="00272E7A" w:rsidRPr="00C16CDC">
        <w:rPr>
          <w:rFonts w:ascii="Times New Roman" w:eastAsia="MS Mincho" w:hAnsi="Times New Roman"/>
          <w:sz w:val="24"/>
          <w:szCs w:val="24"/>
        </w:rPr>
        <w:t xml:space="preserve"> </w:t>
      </w:r>
      <w:r w:rsidRPr="00C16CDC">
        <w:rPr>
          <w:rFonts w:ascii="Times New Roman" w:eastAsia="MS Mincho" w:hAnsi="Times New Roman"/>
          <w:sz w:val="24"/>
          <w:szCs w:val="24"/>
        </w:rPr>
        <w:t xml:space="preserve">was 17% </w:t>
      </w:r>
      <w:r w:rsidR="00272E7A" w:rsidRPr="00C16CDC">
        <w:rPr>
          <w:rFonts w:ascii="Times New Roman" w:eastAsia="MS Mincho" w:hAnsi="Times New Roman"/>
          <w:sz w:val="24"/>
          <w:szCs w:val="24"/>
        </w:rPr>
        <w:t xml:space="preserve">versus </w:t>
      </w:r>
      <w:r w:rsidRPr="00C16CDC">
        <w:rPr>
          <w:rFonts w:ascii="Times New Roman" w:eastAsia="MS Mincho" w:hAnsi="Times New Roman"/>
          <w:sz w:val="24"/>
          <w:szCs w:val="24"/>
        </w:rPr>
        <w:t xml:space="preserve">0%. </w:t>
      </w:r>
      <w:r w:rsidR="00DD23B2" w:rsidRPr="00C16CDC">
        <w:rPr>
          <w:rFonts w:ascii="Times New Roman" w:eastAsia="MS Mincho" w:hAnsi="Times New Roman"/>
          <w:sz w:val="24"/>
          <w:szCs w:val="24"/>
        </w:rPr>
        <w:t xml:space="preserve"> </w:t>
      </w:r>
      <w:r w:rsidRPr="00C16CDC">
        <w:rPr>
          <w:rFonts w:ascii="Times New Roman" w:eastAsia="MS Mincho" w:hAnsi="Times New Roman"/>
          <w:sz w:val="24"/>
          <w:szCs w:val="24"/>
        </w:rPr>
        <w:t>Stable disease was seen in 3</w:t>
      </w:r>
      <w:r w:rsidRPr="007114A7">
        <w:rPr>
          <w:rFonts w:ascii="Times New Roman" w:eastAsia="MS Mincho" w:hAnsi="Times New Roman"/>
          <w:color w:val="000000"/>
          <w:sz w:val="24"/>
          <w:szCs w:val="24"/>
        </w:rPr>
        <w:t xml:space="preserve">4% </w:t>
      </w:r>
      <w:r w:rsidR="00272E7A" w:rsidRPr="00C16CDC">
        <w:rPr>
          <w:rFonts w:ascii="Times New Roman" w:eastAsia="MS Mincho" w:hAnsi="Times New Roman"/>
          <w:sz w:val="24"/>
          <w:szCs w:val="24"/>
        </w:rPr>
        <w:t xml:space="preserve">versus </w:t>
      </w:r>
      <w:r w:rsidRPr="00C16CDC">
        <w:rPr>
          <w:rFonts w:ascii="Times New Roman" w:eastAsia="MS Mincho" w:hAnsi="Times New Roman"/>
          <w:sz w:val="24"/>
          <w:szCs w:val="24"/>
        </w:rPr>
        <w:t xml:space="preserve">12% in patients with </w:t>
      </w:r>
      <w:r w:rsidR="000832AA" w:rsidRPr="00C16CDC">
        <w:rPr>
          <w:rFonts w:ascii="Times New Roman" w:eastAsia="MS Mincho" w:hAnsi="Times New Roman"/>
          <w:sz w:val="24"/>
          <w:szCs w:val="24"/>
        </w:rPr>
        <w:t>wild-type</w:t>
      </w:r>
      <w:r w:rsidR="000832AA" w:rsidRPr="00C16CDC">
        <w:rPr>
          <w:rFonts w:ascii="Times New Roman" w:eastAsia="MS Mincho" w:hAnsi="Times New Roman"/>
          <w:i/>
          <w:sz w:val="24"/>
          <w:szCs w:val="24"/>
        </w:rPr>
        <w:t xml:space="preserve"> </w:t>
      </w:r>
      <w:r w:rsidR="00272E7A" w:rsidRPr="00C16CDC">
        <w:rPr>
          <w:rFonts w:ascii="Times New Roman" w:eastAsia="MS Mincho" w:hAnsi="Times New Roman"/>
          <w:sz w:val="24"/>
          <w:szCs w:val="24"/>
        </w:rPr>
        <w:t>versus</w:t>
      </w:r>
      <w:r w:rsidRPr="00C16CDC">
        <w:rPr>
          <w:rFonts w:ascii="Times New Roman" w:eastAsia="MS Mincho" w:hAnsi="Times New Roman"/>
          <w:sz w:val="24"/>
          <w:szCs w:val="24"/>
        </w:rPr>
        <w:t xml:space="preserve"> </w:t>
      </w:r>
      <w:r w:rsidR="00272E7A" w:rsidRPr="00C16CDC">
        <w:rPr>
          <w:rFonts w:ascii="Times New Roman" w:eastAsia="MS Mincho" w:hAnsi="Times New Roman"/>
          <w:sz w:val="24"/>
          <w:szCs w:val="24"/>
        </w:rPr>
        <w:t xml:space="preserve">mutant </w:t>
      </w:r>
      <w:r w:rsidRPr="00C16CDC">
        <w:rPr>
          <w:rFonts w:ascii="Times New Roman" w:eastAsia="MS Mincho" w:hAnsi="Times New Roman"/>
          <w:i/>
          <w:sz w:val="24"/>
          <w:szCs w:val="24"/>
        </w:rPr>
        <w:t>KRAS</w:t>
      </w:r>
      <w:r w:rsidRPr="00C16CDC">
        <w:rPr>
          <w:rFonts w:ascii="Times New Roman" w:eastAsia="MS Mincho" w:hAnsi="Times New Roman"/>
          <w:sz w:val="24"/>
          <w:szCs w:val="24"/>
        </w:rPr>
        <w:t xml:space="preserve"> </w:t>
      </w:r>
      <w:proofErr w:type="spellStart"/>
      <w:r w:rsidR="00272E7A" w:rsidRPr="00C16CDC">
        <w:rPr>
          <w:rFonts w:ascii="Times New Roman" w:eastAsia="MS Mincho" w:hAnsi="Times New Roman"/>
          <w:sz w:val="24"/>
          <w:szCs w:val="24"/>
        </w:rPr>
        <w:t>mCRC</w:t>
      </w:r>
      <w:proofErr w:type="spellEnd"/>
      <w:r w:rsidR="00272E7A" w:rsidRPr="00C16CDC">
        <w:rPr>
          <w:rFonts w:ascii="Times New Roman" w:eastAsia="MS Mincho" w:hAnsi="Times New Roman"/>
          <w:sz w:val="24"/>
          <w:szCs w:val="24"/>
        </w:rPr>
        <w:t xml:space="preserve"> </w:t>
      </w:r>
      <w:r w:rsidRPr="00C16CDC">
        <w:rPr>
          <w:rFonts w:ascii="Times New Roman" w:eastAsia="MS Mincho" w:hAnsi="Times New Roman"/>
          <w:sz w:val="24"/>
          <w:szCs w:val="24"/>
        </w:rPr>
        <w:t xml:space="preserve">in the </w:t>
      </w:r>
      <w:proofErr w:type="spellStart"/>
      <w:r w:rsidRPr="00C16CDC">
        <w:rPr>
          <w:rFonts w:ascii="Times New Roman" w:eastAsia="MS Mincho" w:hAnsi="Times New Roman"/>
          <w:sz w:val="24"/>
          <w:szCs w:val="24"/>
        </w:rPr>
        <w:t>panitumumab</w:t>
      </w:r>
      <w:proofErr w:type="spellEnd"/>
      <w:r w:rsidRPr="00C16CDC">
        <w:rPr>
          <w:rFonts w:ascii="Times New Roman" w:eastAsia="MS Mincho" w:hAnsi="Times New Roman"/>
          <w:sz w:val="24"/>
          <w:szCs w:val="24"/>
        </w:rPr>
        <w:t xml:space="preserve"> arm and 12% </w:t>
      </w:r>
      <w:r w:rsidR="00272E7A" w:rsidRPr="00C16CDC">
        <w:rPr>
          <w:rFonts w:ascii="Times New Roman" w:eastAsia="MS Mincho" w:hAnsi="Times New Roman"/>
          <w:sz w:val="24"/>
          <w:szCs w:val="24"/>
        </w:rPr>
        <w:t xml:space="preserve">versus </w:t>
      </w:r>
      <w:r w:rsidRPr="00C16CDC">
        <w:rPr>
          <w:rFonts w:ascii="Times New Roman" w:eastAsia="MS Mincho" w:hAnsi="Times New Roman"/>
          <w:sz w:val="24"/>
          <w:szCs w:val="24"/>
        </w:rPr>
        <w:t xml:space="preserve">8% in the BSC arm. </w:t>
      </w:r>
      <w:r w:rsidR="00DD23B2" w:rsidRPr="00C16CDC">
        <w:rPr>
          <w:rFonts w:ascii="Times New Roman" w:eastAsia="MS Mincho" w:hAnsi="Times New Roman"/>
          <w:sz w:val="24"/>
          <w:szCs w:val="24"/>
        </w:rPr>
        <w:t xml:space="preserve"> </w:t>
      </w:r>
      <w:r w:rsidRPr="00C16CDC">
        <w:rPr>
          <w:rFonts w:ascii="Times New Roman" w:eastAsia="MS Mincho" w:hAnsi="Times New Roman"/>
          <w:sz w:val="24"/>
          <w:szCs w:val="24"/>
        </w:rPr>
        <w:t xml:space="preserve">No treatment difference in OS according to </w:t>
      </w:r>
      <w:r w:rsidRPr="00C16CDC">
        <w:rPr>
          <w:rFonts w:ascii="Times New Roman" w:eastAsia="MS Mincho" w:hAnsi="Times New Roman"/>
          <w:i/>
          <w:sz w:val="24"/>
          <w:szCs w:val="24"/>
        </w:rPr>
        <w:t>KRAS</w:t>
      </w:r>
      <w:r w:rsidRPr="00C16CDC">
        <w:rPr>
          <w:rFonts w:ascii="Times New Roman" w:eastAsia="MS Mincho" w:hAnsi="Times New Roman"/>
          <w:sz w:val="24"/>
          <w:szCs w:val="24"/>
        </w:rPr>
        <w:t xml:space="preserve"> mutation status was observed. </w:t>
      </w:r>
      <w:r w:rsidR="00DD23B2" w:rsidRPr="00C16CDC">
        <w:rPr>
          <w:rFonts w:ascii="Times New Roman" w:eastAsia="MS Mincho" w:hAnsi="Times New Roman"/>
          <w:sz w:val="24"/>
          <w:szCs w:val="24"/>
        </w:rPr>
        <w:t xml:space="preserve"> </w:t>
      </w:r>
      <w:r w:rsidRPr="00C16CDC">
        <w:rPr>
          <w:rFonts w:ascii="Times New Roman" w:eastAsia="MS Mincho" w:hAnsi="Times New Roman"/>
          <w:sz w:val="24"/>
          <w:szCs w:val="24"/>
        </w:rPr>
        <w:t xml:space="preserve">Results are presented in Figure </w:t>
      </w:r>
      <w:r w:rsidR="0049733E" w:rsidRPr="00C16CDC">
        <w:rPr>
          <w:rFonts w:ascii="Times New Roman" w:eastAsia="MS Mincho" w:hAnsi="Times New Roman"/>
          <w:sz w:val="24"/>
          <w:szCs w:val="24"/>
        </w:rPr>
        <w:t>1</w:t>
      </w:r>
    </w:p>
    <w:p w:rsidR="008B4A8F" w:rsidRDefault="008B4A8F" w:rsidP="003621D9">
      <w:pPr>
        <w:pStyle w:val="BodyText"/>
        <w:spacing w:after="0"/>
        <w:rPr>
          <w:rFonts w:ascii="Times New Roman" w:eastAsia="MS Mincho" w:hAnsi="Times New Roman"/>
          <w:color w:val="000000"/>
          <w:sz w:val="24"/>
          <w:szCs w:val="24"/>
        </w:rPr>
      </w:pPr>
      <w:r>
        <w:rPr>
          <w:rFonts w:ascii="Times New Roman" w:eastAsia="MS Mincho" w:hAnsi="Times New Roman"/>
          <w:color w:val="000000"/>
          <w:sz w:val="24"/>
          <w:szCs w:val="24"/>
        </w:rPr>
        <w:br w:type="page"/>
      </w:r>
    </w:p>
    <w:p w:rsidR="003621D9" w:rsidRPr="00DD23B2" w:rsidRDefault="00411291" w:rsidP="00B1560F">
      <w:pPr>
        <w:pStyle w:val="TableCenterBold"/>
        <w:jc w:val="left"/>
      </w:pPr>
      <w:r>
        <w:lastRenderedPageBreak/>
        <w:t xml:space="preserve">Figure </w:t>
      </w:r>
      <w:r w:rsidR="0049733E" w:rsidRPr="00C16CDC">
        <w:t>1</w:t>
      </w:r>
      <w:r>
        <w:t xml:space="preserve">.  </w:t>
      </w:r>
      <w:r w:rsidR="003621D9" w:rsidRPr="00DD23B2">
        <w:t>PFS – Patients with mutant and wild</w:t>
      </w:r>
      <w:r w:rsidR="0002257C" w:rsidRPr="00C16CDC">
        <w:t>-</w:t>
      </w:r>
      <w:r w:rsidR="003621D9" w:rsidRPr="00DD23B2">
        <w:t xml:space="preserve">type </w:t>
      </w:r>
      <w:r w:rsidR="003621D9" w:rsidRPr="00DD23B2">
        <w:rPr>
          <w:i/>
        </w:rPr>
        <w:t>KRAS</w:t>
      </w:r>
      <w:r w:rsidR="00272E7A">
        <w:rPr>
          <w:i/>
        </w:rPr>
        <w:t xml:space="preserve"> </w:t>
      </w:r>
      <w:proofErr w:type="spellStart"/>
      <w:r w:rsidR="00272E7A" w:rsidRPr="00272E7A">
        <w:t>mCRC</w:t>
      </w:r>
      <w:proofErr w:type="spellEnd"/>
    </w:p>
    <w:p w:rsidR="003621D9" w:rsidRDefault="003621D9" w:rsidP="003621D9">
      <w:pPr>
        <w:keepNext/>
        <w:autoSpaceDE w:val="0"/>
        <w:autoSpaceDN w:val="0"/>
        <w:adjustRightInd w:val="0"/>
        <w:rPr>
          <w:i/>
          <w:iCs/>
          <w:color w:val="000000"/>
        </w:rPr>
      </w:pPr>
      <w:r w:rsidRPr="00151D22">
        <w:rPr>
          <w:iCs/>
          <w:color w:val="000000"/>
        </w:rPr>
        <w:t>Wild</w:t>
      </w:r>
      <w:r w:rsidR="0002257C" w:rsidRPr="00C16CDC">
        <w:rPr>
          <w:iCs/>
        </w:rPr>
        <w:t>-t</w:t>
      </w:r>
      <w:r w:rsidRPr="00C16CDC">
        <w:rPr>
          <w:iCs/>
        </w:rPr>
        <w:t>y</w:t>
      </w:r>
      <w:r w:rsidRPr="00151D22">
        <w:rPr>
          <w:iCs/>
          <w:color w:val="000000"/>
        </w:rPr>
        <w:t>pe</w:t>
      </w:r>
      <w:r w:rsidRPr="00151D22">
        <w:rPr>
          <w:i/>
          <w:iCs/>
          <w:color w:val="000000"/>
        </w:rPr>
        <w:t xml:space="preserve"> KRAS</w:t>
      </w:r>
      <w:r w:rsidR="00272E7A">
        <w:rPr>
          <w:i/>
          <w:iCs/>
          <w:color w:val="000000"/>
        </w:rPr>
        <w:t xml:space="preserve"> </w:t>
      </w:r>
    </w:p>
    <w:p w:rsidR="008B4A8F" w:rsidRPr="00151D22" w:rsidRDefault="008B4A8F" w:rsidP="003621D9">
      <w:pPr>
        <w:keepNext/>
        <w:autoSpaceDE w:val="0"/>
        <w:autoSpaceDN w:val="0"/>
        <w:adjustRightInd w:val="0"/>
        <w:rPr>
          <w:iCs/>
          <w:color w:val="000000"/>
        </w:rPr>
      </w:pPr>
    </w:p>
    <w:p w:rsidR="003621D9" w:rsidRPr="00676999" w:rsidRDefault="002E1E58" w:rsidP="008B4A8F">
      <w:pPr>
        <w:keepNext/>
        <w:tabs>
          <w:tab w:val="left" w:pos="426"/>
        </w:tabs>
        <w:autoSpaceDE w:val="0"/>
        <w:autoSpaceDN w:val="0"/>
        <w:adjustRightInd w:val="0"/>
        <w:ind w:left="426"/>
        <w:rPr>
          <w:iCs/>
        </w:rPr>
      </w:pPr>
      <w:r w:rsidRPr="002E1E58">
        <w:rPr>
          <w:noProof/>
        </w:rPr>
        <w:pict>
          <v:shapetype id="_x0000_t202" coordsize="21600,21600" o:spt="202" path="m,l,21600r21600,l21600,xe">
            <v:stroke joinstyle="miter"/>
            <v:path gradientshapeok="t" o:connecttype="rect"/>
          </v:shapetype>
          <v:shape id="_x0000_s1026" type="#_x0000_t202" style="position:absolute;left:0;text-align:left;margin-left:220.05pt;margin-top:69.7pt;width:135pt;height:45pt;z-index:251657216" filled="f" stroked="f">
            <v:textbox style="mso-next-textbox:#_x0000_s1026">
              <w:txbxContent>
                <w:p w:rsidR="00F02F45" w:rsidRDefault="00F02F45" w:rsidP="003621D9">
                  <w:pPr>
                    <w:rPr>
                      <w:rFonts w:ascii="Arial" w:hAnsi="Arial" w:cs="Arial"/>
                      <w:sz w:val="16"/>
                      <w:szCs w:val="16"/>
                    </w:rPr>
                  </w:pPr>
                  <w:r w:rsidRPr="00AA3918">
                    <w:rPr>
                      <w:rFonts w:ascii="Arial" w:hAnsi="Arial" w:cs="Arial"/>
                      <w:sz w:val="16"/>
                      <w:szCs w:val="16"/>
                    </w:rPr>
                    <w:t xml:space="preserve">Hazard ratio = </w:t>
                  </w:r>
                  <w:r>
                    <w:rPr>
                      <w:rFonts w:ascii="Arial" w:hAnsi="Arial" w:cs="Arial"/>
                      <w:sz w:val="16"/>
                      <w:szCs w:val="16"/>
                    </w:rPr>
                    <w:t>0.49</w:t>
                  </w:r>
                </w:p>
                <w:p w:rsidR="00F02F45" w:rsidRDefault="00F02F45" w:rsidP="003621D9">
                  <w:pPr>
                    <w:rPr>
                      <w:rFonts w:ascii="Arial" w:hAnsi="Arial" w:cs="Arial"/>
                      <w:sz w:val="16"/>
                      <w:szCs w:val="16"/>
                    </w:rPr>
                  </w:pPr>
                  <w:r>
                    <w:rPr>
                      <w:rFonts w:ascii="Arial" w:hAnsi="Arial" w:cs="Arial"/>
                      <w:sz w:val="16"/>
                      <w:szCs w:val="16"/>
                    </w:rPr>
                    <w:t>[95% CI: 0.37, 0.65]</w:t>
                  </w:r>
                </w:p>
                <w:p w:rsidR="00F02F45" w:rsidRPr="00AA3918" w:rsidRDefault="00F02F45" w:rsidP="003621D9">
                  <w:pPr>
                    <w:rPr>
                      <w:rFonts w:ascii="Arial" w:hAnsi="Arial" w:cs="Arial"/>
                      <w:sz w:val="16"/>
                      <w:szCs w:val="16"/>
                    </w:rPr>
                  </w:pPr>
                  <w:r w:rsidRPr="007114A7">
                    <w:rPr>
                      <w:rFonts w:ascii="Arial" w:hAnsi="Arial" w:cs="Arial"/>
                      <w:sz w:val="16"/>
                      <w:szCs w:val="16"/>
                    </w:rPr>
                    <w:t>Stratified log-rank test p &lt; 0.0001</w:t>
                  </w:r>
                </w:p>
              </w:txbxContent>
            </v:textbox>
          </v:shape>
        </w:pict>
      </w:r>
      <w:r w:rsidR="00F84B17">
        <w:rPr>
          <w:iCs/>
          <w:noProof/>
          <w:lang w:val="en-AU" w:eastAsia="en-AU"/>
        </w:rPr>
        <w:drawing>
          <wp:inline distT="0" distB="0" distL="0" distR="0">
            <wp:extent cx="5048250" cy="3228975"/>
            <wp:effectExtent l="0" t="0" r="0" b="0"/>
            <wp:docPr id="1" name="Picture 1" descr="PFS_int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S_int_cen"/>
                    <pic:cNvPicPr>
                      <a:picLocks noChangeAspect="1" noChangeArrowheads="1"/>
                    </pic:cNvPicPr>
                  </pic:nvPicPr>
                  <pic:blipFill>
                    <a:blip r:embed="rId8" cstate="print"/>
                    <a:srcRect t="10825" b="6471"/>
                    <a:stretch>
                      <a:fillRect/>
                    </a:stretch>
                  </pic:blipFill>
                  <pic:spPr bwMode="auto">
                    <a:xfrm>
                      <a:off x="0" y="0"/>
                      <a:ext cx="5048250" cy="3228975"/>
                    </a:xfrm>
                    <a:prstGeom prst="rect">
                      <a:avLst/>
                    </a:prstGeom>
                    <a:noFill/>
                    <a:ln w="9525">
                      <a:noFill/>
                      <a:miter lim="800000"/>
                      <a:headEnd/>
                      <a:tailEnd/>
                    </a:ln>
                  </pic:spPr>
                </pic:pic>
              </a:graphicData>
            </a:graphic>
          </wp:inline>
        </w:drawing>
      </w:r>
    </w:p>
    <w:p w:rsidR="003621D9" w:rsidRDefault="003621D9" w:rsidP="008B4A8F">
      <w:pPr>
        <w:keepNext/>
        <w:numPr>
          <w:ilvl w:val="12"/>
          <w:numId w:val="0"/>
        </w:numPr>
        <w:tabs>
          <w:tab w:val="left" w:pos="1890"/>
        </w:tabs>
        <w:ind w:right="-1"/>
        <w:rPr>
          <w:iCs/>
        </w:rPr>
      </w:pPr>
    </w:p>
    <w:p w:rsidR="003621D9" w:rsidRPr="00157DCC" w:rsidRDefault="003621D9" w:rsidP="008B4A8F">
      <w:pPr>
        <w:keepNext/>
        <w:numPr>
          <w:ilvl w:val="12"/>
          <w:numId w:val="0"/>
        </w:numPr>
        <w:tabs>
          <w:tab w:val="left" w:pos="1890"/>
        </w:tabs>
        <w:ind w:right="-1"/>
        <w:rPr>
          <w:iCs/>
          <w:sz w:val="16"/>
          <w:szCs w:val="16"/>
        </w:rPr>
      </w:pPr>
    </w:p>
    <w:p w:rsidR="003621D9" w:rsidRDefault="003621D9" w:rsidP="00FF4193">
      <w:pPr>
        <w:pStyle w:val="BodyText"/>
        <w:tabs>
          <w:tab w:val="left" w:pos="1560"/>
        </w:tabs>
        <w:ind w:right="-1"/>
        <w:jc w:val="center"/>
        <w:rPr>
          <w:rFonts w:cs="Arial"/>
          <w:i/>
          <w:sz w:val="16"/>
          <w:szCs w:val="16"/>
        </w:rPr>
      </w:pPr>
      <w:r w:rsidRPr="00157DCC">
        <w:rPr>
          <w:rFonts w:cs="Arial"/>
          <w:i/>
          <w:sz w:val="16"/>
          <w:szCs w:val="16"/>
        </w:rPr>
        <w:t>Unscheduled tumour assessments were moved to the nearest scheduled time</w:t>
      </w:r>
      <w:r w:rsidR="008C549F">
        <w:rPr>
          <w:rFonts w:cs="Arial"/>
          <w:i/>
          <w:sz w:val="16"/>
          <w:szCs w:val="16"/>
        </w:rPr>
        <w:t>-</w:t>
      </w:r>
      <w:r w:rsidRPr="00157DCC">
        <w:rPr>
          <w:rFonts w:cs="Arial"/>
          <w:i/>
          <w:sz w:val="16"/>
          <w:szCs w:val="16"/>
        </w:rPr>
        <w:t>point</w:t>
      </w:r>
    </w:p>
    <w:p w:rsidR="00FF4193" w:rsidRPr="00FF4193" w:rsidRDefault="00FF4193" w:rsidP="00FF4193">
      <w:pPr>
        <w:pStyle w:val="BodyText"/>
        <w:tabs>
          <w:tab w:val="left" w:pos="1560"/>
        </w:tabs>
        <w:ind w:right="-1"/>
        <w:jc w:val="center"/>
        <w:rPr>
          <w:rFonts w:cs="Arial"/>
          <w:i/>
          <w:sz w:val="16"/>
          <w:szCs w:val="16"/>
        </w:rPr>
      </w:pPr>
    </w:p>
    <w:p w:rsidR="003621D9" w:rsidRPr="00151D22" w:rsidRDefault="003621D9" w:rsidP="003621D9">
      <w:pPr>
        <w:keepNext/>
        <w:autoSpaceDE w:val="0"/>
        <w:autoSpaceDN w:val="0"/>
        <w:adjustRightInd w:val="0"/>
        <w:rPr>
          <w:i/>
          <w:color w:val="000000"/>
        </w:rPr>
      </w:pPr>
      <w:r w:rsidRPr="00151D22">
        <w:rPr>
          <w:color w:val="000000"/>
        </w:rPr>
        <w:t xml:space="preserve">Mutant </w:t>
      </w:r>
      <w:r w:rsidRPr="00151D22">
        <w:rPr>
          <w:i/>
          <w:color w:val="000000"/>
        </w:rPr>
        <w:t>KRAS</w:t>
      </w:r>
    </w:p>
    <w:p w:rsidR="003621D9" w:rsidRPr="00915F68" w:rsidRDefault="003621D9" w:rsidP="003621D9">
      <w:pPr>
        <w:keepNext/>
        <w:autoSpaceDE w:val="0"/>
        <w:autoSpaceDN w:val="0"/>
        <w:adjustRightInd w:val="0"/>
        <w:rPr>
          <w:iCs/>
        </w:rPr>
      </w:pPr>
    </w:p>
    <w:p w:rsidR="003621D9" w:rsidRPr="00654044" w:rsidRDefault="002E1E58" w:rsidP="008B4A8F">
      <w:pPr>
        <w:pStyle w:val="BodyText"/>
        <w:tabs>
          <w:tab w:val="clear" w:pos="72"/>
          <w:tab w:val="left" w:pos="426"/>
        </w:tabs>
        <w:ind w:right="-1"/>
        <w:jc w:val="center"/>
        <w:rPr>
          <w:rFonts w:ascii="Times New Roman" w:hAnsi="Times New Roman"/>
          <w:i/>
          <w:iCs/>
          <w:noProof/>
          <w:sz w:val="24"/>
          <w:szCs w:val="20"/>
          <w:lang w:eastAsia="en-AU"/>
        </w:rPr>
      </w:pPr>
      <w:r>
        <w:rPr>
          <w:rFonts w:ascii="Times New Roman" w:hAnsi="Times New Roman"/>
          <w:i/>
          <w:iCs/>
          <w:noProof/>
          <w:sz w:val="24"/>
          <w:szCs w:val="20"/>
          <w:lang w:eastAsia="en-AU"/>
        </w:rPr>
        <w:pict>
          <v:shape id="_x0000_s1027" type="#_x0000_t202" style="position:absolute;left:0;text-align:left;margin-left:219.6pt;margin-top:80.65pt;width:135pt;height:45pt;z-index:251658240" filled="f" stroked="f">
            <v:textbox style="mso-next-textbox:#_x0000_s1027">
              <w:txbxContent>
                <w:p w:rsidR="00F02F45" w:rsidRDefault="00F02F45" w:rsidP="003621D9">
                  <w:pPr>
                    <w:rPr>
                      <w:rFonts w:ascii="Arial" w:hAnsi="Arial" w:cs="Arial"/>
                      <w:sz w:val="16"/>
                      <w:szCs w:val="16"/>
                    </w:rPr>
                  </w:pPr>
                  <w:r w:rsidRPr="00AA3918">
                    <w:rPr>
                      <w:rFonts w:ascii="Arial" w:hAnsi="Arial" w:cs="Arial"/>
                      <w:sz w:val="16"/>
                      <w:szCs w:val="16"/>
                    </w:rPr>
                    <w:t xml:space="preserve">Hazard ratio = </w:t>
                  </w:r>
                  <w:r>
                    <w:rPr>
                      <w:rFonts w:ascii="Arial" w:hAnsi="Arial" w:cs="Arial"/>
                      <w:sz w:val="16"/>
                      <w:szCs w:val="16"/>
                    </w:rPr>
                    <w:t>1.07</w:t>
                  </w:r>
                </w:p>
                <w:p w:rsidR="00F02F45" w:rsidRPr="00AA3918" w:rsidRDefault="00F02F45" w:rsidP="003621D9">
                  <w:r>
                    <w:rPr>
                      <w:rFonts w:ascii="Arial" w:hAnsi="Arial" w:cs="Arial"/>
                      <w:sz w:val="16"/>
                      <w:szCs w:val="16"/>
                    </w:rPr>
                    <w:t>[95% CI: 0.77, 1.48]</w:t>
                  </w:r>
                </w:p>
              </w:txbxContent>
            </v:textbox>
          </v:shape>
        </w:pict>
      </w:r>
      <w:r w:rsidR="00F84B17">
        <w:rPr>
          <w:rFonts w:ascii="Times New Roman" w:hAnsi="Times New Roman"/>
          <w:i/>
          <w:iCs/>
          <w:noProof/>
          <w:sz w:val="24"/>
          <w:szCs w:val="20"/>
          <w:lang w:eastAsia="en-AU"/>
        </w:rPr>
        <w:drawing>
          <wp:inline distT="0" distB="0" distL="0" distR="0">
            <wp:extent cx="5048250" cy="3200400"/>
            <wp:effectExtent l="0" t="0" r="0" b="0"/>
            <wp:docPr id="2" name="Picture 2" descr="PFS_int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S_int_cen"/>
                    <pic:cNvPicPr>
                      <a:picLocks noChangeAspect="1" noChangeArrowheads="1"/>
                    </pic:cNvPicPr>
                  </pic:nvPicPr>
                  <pic:blipFill>
                    <a:blip r:embed="rId9" cstate="print"/>
                    <a:srcRect t="12590" b="5647"/>
                    <a:stretch>
                      <a:fillRect/>
                    </a:stretch>
                  </pic:blipFill>
                  <pic:spPr bwMode="auto">
                    <a:xfrm>
                      <a:off x="0" y="0"/>
                      <a:ext cx="5048250" cy="3200400"/>
                    </a:xfrm>
                    <a:prstGeom prst="rect">
                      <a:avLst/>
                    </a:prstGeom>
                    <a:noFill/>
                    <a:ln w="9525">
                      <a:noFill/>
                      <a:miter lim="800000"/>
                      <a:headEnd/>
                      <a:tailEnd/>
                    </a:ln>
                  </pic:spPr>
                </pic:pic>
              </a:graphicData>
            </a:graphic>
          </wp:inline>
        </w:drawing>
      </w:r>
    </w:p>
    <w:p w:rsidR="003621D9" w:rsidRPr="008C549F" w:rsidRDefault="003621D9" w:rsidP="008B4A8F">
      <w:pPr>
        <w:pStyle w:val="BodyText"/>
        <w:ind w:right="-1"/>
        <w:jc w:val="center"/>
        <w:rPr>
          <w:rFonts w:cs="Arial"/>
          <w:i/>
          <w:sz w:val="16"/>
          <w:szCs w:val="16"/>
        </w:rPr>
      </w:pPr>
      <w:r w:rsidRPr="008C549F">
        <w:rPr>
          <w:rFonts w:cs="Arial"/>
          <w:i/>
          <w:sz w:val="16"/>
          <w:szCs w:val="16"/>
        </w:rPr>
        <w:t>Unscheduled tumour assessments were moved to the nearest scheduled time</w:t>
      </w:r>
      <w:r w:rsidR="007B0C66" w:rsidRPr="008C549F">
        <w:rPr>
          <w:rFonts w:cs="Arial"/>
          <w:i/>
          <w:sz w:val="16"/>
          <w:szCs w:val="16"/>
        </w:rPr>
        <w:t>-</w:t>
      </w:r>
      <w:r w:rsidRPr="008C549F">
        <w:rPr>
          <w:rFonts w:cs="Arial"/>
          <w:i/>
          <w:sz w:val="16"/>
          <w:szCs w:val="16"/>
        </w:rPr>
        <w:t>point</w:t>
      </w:r>
    </w:p>
    <w:p w:rsidR="00E03D83" w:rsidRDefault="00E03D83">
      <w:pPr>
        <w:pStyle w:val="Heading2"/>
        <w:spacing w:after="0" w:line="240" w:lineRule="auto"/>
        <w:rPr>
          <w:rFonts w:ascii="Times New Roman" w:hAnsi="Times New Roman"/>
          <w:i/>
          <w:iCs/>
          <w:sz w:val="24"/>
        </w:rPr>
      </w:pPr>
    </w:p>
    <w:p w:rsidR="00E03D83" w:rsidRPr="00E03D83" w:rsidRDefault="00E03D83" w:rsidP="00E03D83">
      <w:pPr>
        <w:pStyle w:val="Text"/>
      </w:pPr>
    </w:p>
    <w:p w:rsidR="00AA7FFD" w:rsidRDefault="00AA7FFD">
      <w:pPr>
        <w:pStyle w:val="Heading2"/>
        <w:spacing w:after="0" w:line="240" w:lineRule="auto"/>
        <w:rPr>
          <w:rFonts w:ascii="Times New Roman" w:hAnsi="Times New Roman"/>
          <w:i/>
          <w:iCs/>
          <w:sz w:val="24"/>
        </w:rPr>
      </w:pPr>
      <w:r>
        <w:rPr>
          <w:rFonts w:ascii="Times New Roman" w:hAnsi="Times New Roman"/>
          <w:i/>
          <w:iCs/>
          <w:sz w:val="24"/>
        </w:rPr>
        <w:t xml:space="preserve">EGFR Expression and Response </w:t>
      </w:r>
    </w:p>
    <w:p w:rsidR="00DF44DE" w:rsidRDefault="00AA7FFD" w:rsidP="00C851A5">
      <w:pPr>
        <w:pStyle w:val="Heading2"/>
        <w:spacing w:after="0" w:line="240" w:lineRule="auto"/>
        <w:rPr>
          <w:rFonts w:ascii="Times New Roman" w:hAnsi="Times New Roman"/>
          <w:b w:val="0"/>
          <w:sz w:val="24"/>
        </w:rPr>
      </w:pPr>
      <w:r w:rsidRPr="008C549F">
        <w:rPr>
          <w:rFonts w:ascii="Times New Roman" w:hAnsi="Times New Roman"/>
          <w:b w:val="0"/>
          <w:sz w:val="24"/>
        </w:rPr>
        <w:t>Patients enrolled in</w:t>
      </w:r>
      <w:r w:rsidRPr="00C16CDC">
        <w:rPr>
          <w:rFonts w:ascii="Times New Roman" w:hAnsi="Times New Roman"/>
          <w:b w:val="0"/>
          <w:sz w:val="24"/>
        </w:rPr>
        <w:t xml:space="preserve"> </w:t>
      </w:r>
      <w:r w:rsidR="00C41BF1" w:rsidRPr="00C16CDC">
        <w:rPr>
          <w:rFonts w:ascii="Times New Roman" w:hAnsi="Times New Roman"/>
          <w:b w:val="0"/>
          <w:sz w:val="24"/>
        </w:rPr>
        <w:t xml:space="preserve">the </w:t>
      </w:r>
      <w:proofErr w:type="spellStart"/>
      <w:r w:rsidR="00C41BF1" w:rsidRPr="00C16CDC">
        <w:rPr>
          <w:rFonts w:ascii="Times New Roman" w:hAnsi="Times New Roman"/>
          <w:b w:val="0"/>
          <w:sz w:val="24"/>
        </w:rPr>
        <w:t>monotherapy</w:t>
      </w:r>
      <w:proofErr w:type="spellEnd"/>
      <w:r w:rsidR="00C41BF1" w:rsidRPr="00C16CDC">
        <w:rPr>
          <w:rFonts w:ascii="Times New Roman" w:hAnsi="Times New Roman"/>
          <w:b w:val="0"/>
          <w:sz w:val="24"/>
        </w:rPr>
        <w:t xml:space="preserve"> </w:t>
      </w:r>
      <w:proofErr w:type="spellStart"/>
      <w:r w:rsidR="00C41BF1" w:rsidRPr="00C16CDC">
        <w:rPr>
          <w:rFonts w:ascii="Times New Roman" w:hAnsi="Times New Roman"/>
          <w:b w:val="0"/>
          <w:sz w:val="24"/>
        </w:rPr>
        <w:t>mCRC</w:t>
      </w:r>
      <w:proofErr w:type="spellEnd"/>
      <w:r w:rsidR="00C41BF1" w:rsidRPr="00C16CDC">
        <w:rPr>
          <w:rFonts w:ascii="Times New Roman" w:hAnsi="Times New Roman"/>
          <w:b w:val="0"/>
          <w:sz w:val="24"/>
        </w:rPr>
        <w:t xml:space="preserve"> </w:t>
      </w:r>
      <w:r w:rsidRPr="008C549F">
        <w:rPr>
          <w:rFonts w:ascii="Times New Roman" w:hAnsi="Times New Roman"/>
          <w:b w:val="0"/>
          <w:sz w:val="24"/>
        </w:rPr>
        <w:t>clinical studies were required to</w:t>
      </w:r>
      <w:r w:rsidRPr="00C16CDC">
        <w:rPr>
          <w:rFonts w:ascii="Times New Roman" w:hAnsi="Times New Roman"/>
          <w:b w:val="0"/>
          <w:sz w:val="24"/>
        </w:rPr>
        <w:t xml:space="preserve"> </w:t>
      </w:r>
      <w:r w:rsidR="008C549F" w:rsidRPr="00C16CDC">
        <w:rPr>
          <w:rFonts w:ascii="Times New Roman" w:hAnsi="Times New Roman"/>
          <w:b w:val="0"/>
          <w:sz w:val="24"/>
        </w:rPr>
        <w:t>undergo</w:t>
      </w:r>
      <w:r w:rsidR="008C549F">
        <w:rPr>
          <w:rFonts w:ascii="Times New Roman" w:hAnsi="Times New Roman"/>
          <w:b w:val="0"/>
          <w:sz w:val="24"/>
        </w:rPr>
        <w:t xml:space="preserve"> </w:t>
      </w:r>
      <w:proofErr w:type="spellStart"/>
      <w:r w:rsidRPr="008C549F">
        <w:rPr>
          <w:rFonts w:ascii="Times New Roman" w:hAnsi="Times New Roman"/>
          <w:b w:val="0"/>
          <w:sz w:val="24"/>
        </w:rPr>
        <w:t>immunohistochemical</w:t>
      </w:r>
      <w:proofErr w:type="spellEnd"/>
      <w:r w:rsidRPr="008C549F">
        <w:rPr>
          <w:rFonts w:ascii="Times New Roman" w:hAnsi="Times New Roman"/>
          <w:b w:val="0"/>
          <w:sz w:val="24"/>
        </w:rPr>
        <w:t xml:space="preserve"> evaluation of tumour sample EGFR expression using the </w:t>
      </w:r>
      <w:r w:rsidR="005F58DE" w:rsidRPr="008C549F">
        <w:rPr>
          <w:rFonts w:ascii="Times New Roman" w:hAnsi="Times New Roman"/>
          <w:b w:val="0"/>
          <w:sz w:val="24"/>
        </w:rPr>
        <w:t xml:space="preserve">DAKO EGFR </w:t>
      </w:r>
      <w:proofErr w:type="spellStart"/>
      <w:r w:rsidR="005F58DE" w:rsidRPr="008C549F">
        <w:rPr>
          <w:rFonts w:ascii="Times New Roman" w:hAnsi="Times New Roman"/>
          <w:b w:val="0"/>
          <w:sz w:val="24"/>
        </w:rPr>
        <w:t>pharmDx</w:t>
      </w:r>
      <w:proofErr w:type="spellEnd"/>
      <w:r w:rsidR="005F58DE" w:rsidRPr="00461EBF">
        <w:rPr>
          <w:rFonts w:ascii="Times New Roman" w:hAnsi="Times New Roman"/>
          <w:b w:val="0"/>
          <w:sz w:val="24"/>
          <w:vertAlign w:val="superscript"/>
        </w:rPr>
        <w:t>®</w:t>
      </w:r>
      <w:r w:rsidR="005F58DE" w:rsidRPr="008C549F">
        <w:rPr>
          <w:rFonts w:ascii="Times New Roman" w:hAnsi="Times New Roman"/>
          <w:b w:val="0"/>
          <w:sz w:val="24"/>
        </w:rPr>
        <w:t xml:space="preserve"> </w:t>
      </w:r>
      <w:r w:rsidRPr="008C549F">
        <w:rPr>
          <w:rFonts w:ascii="Times New Roman" w:hAnsi="Times New Roman"/>
          <w:b w:val="0"/>
          <w:sz w:val="24"/>
        </w:rPr>
        <w:t>test kit.  Specimens were scored based on the percentage of tumour cells with membrane expressing EGFR, the highest membrane staining intensity (none, weak [1+], moderate [2+], strong [3+]), and complete or incomplete staining pattern.  In</w:t>
      </w:r>
      <w:r w:rsidR="00144ED1" w:rsidRPr="008C549F">
        <w:rPr>
          <w:rFonts w:ascii="Times New Roman" w:hAnsi="Times New Roman"/>
          <w:b w:val="0"/>
          <w:sz w:val="24"/>
        </w:rPr>
        <w:t xml:space="preserve"> the randomis</w:t>
      </w:r>
      <w:r w:rsidRPr="008C549F">
        <w:rPr>
          <w:rFonts w:ascii="Times New Roman" w:hAnsi="Times New Roman"/>
          <w:b w:val="0"/>
          <w:sz w:val="24"/>
        </w:rPr>
        <w:t xml:space="preserve">ed, controlled trial exploratory </w:t>
      </w:r>
      <w:proofErr w:type="spellStart"/>
      <w:r w:rsidRPr="008C549F">
        <w:rPr>
          <w:rFonts w:ascii="Times New Roman" w:hAnsi="Times New Roman"/>
          <w:b w:val="0"/>
          <w:sz w:val="24"/>
        </w:rPr>
        <w:t>univariate</w:t>
      </w:r>
      <w:proofErr w:type="spellEnd"/>
      <w:r w:rsidRPr="008C549F">
        <w:rPr>
          <w:rFonts w:ascii="Times New Roman" w:hAnsi="Times New Roman"/>
          <w:b w:val="0"/>
          <w:sz w:val="24"/>
        </w:rPr>
        <w:t xml:space="preserve"> analyses were conducted to assess the correlation of EGFR expression and efficacy.  Efficacy results did not correlate with either presence, percentage of positive cells or the intensity of EGFR expression as measured by the </w:t>
      </w:r>
      <w:r w:rsidR="005F58DE" w:rsidRPr="008C549F">
        <w:rPr>
          <w:rFonts w:ascii="Times New Roman" w:hAnsi="Times New Roman"/>
          <w:b w:val="0"/>
          <w:sz w:val="24"/>
        </w:rPr>
        <w:t xml:space="preserve">DAKO EGFR </w:t>
      </w:r>
      <w:proofErr w:type="spellStart"/>
      <w:r w:rsidR="005F58DE" w:rsidRPr="008C549F">
        <w:rPr>
          <w:rFonts w:ascii="Times New Roman" w:hAnsi="Times New Roman"/>
          <w:b w:val="0"/>
          <w:sz w:val="24"/>
        </w:rPr>
        <w:t>pharmDx</w:t>
      </w:r>
      <w:proofErr w:type="spellEnd"/>
      <w:r w:rsidR="005F58DE" w:rsidRPr="00461EBF">
        <w:rPr>
          <w:rFonts w:ascii="Times New Roman" w:hAnsi="Times New Roman"/>
          <w:b w:val="0"/>
          <w:sz w:val="24"/>
          <w:vertAlign w:val="superscript"/>
        </w:rPr>
        <w:t>®</w:t>
      </w:r>
      <w:r w:rsidRPr="008C549F">
        <w:rPr>
          <w:rFonts w:ascii="Times New Roman" w:hAnsi="Times New Roman"/>
          <w:b w:val="0"/>
          <w:sz w:val="24"/>
        </w:rPr>
        <w:t xml:space="preserve"> test kit.  The utility of the test kit to guide clinical decision-making is unclear.</w:t>
      </w:r>
    </w:p>
    <w:p w:rsidR="007D5565" w:rsidRPr="00000BBF" w:rsidRDefault="007D5565" w:rsidP="00A56113">
      <w:pPr>
        <w:pStyle w:val="Text"/>
        <w:spacing w:after="0" w:line="240" w:lineRule="auto"/>
        <w:rPr>
          <w:rFonts w:ascii="Times New Roman" w:hAnsi="Times New Roman"/>
          <w:sz w:val="24"/>
        </w:rPr>
      </w:pPr>
    </w:p>
    <w:p w:rsidR="00070221" w:rsidRPr="003F5B63" w:rsidRDefault="00E055F1" w:rsidP="003F5B63">
      <w:pPr>
        <w:pStyle w:val="Heading2"/>
        <w:spacing w:after="0" w:line="240" w:lineRule="auto"/>
        <w:rPr>
          <w:rFonts w:ascii="Times New Roman" w:hAnsi="Times New Roman"/>
          <w:sz w:val="24"/>
        </w:rPr>
      </w:pPr>
      <w:proofErr w:type="spellStart"/>
      <w:r w:rsidRPr="00C16CDC">
        <w:rPr>
          <w:rFonts w:ascii="Times New Roman" w:hAnsi="Times New Roman"/>
          <w:sz w:val="24"/>
        </w:rPr>
        <w:t>Vectibix</w:t>
      </w:r>
      <w:proofErr w:type="spellEnd"/>
      <w:r w:rsidRPr="00C16CDC">
        <w:rPr>
          <w:rFonts w:ascii="Times New Roman" w:hAnsi="Times New Roman"/>
          <w:sz w:val="24"/>
        </w:rPr>
        <w:t xml:space="preserve"> in </w:t>
      </w:r>
      <w:r w:rsidR="00C851A5" w:rsidRPr="00C16CDC">
        <w:rPr>
          <w:rFonts w:ascii="Times New Roman" w:hAnsi="Times New Roman"/>
          <w:sz w:val="24"/>
        </w:rPr>
        <w:t>Combination with C</w:t>
      </w:r>
      <w:r w:rsidR="000F52BB" w:rsidRPr="00C16CDC">
        <w:rPr>
          <w:rFonts w:ascii="Times New Roman" w:hAnsi="Times New Roman"/>
          <w:sz w:val="24"/>
        </w:rPr>
        <w:t>hemotherapy</w:t>
      </w:r>
      <w:r w:rsidR="00B33855" w:rsidRPr="00C16CDC">
        <w:rPr>
          <w:rFonts w:ascii="Times New Roman" w:hAnsi="Times New Roman"/>
          <w:sz w:val="24"/>
        </w:rPr>
        <w:t>*</w:t>
      </w:r>
    </w:p>
    <w:p w:rsidR="00F11485" w:rsidRPr="007B50C2" w:rsidRDefault="00F11485" w:rsidP="00D113A1">
      <w:pPr>
        <w:pStyle w:val="Heading2"/>
        <w:spacing w:after="0" w:line="240" w:lineRule="auto"/>
        <w:rPr>
          <w:rFonts w:ascii="Times New Roman" w:hAnsi="Times New Roman"/>
          <w:i/>
          <w:iCs/>
          <w:color w:val="000000"/>
          <w:sz w:val="24"/>
        </w:rPr>
      </w:pPr>
      <w:r w:rsidRPr="007B50C2">
        <w:rPr>
          <w:rFonts w:ascii="Times New Roman" w:hAnsi="Times New Roman"/>
          <w:i/>
          <w:iCs/>
          <w:color w:val="000000"/>
          <w:sz w:val="24"/>
        </w:rPr>
        <w:t>First-line combination with FOLFOX</w:t>
      </w:r>
    </w:p>
    <w:p w:rsidR="000674A4" w:rsidRDefault="00F11485">
      <w:pPr>
        <w:pStyle w:val="Date"/>
        <w:rPr>
          <w:sz w:val="24"/>
          <w:lang w:val="en-AU" w:eastAsia="ja-JP"/>
        </w:rPr>
      </w:pPr>
      <w:r w:rsidRPr="007B50C2">
        <w:rPr>
          <w:rFonts w:cs="Arial"/>
          <w:sz w:val="24"/>
          <w:szCs w:val="24"/>
        </w:rPr>
        <w:t xml:space="preserve">The efficacy of </w:t>
      </w:r>
      <w:proofErr w:type="spellStart"/>
      <w:r w:rsidRPr="007B50C2">
        <w:rPr>
          <w:rFonts w:cs="Arial"/>
          <w:sz w:val="24"/>
          <w:szCs w:val="24"/>
        </w:rPr>
        <w:t>Vectibix</w:t>
      </w:r>
      <w:proofErr w:type="spellEnd"/>
      <w:r w:rsidRPr="007B50C2">
        <w:rPr>
          <w:rFonts w:cs="Arial"/>
          <w:sz w:val="24"/>
          <w:szCs w:val="24"/>
        </w:rPr>
        <w:t xml:space="preserve"> in combination with </w:t>
      </w:r>
      <w:proofErr w:type="spellStart"/>
      <w:r w:rsidRPr="007B50C2">
        <w:rPr>
          <w:rFonts w:cs="Arial"/>
          <w:sz w:val="24"/>
          <w:szCs w:val="24"/>
        </w:rPr>
        <w:t>oxaliplatin</w:t>
      </w:r>
      <w:proofErr w:type="spellEnd"/>
      <w:r w:rsidRPr="007B50C2">
        <w:rPr>
          <w:rFonts w:cs="Arial"/>
          <w:sz w:val="24"/>
          <w:szCs w:val="24"/>
        </w:rPr>
        <w:t xml:space="preserve">, 5-fluorouracil (5-FU), and </w:t>
      </w:r>
      <w:proofErr w:type="spellStart"/>
      <w:r w:rsidRPr="007B50C2">
        <w:rPr>
          <w:rFonts w:cs="Arial"/>
          <w:sz w:val="24"/>
          <w:szCs w:val="24"/>
        </w:rPr>
        <w:t>leucovorin</w:t>
      </w:r>
      <w:proofErr w:type="spellEnd"/>
      <w:r w:rsidRPr="007B50C2">
        <w:rPr>
          <w:rFonts w:cs="Arial"/>
          <w:sz w:val="24"/>
          <w:szCs w:val="24"/>
        </w:rPr>
        <w:t xml:space="preserve"> (FOLFOX) was evaluated in a randomised, controlled trial of 1183 patients with </w:t>
      </w:r>
      <w:proofErr w:type="spellStart"/>
      <w:r w:rsidRPr="007B50C2">
        <w:rPr>
          <w:rFonts w:cs="Arial"/>
          <w:sz w:val="24"/>
          <w:szCs w:val="24"/>
        </w:rPr>
        <w:t>mCRC</w:t>
      </w:r>
      <w:proofErr w:type="spellEnd"/>
      <w:r w:rsidR="00317318" w:rsidRPr="007B50C2">
        <w:rPr>
          <w:rFonts w:cs="Arial"/>
          <w:sz w:val="24"/>
          <w:szCs w:val="24"/>
        </w:rPr>
        <w:t xml:space="preserve"> </w:t>
      </w:r>
      <w:r w:rsidR="00B27253" w:rsidRPr="00C16CDC">
        <w:rPr>
          <w:sz w:val="24"/>
          <w:lang w:val="en-AU" w:eastAsia="ja-JP"/>
        </w:rPr>
        <w:t>with the primary endpoint of PFS.  Other key</w:t>
      </w:r>
      <w:r w:rsidR="00B27253" w:rsidRPr="00C16CDC">
        <w:rPr>
          <w:i/>
          <w:iCs/>
          <w:noProof/>
          <w:sz w:val="24"/>
          <w:lang w:val="en-AU" w:eastAsia="en-AU"/>
        </w:rPr>
        <w:t xml:space="preserve"> </w:t>
      </w:r>
      <w:r w:rsidR="00B27253" w:rsidRPr="00C16CDC">
        <w:rPr>
          <w:sz w:val="24"/>
          <w:lang w:val="en-AU" w:eastAsia="ja-JP"/>
        </w:rPr>
        <w:t xml:space="preserve">endpoints included </w:t>
      </w:r>
      <w:r w:rsidR="00DA6E7A" w:rsidRPr="00C16CDC">
        <w:rPr>
          <w:sz w:val="24"/>
          <w:lang w:val="en-AU" w:eastAsia="ja-JP"/>
        </w:rPr>
        <w:t>overall survival (</w:t>
      </w:r>
      <w:r w:rsidR="00B27253" w:rsidRPr="00C16CDC">
        <w:rPr>
          <w:sz w:val="24"/>
          <w:lang w:val="en-AU" w:eastAsia="ja-JP"/>
        </w:rPr>
        <w:t>OS</w:t>
      </w:r>
      <w:r w:rsidR="00DA6E7A" w:rsidRPr="00C16CDC">
        <w:rPr>
          <w:sz w:val="24"/>
          <w:lang w:val="en-AU" w:eastAsia="ja-JP"/>
        </w:rPr>
        <w:t>)</w:t>
      </w:r>
      <w:r w:rsidR="00B27253" w:rsidRPr="00C16CDC">
        <w:rPr>
          <w:sz w:val="24"/>
          <w:lang w:val="en-AU" w:eastAsia="ja-JP"/>
        </w:rPr>
        <w:t>, objective response rate (ORR),</w:t>
      </w:r>
      <w:r w:rsidR="00A42E88" w:rsidRPr="00C16CDC">
        <w:rPr>
          <w:sz w:val="24"/>
          <w:lang w:val="en-AU" w:eastAsia="ja-JP"/>
        </w:rPr>
        <w:t xml:space="preserve"> </w:t>
      </w:r>
      <w:r w:rsidR="00B27253" w:rsidRPr="00C16CDC">
        <w:rPr>
          <w:sz w:val="24"/>
          <w:lang w:val="en-AU" w:eastAsia="ja-JP"/>
        </w:rPr>
        <w:t>time to progression (TTP), and duration of response.</w:t>
      </w:r>
    </w:p>
    <w:p w:rsidR="007C028F" w:rsidRDefault="007C028F" w:rsidP="007C028F">
      <w:pPr>
        <w:pStyle w:val="BodyText"/>
        <w:spacing w:after="0"/>
        <w:rPr>
          <w:rFonts w:ascii="Times New Roman" w:hAnsi="Times New Roman"/>
          <w:color w:val="000000"/>
          <w:sz w:val="24"/>
          <w:szCs w:val="24"/>
          <w:u w:val="single"/>
        </w:rPr>
      </w:pPr>
    </w:p>
    <w:p w:rsidR="007C028F" w:rsidRPr="00E5563A" w:rsidRDefault="007C028F" w:rsidP="007C028F">
      <w:pPr>
        <w:rPr>
          <w:sz w:val="24"/>
          <w:szCs w:val="24"/>
        </w:rPr>
      </w:pPr>
      <w:r w:rsidRPr="00E5563A">
        <w:rPr>
          <w:iCs/>
          <w:sz w:val="24"/>
          <w:szCs w:val="24"/>
        </w:rPr>
        <w:t xml:space="preserve">In patients with wild-type </w:t>
      </w:r>
      <w:r w:rsidRPr="00E5563A">
        <w:rPr>
          <w:i/>
          <w:iCs/>
          <w:sz w:val="24"/>
          <w:szCs w:val="24"/>
        </w:rPr>
        <w:t>KRAS</w:t>
      </w:r>
      <w:r w:rsidRPr="00E5563A">
        <w:rPr>
          <w:iCs/>
          <w:sz w:val="24"/>
          <w:szCs w:val="24"/>
        </w:rPr>
        <w:t xml:space="preserve"> </w:t>
      </w:r>
      <w:proofErr w:type="spellStart"/>
      <w:r w:rsidRPr="00E5563A">
        <w:rPr>
          <w:iCs/>
          <w:sz w:val="24"/>
          <w:szCs w:val="24"/>
        </w:rPr>
        <w:t>mCRC</w:t>
      </w:r>
      <w:proofErr w:type="spellEnd"/>
      <w:r w:rsidRPr="00E5563A">
        <w:rPr>
          <w:iCs/>
          <w:sz w:val="24"/>
          <w:szCs w:val="24"/>
        </w:rPr>
        <w:t xml:space="preserve"> (n = 656) t</w:t>
      </w:r>
      <w:r w:rsidRPr="00E5563A">
        <w:rPr>
          <w:sz w:val="24"/>
          <w:szCs w:val="24"/>
        </w:rPr>
        <w:t xml:space="preserve">he estimated median PFS was </w:t>
      </w:r>
      <w:r w:rsidR="003434B8" w:rsidRPr="00E5563A">
        <w:rPr>
          <w:sz w:val="24"/>
          <w:szCs w:val="24"/>
        </w:rPr>
        <w:t>9.6</w:t>
      </w:r>
      <w:r w:rsidRPr="00E5563A">
        <w:rPr>
          <w:sz w:val="24"/>
          <w:szCs w:val="24"/>
        </w:rPr>
        <w:t xml:space="preserve"> months (95% CI: 9.</w:t>
      </w:r>
      <w:r w:rsidR="003434B8" w:rsidRPr="00E5563A">
        <w:rPr>
          <w:sz w:val="24"/>
          <w:szCs w:val="24"/>
        </w:rPr>
        <w:t>2, 11.1</w:t>
      </w:r>
      <w:r w:rsidRPr="00E5563A">
        <w:rPr>
          <w:sz w:val="24"/>
          <w:szCs w:val="24"/>
        </w:rPr>
        <w:t xml:space="preserve">) in the </w:t>
      </w:r>
      <w:proofErr w:type="spellStart"/>
      <w:r w:rsidRPr="00E5563A">
        <w:rPr>
          <w:sz w:val="24"/>
          <w:szCs w:val="24"/>
        </w:rPr>
        <w:t>panitumumab</w:t>
      </w:r>
      <w:proofErr w:type="spellEnd"/>
      <w:r w:rsidRPr="00E5563A">
        <w:rPr>
          <w:sz w:val="24"/>
          <w:szCs w:val="24"/>
        </w:rPr>
        <w:t xml:space="preserve"> plus FOLFOX arm and 8.</w:t>
      </w:r>
      <w:r w:rsidR="003434B8" w:rsidRPr="00E5563A">
        <w:rPr>
          <w:sz w:val="24"/>
          <w:szCs w:val="24"/>
        </w:rPr>
        <w:t>0</w:t>
      </w:r>
      <w:r w:rsidRPr="00E5563A">
        <w:rPr>
          <w:sz w:val="24"/>
          <w:szCs w:val="24"/>
        </w:rPr>
        <w:t xml:space="preserve"> months (95% CI: 7.5, 9.</w:t>
      </w:r>
      <w:r w:rsidR="003434B8" w:rsidRPr="00E5563A">
        <w:rPr>
          <w:sz w:val="24"/>
          <w:szCs w:val="24"/>
        </w:rPr>
        <w:t>3</w:t>
      </w:r>
      <w:r w:rsidRPr="00E5563A">
        <w:rPr>
          <w:sz w:val="24"/>
          <w:szCs w:val="24"/>
        </w:rPr>
        <w:t>) in the FOLFOX alone arm, an absolute difference of 1.</w:t>
      </w:r>
      <w:r w:rsidR="003434B8" w:rsidRPr="00E5563A">
        <w:rPr>
          <w:sz w:val="24"/>
          <w:szCs w:val="24"/>
        </w:rPr>
        <w:t>6</w:t>
      </w:r>
      <w:r w:rsidRPr="00E5563A">
        <w:rPr>
          <w:sz w:val="24"/>
          <w:szCs w:val="24"/>
        </w:rPr>
        <w:t xml:space="preserve"> months.  PFS was significantly improved in the </w:t>
      </w:r>
      <w:proofErr w:type="spellStart"/>
      <w:r w:rsidRPr="00E5563A">
        <w:rPr>
          <w:sz w:val="24"/>
          <w:szCs w:val="24"/>
        </w:rPr>
        <w:t>panitumumab</w:t>
      </w:r>
      <w:proofErr w:type="spellEnd"/>
      <w:r w:rsidRPr="00E5563A">
        <w:rPr>
          <w:sz w:val="24"/>
          <w:szCs w:val="24"/>
        </w:rPr>
        <w:t xml:space="preserve"> plus FOLFOX arm compared to the FOLFOX alone arm (p-value = 0.0</w:t>
      </w:r>
      <w:r w:rsidR="003434B8" w:rsidRPr="00E5563A">
        <w:rPr>
          <w:sz w:val="24"/>
          <w:szCs w:val="24"/>
        </w:rPr>
        <w:t>23</w:t>
      </w:r>
      <w:r w:rsidRPr="00E5563A">
        <w:rPr>
          <w:sz w:val="24"/>
          <w:szCs w:val="24"/>
        </w:rPr>
        <w:t>).  The estimated hazard ratio was 0.79</w:t>
      </w:r>
      <w:r w:rsidR="003434B8" w:rsidRPr="00E5563A">
        <w:rPr>
          <w:sz w:val="24"/>
          <w:szCs w:val="24"/>
        </w:rPr>
        <w:t>8</w:t>
      </w:r>
      <w:r w:rsidRPr="00E5563A">
        <w:rPr>
          <w:sz w:val="24"/>
          <w:szCs w:val="24"/>
        </w:rPr>
        <w:t xml:space="preserve"> (95% CI: 0.6</w:t>
      </w:r>
      <w:r w:rsidR="003434B8" w:rsidRPr="00E5563A">
        <w:rPr>
          <w:sz w:val="24"/>
          <w:szCs w:val="24"/>
        </w:rPr>
        <w:t>56</w:t>
      </w:r>
      <w:r w:rsidRPr="00E5563A">
        <w:rPr>
          <w:sz w:val="24"/>
          <w:szCs w:val="24"/>
        </w:rPr>
        <w:t>, 0.9</w:t>
      </w:r>
      <w:r w:rsidR="003434B8" w:rsidRPr="00E5563A">
        <w:rPr>
          <w:sz w:val="24"/>
          <w:szCs w:val="24"/>
        </w:rPr>
        <w:t>71</w:t>
      </w:r>
      <w:r w:rsidRPr="00E5563A">
        <w:rPr>
          <w:sz w:val="24"/>
          <w:szCs w:val="24"/>
        </w:rPr>
        <w:t xml:space="preserve">) </w:t>
      </w:r>
      <w:proofErr w:type="spellStart"/>
      <w:r w:rsidRPr="00E5563A">
        <w:rPr>
          <w:sz w:val="24"/>
          <w:szCs w:val="24"/>
        </w:rPr>
        <w:t>favouring</w:t>
      </w:r>
      <w:proofErr w:type="spellEnd"/>
      <w:r w:rsidRPr="00E5563A">
        <w:rPr>
          <w:sz w:val="24"/>
          <w:szCs w:val="24"/>
        </w:rPr>
        <w:t xml:space="preserve"> the </w:t>
      </w:r>
      <w:proofErr w:type="spellStart"/>
      <w:r w:rsidRPr="00E5563A">
        <w:rPr>
          <w:sz w:val="24"/>
          <w:szCs w:val="24"/>
        </w:rPr>
        <w:t>panitumumab</w:t>
      </w:r>
      <w:proofErr w:type="spellEnd"/>
      <w:r w:rsidRPr="00E5563A">
        <w:rPr>
          <w:sz w:val="24"/>
          <w:szCs w:val="24"/>
        </w:rPr>
        <w:t xml:space="preserve"> plus FOLFOX arm.  </w:t>
      </w:r>
      <w:r w:rsidR="00AC1B21" w:rsidRPr="00E5563A">
        <w:rPr>
          <w:sz w:val="24"/>
          <w:szCs w:val="24"/>
        </w:rPr>
        <w:t>T</w:t>
      </w:r>
      <w:r w:rsidRPr="00E5563A">
        <w:rPr>
          <w:sz w:val="24"/>
          <w:szCs w:val="24"/>
        </w:rPr>
        <w:t xml:space="preserve">he estimated PFS rate (95% CI) at twelve (12) months was 45% (39%, 51%) in the </w:t>
      </w:r>
      <w:proofErr w:type="spellStart"/>
      <w:r w:rsidRPr="00E5563A">
        <w:rPr>
          <w:sz w:val="24"/>
          <w:szCs w:val="24"/>
        </w:rPr>
        <w:t>panitumumab</w:t>
      </w:r>
      <w:proofErr w:type="spellEnd"/>
      <w:r w:rsidRPr="00E5563A">
        <w:rPr>
          <w:sz w:val="24"/>
          <w:szCs w:val="24"/>
        </w:rPr>
        <w:t xml:space="preserve"> plus FOLFOX arm and 33% (28%, 39%) in the FOLFOX alone arm.</w:t>
      </w:r>
    </w:p>
    <w:p w:rsidR="007C028F" w:rsidRPr="007C028F" w:rsidRDefault="007C028F" w:rsidP="007C028F">
      <w:pPr>
        <w:pStyle w:val="Date"/>
        <w:rPr>
          <w:sz w:val="24"/>
          <w:szCs w:val="24"/>
        </w:rPr>
      </w:pPr>
    </w:p>
    <w:p w:rsidR="007C028F" w:rsidRPr="00E5563A" w:rsidRDefault="007C028F" w:rsidP="007C028F">
      <w:pPr>
        <w:rPr>
          <w:sz w:val="24"/>
          <w:szCs w:val="24"/>
        </w:rPr>
      </w:pPr>
      <w:r w:rsidRPr="00E5563A">
        <w:rPr>
          <w:sz w:val="24"/>
          <w:szCs w:val="24"/>
        </w:rPr>
        <w:t>The estimated median OS was 23.9 months (95% CI: 20.3, 2</w:t>
      </w:r>
      <w:r w:rsidR="003434B8" w:rsidRPr="00E5563A">
        <w:rPr>
          <w:sz w:val="24"/>
          <w:szCs w:val="24"/>
        </w:rPr>
        <w:t>8.3</w:t>
      </w:r>
      <w:r w:rsidRPr="00E5563A">
        <w:rPr>
          <w:sz w:val="24"/>
          <w:szCs w:val="24"/>
        </w:rPr>
        <w:t xml:space="preserve">) in the </w:t>
      </w:r>
      <w:proofErr w:type="spellStart"/>
      <w:r w:rsidRPr="00E5563A">
        <w:rPr>
          <w:sz w:val="24"/>
          <w:szCs w:val="24"/>
        </w:rPr>
        <w:t>panitumumab</w:t>
      </w:r>
      <w:proofErr w:type="spellEnd"/>
      <w:r w:rsidRPr="00E5563A">
        <w:rPr>
          <w:sz w:val="24"/>
          <w:szCs w:val="24"/>
        </w:rPr>
        <w:t xml:space="preserve"> plus FOLFOX arm and 19.7 months (95% CI: 17.6, 22.</w:t>
      </w:r>
      <w:r w:rsidR="003434B8" w:rsidRPr="00E5563A">
        <w:rPr>
          <w:sz w:val="24"/>
          <w:szCs w:val="24"/>
        </w:rPr>
        <w:t>6</w:t>
      </w:r>
      <w:r w:rsidRPr="00E5563A">
        <w:rPr>
          <w:sz w:val="24"/>
          <w:szCs w:val="24"/>
        </w:rPr>
        <w:t>) in the FOLFOX alone arm, an absolute difference of 4.2 months.  The difference did not achieve statistical significance (p = 0.</w:t>
      </w:r>
      <w:r w:rsidR="00E625A4" w:rsidRPr="00E5563A">
        <w:rPr>
          <w:sz w:val="24"/>
          <w:szCs w:val="24"/>
        </w:rPr>
        <w:t>0723</w:t>
      </w:r>
      <w:r w:rsidRPr="00E5563A">
        <w:rPr>
          <w:sz w:val="24"/>
          <w:szCs w:val="24"/>
        </w:rPr>
        <w:t>).  The hazard ratio was 0.8</w:t>
      </w:r>
      <w:r w:rsidR="00E625A4" w:rsidRPr="00E5563A">
        <w:rPr>
          <w:sz w:val="24"/>
          <w:szCs w:val="24"/>
        </w:rPr>
        <w:t>25</w:t>
      </w:r>
      <w:r w:rsidRPr="00E5563A">
        <w:rPr>
          <w:sz w:val="24"/>
          <w:szCs w:val="24"/>
        </w:rPr>
        <w:t xml:space="preserve"> (95% CI: 0.</w:t>
      </w:r>
      <w:r w:rsidR="00E625A4" w:rsidRPr="00E5563A">
        <w:rPr>
          <w:sz w:val="24"/>
          <w:szCs w:val="24"/>
        </w:rPr>
        <w:t>669</w:t>
      </w:r>
      <w:r w:rsidRPr="00E5563A">
        <w:rPr>
          <w:sz w:val="24"/>
          <w:szCs w:val="24"/>
        </w:rPr>
        <w:t>, 1.0</w:t>
      </w:r>
      <w:r w:rsidR="00E625A4" w:rsidRPr="00E5563A">
        <w:rPr>
          <w:sz w:val="24"/>
          <w:szCs w:val="24"/>
        </w:rPr>
        <w:t>18</w:t>
      </w:r>
      <w:r w:rsidRPr="00E5563A">
        <w:rPr>
          <w:sz w:val="24"/>
          <w:szCs w:val="24"/>
        </w:rPr>
        <w:t xml:space="preserve">), </w:t>
      </w:r>
      <w:proofErr w:type="spellStart"/>
      <w:r w:rsidRPr="00E5563A">
        <w:rPr>
          <w:sz w:val="24"/>
          <w:szCs w:val="24"/>
        </w:rPr>
        <w:t>favouring</w:t>
      </w:r>
      <w:proofErr w:type="spellEnd"/>
      <w:r w:rsidRPr="00E5563A">
        <w:rPr>
          <w:sz w:val="24"/>
          <w:szCs w:val="24"/>
        </w:rPr>
        <w:t xml:space="preserve"> the </w:t>
      </w:r>
      <w:proofErr w:type="spellStart"/>
      <w:r w:rsidRPr="00E5563A">
        <w:rPr>
          <w:sz w:val="24"/>
          <w:szCs w:val="24"/>
        </w:rPr>
        <w:t>panitumumab</w:t>
      </w:r>
      <w:proofErr w:type="spellEnd"/>
      <w:r w:rsidRPr="00E5563A">
        <w:rPr>
          <w:sz w:val="24"/>
          <w:szCs w:val="24"/>
        </w:rPr>
        <w:t xml:space="preserve"> plus FOLFOX arm.  </w:t>
      </w:r>
      <w:r w:rsidR="00E7115E" w:rsidRPr="00E5563A">
        <w:rPr>
          <w:sz w:val="24"/>
          <w:szCs w:val="24"/>
        </w:rPr>
        <w:t>T</w:t>
      </w:r>
      <w:r w:rsidRPr="00E5563A">
        <w:rPr>
          <w:sz w:val="24"/>
          <w:szCs w:val="24"/>
        </w:rPr>
        <w:t xml:space="preserve">he estimated OS rate (95% CI) at twenty-four (24) months was 49% (43%, 55%) in the </w:t>
      </w:r>
      <w:proofErr w:type="spellStart"/>
      <w:r w:rsidRPr="00E5563A">
        <w:rPr>
          <w:sz w:val="24"/>
          <w:szCs w:val="24"/>
        </w:rPr>
        <w:t>panitumumab</w:t>
      </w:r>
      <w:proofErr w:type="spellEnd"/>
      <w:r w:rsidRPr="00E5563A">
        <w:rPr>
          <w:sz w:val="24"/>
          <w:szCs w:val="24"/>
        </w:rPr>
        <w:t xml:space="preserve"> plus FOLFOX arm and 40% (35%, 46%) in the FOLFOX alone arm.</w:t>
      </w:r>
    </w:p>
    <w:p w:rsidR="007C028F" w:rsidRDefault="007C028F" w:rsidP="007C028F">
      <w:pPr>
        <w:pStyle w:val="BodyText"/>
        <w:spacing w:after="0"/>
        <w:rPr>
          <w:rFonts w:ascii="Times New Roman" w:hAnsi="Times New Roman"/>
          <w:color w:val="000000"/>
          <w:sz w:val="24"/>
          <w:szCs w:val="24"/>
          <w:u w:val="single"/>
        </w:rPr>
      </w:pPr>
    </w:p>
    <w:p w:rsidR="004D5E15" w:rsidRPr="00E5563A" w:rsidRDefault="00B072E5" w:rsidP="004D5E15">
      <w:pPr>
        <w:pStyle w:val="BodyText"/>
        <w:tabs>
          <w:tab w:val="clear" w:pos="72"/>
          <w:tab w:val="clear" w:pos="9540"/>
        </w:tabs>
        <w:adjustRightInd/>
        <w:spacing w:after="0"/>
        <w:textAlignment w:val="auto"/>
        <w:rPr>
          <w:rFonts w:ascii="Times New Roman" w:hAnsi="Times New Roman"/>
          <w:sz w:val="24"/>
          <w:szCs w:val="20"/>
        </w:rPr>
      </w:pPr>
      <w:r w:rsidRPr="00E5563A">
        <w:rPr>
          <w:rFonts w:ascii="Times New Roman" w:hAnsi="Times New Roman"/>
          <w:sz w:val="24"/>
          <w:szCs w:val="20"/>
        </w:rPr>
        <w:t>S</w:t>
      </w:r>
      <w:r w:rsidR="004D5E15" w:rsidRPr="00E5563A">
        <w:rPr>
          <w:rFonts w:ascii="Times New Roman" w:hAnsi="Times New Roman"/>
          <w:sz w:val="24"/>
          <w:szCs w:val="20"/>
        </w:rPr>
        <w:t>ubsequent chemotherapy (</w:t>
      </w:r>
      <w:proofErr w:type="spellStart"/>
      <w:r w:rsidR="004D5E15" w:rsidRPr="00E5563A">
        <w:rPr>
          <w:rFonts w:ascii="Times New Roman" w:hAnsi="Times New Roman"/>
          <w:sz w:val="24"/>
          <w:szCs w:val="20"/>
        </w:rPr>
        <w:t>irinotecan</w:t>
      </w:r>
      <w:proofErr w:type="spellEnd"/>
      <w:r w:rsidR="004D5E15" w:rsidRPr="00E5563A">
        <w:rPr>
          <w:rFonts w:ascii="Times New Roman" w:hAnsi="Times New Roman"/>
          <w:sz w:val="24"/>
          <w:szCs w:val="20"/>
        </w:rPr>
        <w:t xml:space="preserve">, </w:t>
      </w:r>
      <w:proofErr w:type="spellStart"/>
      <w:r w:rsidR="004D5E15" w:rsidRPr="00E5563A">
        <w:rPr>
          <w:rFonts w:ascii="Times New Roman" w:hAnsi="Times New Roman"/>
          <w:sz w:val="24"/>
          <w:szCs w:val="20"/>
        </w:rPr>
        <w:t>oxaliplatin</w:t>
      </w:r>
      <w:proofErr w:type="spellEnd"/>
      <w:r w:rsidR="004D5E15" w:rsidRPr="00E5563A">
        <w:rPr>
          <w:rFonts w:ascii="Times New Roman" w:hAnsi="Times New Roman"/>
          <w:sz w:val="24"/>
          <w:szCs w:val="20"/>
        </w:rPr>
        <w:t xml:space="preserve">, or </w:t>
      </w:r>
      <w:proofErr w:type="spellStart"/>
      <w:r w:rsidR="004D5E15" w:rsidRPr="00E5563A">
        <w:rPr>
          <w:rFonts w:ascii="Times New Roman" w:hAnsi="Times New Roman"/>
          <w:sz w:val="24"/>
          <w:szCs w:val="20"/>
        </w:rPr>
        <w:t>fluoropyrimidine</w:t>
      </w:r>
      <w:proofErr w:type="spellEnd"/>
      <w:r w:rsidR="004D5E15" w:rsidRPr="00E5563A">
        <w:rPr>
          <w:rFonts w:ascii="Times New Roman" w:hAnsi="Times New Roman"/>
          <w:sz w:val="24"/>
          <w:szCs w:val="20"/>
        </w:rPr>
        <w:t xml:space="preserve">) was given to 173 (53%) patients in the </w:t>
      </w:r>
      <w:proofErr w:type="spellStart"/>
      <w:r w:rsidR="004D5E15" w:rsidRPr="00E5563A">
        <w:rPr>
          <w:rFonts w:ascii="Times New Roman" w:hAnsi="Times New Roman"/>
          <w:sz w:val="24"/>
          <w:szCs w:val="20"/>
        </w:rPr>
        <w:t>panitumumab</w:t>
      </w:r>
      <w:proofErr w:type="spellEnd"/>
      <w:r w:rsidR="004D5E15" w:rsidRPr="00E5563A">
        <w:rPr>
          <w:rFonts w:ascii="Times New Roman" w:hAnsi="Times New Roman"/>
          <w:sz w:val="24"/>
          <w:szCs w:val="20"/>
        </w:rPr>
        <w:t xml:space="preserve"> plus FOLFOX arm and 205 (62%) patients in the FOLFOX alone arm.  Subsequent anti-EGFR therapy was received by 26 (8%) patients in the </w:t>
      </w:r>
      <w:proofErr w:type="spellStart"/>
      <w:r w:rsidR="004D5E15" w:rsidRPr="00E5563A">
        <w:rPr>
          <w:rFonts w:ascii="Times New Roman" w:hAnsi="Times New Roman"/>
          <w:sz w:val="24"/>
          <w:szCs w:val="20"/>
        </w:rPr>
        <w:t>panitumumab</w:t>
      </w:r>
      <w:proofErr w:type="spellEnd"/>
      <w:r w:rsidR="004D5E15" w:rsidRPr="00E5563A">
        <w:rPr>
          <w:rFonts w:ascii="Times New Roman" w:hAnsi="Times New Roman"/>
          <w:sz w:val="24"/>
          <w:szCs w:val="20"/>
        </w:rPr>
        <w:t xml:space="preserve"> plus FOLFOX arm and 59 (18%) patients in the FOLFOX alone arm.  The median time to subsequent chemotherapy was 10.5 months in the </w:t>
      </w:r>
      <w:proofErr w:type="spellStart"/>
      <w:r w:rsidR="004D5E15" w:rsidRPr="00E5563A">
        <w:rPr>
          <w:rFonts w:ascii="Times New Roman" w:hAnsi="Times New Roman"/>
          <w:sz w:val="24"/>
          <w:szCs w:val="20"/>
        </w:rPr>
        <w:t>panitumumab</w:t>
      </w:r>
      <w:proofErr w:type="spellEnd"/>
      <w:r w:rsidR="004D5E15" w:rsidRPr="00E5563A">
        <w:rPr>
          <w:rFonts w:ascii="Times New Roman" w:hAnsi="Times New Roman"/>
          <w:sz w:val="24"/>
          <w:szCs w:val="20"/>
        </w:rPr>
        <w:t xml:space="preserve"> plus FOLFOX arm and 9.7 months in the FOLFOX alone arm. The median time to anti-EGFR </w:t>
      </w:r>
      <w:r w:rsidR="004D5E15" w:rsidRPr="00E5563A">
        <w:rPr>
          <w:rFonts w:ascii="Times New Roman" w:hAnsi="Times New Roman"/>
          <w:sz w:val="24"/>
          <w:szCs w:val="20"/>
        </w:rPr>
        <w:lastRenderedPageBreak/>
        <w:t>therapy was 17.9 months (</w:t>
      </w:r>
      <w:proofErr w:type="spellStart"/>
      <w:r w:rsidR="004D5E15" w:rsidRPr="00E5563A">
        <w:rPr>
          <w:rFonts w:ascii="Times New Roman" w:hAnsi="Times New Roman"/>
          <w:sz w:val="24"/>
          <w:szCs w:val="20"/>
        </w:rPr>
        <w:t>panitumumab</w:t>
      </w:r>
      <w:proofErr w:type="spellEnd"/>
      <w:r w:rsidR="004D5E15" w:rsidRPr="00E5563A">
        <w:rPr>
          <w:rFonts w:ascii="Times New Roman" w:hAnsi="Times New Roman"/>
          <w:sz w:val="24"/>
          <w:szCs w:val="20"/>
        </w:rPr>
        <w:t xml:space="preserve"> plus FOLFOX) and 10.8 months (FOLFOX alone). </w:t>
      </w:r>
      <w:r w:rsidR="00234172" w:rsidRPr="00E5563A">
        <w:rPr>
          <w:rFonts w:ascii="Times New Roman" w:hAnsi="Times New Roman"/>
          <w:sz w:val="24"/>
          <w:szCs w:val="20"/>
        </w:rPr>
        <w:t>The role of subsequent anti-EGFR therapy or chemotherapy on the estimated OS treatment effect is unknown.</w:t>
      </w:r>
      <w:r w:rsidR="004D5E15" w:rsidRPr="00E5563A">
        <w:rPr>
          <w:rFonts w:ascii="Times New Roman" w:hAnsi="Times New Roman"/>
          <w:sz w:val="24"/>
          <w:szCs w:val="20"/>
        </w:rPr>
        <w:t xml:space="preserve"> </w:t>
      </w:r>
    </w:p>
    <w:p w:rsidR="00E5563A" w:rsidRDefault="00E5563A" w:rsidP="007C028F">
      <w:pPr>
        <w:pStyle w:val="BodyText"/>
        <w:spacing w:after="0"/>
        <w:rPr>
          <w:rFonts w:ascii="Times New Roman" w:hAnsi="Times New Roman"/>
          <w:color w:val="000000"/>
          <w:sz w:val="24"/>
          <w:szCs w:val="24"/>
          <w:u w:val="single"/>
        </w:rPr>
      </w:pPr>
    </w:p>
    <w:p w:rsidR="00CA279F" w:rsidRDefault="00CA279F" w:rsidP="00F02F45">
      <w:pPr>
        <w:pStyle w:val="BodyTextIndent"/>
        <w:tabs>
          <w:tab w:val="left" w:pos="443"/>
        </w:tabs>
        <w:overflowPunct w:val="0"/>
        <w:autoSpaceDE w:val="0"/>
        <w:autoSpaceDN w:val="0"/>
        <w:adjustRightInd w:val="0"/>
        <w:spacing w:after="0"/>
        <w:ind w:left="0"/>
        <w:textAlignment w:val="baseline"/>
      </w:pPr>
      <w:r w:rsidRPr="00AF450A">
        <w:rPr>
          <w:sz w:val="24"/>
          <w:lang w:val="en-AU"/>
        </w:rPr>
        <w:t xml:space="preserve">In </w:t>
      </w:r>
      <w:r w:rsidRPr="0029453C">
        <w:rPr>
          <w:sz w:val="24"/>
          <w:lang w:val="en-AU"/>
        </w:rPr>
        <w:t xml:space="preserve">an exploratory covariate analysis of patients </w:t>
      </w:r>
      <w:r w:rsidRPr="00AF450A">
        <w:rPr>
          <w:sz w:val="24"/>
          <w:lang w:val="en-AU"/>
        </w:rPr>
        <w:t xml:space="preserve">with an ECOG 2 performance status (n = 40), shorter median OS was observed in the </w:t>
      </w:r>
      <w:proofErr w:type="spellStart"/>
      <w:r w:rsidRPr="00AF450A">
        <w:rPr>
          <w:sz w:val="24"/>
          <w:lang w:val="en-AU"/>
        </w:rPr>
        <w:t>panitumumab</w:t>
      </w:r>
      <w:proofErr w:type="spellEnd"/>
      <w:r w:rsidRPr="00AF450A">
        <w:rPr>
          <w:sz w:val="24"/>
          <w:lang w:val="en-AU"/>
        </w:rPr>
        <w:t xml:space="preserve"> plus FOLFOX arm (7.0 months) than in the FOLFOX alone arm (11.7 months) [HR </w:t>
      </w:r>
      <w:r>
        <w:rPr>
          <w:sz w:val="24"/>
          <w:lang w:val="en-AU"/>
        </w:rPr>
        <w:t>(95%</w:t>
      </w:r>
      <w:r w:rsidRPr="00AF450A">
        <w:rPr>
          <w:sz w:val="24"/>
          <w:lang w:val="en-AU"/>
        </w:rPr>
        <w:t> CI): </w:t>
      </w:r>
      <w:r>
        <w:rPr>
          <w:sz w:val="24"/>
          <w:lang w:val="en-AU"/>
        </w:rPr>
        <w:t>1.834 (</w:t>
      </w:r>
      <w:r w:rsidRPr="00AF450A">
        <w:rPr>
          <w:sz w:val="24"/>
          <w:lang w:val="en-AU"/>
        </w:rPr>
        <w:t>0.896, 3.753); </w:t>
      </w:r>
      <w:r>
        <w:rPr>
          <w:sz w:val="24"/>
          <w:lang w:val="en-AU"/>
        </w:rPr>
        <w:t>p = 0.0937</w:t>
      </w:r>
      <w:r w:rsidRPr="00AF450A">
        <w:rPr>
          <w:sz w:val="24"/>
          <w:lang w:val="en-AU"/>
        </w:rPr>
        <w:t xml:space="preserve">]. </w:t>
      </w:r>
      <w:r>
        <w:rPr>
          <w:sz w:val="24"/>
          <w:lang w:val="en-AU"/>
        </w:rPr>
        <w:t xml:space="preserve"> </w:t>
      </w:r>
      <w:r w:rsidRPr="00AF450A">
        <w:rPr>
          <w:sz w:val="24"/>
          <w:lang w:val="en-AU"/>
        </w:rPr>
        <w:t xml:space="preserve">In patients with an ECOG performance status of 0 or 1 (n =616), the median OS was 25.8 months in the </w:t>
      </w:r>
      <w:proofErr w:type="spellStart"/>
      <w:r w:rsidRPr="00AF450A">
        <w:rPr>
          <w:sz w:val="24"/>
          <w:lang w:val="en-AU"/>
        </w:rPr>
        <w:t>panitumumab</w:t>
      </w:r>
      <w:proofErr w:type="spellEnd"/>
      <w:r w:rsidRPr="00AF450A">
        <w:rPr>
          <w:sz w:val="24"/>
          <w:lang w:val="en-AU"/>
        </w:rPr>
        <w:t xml:space="preserve"> plus FOLFOX arm and 20.7 </w:t>
      </w:r>
      <w:r>
        <w:rPr>
          <w:sz w:val="24"/>
          <w:lang w:val="en-AU"/>
        </w:rPr>
        <w:t>months in the FOLFOX alone arm [HR</w:t>
      </w:r>
      <w:r w:rsidRPr="00AF450A">
        <w:rPr>
          <w:sz w:val="24"/>
          <w:lang w:val="en-AU"/>
        </w:rPr>
        <w:t> </w:t>
      </w:r>
      <w:r>
        <w:rPr>
          <w:sz w:val="24"/>
          <w:lang w:val="en-AU"/>
        </w:rPr>
        <w:t>(95%</w:t>
      </w:r>
      <w:r w:rsidRPr="00AF450A">
        <w:rPr>
          <w:sz w:val="24"/>
          <w:lang w:val="en-AU"/>
        </w:rPr>
        <w:t> CI): </w:t>
      </w:r>
      <w:r>
        <w:rPr>
          <w:sz w:val="24"/>
          <w:lang w:val="en-AU"/>
        </w:rPr>
        <w:t>0.767(0.616;</w:t>
      </w:r>
      <w:r w:rsidRPr="00AF450A">
        <w:rPr>
          <w:sz w:val="24"/>
          <w:lang w:val="en-AU"/>
        </w:rPr>
        <w:t> </w:t>
      </w:r>
      <w:r>
        <w:rPr>
          <w:sz w:val="24"/>
          <w:lang w:val="en-AU"/>
        </w:rPr>
        <w:t>0.955): p = 0.0176)].</w:t>
      </w:r>
    </w:p>
    <w:p w:rsidR="001C3FB1" w:rsidRPr="00545135" w:rsidRDefault="001C3FB1" w:rsidP="001C3FB1">
      <w:pPr>
        <w:pStyle w:val="Caption"/>
        <w:rPr>
          <w:rFonts w:cs="Arial"/>
          <w:sz w:val="22"/>
          <w:szCs w:val="22"/>
        </w:rPr>
      </w:pPr>
      <w:bookmarkStart w:id="1" w:name="_Ref292712376"/>
      <w:bookmarkStart w:id="2" w:name="_Toc298933592"/>
      <w:r w:rsidRPr="00545135">
        <w:rPr>
          <w:rFonts w:cs="Arial"/>
          <w:sz w:val="22"/>
          <w:szCs w:val="22"/>
        </w:rPr>
        <w:t xml:space="preserve">Table </w:t>
      </w:r>
      <w:bookmarkEnd w:id="1"/>
      <w:r w:rsidRPr="001C3FB1">
        <w:rPr>
          <w:rFonts w:cs="Arial"/>
          <w:sz w:val="22"/>
          <w:szCs w:val="22"/>
        </w:rPr>
        <w:t>1</w:t>
      </w:r>
      <w:r w:rsidRPr="00545135">
        <w:rPr>
          <w:rFonts w:cs="Arial"/>
          <w:sz w:val="22"/>
          <w:szCs w:val="22"/>
        </w:rPr>
        <w:t xml:space="preserve">.  Study 20050203:  Efficacy </w:t>
      </w:r>
      <w:r w:rsidR="00E53746">
        <w:rPr>
          <w:rFonts w:cs="Arial"/>
          <w:sz w:val="22"/>
          <w:szCs w:val="22"/>
        </w:rPr>
        <w:t xml:space="preserve">Results </w:t>
      </w:r>
      <w:r w:rsidRPr="00545135">
        <w:rPr>
          <w:rFonts w:cs="Arial"/>
          <w:sz w:val="22"/>
          <w:szCs w:val="22"/>
        </w:rPr>
        <w:t xml:space="preserve">by Baseline ECOG Performance Status in Subjects with Wild-type </w:t>
      </w:r>
      <w:r w:rsidRPr="00545135">
        <w:rPr>
          <w:rFonts w:cs="Arial"/>
          <w:i/>
          <w:iCs/>
          <w:sz w:val="22"/>
          <w:szCs w:val="22"/>
        </w:rPr>
        <w:t>KRAS</w:t>
      </w:r>
      <w:r w:rsidRPr="00545135">
        <w:rPr>
          <w:rFonts w:cs="Arial"/>
          <w:sz w:val="22"/>
          <w:szCs w:val="22"/>
        </w:rPr>
        <w:t xml:space="preserve"> </w:t>
      </w:r>
      <w:bookmarkEnd w:id="2"/>
    </w:p>
    <w:tbl>
      <w:tblPr>
        <w:tblW w:w="8360" w:type="dxa"/>
        <w:jc w:val="center"/>
        <w:tblCellMar>
          <w:left w:w="0" w:type="dxa"/>
          <w:right w:w="0" w:type="dxa"/>
        </w:tblCellMar>
        <w:tblLook w:val="04A0"/>
      </w:tblPr>
      <w:tblGrid>
        <w:gridCol w:w="2815"/>
        <w:gridCol w:w="1406"/>
        <w:gridCol w:w="1374"/>
        <w:gridCol w:w="1418"/>
        <w:gridCol w:w="1347"/>
      </w:tblGrid>
      <w:tr w:rsidR="001C3FB1" w:rsidRPr="00545135" w:rsidTr="001C3FB1">
        <w:trPr>
          <w:trHeight w:val="413"/>
          <w:jc w:val="center"/>
        </w:trPr>
        <w:tc>
          <w:tcPr>
            <w:tcW w:w="2815" w:type="dxa"/>
            <w:vMerge w:val="restart"/>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rPr>
                <w:rFonts w:cs="Arial"/>
              </w:rPr>
            </w:pPr>
          </w:p>
        </w:tc>
        <w:tc>
          <w:tcPr>
            <w:tcW w:w="2780" w:type="dxa"/>
            <w:gridSpan w:val="2"/>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bCs/>
              </w:rPr>
              <w:t>ECOG 0/1 Status</w:t>
            </w:r>
          </w:p>
        </w:tc>
        <w:tc>
          <w:tcPr>
            <w:tcW w:w="2765" w:type="dxa"/>
            <w:gridSpan w:val="2"/>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bCs/>
              </w:rPr>
              <w:t>ECOG 2 Status</w:t>
            </w:r>
          </w:p>
        </w:tc>
      </w:tr>
      <w:tr w:rsidR="001C3FB1" w:rsidRPr="00545135" w:rsidTr="001C3FB1">
        <w:trPr>
          <w:trHeight w:val="758"/>
          <w:jc w:val="center"/>
        </w:trPr>
        <w:tc>
          <w:tcPr>
            <w:tcW w:w="0" w:type="auto"/>
            <w:vMerge/>
            <w:tcBorders>
              <w:top w:val="single" w:sz="18" w:space="0" w:color="000000"/>
              <w:left w:val="single" w:sz="8" w:space="0" w:color="000000"/>
              <w:bottom w:val="single" w:sz="8" w:space="0" w:color="000000"/>
              <w:right w:val="single" w:sz="8" w:space="0" w:color="000000"/>
            </w:tcBorders>
            <w:shd w:val="clear" w:color="auto" w:fill="auto"/>
            <w:vAlign w:val="center"/>
            <w:hideMark/>
          </w:tcPr>
          <w:p w:rsidR="001C3FB1" w:rsidRPr="00545135" w:rsidRDefault="001C3FB1" w:rsidP="001C3FB1">
            <w:pPr>
              <w:pStyle w:val="Text"/>
              <w:keepNext/>
              <w:spacing w:after="0"/>
              <w:rPr>
                <w:rFonts w:cs="Arial"/>
              </w:rPr>
            </w:pP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bCs/>
              </w:rPr>
            </w:pPr>
            <w:proofErr w:type="spellStart"/>
            <w:r w:rsidRPr="00545135">
              <w:rPr>
                <w:rFonts w:cs="Arial"/>
                <w:bCs/>
              </w:rPr>
              <w:t>Panitumumab</w:t>
            </w:r>
            <w:proofErr w:type="spellEnd"/>
            <w:r w:rsidRPr="00545135">
              <w:rPr>
                <w:rFonts w:cs="Arial"/>
                <w:bCs/>
              </w:rPr>
              <w:t xml:space="preserve"> + FOLFOX</w:t>
            </w:r>
          </w:p>
          <w:p w:rsidR="001C3FB1" w:rsidRPr="00545135" w:rsidRDefault="001C3FB1" w:rsidP="001C3FB1">
            <w:pPr>
              <w:pStyle w:val="Text"/>
              <w:keepNext/>
              <w:spacing w:after="0"/>
              <w:jc w:val="center"/>
              <w:rPr>
                <w:rFonts w:cs="Arial"/>
                <w:vertAlign w:val="superscript"/>
              </w:rPr>
            </w:pPr>
            <w:r w:rsidRPr="00545135">
              <w:rPr>
                <w:rFonts w:cs="Arial"/>
                <w:bCs/>
              </w:rPr>
              <w:t>n = 305</w:t>
            </w:r>
          </w:p>
        </w:tc>
        <w:tc>
          <w:tcPr>
            <w:tcW w:w="1374"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vertAlign w:val="superscript"/>
              </w:rPr>
            </w:pPr>
            <w:r w:rsidRPr="00545135">
              <w:rPr>
                <w:rFonts w:cs="Arial"/>
                <w:bCs/>
              </w:rPr>
              <w:t>FOLFOX Alone</w:t>
            </w:r>
            <w:r w:rsidRPr="00545135">
              <w:rPr>
                <w:rFonts w:cs="Arial"/>
                <w:bCs/>
              </w:rPr>
              <w:br/>
              <w:t>n = 311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vertAlign w:val="superscript"/>
              </w:rPr>
            </w:pPr>
            <w:proofErr w:type="spellStart"/>
            <w:r w:rsidRPr="00545135">
              <w:rPr>
                <w:rFonts w:cs="Arial"/>
                <w:bCs/>
              </w:rPr>
              <w:t>Panitumumab</w:t>
            </w:r>
            <w:proofErr w:type="spellEnd"/>
            <w:r w:rsidRPr="00545135">
              <w:rPr>
                <w:rFonts w:cs="Arial"/>
                <w:bCs/>
                <w:vertAlign w:val="superscript"/>
              </w:rPr>
              <w:t xml:space="preserve"> </w:t>
            </w:r>
            <w:r w:rsidRPr="00545135">
              <w:rPr>
                <w:rFonts w:cs="Arial"/>
                <w:bCs/>
              </w:rPr>
              <w:t>+ FOLFOX</w:t>
            </w:r>
            <w:r w:rsidRPr="00545135">
              <w:rPr>
                <w:rFonts w:cs="Arial"/>
                <w:bCs/>
              </w:rPr>
              <w:br/>
              <w:t>n = 20</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vertAlign w:val="superscript"/>
              </w:rPr>
            </w:pPr>
            <w:r w:rsidRPr="00545135">
              <w:rPr>
                <w:rFonts w:cs="Arial"/>
                <w:bCs/>
              </w:rPr>
              <w:t>FOLFOX Alone</w:t>
            </w:r>
            <w:r w:rsidRPr="00545135">
              <w:rPr>
                <w:rFonts w:cs="Arial"/>
                <w:bCs/>
              </w:rPr>
              <w:br/>
              <w:t>n = 20</w:t>
            </w:r>
          </w:p>
        </w:tc>
      </w:tr>
      <w:tr w:rsidR="001C3FB1" w:rsidRPr="00545135" w:rsidTr="001C3FB1">
        <w:trPr>
          <w:trHeight w:val="413"/>
          <w:jc w:val="center"/>
        </w:trPr>
        <w:tc>
          <w:tcPr>
            <w:tcW w:w="2815"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rPr>
                <w:rFonts w:cs="Arial"/>
              </w:rPr>
            </w:pPr>
            <w:r w:rsidRPr="00545135">
              <w:rPr>
                <w:rFonts w:cs="Arial"/>
              </w:rPr>
              <w:t>PFS Hazard Ratio (95% CI)</w:t>
            </w:r>
            <w:r w:rsidR="00E92C39">
              <w:rPr>
                <w:rFonts w:cs="Arial"/>
              </w:rPr>
              <w:t>; p-value</w:t>
            </w:r>
            <w:r w:rsidRPr="00545135">
              <w:rPr>
                <w:rFonts w:cs="Arial"/>
              </w:rPr>
              <w:t xml:space="preserve"> </w:t>
            </w:r>
          </w:p>
        </w:tc>
        <w:tc>
          <w:tcPr>
            <w:tcW w:w="2780" w:type="dxa"/>
            <w:gridSpan w:val="2"/>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F02F45" w:rsidRDefault="001C3FB1" w:rsidP="001C3FB1">
            <w:pPr>
              <w:pStyle w:val="Text"/>
              <w:keepNext/>
              <w:spacing w:after="0"/>
              <w:jc w:val="center"/>
              <w:rPr>
                <w:rFonts w:cs="Arial"/>
              </w:rPr>
            </w:pPr>
            <w:r w:rsidRPr="00545135">
              <w:rPr>
                <w:rFonts w:cs="Arial"/>
              </w:rPr>
              <w:t>0.74 (0.60, 0.91)</w:t>
            </w:r>
            <w:r w:rsidR="009617F0">
              <w:rPr>
                <w:rFonts w:cs="Arial"/>
              </w:rPr>
              <w:t xml:space="preserve">; </w:t>
            </w:r>
          </w:p>
          <w:p w:rsidR="001C3FB1" w:rsidRPr="00545135" w:rsidRDefault="009617F0" w:rsidP="001C3FB1">
            <w:pPr>
              <w:pStyle w:val="Text"/>
              <w:keepNext/>
              <w:spacing w:after="0"/>
              <w:jc w:val="center"/>
              <w:rPr>
                <w:rFonts w:cs="Arial"/>
              </w:rPr>
            </w:pPr>
            <w:r>
              <w:rPr>
                <w:rFonts w:cs="Arial"/>
              </w:rPr>
              <w:t>p = 0.003</w:t>
            </w:r>
          </w:p>
        </w:tc>
        <w:tc>
          <w:tcPr>
            <w:tcW w:w="2765" w:type="dxa"/>
            <w:gridSpan w:val="2"/>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F02F45" w:rsidRDefault="001C3FB1" w:rsidP="001C3FB1">
            <w:pPr>
              <w:pStyle w:val="Text"/>
              <w:keepNext/>
              <w:spacing w:after="0"/>
              <w:jc w:val="center"/>
              <w:rPr>
                <w:rFonts w:cs="Arial"/>
              </w:rPr>
            </w:pPr>
            <w:r w:rsidRPr="00545135">
              <w:rPr>
                <w:rFonts w:cs="Arial"/>
              </w:rPr>
              <w:t>2.30 (1.08, 4.89)</w:t>
            </w:r>
            <w:r w:rsidR="009617F0">
              <w:rPr>
                <w:rFonts w:cs="Arial"/>
              </w:rPr>
              <w:t xml:space="preserve">; </w:t>
            </w:r>
          </w:p>
          <w:p w:rsidR="001C3FB1" w:rsidRPr="00545135" w:rsidRDefault="009617F0" w:rsidP="001C3FB1">
            <w:pPr>
              <w:pStyle w:val="Text"/>
              <w:keepNext/>
              <w:spacing w:after="0"/>
              <w:jc w:val="center"/>
              <w:rPr>
                <w:rFonts w:cs="Arial"/>
              </w:rPr>
            </w:pPr>
            <w:r>
              <w:rPr>
                <w:rFonts w:cs="Arial"/>
              </w:rPr>
              <w:t>p = 0.027</w:t>
            </w:r>
          </w:p>
        </w:tc>
      </w:tr>
      <w:tr w:rsidR="001C3FB1" w:rsidRPr="00545135" w:rsidTr="001C3FB1">
        <w:trPr>
          <w:trHeight w:val="462"/>
          <w:jc w:val="center"/>
        </w:trPr>
        <w:tc>
          <w:tcPr>
            <w:tcW w:w="2815"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rPr>
                <w:rFonts w:cs="Arial"/>
              </w:rPr>
            </w:pPr>
            <w:r w:rsidRPr="00545135">
              <w:rPr>
                <w:rFonts w:cs="Arial"/>
              </w:rPr>
              <w:t>Median PFS (mo</w:t>
            </w:r>
            <w:r w:rsidR="00A901C9">
              <w:rPr>
                <w:rFonts w:cs="Arial"/>
              </w:rPr>
              <w:t>nth</w:t>
            </w:r>
            <w:r w:rsidRPr="00545135">
              <w:rPr>
                <w:rFonts w:cs="Arial"/>
              </w:rPr>
              <w:t>s)</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rPr>
              <w:t>10.4</w:t>
            </w:r>
          </w:p>
        </w:tc>
        <w:tc>
          <w:tcPr>
            <w:tcW w:w="1374"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rPr>
              <w:t>8.0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rPr>
              <w:t>4.8</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rPr>
              <w:t>7.6</w:t>
            </w:r>
          </w:p>
        </w:tc>
      </w:tr>
      <w:tr w:rsidR="001C3FB1" w:rsidRPr="00545135" w:rsidTr="001C3FB1">
        <w:trPr>
          <w:trHeight w:val="416"/>
          <w:jc w:val="center"/>
        </w:trPr>
        <w:tc>
          <w:tcPr>
            <w:tcW w:w="2815"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rPr>
                <w:rFonts w:cs="Arial"/>
              </w:rPr>
            </w:pPr>
            <w:r w:rsidRPr="00545135">
              <w:rPr>
                <w:rFonts w:cs="Arial"/>
              </w:rPr>
              <w:t>OS Hazard Ratio (95% CI)</w:t>
            </w:r>
            <w:r w:rsidR="00E92C39">
              <w:rPr>
                <w:rFonts w:cs="Arial"/>
              </w:rPr>
              <w:t xml:space="preserve">; </w:t>
            </w:r>
            <w:r w:rsidR="00E92C39" w:rsidRPr="00E92C39">
              <w:rPr>
                <w:rFonts w:cs="Arial"/>
                <w:lang w:val="en-US"/>
              </w:rPr>
              <w:t>p-value</w:t>
            </w:r>
            <w:r w:rsidRPr="00545135">
              <w:rPr>
                <w:rFonts w:cs="Arial"/>
              </w:rPr>
              <w:t xml:space="preserve"> </w:t>
            </w:r>
          </w:p>
        </w:tc>
        <w:tc>
          <w:tcPr>
            <w:tcW w:w="2780" w:type="dxa"/>
            <w:gridSpan w:val="2"/>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F02F45" w:rsidRDefault="001C3FB1" w:rsidP="001C3FB1">
            <w:pPr>
              <w:pStyle w:val="Text"/>
              <w:keepNext/>
              <w:spacing w:after="0"/>
              <w:jc w:val="center"/>
              <w:rPr>
                <w:rFonts w:cs="Arial"/>
              </w:rPr>
            </w:pPr>
            <w:r w:rsidRPr="00545135">
              <w:rPr>
                <w:rFonts w:cs="Arial"/>
              </w:rPr>
              <w:t>0.77 (0.62, 0.96)</w:t>
            </w:r>
            <w:r w:rsidR="00E92C39">
              <w:rPr>
                <w:rFonts w:cs="Arial"/>
              </w:rPr>
              <w:t xml:space="preserve">; </w:t>
            </w:r>
          </w:p>
          <w:p w:rsidR="001C3FB1" w:rsidRPr="00545135" w:rsidRDefault="00E92C39" w:rsidP="001C3FB1">
            <w:pPr>
              <w:pStyle w:val="Text"/>
              <w:keepNext/>
              <w:spacing w:after="0"/>
              <w:jc w:val="center"/>
              <w:rPr>
                <w:rFonts w:cs="Arial"/>
              </w:rPr>
            </w:pPr>
            <w:r>
              <w:rPr>
                <w:rFonts w:cs="Arial"/>
              </w:rPr>
              <w:t>p = 0.018</w:t>
            </w:r>
          </w:p>
        </w:tc>
        <w:tc>
          <w:tcPr>
            <w:tcW w:w="2765" w:type="dxa"/>
            <w:gridSpan w:val="2"/>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F02F45" w:rsidRDefault="001C3FB1" w:rsidP="001C3FB1">
            <w:pPr>
              <w:pStyle w:val="Text"/>
              <w:keepNext/>
              <w:spacing w:after="0"/>
              <w:jc w:val="center"/>
              <w:rPr>
                <w:rFonts w:cs="Arial"/>
              </w:rPr>
            </w:pPr>
            <w:r w:rsidRPr="00545135">
              <w:rPr>
                <w:rFonts w:cs="Arial"/>
              </w:rPr>
              <w:t>1.83 (0.90, 3.75)</w:t>
            </w:r>
            <w:r w:rsidR="00E92C39">
              <w:rPr>
                <w:rFonts w:cs="Arial"/>
              </w:rPr>
              <w:t xml:space="preserve">; </w:t>
            </w:r>
          </w:p>
          <w:p w:rsidR="001C3FB1" w:rsidRPr="00545135" w:rsidRDefault="00E92C39" w:rsidP="001C3FB1">
            <w:pPr>
              <w:pStyle w:val="Text"/>
              <w:keepNext/>
              <w:spacing w:after="0"/>
              <w:jc w:val="center"/>
              <w:rPr>
                <w:rFonts w:cs="Arial"/>
              </w:rPr>
            </w:pPr>
            <w:r>
              <w:rPr>
                <w:rFonts w:cs="Arial"/>
              </w:rPr>
              <w:t>p = 0.094</w:t>
            </w:r>
          </w:p>
        </w:tc>
      </w:tr>
      <w:tr w:rsidR="001C3FB1" w:rsidRPr="00545135" w:rsidTr="001C3FB1">
        <w:trPr>
          <w:trHeight w:val="462"/>
          <w:jc w:val="center"/>
        </w:trPr>
        <w:tc>
          <w:tcPr>
            <w:tcW w:w="2815"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rPr>
                <w:rFonts w:cs="Arial"/>
              </w:rPr>
            </w:pPr>
            <w:r w:rsidRPr="00545135">
              <w:rPr>
                <w:rFonts w:cs="Arial"/>
              </w:rPr>
              <w:t>Median OS (mo</w:t>
            </w:r>
            <w:r w:rsidR="00A901C9">
              <w:rPr>
                <w:rFonts w:cs="Arial"/>
              </w:rPr>
              <w:t>nth</w:t>
            </w:r>
            <w:r w:rsidRPr="00545135">
              <w:rPr>
                <w:rFonts w:cs="Arial"/>
              </w:rPr>
              <w:t>s)</w:t>
            </w:r>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rPr>
              <w:t>25.8</w:t>
            </w:r>
          </w:p>
        </w:tc>
        <w:tc>
          <w:tcPr>
            <w:tcW w:w="1374"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rPr>
              <w:t>20.7</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rPr>
              <w:t>7.0</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rPr>
              <w:t>11.7</w:t>
            </w:r>
          </w:p>
        </w:tc>
      </w:tr>
      <w:tr w:rsidR="001C3FB1" w:rsidRPr="00545135" w:rsidTr="001C3FB1">
        <w:trPr>
          <w:trHeight w:val="462"/>
          <w:jc w:val="center"/>
        </w:trPr>
        <w:tc>
          <w:tcPr>
            <w:tcW w:w="2815"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rPr>
                <w:rFonts w:cs="Arial"/>
                <w:vertAlign w:val="superscript"/>
              </w:rPr>
            </w:pPr>
            <w:r w:rsidRPr="00545135">
              <w:rPr>
                <w:rFonts w:cs="Arial"/>
              </w:rPr>
              <w:t xml:space="preserve">Objective Response </w:t>
            </w:r>
            <w:proofErr w:type="spellStart"/>
            <w:r w:rsidRPr="00545135">
              <w:rPr>
                <w:rFonts w:cs="Arial"/>
              </w:rPr>
              <w:t>Rate</w:t>
            </w:r>
            <w:r w:rsidR="008E4B28">
              <w:rPr>
                <w:rFonts w:cs="Arial"/>
                <w:vertAlign w:val="superscript"/>
              </w:rPr>
              <w:t>a</w:t>
            </w:r>
            <w:proofErr w:type="spellEnd"/>
          </w:p>
        </w:tc>
        <w:tc>
          <w:tcPr>
            <w:tcW w:w="1406"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rPr>
              <w:t>58%</w:t>
            </w:r>
          </w:p>
        </w:tc>
        <w:tc>
          <w:tcPr>
            <w:tcW w:w="1374"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rPr>
              <w:t>48%</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rPr>
              <w:t>20%</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1C3FB1" w:rsidRPr="00545135" w:rsidRDefault="001C3FB1" w:rsidP="001C3FB1">
            <w:pPr>
              <w:pStyle w:val="Text"/>
              <w:keepNext/>
              <w:spacing w:after="0"/>
              <w:jc w:val="center"/>
              <w:rPr>
                <w:rFonts w:cs="Arial"/>
              </w:rPr>
            </w:pPr>
            <w:r w:rsidRPr="00545135">
              <w:rPr>
                <w:rFonts w:cs="Arial"/>
              </w:rPr>
              <w:t>45%</w:t>
            </w:r>
          </w:p>
        </w:tc>
      </w:tr>
    </w:tbl>
    <w:p w:rsidR="001C3FB1" w:rsidRPr="00545135" w:rsidRDefault="00A901C9" w:rsidP="001C3FB1">
      <w:pPr>
        <w:pStyle w:val="Text"/>
        <w:keepNext/>
        <w:spacing w:before="60" w:after="0"/>
        <w:rPr>
          <w:rFonts w:cs="Arial"/>
          <w:i/>
        </w:rPr>
      </w:pPr>
      <w:proofErr w:type="spellStart"/>
      <w:r>
        <w:rPr>
          <w:rFonts w:cs="Arial"/>
          <w:vertAlign w:val="superscript"/>
        </w:rPr>
        <w:t>a</w:t>
      </w:r>
      <w:proofErr w:type="spellEnd"/>
      <w:r w:rsidR="001C3FB1" w:rsidRPr="00545135">
        <w:rPr>
          <w:rFonts w:cs="Arial"/>
        </w:rPr>
        <w:t xml:space="preserve"> </w:t>
      </w:r>
      <w:r>
        <w:rPr>
          <w:rFonts w:cs="Arial"/>
        </w:rPr>
        <w:t>Of patients with measurable disease</w:t>
      </w:r>
    </w:p>
    <w:p w:rsidR="001C3FB1" w:rsidRDefault="001C3FB1" w:rsidP="007C028F">
      <w:pPr>
        <w:pStyle w:val="BodyText"/>
        <w:spacing w:after="0"/>
        <w:rPr>
          <w:rFonts w:ascii="Times New Roman" w:hAnsi="Times New Roman"/>
          <w:color w:val="000000"/>
          <w:sz w:val="24"/>
          <w:szCs w:val="24"/>
          <w:u w:val="single"/>
        </w:rPr>
      </w:pPr>
    </w:p>
    <w:p w:rsidR="00B072E5" w:rsidRPr="0029453C" w:rsidRDefault="00B072E5" w:rsidP="00B072E5">
      <w:pPr>
        <w:pStyle w:val="BodyTextIndent"/>
        <w:tabs>
          <w:tab w:val="left" w:pos="443"/>
        </w:tabs>
        <w:overflowPunct w:val="0"/>
        <w:autoSpaceDE w:val="0"/>
        <w:autoSpaceDN w:val="0"/>
        <w:adjustRightInd w:val="0"/>
        <w:spacing w:after="0"/>
        <w:ind w:left="0"/>
        <w:textAlignment w:val="baseline"/>
        <w:rPr>
          <w:sz w:val="24"/>
          <w:lang w:val="en-AU"/>
        </w:rPr>
      </w:pPr>
      <w:r w:rsidRPr="0029453C">
        <w:rPr>
          <w:sz w:val="24"/>
          <w:lang w:val="en-AU"/>
        </w:rPr>
        <w:t xml:space="preserve">In patients with mutant </w:t>
      </w:r>
      <w:r w:rsidRPr="0029453C">
        <w:rPr>
          <w:i/>
          <w:sz w:val="24"/>
          <w:lang w:val="en-AU"/>
        </w:rPr>
        <w:t>KRAS</w:t>
      </w:r>
      <w:r w:rsidRPr="0029453C">
        <w:rPr>
          <w:sz w:val="24"/>
          <w:lang w:val="en-AU"/>
        </w:rPr>
        <w:t xml:space="preserve"> </w:t>
      </w:r>
      <w:proofErr w:type="spellStart"/>
      <w:r w:rsidRPr="0029453C">
        <w:rPr>
          <w:sz w:val="24"/>
          <w:lang w:val="en-AU"/>
        </w:rPr>
        <w:t>mCRC</w:t>
      </w:r>
      <w:proofErr w:type="spellEnd"/>
      <w:r w:rsidRPr="0029453C">
        <w:rPr>
          <w:sz w:val="24"/>
          <w:lang w:val="en-AU"/>
        </w:rPr>
        <w:t xml:space="preserve"> (n = 440), the </w:t>
      </w:r>
      <w:r w:rsidR="00234172" w:rsidRPr="0029453C">
        <w:rPr>
          <w:sz w:val="24"/>
          <w:lang w:val="en-AU"/>
        </w:rPr>
        <w:t>PFS</w:t>
      </w:r>
      <w:r w:rsidRPr="0029453C">
        <w:rPr>
          <w:sz w:val="24"/>
          <w:lang w:val="en-AU"/>
        </w:rPr>
        <w:t xml:space="preserve"> was inferior (p = 0.0227) in patients receiving </w:t>
      </w:r>
      <w:proofErr w:type="spellStart"/>
      <w:r w:rsidRPr="0029453C">
        <w:rPr>
          <w:sz w:val="24"/>
          <w:lang w:val="en-AU"/>
        </w:rPr>
        <w:t>panitumumab</w:t>
      </w:r>
      <w:proofErr w:type="spellEnd"/>
      <w:r w:rsidRPr="0029453C">
        <w:rPr>
          <w:sz w:val="24"/>
          <w:lang w:val="en-AU"/>
        </w:rPr>
        <w:t xml:space="preserve"> in combination with FOLFOX (7.3 months; [95% CI: 6.3, 8.0]) than those patients receiving FOLFOX alone (8.8 months; [95% CI: 7.7, 9.4]).  The estimated median OS was shorter in patients receiving </w:t>
      </w:r>
      <w:proofErr w:type="spellStart"/>
      <w:r w:rsidRPr="0029453C">
        <w:rPr>
          <w:sz w:val="24"/>
          <w:lang w:val="en-AU"/>
        </w:rPr>
        <w:t>panitumumab</w:t>
      </w:r>
      <w:proofErr w:type="spellEnd"/>
      <w:r w:rsidRPr="0029453C">
        <w:rPr>
          <w:sz w:val="24"/>
          <w:lang w:val="en-AU"/>
        </w:rPr>
        <w:t xml:space="preserve"> in combination with FOLFOX (15.5 months; [95% CI: 13.1, 17.6]) compared with those receiving FOLFOX alone (19.3 months; [95% CI: 16.5, 21.8]) (see CONTRAINDICATIONS).</w:t>
      </w:r>
    </w:p>
    <w:p w:rsidR="00B072E5" w:rsidRDefault="00B072E5" w:rsidP="007C028F">
      <w:pPr>
        <w:pStyle w:val="BodyText"/>
        <w:spacing w:after="0"/>
        <w:rPr>
          <w:rFonts w:ascii="Times New Roman" w:hAnsi="Times New Roman"/>
          <w:color w:val="000000"/>
          <w:sz w:val="24"/>
          <w:szCs w:val="24"/>
          <w:u w:val="single"/>
        </w:rPr>
      </w:pPr>
    </w:p>
    <w:p w:rsidR="000674A4" w:rsidRPr="00B5137E" w:rsidRDefault="00F11485" w:rsidP="00D113A1">
      <w:pPr>
        <w:pStyle w:val="Heading2"/>
        <w:spacing w:after="0" w:line="240" w:lineRule="auto"/>
        <w:rPr>
          <w:rFonts w:ascii="Times New Roman" w:hAnsi="Times New Roman"/>
          <w:i/>
          <w:iCs/>
          <w:color w:val="000000"/>
          <w:sz w:val="24"/>
        </w:rPr>
      </w:pPr>
      <w:r w:rsidRPr="00B5137E">
        <w:rPr>
          <w:rFonts w:ascii="Times New Roman" w:hAnsi="Times New Roman"/>
          <w:i/>
          <w:iCs/>
          <w:color w:val="000000"/>
          <w:sz w:val="24"/>
        </w:rPr>
        <w:lastRenderedPageBreak/>
        <w:t>Second-line combination with FOLFIRI</w:t>
      </w:r>
    </w:p>
    <w:p w:rsidR="000674A4" w:rsidRDefault="00F11485">
      <w:pPr>
        <w:pStyle w:val="BodyText"/>
        <w:tabs>
          <w:tab w:val="clear" w:pos="72"/>
          <w:tab w:val="clear" w:pos="9540"/>
        </w:tabs>
        <w:adjustRightInd/>
        <w:spacing w:after="0"/>
        <w:textAlignment w:val="auto"/>
        <w:rPr>
          <w:rFonts w:ascii="Times New Roman" w:hAnsi="Times New Roman"/>
          <w:sz w:val="24"/>
          <w:szCs w:val="20"/>
        </w:rPr>
      </w:pPr>
      <w:r w:rsidRPr="0029453C">
        <w:rPr>
          <w:rFonts w:ascii="Times New Roman" w:hAnsi="Times New Roman"/>
          <w:sz w:val="24"/>
          <w:szCs w:val="24"/>
        </w:rPr>
        <w:t xml:space="preserve">The efficacy of </w:t>
      </w:r>
      <w:proofErr w:type="spellStart"/>
      <w:r w:rsidRPr="0029453C">
        <w:rPr>
          <w:rFonts w:ascii="Times New Roman" w:hAnsi="Times New Roman"/>
          <w:sz w:val="24"/>
          <w:szCs w:val="24"/>
        </w:rPr>
        <w:t>Vectibix</w:t>
      </w:r>
      <w:proofErr w:type="spellEnd"/>
      <w:r w:rsidRPr="0029453C">
        <w:rPr>
          <w:rFonts w:ascii="Times New Roman" w:hAnsi="Times New Roman"/>
          <w:sz w:val="24"/>
          <w:szCs w:val="24"/>
        </w:rPr>
        <w:t xml:space="preserve"> in combination with </w:t>
      </w:r>
      <w:proofErr w:type="spellStart"/>
      <w:r w:rsidRPr="0029453C">
        <w:rPr>
          <w:rFonts w:ascii="Times New Roman" w:hAnsi="Times New Roman"/>
          <w:sz w:val="24"/>
          <w:szCs w:val="24"/>
        </w:rPr>
        <w:t>irinotecan</w:t>
      </w:r>
      <w:proofErr w:type="spellEnd"/>
      <w:r w:rsidRPr="0029453C">
        <w:rPr>
          <w:rFonts w:ascii="Times New Roman" w:hAnsi="Times New Roman"/>
          <w:sz w:val="24"/>
          <w:szCs w:val="24"/>
        </w:rPr>
        <w:t xml:space="preserve">, 5-fluorouracil (5-FU) and </w:t>
      </w:r>
      <w:proofErr w:type="spellStart"/>
      <w:r w:rsidRPr="0029453C">
        <w:rPr>
          <w:rFonts w:ascii="Times New Roman" w:hAnsi="Times New Roman"/>
          <w:sz w:val="24"/>
          <w:szCs w:val="24"/>
        </w:rPr>
        <w:t>leucovorin</w:t>
      </w:r>
      <w:proofErr w:type="spellEnd"/>
      <w:r w:rsidRPr="0029453C">
        <w:rPr>
          <w:rFonts w:ascii="Times New Roman" w:hAnsi="Times New Roman"/>
          <w:sz w:val="24"/>
          <w:szCs w:val="24"/>
        </w:rPr>
        <w:t xml:space="preserve"> (FOLFIRI) was evaluated in a randomised, controlled trial of</w:t>
      </w:r>
      <w:r w:rsidRPr="0050169A" w:rsidDel="00F11485">
        <w:rPr>
          <w:rFonts w:ascii="Times New Roman" w:hAnsi="Times New Roman"/>
          <w:sz w:val="24"/>
          <w:szCs w:val="20"/>
          <w:lang w:val="en-US"/>
        </w:rPr>
        <w:t xml:space="preserve"> </w:t>
      </w:r>
      <w:r w:rsidR="00B27253" w:rsidRPr="00C16CDC">
        <w:rPr>
          <w:rFonts w:ascii="Times New Roman" w:hAnsi="Times New Roman"/>
          <w:sz w:val="24"/>
          <w:szCs w:val="20"/>
        </w:rPr>
        <w:t xml:space="preserve">1186 patients with the </w:t>
      </w:r>
      <w:r w:rsidR="001B751A" w:rsidRPr="00C16CDC">
        <w:rPr>
          <w:rFonts w:ascii="Times New Roman" w:hAnsi="Times New Roman"/>
          <w:sz w:val="24"/>
          <w:szCs w:val="20"/>
        </w:rPr>
        <w:t>co-</w:t>
      </w:r>
      <w:r w:rsidR="00B27253" w:rsidRPr="00C16CDC">
        <w:rPr>
          <w:rFonts w:ascii="Times New Roman" w:hAnsi="Times New Roman"/>
          <w:sz w:val="24"/>
          <w:szCs w:val="20"/>
        </w:rPr>
        <w:t xml:space="preserve">primary endpoints of OS and PFS. Other </w:t>
      </w:r>
      <w:r w:rsidR="00A42E88" w:rsidRPr="00C16CDC">
        <w:rPr>
          <w:rFonts w:ascii="Times New Roman" w:hAnsi="Times New Roman"/>
          <w:sz w:val="24"/>
          <w:szCs w:val="20"/>
        </w:rPr>
        <w:t>key endpoints included the ORR</w:t>
      </w:r>
      <w:r w:rsidR="00B27253" w:rsidRPr="00C16CDC">
        <w:rPr>
          <w:rFonts w:ascii="Times New Roman" w:hAnsi="Times New Roman"/>
          <w:sz w:val="24"/>
          <w:szCs w:val="20"/>
        </w:rPr>
        <w:t>, TTP, and duration of response</w:t>
      </w:r>
      <w:r w:rsidR="00D61156" w:rsidRPr="00C16CDC">
        <w:rPr>
          <w:rFonts w:ascii="Times New Roman" w:hAnsi="Times New Roman"/>
          <w:sz w:val="24"/>
          <w:szCs w:val="20"/>
        </w:rPr>
        <w:t>.</w:t>
      </w:r>
    </w:p>
    <w:p w:rsidR="0009323A" w:rsidRPr="0009323A" w:rsidRDefault="0009323A" w:rsidP="0009323A">
      <w:pPr>
        <w:pStyle w:val="BodyText"/>
        <w:spacing w:after="0"/>
        <w:rPr>
          <w:rFonts w:ascii="Times New Roman" w:hAnsi="Times New Roman"/>
          <w:color w:val="000000"/>
          <w:sz w:val="24"/>
          <w:szCs w:val="24"/>
          <w:u w:val="single"/>
        </w:rPr>
      </w:pPr>
    </w:p>
    <w:p w:rsidR="0009323A" w:rsidRPr="0029453C" w:rsidRDefault="0009323A" w:rsidP="0009323A">
      <w:pPr>
        <w:rPr>
          <w:sz w:val="24"/>
          <w:szCs w:val="24"/>
        </w:rPr>
      </w:pPr>
      <w:r w:rsidRPr="0029453C">
        <w:rPr>
          <w:iCs/>
          <w:sz w:val="24"/>
          <w:szCs w:val="24"/>
        </w:rPr>
        <w:t xml:space="preserve">In patients with wild-type </w:t>
      </w:r>
      <w:r w:rsidRPr="0029453C">
        <w:rPr>
          <w:i/>
          <w:iCs/>
          <w:sz w:val="24"/>
          <w:szCs w:val="24"/>
        </w:rPr>
        <w:t>KRAS</w:t>
      </w:r>
      <w:r w:rsidRPr="0029453C">
        <w:rPr>
          <w:iCs/>
          <w:sz w:val="24"/>
          <w:szCs w:val="24"/>
        </w:rPr>
        <w:t xml:space="preserve"> </w:t>
      </w:r>
      <w:proofErr w:type="spellStart"/>
      <w:r w:rsidRPr="0029453C">
        <w:rPr>
          <w:iCs/>
          <w:sz w:val="24"/>
          <w:szCs w:val="24"/>
        </w:rPr>
        <w:t>mCRC</w:t>
      </w:r>
      <w:proofErr w:type="spellEnd"/>
      <w:r w:rsidRPr="0029453C">
        <w:rPr>
          <w:iCs/>
          <w:sz w:val="24"/>
          <w:szCs w:val="24"/>
        </w:rPr>
        <w:t xml:space="preserve"> (n = 597) a</w:t>
      </w:r>
      <w:r w:rsidRPr="0029453C">
        <w:rPr>
          <w:sz w:val="24"/>
          <w:szCs w:val="24"/>
        </w:rPr>
        <w:t xml:space="preserve"> statistically significant difference in PFS in </w:t>
      </w:r>
      <w:proofErr w:type="spellStart"/>
      <w:r w:rsidRPr="0029453C">
        <w:rPr>
          <w:sz w:val="24"/>
          <w:szCs w:val="24"/>
        </w:rPr>
        <w:t>favour</w:t>
      </w:r>
      <w:proofErr w:type="spellEnd"/>
      <w:r w:rsidRPr="0029453C">
        <w:rPr>
          <w:sz w:val="24"/>
          <w:szCs w:val="24"/>
        </w:rPr>
        <w:t xml:space="preserve"> of </w:t>
      </w:r>
      <w:proofErr w:type="spellStart"/>
      <w:r w:rsidRPr="0029453C">
        <w:rPr>
          <w:sz w:val="24"/>
          <w:szCs w:val="24"/>
        </w:rPr>
        <w:t>panitumumab</w:t>
      </w:r>
      <w:proofErr w:type="spellEnd"/>
      <w:r w:rsidRPr="0029453C">
        <w:rPr>
          <w:sz w:val="24"/>
          <w:szCs w:val="24"/>
        </w:rPr>
        <w:t xml:space="preserve"> was demonstrated (p = 0.0036).  The estimated median PFS times were 5.9 months (95% CI: 5.5, 6.7) in the </w:t>
      </w:r>
      <w:proofErr w:type="spellStart"/>
      <w:r w:rsidRPr="0029453C">
        <w:rPr>
          <w:sz w:val="24"/>
          <w:szCs w:val="24"/>
        </w:rPr>
        <w:t>panitumumab</w:t>
      </w:r>
      <w:proofErr w:type="spellEnd"/>
      <w:r w:rsidRPr="0029453C">
        <w:rPr>
          <w:sz w:val="24"/>
          <w:szCs w:val="24"/>
        </w:rPr>
        <w:t xml:space="preserve"> plus FOLFIRI arm and 3.9 months (95% CI: 3.7, 5.3) in the FOLFIRI alone arm, an absolute difference of 2.0 months.  The hazard ratio was </w:t>
      </w:r>
      <w:r w:rsidR="00F51CFE" w:rsidRPr="0029453C">
        <w:rPr>
          <w:sz w:val="24"/>
          <w:szCs w:val="24"/>
        </w:rPr>
        <w:t>0.732</w:t>
      </w:r>
      <w:r w:rsidRPr="0029453C">
        <w:rPr>
          <w:sz w:val="24"/>
          <w:szCs w:val="24"/>
        </w:rPr>
        <w:t xml:space="preserve"> (95% CI: </w:t>
      </w:r>
      <w:r w:rsidR="00F51CFE" w:rsidRPr="0029453C">
        <w:rPr>
          <w:sz w:val="24"/>
          <w:szCs w:val="24"/>
        </w:rPr>
        <w:t>0.593</w:t>
      </w:r>
      <w:r w:rsidRPr="0029453C">
        <w:rPr>
          <w:sz w:val="24"/>
          <w:szCs w:val="24"/>
        </w:rPr>
        <w:t xml:space="preserve">, </w:t>
      </w:r>
      <w:r w:rsidR="00F51CFE" w:rsidRPr="0029453C">
        <w:rPr>
          <w:sz w:val="24"/>
          <w:szCs w:val="24"/>
        </w:rPr>
        <w:t>0.903</w:t>
      </w:r>
      <w:r w:rsidRPr="0029453C">
        <w:rPr>
          <w:sz w:val="24"/>
          <w:szCs w:val="24"/>
        </w:rPr>
        <w:t xml:space="preserve">), </w:t>
      </w:r>
      <w:proofErr w:type="spellStart"/>
      <w:r w:rsidRPr="0029453C">
        <w:rPr>
          <w:sz w:val="24"/>
          <w:szCs w:val="24"/>
        </w:rPr>
        <w:t>favouring</w:t>
      </w:r>
      <w:proofErr w:type="spellEnd"/>
      <w:r w:rsidRPr="0029453C">
        <w:rPr>
          <w:sz w:val="24"/>
          <w:szCs w:val="24"/>
        </w:rPr>
        <w:t xml:space="preserve"> the </w:t>
      </w:r>
      <w:proofErr w:type="spellStart"/>
      <w:r w:rsidRPr="0029453C">
        <w:rPr>
          <w:sz w:val="24"/>
          <w:szCs w:val="24"/>
        </w:rPr>
        <w:t>panitumumab</w:t>
      </w:r>
      <w:proofErr w:type="spellEnd"/>
      <w:r w:rsidRPr="0029453C">
        <w:rPr>
          <w:sz w:val="24"/>
          <w:szCs w:val="24"/>
        </w:rPr>
        <w:t xml:space="preserve"> plus FOLFIRI arm.  </w:t>
      </w:r>
      <w:r w:rsidR="00BB7E96" w:rsidRPr="0029453C">
        <w:rPr>
          <w:sz w:val="24"/>
          <w:szCs w:val="24"/>
        </w:rPr>
        <w:t xml:space="preserve">The </w:t>
      </w:r>
      <w:r w:rsidRPr="0029453C">
        <w:rPr>
          <w:sz w:val="24"/>
          <w:szCs w:val="24"/>
        </w:rPr>
        <w:t xml:space="preserve">estimated PFS rate (95% CI) at six (6)  months was 56% (49%, 62%) in the </w:t>
      </w:r>
      <w:proofErr w:type="spellStart"/>
      <w:r w:rsidRPr="0029453C">
        <w:rPr>
          <w:sz w:val="24"/>
          <w:szCs w:val="24"/>
        </w:rPr>
        <w:t>panitumumab</w:t>
      </w:r>
      <w:proofErr w:type="spellEnd"/>
      <w:r w:rsidRPr="0029453C">
        <w:rPr>
          <w:sz w:val="24"/>
          <w:szCs w:val="24"/>
        </w:rPr>
        <w:t xml:space="preserve"> plus FOLFIRI arm and 41% (34%, 47%) in the FOLFIRI alone arm.</w:t>
      </w:r>
    </w:p>
    <w:p w:rsidR="0009323A" w:rsidRPr="0009323A" w:rsidRDefault="0009323A" w:rsidP="0009323A">
      <w:pPr>
        <w:pStyle w:val="Date"/>
        <w:rPr>
          <w:sz w:val="24"/>
          <w:szCs w:val="24"/>
        </w:rPr>
      </w:pPr>
    </w:p>
    <w:p w:rsidR="0009323A" w:rsidRPr="0029453C" w:rsidRDefault="0009323A" w:rsidP="0009323A">
      <w:pPr>
        <w:pStyle w:val="BodyText"/>
        <w:spacing w:after="0"/>
        <w:rPr>
          <w:rFonts w:ascii="Times New Roman" w:hAnsi="Times New Roman"/>
          <w:color w:val="000000"/>
          <w:sz w:val="24"/>
          <w:szCs w:val="24"/>
        </w:rPr>
      </w:pPr>
      <w:r w:rsidRPr="0029453C">
        <w:rPr>
          <w:rFonts w:ascii="Times New Roman" w:hAnsi="Times New Roman"/>
          <w:sz w:val="24"/>
          <w:szCs w:val="24"/>
        </w:rPr>
        <w:t xml:space="preserve">The estimated median OS was 14.5 months (95% CI: 13.0, 16.0) in the </w:t>
      </w:r>
      <w:proofErr w:type="spellStart"/>
      <w:r w:rsidRPr="0029453C">
        <w:rPr>
          <w:rFonts w:ascii="Times New Roman" w:hAnsi="Times New Roman"/>
          <w:sz w:val="24"/>
          <w:szCs w:val="24"/>
        </w:rPr>
        <w:t>panitumumab</w:t>
      </w:r>
      <w:proofErr w:type="spellEnd"/>
      <w:r w:rsidRPr="0029453C">
        <w:rPr>
          <w:rFonts w:ascii="Times New Roman" w:hAnsi="Times New Roman"/>
          <w:sz w:val="24"/>
          <w:szCs w:val="24"/>
        </w:rPr>
        <w:t xml:space="preserve"> plus FOLFIRI arm and 12.5 months (95% CI: 11.2, 14.2) in the FOLFIRI alone arm, an absolute difference of 2.0 months.  The OS difference did not achieve statistical significance (p = 0.</w:t>
      </w:r>
      <w:r w:rsidR="009135A1" w:rsidRPr="0029453C">
        <w:rPr>
          <w:rFonts w:ascii="Times New Roman" w:hAnsi="Times New Roman"/>
          <w:sz w:val="24"/>
          <w:szCs w:val="24"/>
        </w:rPr>
        <w:t>1154</w:t>
      </w:r>
      <w:r w:rsidRPr="0029453C">
        <w:rPr>
          <w:rFonts w:ascii="Times New Roman" w:hAnsi="Times New Roman"/>
          <w:sz w:val="24"/>
          <w:szCs w:val="24"/>
        </w:rPr>
        <w:t>).  The hazard ratio was 0.</w:t>
      </w:r>
      <w:r w:rsidR="009135A1" w:rsidRPr="0029453C">
        <w:rPr>
          <w:rFonts w:ascii="Times New Roman" w:hAnsi="Times New Roman"/>
          <w:sz w:val="24"/>
          <w:szCs w:val="24"/>
        </w:rPr>
        <w:t>854</w:t>
      </w:r>
      <w:r w:rsidRPr="0029453C">
        <w:rPr>
          <w:rFonts w:ascii="Times New Roman" w:hAnsi="Times New Roman"/>
          <w:sz w:val="24"/>
          <w:szCs w:val="24"/>
        </w:rPr>
        <w:t xml:space="preserve"> (95% CI: 0.7</w:t>
      </w:r>
      <w:r w:rsidR="009135A1" w:rsidRPr="0029453C">
        <w:rPr>
          <w:rFonts w:ascii="Times New Roman" w:hAnsi="Times New Roman"/>
          <w:sz w:val="24"/>
          <w:szCs w:val="24"/>
        </w:rPr>
        <w:t>02</w:t>
      </w:r>
      <w:r w:rsidRPr="0029453C">
        <w:rPr>
          <w:rFonts w:ascii="Times New Roman" w:hAnsi="Times New Roman"/>
          <w:sz w:val="24"/>
          <w:szCs w:val="24"/>
        </w:rPr>
        <w:t>, 1.</w:t>
      </w:r>
      <w:r w:rsidR="009135A1" w:rsidRPr="0029453C">
        <w:rPr>
          <w:rFonts w:ascii="Times New Roman" w:hAnsi="Times New Roman"/>
          <w:sz w:val="24"/>
          <w:szCs w:val="24"/>
        </w:rPr>
        <w:t>039</w:t>
      </w:r>
      <w:r w:rsidRPr="0029453C">
        <w:rPr>
          <w:rFonts w:ascii="Times New Roman" w:hAnsi="Times New Roman"/>
          <w:sz w:val="24"/>
          <w:szCs w:val="24"/>
        </w:rPr>
        <w:t xml:space="preserve">), favouring the </w:t>
      </w:r>
      <w:proofErr w:type="spellStart"/>
      <w:r w:rsidRPr="0029453C">
        <w:rPr>
          <w:rFonts w:ascii="Times New Roman" w:hAnsi="Times New Roman"/>
          <w:sz w:val="24"/>
          <w:szCs w:val="24"/>
        </w:rPr>
        <w:t>panitumumab</w:t>
      </w:r>
      <w:proofErr w:type="spellEnd"/>
      <w:r w:rsidRPr="0029453C">
        <w:rPr>
          <w:rFonts w:ascii="Times New Roman" w:hAnsi="Times New Roman"/>
          <w:sz w:val="24"/>
          <w:szCs w:val="24"/>
        </w:rPr>
        <w:t xml:space="preserve"> plus FOLFIRI arm. </w:t>
      </w:r>
      <w:r w:rsidR="00BE327D" w:rsidRPr="0029453C">
        <w:rPr>
          <w:rFonts w:ascii="Times New Roman" w:hAnsi="Times New Roman"/>
          <w:sz w:val="24"/>
          <w:szCs w:val="24"/>
        </w:rPr>
        <w:t xml:space="preserve"> The</w:t>
      </w:r>
      <w:r w:rsidRPr="0029453C">
        <w:rPr>
          <w:rFonts w:ascii="Times New Roman" w:hAnsi="Times New Roman"/>
          <w:sz w:val="24"/>
          <w:szCs w:val="24"/>
        </w:rPr>
        <w:t xml:space="preserve"> estimated OS rate (95% CI) at twelve (12) months was 59% (53%, 64%) in the </w:t>
      </w:r>
      <w:proofErr w:type="spellStart"/>
      <w:r w:rsidRPr="0029453C">
        <w:rPr>
          <w:rFonts w:ascii="Times New Roman" w:hAnsi="Times New Roman"/>
          <w:sz w:val="24"/>
          <w:szCs w:val="24"/>
        </w:rPr>
        <w:t>panitumumab</w:t>
      </w:r>
      <w:proofErr w:type="spellEnd"/>
      <w:r w:rsidRPr="0029453C">
        <w:rPr>
          <w:rFonts w:ascii="Times New Roman" w:hAnsi="Times New Roman"/>
          <w:sz w:val="24"/>
          <w:szCs w:val="24"/>
        </w:rPr>
        <w:t xml:space="preserve"> plus FOLFIRI arm and 53% (47%, 59%) in the FOLFIRI alone arm.</w:t>
      </w:r>
      <w:r w:rsidR="006E1863" w:rsidRPr="0029453C">
        <w:rPr>
          <w:rFonts w:ascii="Times New Roman" w:hAnsi="Times New Roman"/>
          <w:sz w:val="24"/>
          <w:szCs w:val="24"/>
        </w:rPr>
        <w:t xml:space="preserve">  The estimated OS rate (95% CI) at eighteen (18) months was 40% (35%, 46%) in the </w:t>
      </w:r>
      <w:proofErr w:type="spellStart"/>
      <w:r w:rsidR="006E1863" w:rsidRPr="0029453C">
        <w:rPr>
          <w:rFonts w:ascii="Times New Roman" w:hAnsi="Times New Roman"/>
          <w:sz w:val="24"/>
          <w:szCs w:val="24"/>
        </w:rPr>
        <w:t>panitumumab</w:t>
      </w:r>
      <w:proofErr w:type="spellEnd"/>
      <w:r w:rsidR="006E1863" w:rsidRPr="0029453C">
        <w:rPr>
          <w:rFonts w:ascii="Times New Roman" w:hAnsi="Times New Roman"/>
          <w:sz w:val="24"/>
          <w:szCs w:val="24"/>
        </w:rPr>
        <w:t xml:space="preserve"> plus FOLFIRI arm and 33% (27%, 39%) in the FOLFIRI alone arm.</w:t>
      </w:r>
    </w:p>
    <w:p w:rsidR="006E1863" w:rsidRDefault="006E1863" w:rsidP="0009323A">
      <w:pPr>
        <w:pStyle w:val="BodyText"/>
        <w:spacing w:after="0"/>
        <w:rPr>
          <w:rFonts w:ascii="Times New Roman" w:hAnsi="Times New Roman"/>
          <w:color w:val="000000"/>
          <w:sz w:val="24"/>
          <w:szCs w:val="24"/>
          <w:u w:val="single"/>
        </w:rPr>
      </w:pPr>
    </w:p>
    <w:p w:rsidR="00AC361F" w:rsidRPr="0029453C" w:rsidRDefault="00AC361F" w:rsidP="00AC361F">
      <w:pPr>
        <w:pStyle w:val="BodyText"/>
        <w:tabs>
          <w:tab w:val="clear" w:pos="72"/>
          <w:tab w:val="clear" w:pos="9540"/>
        </w:tabs>
        <w:adjustRightInd/>
        <w:spacing w:after="0"/>
        <w:textAlignment w:val="auto"/>
        <w:rPr>
          <w:rFonts w:ascii="Times New Roman" w:hAnsi="Times New Roman"/>
          <w:sz w:val="24"/>
          <w:szCs w:val="20"/>
        </w:rPr>
      </w:pPr>
      <w:r w:rsidRPr="0029453C">
        <w:rPr>
          <w:rFonts w:ascii="Times New Roman" w:hAnsi="Times New Roman"/>
          <w:sz w:val="24"/>
          <w:szCs w:val="20"/>
        </w:rPr>
        <w:t>Subsequent chemotherapy (</w:t>
      </w:r>
      <w:proofErr w:type="spellStart"/>
      <w:r w:rsidRPr="0029453C">
        <w:rPr>
          <w:rFonts w:ascii="Times New Roman" w:hAnsi="Times New Roman"/>
          <w:sz w:val="24"/>
          <w:szCs w:val="20"/>
        </w:rPr>
        <w:t>irinotecan</w:t>
      </w:r>
      <w:proofErr w:type="spellEnd"/>
      <w:r w:rsidRPr="0029453C">
        <w:rPr>
          <w:rFonts w:ascii="Times New Roman" w:hAnsi="Times New Roman"/>
          <w:sz w:val="24"/>
          <w:szCs w:val="20"/>
        </w:rPr>
        <w:t xml:space="preserve">, </w:t>
      </w:r>
      <w:proofErr w:type="spellStart"/>
      <w:r w:rsidRPr="0029453C">
        <w:rPr>
          <w:rFonts w:ascii="Times New Roman" w:hAnsi="Times New Roman"/>
          <w:sz w:val="24"/>
          <w:szCs w:val="20"/>
        </w:rPr>
        <w:t>oxaliplatin</w:t>
      </w:r>
      <w:proofErr w:type="spellEnd"/>
      <w:r w:rsidRPr="0029453C">
        <w:rPr>
          <w:rFonts w:ascii="Times New Roman" w:hAnsi="Times New Roman"/>
          <w:sz w:val="24"/>
          <w:szCs w:val="20"/>
        </w:rPr>
        <w:t xml:space="preserve">, or </w:t>
      </w:r>
      <w:proofErr w:type="spellStart"/>
      <w:r w:rsidRPr="0029453C">
        <w:rPr>
          <w:rFonts w:ascii="Times New Roman" w:hAnsi="Times New Roman"/>
          <w:sz w:val="24"/>
          <w:szCs w:val="20"/>
        </w:rPr>
        <w:t>fluoropyrimidine</w:t>
      </w:r>
      <w:proofErr w:type="spellEnd"/>
      <w:r w:rsidRPr="0029453C">
        <w:rPr>
          <w:rFonts w:ascii="Times New Roman" w:hAnsi="Times New Roman"/>
          <w:sz w:val="24"/>
          <w:szCs w:val="20"/>
        </w:rPr>
        <w:t xml:space="preserve">) was given to 142 (47%) patients in the </w:t>
      </w:r>
      <w:proofErr w:type="spellStart"/>
      <w:r w:rsidRPr="0029453C">
        <w:rPr>
          <w:rFonts w:ascii="Times New Roman" w:hAnsi="Times New Roman"/>
          <w:sz w:val="24"/>
          <w:szCs w:val="20"/>
        </w:rPr>
        <w:t>panitumumab</w:t>
      </w:r>
      <w:proofErr w:type="spellEnd"/>
      <w:r w:rsidRPr="0029453C">
        <w:rPr>
          <w:rFonts w:ascii="Times New Roman" w:hAnsi="Times New Roman"/>
          <w:sz w:val="24"/>
          <w:szCs w:val="20"/>
        </w:rPr>
        <w:t xml:space="preserve"> plus FOLFIRI arm and 142 (48%) patients in the FOLFIRI alone arm.  Subsequent anti-EGFR therapy was received by 31 (10%) patients in the </w:t>
      </w:r>
      <w:proofErr w:type="spellStart"/>
      <w:r w:rsidRPr="0029453C">
        <w:rPr>
          <w:rFonts w:ascii="Times New Roman" w:hAnsi="Times New Roman"/>
          <w:sz w:val="24"/>
          <w:szCs w:val="20"/>
        </w:rPr>
        <w:t>panitumumab</w:t>
      </w:r>
      <w:proofErr w:type="spellEnd"/>
      <w:r w:rsidRPr="0029453C">
        <w:rPr>
          <w:rFonts w:ascii="Times New Roman" w:hAnsi="Times New Roman"/>
          <w:sz w:val="24"/>
          <w:szCs w:val="20"/>
        </w:rPr>
        <w:t xml:space="preserve"> plus FOLFIRI arm and 90 (31%) patients in the FOLFIRI alone arm.  The median time to subsequent chemotherapy was 9.9 months in the </w:t>
      </w:r>
      <w:proofErr w:type="spellStart"/>
      <w:r w:rsidRPr="0029453C">
        <w:rPr>
          <w:rFonts w:ascii="Times New Roman" w:hAnsi="Times New Roman"/>
          <w:sz w:val="24"/>
          <w:szCs w:val="20"/>
        </w:rPr>
        <w:t>panitumumab</w:t>
      </w:r>
      <w:proofErr w:type="spellEnd"/>
      <w:r w:rsidRPr="0029453C">
        <w:rPr>
          <w:rFonts w:ascii="Times New Roman" w:hAnsi="Times New Roman"/>
          <w:sz w:val="24"/>
          <w:szCs w:val="20"/>
        </w:rPr>
        <w:t xml:space="preserve"> plus FOLFIRI arm and 7.6 months in the FOLFIRI alone arm. The median time to anti-EGFR therapy was 11.8 months (</w:t>
      </w:r>
      <w:proofErr w:type="spellStart"/>
      <w:r w:rsidRPr="0029453C">
        <w:rPr>
          <w:rFonts w:ascii="Times New Roman" w:hAnsi="Times New Roman"/>
          <w:sz w:val="24"/>
          <w:szCs w:val="20"/>
        </w:rPr>
        <w:t>panitumumab</w:t>
      </w:r>
      <w:proofErr w:type="spellEnd"/>
      <w:r w:rsidRPr="0029453C">
        <w:rPr>
          <w:rFonts w:ascii="Times New Roman" w:hAnsi="Times New Roman"/>
          <w:sz w:val="24"/>
          <w:szCs w:val="20"/>
        </w:rPr>
        <w:t xml:space="preserve"> plus FOLFIRI) and 7.6 months (FOLFIRI alone).  </w:t>
      </w:r>
      <w:r w:rsidR="00E73BC1" w:rsidRPr="0029453C">
        <w:rPr>
          <w:rFonts w:ascii="Times New Roman" w:hAnsi="Times New Roman"/>
          <w:sz w:val="24"/>
          <w:szCs w:val="20"/>
        </w:rPr>
        <w:t>The role of subsequent chemotherapy or anti-EGFR therapy on the estimated OS treatment effect is unknown</w:t>
      </w:r>
      <w:r w:rsidR="00F02F45">
        <w:rPr>
          <w:rFonts w:ascii="Times New Roman" w:hAnsi="Times New Roman"/>
          <w:sz w:val="24"/>
          <w:szCs w:val="20"/>
        </w:rPr>
        <w:t>.</w:t>
      </w:r>
    </w:p>
    <w:p w:rsidR="00454553" w:rsidRDefault="00454553" w:rsidP="0009323A">
      <w:pPr>
        <w:pStyle w:val="BodyText"/>
        <w:spacing w:after="0"/>
        <w:rPr>
          <w:rFonts w:ascii="Times New Roman" w:hAnsi="Times New Roman"/>
          <w:color w:val="000000"/>
          <w:sz w:val="24"/>
          <w:szCs w:val="24"/>
          <w:u w:val="single"/>
        </w:rPr>
      </w:pPr>
    </w:p>
    <w:p w:rsidR="00D6031F" w:rsidRDefault="0044559B" w:rsidP="00D6031F">
      <w:pPr>
        <w:pStyle w:val="BodyTextIndent"/>
        <w:tabs>
          <w:tab w:val="left" w:pos="443"/>
        </w:tabs>
        <w:overflowPunct w:val="0"/>
        <w:autoSpaceDE w:val="0"/>
        <w:autoSpaceDN w:val="0"/>
        <w:adjustRightInd w:val="0"/>
        <w:spacing w:after="0"/>
        <w:ind w:left="0"/>
        <w:textAlignment w:val="baseline"/>
      </w:pPr>
      <w:r>
        <w:rPr>
          <w:sz w:val="24"/>
          <w:lang w:val="en-AU"/>
        </w:rPr>
        <w:t>Although i</w:t>
      </w:r>
      <w:r w:rsidR="009E6693" w:rsidRPr="0029453C">
        <w:rPr>
          <w:sz w:val="24"/>
          <w:lang w:val="en-AU"/>
        </w:rPr>
        <w:t xml:space="preserve">n </w:t>
      </w:r>
      <w:r w:rsidR="00E21481" w:rsidRPr="0029453C">
        <w:rPr>
          <w:sz w:val="24"/>
          <w:lang w:val="en-AU"/>
        </w:rPr>
        <w:t xml:space="preserve">an exploratory covariate analysis of patients, </w:t>
      </w:r>
      <w:r w:rsidR="009E6693" w:rsidRPr="0029453C">
        <w:rPr>
          <w:sz w:val="24"/>
          <w:lang w:val="en-AU"/>
        </w:rPr>
        <w:t xml:space="preserve">longer median OS was observed in the </w:t>
      </w:r>
      <w:proofErr w:type="spellStart"/>
      <w:r w:rsidR="009E6693" w:rsidRPr="0029453C">
        <w:rPr>
          <w:sz w:val="24"/>
          <w:lang w:val="en-AU"/>
        </w:rPr>
        <w:t>panitumumab</w:t>
      </w:r>
      <w:proofErr w:type="spellEnd"/>
      <w:r w:rsidR="009E6693" w:rsidRPr="0029453C">
        <w:rPr>
          <w:sz w:val="24"/>
          <w:lang w:val="en-AU"/>
        </w:rPr>
        <w:t xml:space="preserve"> plus FOLFIRI arm than in the FOLFIRI alone arm regardless of ECOG performance status</w:t>
      </w:r>
      <w:r w:rsidR="00454553">
        <w:rPr>
          <w:sz w:val="24"/>
          <w:lang w:val="en-AU"/>
        </w:rPr>
        <w:t xml:space="preserve">, the efficacy gains with the combination were smaller in patients with an ECOG performance status 2 (0.9 months for ECOG 2 vs. 1.9 months for ECOG 0 or 1). </w:t>
      </w:r>
    </w:p>
    <w:p w:rsidR="00D6031F" w:rsidRDefault="00D6031F" w:rsidP="0009323A">
      <w:pPr>
        <w:pStyle w:val="BodyText"/>
        <w:spacing w:after="0"/>
        <w:rPr>
          <w:rFonts w:ascii="Times New Roman" w:hAnsi="Times New Roman"/>
          <w:color w:val="000000"/>
          <w:sz w:val="24"/>
          <w:szCs w:val="24"/>
          <w:u w:val="single"/>
        </w:rPr>
      </w:pPr>
    </w:p>
    <w:p w:rsidR="00D6031F" w:rsidRPr="00545135" w:rsidRDefault="00D6031F" w:rsidP="00D6031F">
      <w:pPr>
        <w:pStyle w:val="Caption"/>
        <w:rPr>
          <w:rFonts w:cs="Arial"/>
          <w:sz w:val="22"/>
          <w:szCs w:val="22"/>
        </w:rPr>
      </w:pPr>
      <w:bookmarkStart w:id="3" w:name="_Ref292338260"/>
      <w:bookmarkStart w:id="4" w:name="_Toc298933587"/>
      <w:r w:rsidRPr="00545135">
        <w:rPr>
          <w:rFonts w:cs="Arial"/>
          <w:sz w:val="22"/>
          <w:szCs w:val="22"/>
        </w:rPr>
        <w:lastRenderedPageBreak/>
        <w:t xml:space="preserve">Table </w:t>
      </w:r>
      <w:bookmarkEnd w:id="3"/>
      <w:r>
        <w:rPr>
          <w:rFonts w:cs="Arial"/>
          <w:sz w:val="22"/>
          <w:szCs w:val="22"/>
        </w:rPr>
        <w:t>2</w:t>
      </w:r>
      <w:r w:rsidRPr="00545135">
        <w:rPr>
          <w:rFonts w:cs="Arial"/>
          <w:sz w:val="22"/>
          <w:szCs w:val="22"/>
        </w:rPr>
        <w:t xml:space="preserve">.  Study 20050181:  Efficacy </w:t>
      </w:r>
      <w:r w:rsidR="00C4263F">
        <w:rPr>
          <w:rFonts w:cs="Arial"/>
          <w:sz w:val="22"/>
          <w:szCs w:val="22"/>
        </w:rPr>
        <w:t xml:space="preserve">Results </w:t>
      </w:r>
      <w:r w:rsidRPr="00545135">
        <w:rPr>
          <w:rFonts w:cs="Arial"/>
          <w:sz w:val="22"/>
          <w:szCs w:val="22"/>
        </w:rPr>
        <w:t xml:space="preserve">by Performance Status in Subjects with Wild-type </w:t>
      </w:r>
      <w:r w:rsidRPr="00545135">
        <w:rPr>
          <w:rFonts w:cs="Arial"/>
          <w:i/>
          <w:sz w:val="22"/>
          <w:szCs w:val="22"/>
        </w:rPr>
        <w:t>KRAS</w:t>
      </w:r>
      <w:r w:rsidRPr="00545135">
        <w:rPr>
          <w:rFonts w:cs="Arial"/>
          <w:sz w:val="22"/>
          <w:szCs w:val="22"/>
        </w:rPr>
        <w:t xml:space="preserve"> </w:t>
      </w:r>
      <w:bookmarkEnd w:id="4"/>
    </w:p>
    <w:tbl>
      <w:tblPr>
        <w:tblW w:w="8360" w:type="dxa"/>
        <w:tblCellMar>
          <w:left w:w="0" w:type="dxa"/>
          <w:right w:w="0" w:type="dxa"/>
        </w:tblCellMar>
        <w:tblLook w:val="04A0"/>
      </w:tblPr>
      <w:tblGrid>
        <w:gridCol w:w="2816"/>
        <w:gridCol w:w="1389"/>
        <w:gridCol w:w="17"/>
        <w:gridCol w:w="1373"/>
        <w:gridCol w:w="1382"/>
        <w:gridCol w:w="36"/>
        <w:gridCol w:w="1347"/>
      </w:tblGrid>
      <w:tr w:rsidR="00D6031F" w:rsidRPr="00545135" w:rsidTr="00F802A0">
        <w:trPr>
          <w:trHeight w:val="413"/>
        </w:trPr>
        <w:tc>
          <w:tcPr>
            <w:tcW w:w="2816" w:type="dxa"/>
            <w:vMerge w:val="restart"/>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rPr>
                <w:rFonts w:cs="Arial"/>
              </w:rPr>
            </w:pPr>
          </w:p>
        </w:tc>
        <w:tc>
          <w:tcPr>
            <w:tcW w:w="2779" w:type="dxa"/>
            <w:gridSpan w:val="3"/>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rPr>
            </w:pPr>
            <w:r w:rsidRPr="00545135">
              <w:rPr>
                <w:rFonts w:cs="Arial"/>
                <w:bCs/>
              </w:rPr>
              <w:t>ECOG 0/1</w:t>
            </w:r>
          </w:p>
        </w:tc>
        <w:tc>
          <w:tcPr>
            <w:tcW w:w="2765" w:type="dxa"/>
            <w:gridSpan w:val="3"/>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rPr>
            </w:pPr>
            <w:r w:rsidRPr="00545135">
              <w:rPr>
                <w:rFonts w:cs="Arial"/>
                <w:bCs/>
              </w:rPr>
              <w:t>ECOG 2</w:t>
            </w:r>
          </w:p>
        </w:tc>
      </w:tr>
      <w:tr w:rsidR="00D6031F" w:rsidRPr="00545135" w:rsidTr="00F802A0">
        <w:trPr>
          <w:trHeight w:val="758"/>
        </w:trPr>
        <w:tc>
          <w:tcPr>
            <w:tcW w:w="0" w:type="auto"/>
            <w:vMerge/>
            <w:tcBorders>
              <w:top w:val="single" w:sz="18" w:space="0" w:color="000000"/>
              <w:left w:val="single" w:sz="8" w:space="0" w:color="000000"/>
              <w:bottom w:val="single" w:sz="8" w:space="0" w:color="000000"/>
              <w:right w:val="single" w:sz="8" w:space="0" w:color="000000"/>
            </w:tcBorders>
            <w:shd w:val="clear" w:color="auto" w:fill="auto"/>
            <w:vAlign w:val="center"/>
            <w:hideMark/>
          </w:tcPr>
          <w:p w:rsidR="00D6031F" w:rsidRPr="00545135" w:rsidRDefault="00D6031F" w:rsidP="00F802A0">
            <w:pPr>
              <w:pStyle w:val="Text"/>
              <w:keepNext/>
              <w:spacing w:after="0"/>
              <w:rPr>
                <w:rFonts w:cs="Arial"/>
              </w:rPr>
            </w:pPr>
          </w:p>
        </w:tc>
        <w:tc>
          <w:tcPr>
            <w:tcW w:w="1406" w:type="dxa"/>
            <w:gridSpan w:val="2"/>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vertAlign w:val="superscript"/>
              </w:rPr>
            </w:pPr>
            <w:proofErr w:type="spellStart"/>
            <w:r w:rsidRPr="00545135">
              <w:rPr>
                <w:rFonts w:cs="Arial"/>
                <w:bCs/>
              </w:rPr>
              <w:t>Panitumumab</w:t>
            </w:r>
            <w:proofErr w:type="spellEnd"/>
            <w:r w:rsidRPr="00545135">
              <w:rPr>
                <w:rFonts w:cs="Arial"/>
                <w:bCs/>
              </w:rPr>
              <w:t xml:space="preserve"> + FOLFIRI</w:t>
            </w:r>
            <w:r w:rsidRPr="00545135">
              <w:rPr>
                <w:rFonts w:cs="Arial"/>
                <w:bCs/>
              </w:rPr>
              <w:br/>
              <w:t>n = 291</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vertAlign w:val="superscript"/>
              </w:rPr>
            </w:pPr>
            <w:r w:rsidRPr="00545135">
              <w:rPr>
                <w:rFonts w:cs="Arial"/>
                <w:bCs/>
              </w:rPr>
              <w:t>FOLFIRI Alone</w:t>
            </w:r>
            <w:r w:rsidRPr="00545135">
              <w:rPr>
                <w:rFonts w:cs="Arial"/>
                <w:bCs/>
              </w:rPr>
              <w:br/>
              <w:t>n = 278</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vertAlign w:val="superscript"/>
              </w:rPr>
            </w:pPr>
            <w:proofErr w:type="spellStart"/>
            <w:r w:rsidRPr="00545135">
              <w:rPr>
                <w:rFonts w:cs="Arial"/>
                <w:bCs/>
              </w:rPr>
              <w:t>Panitumumab</w:t>
            </w:r>
            <w:proofErr w:type="spellEnd"/>
            <w:r w:rsidRPr="00545135">
              <w:rPr>
                <w:rFonts w:cs="Arial"/>
                <w:bCs/>
                <w:vertAlign w:val="superscript"/>
              </w:rPr>
              <w:t xml:space="preserve"> </w:t>
            </w:r>
            <w:r w:rsidRPr="00545135">
              <w:rPr>
                <w:rFonts w:cs="Arial"/>
                <w:bCs/>
              </w:rPr>
              <w:t>+ FOLFIRI</w:t>
            </w:r>
            <w:r w:rsidRPr="00545135">
              <w:rPr>
                <w:rFonts w:cs="Arial"/>
                <w:bCs/>
              </w:rPr>
              <w:br/>
              <w:t>n = 12</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vertAlign w:val="superscript"/>
              </w:rPr>
            </w:pPr>
            <w:r w:rsidRPr="00545135">
              <w:rPr>
                <w:rFonts w:cs="Arial"/>
                <w:bCs/>
              </w:rPr>
              <w:t>FOLFIRI Alone</w:t>
            </w:r>
            <w:r w:rsidRPr="00545135">
              <w:rPr>
                <w:rFonts w:cs="Arial"/>
                <w:bCs/>
              </w:rPr>
              <w:br/>
              <w:t>n = 16</w:t>
            </w:r>
          </w:p>
        </w:tc>
      </w:tr>
      <w:tr w:rsidR="00D6031F" w:rsidRPr="00545135" w:rsidTr="00F802A0">
        <w:trPr>
          <w:trHeight w:val="413"/>
        </w:trPr>
        <w:tc>
          <w:tcPr>
            <w:tcW w:w="2816"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rPr>
                <w:rFonts w:cs="Arial"/>
              </w:rPr>
            </w:pPr>
            <w:r w:rsidRPr="00545135">
              <w:rPr>
                <w:rFonts w:cs="Arial"/>
              </w:rPr>
              <w:t>PFS Hazard Ratio (95% CI)</w:t>
            </w:r>
            <w:r w:rsidR="00E92C39">
              <w:rPr>
                <w:rFonts w:cs="Arial"/>
              </w:rPr>
              <w:t>; p-value</w:t>
            </w:r>
            <w:r w:rsidRPr="00545135">
              <w:rPr>
                <w:rFonts w:cs="Arial"/>
              </w:rPr>
              <w:t xml:space="preserve"> </w:t>
            </w:r>
          </w:p>
        </w:tc>
        <w:tc>
          <w:tcPr>
            <w:tcW w:w="2779" w:type="dxa"/>
            <w:gridSpan w:val="3"/>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F02F45" w:rsidRDefault="00D6031F" w:rsidP="00F802A0">
            <w:pPr>
              <w:pStyle w:val="Text"/>
              <w:keepNext/>
              <w:spacing w:after="0"/>
              <w:jc w:val="center"/>
              <w:rPr>
                <w:rFonts w:cs="Arial"/>
              </w:rPr>
            </w:pPr>
            <w:r w:rsidRPr="00545135">
              <w:rPr>
                <w:rFonts w:cs="Arial"/>
              </w:rPr>
              <w:t>0.72 (0.58, 0.89)</w:t>
            </w:r>
            <w:r w:rsidR="009617F0">
              <w:rPr>
                <w:rFonts w:cs="Arial"/>
              </w:rPr>
              <w:t xml:space="preserve">; </w:t>
            </w:r>
          </w:p>
          <w:p w:rsidR="00D6031F" w:rsidRPr="00545135" w:rsidRDefault="009617F0" w:rsidP="00F802A0">
            <w:pPr>
              <w:pStyle w:val="Text"/>
              <w:keepNext/>
              <w:spacing w:after="0"/>
              <w:jc w:val="center"/>
              <w:rPr>
                <w:rFonts w:cs="Arial"/>
              </w:rPr>
            </w:pPr>
            <w:r>
              <w:rPr>
                <w:rFonts w:cs="Arial"/>
              </w:rPr>
              <w:t>p = 0.002</w:t>
            </w:r>
          </w:p>
        </w:tc>
        <w:tc>
          <w:tcPr>
            <w:tcW w:w="2765" w:type="dxa"/>
            <w:gridSpan w:val="3"/>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F02F45" w:rsidRDefault="00D6031F" w:rsidP="00F802A0">
            <w:pPr>
              <w:pStyle w:val="Text"/>
              <w:keepNext/>
              <w:spacing w:after="0"/>
              <w:jc w:val="center"/>
              <w:rPr>
                <w:rFonts w:cs="Arial"/>
              </w:rPr>
            </w:pPr>
            <w:r w:rsidRPr="00545135">
              <w:rPr>
                <w:rFonts w:cs="Arial"/>
              </w:rPr>
              <w:t>1.16 (0.45, 2.98)</w:t>
            </w:r>
            <w:r w:rsidR="009617F0">
              <w:rPr>
                <w:rFonts w:cs="Arial"/>
              </w:rPr>
              <w:t xml:space="preserve">; </w:t>
            </w:r>
          </w:p>
          <w:p w:rsidR="00D6031F" w:rsidRPr="00545135" w:rsidRDefault="009617F0" w:rsidP="00F802A0">
            <w:pPr>
              <w:pStyle w:val="Text"/>
              <w:keepNext/>
              <w:spacing w:after="0"/>
              <w:jc w:val="center"/>
              <w:rPr>
                <w:rFonts w:cs="Arial"/>
              </w:rPr>
            </w:pPr>
            <w:r>
              <w:rPr>
                <w:rFonts w:cs="Arial"/>
              </w:rPr>
              <w:t>p = 0.753</w:t>
            </w:r>
          </w:p>
        </w:tc>
      </w:tr>
      <w:tr w:rsidR="00D6031F" w:rsidRPr="00545135" w:rsidTr="00F802A0">
        <w:trPr>
          <w:trHeight w:val="416"/>
        </w:trPr>
        <w:tc>
          <w:tcPr>
            <w:tcW w:w="2816"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rPr>
                <w:rFonts w:cs="Arial"/>
              </w:rPr>
            </w:pPr>
            <w:r w:rsidRPr="00545135">
              <w:rPr>
                <w:rFonts w:cs="Arial"/>
              </w:rPr>
              <w:t>Median PFS (mo</w:t>
            </w:r>
            <w:r w:rsidR="00E92C39">
              <w:rPr>
                <w:rFonts w:cs="Arial"/>
              </w:rPr>
              <w:t>nth</w:t>
            </w:r>
            <w:r w:rsidRPr="00545135">
              <w:rPr>
                <w:rFonts w:cs="Arial"/>
              </w:rPr>
              <w:t>s)</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rPr>
            </w:pPr>
            <w:r w:rsidRPr="00545135">
              <w:rPr>
                <w:rFonts w:cs="Arial"/>
              </w:rPr>
              <w:t>5.9</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6031F" w:rsidRPr="00545135" w:rsidRDefault="00D6031F" w:rsidP="00F802A0">
            <w:pPr>
              <w:pStyle w:val="Text"/>
              <w:keepNext/>
              <w:spacing w:after="0"/>
              <w:jc w:val="center"/>
              <w:rPr>
                <w:rFonts w:cs="Arial"/>
              </w:rPr>
            </w:pPr>
            <w:r w:rsidRPr="00545135">
              <w:rPr>
                <w:rFonts w:cs="Arial"/>
              </w:rPr>
              <w:t>3.9</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rPr>
            </w:pPr>
            <w:r w:rsidRPr="00545135">
              <w:rPr>
                <w:rFonts w:cs="Arial"/>
              </w:rPr>
              <w:t>3.1</w:t>
            </w:r>
          </w:p>
        </w:tc>
        <w:tc>
          <w:tcPr>
            <w:tcW w:w="138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6031F" w:rsidRPr="00545135" w:rsidRDefault="00D6031F" w:rsidP="00F802A0">
            <w:pPr>
              <w:pStyle w:val="Text"/>
              <w:keepNext/>
              <w:spacing w:after="0"/>
              <w:jc w:val="center"/>
              <w:rPr>
                <w:rFonts w:cs="Arial"/>
              </w:rPr>
            </w:pPr>
            <w:r w:rsidRPr="00545135">
              <w:rPr>
                <w:rFonts w:cs="Arial"/>
              </w:rPr>
              <w:t>2.8</w:t>
            </w:r>
          </w:p>
        </w:tc>
      </w:tr>
      <w:tr w:rsidR="00D6031F" w:rsidRPr="00545135" w:rsidTr="00F802A0">
        <w:trPr>
          <w:trHeight w:val="416"/>
        </w:trPr>
        <w:tc>
          <w:tcPr>
            <w:tcW w:w="2816"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rPr>
                <w:rFonts w:cs="Arial"/>
              </w:rPr>
            </w:pPr>
            <w:r w:rsidRPr="00545135">
              <w:rPr>
                <w:rFonts w:cs="Arial"/>
              </w:rPr>
              <w:t>OS Hazard Ratio (95% CI)</w:t>
            </w:r>
            <w:r w:rsidR="00E92C39">
              <w:rPr>
                <w:rFonts w:cs="Arial"/>
              </w:rPr>
              <w:t>; p-value</w:t>
            </w:r>
            <w:r w:rsidRPr="00545135">
              <w:rPr>
                <w:rFonts w:cs="Arial"/>
              </w:rPr>
              <w:t xml:space="preserve"> </w:t>
            </w:r>
          </w:p>
        </w:tc>
        <w:tc>
          <w:tcPr>
            <w:tcW w:w="2779" w:type="dxa"/>
            <w:gridSpan w:val="3"/>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F02F45" w:rsidRDefault="00D6031F" w:rsidP="00F802A0">
            <w:pPr>
              <w:pStyle w:val="Text"/>
              <w:keepNext/>
              <w:spacing w:after="0"/>
              <w:jc w:val="center"/>
              <w:rPr>
                <w:rFonts w:cs="Arial"/>
              </w:rPr>
            </w:pPr>
            <w:r w:rsidRPr="00E923DC">
              <w:rPr>
                <w:rFonts w:cs="Arial"/>
              </w:rPr>
              <w:t>0.84 (0.69, 1.03)</w:t>
            </w:r>
            <w:r w:rsidR="00E92C39" w:rsidRPr="00E923DC">
              <w:rPr>
                <w:rFonts w:cs="Arial"/>
              </w:rPr>
              <w:t xml:space="preserve">; </w:t>
            </w:r>
          </w:p>
          <w:p w:rsidR="00D6031F" w:rsidRPr="00E923DC" w:rsidRDefault="00E92C39" w:rsidP="00F802A0">
            <w:pPr>
              <w:pStyle w:val="Text"/>
              <w:keepNext/>
              <w:spacing w:after="0"/>
              <w:jc w:val="center"/>
              <w:rPr>
                <w:rFonts w:cs="Arial"/>
              </w:rPr>
            </w:pPr>
            <w:r w:rsidRPr="00E923DC">
              <w:rPr>
                <w:rFonts w:cs="Arial"/>
              </w:rPr>
              <w:t>p = 0.089</w:t>
            </w:r>
          </w:p>
        </w:tc>
        <w:tc>
          <w:tcPr>
            <w:tcW w:w="2765" w:type="dxa"/>
            <w:gridSpan w:val="3"/>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F02F45" w:rsidRDefault="00D6031F" w:rsidP="00F802A0">
            <w:pPr>
              <w:pStyle w:val="Text"/>
              <w:keepNext/>
              <w:spacing w:after="0"/>
              <w:jc w:val="center"/>
              <w:rPr>
                <w:rFonts w:cs="Arial"/>
              </w:rPr>
            </w:pPr>
            <w:r w:rsidRPr="00E923DC">
              <w:rPr>
                <w:rFonts w:cs="Arial"/>
              </w:rPr>
              <w:t>1.14 (0.51, 2.52)</w:t>
            </w:r>
            <w:r w:rsidR="00E92C39" w:rsidRPr="00E923DC">
              <w:rPr>
                <w:rFonts w:cs="Arial"/>
              </w:rPr>
              <w:t xml:space="preserve">; </w:t>
            </w:r>
          </w:p>
          <w:p w:rsidR="00D6031F" w:rsidRPr="00E923DC" w:rsidRDefault="00E92C39" w:rsidP="00F802A0">
            <w:pPr>
              <w:pStyle w:val="Text"/>
              <w:keepNext/>
              <w:spacing w:after="0"/>
              <w:jc w:val="center"/>
              <w:rPr>
                <w:rFonts w:cs="Arial"/>
              </w:rPr>
            </w:pPr>
            <w:r w:rsidRPr="00E923DC">
              <w:rPr>
                <w:rFonts w:cs="Arial"/>
              </w:rPr>
              <w:t>p = 0.75</w:t>
            </w:r>
            <w:r w:rsidR="009617F0">
              <w:rPr>
                <w:rFonts w:cs="Arial"/>
              </w:rPr>
              <w:t>5</w:t>
            </w:r>
          </w:p>
        </w:tc>
      </w:tr>
      <w:tr w:rsidR="00D6031F" w:rsidRPr="00545135" w:rsidTr="00F802A0">
        <w:trPr>
          <w:trHeight w:val="416"/>
        </w:trPr>
        <w:tc>
          <w:tcPr>
            <w:tcW w:w="2816"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rPr>
                <w:rFonts w:cs="Arial"/>
              </w:rPr>
            </w:pPr>
            <w:r w:rsidRPr="00545135">
              <w:rPr>
                <w:rFonts w:cs="Arial"/>
              </w:rPr>
              <w:t>Median OS (mo</w:t>
            </w:r>
            <w:r w:rsidR="00E92C39">
              <w:rPr>
                <w:rFonts w:cs="Arial"/>
              </w:rPr>
              <w:t>nth</w:t>
            </w:r>
            <w:r w:rsidRPr="00545135">
              <w:rPr>
                <w:rFonts w:cs="Arial"/>
              </w:rPr>
              <w:t>s)</w:t>
            </w:r>
          </w:p>
        </w:tc>
        <w:tc>
          <w:tcPr>
            <w:tcW w:w="1406" w:type="dxa"/>
            <w:gridSpan w:val="2"/>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rPr>
            </w:pPr>
            <w:r w:rsidRPr="00545135">
              <w:rPr>
                <w:rFonts w:cs="Arial"/>
              </w:rPr>
              <w:t>14.7</w:t>
            </w:r>
          </w:p>
        </w:tc>
        <w:tc>
          <w:tcPr>
            <w:tcW w:w="13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031F" w:rsidRPr="00545135" w:rsidRDefault="00D6031F" w:rsidP="00F802A0">
            <w:pPr>
              <w:pStyle w:val="Text"/>
              <w:keepNext/>
              <w:spacing w:after="0"/>
              <w:jc w:val="center"/>
              <w:rPr>
                <w:rFonts w:cs="Arial"/>
              </w:rPr>
            </w:pPr>
            <w:r w:rsidRPr="00545135">
              <w:rPr>
                <w:rFonts w:cs="Arial"/>
              </w:rPr>
              <w:t>12.8</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rPr>
            </w:pPr>
            <w:r w:rsidRPr="00545135">
              <w:rPr>
                <w:rFonts w:cs="Arial"/>
              </w:rPr>
              <w:t>5.7</w:t>
            </w:r>
          </w:p>
        </w:tc>
        <w:tc>
          <w:tcPr>
            <w:tcW w:w="13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031F" w:rsidRPr="00545135" w:rsidRDefault="00D6031F" w:rsidP="00F802A0">
            <w:pPr>
              <w:pStyle w:val="Text"/>
              <w:keepNext/>
              <w:spacing w:after="0"/>
              <w:jc w:val="center"/>
              <w:rPr>
                <w:rFonts w:cs="Arial"/>
              </w:rPr>
            </w:pPr>
            <w:r w:rsidRPr="00545135">
              <w:rPr>
                <w:rFonts w:cs="Arial"/>
              </w:rPr>
              <w:t>4.8</w:t>
            </w:r>
          </w:p>
        </w:tc>
      </w:tr>
      <w:tr w:rsidR="00D6031F" w:rsidRPr="00545135" w:rsidTr="00F802A0">
        <w:trPr>
          <w:trHeight w:val="462"/>
        </w:trPr>
        <w:tc>
          <w:tcPr>
            <w:tcW w:w="2816"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rPr>
                <w:rFonts w:cs="Arial"/>
                <w:vertAlign w:val="superscript"/>
              </w:rPr>
            </w:pPr>
            <w:r w:rsidRPr="00545135">
              <w:rPr>
                <w:rFonts w:cs="Arial"/>
              </w:rPr>
              <w:t xml:space="preserve">Objective Response </w:t>
            </w:r>
            <w:proofErr w:type="spellStart"/>
            <w:r w:rsidRPr="00545135">
              <w:rPr>
                <w:rFonts w:cs="Arial"/>
              </w:rPr>
              <w:t>Rate</w:t>
            </w:r>
            <w:r w:rsidR="00E923DC">
              <w:rPr>
                <w:rFonts w:cs="Arial"/>
                <w:vertAlign w:val="superscript"/>
              </w:rPr>
              <w:t>a</w:t>
            </w:r>
            <w:proofErr w:type="spellEnd"/>
          </w:p>
        </w:tc>
        <w:tc>
          <w:tcPr>
            <w:tcW w:w="1406" w:type="dxa"/>
            <w:gridSpan w:val="2"/>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rPr>
            </w:pPr>
            <w:r w:rsidRPr="00545135">
              <w:rPr>
                <w:rFonts w:cs="Arial"/>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rPr>
            </w:pPr>
            <w:r w:rsidRPr="00545135">
              <w:rPr>
                <w:rFonts w:cs="Arial"/>
              </w:rPr>
              <w:t>10%</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rPr>
            </w:pPr>
            <w:r w:rsidRPr="00545135">
              <w:rPr>
                <w:rFonts w:cs="Arial"/>
              </w:rPr>
              <w:t>9%</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86" w:type="dxa"/>
              <w:left w:w="86" w:type="dxa"/>
              <w:bottom w:w="86" w:type="dxa"/>
              <w:right w:w="86" w:type="dxa"/>
            </w:tcMar>
            <w:vAlign w:val="center"/>
            <w:hideMark/>
          </w:tcPr>
          <w:p w:rsidR="00D6031F" w:rsidRPr="00545135" w:rsidRDefault="00D6031F" w:rsidP="00F802A0">
            <w:pPr>
              <w:pStyle w:val="Text"/>
              <w:keepNext/>
              <w:spacing w:after="0"/>
              <w:jc w:val="center"/>
              <w:rPr>
                <w:rFonts w:cs="Arial"/>
              </w:rPr>
            </w:pPr>
            <w:r w:rsidRPr="00545135">
              <w:rPr>
                <w:rFonts w:cs="Arial"/>
              </w:rPr>
              <w:t>13%</w:t>
            </w:r>
          </w:p>
        </w:tc>
      </w:tr>
    </w:tbl>
    <w:p w:rsidR="00F02F45" w:rsidRDefault="00E923DC" w:rsidP="00E92C39">
      <w:pPr>
        <w:pStyle w:val="Text"/>
        <w:keepNext/>
        <w:spacing w:before="60" w:after="0"/>
        <w:rPr>
          <w:rFonts w:cs="Arial"/>
        </w:rPr>
      </w:pPr>
      <w:proofErr w:type="spellStart"/>
      <w:r w:rsidRPr="00E923DC">
        <w:rPr>
          <w:rFonts w:cs="Arial"/>
          <w:vertAlign w:val="superscript"/>
        </w:rPr>
        <w:t>a</w:t>
      </w:r>
      <w:proofErr w:type="spellEnd"/>
      <w:r w:rsidR="00280F45">
        <w:rPr>
          <w:rFonts w:cs="Arial"/>
          <w:vertAlign w:val="superscript"/>
        </w:rPr>
        <w:t xml:space="preserve"> </w:t>
      </w:r>
      <w:r w:rsidR="00E92C39">
        <w:rPr>
          <w:rFonts w:cs="Arial"/>
        </w:rPr>
        <w:t>Of patients with measurable disease</w:t>
      </w:r>
    </w:p>
    <w:p w:rsidR="00280F45" w:rsidRPr="00280F45" w:rsidRDefault="00280F45" w:rsidP="00E92C39">
      <w:pPr>
        <w:pStyle w:val="Text"/>
        <w:keepNext/>
        <w:spacing w:before="60" w:after="0"/>
        <w:rPr>
          <w:rFonts w:cs="Arial"/>
        </w:rPr>
      </w:pPr>
    </w:p>
    <w:p w:rsidR="006E1863" w:rsidRPr="0029453C" w:rsidRDefault="006E1863" w:rsidP="006E1863">
      <w:pPr>
        <w:pStyle w:val="BodyTextIndent"/>
        <w:tabs>
          <w:tab w:val="left" w:pos="443"/>
        </w:tabs>
        <w:overflowPunct w:val="0"/>
        <w:autoSpaceDE w:val="0"/>
        <w:autoSpaceDN w:val="0"/>
        <w:adjustRightInd w:val="0"/>
        <w:spacing w:after="0"/>
        <w:ind w:left="0"/>
        <w:textAlignment w:val="baseline"/>
        <w:rPr>
          <w:sz w:val="24"/>
          <w:lang w:val="en-AU"/>
        </w:rPr>
      </w:pPr>
      <w:r w:rsidRPr="0029453C">
        <w:rPr>
          <w:sz w:val="24"/>
          <w:lang w:val="en-AU"/>
        </w:rPr>
        <w:t xml:space="preserve">In combination with </w:t>
      </w:r>
      <w:proofErr w:type="spellStart"/>
      <w:r w:rsidRPr="0029453C">
        <w:rPr>
          <w:sz w:val="24"/>
          <w:lang w:val="en-AU"/>
        </w:rPr>
        <w:t>irinotecan</w:t>
      </w:r>
      <w:proofErr w:type="spellEnd"/>
      <w:r w:rsidRPr="0029453C">
        <w:rPr>
          <w:sz w:val="24"/>
          <w:lang w:val="en-AU"/>
        </w:rPr>
        <w:t xml:space="preserve">-based chemotherapy, 18% (n = 115) of </w:t>
      </w:r>
      <w:proofErr w:type="spellStart"/>
      <w:r w:rsidRPr="0029453C">
        <w:rPr>
          <w:sz w:val="24"/>
          <w:lang w:val="en-AU"/>
        </w:rPr>
        <w:t>panitumumab</w:t>
      </w:r>
      <w:proofErr w:type="spellEnd"/>
      <w:r w:rsidRPr="0029453C">
        <w:rPr>
          <w:sz w:val="24"/>
          <w:lang w:val="en-AU"/>
        </w:rPr>
        <w:t xml:space="preserve"> patients had been exposed to prior </w:t>
      </w:r>
      <w:proofErr w:type="spellStart"/>
      <w:r w:rsidRPr="0029453C">
        <w:rPr>
          <w:sz w:val="24"/>
          <w:lang w:val="en-AU"/>
        </w:rPr>
        <w:t>bevacizumab</w:t>
      </w:r>
      <w:proofErr w:type="spellEnd"/>
      <w:r w:rsidRPr="0029453C">
        <w:rPr>
          <w:sz w:val="24"/>
          <w:lang w:val="en-AU"/>
        </w:rPr>
        <w:t xml:space="preserve"> treatment.  PFS and Response Rate were similar to those who did not receive prior </w:t>
      </w:r>
      <w:proofErr w:type="spellStart"/>
      <w:r w:rsidRPr="0029453C">
        <w:rPr>
          <w:sz w:val="24"/>
          <w:lang w:val="en-AU"/>
        </w:rPr>
        <w:t>bevacizumab</w:t>
      </w:r>
      <w:proofErr w:type="spellEnd"/>
      <w:r w:rsidRPr="0029453C">
        <w:rPr>
          <w:sz w:val="24"/>
          <w:lang w:val="en-AU"/>
        </w:rPr>
        <w:t>.</w:t>
      </w:r>
    </w:p>
    <w:p w:rsidR="006E1863" w:rsidRDefault="006E1863" w:rsidP="0009323A">
      <w:pPr>
        <w:pStyle w:val="BodyText"/>
        <w:spacing w:after="0"/>
        <w:rPr>
          <w:rFonts w:ascii="Times New Roman" w:hAnsi="Times New Roman"/>
          <w:color w:val="000000"/>
          <w:sz w:val="24"/>
          <w:szCs w:val="24"/>
          <w:u w:val="single"/>
        </w:rPr>
      </w:pPr>
    </w:p>
    <w:p w:rsidR="00AC361F" w:rsidRDefault="00AC361F" w:rsidP="00AC361F">
      <w:pPr>
        <w:pStyle w:val="BodyTextIndent"/>
        <w:tabs>
          <w:tab w:val="left" w:pos="443"/>
        </w:tabs>
        <w:overflowPunct w:val="0"/>
        <w:autoSpaceDE w:val="0"/>
        <w:autoSpaceDN w:val="0"/>
        <w:adjustRightInd w:val="0"/>
        <w:spacing w:after="0"/>
        <w:ind w:left="0"/>
        <w:textAlignment w:val="baseline"/>
        <w:rPr>
          <w:sz w:val="24"/>
          <w:lang w:val="en-AU"/>
        </w:rPr>
      </w:pPr>
      <w:r w:rsidRPr="0029453C">
        <w:rPr>
          <w:sz w:val="24"/>
          <w:lang w:val="en-AU"/>
        </w:rPr>
        <w:t xml:space="preserve">In patients with mutant </w:t>
      </w:r>
      <w:r w:rsidRPr="0029453C">
        <w:rPr>
          <w:i/>
          <w:sz w:val="24"/>
          <w:lang w:val="en-AU"/>
        </w:rPr>
        <w:t>KRAS</w:t>
      </w:r>
      <w:r w:rsidRPr="0029453C">
        <w:rPr>
          <w:sz w:val="24"/>
          <w:lang w:val="en-AU"/>
        </w:rPr>
        <w:t xml:space="preserve"> (n = 486), no significant difference in PFS [HR (95% CI): 0.85 (0.68, 1.06)] and OS [HR (95% CI): 0.94 (0.76, 1.15)] was observed between treatment arms.</w:t>
      </w:r>
    </w:p>
    <w:p w:rsidR="00370981" w:rsidRPr="0029453C" w:rsidRDefault="00370981" w:rsidP="00AC361F">
      <w:pPr>
        <w:pStyle w:val="BodyTextIndent"/>
        <w:tabs>
          <w:tab w:val="left" w:pos="443"/>
        </w:tabs>
        <w:overflowPunct w:val="0"/>
        <w:autoSpaceDE w:val="0"/>
        <w:autoSpaceDN w:val="0"/>
        <w:adjustRightInd w:val="0"/>
        <w:spacing w:after="0"/>
        <w:ind w:left="0"/>
        <w:textAlignment w:val="baseline"/>
        <w:rPr>
          <w:sz w:val="24"/>
          <w:lang w:val="en-AU"/>
        </w:rPr>
      </w:pPr>
    </w:p>
    <w:p w:rsidR="00AA7FFD" w:rsidRPr="00D06BB4" w:rsidRDefault="00AA7FFD" w:rsidP="00F02F45">
      <w:pPr>
        <w:pStyle w:val="TableCenterBold"/>
        <w:jc w:val="left"/>
        <w:rPr>
          <w:rFonts w:ascii="Times New Roman" w:hAnsi="Times New Roman"/>
          <w:sz w:val="24"/>
        </w:rPr>
      </w:pPr>
      <w:r w:rsidRPr="00D06BB4">
        <w:rPr>
          <w:rFonts w:ascii="Times New Roman" w:hAnsi="Times New Roman"/>
          <w:sz w:val="24"/>
        </w:rPr>
        <w:t>INDICATIONS</w:t>
      </w:r>
    </w:p>
    <w:p w:rsidR="003B0EE6" w:rsidRPr="00C16CDC" w:rsidRDefault="003B0EE6" w:rsidP="003B0EE6">
      <w:pPr>
        <w:pStyle w:val="BodyTextIndent"/>
        <w:tabs>
          <w:tab w:val="left" w:pos="443"/>
        </w:tabs>
        <w:overflowPunct w:val="0"/>
        <w:autoSpaceDE w:val="0"/>
        <w:autoSpaceDN w:val="0"/>
        <w:adjustRightInd w:val="0"/>
        <w:spacing w:after="0"/>
        <w:ind w:left="0"/>
        <w:textAlignment w:val="baseline"/>
        <w:rPr>
          <w:sz w:val="24"/>
          <w:lang w:val="en-AU"/>
        </w:rPr>
      </w:pPr>
      <w:proofErr w:type="spellStart"/>
      <w:r w:rsidRPr="00C16CDC">
        <w:rPr>
          <w:sz w:val="24"/>
          <w:lang w:val="en-GB"/>
        </w:rPr>
        <w:t>Vectibix</w:t>
      </w:r>
      <w:proofErr w:type="spellEnd"/>
      <w:r w:rsidRPr="00C16CDC">
        <w:rPr>
          <w:sz w:val="24"/>
          <w:lang w:val="en-AU"/>
        </w:rPr>
        <w:t xml:space="preserve"> is indicated for the treatment of patients with wild-type </w:t>
      </w:r>
      <w:r w:rsidRPr="00C16CDC">
        <w:rPr>
          <w:i/>
          <w:sz w:val="24"/>
          <w:lang w:val="en-AU"/>
        </w:rPr>
        <w:t>KRAS</w:t>
      </w:r>
      <w:r w:rsidRPr="00C16CDC">
        <w:rPr>
          <w:sz w:val="24"/>
          <w:lang w:val="en-AU"/>
        </w:rPr>
        <w:t xml:space="preserve"> metastatic colorectal cancer (</w:t>
      </w:r>
      <w:proofErr w:type="spellStart"/>
      <w:r w:rsidRPr="00C16CDC">
        <w:rPr>
          <w:sz w:val="24"/>
          <w:lang w:val="en-AU"/>
        </w:rPr>
        <w:t>mCRC</w:t>
      </w:r>
      <w:proofErr w:type="spellEnd"/>
      <w:r w:rsidRPr="00C16CDC">
        <w:rPr>
          <w:sz w:val="24"/>
          <w:lang w:val="en-AU"/>
        </w:rPr>
        <w:t>)</w:t>
      </w:r>
    </w:p>
    <w:p w:rsidR="008E36C0" w:rsidRPr="008E36C0" w:rsidRDefault="00E505DB" w:rsidP="00E505DB">
      <w:pPr>
        <w:pStyle w:val="BodyTextIndent"/>
        <w:numPr>
          <w:ilvl w:val="0"/>
          <w:numId w:val="6"/>
        </w:numPr>
        <w:tabs>
          <w:tab w:val="left" w:pos="443"/>
        </w:tabs>
        <w:overflowPunct w:val="0"/>
        <w:autoSpaceDE w:val="0"/>
        <w:autoSpaceDN w:val="0"/>
        <w:adjustRightInd w:val="0"/>
        <w:spacing w:after="0"/>
        <w:textAlignment w:val="baseline"/>
        <w:rPr>
          <w:sz w:val="24"/>
          <w:lang w:val="en-AU"/>
        </w:rPr>
      </w:pPr>
      <w:r w:rsidRPr="008E36C0">
        <w:rPr>
          <w:sz w:val="24"/>
          <w:lang w:val="en-AU"/>
        </w:rPr>
        <w:t>as first line therapy in combination with FOLFOX. Efficacy is influenced by</w:t>
      </w:r>
      <w:r w:rsidR="008E36C0" w:rsidRPr="008E36C0">
        <w:rPr>
          <w:sz w:val="24"/>
          <w:lang w:val="en-AU"/>
        </w:rPr>
        <w:t xml:space="preserve"> </w:t>
      </w:r>
      <w:r w:rsidR="00B71CC0">
        <w:rPr>
          <w:sz w:val="24"/>
          <w:lang w:val="en-AU"/>
        </w:rPr>
        <w:t>patient</w:t>
      </w:r>
      <w:r w:rsidRPr="008E36C0">
        <w:rPr>
          <w:sz w:val="24"/>
          <w:lang w:val="en-AU"/>
        </w:rPr>
        <w:t xml:space="preserve"> performance status (see CLINICAL TRIALS; PRECAUTIONS).</w:t>
      </w:r>
      <w:r w:rsidR="008E36C0">
        <w:rPr>
          <w:sz w:val="24"/>
          <w:lang w:val="en-AU"/>
        </w:rPr>
        <w:t>*</w:t>
      </w:r>
    </w:p>
    <w:p w:rsidR="00E505DB" w:rsidRPr="008E36C0" w:rsidRDefault="00E505DB" w:rsidP="008E36C0">
      <w:pPr>
        <w:pStyle w:val="BodyTextIndent"/>
        <w:numPr>
          <w:ilvl w:val="0"/>
          <w:numId w:val="6"/>
        </w:numPr>
        <w:tabs>
          <w:tab w:val="left" w:pos="443"/>
        </w:tabs>
        <w:overflowPunct w:val="0"/>
        <w:autoSpaceDE w:val="0"/>
        <w:autoSpaceDN w:val="0"/>
        <w:adjustRightInd w:val="0"/>
        <w:spacing w:after="0"/>
        <w:textAlignment w:val="baseline"/>
        <w:rPr>
          <w:sz w:val="24"/>
          <w:lang w:val="en-AU"/>
        </w:rPr>
      </w:pPr>
      <w:r w:rsidRPr="008E36C0">
        <w:rPr>
          <w:sz w:val="24"/>
          <w:lang w:val="en-AU"/>
        </w:rPr>
        <w:t>as second line therapy in combination with FOLFIR</w:t>
      </w:r>
      <w:r w:rsidR="00035C47">
        <w:rPr>
          <w:sz w:val="24"/>
          <w:lang w:val="en-AU"/>
        </w:rPr>
        <w:t>I</w:t>
      </w:r>
      <w:r w:rsidRPr="008E36C0">
        <w:rPr>
          <w:sz w:val="24"/>
          <w:lang w:val="en-AU"/>
        </w:rPr>
        <w:t xml:space="preserve"> for patients who have</w:t>
      </w:r>
      <w:r w:rsidR="008E36C0" w:rsidRPr="008E36C0">
        <w:rPr>
          <w:sz w:val="24"/>
          <w:lang w:val="en-AU"/>
        </w:rPr>
        <w:t xml:space="preserve"> </w:t>
      </w:r>
      <w:r w:rsidRPr="008E36C0">
        <w:rPr>
          <w:sz w:val="24"/>
          <w:lang w:val="en-AU"/>
        </w:rPr>
        <w:t xml:space="preserve">received first-line </w:t>
      </w:r>
      <w:proofErr w:type="spellStart"/>
      <w:r w:rsidRPr="008E36C0">
        <w:rPr>
          <w:sz w:val="24"/>
          <w:lang w:val="en-AU"/>
        </w:rPr>
        <w:t>fluoropyrimi</w:t>
      </w:r>
      <w:r w:rsidR="00035C47" w:rsidRPr="008E36C0">
        <w:rPr>
          <w:sz w:val="24"/>
          <w:lang w:val="en-AU"/>
        </w:rPr>
        <w:t>d</w:t>
      </w:r>
      <w:r w:rsidR="00035C47">
        <w:rPr>
          <w:sz w:val="24"/>
          <w:lang w:val="en-AU"/>
        </w:rPr>
        <w:t>i</w:t>
      </w:r>
      <w:r w:rsidR="00035C47" w:rsidRPr="008E36C0">
        <w:rPr>
          <w:sz w:val="24"/>
          <w:lang w:val="en-AU"/>
        </w:rPr>
        <w:t>n</w:t>
      </w:r>
      <w:r w:rsidRPr="008E36C0">
        <w:rPr>
          <w:sz w:val="24"/>
          <w:lang w:val="en-AU"/>
        </w:rPr>
        <w:t>e</w:t>
      </w:r>
      <w:proofErr w:type="spellEnd"/>
      <w:r w:rsidRPr="008E36C0">
        <w:rPr>
          <w:sz w:val="24"/>
          <w:lang w:val="en-AU"/>
        </w:rPr>
        <w:t xml:space="preserve">-based chemotherapy (excluding </w:t>
      </w:r>
      <w:proofErr w:type="spellStart"/>
      <w:r w:rsidRPr="008E36C0">
        <w:rPr>
          <w:sz w:val="24"/>
          <w:lang w:val="en-AU"/>
        </w:rPr>
        <w:t>irinotecan</w:t>
      </w:r>
      <w:proofErr w:type="spellEnd"/>
      <w:r w:rsidRPr="008E36C0">
        <w:rPr>
          <w:sz w:val="24"/>
          <w:lang w:val="en-AU"/>
        </w:rPr>
        <w:t>). Efficacy</w:t>
      </w:r>
      <w:r w:rsidR="008E36C0">
        <w:rPr>
          <w:sz w:val="24"/>
          <w:lang w:val="en-AU"/>
        </w:rPr>
        <w:t xml:space="preserve"> </w:t>
      </w:r>
      <w:r w:rsidRPr="008E36C0">
        <w:rPr>
          <w:sz w:val="24"/>
          <w:lang w:val="en-AU"/>
        </w:rPr>
        <w:t xml:space="preserve">may be influenced by </w:t>
      </w:r>
      <w:r w:rsidR="00B71CC0">
        <w:rPr>
          <w:sz w:val="24"/>
          <w:lang w:val="en-AU"/>
        </w:rPr>
        <w:t xml:space="preserve">patient </w:t>
      </w:r>
      <w:r w:rsidR="00035C47">
        <w:rPr>
          <w:sz w:val="24"/>
          <w:lang w:val="en-AU"/>
        </w:rPr>
        <w:t>performance</w:t>
      </w:r>
      <w:r w:rsidRPr="008E36C0">
        <w:rPr>
          <w:sz w:val="24"/>
          <w:lang w:val="en-AU"/>
        </w:rPr>
        <w:t xml:space="preserve"> status (see CLINICAL TRIALS).</w:t>
      </w:r>
      <w:r w:rsidR="008E36C0">
        <w:rPr>
          <w:sz w:val="24"/>
          <w:lang w:val="en-AU"/>
        </w:rPr>
        <w:t>*</w:t>
      </w:r>
    </w:p>
    <w:p w:rsidR="003B0EE6" w:rsidRPr="00C16CDC" w:rsidRDefault="00654044" w:rsidP="003B0EE6">
      <w:pPr>
        <w:pStyle w:val="BodyTextIndent"/>
        <w:numPr>
          <w:ilvl w:val="0"/>
          <w:numId w:val="6"/>
        </w:numPr>
        <w:tabs>
          <w:tab w:val="left" w:pos="443"/>
        </w:tabs>
        <w:overflowPunct w:val="0"/>
        <w:autoSpaceDE w:val="0"/>
        <w:autoSpaceDN w:val="0"/>
        <w:adjustRightInd w:val="0"/>
        <w:spacing w:after="0"/>
        <w:textAlignment w:val="baseline"/>
        <w:rPr>
          <w:sz w:val="24"/>
          <w:lang w:val="en-AU"/>
        </w:rPr>
      </w:pPr>
      <w:r w:rsidRPr="00C16CDC">
        <w:rPr>
          <w:sz w:val="24"/>
          <w:lang w:val="en-AU"/>
        </w:rPr>
        <w:t xml:space="preserve">as </w:t>
      </w:r>
      <w:proofErr w:type="spellStart"/>
      <w:r w:rsidRPr="00C16CDC">
        <w:rPr>
          <w:sz w:val="24"/>
          <w:lang w:val="en-AU"/>
        </w:rPr>
        <w:t>monotherapy</w:t>
      </w:r>
      <w:proofErr w:type="spellEnd"/>
      <w:r w:rsidR="003B0EE6" w:rsidRPr="00C16CDC">
        <w:rPr>
          <w:sz w:val="24"/>
          <w:lang w:val="en-AU"/>
        </w:rPr>
        <w:t xml:space="preserve"> in patients after the failure of standard chemotherapy</w:t>
      </w:r>
      <w:r w:rsidR="008F4162" w:rsidRPr="00C16CDC">
        <w:rPr>
          <w:sz w:val="24"/>
          <w:lang w:val="en-AU"/>
        </w:rPr>
        <w:t>.</w:t>
      </w:r>
    </w:p>
    <w:p w:rsidR="00AA7FFD" w:rsidRPr="00973D98" w:rsidRDefault="00AA7FFD">
      <w:pPr>
        <w:rPr>
          <w:lang w:val="en-AU"/>
        </w:rPr>
      </w:pPr>
    </w:p>
    <w:p w:rsidR="00AA7FFD" w:rsidRDefault="00AA7FFD">
      <w:pPr>
        <w:pStyle w:val="Heading1"/>
        <w:ind w:right="-134"/>
      </w:pPr>
      <w:r>
        <w:lastRenderedPageBreak/>
        <w:t>CONTRAINDICATIONS</w:t>
      </w:r>
    </w:p>
    <w:p w:rsidR="00AA7FFD" w:rsidRDefault="006E463F">
      <w:pPr>
        <w:pStyle w:val="BodyText2"/>
      </w:pPr>
      <w:proofErr w:type="spellStart"/>
      <w:r>
        <w:t>Vectibix</w:t>
      </w:r>
      <w:proofErr w:type="spellEnd"/>
      <w:r w:rsidR="00AA7FFD">
        <w:t xml:space="preserve"> is contraindicated in patients with </w:t>
      </w:r>
      <w:r w:rsidR="007F4C5A" w:rsidRPr="00C16CDC">
        <w:t xml:space="preserve">a history of life-threatening </w:t>
      </w:r>
      <w:r w:rsidR="00BF14DE">
        <w:t xml:space="preserve">hypersensitivity </w:t>
      </w:r>
      <w:r w:rsidR="00AA7FFD">
        <w:t xml:space="preserve">reactions to </w:t>
      </w:r>
      <w:proofErr w:type="spellStart"/>
      <w:r w:rsidR="00AA7FFD">
        <w:t>panitumumab</w:t>
      </w:r>
      <w:proofErr w:type="spellEnd"/>
      <w:r w:rsidR="00AA7FFD">
        <w:t>, or any components of the product.</w:t>
      </w:r>
    </w:p>
    <w:p w:rsidR="00E9620E" w:rsidRPr="00C16CDC" w:rsidRDefault="00E9620E">
      <w:pPr>
        <w:pStyle w:val="BodyText2"/>
        <w:rPr>
          <w:u w:val="single"/>
        </w:rPr>
      </w:pPr>
    </w:p>
    <w:p w:rsidR="00E9620E" w:rsidRPr="00C16CDC" w:rsidRDefault="00727D05">
      <w:pPr>
        <w:pStyle w:val="BodyText2"/>
      </w:pPr>
      <w:r w:rsidRPr="00C16CDC">
        <w:t xml:space="preserve">The combination of </w:t>
      </w:r>
      <w:proofErr w:type="spellStart"/>
      <w:r w:rsidRPr="00C16CDC">
        <w:t>Vectibix</w:t>
      </w:r>
      <w:proofErr w:type="spellEnd"/>
      <w:r w:rsidRPr="00C16CDC">
        <w:t xml:space="preserve"> with </w:t>
      </w:r>
      <w:proofErr w:type="spellStart"/>
      <w:r w:rsidRPr="00C16CDC">
        <w:t>oxaliplatin</w:t>
      </w:r>
      <w:proofErr w:type="spellEnd"/>
      <w:r w:rsidRPr="00C16CDC">
        <w:t>-based chemotherapy is contraindicated in</w:t>
      </w:r>
      <w:r w:rsidR="00E9620E" w:rsidRPr="00C16CDC">
        <w:t xml:space="preserve"> patients with mutant </w:t>
      </w:r>
      <w:r w:rsidR="00E9620E" w:rsidRPr="00C16CDC">
        <w:rPr>
          <w:i/>
        </w:rPr>
        <w:t>KRAS</w:t>
      </w:r>
      <w:r w:rsidR="00E9620E" w:rsidRPr="00C16CDC">
        <w:t xml:space="preserve"> </w:t>
      </w:r>
      <w:proofErr w:type="spellStart"/>
      <w:r w:rsidR="00E9620E" w:rsidRPr="00C16CDC">
        <w:t>mCRC</w:t>
      </w:r>
      <w:proofErr w:type="spellEnd"/>
      <w:r w:rsidR="00E9620E" w:rsidRPr="00C16CDC">
        <w:t xml:space="preserve"> or for whom</w:t>
      </w:r>
      <w:r w:rsidR="00E9620E" w:rsidRPr="00C16CDC">
        <w:rPr>
          <w:i/>
        </w:rPr>
        <w:t xml:space="preserve"> KRAS</w:t>
      </w:r>
      <w:r w:rsidR="008C549F" w:rsidRPr="00C16CDC">
        <w:t xml:space="preserve"> </w:t>
      </w:r>
      <w:proofErr w:type="spellStart"/>
      <w:r w:rsidR="008C549F" w:rsidRPr="00C16CDC">
        <w:t>mCRC</w:t>
      </w:r>
      <w:proofErr w:type="spellEnd"/>
      <w:r w:rsidR="008C549F" w:rsidRPr="00C16CDC">
        <w:t xml:space="preserve"> status is unknown</w:t>
      </w:r>
      <w:r w:rsidR="00E9620E" w:rsidRPr="00C16CDC">
        <w:t>.</w:t>
      </w:r>
      <w:r w:rsidR="00B33855" w:rsidRPr="00C16CDC">
        <w:t>*</w:t>
      </w:r>
    </w:p>
    <w:p w:rsidR="00AA7FFD" w:rsidRDefault="00AA7FFD"/>
    <w:p w:rsidR="00AA1FDE" w:rsidRDefault="00AA1FDE" w:rsidP="00000BBF">
      <w:pPr>
        <w:pStyle w:val="Heading1"/>
      </w:pPr>
      <w:r w:rsidRPr="005E34B4">
        <w:t>PRECAUTIONS</w:t>
      </w:r>
    </w:p>
    <w:p w:rsidR="00D6031F" w:rsidRPr="00F6078F" w:rsidRDefault="00D6031F" w:rsidP="00D6031F">
      <w:pPr>
        <w:pStyle w:val="Heading3"/>
        <w:spacing w:after="0" w:line="240" w:lineRule="auto"/>
        <w:rPr>
          <w:rFonts w:ascii="Times New Roman" w:hAnsi="Times New Roman"/>
          <w:i w:val="0"/>
          <w:iCs/>
          <w:sz w:val="24"/>
        </w:rPr>
      </w:pPr>
      <w:r w:rsidRPr="00F6078F">
        <w:rPr>
          <w:rFonts w:ascii="Times New Roman" w:hAnsi="Times New Roman"/>
          <w:i w:val="0"/>
          <w:iCs/>
          <w:sz w:val="24"/>
        </w:rPr>
        <w:t xml:space="preserve">Combination with </w:t>
      </w:r>
      <w:proofErr w:type="spellStart"/>
      <w:r w:rsidRPr="00F6078F">
        <w:rPr>
          <w:rFonts w:ascii="Times New Roman" w:hAnsi="Times New Roman"/>
          <w:i w:val="0"/>
          <w:iCs/>
          <w:sz w:val="24"/>
        </w:rPr>
        <w:t>Oxaliplatin</w:t>
      </w:r>
      <w:proofErr w:type="spellEnd"/>
      <w:r w:rsidRPr="00F6078F">
        <w:rPr>
          <w:rFonts w:ascii="Times New Roman" w:hAnsi="Times New Roman"/>
          <w:i w:val="0"/>
          <w:iCs/>
          <w:sz w:val="24"/>
        </w:rPr>
        <w:t xml:space="preserve">-based Chemotherapy in Patients with Mutant </w:t>
      </w:r>
      <w:r w:rsidRPr="00F6078F">
        <w:rPr>
          <w:rFonts w:ascii="Times New Roman" w:hAnsi="Times New Roman"/>
          <w:iCs/>
          <w:sz w:val="24"/>
        </w:rPr>
        <w:t xml:space="preserve">KRAS </w:t>
      </w:r>
      <w:proofErr w:type="spellStart"/>
      <w:r w:rsidRPr="00F6078F">
        <w:rPr>
          <w:rFonts w:ascii="Times New Roman" w:hAnsi="Times New Roman"/>
          <w:i w:val="0"/>
          <w:iCs/>
          <w:sz w:val="24"/>
        </w:rPr>
        <w:t>mCRC</w:t>
      </w:r>
      <w:proofErr w:type="spellEnd"/>
      <w:r w:rsidRPr="00F6078F">
        <w:rPr>
          <w:rFonts w:ascii="Times New Roman" w:hAnsi="Times New Roman"/>
          <w:i w:val="0"/>
          <w:iCs/>
          <w:sz w:val="24"/>
        </w:rPr>
        <w:t xml:space="preserve"> or for whom </w:t>
      </w:r>
      <w:r w:rsidRPr="00F6078F">
        <w:rPr>
          <w:rFonts w:ascii="Times New Roman" w:hAnsi="Times New Roman"/>
          <w:iCs/>
          <w:sz w:val="24"/>
        </w:rPr>
        <w:t>KRAS</w:t>
      </w:r>
      <w:r w:rsidRPr="00F6078F">
        <w:rPr>
          <w:rFonts w:ascii="Times New Roman" w:hAnsi="Times New Roman"/>
          <w:i w:val="0"/>
          <w:iCs/>
          <w:sz w:val="24"/>
        </w:rPr>
        <w:t xml:space="preserve"> Tumour Status is Unknown*</w:t>
      </w:r>
    </w:p>
    <w:p w:rsidR="00D6031F" w:rsidRPr="00F6078F" w:rsidRDefault="00D6031F" w:rsidP="00D6031F">
      <w:pPr>
        <w:pStyle w:val="Text"/>
        <w:spacing w:after="0" w:line="240" w:lineRule="auto"/>
        <w:rPr>
          <w:rFonts w:ascii="Times New Roman" w:hAnsi="Times New Roman"/>
          <w:sz w:val="24"/>
        </w:rPr>
      </w:pPr>
      <w:proofErr w:type="spellStart"/>
      <w:r w:rsidRPr="00F6078F">
        <w:rPr>
          <w:rFonts w:ascii="Times New Roman" w:hAnsi="Times New Roman"/>
          <w:sz w:val="24"/>
        </w:rPr>
        <w:t>Panitumumab</w:t>
      </w:r>
      <w:proofErr w:type="spellEnd"/>
      <w:r w:rsidRPr="00F6078F">
        <w:rPr>
          <w:rFonts w:ascii="Times New Roman" w:hAnsi="Times New Roman"/>
          <w:sz w:val="24"/>
        </w:rPr>
        <w:t xml:space="preserve"> should not be administered in combination with </w:t>
      </w:r>
      <w:proofErr w:type="spellStart"/>
      <w:r w:rsidRPr="00F6078F">
        <w:rPr>
          <w:rFonts w:ascii="Times New Roman" w:hAnsi="Times New Roman"/>
          <w:sz w:val="24"/>
        </w:rPr>
        <w:t>oxaliplatin</w:t>
      </w:r>
      <w:proofErr w:type="spellEnd"/>
      <w:r w:rsidRPr="00F6078F">
        <w:rPr>
          <w:rFonts w:ascii="Times New Roman" w:hAnsi="Times New Roman"/>
          <w:sz w:val="24"/>
        </w:rPr>
        <w:t xml:space="preserve">-containing chemotherapy to patients with mutant </w:t>
      </w:r>
      <w:r w:rsidRPr="00F6078F">
        <w:rPr>
          <w:rFonts w:ascii="Times New Roman" w:hAnsi="Times New Roman"/>
          <w:i/>
          <w:sz w:val="24"/>
        </w:rPr>
        <w:t>KRAS</w:t>
      </w:r>
      <w:r w:rsidRPr="00F6078F">
        <w:rPr>
          <w:rFonts w:ascii="Times New Roman" w:hAnsi="Times New Roman"/>
          <w:sz w:val="24"/>
        </w:rPr>
        <w:t xml:space="preserve"> </w:t>
      </w:r>
      <w:proofErr w:type="spellStart"/>
      <w:r w:rsidRPr="00F6078F">
        <w:rPr>
          <w:rFonts w:ascii="Times New Roman" w:hAnsi="Times New Roman"/>
          <w:sz w:val="24"/>
        </w:rPr>
        <w:t>mCRC</w:t>
      </w:r>
      <w:proofErr w:type="spellEnd"/>
      <w:r w:rsidRPr="00F6078F">
        <w:rPr>
          <w:rFonts w:ascii="Times New Roman" w:hAnsi="Times New Roman"/>
          <w:sz w:val="24"/>
        </w:rPr>
        <w:t xml:space="preserve"> or for whom </w:t>
      </w:r>
      <w:r w:rsidRPr="00F6078F">
        <w:rPr>
          <w:rFonts w:ascii="Times New Roman" w:hAnsi="Times New Roman"/>
          <w:i/>
          <w:sz w:val="24"/>
        </w:rPr>
        <w:t>KRAS</w:t>
      </w:r>
      <w:r w:rsidRPr="00F6078F">
        <w:rPr>
          <w:rFonts w:ascii="Times New Roman" w:hAnsi="Times New Roman"/>
          <w:sz w:val="24"/>
        </w:rPr>
        <w:t xml:space="preserve"> </w:t>
      </w:r>
      <w:proofErr w:type="spellStart"/>
      <w:r w:rsidRPr="00F6078F">
        <w:rPr>
          <w:rFonts w:ascii="Times New Roman" w:hAnsi="Times New Roman"/>
          <w:sz w:val="24"/>
        </w:rPr>
        <w:t>mCRC</w:t>
      </w:r>
      <w:proofErr w:type="spellEnd"/>
      <w:r w:rsidRPr="00F6078F">
        <w:rPr>
          <w:rFonts w:ascii="Times New Roman" w:hAnsi="Times New Roman"/>
          <w:sz w:val="24"/>
        </w:rPr>
        <w:t xml:space="preserve"> status is unknown. In a phase 3 study</w:t>
      </w:r>
      <w:r>
        <w:rPr>
          <w:rFonts w:ascii="Times New Roman" w:hAnsi="Times New Roman"/>
          <w:sz w:val="24"/>
        </w:rPr>
        <w:t xml:space="preserve"> (N</w:t>
      </w:r>
      <w:r w:rsidRPr="00F6078F">
        <w:rPr>
          <w:rFonts w:ascii="Times New Roman" w:hAnsi="Times New Roman"/>
          <w:sz w:val="24"/>
        </w:rPr>
        <w:t> = 1183</w:t>
      </w:r>
      <w:r>
        <w:rPr>
          <w:rFonts w:ascii="Times New Roman" w:hAnsi="Times New Roman"/>
          <w:sz w:val="24"/>
        </w:rPr>
        <w:t>;</w:t>
      </w:r>
      <w:r w:rsidRPr="00F6078F">
        <w:rPr>
          <w:rFonts w:ascii="Times New Roman" w:hAnsi="Times New Roman"/>
          <w:sz w:val="24"/>
        </w:rPr>
        <w:t xml:space="preserve"> with wild-type (n = 656) and mutant (n = 440) </w:t>
      </w:r>
      <w:r w:rsidRPr="00F6078F">
        <w:rPr>
          <w:rFonts w:ascii="Times New Roman" w:hAnsi="Times New Roman"/>
          <w:i/>
          <w:sz w:val="24"/>
        </w:rPr>
        <w:t>KRAS</w:t>
      </w:r>
      <w:r w:rsidRPr="00F6078F">
        <w:rPr>
          <w:rFonts w:ascii="Times New Roman" w:hAnsi="Times New Roman"/>
          <w:sz w:val="24"/>
        </w:rPr>
        <w:t xml:space="preserve"> </w:t>
      </w:r>
      <w:proofErr w:type="spellStart"/>
      <w:r w:rsidRPr="00F6078F">
        <w:rPr>
          <w:rFonts w:ascii="Times New Roman" w:hAnsi="Times New Roman"/>
          <w:sz w:val="24"/>
        </w:rPr>
        <w:t>mCRC</w:t>
      </w:r>
      <w:proofErr w:type="spellEnd"/>
      <w:r w:rsidRPr="00F6078F">
        <w:rPr>
          <w:rFonts w:ascii="Times New Roman" w:hAnsi="Times New Roman"/>
          <w:sz w:val="24"/>
        </w:rPr>
        <w:t xml:space="preserve">) evaluating </w:t>
      </w:r>
      <w:proofErr w:type="spellStart"/>
      <w:r w:rsidRPr="00F6078F">
        <w:rPr>
          <w:rFonts w:ascii="Times New Roman" w:hAnsi="Times New Roman"/>
          <w:sz w:val="24"/>
        </w:rPr>
        <w:t>panitumumab</w:t>
      </w:r>
      <w:proofErr w:type="spellEnd"/>
      <w:r w:rsidRPr="00F6078F">
        <w:rPr>
          <w:rFonts w:ascii="Times New Roman" w:hAnsi="Times New Roman"/>
          <w:sz w:val="24"/>
        </w:rPr>
        <w:t xml:space="preserve"> in combination with </w:t>
      </w:r>
      <w:proofErr w:type="spellStart"/>
      <w:r w:rsidRPr="00F6078F">
        <w:rPr>
          <w:rFonts w:ascii="Times New Roman" w:hAnsi="Times New Roman"/>
          <w:sz w:val="24"/>
        </w:rPr>
        <w:t>infus</w:t>
      </w:r>
      <w:r>
        <w:rPr>
          <w:rFonts w:ascii="Times New Roman" w:hAnsi="Times New Roman"/>
          <w:sz w:val="24"/>
        </w:rPr>
        <w:t>ional</w:t>
      </w:r>
      <w:proofErr w:type="spellEnd"/>
      <w:r w:rsidRPr="00F6078F">
        <w:rPr>
          <w:rFonts w:ascii="Times New Roman" w:hAnsi="Times New Roman"/>
          <w:sz w:val="24"/>
        </w:rPr>
        <w:t xml:space="preserve"> 5-FU, </w:t>
      </w:r>
      <w:proofErr w:type="spellStart"/>
      <w:r w:rsidRPr="00F6078F">
        <w:rPr>
          <w:rFonts w:ascii="Times New Roman" w:hAnsi="Times New Roman"/>
          <w:sz w:val="24"/>
        </w:rPr>
        <w:t>leucovorin</w:t>
      </w:r>
      <w:proofErr w:type="spellEnd"/>
      <w:r w:rsidRPr="00F6078F">
        <w:rPr>
          <w:rFonts w:ascii="Times New Roman" w:hAnsi="Times New Roman"/>
          <w:sz w:val="24"/>
        </w:rPr>
        <w:t xml:space="preserve">, and </w:t>
      </w:r>
      <w:proofErr w:type="spellStart"/>
      <w:r w:rsidRPr="00F6078F">
        <w:rPr>
          <w:rFonts w:ascii="Times New Roman" w:hAnsi="Times New Roman"/>
          <w:sz w:val="24"/>
        </w:rPr>
        <w:t>oxaliplatin</w:t>
      </w:r>
      <w:proofErr w:type="spellEnd"/>
      <w:r w:rsidRPr="00F6078F">
        <w:rPr>
          <w:rFonts w:ascii="Times New Roman" w:hAnsi="Times New Roman"/>
          <w:sz w:val="24"/>
        </w:rPr>
        <w:t xml:space="preserve"> (FOLFOX) compared </w:t>
      </w:r>
      <w:r>
        <w:rPr>
          <w:rFonts w:ascii="Times New Roman" w:hAnsi="Times New Roman"/>
          <w:sz w:val="24"/>
        </w:rPr>
        <w:t>to</w:t>
      </w:r>
      <w:r w:rsidRPr="00F6078F">
        <w:rPr>
          <w:rFonts w:ascii="Times New Roman" w:hAnsi="Times New Roman"/>
          <w:sz w:val="24"/>
        </w:rPr>
        <w:t xml:space="preserve"> FOLFOX alone as first-line therapy for </w:t>
      </w:r>
      <w:proofErr w:type="spellStart"/>
      <w:r w:rsidRPr="00F6078F">
        <w:rPr>
          <w:rFonts w:ascii="Times New Roman" w:hAnsi="Times New Roman"/>
          <w:sz w:val="24"/>
        </w:rPr>
        <w:t>mCRC</w:t>
      </w:r>
      <w:proofErr w:type="spellEnd"/>
      <w:r w:rsidRPr="00F6078F">
        <w:rPr>
          <w:rFonts w:ascii="Times New Roman" w:hAnsi="Times New Roman"/>
          <w:sz w:val="24"/>
        </w:rPr>
        <w:t>, a significant shortening of PFS was observed in patients with mutant</w:t>
      </w:r>
      <w:r w:rsidRPr="00F6078F">
        <w:rPr>
          <w:rFonts w:ascii="Times New Roman" w:hAnsi="Times New Roman"/>
          <w:i/>
          <w:sz w:val="24"/>
        </w:rPr>
        <w:t xml:space="preserve"> KRAS</w:t>
      </w:r>
      <w:r w:rsidRPr="00F6078F">
        <w:rPr>
          <w:rFonts w:ascii="Times New Roman" w:hAnsi="Times New Roman"/>
          <w:sz w:val="24"/>
        </w:rPr>
        <w:t xml:space="preserve"> </w:t>
      </w:r>
      <w:proofErr w:type="spellStart"/>
      <w:r w:rsidRPr="00F6078F">
        <w:rPr>
          <w:rFonts w:ascii="Times New Roman" w:hAnsi="Times New Roman"/>
          <w:sz w:val="24"/>
        </w:rPr>
        <w:t>mCRC</w:t>
      </w:r>
      <w:proofErr w:type="spellEnd"/>
      <w:r w:rsidRPr="00F6078F">
        <w:rPr>
          <w:rFonts w:ascii="Times New Roman" w:hAnsi="Times New Roman"/>
          <w:sz w:val="24"/>
        </w:rPr>
        <w:t xml:space="preserve"> who received </w:t>
      </w:r>
      <w:proofErr w:type="spellStart"/>
      <w:r w:rsidRPr="00F6078F">
        <w:rPr>
          <w:rFonts w:ascii="Times New Roman" w:hAnsi="Times New Roman"/>
          <w:sz w:val="24"/>
        </w:rPr>
        <w:t>panitumumab</w:t>
      </w:r>
      <w:proofErr w:type="spellEnd"/>
      <w:r w:rsidRPr="00F6078F">
        <w:rPr>
          <w:rFonts w:ascii="Times New Roman" w:hAnsi="Times New Roman"/>
          <w:sz w:val="24"/>
        </w:rPr>
        <w:t xml:space="preserve"> and FOLFOX (n = 221) versus FOLFOX alone (n = 219). A trend toward shortened OS time was also observed in the mutant </w:t>
      </w:r>
      <w:r w:rsidRPr="00F6078F">
        <w:rPr>
          <w:rFonts w:ascii="Times New Roman" w:hAnsi="Times New Roman"/>
          <w:i/>
          <w:sz w:val="24"/>
        </w:rPr>
        <w:t>KRAS</w:t>
      </w:r>
      <w:r w:rsidRPr="00F6078F">
        <w:rPr>
          <w:rFonts w:ascii="Times New Roman" w:hAnsi="Times New Roman"/>
          <w:sz w:val="24"/>
        </w:rPr>
        <w:t xml:space="preserve"> </w:t>
      </w:r>
      <w:proofErr w:type="spellStart"/>
      <w:r w:rsidRPr="00F6078F">
        <w:rPr>
          <w:rFonts w:ascii="Times New Roman" w:hAnsi="Times New Roman"/>
          <w:sz w:val="24"/>
        </w:rPr>
        <w:t>mCRC</w:t>
      </w:r>
      <w:proofErr w:type="spellEnd"/>
      <w:r w:rsidRPr="00F6078F">
        <w:rPr>
          <w:rFonts w:ascii="Times New Roman" w:hAnsi="Times New Roman"/>
          <w:sz w:val="24"/>
        </w:rPr>
        <w:t xml:space="preserve"> population.</w:t>
      </w:r>
    </w:p>
    <w:p w:rsidR="00D6031F" w:rsidRPr="00782806" w:rsidRDefault="00D6031F" w:rsidP="00D6031F">
      <w:pPr>
        <w:pStyle w:val="Text"/>
        <w:spacing w:after="0" w:line="240" w:lineRule="auto"/>
        <w:rPr>
          <w:rFonts w:ascii="Times New Roman" w:hAnsi="Times New Roman"/>
          <w:sz w:val="24"/>
        </w:rPr>
      </w:pPr>
    </w:p>
    <w:p w:rsidR="00D6031F" w:rsidRPr="00782806" w:rsidRDefault="00D6031F" w:rsidP="00D6031F">
      <w:pPr>
        <w:pStyle w:val="Heading3"/>
        <w:spacing w:after="0" w:line="240" w:lineRule="auto"/>
        <w:rPr>
          <w:rFonts w:ascii="Times New Roman" w:hAnsi="Times New Roman"/>
          <w:i w:val="0"/>
          <w:iCs/>
          <w:sz w:val="24"/>
        </w:rPr>
      </w:pPr>
      <w:r w:rsidRPr="00782806">
        <w:rPr>
          <w:rFonts w:ascii="Times New Roman" w:hAnsi="Times New Roman"/>
          <w:i w:val="0"/>
          <w:iCs/>
          <w:sz w:val="24"/>
        </w:rPr>
        <w:t xml:space="preserve">Patients with ECOG 2 Performance Status Treated with </w:t>
      </w:r>
      <w:proofErr w:type="spellStart"/>
      <w:r w:rsidRPr="00782806">
        <w:rPr>
          <w:rFonts w:ascii="Times New Roman" w:hAnsi="Times New Roman"/>
          <w:i w:val="0"/>
          <w:iCs/>
          <w:sz w:val="24"/>
        </w:rPr>
        <w:t>Vectibix</w:t>
      </w:r>
      <w:proofErr w:type="spellEnd"/>
      <w:r w:rsidRPr="00782806">
        <w:rPr>
          <w:rFonts w:ascii="Times New Roman" w:hAnsi="Times New Roman"/>
          <w:i w:val="0"/>
          <w:iCs/>
          <w:sz w:val="24"/>
        </w:rPr>
        <w:t xml:space="preserve"> in Combination with Chemotherapy*</w:t>
      </w:r>
    </w:p>
    <w:p w:rsidR="00D6031F" w:rsidRPr="00782806" w:rsidRDefault="00D6031F" w:rsidP="00D6031F">
      <w:pPr>
        <w:autoSpaceDE w:val="0"/>
        <w:autoSpaceDN w:val="0"/>
        <w:adjustRightInd w:val="0"/>
        <w:rPr>
          <w:sz w:val="24"/>
          <w:lang w:val="en-AU"/>
        </w:rPr>
      </w:pPr>
      <w:r w:rsidRPr="00782806">
        <w:rPr>
          <w:sz w:val="24"/>
          <w:lang w:val="en-AU"/>
        </w:rPr>
        <w:t xml:space="preserve">In a phase 3 study (N = 1,183; 656 patients with wild-type </w:t>
      </w:r>
      <w:r w:rsidRPr="00536F75">
        <w:rPr>
          <w:i/>
          <w:sz w:val="24"/>
          <w:lang w:val="en-AU"/>
        </w:rPr>
        <w:t>KRAS</w:t>
      </w:r>
      <w:r w:rsidRPr="00782806">
        <w:rPr>
          <w:sz w:val="24"/>
          <w:lang w:val="en-AU"/>
        </w:rPr>
        <w:t xml:space="preserve"> and 440 patients with mutant </w:t>
      </w:r>
      <w:r w:rsidRPr="00782806">
        <w:rPr>
          <w:i/>
          <w:sz w:val="24"/>
          <w:lang w:val="en-AU"/>
        </w:rPr>
        <w:t>KRAS</w:t>
      </w:r>
      <w:r w:rsidRPr="00782806">
        <w:rPr>
          <w:sz w:val="24"/>
          <w:lang w:val="en-AU"/>
        </w:rPr>
        <w:t xml:space="preserve"> </w:t>
      </w:r>
      <w:proofErr w:type="spellStart"/>
      <w:r w:rsidRPr="00782806">
        <w:rPr>
          <w:sz w:val="24"/>
          <w:lang w:val="en-AU"/>
        </w:rPr>
        <w:t>mCRC</w:t>
      </w:r>
      <w:proofErr w:type="spellEnd"/>
      <w:r w:rsidRPr="00782806">
        <w:rPr>
          <w:sz w:val="24"/>
          <w:lang w:val="en-AU"/>
        </w:rPr>
        <w:t xml:space="preserve">) evaluating </w:t>
      </w:r>
      <w:proofErr w:type="spellStart"/>
      <w:r w:rsidRPr="00782806">
        <w:rPr>
          <w:sz w:val="24"/>
          <w:lang w:val="en-AU"/>
        </w:rPr>
        <w:t>panitumumab</w:t>
      </w:r>
      <w:proofErr w:type="spellEnd"/>
      <w:r w:rsidRPr="00782806">
        <w:rPr>
          <w:sz w:val="24"/>
          <w:lang w:val="en-AU"/>
        </w:rPr>
        <w:t xml:space="preserve"> in combination with </w:t>
      </w:r>
      <w:proofErr w:type="spellStart"/>
      <w:r w:rsidRPr="00782806">
        <w:rPr>
          <w:sz w:val="24"/>
          <w:lang w:val="en-AU"/>
        </w:rPr>
        <w:t>infusional</w:t>
      </w:r>
      <w:proofErr w:type="spellEnd"/>
      <w:r>
        <w:rPr>
          <w:sz w:val="24"/>
          <w:lang w:val="en-AU"/>
        </w:rPr>
        <w:t xml:space="preserve"> </w:t>
      </w:r>
      <w:r w:rsidRPr="00782806">
        <w:rPr>
          <w:sz w:val="24"/>
          <w:lang w:val="en-AU"/>
        </w:rPr>
        <w:t xml:space="preserve">5-FU, </w:t>
      </w:r>
      <w:proofErr w:type="spellStart"/>
      <w:r w:rsidRPr="00782806">
        <w:rPr>
          <w:sz w:val="24"/>
          <w:lang w:val="en-AU"/>
        </w:rPr>
        <w:t>leucovorin</w:t>
      </w:r>
      <w:proofErr w:type="spellEnd"/>
      <w:r w:rsidRPr="00782806">
        <w:rPr>
          <w:sz w:val="24"/>
          <w:lang w:val="en-AU"/>
        </w:rPr>
        <w:t xml:space="preserve">, and </w:t>
      </w:r>
      <w:proofErr w:type="spellStart"/>
      <w:r w:rsidRPr="00782806">
        <w:rPr>
          <w:sz w:val="24"/>
          <w:lang w:val="en-AU"/>
        </w:rPr>
        <w:t>oxaliplatin</w:t>
      </w:r>
      <w:proofErr w:type="spellEnd"/>
      <w:r w:rsidRPr="00782806">
        <w:rPr>
          <w:sz w:val="24"/>
          <w:lang w:val="en-AU"/>
        </w:rPr>
        <w:t xml:space="preserve"> (FOLFOX) compared to FOLFOX alone as first-line therapy, patients with ECOG 2 </w:t>
      </w:r>
      <w:r>
        <w:rPr>
          <w:sz w:val="24"/>
          <w:lang w:val="en-AU"/>
        </w:rPr>
        <w:t>performance status (n</w:t>
      </w:r>
      <w:r w:rsidRPr="00F6078F">
        <w:rPr>
          <w:sz w:val="24"/>
        </w:rPr>
        <w:t> = </w:t>
      </w:r>
      <w:r w:rsidRPr="00782806">
        <w:rPr>
          <w:sz w:val="24"/>
          <w:lang w:val="en-AU"/>
        </w:rPr>
        <w:t xml:space="preserve">40) were observed to have increased toxicity and significant shortening of PFS relative to ECOG 0 or 1 performance status (n = 616). </w:t>
      </w:r>
      <w:r>
        <w:rPr>
          <w:sz w:val="24"/>
          <w:lang w:val="en-AU"/>
        </w:rPr>
        <w:t xml:space="preserve"> </w:t>
      </w:r>
      <w:r w:rsidRPr="00782806">
        <w:rPr>
          <w:sz w:val="24"/>
          <w:lang w:val="en-AU"/>
        </w:rPr>
        <w:t xml:space="preserve">For patients with ECOG 2 performance status, assessment of risk-benefit is recommended prior to initiation of </w:t>
      </w:r>
      <w:proofErr w:type="spellStart"/>
      <w:r w:rsidRPr="00782806">
        <w:rPr>
          <w:sz w:val="24"/>
          <w:lang w:val="en-AU"/>
        </w:rPr>
        <w:t>Vectibix</w:t>
      </w:r>
      <w:proofErr w:type="spellEnd"/>
      <w:r w:rsidRPr="00782806">
        <w:rPr>
          <w:sz w:val="24"/>
          <w:lang w:val="en-AU"/>
        </w:rPr>
        <w:t xml:space="preserve"> in combination with chemotherapy for treatment of </w:t>
      </w:r>
      <w:proofErr w:type="spellStart"/>
      <w:r w:rsidRPr="00782806">
        <w:rPr>
          <w:sz w:val="24"/>
          <w:lang w:val="en-AU"/>
        </w:rPr>
        <w:t>mCRC</w:t>
      </w:r>
      <w:proofErr w:type="spellEnd"/>
      <w:r w:rsidRPr="00782806">
        <w:rPr>
          <w:sz w:val="24"/>
          <w:lang w:val="en-AU"/>
        </w:rPr>
        <w:t>.</w:t>
      </w:r>
    </w:p>
    <w:p w:rsidR="00D6031F" w:rsidRPr="00D6031F" w:rsidRDefault="00D6031F" w:rsidP="00D6031F">
      <w:pPr>
        <w:pStyle w:val="Heading1"/>
      </w:pPr>
    </w:p>
    <w:p w:rsidR="00AA7FFD" w:rsidRDefault="00AA7FFD">
      <w:pPr>
        <w:pStyle w:val="Heading3"/>
        <w:spacing w:after="0" w:line="240" w:lineRule="auto"/>
        <w:rPr>
          <w:rFonts w:ascii="Times New Roman" w:hAnsi="Times New Roman"/>
          <w:sz w:val="24"/>
        </w:rPr>
      </w:pPr>
      <w:r>
        <w:rPr>
          <w:rFonts w:ascii="Times New Roman" w:hAnsi="Times New Roman"/>
          <w:i w:val="0"/>
          <w:iCs/>
          <w:sz w:val="24"/>
        </w:rPr>
        <w:t>Dermatologic Toxicity and Related Disorders</w:t>
      </w:r>
    </w:p>
    <w:p w:rsidR="00370981" w:rsidRPr="00370981" w:rsidRDefault="00370981" w:rsidP="00370981">
      <w:pPr>
        <w:pStyle w:val="Text"/>
        <w:spacing w:after="0" w:line="240" w:lineRule="auto"/>
        <w:rPr>
          <w:rFonts w:ascii="Times New Roman" w:hAnsi="Times New Roman"/>
          <w:sz w:val="24"/>
        </w:rPr>
      </w:pPr>
      <w:r>
        <w:rPr>
          <w:rFonts w:ascii="Times New Roman" w:hAnsi="Times New Roman"/>
          <w:sz w:val="24"/>
        </w:rPr>
        <w:t>Dermatologic related reactions, a pharmacological effect observed with EGFR inhibitors, were reported i</w:t>
      </w:r>
      <w:r w:rsidRPr="00C16CDC">
        <w:rPr>
          <w:rFonts w:ascii="Times New Roman" w:hAnsi="Times New Roman"/>
          <w:sz w:val="24"/>
        </w:rPr>
        <w:t xml:space="preserve">n 93% of patients with </w:t>
      </w:r>
      <w:proofErr w:type="spellStart"/>
      <w:r w:rsidRPr="00C16CDC">
        <w:rPr>
          <w:rFonts w:ascii="Times New Roman" w:hAnsi="Times New Roman"/>
          <w:sz w:val="24"/>
        </w:rPr>
        <w:t>mCRC</w:t>
      </w:r>
      <w:proofErr w:type="spellEnd"/>
      <w:r w:rsidRPr="00C16CDC">
        <w:rPr>
          <w:rFonts w:ascii="Times New Roman" w:hAnsi="Times New Roman"/>
          <w:sz w:val="24"/>
        </w:rPr>
        <w:t xml:space="preserve"> receiving </w:t>
      </w:r>
      <w:proofErr w:type="spellStart"/>
      <w:r w:rsidRPr="00C16CDC">
        <w:rPr>
          <w:rFonts w:ascii="Times New Roman" w:hAnsi="Times New Roman"/>
          <w:sz w:val="24"/>
        </w:rPr>
        <w:t>panitumumab</w:t>
      </w:r>
      <w:proofErr w:type="spellEnd"/>
      <w:r w:rsidRPr="00C16CDC">
        <w:rPr>
          <w:rFonts w:ascii="Times New Roman" w:hAnsi="Times New Roman"/>
          <w:sz w:val="24"/>
        </w:rPr>
        <w:t xml:space="preserve"> in </w:t>
      </w:r>
      <w:proofErr w:type="spellStart"/>
      <w:r w:rsidRPr="00C16CDC">
        <w:rPr>
          <w:rFonts w:ascii="Times New Roman" w:hAnsi="Times New Roman"/>
          <w:sz w:val="24"/>
        </w:rPr>
        <w:t>monotherapy</w:t>
      </w:r>
      <w:proofErr w:type="spellEnd"/>
      <w:r w:rsidRPr="00C16CDC">
        <w:rPr>
          <w:rFonts w:ascii="Times New Roman" w:hAnsi="Times New Roman"/>
          <w:sz w:val="24"/>
        </w:rPr>
        <w:t xml:space="preserve"> </w:t>
      </w:r>
      <w:proofErr w:type="spellStart"/>
      <w:r w:rsidRPr="00C16CDC">
        <w:rPr>
          <w:rFonts w:ascii="Times New Roman" w:hAnsi="Times New Roman"/>
          <w:sz w:val="24"/>
        </w:rPr>
        <w:t>mCRC</w:t>
      </w:r>
      <w:proofErr w:type="spellEnd"/>
      <w:r w:rsidRPr="00C16CDC">
        <w:rPr>
          <w:rFonts w:ascii="Times New Roman" w:hAnsi="Times New Roman"/>
          <w:sz w:val="24"/>
        </w:rPr>
        <w:t xml:space="preserve"> clinical trials</w:t>
      </w:r>
      <w:r>
        <w:rPr>
          <w:rFonts w:ascii="Times New Roman" w:hAnsi="Times New Roman"/>
          <w:sz w:val="24"/>
        </w:rPr>
        <w:t xml:space="preserve"> (N</w:t>
      </w:r>
      <w:r w:rsidRPr="00C16CDC">
        <w:rPr>
          <w:rFonts w:ascii="Times New Roman" w:hAnsi="Times New Roman"/>
          <w:sz w:val="24"/>
        </w:rPr>
        <w:t xml:space="preserve"> = 1,052). </w:t>
      </w:r>
      <w:r>
        <w:rPr>
          <w:rFonts w:ascii="Times New Roman" w:hAnsi="Times New Roman"/>
          <w:sz w:val="24"/>
        </w:rPr>
        <w:t xml:space="preserve"> Patients developing dermatologic toxicities while </w:t>
      </w:r>
      <w:r w:rsidRPr="00370981">
        <w:rPr>
          <w:rFonts w:ascii="Times New Roman" w:hAnsi="Times New Roman"/>
          <w:sz w:val="24"/>
        </w:rPr>
        <w:t xml:space="preserve">receiving </w:t>
      </w:r>
      <w:proofErr w:type="spellStart"/>
      <w:r w:rsidRPr="00370981">
        <w:rPr>
          <w:rFonts w:ascii="Times New Roman" w:hAnsi="Times New Roman"/>
          <w:sz w:val="24"/>
        </w:rPr>
        <w:t>panitumumab</w:t>
      </w:r>
      <w:proofErr w:type="spellEnd"/>
      <w:r w:rsidRPr="00370981">
        <w:rPr>
          <w:rFonts w:ascii="Times New Roman" w:hAnsi="Times New Roman"/>
          <w:sz w:val="24"/>
        </w:rPr>
        <w:t xml:space="preserve"> should be monitored for the development of inflammatory or infectious </w:t>
      </w:r>
      <w:proofErr w:type="spellStart"/>
      <w:r w:rsidRPr="00370981">
        <w:rPr>
          <w:rFonts w:ascii="Times New Roman" w:hAnsi="Times New Roman"/>
          <w:sz w:val="24"/>
        </w:rPr>
        <w:t>sequelae</w:t>
      </w:r>
      <w:proofErr w:type="spellEnd"/>
      <w:r w:rsidRPr="00370981">
        <w:rPr>
          <w:rFonts w:ascii="Times New Roman" w:hAnsi="Times New Roman"/>
          <w:sz w:val="24"/>
        </w:rPr>
        <w:t>, and appropriate treatment promptly initiated.  Life threatening and fatal infectious complications including events of necrotising fasciitis and/or sepsis have been observed in patients treated with panitumumab.*</w:t>
      </w:r>
    </w:p>
    <w:p w:rsidR="00370981" w:rsidRPr="00370981" w:rsidRDefault="00370981" w:rsidP="00370981">
      <w:pPr>
        <w:pStyle w:val="Text"/>
        <w:spacing w:after="0" w:line="240" w:lineRule="auto"/>
        <w:rPr>
          <w:rFonts w:ascii="Times New Roman" w:hAnsi="Times New Roman"/>
          <w:sz w:val="24"/>
        </w:rPr>
      </w:pPr>
    </w:p>
    <w:p w:rsidR="00370981" w:rsidRPr="00370981" w:rsidRDefault="00370981" w:rsidP="00370981">
      <w:pPr>
        <w:pStyle w:val="Text"/>
        <w:spacing w:after="0" w:line="240" w:lineRule="auto"/>
        <w:rPr>
          <w:rFonts w:ascii="Times New Roman" w:hAnsi="Times New Roman"/>
          <w:caps/>
          <w:sz w:val="24"/>
        </w:rPr>
      </w:pPr>
      <w:r w:rsidRPr="00370981">
        <w:rPr>
          <w:rFonts w:ascii="Times New Roman" w:hAnsi="Times New Roman"/>
          <w:sz w:val="24"/>
        </w:rPr>
        <w:t xml:space="preserve">In cases of severe dermatologic toxicities, dose modifications of </w:t>
      </w:r>
      <w:proofErr w:type="spellStart"/>
      <w:r w:rsidRPr="00370981">
        <w:rPr>
          <w:rFonts w:ascii="Times New Roman" w:hAnsi="Times New Roman"/>
          <w:sz w:val="24"/>
        </w:rPr>
        <w:t>panitumumab</w:t>
      </w:r>
      <w:proofErr w:type="spellEnd"/>
      <w:r w:rsidRPr="00370981">
        <w:rPr>
          <w:rFonts w:ascii="Times New Roman" w:hAnsi="Times New Roman"/>
          <w:sz w:val="24"/>
        </w:rPr>
        <w:t xml:space="preserve"> should be instituted (see </w:t>
      </w:r>
      <w:r w:rsidRPr="00370981">
        <w:rPr>
          <w:rFonts w:ascii="Times New Roman" w:hAnsi="Times New Roman"/>
          <w:caps/>
          <w:sz w:val="24"/>
        </w:rPr>
        <w:t>Dosage and Administration).</w:t>
      </w:r>
      <w:r w:rsidRPr="00370981">
        <w:rPr>
          <w:rFonts w:ascii="Times New Roman" w:hAnsi="Times New Roman"/>
          <w:sz w:val="24"/>
        </w:rPr>
        <w:t xml:space="preserve">  In cases of dermatologic toxicity with severe or life threatening inflammatory or infectious complications, </w:t>
      </w:r>
      <w:proofErr w:type="spellStart"/>
      <w:r w:rsidRPr="00370981">
        <w:rPr>
          <w:rFonts w:ascii="Times New Roman" w:hAnsi="Times New Roman"/>
          <w:sz w:val="24"/>
        </w:rPr>
        <w:t>panitumumab</w:t>
      </w:r>
      <w:proofErr w:type="spellEnd"/>
      <w:r w:rsidRPr="00370981">
        <w:rPr>
          <w:rFonts w:ascii="Times New Roman" w:hAnsi="Times New Roman"/>
          <w:sz w:val="24"/>
        </w:rPr>
        <w:t xml:space="preserve"> should be withheld or discontinued.*</w:t>
      </w:r>
    </w:p>
    <w:p w:rsidR="00370981" w:rsidRPr="00370981" w:rsidRDefault="00370981" w:rsidP="00370981">
      <w:pPr>
        <w:pStyle w:val="Text"/>
        <w:spacing w:after="0" w:line="240" w:lineRule="auto"/>
        <w:rPr>
          <w:rFonts w:ascii="Times New Roman" w:hAnsi="Times New Roman"/>
          <w:caps/>
          <w:sz w:val="24"/>
        </w:rPr>
      </w:pPr>
    </w:p>
    <w:p w:rsidR="00370981" w:rsidRPr="00E82C77" w:rsidRDefault="00370981" w:rsidP="00370981">
      <w:pPr>
        <w:pStyle w:val="Text"/>
        <w:spacing w:after="0" w:line="240" w:lineRule="auto"/>
        <w:rPr>
          <w:rFonts w:ascii="Times New Roman" w:hAnsi="Times New Roman"/>
          <w:caps/>
          <w:sz w:val="24"/>
        </w:rPr>
      </w:pPr>
      <w:r w:rsidRPr="00370981">
        <w:rPr>
          <w:rFonts w:ascii="Times New Roman" w:hAnsi="Times New Roman"/>
          <w:sz w:val="24"/>
        </w:rPr>
        <w:t>It is recommended that patients</w:t>
      </w:r>
      <w:r>
        <w:rPr>
          <w:rFonts w:ascii="Times New Roman" w:hAnsi="Times New Roman"/>
          <w:sz w:val="24"/>
        </w:rPr>
        <w:t xml:space="preserve"> wear sunscreen and a hat and limit sun exposure while receiving </w:t>
      </w:r>
      <w:proofErr w:type="spellStart"/>
      <w:r w:rsidRPr="00C16CDC">
        <w:rPr>
          <w:rFonts w:ascii="Times New Roman" w:hAnsi="Times New Roman"/>
          <w:sz w:val="24"/>
        </w:rPr>
        <w:t>panitumumab</w:t>
      </w:r>
      <w:proofErr w:type="spellEnd"/>
      <w:r w:rsidRPr="00C16CDC">
        <w:rPr>
          <w:rFonts w:ascii="Times New Roman" w:hAnsi="Times New Roman"/>
          <w:sz w:val="24"/>
        </w:rPr>
        <w:t xml:space="preserve"> </w:t>
      </w:r>
      <w:r>
        <w:rPr>
          <w:rFonts w:ascii="Times New Roman" w:hAnsi="Times New Roman"/>
          <w:sz w:val="24"/>
        </w:rPr>
        <w:t>as sunlight can exacerbate any skin reactions that may occur.</w:t>
      </w:r>
    </w:p>
    <w:p w:rsidR="00AA7FFD" w:rsidRDefault="00AA7FFD">
      <w:pPr>
        <w:pStyle w:val="Text"/>
        <w:spacing w:after="0" w:line="240" w:lineRule="auto"/>
        <w:rPr>
          <w:rFonts w:ascii="Times New Roman" w:hAnsi="Times New Roman"/>
          <w:sz w:val="24"/>
        </w:rPr>
      </w:pPr>
    </w:p>
    <w:p w:rsidR="00B01582" w:rsidRPr="00085C80" w:rsidRDefault="00B01582" w:rsidP="00B01582">
      <w:pPr>
        <w:pStyle w:val="Heading3"/>
        <w:spacing w:after="0" w:line="240" w:lineRule="auto"/>
        <w:rPr>
          <w:rFonts w:ascii="Times New Roman" w:hAnsi="Times New Roman"/>
          <w:i w:val="0"/>
          <w:iCs/>
          <w:color w:val="000000"/>
          <w:sz w:val="24"/>
        </w:rPr>
      </w:pPr>
      <w:r w:rsidRPr="00085C80">
        <w:rPr>
          <w:rFonts w:ascii="Times New Roman" w:hAnsi="Times New Roman"/>
          <w:i w:val="0"/>
          <w:iCs/>
          <w:color w:val="000000"/>
          <w:sz w:val="24"/>
        </w:rPr>
        <w:lastRenderedPageBreak/>
        <w:t>Infusion Reactions</w:t>
      </w:r>
    </w:p>
    <w:p w:rsidR="00136916" w:rsidRPr="00085C80" w:rsidRDefault="00136916" w:rsidP="00136916">
      <w:pPr>
        <w:pStyle w:val="Text"/>
        <w:spacing w:after="0" w:line="240" w:lineRule="auto"/>
        <w:rPr>
          <w:rFonts w:ascii="Times New Roman" w:hAnsi="Times New Roman"/>
          <w:sz w:val="24"/>
        </w:rPr>
      </w:pPr>
      <w:r w:rsidRPr="00085C80">
        <w:rPr>
          <w:rFonts w:ascii="Times New Roman" w:hAnsi="Times New Roman"/>
          <w:sz w:val="24"/>
        </w:rPr>
        <w:t xml:space="preserve">Infusion reactions, including anaphylactic reactions, </w:t>
      </w:r>
      <w:proofErr w:type="spellStart"/>
      <w:r w:rsidRPr="00085C80">
        <w:rPr>
          <w:rFonts w:ascii="Times New Roman" w:hAnsi="Times New Roman"/>
          <w:sz w:val="24"/>
        </w:rPr>
        <w:t>bronchospasm</w:t>
      </w:r>
      <w:proofErr w:type="spellEnd"/>
      <w:r w:rsidRPr="00085C80">
        <w:rPr>
          <w:rFonts w:ascii="Times New Roman" w:hAnsi="Times New Roman"/>
          <w:sz w:val="24"/>
        </w:rPr>
        <w:t>, and hypotension, have been reported in the clinical trials and post-marketing experience.</w:t>
      </w:r>
    </w:p>
    <w:p w:rsidR="000E3C2C" w:rsidRPr="00085C80" w:rsidRDefault="000E3C2C" w:rsidP="00B01582">
      <w:pPr>
        <w:pStyle w:val="Text"/>
        <w:spacing w:after="0" w:line="240" w:lineRule="auto"/>
        <w:rPr>
          <w:rFonts w:ascii="Times New Roman" w:hAnsi="Times New Roman"/>
          <w:sz w:val="24"/>
        </w:rPr>
      </w:pPr>
    </w:p>
    <w:p w:rsidR="00136916" w:rsidRDefault="00B01582" w:rsidP="00B01582">
      <w:pPr>
        <w:pStyle w:val="Text"/>
        <w:spacing w:after="0" w:line="240" w:lineRule="auto"/>
        <w:rPr>
          <w:rFonts w:ascii="Times New Roman" w:hAnsi="Times New Roman"/>
          <w:sz w:val="24"/>
        </w:rPr>
      </w:pPr>
      <w:r w:rsidRPr="00085C80">
        <w:rPr>
          <w:rFonts w:ascii="Times New Roman" w:hAnsi="Times New Roman"/>
          <w:sz w:val="24"/>
        </w:rPr>
        <w:t xml:space="preserve">Across </w:t>
      </w:r>
      <w:r w:rsidR="009F5177" w:rsidRPr="00C16CDC">
        <w:rPr>
          <w:rFonts w:ascii="Times New Roman" w:hAnsi="Times New Roman"/>
          <w:sz w:val="24"/>
        </w:rPr>
        <w:t xml:space="preserve">the </w:t>
      </w:r>
      <w:proofErr w:type="spellStart"/>
      <w:r w:rsidR="00BD25F7" w:rsidRPr="00C16CDC">
        <w:rPr>
          <w:rFonts w:ascii="Times New Roman" w:hAnsi="Times New Roman"/>
          <w:sz w:val="24"/>
        </w:rPr>
        <w:t>mon</w:t>
      </w:r>
      <w:r w:rsidR="00A71FE6" w:rsidRPr="00C16CDC">
        <w:rPr>
          <w:rFonts w:ascii="Times New Roman" w:hAnsi="Times New Roman"/>
          <w:sz w:val="24"/>
        </w:rPr>
        <w:t>o</w:t>
      </w:r>
      <w:r w:rsidR="00BD25F7" w:rsidRPr="00C16CDC">
        <w:rPr>
          <w:rFonts w:ascii="Times New Roman" w:hAnsi="Times New Roman"/>
          <w:sz w:val="24"/>
        </w:rPr>
        <w:t>therapy</w:t>
      </w:r>
      <w:proofErr w:type="spellEnd"/>
      <w:r w:rsidR="00BD25F7" w:rsidRPr="00C16CDC">
        <w:rPr>
          <w:rFonts w:ascii="Times New Roman" w:hAnsi="Times New Roman"/>
          <w:sz w:val="24"/>
        </w:rPr>
        <w:t xml:space="preserve"> </w:t>
      </w:r>
      <w:proofErr w:type="spellStart"/>
      <w:r w:rsidR="00BD25F7" w:rsidRPr="00C16CDC">
        <w:rPr>
          <w:rFonts w:ascii="Times New Roman" w:hAnsi="Times New Roman"/>
          <w:sz w:val="24"/>
        </w:rPr>
        <w:t>mCRC</w:t>
      </w:r>
      <w:proofErr w:type="spellEnd"/>
      <w:r w:rsidR="00BD25F7" w:rsidRPr="00C16CDC">
        <w:rPr>
          <w:rFonts w:ascii="Times New Roman" w:hAnsi="Times New Roman"/>
          <w:sz w:val="24"/>
        </w:rPr>
        <w:t xml:space="preserve"> </w:t>
      </w:r>
      <w:r w:rsidRPr="00085C80">
        <w:rPr>
          <w:rFonts w:ascii="Times New Roman" w:hAnsi="Times New Roman"/>
          <w:sz w:val="24"/>
        </w:rPr>
        <w:t xml:space="preserve">clinical </w:t>
      </w:r>
      <w:r w:rsidRPr="00C16CDC">
        <w:rPr>
          <w:rFonts w:ascii="Times New Roman" w:hAnsi="Times New Roman"/>
          <w:sz w:val="24"/>
        </w:rPr>
        <w:t>studies</w:t>
      </w:r>
      <w:r w:rsidR="00BD25F7" w:rsidRPr="00C16CDC">
        <w:rPr>
          <w:rFonts w:ascii="Times New Roman" w:hAnsi="Times New Roman"/>
          <w:sz w:val="24"/>
        </w:rPr>
        <w:t xml:space="preserve"> (</w:t>
      </w:r>
      <w:r w:rsidR="00A71FE6" w:rsidRPr="00C16CDC">
        <w:rPr>
          <w:rFonts w:ascii="Times New Roman" w:hAnsi="Times New Roman"/>
          <w:sz w:val="24"/>
        </w:rPr>
        <w:t>n</w:t>
      </w:r>
      <w:r w:rsidR="008118A9" w:rsidRPr="00C16CDC">
        <w:rPr>
          <w:rFonts w:ascii="Times New Roman" w:hAnsi="Times New Roman"/>
          <w:sz w:val="24"/>
        </w:rPr>
        <w:t xml:space="preserve"> </w:t>
      </w:r>
      <w:r w:rsidR="00BD25F7" w:rsidRPr="00C16CDC">
        <w:rPr>
          <w:rFonts w:ascii="Times New Roman" w:hAnsi="Times New Roman"/>
          <w:sz w:val="24"/>
        </w:rPr>
        <w:t>=</w:t>
      </w:r>
      <w:r w:rsidR="008118A9" w:rsidRPr="00C16CDC">
        <w:rPr>
          <w:rFonts w:ascii="Times New Roman" w:hAnsi="Times New Roman"/>
          <w:sz w:val="24"/>
        </w:rPr>
        <w:t xml:space="preserve"> </w:t>
      </w:r>
      <w:r w:rsidR="00BD25F7" w:rsidRPr="00C16CDC">
        <w:rPr>
          <w:rFonts w:ascii="Times New Roman" w:hAnsi="Times New Roman"/>
          <w:sz w:val="24"/>
        </w:rPr>
        <w:t>1,052)</w:t>
      </w:r>
      <w:r w:rsidRPr="00C16CDC">
        <w:rPr>
          <w:rFonts w:ascii="Times New Roman" w:hAnsi="Times New Roman"/>
          <w:sz w:val="24"/>
        </w:rPr>
        <w:t>,</w:t>
      </w:r>
      <w:r w:rsidRPr="00085C80">
        <w:rPr>
          <w:rFonts w:ascii="Times New Roman" w:hAnsi="Times New Roman"/>
          <w:sz w:val="24"/>
        </w:rPr>
        <w:t xml:space="preserve"> severe infusion reactions (NCI-CTC grade 3 </w:t>
      </w:r>
      <w:r w:rsidR="009F5177" w:rsidRPr="00C16CDC">
        <w:rPr>
          <w:rFonts w:ascii="Times New Roman" w:hAnsi="Times New Roman"/>
          <w:sz w:val="24"/>
        </w:rPr>
        <w:t>and</w:t>
      </w:r>
      <w:r w:rsidR="009F5177">
        <w:rPr>
          <w:rFonts w:ascii="Times New Roman" w:hAnsi="Times New Roman"/>
          <w:sz w:val="24"/>
        </w:rPr>
        <w:t xml:space="preserve"> 4</w:t>
      </w:r>
      <w:r w:rsidRPr="00085C80">
        <w:rPr>
          <w:rFonts w:ascii="Times New Roman" w:hAnsi="Times New Roman"/>
          <w:sz w:val="24"/>
        </w:rPr>
        <w:t xml:space="preserve">) occurred with the administration of </w:t>
      </w:r>
      <w:proofErr w:type="spellStart"/>
      <w:r w:rsidRPr="00085C80">
        <w:rPr>
          <w:rFonts w:ascii="Times New Roman" w:hAnsi="Times New Roman"/>
          <w:sz w:val="24"/>
        </w:rPr>
        <w:t>panitumumab</w:t>
      </w:r>
      <w:proofErr w:type="spellEnd"/>
      <w:r w:rsidRPr="00085C80">
        <w:rPr>
          <w:rFonts w:ascii="Times New Roman" w:hAnsi="Times New Roman"/>
          <w:sz w:val="24"/>
        </w:rPr>
        <w:t xml:space="preserve"> in</w:t>
      </w:r>
      <w:r w:rsidR="00C16CDC" w:rsidRPr="00C16CDC">
        <w:rPr>
          <w:rFonts w:ascii="Times New Roman" w:hAnsi="Times New Roman"/>
          <w:sz w:val="24"/>
        </w:rPr>
        <w:t xml:space="preserve"> </w:t>
      </w:r>
      <w:r w:rsidR="009F5177" w:rsidRPr="00C16CDC">
        <w:rPr>
          <w:rFonts w:ascii="Times New Roman" w:hAnsi="Times New Roman"/>
          <w:sz w:val="24"/>
        </w:rPr>
        <w:t>0.5</w:t>
      </w:r>
      <w:r w:rsidRPr="00C16CDC">
        <w:rPr>
          <w:rFonts w:ascii="Times New Roman" w:hAnsi="Times New Roman"/>
          <w:sz w:val="24"/>
        </w:rPr>
        <w:t>% of</w:t>
      </w:r>
      <w:r w:rsidRPr="00085C80">
        <w:rPr>
          <w:rFonts w:ascii="Times New Roman" w:hAnsi="Times New Roman"/>
          <w:sz w:val="24"/>
        </w:rPr>
        <w:t xml:space="preserve"> patients. </w:t>
      </w:r>
    </w:p>
    <w:p w:rsidR="009F5177" w:rsidRPr="00C16CDC" w:rsidRDefault="009F5177" w:rsidP="00B01582">
      <w:pPr>
        <w:pStyle w:val="Text"/>
        <w:spacing w:after="0" w:line="240" w:lineRule="auto"/>
        <w:rPr>
          <w:rFonts w:ascii="Times New Roman" w:hAnsi="Times New Roman"/>
          <w:sz w:val="24"/>
        </w:rPr>
      </w:pPr>
    </w:p>
    <w:p w:rsidR="00B0648F" w:rsidRPr="00C16CDC" w:rsidRDefault="009F5177" w:rsidP="00B01582">
      <w:pPr>
        <w:pStyle w:val="Text"/>
        <w:spacing w:after="0" w:line="240" w:lineRule="auto"/>
        <w:rPr>
          <w:rFonts w:ascii="Times New Roman" w:hAnsi="Times New Roman"/>
          <w:sz w:val="24"/>
        </w:rPr>
      </w:pPr>
      <w:r w:rsidRPr="00C16CDC">
        <w:rPr>
          <w:rFonts w:ascii="Times New Roman" w:hAnsi="Times New Roman"/>
          <w:sz w:val="24"/>
        </w:rPr>
        <w:t xml:space="preserve">In the (pooled) </w:t>
      </w:r>
      <w:proofErr w:type="spellStart"/>
      <w:r w:rsidRPr="00C16CDC">
        <w:rPr>
          <w:rFonts w:ascii="Times New Roman" w:hAnsi="Times New Roman"/>
          <w:sz w:val="24"/>
        </w:rPr>
        <w:t>irinotecan</w:t>
      </w:r>
      <w:proofErr w:type="spellEnd"/>
      <w:r w:rsidRPr="00C16CDC">
        <w:rPr>
          <w:rFonts w:ascii="Times New Roman" w:hAnsi="Times New Roman"/>
          <w:sz w:val="24"/>
        </w:rPr>
        <w:t>-bas</w:t>
      </w:r>
      <w:r w:rsidR="00B0648F" w:rsidRPr="00C16CDC">
        <w:rPr>
          <w:rFonts w:ascii="Times New Roman" w:hAnsi="Times New Roman"/>
          <w:sz w:val="24"/>
        </w:rPr>
        <w:t xml:space="preserve">ed chemotherapy with </w:t>
      </w:r>
      <w:proofErr w:type="spellStart"/>
      <w:r w:rsidR="002831D4" w:rsidRPr="00C16CDC">
        <w:rPr>
          <w:rFonts w:ascii="Times New Roman" w:hAnsi="Times New Roman"/>
          <w:sz w:val="24"/>
        </w:rPr>
        <w:t>panitumumab</w:t>
      </w:r>
      <w:proofErr w:type="spellEnd"/>
      <w:r w:rsidR="00B0648F" w:rsidRPr="00C16CDC">
        <w:rPr>
          <w:rFonts w:ascii="Times New Roman" w:hAnsi="Times New Roman"/>
          <w:sz w:val="24"/>
        </w:rPr>
        <w:t xml:space="preserve"> (n = </w:t>
      </w:r>
      <w:r w:rsidRPr="00C16CDC">
        <w:rPr>
          <w:rFonts w:ascii="Times New Roman" w:hAnsi="Times New Roman"/>
          <w:sz w:val="24"/>
        </w:rPr>
        <w:t xml:space="preserve">951) and the </w:t>
      </w:r>
      <w:proofErr w:type="spellStart"/>
      <w:r w:rsidRPr="00C16CDC">
        <w:rPr>
          <w:rFonts w:ascii="Times New Roman" w:hAnsi="Times New Roman"/>
          <w:sz w:val="24"/>
        </w:rPr>
        <w:t>irinot</w:t>
      </w:r>
      <w:r w:rsidR="00B0648F" w:rsidRPr="00C16CDC">
        <w:rPr>
          <w:rFonts w:ascii="Times New Roman" w:hAnsi="Times New Roman"/>
          <w:sz w:val="24"/>
        </w:rPr>
        <w:t>ecan</w:t>
      </w:r>
      <w:proofErr w:type="spellEnd"/>
      <w:r w:rsidR="00B0648F" w:rsidRPr="00C16CDC">
        <w:rPr>
          <w:rFonts w:ascii="Times New Roman" w:hAnsi="Times New Roman"/>
          <w:sz w:val="24"/>
        </w:rPr>
        <w:t>-based chemotherapy alone (n</w:t>
      </w:r>
      <w:r w:rsidRPr="00C16CDC">
        <w:rPr>
          <w:rFonts w:ascii="Times New Roman" w:hAnsi="Times New Roman"/>
          <w:sz w:val="24"/>
        </w:rPr>
        <w:t xml:space="preserve"> = 594) settings,</w:t>
      </w:r>
      <w:r w:rsidR="00D079C2" w:rsidRPr="00C16CDC">
        <w:rPr>
          <w:rFonts w:ascii="Times New Roman" w:hAnsi="Times New Roman"/>
          <w:sz w:val="24"/>
        </w:rPr>
        <w:t xml:space="preserve"> severe infusion reactions (NCI</w:t>
      </w:r>
      <w:r w:rsidR="00D079C2" w:rsidRPr="00C16CDC">
        <w:rPr>
          <w:rFonts w:ascii="Times New Roman" w:hAnsi="Times New Roman"/>
          <w:sz w:val="24"/>
        </w:rPr>
        <w:noBreakHyphen/>
      </w:r>
      <w:r w:rsidRPr="00C16CDC">
        <w:rPr>
          <w:rFonts w:ascii="Times New Roman" w:hAnsi="Times New Roman"/>
          <w:sz w:val="24"/>
        </w:rPr>
        <w:t xml:space="preserve">CTC grade 3 and grade 4) occurred in 0.1% and 0.2% of patients, respectively. </w:t>
      </w:r>
      <w:r w:rsidR="00EF52F3" w:rsidRPr="00C16CDC">
        <w:rPr>
          <w:rFonts w:ascii="Times New Roman" w:hAnsi="Times New Roman"/>
          <w:sz w:val="24"/>
        </w:rPr>
        <w:t xml:space="preserve"> </w:t>
      </w:r>
      <w:r w:rsidRPr="00C16CDC">
        <w:rPr>
          <w:rFonts w:ascii="Times New Roman" w:hAnsi="Times New Roman"/>
          <w:sz w:val="24"/>
        </w:rPr>
        <w:t xml:space="preserve">In the </w:t>
      </w:r>
      <w:proofErr w:type="spellStart"/>
      <w:r w:rsidRPr="00C16CDC">
        <w:rPr>
          <w:rFonts w:ascii="Times New Roman" w:hAnsi="Times New Roman"/>
          <w:sz w:val="24"/>
        </w:rPr>
        <w:t>oxaliplatin</w:t>
      </w:r>
      <w:proofErr w:type="spellEnd"/>
      <w:r w:rsidRPr="00C16CDC">
        <w:rPr>
          <w:rFonts w:ascii="Times New Roman" w:hAnsi="Times New Roman"/>
          <w:sz w:val="24"/>
        </w:rPr>
        <w:t>-bas</w:t>
      </w:r>
      <w:r w:rsidR="00B0648F" w:rsidRPr="00C16CDC">
        <w:rPr>
          <w:rFonts w:ascii="Times New Roman" w:hAnsi="Times New Roman"/>
          <w:sz w:val="24"/>
        </w:rPr>
        <w:t xml:space="preserve">ed chemotherapy with </w:t>
      </w:r>
      <w:proofErr w:type="spellStart"/>
      <w:r w:rsidR="00B10D64" w:rsidRPr="00C16CDC">
        <w:rPr>
          <w:rFonts w:ascii="Times New Roman" w:hAnsi="Times New Roman"/>
          <w:sz w:val="24"/>
        </w:rPr>
        <w:t>panitumumab</w:t>
      </w:r>
      <w:proofErr w:type="spellEnd"/>
      <w:r w:rsidR="00B10D64" w:rsidRPr="00C16CDC">
        <w:rPr>
          <w:rFonts w:ascii="Times New Roman" w:hAnsi="Times New Roman"/>
          <w:sz w:val="24"/>
        </w:rPr>
        <w:t xml:space="preserve"> </w:t>
      </w:r>
      <w:r w:rsidR="00B0648F" w:rsidRPr="00C16CDC">
        <w:rPr>
          <w:rFonts w:ascii="Times New Roman" w:hAnsi="Times New Roman"/>
          <w:sz w:val="24"/>
        </w:rPr>
        <w:t>(n</w:t>
      </w:r>
      <w:r w:rsidRPr="00C16CDC">
        <w:rPr>
          <w:rFonts w:ascii="Times New Roman" w:hAnsi="Times New Roman"/>
          <w:sz w:val="24"/>
        </w:rPr>
        <w:t xml:space="preserve"> = 585) and the </w:t>
      </w:r>
      <w:proofErr w:type="spellStart"/>
      <w:r w:rsidRPr="00C16CDC">
        <w:rPr>
          <w:rFonts w:ascii="Times New Roman" w:hAnsi="Times New Roman"/>
          <w:sz w:val="24"/>
        </w:rPr>
        <w:t>oxalipl</w:t>
      </w:r>
      <w:r w:rsidR="00B0648F" w:rsidRPr="00C16CDC">
        <w:rPr>
          <w:rFonts w:ascii="Times New Roman" w:hAnsi="Times New Roman"/>
          <w:sz w:val="24"/>
        </w:rPr>
        <w:t>atin</w:t>
      </w:r>
      <w:proofErr w:type="spellEnd"/>
      <w:r w:rsidR="00B0648F" w:rsidRPr="00C16CDC">
        <w:rPr>
          <w:rFonts w:ascii="Times New Roman" w:hAnsi="Times New Roman"/>
          <w:sz w:val="24"/>
        </w:rPr>
        <w:t>-based chemotherapy alone (n</w:t>
      </w:r>
      <w:r w:rsidRPr="00C16CDC">
        <w:rPr>
          <w:rFonts w:ascii="Times New Roman" w:hAnsi="Times New Roman"/>
          <w:sz w:val="24"/>
        </w:rPr>
        <w:t xml:space="preserve"> = 584) settings, severe infusion reactions (NCI-CTC grade 3 and grade 4) occurred in 2.4% of pa</w:t>
      </w:r>
      <w:r w:rsidR="00EF52F3" w:rsidRPr="00C16CDC">
        <w:rPr>
          <w:rFonts w:ascii="Times New Roman" w:hAnsi="Times New Roman"/>
          <w:sz w:val="24"/>
        </w:rPr>
        <w:t>tients in both treatment arms.</w:t>
      </w:r>
      <w:r w:rsidR="0057771B" w:rsidRPr="00C16CDC">
        <w:rPr>
          <w:rFonts w:ascii="Times New Roman" w:hAnsi="Times New Roman"/>
          <w:sz w:val="24"/>
        </w:rPr>
        <w:t>*</w:t>
      </w:r>
      <w:r w:rsidR="00EF52F3" w:rsidRPr="00C16CDC">
        <w:rPr>
          <w:rFonts w:ascii="Times New Roman" w:hAnsi="Times New Roman"/>
          <w:sz w:val="24"/>
        </w:rPr>
        <w:t xml:space="preserve"> </w:t>
      </w:r>
    </w:p>
    <w:p w:rsidR="00B0648F" w:rsidRDefault="00B0648F" w:rsidP="00B01582">
      <w:pPr>
        <w:pStyle w:val="Text"/>
        <w:spacing w:after="0" w:line="240" w:lineRule="auto"/>
        <w:rPr>
          <w:rFonts w:ascii="Times New Roman" w:hAnsi="Times New Roman"/>
          <w:sz w:val="24"/>
        </w:rPr>
      </w:pPr>
    </w:p>
    <w:p w:rsidR="00136916" w:rsidRDefault="00A71FE6" w:rsidP="00B01582">
      <w:pPr>
        <w:pStyle w:val="Text"/>
        <w:spacing w:after="0" w:line="240" w:lineRule="auto"/>
        <w:rPr>
          <w:rFonts w:ascii="Times New Roman" w:hAnsi="Times New Roman"/>
          <w:sz w:val="24"/>
        </w:rPr>
      </w:pPr>
      <w:r>
        <w:rPr>
          <w:rFonts w:ascii="Times New Roman" w:hAnsi="Times New Roman"/>
          <w:sz w:val="24"/>
        </w:rPr>
        <w:t xml:space="preserve">In the </w:t>
      </w:r>
      <w:proofErr w:type="spellStart"/>
      <w:r w:rsidR="008149F7" w:rsidRPr="00085C80">
        <w:rPr>
          <w:rFonts w:ascii="Times New Roman" w:hAnsi="Times New Roman"/>
          <w:sz w:val="24"/>
        </w:rPr>
        <w:t>postmarketing</w:t>
      </w:r>
      <w:proofErr w:type="spellEnd"/>
      <w:r w:rsidR="008149F7" w:rsidRPr="00085C80">
        <w:rPr>
          <w:rFonts w:ascii="Times New Roman" w:hAnsi="Times New Roman"/>
          <w:sz w:val="24"/>
        </w:rPr>
        <w:t xml:space="preserve"> </w:t>
      </w:r>
      <w:r>
        <w:rPr>
          <w:rFonts w:ascii="Times New Roman" w:hAnsi="Times New Roman"/>
          <w:sz w:val="24"/>
        </w:rPr>
        <w:t>setting</w:t>
      </w:r>
      <w:r w:rsidR="008149F7" w:rsidRPr="00085C80">
        <w:rPr>
          <w:rFonts w:ascii="Times New Roman" w:hAnsi="Times New Roman"/>
          <w:sz w:val="24"/>
        </w:rPr>
        <w:t>, serious infusion reactions have also been reported in &lt; 1% of patients, very rarely with a fatal outcome (&lt;</w:t>
      </w:r>
      <w:r w:rsidR="00A32AA1" w:rsidRPr="00085C80">
        <w:rPr>
          <w:rFonts w:ascii="Times New Roman" w:hAnsi="Times New Roman"/>
          <w:sz w:val="24"/>
        </w:rPr>
        <w:t xml:space="preserve"> </w:t>
      </w:r>
      <w:r w:rsidR="008149F7" w:rsidRPr="00085C80">
        <w:rPr>
          <w:rFonts w:ascii="Times New Roman" w:hAnsi="Times New Roman"/>
          <w:sz w:val="24"/>
        </w:rPr>
        <w:t>0.01%)</w:t>
      </w:r>
      <w:r w:rsidR="008149F7" w:rsidRPr="00C16CDC">
        <w:rPr>
          <w:rFonts w:ascii="Times New Roman" w:hAnsi="Times New Roman"/>
          <w:sz w:val="24"/>
        </w:rPr>
        <w:t>.</w:t>
      </w:r>
      <w:r w:rsidR="00C16CDC" w:rsidRPr="00C16CDC">
        <w:rPr>
          <w:rFonts w:ascii="Times New Roman" w:hAnsi="Times New Roman"/>
          <w:sz w:val="24"/>
        </w:rPr>
        <w:t>*</w:t>
      </w:r>
    </w:p>
    <w:p w:rsidR="00C16CDC" w:rsidRPr="00085C80" w:rsidRDefault="00C16CDC" w:rsidP="00B01582">
      <w:pPr>
        <w:pStyle w:val="Text"/>
        <w:spacing w:after="0" w:line="240" w:lineRule="auto"/>
        <w:rPr>
          <w:rFonts w:ascii="Times New Roman" w:hAnsi="Times New Roman"/>
          <w:sz w:val="24"/>
        </w:rPr>
      </w:pPr>
    </w:p>
    <w:p w:rsidR="00A71FE6" w:rsidRDefault="00B01582" w:rsidP="00B01582">
      <w:pPr>
        <w:pStyle w:val="Text"/>
        <w:spacing w:after="0" w:line="240" w:lineRule="auto"/>
        <w:rPr>
          <w:rFonts w:ascii="Times New Roman" w:hAnsi="Times New Roman"/>
          <w:sz w:val="24"/>
        </w:rPr>
      </w:pPr>
      <w:r w:rsidRPr="00085C80">
        <w:rPr>
          <w:rFonts w:ascii="Times New Roman" w:hAnsi="Times New Roman"/>
          <w:sz w:val="24"/>
        </w:rPr>
        <w:t xml:space="preserve">Infusion should be stopped if a severe </w:t>
      </w:r>
      <w:r w:rsidR="00E23F17" w:rsidRPr="00085C80">
        <w:rPr>
          <w:rFonts w:ascii="Times New Roman" w:hAnsi="Times New Roman"/>
          <w:sz w:val="24"/>
        </w:rPr>
        <w:t xml:space="preserve">or life-threatening </w:t>
      </w:r>
      <w:r w:rsidRPr="00085C80">
        <w:rPr>
          <w:rFonts w:ascii="Times New Roman" w:hAnsi="Times New Roman"/>
          <w:sz w:val="24"/>
        </w:rPr>
        <w:t xml:space="preserve">infusion reaction occurs.  Depending on the severity and/or persistence of the reaction, administration of </w:t>
      </w:r>
      <w:proofErr w:type="spellStart"/>
      <w:r w:rsidRPr="00085C80">
        <w:rPr>
          <w:rFonts w:ascii="Times New Roman" w:hAnsi="Times New Roman"/>
          <w:sz w:val="24"/>
        </w:rPr>
        <w:t>panitumumab</w:t>
      </w:r>
      <w:proofErr w:type="spellEnd"/>
      <w:r w:rsidRPr="00085C80">
        <w:rPr>
          <w:rFonts w:ascii="Times New Roman" w:hAnsi="Times New Roman"/>
          <w:sz w:val="24"/>
        </w:rPr>
        <w:t xml:space="preserve"> should be permanently discontinued.</w:t>
      </w:r>
    </w:p>
    <w:p w:rsidR="00370981" w:rsidRPr="00821191" w:rsidRDefault="00370981" w:rsidP="00B01582">
      <w:pPr>
        <w:pStyle w:val="Text"/>
        <w:spacing w:after="0" w:line="240" w:lineRule="auto"/>
        <w:rPr>
          <w:rFonts w:ascii="Times New Roman" w:hAnsi="Times New Roman"/>
          <w:color w:val="000000"/>
          <w:sz w:val="24"/>
        </w:rPr>
      </w:pPr>
    </w:p>
    <w:p w:rsidR="00957072" w:rsidRPr="00821191" w:rsidRDefault="00B01582" w:rsidP="00000BBF">
      <w:pPr>
        <w:pStyle w:val="Heading3"/>
        <w:spacing w:after="0" w:line="240" w:lineRule="auto"/>
        <w:rPr>
          <w:rFonts w:ascii="Times New Roman" w:hAnsi="Times New Roman"/>
          <w:bCs/>
          <w:i w:val="0"/>
          <w:color w:val="000000"/>
          <w:sz w:val="24"/>
          <w:szCs w:val="24"/>
        </w:rPr>
      </w:pPr>
      <w:r w:rsidRPr="00821191">
        <w:rPr>
          <w:rFonts w:ascii="Times New Roman" w:hAnsi="Times New Roman"/>
          <w:bCs/>
          <w:i w:val="0"/>
          <w:color w:val="000000"/>
          <w:sz w:val="24"/>
        </w:rPr>
        <w:t>Other Hypersensitivity Reactions</w:t>
      </w:r>
    </w:p>
    <w:p w:rsidR="00B01582" w:rsidRPr="00821191" w:rsidRDefault="00B01582" w:rsidP="00957072">
      <w:pPr>
        <w:pStyle w:val="Text"/>
        <w:spacing w:after="0" w:line="240" w:lineRule="auto"/>
        <w:rPr>
          <w:rFonts w:ascii="Times New Roman" w:hAnsi="Times New Roman"/>
          <w:b/>
          <w:color w:val="000000"/>
          <w:sz w:val="24"/>
          <w:szCs w:val="24"/>
        </w:rPr>
      </w:pPr>
      <w:r w:rsidRPr="00821191">
        <w:rPr>
          <w:rFonts w:ascii="Times New Roman" w:hAnsi="Times New Roman"/>
          <w:color w:val="000000"/>
          <w:sz w:val="24"/>
        </w:rPr>
        <w:t xml:space="preserve">Hypersensitivity reactions have been reported, including a fatal case of </w:t>
      </w:r>
      <w:proofErr w:type="spellStart"/>
      <w:r w:rsidRPr="007114A7">
        <w:rPr>
          <w:rFonts w:ascii="Times New Roman" w:hAnsi="Times New Roman"/>
          <w:color w:val="000000"/>
          <w:sz w:val="24"/>
        </w:rPr>
        <w:t>angioedema</w:t>
      </w:r>
      <w:proofErr w:type="spellEnd"/>
      <w:r w:rsidRPr="00821191">
        <w:rPr>
          <w:rFonts w:ascii="Times New Roman" w:hAnsi="Times New Roman"/>
          <w:color w:val="000000"/>
          <w:sz w:val="24"/>
        </w:rPr>
        <w:t xml:space="preserve"> that occurred more than 24 hours after the infusion.  Depending on the severity and/or persistence of hypersensitivity reactions, administration of </w:t>
      </w:r>
      <w:proofErr w:type="spellStart"/>
      <w:r w:rsidRPr="00821191">
        <w:rPr>
          <w:rFonts w:ascii="Times New Roman" w:hAnsi="Times New Roman"/>
          <w:color w:val="000000"/>
          <w:sz w:val="24"/>
        </w:rPr>
        <w:t>panitumumab</w:t>
      </w:r>
      <w:proofErr w:type="spellEnd"/>
      <w:r w:rsidRPr="00821191">
        <w:rPr>
          <w:rFonts w:ascii="Times New Roman" w:hAnsi="Times New Roman"/>
          <w:color w:val="000000"/>
          <w:sz w:val="24"/>
        </w:rPr>
        <w:t xml:space="preserve"> should be permanently discontinued (see </w:t>
      </w:r>
      <w:r w:rsidR="00844D77" w:rsidRPr="00821191">
        <w:rPr>
          <w:rFonts w:ascii="Times New Roman" w:hAnsi="Times New Roman"/>
          <w:color w:val="000000"/>
          <w:sz w:val="24"/>
        </w:rPr>
        <w:t>CONTRAINDICATIONS</w:t>
      </w:r>
      <w:r w:rsidRPr="00821191">
        <w:rPr>
          <w:rFonts w:ascii="Times New Roman" w:hAnsi="Times New Roman"/>
          <w:color w:val="000000"/>
          <w:sz w:val="24"/>
        </w:rPr>
        <w:t xml:space="preserve"> and </w:t>
      </w:r>
      <w:r w:rsidR="00844D77" w:rsidRPr="00821191">
        <w:rPr>
          <w:rFonts w:ascii="Times New Roman" w:hAnsi="Times New Roman"/>
          <w:color w:val="000000"/>
          <w:sz w:val="24"/>
        </w:rPr>
        <w:t xml:space="preserve">ADVERSE </w:t>
      </w:r>
      <w:r w:rsidR="00CE3ACA" w:rsidRPr="00821191">
        <w:rPr>
          <w:rFonts w:ascii="Times New Roman" w:hAnsi="Times New Roman"/>
          <w:color w:val="000000"/>
          <w:sz w:val="24"/>
        </w:rPr>
        <w:t>EFFECTS</w:t>
      </w:r>
      <w:r w:rsidRPr="00821191">
        <w:rPr>
          <w:rFonts w:ascii="Times New Roman" w:hAnsi="Times New Roman"/>
          <w:color w:val="000000"/>
          <w:sz w:val="24"/>
        </w:rPr>
        <w:t>.)</w:t>
      </w:r>
    </w:p>
    <w:p w:rsidR="00B01582" w:rsidRPr="00622F15" w:rsidRDefault="00B01582" w:rsidP="00957072">
      <w:pPr>
        <w:pStyle w:val="Text"/>
        <w:spacing w:after="0" w:line="240" w:lineRule="auto"/>
        <w:jc w:val="both"/>
        <w:rPr>
          <w:rFonts w:ascii="Times New Roman" w:hAnsi="Times New Roman"/>
          <w:sz w:val="24"/>
        </w:rPr>
      </w:pPr>
    </w:p>
    <w:p w:rsidR="00AA7FFD" w:rsidRDefault="00AA7FFD" w:rsidP="00957072">
      <w:pPr>
        <w:pStyle w:val="Heading3"/>
        <w:spacing w:after="0" w:line="240" w:lineRule="auto"/>
        <w:rPr>
          <w:rFonts w:ascii="Times New Roman" w:hAnsi="Times New Roman"/>
          <w:i w:val="0"/>
          <w:iCs/>
          <w:sz w:val="24"/>
        </w:rPr>
      </w:pPr>
      <w:bookmarkStart w:id="5" w:name="_Pulmonary_Toxicity"/>
      <w:bookmarkEnd w:id="5"/>
      <w:r>
        <w:rPr>
          <w:rFonts w:ascii="Times New Roman" w:hAnsi="Times New Roman"/>
          <w:i w:val="0"/>
          <w:iCs/>
          <w:sz w:val="24"/>
        </w:rPr>
        <w:t>Pulmonary Toxicity</w:t>
      </w:r>
    </w:p>
    <w:p w:rsidR="00AA7FFD" w:rsidRDefault="00910711" w:rsidP="00957072">
      <w:pPr>
        <w:pStyle w:val="Text"/>
        <w:spacing w:after="0" w:line="240" w:lineRule="auto"/>
        <w:rPr>
          <w:rFonts w:ascii="Times New Roman" w:hAnsi="Times New Roman"/>
          <w:sz w:val="24"/>
        </w:rPr>
      </w:pPr>
      <w:r w:rsidRPr="002D69AB">
        <w:rPr>
          <w:rFonts w:ascii="Times New Roman" w:hAnsi="Times New Roman"/>
          <w:sz w:val="24"/>
        </w:rPr>
        <w:t>Cases of fatal and non-fatal*</w:t>
      </w:r>
      <w:r>
        <w:rPr>
          <w:rFonts w:ascii="Times New Roman" w:hAnsi="Times New Roman"/>
          <w:sz w:val="24"/>
        </w:rPr>
        <w:t xml:space="preserve"> </w:t>
      </w:r>
      <w:r w:rsidRPr="002D69AB">
        <w:rPr>
          <w:rFonts w:ascii="Times New Roman" w:hAnsi="Times New Roman"/>
          <w:sz w:val="24"/>
        </w:rPr>
        <w:t>i</w:t>
      </w:r>
      <w:r w:rsidR="00C16CDC">
        <w:rPr>
          <w:rFonts w:ascii="Times New Roman" w:hAnsi="Times New Roman"/>
          <w:sz w:val="24"/>
        </w:rPr>
        <w:t xml:space="preserve">nterstitial </w:t>
      </w:r>
      <w:r w:rsidRPr="002D69AB">
        <w:rPr>
          <w:rFonts w:ascii="Times New Roman" w:hAnsi="Times New Roman"/>
          <w:sz w:val="24"/>
        </w:rPr>
        <w:t>l</w:t>
      </w:r>
      <w:r w:rsidR="00C16CDC">
        <w:rPr>
          <w:rFonts w:ascii="Times New Roman" w:hAnsi="Times New Roman"/>
          <w:sz w:val="24"/>
        </w:rPr>
        <w:t xml:space="preserve">ung </w:t>
      </w:r>
      <w:r w:rsidRPr="002D69AB">
        <w:rPr>
          <w:rFonts w:ascii="Times New Roman" w:hAnsi="Times New Roman"/>
          <w:sz w:val="24"/>
        </w:rPr>
        <w:t>d</w:t>
      </w:r>
      <w:r w:rsidR="00C16CDC">
        <w:rPr>
          <w:rFonts w:ascii="Times New Roman" w:hAnsi="Times New Roman"/>
          <w:sz w:val="24"/>
        </w:rPr>
        <w:t>isease</w:t>
      </w:r>
      <w:r w:rsidR="00AA7FFD">
        <w:rPr>
          <w:rFonts w:ascii="Times New Roman" w:hAnsi="Times New Roman"/>
          <w:sz w:val="24"/>
        </w:rPr>
        <w:t xml:space="preserve"> </w:t>
      </w:r>
      <w:r w:rsidRPr="002D69AB">
        <w:rPr>
          <w:rFonts w:ascii="Times New Roman" w:hAnsi="Times New Roman"/>
          <w:sz w:val="24"/>
        </w:rPr>
        <w:t>(ILD)</w:t>
      </w:r>
      <w:r>
        <w:rPr>
          <w:rFonts w:ascii="Times New Roman" w:hAnsi="Times New Roman"/>
          <w:sz w:val="24"/>
        </w:rPr>
        <w:t xml:space="preserve"> </w:t>
      </w:r>
      <w:r w:rsidR="00AA7FFD">
        <w:rPr>
          <w:rFonts w:ascii="Times New Roman" w:hAnsi="Times New Roman"/>
          <w:sz w:val="24"/>
        </w:rPr>
        <w:t>ha</w:t>
      </w:r>
      <w:r w:rsidRPr="002D69AB">
        <w:rPr>
          <w:rFonts w:ascii="Times New Roman" w:hAnsi="Times New Roman"/>
          <w:sz w:val="24"/>
        </w:rPr>
        <w:t>ve</w:t>
      </w:r>
      <w:r w:rsidR="00AA7FFD">
        <w:rPr>
          <w:rFonts w:ascii="Times New Roman" w:hAnsi="Times New Roman"/>
          <w:sz w:val="24"/>
        </w:rPr>
        <w:t xml:space="preserve"> been observed </w:t>
      </w:r>
      <w:r w:rsidRPr="002D69AB">
        <w:rPr>
          <w:rFonts w:ascii="Times New Roman" w:hAnsi="Times New Roman"/>
          <w:sz w:val="24"/>
        </w:rPr>
        <w:t>in patients treated</w:t>
      </w:r>
      <w:r>
        <w:rPr>
          <w:rFonts w:ascii="Times New Roman" w:hAnsi="Times New Roman"/>
          <w:sz w:val="24"/>
        </w:rPr>
        <w:t xml:space="preserve"> </w:t>
      </w:r>
      <w:r w:rsidR="00AA7FFD">
        <w:rPr>
          <w:rFonts w:ascii="Times New Roman" w:hAnsi="Times New Roman"/>
          <w:sz w:val="24"/>
        </w:rPr>
        <w:t xml:space="preserve">with EGFR inhibitors, </w:t>
      </w:r>
      <w:r w:rsidRPr="002D69AB">
        <w:rPr>
          <w:rFonts w:ascii="Times New Roman" w:hAnsi="Times New Roman"/>
          <w:sz w:val="24"/>
        </w:rPr>
        <w:t xml:space="preserve">including </w:t>
      </w:r>
      <w:proofErr w:type="spellStart"/>
      <w:r w:rsidRPr="002D69AB">
        <w:rPr>
          <w:rFonts w:ascii="Times New Roman" w:hAnsi="Times New Roman"/>
          <w:sz w:val="24"/>
        </w:rPr>
        <w:t>panitumumab</w:t>
      </w:r>
      <w:proofErr w:type="spellEnd"/>
      <w:r w:rsidRPr="002D69AB">
        <w:rPr>
          <w:rFonts w:ascii="Times New Roman" w:hAnsi="Times New Roman"/>
          <w:sz w:val="24"/>
        </w:rPr>
        <w:t>.</w:t>
      </w:r>
      <w:r>
        <w:rPr>
          <w:rFonts w:ascii="Times New Roman" w:hAnsi="Times New Roman"/>
          <w:sz w:val="24"/>
        </w:rPr>
        <w:t xml:space="preserve">  </w:t>
      </w:r>
      <w:r w:rsidRPr="002D69AB">
        <w:rPr>
          <w:rFonts w:ascii="Times New Roman" w:hAnsi="Times New Roman"/>
          <w:sz w:val="24"/>
        </w:rPr>
        <w:t>I</w:t>
      </w:r>
      <w:r w:rsidR="00AA7FFD">
        <w:rPr>
          <w:rFonts w:ascii="Times New Roman" w:hAnsi="Times New Roman"/>
          <w:sz w:val="24"/>
        </w:rPr>
        <w:t xml:space="preserve">n the event of acute onset or worsening of pulmonary symptoms, </w:t>
      </w:r>
      <w:proofErr w:type="spellStart"/>
      <w:r w:rsidR="00AA7FFD">
        <w:rPr>
          <w:rFonts w:ascii="Times New Roman" w:hAnsi="Times New Roman"/>
          <w:sz w:val="24"/>
        </w:rPr>
        <w:t>panitumumab</w:t>
      </w:r>
      <w:proofErr w:type="spellEnd"/>
      <w:r w:rsidR="00AA7FFD">
        <w:rPr>
          <w:rFonts w:ascii="Times New Roman" w:hAnsi="Times New Roman"/>
          <w:sz w:val="24"/>
        </w:rPr>
        <w:t xml:space="preserve"> therapy should be interrupted and a prompt investigation of these symptoms should occur.  If </w:t>
      </w:r>
      <w:r w:rsidRPr="00606ED6">
        <w:rPr>
          <w:rFonts w:ascii="Times New Roman" w:hAnsi="Times New Roman"/>
          <w:sz w:val="24"/>
        </w:rPr>
        <w:t>ILD is</w:t>
      </w:r>
      <w:r w:rsidR="00AA7FFD">
        <w:rPr>
          <w:rFonts w:ascii="Times New Roman" w:hAnsi="Times New Roman"/>
          <w:sz w:val="24"/>
        </w:rPr>
        <w:t xml:space="preserve"> confirmed, </w:t>
      </w:r>
      <w:proofErr w:type="spellStart"/>
      <w:r w:rsidR="00AA7FFD">
        <w:rPr>
          <w:rFonts w:ascii="Times New Roman" w:hAnsi="Times New Roman"/>
          <w:sz w:val="24"/>
        </w:rPr>
        <w:t>panitumumab</w:t>
      </w:r>
      <w:proofErr w:type="spellEnd"/>
      <w:r w:rsidR="00AA7FFD">
        <w:rPr>
          <w:rFonts w:ascii="Times New Roman" w:hAnsi="Times New Roman"/>
          <w:sz w:val="24"/>
        </w:rPr>
        <w:t xml:space="preserve"> should be </w:t>
      </w:r>
      <w:r w:rsidRPr="00606ED6">
        <w:rPr>
          <w:rFonts w:ascii="Times New Roman" w:hAnsi="Times New Roman"/>
          <w:sz w:val="24"/>
        </w:rPr>
        <w:t xml:space="preserve">permanently </w:t>
      </w:r>
      <w:r w:rsidR="00AA7FFD">
        <w:rPr>
          <w:rFonts w:ascii="Times New Roman" w:hAnsi="Times New Roman"/>
          <w:sz w:val="24"/>
        </w:rPr>
        <w:t xml:space="preserve">discontinued and the patient should be treated appropriately.  </w:t>
      </w:r>
    </w:p>
    <w:p w:rsidR="00AA7FFD" w:rsidRDefault="00AA7FFD">
      <w:pPr>
        <w:pStyle w:val="Text"/>
        <w:spacing w:after="0" w:line="240" w:lineRule="auto"/>
        <w:rPr>
          <w:rFonts w:ascii="Times New Roman" w:hAnsi="Times New Roman"/>
          <w:sz w:val="24"/>
        </w:rPr>
      </w:pPr>
    </w:p>
    <w:p w:rsidR="00AA7FFD" w:rsidRDefault="00AA7FFD">
      <w:pPr>
        <w:pStyle w:val="Text"/>
        <w:spacing w:after="0" w:line="240" w:lineRule="auto"/>
        <w:rPr>
          <w:rFonts w:ascii="Times New Roman" w:hAnsi="Times New Roman"/>
          <w:sz w:val="24"/>
        </w:rPr>
      </w:pPr>
      <w:r>
        <w:rPr>
          <w:rFonts w:ascii="Times New Roman" w:hAnsi="Times New Roman"/>
          <w:sz w:val="24"/>
        </w:rPr>
        <w:t xml:space="preserve">Patients with a history or evidence of interstitial </w:t>
      </w:r>
      <w:proofErr w:type="spellStart"/>
      <w:r>
        <w:rPr>
          <w:rFonts w:ascii="Times New Roman" w:hAnsi="Times New Roman"/>
          <w:sz w:val="24"/>
        </w:rPr>
        <w:t>pneumonitis</w:t>
      </w:r>
      <w:proofErr w:type="spellEnd"/>
      <w:r>
        <w:rPr>
          <w:rFonts w:ascii="Times New Roman" w:hAnsi="Times New Roman"/>
          <w:sz w:val="24"/>
        </w:rPr>
        <w:t xml:space="preserve"> or pulmonary fibrosis were excluded from clinical studies.  The benefits of administration of </w:t>
      </w:r>
      <w:proofErr w:type="spellStart"/>
      <w:r>
        <w:rPr>
          <w:rFonts w:ascii="Times New Roman" w:hAnsi="Times New Roman"/>
          <w:sz w:val="24"/>
        </w:rPr>
        <w:t>panitumumab</w:t>
      </w:r>
      <w:proofErr w:type="spellEnd"/>
      <w:r>
        <w:rPr>
          <w:rFonts w:ascii="Times New Roman" w:hAnsi="Times New Roman"/>
          <w:sz w:val="24"/>
        </w:rPr>
        <w:t xml:space="preserve"> versus the risk of pulmonary complications must be carefully considered.</w:t>
      </w:r>
    </w:p>
    <w:p w:rsidR="00AA7FFD" w:rsidRPr="005E34B4" w:rsidRDefault="00AA7FFD">
      <w:pPr>
        <w:pStyle w:val="Text"/>
        <w:spacing w:after="0" w:line="240" w:lineRule="auto"/>
        <w:rPr>
          <w:rFonts w:ascii="Times New Roman" w:hAnsi="Times New Roman"/>
          <w:sz w:val="24"/>
          <w:szCs w:val="24"/>
        </w:rPr>
      </w:pPr>
    </w:p>
    <w:p w:rsidR="008D24D8" w:rsidRPr="00000BBF" w:rsidRDefault="004606FD" w:rsidP="00000BBF">
      <w:pPr>
        <w:pStyle w:val="Heading3"/>
        <w:spacing w:after="0" w:line="240" w:lineRule="auto"/>
        <w:rPr>
          <w:rFonts w:ascii="Times New Roman" w:hAnsi="Times New Roman"/>
          <w:bCs/>
          <w:i w:val="0"/>
          <w:iCs/>
          <w:sz w:val="24"/>
          <w:szCs w:val="24"/>
        </w:rPr>
      </w:pPr>
      <w:r w:rsidRPr="00000BBF">
        <w:rPr>
          <w:rFonts w:ascii="Times New Roman" w:hAnsi="Times New Roman"/>
          <w:bCs/>
          <w:i w:val="0"/>
          <w:iCs/>
          <w:sz w:val="24"/>
          <w:szCs w:val="24"/>
        </w:rPr>
        <w:t xml:space="preserve">Venous </w:t>
      </w:r>
      <w:proofErr w:type="spellStart"/>
      <w:r w:rsidRPr="00000BBF">
        <w:rPr>
          <w:rFonts w:ascii="Times New Roman" w:hAnsi="Times New Roman"/>
          <w:bCs/>
          <w:i w:val="0"/>
          <w:iCs/>
          <w:sz w:val="24"/>
          <w:szCs w:val="24"/>
        </w:rPr>
        <w:t>Thromboembolism</w:t>
      </w:r>
      <w:proofErr w:type="spellEnd"/>
    </w:p>
    <w:p w:rsidR="00446A51" w:rsidRDefault="00446A51" w:rsidP="00D010AB">
      <w:pPr>
        <w:rPr>
          <w:rFonts w:eastAsia="MS Mincho"/>
          <w:sz w:val="24"/>
          <w:szCs w:val="24"/>
        </w:rPr>
      </w:pPr>
      <w:r>
        <w:rPr>
          <w:rFonts w:eastAsia="MS Mincho"/>
          <w:sz w:val="24"/>
          <w:szCs w:val="24"/>
        </w:rPr>
        <w:t xml:space="preserve">In </w:t>
      </w:r>
      <w:r w:rsidRPr="003D7BAF">
        <w:rPr>
          <w:rFonts w:eastAsia="MS Mincho"/>
          <w:sz w:val="24"/>
          <w:szCs w:val="24"/>
        </w:rPr>
        <w:t>the pivotal</w:t>
      </w:r>
      <w:r>
        <w:rPr>
          <w:rFonts w:eastAsia="MS Mincho"/>
          <w:sz w:val="24"/>
          <w:szCs w:val="24"/>
        </w:rPr>
        <w:t>,</w:t>
      </w:r>
      <w:r w:rsidRPr="003D7BAF">
        <w:rPr>
          <w:rFonts w:eastAsia="MS Mincho"/>
          <w:sz w:val="24"/>
          <w:szCs w:val="24"/>
        </w:rPr>
        <w:t xml:space="preserve"> </w:t>
      </w:r>
      <w:proofErr w:type="spellStart"/>
      <w:r w:rsidRPr="003D7BAF">
        <w:rPr>
          <w:rFonts w:eastAsia="MS Mincho"/>
          <w:sz w:val="24"/>
          <w:szCs w:val="24"/>
        </w:rPr>
        <w:t>randomised</w:t>
      </w:r>
      <w:proofErr w:type="spellEnd"/>
      <w:r w:rsidRPr="003D7BAF">
        <w:rPr>
          <w:rFonts w:eastAsia="MS Mincho"/>
          <w:sz w:val="24"/>
          <w:szCs w:val="24"/>
        </w:rPr>
        <w:t xml:space="preserve"> controlled trial</w:t>
      </w:r>
      <w:r>
        <w:rPr>
          <w:rFonts w:eastAsia="MS Mincho"/>
          <w:sz w:val="24"/>
          <w:szCs w:val="24"/>
        </w:rPr>
        <w:t xml:space="preserve">, </w:t>
      </w:r>
      <w:proofErr w:type="spellStart"/>
      <w:r>
        <w:rPr>
          <w:rFonts w:eastAsia="MS Mincho"/>
          <w:sz w:val="24"/>
          <w:szCs w:val="24"/>
        </w:rPr>
        <w:t>panitumumab</w:t>
      </w:r>
      <w:proofErr w:type="spellEnd"/>
      <w:r>
        <w:rPr>
          <w:rFonts w:eastAsia="MS Mincho"/>
          <w:sz w:val="24"/>
          <w:szCs w:val="24"/>
        </w:rPr>
        <w:t xml:space="preserve"> treatment was associated with an increased risk of venous</w:t>
      </w:r>
      <w:r w:rsidRPr="00BF14DE">
        <w:rPr>
          <w:rFonts w:eastAsia="MS Mincho"/>
          <w:sz w:val="24"/>
          <w:szCs w:val="24"/>
          <w:lang w:val="en-GB"/>
        </w:rPr>
        <w:t xml:space="preserve"> </w:t>
      </w:r>
      <w:proofErr w:type="spellStart"/>
      <w:r w:rsidRPr="00BF14DE">
        <w:rPr>
          <w:rFonts w:eastAsia="MS Mincho"/>
          <w:sz w:val="24"/>
          <w:szCs w:val="24"/>
          <w:lang w:val="en-GB"/>
        </w:rPr>
        <w:t>thrombolic</w:t>
      </w:r>
      <w:proofErr w:type="spellEnd"/>
      <w:r>
        <w:rPr>
          <w:rFonts w:eastAsia="MS Mincho"/>
          <w:sz w:val="24"/>
          <w:szCs w:val="24"/>
        </w:rPr>
        <w:t xml:space="preserve"> events (e.g. deep venous thrombosis, pulmonary embolism). </w:t>
      </w:r>
      <w:r w:rsidR="00DD23B2">
        <w:rPr>
          <w:rFonts w:eastAsia="MS Mincho"/>
          <w:sz w:val="24"/>
          <w:szCs w:val="24"/>
        </w:rPr>
        <w:t xml:space="preserve"> </w:t>
      </w:r>
      <w:r>
        <w:rPr>
          <w:rFonts w:eastAsia="MS Mincho"/>
          <w:sz w:val="24"/>
          <w:szCs w:val="24"/>
        </w:rPr>
        <w:t>Venous</w:t>
      </w:r>
      <w:r w:rsidRPr="00BF14DE">
        <w:rPr>
          <w:rFonts w:eastAsia="MS Mincho"/>
          <w:sz w:val="24"/>
          <w:szCs w:val="24"/>
          <w:lang w:val="en-AU"/>
        </w:rPr>
        <w:t xml:space="preserve"> </w:t>
      </w:r>
      <w:proofErr w:type="spellStart"/>
      <w:r w:rsidRPr="00BF14DE">
        <w:rPr>
          <w:rFonts w:eastAsia="MS Mincho"/>
          <w:sz w:val="24"/>
          <w:szCs w:val="24"/>
          <w:lang w:val="en-AU"/>
        </w:rPr>
        <w:t>thromboembolic</w:t>
      </w:r>
      <w:proofErr w:type="spellEnd"/>
      <w:r>
        <w:rPr>
          <w:rFonts w:eastAsia="MS Mincho"/>
          <w:sz w:val="24"/>
          <w:szCs w:val="24"/>
        </w:rPr>
        <w:t xml:space="preserve"> events occurred in 5.2% (12/231) of patients receiving </w:t>
      </w:r>
      <w:proofErr w:type="spellStart"/>
      <w:r>
        <w:rPr>
          <w:rFonts w:eastAsia="MS Mincho"/>
          <w:sz w:val="24"/>
          <w:szCs w:val="24"/>
        </w:rPr>
        <w:t>panitumumab</w:t>
      </w:r>
      <w:proofErr w:type="spellEnd"/>
      <w:r>
        <w:rPr>
          <w:rFonts w:eastAsia="MS Mincho"/>
          <w:sz w:val="24"/>
          <w:szCs w:val="24"/>
        </w:rPr>
        <w:t xml:space="preserve"> plus </w:t>
      </w:r>
      <w:r w:rsidR="007C48E3" w:rsidRPr="00C16CDC">
        <w:rPr>
          <w:rFonts w:eastAsia="MS Mincho"/>
          <w:sz w:val="24"/>
          <w:szCs w:val="24"/>
          <w:lang w:val="en-AU"/>
        </w:rPr>
        <w:t>BSC</w:t>
      </w:r>
      <w:r>
        <w:rPr>
          <w:rFonts w:eastAsia="MS Mincho"/>
          <w:sz w:val="24"/>
          <w:szCs w:val="24"/>
        </w:rPr>
        <w:t xml:space="preserve"> compared with 0.4% (1/232) receiving</w:t>
      </w:r>
      <w:r w:rsidR="00C16CDC" w:rsidRPr="00C16CDC">
        <w:rPr>
          <w:rFonts w:eastAsia="MS Mincho"/>
          <w:sz w:val="24"/>
          <w:szCs w:val="24"/>
        </w:rPr>
        <w:t xml:space="preserve"> </w:t>
      </w:r>
      <w:r w:rsidR="007C48E3" w:rsidRPr="00C16CDC">
        <w:rPr>
          <w:rFonts w:eastAsia="MS Mincho"/>
          <w:sz w:val="24"/>
          <w:szCs w:val="24"/>
        </w:rPr>
        <w:t>BSC</w:t>
      </w:r>
      <w:r w:rsidR="00943F9D" w:rsidRPr="00C16CDC">
        <w:rPr>
          <w:rFonts w:eastAsia="MS Mincho"/>
          <w:sz w:val="24"/>
          <w:szCs w:val="24"/>
        </w:rPr>
        <w:t xml:space="preserve"> </w:t>
      </w:r>
      <w:r>
        <w:rPr>
          <w:rFonts w:eastAsia="MS Mincho"/>
          <w:sz w:val="24"/>
          <w:szCs w:val="24"/>
        </w:rPr>
        <w:t xml:space="preserve">alone. </w:t>
      </w:r>
      <w:r w:rsidR="00DD23B2">
        <w:rPr>
          <w:rFonts w:eastAsia="MS Mincho"/>
          <w:sz w:val="24"/>
          <w:szCs w:val="24"/>
        </w:rPr>
        <w:t xml:space="preserve"> </w:t>
      </w:r>
      <w:r>
        <w:rPr>
          <w:rFonts w:eastAsia="MS Mincho"/>
          <w:sz w:val="24"/>
          <w:szCs w:val="24"/>
        </w:rPr>
        <w:t>Patients should be monitored for the development of such events.</w:t>
      </w:r>
    </w:p>
    <w:p w:rsidR="007609D4" w:rsidRPr="00B01582" w:rsidRDefault="007609D4" w:rsidP="00D010AB">
      <w:pPr>
        <w:rPr>
          <w:rFonts w:ascii="Arial" w:eastAsia="MS Mincho" w:hAnsi="Arial" w:cs="Arial"/>
          <w:color w:val="000080"/>
          <w:lang w:val="en-AU"/>
        </w:rPr>
      </w:pPr>
    </w:p>
    <w:p w:rsidR="00AA7FFD" w:rsidRPr="008118A9" w:rsidRDefault="00AA7FFD" w:rsidP="008118A9">
      <w:pPr>
        <w:pStyle w:val="Heading3"/>
        <w:tabs>
          <w:tab w:val="left" w:pos="3402"/>
        </w:tabs>
        <w:spacing w:after="0" w:line="240" w:lineRule="auto"/>
        <w:rPr>
          <w:rFonts w:ascii="Times New Roman" w:hAnsi="Times New Roman"/>
          <w:i w:val="0"/>
          <w:iCs/>
          <w:sz w:val="24"/>
          <w:lang w:val="en-US"/>
        </w:rPr>
      </w:pPr>
      <w:bookmarkStart w:id="6" w:name="_[TRADENAME(]_in_combination"/>
      <w:bookmarkEnd w:id="6"/>
      <w:r>
        <w:rPr>
          <w:rFonts w:ascii="Times New Roman" w:hAnsi="Times New Roman"/>
          <w:i w:val="0"/>
          <w:iCs/>
          <w:sz w:val="24"/>
        </w:rPr>
        <w:lastRenderedPageBreak/>
        <w:t>Combination wit</w:t>
      </w:r>
      <w:r w:rsidRPr="00F6078F">
        <w:rPr>
          <w:rFonts w:ascii="Times New Roman" w:hAnsi="Times New Roman"/>
          <w:i w:val="0"/>
          <w:iCs/>
          <w:sz w:val="24"/>
        </w:rPr>
        <w:t xml:space="preserve">h </w:t>
      </w:r>
      <w:proofErr w:type="spellStart"/>
      <w:r w:rsidR="008118A9" w:rsidRPr="00F6078F">
        <w:rPr>
          <w:rFonts w:ascii="Times New Roman" w:hAnsi="Times New Roman"/>
          <w:i w:val="0"/>
          <w:iCs/>
          <w:sz w:val="24"/>
        </w:rPr>
        <w:t>I</w:t>
      </w:r>
      <w:r w:rsidR="00A71FE6" w:rsidRPr="00F6078F">
        <w:rPr>
          <w:rFonts w:ascii="Times New Roman" w:hAnsi="Times New Roman"/>
          <w:i w:val="0"/>
          <w:iCs/>
          <w:sz w:val="24"/>
        </w:rPr>
        <w:t>r</w:t>
      </w:r>
      <w:r w:rsidR="008118A9" w:rsidRPr="00F6078F">
        <w:rPr>
          <w:rFonts w:ascii="Times New Roman" w:hAnsi="Times New Roman"/>
          <w:i w:val="0"/>
          <w:iCs/>
          <w:sz w:val="24"/>
        </w:rPr>
        <w:t>inotecan</w:t>
      </w:r>
      <w:proofErr w:type="spellEnd"/>
      <w:r w:rsidR="008118A9" w:rsidRPr="00F6078F">
        <w:rPr>
          <w:rFonts w:ascii="Times New Roman" w:hAnsi="Times New Roman"/>
          <w:i w:val="0"/>
          <w:iCs/>
          <w:sz w:val="24"/>
        </w:rPr>
        <w:t>, B</w:t>
      </w:r>
      <w:r w:rsidR="00BE4480" w:rsidRPr="00F6078F">
        <w:rPr>
          <w:rFonts w:ascii="Times New Roman" w:hAnsi="Times New Roman"/>
          <w:i w:val="0"/>
          <w:iCs/>
          <w:sz w:val="24"/>
        </w:rPr>
        <w:t>olus</w:t>
      </w:r>
      <w:r w:rsidR="007C1BE9" w:rsidRPr="00F6078F">
        <w:rPr>
          <w:rFonts w:ascii="Times New Roman" w:hAnsi="Times New Roman"/>
          <w:i w:val="0"/>
          <w:iCs/>
          <w:sz w:val="24"/>
        </w:rPr>
        <w:t xml:space="preserve"> </w:t>
      </w:r>
      <w:r w:rsidR="00BE4480" w:rsidRPr="00F6078F">
        <w:rPr>
          <w:rFonts w:ascii="Times New Roman" w:hAnsi="Times New Roman"/>
          <w:i w:val="0"/>
          <w:iCs/>
          <w:sz w:val="24"/>
        </w:rPr>
        <w:t>5-fluorouracil, a</w:t>
      </w:r>
      <w:r w:rsidR="008118A9" w:rsidRPr="00F6078F">
        <w:rPr>
          <w:rFonts w:ascii="Times New Roman" w:hAnsi="Times New Roman"/>
          <w:i w:val="0"/>
          <w:iCs/>
          <w:sz w:val="24"/>
        </w:rPr>
        <w:t xml:space="preserve">nd </w:t>
      </w:r>
      <w:proofErr w:type="spellStart"/>
      <w:r w:rsidR="008118A9" w:rsidRPr="00F6078F">
        <w:rPr>
          <w:rFonts w:ascii="Times New Roman" w:hAnsi="Times New Roman"/>
          <w:i w:val="0"/>
          <w:iCs/>
          <w:sz w:val="24"/>
        </w:rPr>
        <w:t>Leucovo</w:t>
      </w:r>
      <w:r w:rsidR="00BE4480" w:rsidRPr="00F6078F">
        <w:rPr>
          <w:rFonts w:ascii="Times New Roman" w:hAnsi="Times New Roman"/>
          <w:i w:val="0"/>
          <w:iCs/>
          <w:sz w:val="24"/>
        </w:rPr>
        <w:t>rin</w:t>
      </w:r>
      <w:proofErr w:type="spellEnd"/>
      <w:r w:rsidR="00BE4480" w:rsidRPr="00F6078F">
        <w:rPr>
          <w:rFonts w:ascii="Times New Roman" w:hAnsi="Times New Roman"/>
          <w:i w:val="0"/>
          <w:iCs/>
          <w:sz w:val="24"/>
        </w:rPr>
        <w:t xml:space="preserve"> (</w:t>
      </w:r>
      <w:r w:rsidRPr="00F6078F">
        <w:rPr>
          <w:rFonts w:ascii="Times New Roman" w:hAnsi="Times New Roman"/>
          <w:i w:val="0"/>
          <w:iCs/>
          <w:sz w:val="24"/>
        </w:rPr>
        <w:t>IFL</w:t>
      </w:r>
      <w:r w:rsidR="00BE4480" w:rsidRPr="00F6078F">
        <w:rPr>
          <w:rFonts w:ascii="Times New Roman" w:hAnsi="Times New Roman"/>
          <w:i w:val="0"/>
          <w:iCs/>
          <w:sz w:val="24"/>
        </w:rPr>
        <w:t>)</w:t>
      </w:r>
      <w:r w:rsidRPr="00F6078F">
        <w:rPr>
          <w:rFonts w:ascii="Times New Roman" w:hAnsi="Times New Roman"/>
          <w:i w:val="0"/>
          <w:iCs/>
          <w:sz w:val="24"/>
        </w:rPr>
        <w:t xml:space="preserve"> </w:t>
      </w:r>
      <w:r>
        <w:rPr>
          <w:rFonts w:ascii="Times New Roman" w:hAnsi="Times New Roman"/>
          <w:i w:val="0"/>
          <w:iCs/>
          <w:sz w:val="24"/>
        </w:rPr>
        <w:t>Chemotherapy</w:t>
      </w:r>
    </w:p>
    <w:p w:rsidR="0021719E" w:rsidRPr="00E03D83" w:rsidRDefault="00474AEA">
      <w:pPr>
        <w:pStyle w:val="Text"/>
        <w:spacing w:after="0" w:line="240" w:lineRule="auto"/>
        <w:rPr>
          <w:rFonts w:ascii="Times New Roman" w:hAnsi="Times New Roman"/>
          <w:sz w:val="24"/>
        </w:rPr>
      </w:pPr>
      <w:r w:rsidRPr="00F6078F">
        <w:rPr>
          <w:rFonts w:ascii="Times New Roman" w:hAnsi="Times New Roman"/>
          <w:sz w:val="24"/>
        </w:rPr>
        <w:t>In a single-arm study (</w:t>
      </w:r>
      <w:r w:rsidR="00162E75">
        <w:rPr>
          <w:rFonts w:ascii="Times New Roman" w:hAnsi="Times New Roman"/>
          <w:sz w:val="24"/>
        </w:rPr>
        <w:t>N</w:t>
      </w:r>
      <w:r w:rsidR="008118A9" w:rsidRPr="00F6078F">
        <w:rPr>
          <w:rFonts w:ascii="Times New Roman" w:hAnsi="Times New Roman"/>
          <w:sz w:val="24"/>
        </w:rPr>
        <w:t xml:space="preserve"> </w:t>
      </w:r>
      <w:r w:rsidRPr="00F6078F">
        <w:rPr>
          <w:rFonts w:ascii="Times New Roman" w:hAnsi="Times New Roman"/>
          <w:sz w:val="24"/>
        </w:rPr>
        <w:t>=</w:t>
      </w:r>
      <w:r w:rsidR="008118A9" w:rsidRPr="00F6078F">
        <w:rPr>
          <w:rFonts w:ascii="Times New Roman" w:hAnsi="Times New Roman"/>
          <w:sz w:val="24"/>
        </w:rPr>
        <w:t xml:space="preserve"> </w:t>
      </w:r>
      <w:r w:rsidRPr="00F6078F">
        <w:rPr>
          <w:rFonts w:ascii="Times New Roman" w:hAnsi="Times New Roman"/>
          <w:sz w:val="24"/>
        </w:rPr>
        <w:t>19) patients</w:t>
      </w:r>
      <w:r w:rsidR="007C1BE9" w:rsidRPr="00F6078F">
        <w:rPr>
          <w:rFonts w:ascii="Times New Roman" w:hAnsi="Times New Roman"/>
          <w:sz w:val="24"/>
        </w:rPr>
        <w:t xml:space="preserve"> </w:t>
      </w:r>
      <w:r w:rsidR="00AA7FFD">
        <w:rPr>
          <w:rFonts w:ascii="Times New Roman" w:hAnsi="Times New Roman"/>
          <w:sz w:val="24"/>
        </w:rPr>
        <w:t xml:space="preserve">receiving </w:t>
      </w:r>
      <w:proofErr w:type="spellStart"/>
      <w:r w:rsidR="00AA7FFD">
        <w:rPr>
          <w:rFonts w:ascii="Times New Roman" w:hAnsi="Times New Roman"/>
          <w:sz w:val="24"/>
        </w:rPr>
        <w:t>panitumumab</w:t>
      </w:r>
      <w:proofErr w:type="spellEnd"/>
      <w:r w:rsidR="00AA7FFD">
        <w:rPr>
          <w:rFonts w:ascii="Times New Roman" w:hAnsi="Times New Roman"/>
          <w:sz w:val="24"/>
        </w:rPr>
        <w:t xml:space="preserve"> in combination with the IFL </w:t>
      </w:r>
      <w:r w:rsidR="00556CDE">
        <w:rPr>
          <w:rFonts w:ascii="Times New Roman" w:hAnsi="Times New Roman"/>
          <w:sz w:val="24"/>
        </w:rPr>
        <w:t xml:space="preserve">regimen (bolus 5-fluorouracil, </w:t>
      </w:r>
      <w:proofErr w:type="spellStart"/>
      <w:r w:rsidR="00AA7FFD">
        <w:rPr>
          <w:rFonts w:ascii="Times New Roman" w:hAnsi="Times New Roman"/>
          <w:sz w:val="24"/>
        </w:rPr>
        <w:t>leucovorin</w:t>
      </w:r>
      <w:proofErr w:type="spellEnd"/>
      <w:r w:rsidR="00AA7FFD">
        <w:rPr>
          <w:rFonts w:ascii="Times New Roman" w:hAnsi="Times New Roman"/>
          <w:sz w:val="24"/>
        </w:rPr>
        <w:t xml:space="preserve">, and </w:t>
      </w:r>
      <w:proofErr w:type="spellStart"/>
      <w:r w:rsidR="00AA7FFD">
        <w:rPr>
          <w:rFonts w:ascii="Times New Roman" w:hAnsi="Times New Roman"/>
          <w:sz w:val="24"/>
        </w:rPr>
        <w:t>irinotecan</w:t>
      </w:r>
      <w:proofErr w:type="spellEnd"/>
      <w:r w:rsidR="00AA7FFD">
        <w:rPr>
          <w:rFonts w:ascii="Times New Roman" w:hAnsi="Times New Roman"/>
          <w:sz w:val="24"/>
        </w:rPr>
        <w:t>) experienced a high incidence of severe diarrhoea (58%).</w:t>
      </w:r>
      <w:r w:rsidR="00DD23B2">
        <w:rPr>
          <w:rFonts w:ascii="Times New Roman" w:hAnsi="Times New Roman"/>
          <w:sz w:val="24"/>
        </w:rPr>
        <w:t xml:space="preserve"> </w:t>
      </w:r>
      <w:r w:rsidR="00AA7FFD">
        <w:rPr>
          <w:rFonts w:ascii="Times New Roman" w:hAnsi="Times New Roman"/>
          <w:sz w:val="24"/>
        </w:rPr>
        <w:t xml:space="preserve"> Because electrolyte depletion may be exacerbated by severe diarrhoea, administration of </w:t>
      </w:r>
      <w:proofErr w:type="spellStart"/>
      <w:r w:rsidR="00AA7FFD">
        <w:rPr>
          <w:rFonts w:ascii="Times New Roman" w:hAnsi="Times New Roman"/>
          <w:sz w:val="24"/>
        </w:rPr>
        <w:t>panitumumab</w:t>
      </w:r>
      <w:proofErr w:type="spellEnd"/>
      <w:r w:rsidR="00AA7FFD">
        <w:rPr>
          <w:rFonts w:ascii="Times New Roman" w:hAnsi="Times New Roman"/>
          <w:sz w:val="24"/>
        </w:rPr>
        <w:t xml:space="preserve"> in combination with IFL should be avoided.</w:t>
      </w:r>
    </w:p>
    <w:p w:rsidR="0021719E" w:rsidRPr="00F6078F" w:rsidRDefault="0021719E" w:rsidP="0021719E">
      <w:pPr>
        <w:pStyle w:val="Heading3"/>
        <w:spacing w:after="0" w:line="240" w:lineRule="auto"/>
        <w:rPr>
          <w:rFonts w:ascii="Times New Roman" w:hAnsi="Times New Roman"/>
          <w:i w:val="0"/>
          <w:iCs/>
          <w:sz w:val="24"/>
          <w:u w:val="single"/>
        </w:rPr>
      </w:pPr>
      <w:r w:rsidRPr="00821191">
        <w:rPr>
          <w:rFonts w:ascii="Times New Roman" w:hAnsi="Times New Roman"/>
          <w:i w:val="0"/>
          <w:iCs/>
          <w:color w:val="000000"/>
          <w:sz w:val="24"/>
        </w:rPr>
        <w:t>Combi</w:t>
      </w:r>
      <w:r w:rsidRPr="00F6078F">
        <w:rPr>
          <w:rFonts w:ascii="Times New Roman" w:hAnsi="Times New Roman"/>
          <w:i w:val="0"/>
          <w:iCs/>
          <w:sz w:val="24"/>
        </w:rPr>
        <w:t xml:space="preserve">nation with </w:t>
      </w:r>
      <w:proofErr w:type="spellStart"/>
      <w:r w:rsidRPr="00F6078F">
        <w:rPr>
          <w:rFonts w:ascii="Times New Roman" w:hAnsi="Times New Roman"/>
          <w:i w:val="0"/>
          <w:iCs/>
          <w:sz w:val="24"/>
        </w:rPr>
        <w:t>Bevacizumab</w:t>
      </w:r>
      <w:proofErr w:type="spellEnd"/>
      <w:r w:rsidRPr="00F6078F">
        <w:rPr>
          <w:rFonts w:ascii="Times New Roman" w:hAnsi="Times New Roman"/>
          <w:i w:val="0"/>
          <w:iCs/>
          <w:sz w:val="24"/>
        </w:rPr>
        <w:t xml:space="preserve"> and Chemotherapy Regimens</w:t>
      </w:r>
      <w:r w:rsidR="006728AC" w:rsidRPr="00F6078F">
        <w:rPr>
          <w:rFonts w:ascii="Times New Roman" w:hAnsi="Times New Roman"/>
          <w:i w:val="0"/>
          <w:iCs/>
          <w:sz w:val="24"/>
        </w:rPr>
        <w:t xml:space="preserve"> </w:t>
      </w:r>
      <w:r w:rsidR="0050169A">
        <w:rPr>
          <w:rFonts w:ascii="Times New Roman" w:hAnsi="Times New Roman"/>
          <w:i w:val="0"/>
          <w:iCs/>
          <w:sz w:val="24"/>
        </w:rPr>
        <w:t>for the</w:t>
      </w:r>
      <w:r w:rsidR="00B0648F" w:rsidRPr="00F6078F">
        <w:rPr>
          <w:rFonts w:ascii="Times New Roman" w:hAnsi="Times New Roman"/>
          <w:i w:val="0"/>
          <w:iCs/>
          <w:sz w:val="24"/>
        </w:rPr>
        <w:t xml:space="preserve"> Treatment of Metastatic Colorectal Cancer</w:t>
      </w:r>
      <w:r w:rsidR="0057771B" w:rsidRPr="00F6078F">
        <w:rPr>
          <w:rFonts w:ascii="Times New Roman" w:hAnsi="Times New Roman"/>
          <w:i w:val="0"/>
          <w:iCs/>
          <w:sz w:val="24"/>
        </w:rPr>
        <w:t>*</w:t>
      </w:r>
    </w:p>
    <w:p w:rsidR="00B0648F" w:rsidRPr="00F6078F" w:rsidRDefault="007C1BE9" w:rsidP="007C1BE9">
      <w:pPr>
        <w:rPr>
          <w:sz w:val="24"/>
          <w:lang w:val="en-AU"/>
        </w:rPr>
      </w:pPr>
      <w:r w:rsidRPr="00F6078F">
        <w:rPr>
          <w:sz w:val="24"/>
          <w:lang w:val="en-AU"/>
        </w:rPr>
        <w:t>A randomi</w:t>
      </w:r>
      <w:r w:rsidR="00BF14DE" w:rsidRPr="00F6078F">
        <w:rPr>
          <w:sz w:val="24"/>
          <w:lang w:val="en-AU"/>
        </w:rPr>
        <w:t>s</w:t>
      </w:r>
      <w:r w:rsidRPr="00F6078F">
        <w:rPr>
          <w:sz w:val="24"/>
          <w:lang w:val="en-AU"/>
        </w:rPr>
        <w:t xml:space="preserve">ed, open-label, multicentre study of 1,053 patients evaluated the efficacy of </w:t>
      </w:r>
      <w:proofErr w:type="spellStart"/>
      <w:r w:rsidRPr="00F6078F">
        <w:rPr>
          <w:sz w:val="24"/>
          <w:lang w:val="en-AU"/>
        </w:rPr>
        <w:t>bevacizumab</w:t>
      </w:r>
      <w:proofErr w:type="spellEnd"/>
      <w:r w:rsidRPr="00F6078F">
        <w:rPr>
          <w:sz w:val="24"/>
          <w:lang w:val="en-AU"/>
        </w:rPr>
        <w:t xml:space="preserve"> and </w:t>
      </w:r>
      <w:proofErr w:type="spellStart"/>
      <w:r w:rsidRPr="00F6078F">
        <w:rPr>
          <w:sz w:val="24"/>
          <w:lang w:val="en-AU"/>
        </w:rPr>
        <w:t>oxaliplatin</w:t>
      </w:r>
      <w:proofErr w:type="spellEnd"/>
      <w:r w:rsidRPr="00F6078F">
        <w:rPr>
          <w:sz w:val="24"/>
          <w:lang w:val="en-AU"/>
        </w:rPr>
        <w:t xml:space="preserve">- or </w:t>
      </w:r>
      <w:proofErr w:type="spellStart"/>
      <w:r w:rsidRPr="00F6078F">
        <w:rPr>
          <w:sz w:val="24"/>
          <w:lang w:val="en-AU"/>
        </w:rPr>
        <w:t>irinotecan</w:t>
      </w:r>
      <w:proofErr w:type="spellEnd"/>
      <w:r w:rsidRPr="00F6078F">
        <w:rPr>
          <w:sz w:val="24"/>
          <w:lang w:val="en-AU"/>
        </w:rPr>
        <w:t>-containing chemotherap</w:t>
      </w:r>
      <w:r w:rsidR="0024144B" w:rsidRPr="00F6078F">
        <w:rPr>
          <w:sz w:val="24"/>
          <w:lang w:val="en-AU"/>
        </w:rPr>
        <w:t>y</w:t>
      </w:r>
      <w:r w:rsidRPr="00F6078F">
        <w:rPr>
          <w:sz w:val="24"/>
          <w:lang w:val="en-AU"/>
        </w:rPr>
        <w:t xml:space="preserve"> regimens with and without </w:t>
      </w:r>
      <w:proofErr w:type="spellStart"/>
      <w:r w:rsidR="00B10D64" w:rsidRPr="00F6078F">
        <w:rPr>
          <w:sz w:val="24"/>
        </w:rPr>
        <w:t>panitumumab</w:t>
      </w:r>
      <w:proofErr w:type="spellEnd"/>
      <w:r w:rsidRPr="00F6078F">
        <w:rPr>
          <w:sz w:val="24"/>
          <w:lang w:val="en-AU"/>
        </w:rPr>
        <w:t xml:space="preserve"> in the first-line treatment of metastatic colorectal cancer. </w:t>
      </w:r>
    </w:p>
    <w:p w:rsidR="008A0D65" w:rsidRPr="00F6078F" w:rsidRDefault="008A0D65" w:rsidP="008A0D65">
      <w:pPr>
        <w:rPr>
          <w:rFonts w:cs="Arial"/>
        </w:rPr>
      </w:pPr>
    </w:p>
    <w:p w:rsidR="008A0D65" w:rsidRPr="00F6078F" w:rsidRDefault="008A0D65" w:rsidP="008A0D65">
      <w:pPr>
        <w:rPr>
          <w:sz w:val="24"/>
          <w:lang w:val="en-AU"/>
        </w:rPr>
      </w:pPr>
      <w:r w:rsidRPr="00F6078F">
        <w:rPr>
          <w:sz w:val="24"/>
          <w:lang w:val="en-AU"/>
        </w:rPr>
        <w:t xml:space="preserve">Across both chemotherapy treatment groups, more toxicity was seen in the </w:t>
      </w:r>
      <w:proofErr w:type="spellStart"/>
      <w:r w:rsidRPr="00F6078F">
        <w:rPr>
          <w:sz w:val="24"/>
          <w:lang w:val="en-AU"/>
        </w:rPr>
        <w:t>panitumumab</w:t>
      </w:r>
      <w:proofErr w:type="spellEnd"/>
      <w:r w:rsidRPr="00F6078F">
        <w:rPr>
          <w:sz w:val="24"/>
          <w:lang w:val="en-AU"/>
        </w:rPr>
        <w:t xml:space="preserve"> group, manifesting as a greater incidence of grade 3 and higher adverse events, a greater incidence of serious adverse events, and more overall deaths relative to the control group. Similar safety trends were seen for the </w:t>
      </w:r>
      <w:proofErr w:type="spellStart"/>
      <w:r w:rsidRPr="00F6078F">
        <w:rPr>
          <w:sz w:val="24"/>
          <w:lang w:val="en-AU"/>
        </w:rPr>
        <w:t>oxaliplatin</w:t>
      </w:r>
      <w:proofErr w:type="spellEnd"/>
      <w:r w:rsidRPr="00F6078F">
        <w:rPr>
          <w:sz w:val="24"/>
          <w:lang w:val="en-AU"/>
        </w:rPr>
        <w:t xml:space="preserve"> and </w:t>
      </w:r>
      <w:proofErr w:type="spellStart"/>
      <w:r w:rsidRPr="00F6078F">
        <w:rPr>
          <w:sz w:val="24"/>
          <w:lang w:val="en-AU"/>
        </w:rPr>
        <w:t>irinotecan</w:t>
      </w:r>
      <w:proofErr w:type="spellEnd"/>
      <w:r w:rsidRPr="00F6078F">
        <w:rPr>
          <w:sz w:val="24"/>
          <w:lang w:val="en-AU"/>
        </w:rPr>
        <w:t xml:space="preserve"> treatment groups separately.</w:t>
      </w:r>
    </w:p>
    <w:p w:rsidR="008A0D65" w:rsidRPr="00F6078F" w:rsidRDefault="008A0D65" w:rsidP="008A0D65">
      <w:pPr>
        <w:rPr>
          <w:sz w:val="24"/>
          <w:lang w:val="en-AU"/>
        </w:rPr>
      </w:pPr>
    </w:p>
    <w:p w:rsidR="008A0D65" w:rsidRPr="00F6078F" w:rsidRDefault="008A0D65" w:rsidP="008A0D65">
      <w:pPr>
        <w:rPr>
          <w:sz w:val="24"/>
          <w:lang w:val="en-AU"/>
        </w:rPr>
      </w:pPr>
      <w:r w:rsidRPr="00F6078F">
        <w:rPr>
          <w:sz w:val="24"/>
          <w:lang w:val="en-AU"/>
        </w:rPr>
        <w:t xml:space="preserve">Serious adverse events were experienced by 59% in the </w:t>
      </w:r>
      <w:proofErr w:type="spellStart"/>
      <w:r w:rsidRPr="00F6078F">
        <w:rPr>
          <w:sz w:val="24"/>
          <w:lang w:val="en-AU"/>
        </w:rPr>
        <w:t>panitumumab</w:t>
      </w:r>
      <w:proofErr w:type="spellEnd"/>
      <w:r w:rsidRPr="00F6078F">
        <w:rPr>
          <w:sz w:val="24"/>
          <w:lang w:val="en-AU"/>
        </w:rPr>
        <w:t xml:space="preserve"> group versus 37% in the </w:t>
      </w:r>
      <w:r w:rsidR="00AD2502" w:rsidRPr="00F6078F">
        <w:rPr>
          <w:sz w:val="24"/>
          <w:lang w:val="en-AU"/>
        </w:rPr>
        <w:t>c</w:t>
      </w:r>
      <w:r w:rsidRPr="00F6078F">
        <w:rPr>
          <w:sz w:val="24"/>
          <w:lang w:val="en-AU"/>
        </w:rPr>
        <w:t xml:space="preserve">ontrol group, with higher incidences in the </w:t>
      </w:r>
      <w:proofErr w:type="spellStart"/>
      <w:r w:rsidRPr="00F6078F">
        <w:rPr>
          <w:sz w:val="24"/>
          <w:lang w:val="en-AU"/>
        </w:rPr>
        <w:t>panitumumab</w:t>
      </w:r>
      <w:proofErr w:type="spellEnd"/>
      <w:r w:rsidRPr="00F6078F">
        <w:rPr>
          <w:sz w:val="24"/>
          <w:lang w:val="en-AU"/>
        </w:rPr>
        <w:t xml:space="preserve"> group of dehydration, diarrh</w:t>
      </w:r>
      <w:r w:rsidR="00AD2502" w:rsidRPr="00F6078F">
        <w:rPr>
          <w:sz w:val="24"/>
          <w:lang w:val="en-AU"/>
        </w:rPr>
        <w:t>o</w:t>
      </w:r>
      <w:r w:rsidRPr="00F6078F">
        <w:rPr>
          <w:sz w:val="24"/>
          <w:lang w:val="en-AU"/>
        </w:rPr>
        <w:t xml:space="preserve">ea, pulmonary embolism, nausea, and vomiting. Serious infections overall displayed a treatment difference (15% versus 9%); however, no one specific type of infection occurred at a high frequency. Nineteen percent of patients receiving </w:t>
      </w:r>
      <w:proofErr w:type="spellStart"/>
      <w:r w:rsidRPr="00F6078F">
        <w:rPr>
          <w:sz w:val="24"/>
          <w:lang w:val="en-AU"/>
        </w:rPr>
        <w:t>panitumumab</w:t>
      </w:r>
      <w:proofErr w:type="spellEnd"/>
      <w:r w:rsidRPr="00F6078F">
        <w:rPr>
          <w:sz w:val="24"/>
          <w:lang w:val="en-AU"/>
        </w:rPr>
        <w:t xml:space="preserve"> experienced a serious event that was considered related to </w:t>
      </w:r>
      <w:proofErr w:type="spellStart"/>
      <w:r w:rsidRPr="00F6078F">
        <w:rPr>
          <w:sz w:val="24"/>
          <w:lang w:val="en-AU"/>
        </w:rPr>
        <w:t>panitumumab</w:t>
      </w:r>
      <w:proofErr w:type="spellEnd"/>
      <w:r w:rsidRPr="00F6078F">
        <w:rPr>
          <w:sz w:val="24"/>
          <w:lang w:val="en-AU"/>
        </w:rPr>
        <w:t>, the most common of which were diarrh</w:t>
      </w:r>
      <w:r w:rsidR="00AD2502" w:rsidRPr="00F6078F">
        <w:rPr>
          <w:sz w:val="24"/>
          <w:lang w:val="en-AU"/>
        </w:rPr>
        <w:t>o</w:t>
      </w:r>
      <w:r w:rsidRPr="00F6078F">
        <w:rPr>
          <w:sz w:val="24"/>
          <w:lang w:val="en-AU"/>
        </w:rPr>
        <w:t>ea, dehydration, and vomiting.</w:t>
      </w:r>
    </w:p>
    <w:p w:rsidR="008A0D65" w:rsidRPr="00F6078F" w:rsidRDefault="008A0D65" w:rsidP="008A0D65">
      <w:pPr>
        <w:rPr>
          <w:rFonts w:cs="Arial"/>
          <w:lang w:val="en-AU"/>
        </w:rPr>
      </w:pPr>
    </w:p>
    <w:p w:rsidR="008A0D65" w:rsidRPr="00F6078F" w:rsidRDefault="008A0D65" w:rsidP="008A0D65">
      <w:pPr>
        <w:rPr>
          <w:sz w:val="24"/>
          <w:lang w:val="en-AU"/>
        </w:rPr>
      </w:pPr>
      <w:r w:rsidRPr="00F6078F">
        <w:rPr>
          <w:sz w:val="24"/>
          <w:lang w:val="en-AU"/>
        </w:rPr>
        <w:t xml:space="preserve">This study did not demonstrate an improvement in </w:t>
      </w:r>
      <w:r w:rsidR="0024144B" w:rsidRPr="00F6078F">
        <w:rPr>
          <w:sz w:val="24"/>
          <w:lang w:val="en-AU"/>
        </w:rPr>
        <w:t>PFS</w:t>
      </w:r>
      <w:r w:rsidRPr="00F6078F">
        <w:rPr>
          <w:sz w:val="24"/>
          <w:lang w:val="en-AU"/>
        </w:rPr>
        <w:t xml:space="preserve"> (the primary endpoint) by the addition of </w:t>
      </w:r>
      <w:proofErr w:type="spellStart"/>
      <w:r w:rsidRPr="00F6078F">
        <w:rPr>
          <w:sz w:val="24"/>
          <w:lang w:val="en-AU"/>
        </w:rPr>
        <w:t>panitumumab</w:t>
      </w:r>
      <w:proofErr w:type="spellEnd"/>
      <w:r w:rsidRPr="00F6078F">
        <w:rPr>
          <w:sz w:val="24"/>
          <w:lang w:val="en-AU"/>
        </w:rPr>
        <w:t xml:space="preserve"> to </w:t>
      </w:r>
      <w:proofErr w:type="spellStart"/>
      <w:r w:rsidRPr="00F6078F">
        <w:rPr>
          <w:sz w:val="24"/>
          <w:lang w:val="en-AU"/>
        </w:rPr>
        <w:t>bevacizumab</w:t>
      </w:r>
      <w:proofErr w:type="spellEnd"/>
      <w:r w:rsidRPr="00F6078F">
        <w:rPr>
          <w:sz w:val="24"/>
          <w:lang w:val="en-AU"/>
        </w:rPr>
        <w:t xml:space="preserve"> and </w:t>
      </w:r>
      <w:proofErr w:type="spellStart"/>
      <w:r w:rsidRPr="00F6078F">
        <w:rPr>
          <w:sz w:val="24"/>
          <w:lang w:val="en-AU"/>
        </w:rPr>
        <w:t>oxaliplatin</w:t>
      </w:r>
      <w:proofErr w:type="spellEnd"/>
      <w:r w:rsidRPr="00F6078F">
        <w:rPr>
          <w:sz w:val="24"/>
          <w:lang w:val="en-AU"/>
        </w:rPr>
        <w:t xml:space="preserve">-based chemotherapy. The addition of </w:t>
      </w:r>
      <w:proofErr w:type="spellStart"/>
      <w:r w:rsidR="00B10D64" w:rsidRPr="00F6078F">
        <w:rPr>
          <w:sz w:val="24"/>
        </w:rPr>
        <w:t>panitumumab</w:t>
      </w:r>
      <w:proofErr w:type="spellEnd"/>
      <w:r w:rsidRPr="00F6078F">
        <w:rPr>
          <w:sz w:val="24"/>
          <w:lang w:val="en-AU"/>
        </w:rPr>
        <w:t xml:space="preserve"> to the combination of </w:t>
      </w:r>
      <w:proofErr w:type="spellStart"/>
      <w:r w:rsidRPr="00F6078F">
        <w:rPr>
          <w:sz w:val="24"/>
          <w:lang w:val="en-AU"/>
        </w:rPr>
        <w:t>bevacizuma</w:t>
      </w:r>
      <w:r w:rsidR="0050169A">
        <w:rPr>
          <w:sz w:val="24"/>
          <w:lang w:val="en-AU"/>
        </w:rPr>
        <w:t>b</w:t>
      </w:r>
      <w:proofErr w:type="spellEnd"/>
      <w:r w:rsidR="0050169A">
        <w:rPr>
          <w:sz w:val="24"/>
          <w:lang w:val="en-AU"/>
        </w:rPr>
        <w:t xml:space="preserve"> and chemotherapy in the</w:t>
      </w:r>
      <w:r w:rsidRPr="00F6078F">
        <w:rPr>
          <w:sz w:val="24"/>
          <w:lang w:val="en-AU"/>
        </w:rPr>
        <w:t xml:space="preserve"> </w:t>
      </w:r>
      <w:r w:rsidR="0024144B" w:rsidRPr="00F6078F">
        <w:rPr>
          <w:sz w:val="24"/>
          <w:lang w:val="en-AU"/>
        </w:rPr>
        <w:t xml:space="preserve">treatment of </w:t>
      </w:r>
      <w:r w:rsidRPr="00F6078F">
        <w:rPr>
          <w:sz w:val="24"/>
          <w:lang w:val="en-AU"/>
        </w:rPr>
        <w:t>metastatic colorectal cancer is not indicated.</w:t>
      </w:r>
    </w:p>
    <w:p w:rsidR="00782806" w:rsidRPr="00821191" w:rsidRDefault="00782806" w:rsidP="001A4386">
      <w:pPr>
        <w:pStyle w:val="Text"/>
        <w:spacing w:after="0" w:line="240" w:lineRule="auto"/>
        <w:rPr>
          <w:rFonts w:ascii="Times New Roman" w:hAnsi="Times New Roman"/>
          <w:color w:val="000000"/>
          <w:sz w:val="24"/>
        </w:rPr>
      </w:pPr>
    </w:p>
    <w:p w:rsidR="00B01582" w:rsidRPr="00821191" w:rsidRDefault="00B01582" w:rsidP="00B01582">
      <w:pPr>
        <w:pStyle w:val="Heading3"/>
        <w:spacing w:after="0" w:line="240" w:lineRule="auto"/>
        <w:rPr>
          <w:rFonts w:ascii="Times New Roman" w:hAnsi="Times New Roman"/>
          <w:i w:val="0"/>
          <w:iCs/>
          <w:color w:val="000000"/>
          <w:sz w:val="24"/>
        </w:rPr>
      </w:pPr>
      <w:r w:rsidRPr="00821191">
        <w:rPr>
          <w:rFonts w:ascii="Times New Roman" w:hAnsi="Times New Roman"/>
          <w:i w:val="0"/>
          <w:iCs/>
          <w:color w:val="000000"/>
          <w:sz w:val="24"/>
        </w:rPr>
        <w:t>Acute Renal Failure</w:t>
      </w:r>
    </w:p>
    <w:p w:rsidR="00B01582" w:rsidRPr="00821191" w:rsidRDefault="00B01582" w:rsidP="00B01582">
      <w:pPr>
        <w:pStyle w:val="Text"/>
        <w:spacing w:after="0" w:line="240" w:lineRule="auto"/>
        <w:rPr>
          <w:rFonts w:ascii="Times New Roman" w:hAnsi="Times New Roman"/>
          <w:color w:val="000000"/>
          <w:sz w:val="24"/>
        </w:rPr>
      </w:pPr>
      <w:r w:rsidRPr="00821191">
        <w:rPr>
          <w:rFonts w:ascii="Times New Roman" w:hAnsi="Times New Roman"/>
          <w:color w:val="000000"/>
          <w:sz w:val="24"/>
        </w:rPr>
        <w:t>Acute renal failure has been observed in patients who develop severe diarrhoea and dehydration.</w:t>
      </w:r>
    </w:p>
    <w:p w:rsidR="00B01582" w:rsidRDefault="00B01582" w:rsidP="00F10F48">
      <w:pPr>
        <w:pStyle w:val="Text"/>
        <w:spacing w:after="0" w:line="240" w:lineRule="auto"/>
        <w:rPr>
          <w:rFonts w:ascii="Times New Roman" w:hAnsi="Times New Roman"/>
          <w:color w:val="000000"/>
          <w:sz w:val="24"/>
        </w:rPr>
      </w:pPr>
    </w:p>
    <w:p w:rsidR="003461FA" w:rsidRPr="00775CEF" w:rsidRDefault="003461FA" w:rsidP="003461FA">
      <w:pPr>
        <w:pStyle w:val="Heading3"/>
        <w:spacing w:after="0" w:line="240" w:lineRule="auto"/>
        <w:rPr>
          <w:rFonts w:ascii="Times New Roman" w:hAnsi="Times New Roman"/>
          <w:i w:val="0"/>
          <w:iCs/>
          <w:color w:val="000000"/>
          <w:sz w:val="24"/>
        </w:rPr>
      </w:pPr>
      <w:r w:rsidRPr="00775CEF">
        <w:rPr>
          <w:rFonts w:ascii="Times New Roman" w:hAnsi="Times New Roman"/>
          <w:i w:val="0"/>
          <w:iCs/>
          <w:color w:val="000000"/>
          <w:sz w:val="24"/>
        </w:rPr>
        <w:t>Ocular Toxicities</w:t>
      </w:r>
    </w:p>
    <w:p w:rsidR="003461FA" w:rsidRPr="00775CEF" w:rsidRDefault="003461FA" w:rsidP="003461FA">
      <w:pPr>
        <w:pStyle w:val="Heading3"/>
        <w:spacing w:after="0" w:line="240" w:lineRule="auto"/>
        <w:rPr>
          <w:rFonts w:ascii="Times New Roman" w:hAnsi="Times New Roman"/>
          <w:b w:val="0"/>
          <w:i w:val="0"/>
          <w:iCs/>
          <w:color w:val="000000"/>
          <w:sz w:val="24"/>
        </w:rPr>
      </w:pPr>
      <w:r w:rsidRPr="00775CEF">
        <w:rPr>
          <w:rFonts w:ascii="Times New Roman" w:hAnsi="Times New Roman"/>
          <w:b w:val="0"/>
          <w:i w:val="0"/>
          <w:iCs/>
          <w:color w:val="000000"/>
          <w:sz w:val="24"/>
        </w:rPr>
        <w:t xml:space="preserve">Serious cases of </w:t>
      </w:r>
      <w:proofErr w:type="spellStart"/>
      <w:r w:rsidRPr="00775CEF">
        <w:rPr>
          <w:rFonts w:ascii="Times New Roman" w:hAnsi="Times New Roman"/>
          <w:b w:val="0"/>
          <w:i w:val="0"/>
          <w:iCs/>
          <w:color w:val="000000"/>
          <w:sz w:val="24"/>
        </w:rPr>
        <w:t>keratitis</w:t>
      </w:r>
      <w:proofErr w:type="spellEnd"/>
      <w:r w:rsidRPr="00775CEF">
        <w:rPr>
          <w:rFonts w:ascii="Times New Roman" w:hAnsi="Times New Roman"/>
          <w:b w:val="0"/>
          <w:i w:val="0"/>
          <w:iCs/>
          <w:color w:val="000000"/>
          <w:sz w:val="24"/>
        </w:rPr>
        <w:t xml:space="preserve"> and/or ulcerative </w:t>
      </w:r>
      <w:proofErr w:type="spellStart"/>
      <w:r w:rsidRPr="00775CEF">
        <w:rPr>
          <w:rFonts w:ascii="Times New Roman" w:hAnsi="Times New Roman"/>
          <w:b w:val="0"/>
          <w:i w:val="0"/>
          <w:iCs/>
          <w:color w:val="000000"/>
          <w:sz w:val="24"/>
        </w:rPr>
        <w:t>keratitis</w:t>
      </w:r>
      <w:proofErr w:type="spellEnd"/>
      <w:r w:rsidRPr="00775CEF">
        <w:rPr>
          <w:rFonts w:ascii="Times New Roman" w:hAnsi="Times New Roman"/>
          <w:b w:val="0"/>
          <w:i w:val="0"/>
          <w:iCs/>
          <w:color w:val="000000"/>
          <w:sz w:val="24"/>
        </w:rPr>
        <w:t xml:space="preserve"> have been reported very rarely in the </w:t>
      </w:r>
      <w:proofErr w:type="spellStart"/>
      <w:r w:rsidRPr="00775CEF">
        <w:rPr>
          <w:rFonts w:ascii="Times New Roman" w:hAnsi="Times New Roman"/>
          <w:b w:val="0"/>
          <w:i w:val="0"/>
          <w:iCs/>
          <w:color w:val="000000"/>
          <w:sz w:val="24"/>
        </w:rPr>
        <w:t>postmarketing</w:t>
      </w:r>
      <w:proofErr w:type="spellEnd"/>
      <w:r w:rsidRPr="00775CEF">
        <w:rPr>
          <w:rFonts w:ascii="Times New Roman" w:hAnsi="Times New Roman"/>
          <w:b w:val="0"/>
          <w:i w:val="0"/>
          <w:iCs/>
          <w:color w:val="000000"/>
          <w:sz w:val="24"/>
        </w:rPr>
        <w:t xml:space="preserve"> setting.  Patients developing ocular toxicities while receiving </w:t>
      </w:r>
      <w:proofErr w:type="spellStart"/>
      <w:r w:rsidRPr="00775CEF">
        <w:rPr>
          <w:rFonts w:ascii="Times New Roman" w:hAnsi="Times New Roman"/>
          <w:b w:val="0"/>
          <w:i w:val="0"/>
          <w:iCs/>
          <w:color w:val="000000"/>
          <w:sz w:val="24"/>
        </w:rPr>
        <w:t>panitumumab</w:t>
      </w:r>
      <w:proofErr w:type="spellEnd"/>
      <w:r w:rsidRPr="00775CEF">
        <w:rPr>
          <w:rFonts w:ascii="Times New Roman" w:hAnsi="Times New Roman"/>
          <w:b w:val="0"/>
          <w:i w:val="0"/>
          <w:iCs/>
          <w:color w:val="000000"/>
          <w:sz w:val="24"/>
        </w:rPr>
        <w:t xml:space="preserve"> should be monitored for evidence of </w:t>
      </w:r>
      <w:proofErr w:type="spellStart"/>
      <w:r w:rsidRPr="00775CEF">
        <w:rPr>
          <w:rFonts w:ascii="Times New Roman" w:hAnsi="Times New Roman"/>
          <w:b w:val="0"/>
          <w:i w:val="0"/>
          <w:iCs/>
          <w:color w:val="000000"/>
          <w:sz w:val="24"/>
        </w:rPr>
        <w:t>keratitis</w:t>
      </w:r>
      <w:proofErr w:type="spellEnd"/>
      <w:r w:rsidRPr="00775CEF">
        <w:rPr>
          <w:rFonts w:ascii="Times New Roman" w:hAnsi="Times New Roman"/>
          <w:b w:val="0"/>
          <w:i w:val="0"/>
          <w:iCs/>
          <w:color w:val="000000"/>
          <w:sz w:val="24"/>
        </w:rPr>
        <w:t xml:space="preserve"> or ulcerative keratitis.*</w:t>
      </w:r>
    </w:p>
    <w:p w:rsidR="003461FA" w:rsidRPr="00821191" w:rsidRDefault="003461FA" w:rsidP="00F10F48">
      <w:pPr>
        <w:pStyle w:val="Text"/>
        <w:spacing w:after="0" w:line="240" w:lineRule="auto"/>
        <w:rPr>
          <w:rFonts w:ascii="Times New Roman" w:hAnsi="Times New Roman"/>
          <w:color w:val="000000"/>
          <w:sz w:val="24"/>
        </w:rPr>
      </w:pPr>
    </w:p>
    <w:p w:rsidR="00AA7FFD" w:rsidRPr="00821191" w:rsidRDefault="00AA7FFD">
      <w:pPr>
        <w:pStyle w:val="Heading2"/>
        <w:spacing w:after="0" w:line="240" w:lineRule="auto"/>
        <w:rPr>
          <w:rFonts w:ascii="Times New Roman" w:hAnsi="Times New Roman"/>
          <w:color w:val="000000"/>
          <w:sz w:val="24"/>
        </w:rPr>
      </w:pPr>
      <w:r w:rsidRPr="00821191">
        <w:rPr>
          <w:rFonts w:ascii="Times New Roman" w:hAnsi="Times New Roman"/>
          <w:color w:val="000000"/>
          <w:sz w:val="24"/>
        </w:rPr>
        <w:t>Information for Patients</w:t>
      </w:r>
    </w:p>
    <w:p w:rsidR="00AA7FFD" w:rsidRPr="00821191" w:rsidRDefault="00AA7FFD">
      <w:pPr>
        <w:pStyle w:val="Text"/>
        <w:spacing w:after="0" w:line="240" w:lineRule="auto"/>
        <w:rPr>
          <w:rFonts w:ascii="Times New Roman" w:hAnsi="Times New Roman"/>
          <w:color w:val="000000"/>
          <w:sz w:val="24"/>
        </w:rPr>
      </w:pPr>
      <w:r w:rsidRPr="00821191">
        <w:rPr>
          <w:rFonts w:ascii="Times New Roman" w:hAnsi="Times New Roman"/>
          <w:color w:val="000000"/>
          <w:sz w:val="24"/>
        </w:rPr>
        <w:t xml:space="preserve">Patients must be informed of the possible adverse effects of </w:t>
      </w:r>
      <w:proofErr w:type="spellStart"/>
      <w:r w:rsidRPr="00821191">
        <w:rPr>
          <w:rFonts w:ascii="Times New Roman" w:hAnsi="Times New Roman"/>
          <w:color w:val="000000"/>
          <w:sz w:val="24"/>
        </w:rPr>
        <w:t>panitumumab</w:t>
      </w:r>
      <w:proofErr w:type="spellEnd"/>
      <w:r w:rsidRPr="00821191">
        <w:rPr>
          <w:rFonts w:ascii="Times New Roman" w:hAnsi="Times New Roman"/>
          <w:color w:val="000000"/>
          <w:sz w:val="24"/>
        </w:rPr>
        <w:t>, including dermatologic reactions, and instructed to report these, or any other adverse effects, to the</w:t>
      </w:r>
      <w:r w:rsidR="00CE3ACA" w:rsidRPr="00821191">
        <w:rPr>
          <w:rFonts w:ascii="Times New Roman" w:hAnsi="Times New Roman"/>
          <w:color w:val="000000"/>
          <w:sz w:val="24"/>
        </w:rPr>
        <w:t xml:space="preserve"> </w:t>
      </w:r>
      <w:r w:rsidRPr="00821191">
        <w:rPr>
          <w:rFonts w:ascii="Times New Roman" w:hAnsi="Times New Roman"/>
          <w:color w:val="000000"/>
          <w:sz w:val="24"/>
        </w:rPr>
        <w:t>prescribing physician (see ADVERSE</w:t>
      </w:r>
      <w:r w:rsidRPr="00821191">
        <w:rPr>
          <w:rFonts w:ascii="Times New Roman" w:hAnsi="Times New Roman"/>
          <w:strike/>
          <w:color w:val="000000"/>
          <w:sz w:val="24"/>
        </w:rPr>
        <w:t xml:space="preserve"> </w:t>
      </w:r>
      <w:r w:rsidR="00CE3ACA" w:rsidRPr="00821191">
        <w:rPr>
          <w:rFonts w:ascii="Times New Roman" w:hAnsi="Times New Roman"/>
          <w:color w:val="000000"/>
          <w:sz w:val="24"/>
        </w:rPr>
        <w:t>EFFECTS</w:t>
      </w:r>
      <w:r w:rsidRPr="00821191">
        <w:rPr>
          <w:rFonts w:ascii="Times New Roman" w:hAnsi="Times New Roman"/>
          <w:color w:val="000000"/>
          <w:sz w:val="24"/>
        </w:rPr>
        <w:t>).</w:t>
      </w:r>
    </w:p>
    <w:p w:rsidR="00AA7FFD" w:rsidRPr="00821191" w:rsidRDefault="00AA7FFD">
      <w:pPr>
        <w:pStyle w:val="Text"/>
        <w:spacing w:after="0" w:line="240" w:lineRule="auto"/>
        <w:rPr>
          <w:rFonts w:ascii="Times New Roman" w:hAnsi="Times New Roman"/>
          <w:color w:val="000000"/>
          <w:sz w:val="24"/>
        </w:rPr>
      </w:pPr>
    </w:p>
    <w:p w:rsidR="00865FDD" w:rsidRPr="00865FDD" w:rsidRDefault="00AA7FFD" w:rsidP="00473AAD">
      <w:pPr>
        <w:pStyle w:val="Text"/>
        <w:spacing w:after="0" w:line="240" w:lineRule="auto"/>
        <w:rPr>
          <w:rFonts w:ascii="Times New Roman" w:hAnsi="Times New Roman"/>
          <w:color w:val="000000"/>
          <w:sz w:val="24"/>
        </w:rPr>
      </w:pPr>
      <w:r w:rsidRPr="00821191">
        <w:rPr>
          <w:rFonts w:ascii="Times New Roman" w:hAnsi="Times New Roman"/>
          <w:color w:val="000000"/>
          <w:sz w:val="24"/>
        </w:rPr>
        <w:lastRenderedPageBreak/>
        <w:t xml:space="preserve">It is recommended that patients wear sunscreen and a hat and limit sun exposure while receiving </w:t>
      </w:r>
      <w:proofErr w:type="spellStart"/>
      <w:r w:rsidRPr="00821191">
        <w:rPr>
          <w:rFonts w:ascii="Times New Roman" w:hAnsi="Times New Roman"/>
          <w:color w:val="000000"/>
          <w:sz w:val="24"/>
        </w:rPr>
        <w:t>panitumumab</w:t>
      </w:r>
      <w:proofErr w:type="spellEnd"/>
      <w:r w:rsidRPr="00821191">
        <w:rPr>
          <w:rFonts w:ascii="Times New Roman" w:hAnsi="Times New Roman"/>
          <w:color w:val="000000"/>
          <w:sz w:val="24"/>
        </w:rPr>
        <w:t xml:space="preserve"> as sunlight can exacerbate any skin reactions that may </w:t>
      </w:r>
      <w:r w:rsidR="00865FDD" w:rsidRPr="00821191">
        <w:rPr>
          <w:rFonts w:ascii="Times New Roman" w:hAnsi="Times New Roman"/>
          <w:color w:val="000000"/>
          <w:sz w:val="24"/>
        </w:rPr>
        <w:t>occur.</w:t>
      </w:r>
      <w:r w:rsidR="00865FDD">
        <w:rPr>
          <w:rFonts w:ascii="Times New Roman" w:hAnsi="Times New Roman"/>
          <w:color w:val="000000"/>
          <w:sz w:val="24"/>
          <w:u w:val="single"/>
        </w:rPr>
        <w:t xml:space="preserve"> </w:t>
      </w:r>
    </w:p>
    <w:p w:rsidR="001F5C27" w:rsidRPr="00F6078F" w:rsidRDefault="001F5C27" w:rsidP="00473AAD">
      <w:pPr>
        <w:pStyle w:val="Text"/>
        <w:spacing w:after="0" w:line="240" w:lineRule="auto"/>
        <w:rPr>
          <w:rFonts w:ascii="Times New Roman" w:hAnsi="Times New Roman"/>
          <w:sz w:val="24"/>
        </w:rPr>
      </w:pPr>
    </w:p>
    <w:p w:rsidR="00473AAD" w:rsidRPr="00370981" w:rsidRDefault="00865FDD" w:rsidP="00473AAD">
      <w:pPr>
        <w:pStyle w:val="Text"/>
        <w:spacing w:after="0" w:line="240" w:lineRule="auto"/>
        <w:rPr>
          <w:rFonts w:ascii="Times New Roman" w:hAnsi="Times New Roman"/>
          <w:b/>
          <w:bCs/>
          <w:i/>
          <w:iCs/>
          <w:color w:val="000000"/>
          <w:sz w:val="24"/>
        </w:rPr>
      </w:pPr>
      <w:r w:rsidRPr="00370981">
        <w:rPr>
          <w:rFonts w:ascii="Times New Roman" w:hAnsi="Times New Roman"/>
          <w:b/>
          <w:bCs/>
          <w:i/>
          <w:iCs/>
          <w:color w:val="000000"/>
          <w:sz w:val="24"/>
        </w:rPr>
        <w:t xml:space="preserve">Management of Skin </w:t>
      </w:r>
      <w:r w:rsidR="00BF14DE" w:rsidRPr="00370981">
        <w:rPr>
          <w:rFonts w:ascii="Times New Roman" w:hAnsi="Times New Roman"/>
          <w:b/>
          <w:bCs/>
          <w:i/>
          <w:iCs/>
          <w:color w:val="000000"/>
          <w:sz w:val="24"/>
        </w:rPr>
        <w:t>Toxicities</w:t>
      </w:r>
      <w:r w:rsidR="0057771B" w:rsidRPr="00370981">
        <w:rPr>
          <w:rFonts w:ascii="Times New Roman" w:hAnsi="Times New Roman"/>
          <w:b/>
          <w:bCs/>
          <w:i/>
          <w:iCs/>
          <w:color w:val="000000"/>
          <w:sz w:val="24"/>
        </w:rPr>
        <w:t>*</w:t>
      </w:r>
    </w:p>
    <w:p w:rsidR="00B4471A" w:rsidRPr="00F6078F" w:rsidRDefault="00473AAD" w:rsidP="00473AAD">
      <w:pPr>
        <w:pStyle w:val="Text"/>
        <w:spacing w:after="0" w:line="240" w:lineRule="auto"/>
        <w:rPr>
          <w:rFonts w:ascii="Times New Roman" w:hAnsi="Times New Roman"/>
          <w:sz w:val="24"/>
        </w:rPr>
      </w:pPr>
      <w:r w:rsidRPr="00F6078F">
        <w:rPr>
          <w:rFonts w:ascii="Times New Roman" w:hAnsi="Times New Roman"/>
          <w:sz w:val="24"/>
        </w:rPr>
        <w:t xml:space="preserve">Proactive skin treatment including skin </w:t>
      </w:r>
      <w:r w:rsidR="00EF52F3" w:rsidRPr="00F6078F">
        <w:rPr>
          <w:rFonts w:ascii="Times New Roman" w:hAnsi="Times New Roman"/>
          <w:sz w:val="24"/>
        </w:rPr>
        <w:t>moisturis</w:t>
      </w:r>
      <w:r w:rsidR="0084756A" w:rsidRPr="00F6078F">
        <w:rPr>
          <w:rFonts w:ascii="Times New Roman" w:hAnsi="Times New Roman"/>
          <w:sz w:val="24"/>
        </w:rPr>
        <w:t>er, sun screen (SPF &gt; </w:t>
      </w:r>
      <w:r w:rsidRPr="00F6078F">
        <w:rPr>
          <w:rFonts w:ascii="Times New Roman" w:hAnsi="Times New Roman"/>
          <w:sz w:val="24"/>
        </w:rPr>
        <w:t>15 UVA and UVB), topical steroid cream (</w:t>
      </w:r>
      <w:r w:rsidR="00B4471A" w:rsidRPr="00F6078F">
        <w:rPr>
          <w:rFonts w:ascii="Times New Roman" w:hAnsi="Times New Roman"/>
          <w:sz w:val="24"/>
        </w:rPr>
        <w:t>≤</w:t>
      </w:r>
      <w:r w:rsidR="002A2240" w:rsidRPr="00F6078F">
        <w:rPr>
          <w:rFonts w:ascii="Times New Roman" w:hAnsi="Times New Roman"/>
          <w:sz w:val="24"/>
        </w:rPr>
        <w:t> </w:t>
      </w:r>
      <w:r w:rsidRPr="00F6078F">
        <w:rPr>
          <w:rFonts w:ascii="Times New Roman" w:hAnsi="Times New Roman"/>
          <w:sz w:val="24"/>
        </w:rPr>
        <w:t>1% hydrocortisone) and an oral antibiotic (e</w:t>
      </w:r>
      <w:r w:rsidR="007948C4" w:rsidRPr="00F6078F">
        <w:rPr>
          <w:rFonts w:ascii="Times New Roman" w:hAnsi="Times New Roman"/>
          <w:sz w:val="24"/>
        </w:rPr>
        <w:t>.</w:t>
      </w:r>
      <w:r w:rsidRPr="00F6078F">
        <w:rPr>
          <w:rFonts w:ascii="Times New Roman" w:hAnsi="Times New Roman"/>
          <w:sz w:val="24"/>
        </w:rPr>
        <w:t>g</w:t>
      </w:r>
      <w:r w:rsidR="007948C4" w:rsidRPr="00F6078F">
        <w:rPr>
          <w:rFonts w:ascii="Times New Roman" w:hAnsi="Times New Roman"/>
          <w:sz w:val="24"/>
        </w:rPr>
        <w:t>.</w:t>
      </w:r>
      <w:r w:rsidRPr="00F6078F">
        <w:rPr>
          <w:rFonts w:ascii="Times New Roman" w:hAnsi="Times New Roman"/>
          <w:sz w:val="24"/>
        </w:rPr>
        <w:t xml:space="preserve"> </w:t>
      </w:r>
      <w:proofErr w:type="spellStart"/>
      <w:r w:rsidRPr="00F6078F">
        <w:rPr>
          <w:rFonts w:ascii="Times New Roman" w:hAnsi="Times New Roman"/>
          <w:sz w:val="24"/>
        </w:rPr>
        <w:t>doxycycline</w:t>
      </w:r>
      <w:proofErr w:type="spellEnd"/>
      <w:r w:rsidRPr="00F6078F">
        <w:rPr>
          <w:rFonts w:ascii="Times New Roman" w:hAnsi="Times New Roman"/>
          <w:sz w:val="24"/>
        </w:rPr>
        <w:t>)</w:t>
      </w:r>
      <w:r w:rsidR="00AD2502" w:rsidRPr="00F6078F">
        <w:rPr>
          <w:rFonts w:ascii="Times New Roman" w:hAnsi="Times New Roman"/>
          <w:sz w:val="24"/>
        </w:rPr>
        <w:t xml:space="preserve"> </w:t>
      </w:r>
      <w:r w:rsidRPr="00F6078F">
        <w:rPr>
          <w:rFonts w:ascii="Times New Roman" w:hAnsi="Times New Roman"/>
          <w:sz w:val="24"/>
        </w:rPr>
        <w:t xml:space="preserve">may be useful in the management of skin toxicities.  </w:t>
      </w:r>
      <w:r w:rsidR="00B4471A" w:rsidRPr="00F6078F">
        <w:rPr>
          <w:rFonts w:ascii="Times New Roman" w:hAnsi="Times New Roman"/>
          <w:sz w:val="24"/>
        </w:rPr>
        <w:t>Consider advising p</w:t>
      </w:r>
      <w:r w:rsidRPr="00F6078F">
        <w:rPr>
          <w:rFonts w:ascii="Times New Roman" w:hAnsi="Times New Roman"/>
          <w:sz w:val="24"/>
        </w:rPr>
        <w:t>atients</w:t>
      </w:r>
      <w:r w:rsidR="00AD2502" w:rsidRPr="00F6078F">
        <w:rPr>
          <w:rFonts w:ascii="Times New Roman" w:hAnsi="Times New Roman"/>
          <w:sz w:val="24"/>
        </w:rPr>
        <w:t xml:space="preserve"> </w:t>
      </w:r>
      <w:r w:rsidRPr="00F6078F">
        <w:rPr>
          <w:rFonts w:ascii="Times New Roman" w:hAnsi="Times New Roman"/>
          <w:sz w:val="24"/>
        </w:rPr>
        <w:t xml:space="preserve">to apply </w:t>
      </w:r>
      <w:r w:rsidR="00EF52F3" w:rsidRPr="00F6078F">
        <w:rPr>
          <w:rFonts w:ascii="Times New Roman" w:hAnsi="Times New Roman"/>
          <w:sz w:val="24"/>
        </w:rPr>
        <w:t>moisturis</w:t>
      </w:r>
      <w:r w:rsidRPr="00F6078F">
        <w:rPr>
          <w:rFonts w:ascii="Times New Roman" w:hAnsi="Times New Roman"/>
          <w:sz w:val="24"/>
        </w:rPr>
        <w:t xml:space="preserve">er and sunscreen to </w:t>
      </w:r>
      <w:r w:rsidR="00B4471A" w:rsidRPr="00F6078F">
        <w:rPr>
          <w:rFonts w:ascii="Times New Roman" w:hAnsi="Times New Roman"/>
          <w:sz w:val="24"/>
        </w:rPr>
        <w:t xml:space="preserve">the </w:t>
      </w:r>
      <w:r w:rsidRPr="00F6078F">
        <w:rPr>
          <w:rFonts w:ascii="Times New Roman" w:hAnsi="Times New Roman"/>
          <w:sz w:val="24"/>
        </w:rPr>
        <w:t xml:space="preserve">face, hands, feet, neck, </w:t>
      </w:r>
      <w:r w:rsidR="00B4471A" w:rsidRPr="00F6078F">
        <w:rPr>
          <w:rFonts w:ascii="Times New Roman" w:hAnsi="Times New Roman"/>
          <w:sz w:val="24"/>
        </w:rPr>
        <w:t>b</w:t>
      </w:r>
      <w:r w:rsidRPr="00F6078F">
        <w:rPr>
          <w:rFonts w:ascii="Times New Roman" w:hAnsi="Times New Roman"/>
          <w:sz w:val="24"/>
        </w:rPr>
        <w:t xml:space="preserve">ack and chest every morning during treatment, and to apply the topical steroid to face, hands, feet, neck, back and chest every night.  </w:t>
      </w:r>
    </w:p>
    <w:p w:rsidR="00473AAD" w:rsidRPr="00F6078F" w:rsidRDefault="00473AAD" w:rsidP="00473AAD">
      <w:pPr>
        <w:pStyle w:val="Text"/>
        <w:spacing w:after="0" w:line="240" w:lineRule="auto"/>
        <w:rPr>
          <w:rFonts w:ascii="Times New Roman" w:hAnsi="Times New Roman"/>
          <w:sz w:val="24"/>
        </w:rPr>
      </w:pPr>
      <w:r w:rsidRPr="00F6078F">
        <w:rPr>
          <w:rFonts w:ascii="Times New Roman" w:hAnsi="Times New Roman"/>
          <w:sz w:val="24"/>
        </w:rPr>
        <w:t xml:space="preserve">Treatment of skin reactions should be based on severity and may include a </w:t>
      </w:r>
      <w:r w:rsidR="00EF52F3" w:rsidRPr="00F6078F">
        <w:rPr>
          <w:rFonts w:ascii="Times New Roman" w:hAnsi="Times New Roman"/>
          <w:sz w:val="24"/>
        </w:rPr>
        <w:t>moisturis</w:t>
      </w:r>
      <w:r w:rsidRPr="00F6078F">
        <w:rPr>
          <w:rFonts w:ascii="Times New Roman" w:hAnsi="Times New Roman"/>
          <w:sz w:val="24"/>
        </w:rPr>
        <w:t>er, sun screen (SPF &gt;</w:t>
      </w:r>
      <w:r w:rsidR="0084756A" w:rsidRPr="00F6078F">
        <w:rPr>
          <w:rFonts w:ascii="Times New Roman" w:hAnsi="Times New Roman"/>
          <w:sz w:val="24"/>
        </w:rPr>
        <w:t> </w:t>
      </w:r>
      <w:r w:rsidRPr="00F6078F">
        <w:rPr>
          <w:rFonts w:ascii="Times New Roman" w:hAnsi="Times New Roman"/>
          <w:sz w:val="24"/>
        </w:rPr>
        <w:t>15 UVA and UVB), and topical steroid cream (</w:t>
      </w:r>
      <w:r w:rsidR="00B4471A" w:rsidRPr="00F6078F">
        <w:rPr>
          <w:rFonts w:ascii="Times New Roman" w:hAnsi="Times New Roman"/>
          <w:sz w:val="24"/>
        </w:rPr>
        <w:t>≤</w:t>
      </w:r>
      <w:r w:rsidR="0084756A" w:rsidRPr="00F6078F">
        <w:rPr>
          <w:rFonts w:ascii="Times New Roman" w:hAnsi="Times New Roman"/>
          <w:sz w:val="24"/>
        </w:rPr>
        <w:t> </w:t>
      </w:r>
      <w:r w:rsidRPr="00F6078F">
        <w:rPr>
          <w:rFonts w:ascii="Times New Roman" w:hAnsi="Times New Roman"/>
          <w:sz w:val="24"/>
        </w:rPr>
        <w:t xml:space="preserve">1% hydrocortisone) applied to </w:t>
      </w:r>
      <w:r w:rsidR="00B4471A" w:rsidRPr="00F6078F">
        <w:rPr>
          <w:rFonts w:ascii="Times New Roman" w:hAnsi="Times New Roman"/>
          <w:sz w:val="24"/>
        </w:rPr>
        <w:t xml:space="preserve">the </w:t>
      </w:r>
      <w:r w:rsidRPr="00F6078F">
        <w:rPr>
          <w:rFonts w:ascii="Times New Roman" w:hAnsi="Times New Roman"/>
          <w:sz w:val="24"/>
        </w:rPr>
        <w:t>affected areas, and/or oral antibiotics</w:t>
      </w:r>
      <w:r w:rsidR="00B4471A" w:rsidRPr="00F6078F">
        <w:rPr>
          <w:rFonts w:ascii="Times New Roman" w:hAnsi="Times New Roman"/>
          <w:sz w:val="24"/>
        </w:rPr>
        <w:t>.</w:t>
      </w:r>
    </w:p>
    <w:p w:rsidR="00473AAD" w:rsidRPr="00821191" w:rsidRDefault="00473AAD" w:rsidP="00000BBF">
      <w:pPr>
        <w:pStyle w:val="Text"/>
        <w:spacing w:after="0" w:line="240" w:lineRule="auto"/>
        <w:jc w:val="both"/>
        <w:rPr>
          <w:rFonts w:ascii="Times New Roman" w:hAnsi="Times New Roman"/>
          <w:color w:val="000000"/>
          <w:sz w:val="24"/>
        </w:rPr>
      </w:pPr>
    </w:p>
    <w:p w:rsidR="002601FC" w:rsidRPr="007114A7" w:rsidRDefault="002601FC">
      <w:pPr>
        <w:pStyle w:val="Heading2"/>
        <w:spacing w:after="0" w:line="240" w:lineRule="auto"/>
        <w:rPr>
          <w:rFonts w:ascii="Times New Roman" w:hAnsi="Times New Roman"/>
          <w:color w:val="000000"/>
          <w:sz w:val="24"/>
        </w:rPr>
      </w:pPr>
      <w:r w:rsidRPr="007114A7">
        <w:rPr>
          <w:rFonts w:ascii="Times New Roman" w:hAnsi="Times New Roman"/>
          <w:color w:val="000000"/>
          <w:sz w:val="24"/>
        </w:rPr>
        <w:t>Laboratory Tests</w:t>
      </w:r>
    </w:p>
    <w:p w:rsidR="00AA7FFD" w:rsidRPr="007114A7" w:rsidRDefault="00AA7FFD" w:rsidP="002601FC">
      <w:pPr>
        <w:pStyle w:val="Text"/>
        <w:spacing w:after="0" w:line="240" w:lineRule="auto"/>
        <w:rPr>
          <w:color w:val="000000"/>
        </w:rPr>
      </w:pPr>
      <w:r w:rsidRPr="007114A7">
        <w:rPr>
          <w:rFonts w:ascii="Times New Roman" w:hAnsi="Times New Roman"/>
          <w:b/>
          <w:bCs/>
          <w:i/>
          <w:iCs/>
          <w:color w:val="000000"/>
          <w:sz w:val="24"/>
        </w:rPr>
        <w:t xml:space="preserve">Electrolyte </w:t>
      </w:r>
      <w:r w:rsidR="009C32A0" w:rsidRPr="007114A7">
        <w:rPr>
          <w:rFonts w:ascii="Times New Roman" w:hAnsi="Times New Roman"/>
          <w:b/>
          <w:bCs/>
          <w:i/>
          <w:iCs/>
          <w:color w:val="000000"/>
          <w:sz w:val="24"/>
        </w:rPr>
        <w:t>Disturbances/</w:t>
      </w:r>
      <w:r w:rsidRPr="007114A7">
        <w:rPr>
          <w:rFonts w:ascii="Times New Roman" w:hAnsi="Times New Roman"/>
          <w:b/>
          <w:bCs/>
          <w:i/>
          <w:iCs/>
          <w:color w:val="000000"/>
          <w:sz w:val="24"/>
        </w:rPr>
        <w:t>Monitoring</w:t>
      </w:r>
    </w:p>
    <w:p w:rsidR="009C32A0" w:rsidRPr="00F6078F" w:rsidRDefault="009C32A0" w:rsidP="009C32A0">
      <w:pPr>
        <w:rPr>
          <w:rFonts w:eastAsia="MS Mincho"/>
          <w:sz w:val="24"/>
          <w:szCs w:val="24"/>
          <w:lang w:val="en-AU"/>
        </w:rPr>
      </w:pPr>
      <w:r w:rsidRPr="007114A7">
        <w:rPr>
          <w:rFonts w:eastAsia="MS Mincho"/>
          <w:color w:val="000000"/>
          <w:sz w:val="24"/>
          <w:szCs w:val="24"/>
          <w:lang w:val="en-AU"/>
        </w:rPr>
        <w:t>Progressively decreasing serum mag</w:t>
      </w:r>
      <w:r w:rsidRPr="00F6078F">
        <w:rPr>
          <w:rFonts w:eastAsia="MS Mincho"/>
          <w:sz w:val="24"/>
          <w:szCs w:val="24"/>
          <w:lang w:val="en-AU"/>
        </w:rPr>
        <w:t>nesium levels leading to severe hypomagnes</w:t>
      </w:r>
      <w:r w:rsidR="007C48E3" w:rsidRPr="00F6078F">
        <w:rPr>
          <w:rFonts w:eastAsia="MS Mincho"/>
          <w:sz w:val="24"/>
          <w:szCs w:val="24"/>
          <w:lang w:val="en-AU"/>
        </w:rPr>
        <w:t>a</w:t>
      </w:r>
      <w:r w:rsidRPr="00F6078F">
        <w:rPr>
          <w:rFonts w:eastAsia="MS Mincho"/>
          <w:sz w:val="24"/>
          <w:szCs w:val="24"/>
          <w:lang w:val="en-AU"/>
        </w:rPr>
        <w:t>emia have been observed in some patients.</w:t>
      </w:r>
      <w:r w:rsidRPr="00F6078F">
        <w:rPr>
          <w:rFonts w:eastAsia="MS Mincho"/>
          <w:sz w:val="24"/>
          <w:szCs w:val="24"/>
        </w:rPr>
        <w:t xml:space="preserve">  </w:t>
      </w:r>
      <w:r w:rsidR="00AA7FFD" w:rsidRPr="00F6078F">
        <w:rPr>
          <w:sz w:val="24"/>
        </w:rPr>
        <w:t>Patients should be monitored for hypomagnes</w:t>
      </w:r>
      <w:r w:rsidR="007C48E3" w:rsidRPr="00F6078F">
        <w:rPr>
          <w:sz w:val="24"/>
        </w:rPr>
        <w:t>a</w:t>
      </w:r>
      <w:r w:rsidR="00AA7FFD" w:rsidRPr="00F6078F">
        <w:rPr>
          <w:sz w:val="24"/>
        </w:rPr>
        <w:t>emia, and accompanying hypocalc</w:t>
      </w:r>
      <w:r w:rsidR="007C48E3" w:rsidRPr="00F6078F">
        <w:rPr>
          <w:sz w:val="24"/>
        </w:rPr>
        <w:t>a</w:t>
      </w:r>
      <w:r w:rsidR="00AA7FFD" w:rsidRPr="00F6078F">
        <w:rPr>
          <w:sz w:val="24"/>
        </w:rPr>
        <w:t xml:space="preserve">emia, </w:t>
      </w:r>
      <w:r w:rsidRPr="00F6078F">
        <w:rPr>
          <w:sz w:val="24"/>
        </w:rPr>
        <w:t xml:space="preserve">prior to initiating </w:t>
      </w:r>
      <w:proofErr w:type="spellStart"/>
      <w:r w:rsidRPr="00F6078F">
        <w:rPr>
          <w:sz w:val="24"/>
        </w:rPr>
        <w:t>panitumumab</w:t>
      </w:r>
      <w:proofErr w:type="spellEnd"/>
      <w:r w:rsidRPr="00F6078F">
        <w:rPr>
          <w:sz w:val="24"/>
        </w:rPr>
        <w:t xml:space="preserve"> treatment, and periodically </w:t>
      </w:r>
      <w:r w:rsidR="00AA7FFD" w:rsidRPr="00F6078F">
        <w:rPr>
          <w:sz w:val="24"/>
        </w:rPr>
        <w:t xml:space="preserve">during and for </w:t>
      </w:r>
      <w:r w:rsidR="00844D77" w:rsidRPr="00F6078F">
        <w:rPr>
          <w:sz w:val="24"/>
        </w:rPr>
        <w:t xml:space="preserve">up to </w:t>
      </w:r>
      <w:r w:rsidR="00AA7FFD" w:rsidRPr="00F6078F">
        <w:rPr>
          <w:sz w:val="24"/>
        </w:rPr>
        <w:t xml:space="preserve">8 weeks after the completion of </w:t>
      </w:r>
      <w:proofErr w:type="spellStart"/>
      <w:r w:rsidR="00AA7FFD" w:rsidRPr="00F6078F">
        <w:rPr>
          <w:sz w:val="24"/>
        </w:rPr>
        <w:t>panitumumab</w:t>
      </w:r>
      <w:proofErr w:type="spellEnd"/>
      <w:r w:rsidR="00AA7FFD" w:rsidRPr="00F6078F">
        <w:rPr>
          <w:sz w:val="24"/>
        </w:rPr>
        <w:t xml:space="preserve"> treatment (see ADVERSE </w:t>
      </w:r>
      <w:r w:rsidR="00CE3ACA" w:rsidRPr="00F6078F">
        <w:rPr>
          <w:sz w:val="24"/>
        </w:rPr>
        <w:t>EFFECTS</w:t>
      </w:r>
      <w:r w:rsidR="00AA7FFD" w:rsidRPr="00F6078F">
        <w:rPr>
          <w:sz w:val="24"/>
        </w:rPr>
        <w:t>).</w:t>
      </w:r>
      <w:r w:rsidRPr="00F6078F">
        <w:rPr>
          <w:sz w:val="24"/>
          <w:szCs w:val="24"/>
        </w:rPr>
        <w:t xml:space="preserve">  </w:t>
      </w:r>
      <w:r w:rsidRPr="00F6078F">
        <w:rPr>
          <w:rFonts w:eastAsia="MS Mincho"/>
          <w:sz w:val="24"/>
          <w:szCs w:val="24"/>
          <w:lang w:val="en-AU"/>
        </w:rPr>
        <w:t>Magnesium repletion is recommended, as appropriate.</w:t>
      </w:r>
    </w:p>
    <w:p w:rsidR="009C32A0" w:rsidRPr="00F6078F" w:rsidRDefault="009C32A0" w:rsidP="009C32A0">
      <w:pPr>
        <w:rPr>
          <w:rFonts w:eastAsia="MS Mincho"/>
          <w:sz w:val="24"/>
          <w:szCs w:val="24"/>
          <w:lang w:val="en-AU"/>
        </w:rPr>
      </w:pPr>
    </w:p>
    <w:p w:rsidR="009C32A0" w:rsidRPr="007114A7" w:rsidRDefault="009C32A0" w:rsidP="009C32A0">
      <w:pPr>
        <w:rPr>
          <w:rFonts w:eastAsia="MS Mincho"/>
          <w:color w:val="000000"/>
          <w:sz w:val="24"/>
          <w:szCs w:val="24"/>
          <w:lang w:val="en-AU"/>
        </w:rPr>
      </w:pPr>
      <w:r w:rsidRPr="00F6078F">
        <w:rPr>
          <w:rFonts w:eastAsia="MS Mincho"/>
          <w:sz w:val="24"/>
          <w:szCs w:val="24"/>
          <w:lang w:val="en-AU"/>
        </w:rPr>
        <w:t xml:space="preserve">Other electrolyte disturbances, including </w:t>
      </w:r>
      <w:proofErr w:type="spellStart"/>
      <w:r w:rsidRPr="00F6078F">
        <w:rPr>
          <w:rFonts w:eastAsia="MS Mincho"/>
          <w:sz w:val="24"/>
          <w:szCs w:val="24"/>
          <w:lang w:val="en-AU"/>
        </w:rPr>
        <w:t>hypokal</w:t>
      </w:r>
      <w:r w:rsidR="0081727A" w:rsidRPr="00F6078F">
        <w:rPr>
          <w:rFonts w:eastAsia="MS Mincho"/>
          <w:sz w:val="24"/>
          <w:szCs w:val="24"/>
          <w:lang w:val="en-AU"/>
        </w:rPr>
        <w:t>a</w:t>
      </w:r>
      <w:r w:rsidRPr="00F6078F">
        <w:rPr>
          <w:rFonts w:eastAsia="MS Mincho"/>
          <w:sz w:val="24"/>
          <w:szCs w:val="24"/>
          <w:lang w:val="en-AU"/>
        </w:rPr>
        <w:t>emia</w:t>
      </w:r>
      <w:proofErr w:type="spellEnd"/>
      <w:r w:rsidRPr="00F6078F">
        <w:rPr>
          <w:rFonts w:eastAsia="MS Mincho"/>
          <w:sz w:val="24"/>
          <w:szCs w:val="24"/>
          <w:lang w:val="en-AU"/>
        </w:rPr>
        <w:t xml:space="preserve">, have also been </w:t>
      </w:r>
      <w:r w:rsidRPr="00821191">
        <w:rPr>
          <w:rFonts w:eastAsia="MS Mincho"/>
          <w:color w:val="000000"/>
          <w:sz w:val="24"/>
          <w:szCs w:val="24"/>
          <w:lang w:val="en-AU"/>
        </w:rPr>
        <w:t xml:space="preserve">observed. Repletion of </w:t>
      </w:r>
      <w:r w:rsidRPr="007114A7">
        <w:rPr>
          <w:rFonts w:eastAsia="MS Mincho"/>
          <w:color w:val="000000"/>
          <w:sz w:val="24"/>
          <w:szCs w:val="24"/>
          <w:lang w:val="en-AU"/>
        </w:rPr>
        <w:t>these electrolytes is also recommended, as appropriate.</w:t>
      </w:r>
    </w:p>
    <w:p w:rsidR="00BD1DE2" w:rsidRPr="007114A7" w:rsidRDefault="00BD1DE2">
      <w:pPr>
        <w:pStyle w:val="Text"/>
        <w:spacing w:after="0" w:line="240" w:lineRule="auto"/>
        <w:rPr>
          <w:rFonts w:ascii="Times New Roman" w:hAnsi="Times New Roman"/>
          <w:color w:val="000000"/>
          <w:sz w:val="24"/>
        </w:rPr>
      </w:pPr>
    </w:p>
    <w:p w:rsidR="002601FC" w:rsidRPr="00370981" w:rsidRDefault="002601FC" w:rsidP="00370981">
      <w:pPr>
        <w:pStyle w:val="Heading2"/>
        <w:spacing w:after="0" w:line="240" w:lineRule="auto"/>
        <w:rPr>
          <w:rFonts w:ascii="Times New Roman" w:hAnsi="Times New Roman"/>
          <w:sz w:val="24"/>
        </w:rPr>
      </w:pPr>
      <w:r w:rsidRPr="00370981">
        <w:rPr>
          <w:rFonts w:ascii="Times New Roman" w:hAnsi="Times New Roman"/>
          <w:i/>
          <w:sz w:val="24"/>
        </w:rPr>
        <w:t>KRAS</w:t>
      </w:r>
      <w:r w:rsidRPr="00370981">
        <w:rPr>
          <w:rFonts w:ascii="Times New Roman" w:hAnsi="Times New Roman"/>
          <w:sz w:val="24"/>
        </w:rPr>
        <w:t xml:space="preserve"> Testing</w:t>
      </w:r>
    </w:p>
    <w:p w:rsidR="002B2E09" w:rsidRPr="002D5478" w:rsidRDefault="002B2E09" w:rsidP="002D5478">
      <w:pPr>
        <w:rPr>
          <w:rFonts w:eastAsia="MS Mincho"/>
          <w:sz w:val="24"/>
          <w:szCs w:val="24"/>
          <w:lang w:val="en-AU"/>
        </w:rPr>
      </w:pPr>
      <w:r w:rsidRPr="002D5478">
        <w:rPr>
          <w:rFonts w:eastAsia="MS Mincho"/>
          <w:i/>
          <w:sz w:val="24"/>
          <w:szCs w:val="24"/>
          <w:lang w:val="en-AU"/>
        </w:rPr>
        <w:t>KRAS</w:t>
      </w:r>
      <w:r w:rsidRPr="002D5478">
        <w:rPr>
          <w:rFonts w:eastAsia="MS Mincho"/>
          <w:sz w:val="24"/>
          <w:szCs w:val="24"/>
          <w:lang w:val="en-AU"/>
        </w:rPr>
        <w:t xml:space="preserve"> mutational status should be determined by an experienced laboratory using</w:t>
      </w:r>
      <w:r w:rsidR="002D5478" w:rsidRPr="002D5478">
        <w:rPr>
          <w:rFonts w:eastAsia="MS Mincho"/>
          <w:sz w:val="24"/>
          <w:szCs w:val="24"/>
          <w:lang w:val="en-AU"/>
        </w:rPr>
        <w:t xml:space="preserve"> the </w:t>
      </w:r>
      <w:proofErr w:type="spellStart"/>
      <w:r w:rsidR="002D5478" w:rsidRPr="002D5478">
        <w:rPr>
          <w:rFonts w:eastAsia="MS Mincho"/>
          <w:sz w:val="24"/>
          <w:szCs w:val="24"/>
          <w:lang w:val="en-AU"/>
        </w:rPr>
        <w:t>TheraScreen</w:t>
      </w:r>
      <w:proofErr w:type="spellEnd"/>
      <w:r w:rsidR="002D5478" w:rsidRPr="002D5478">
        <w:rPr>
          <w:rFonts w:eastAsia="MS Mincho"/>
          <w:sz w:val="24"/>
          <w:szCs w:val="24"/>
          <w:vertAlign w:val="superscript"/>
          <w:lang w:val="en-AU"/>
        </w:rPr>
        <w:t>®</w:t>
      </w:r>
      <w:r w:rsidR="002D5478" w:rsidRPr="002D5478">
        <w:rPr>
          <w:rFonts w:eastAsia="MS Mincho"/>
          <w:sz w:val="24"/>
          <w:szCs w:val="24"/>
          <w:lang w:val="en-AU"/>
        </w:rPr>
        <w:t xml:space="preserve">: </w:t>
      </w:r>
      <w:r w:rsidR="002D5478" w:rsidRPr="002D5478">
        <w:rPr>
          <w:rFonts w:eastAsia="MS Mincho"/>
          <w:i/>
          <w:sz w:val="24"/>
          <w:szCs w:val="24"/>
          <w:lang w:val="en-AU"/>
        </w:rPr>
        <w:t>K-RAS</w:t>
      </w:r>
      <w:r w:rsidR="002D5478" w:rsidRPr="002D5478">
        <w:rPr>
          <w:rFonts w:eastAsia="MS Mincho"/>
          <w:sz w:val="24"/>
          <w:szCs w:val="24"/>
          <w:lang w:val="en-AU"/>
        </w:rPr>
        <w:t xml:space="preserve"> Mutation Kit or by using test methodologies with high concordance with the </w:t>
      </w:r>
      <w:proofErr w:type="spellStart"/>
      <w:r w:rsidR="002D5478" w:rsidRPr="002D5478">
        <w:rPr>
          <w:rFonts w:eastAsia="MS Mincho"/>
          <w:sz w:val="24"/>
          <w:szCs w:val="24"/>
          <w:lang w:val="en-AU"/>
        </w:rPr>
        <w:t>TheraScreen</w:t>
      </w:r>
      <w:proofErr w:type="spellEnd"/>
      <w:r w:rsidR="002D5478" w:rsidRPr="002D5478">
        <w:rPr>
          <w:rFonts w:eastAsia="MS Mincho"/>
          <w:sz w:val="24"/>
          <w:szCs w:val="24"/>
          <w:lang w:val="en-AU"/>
        </w:rPr>
        <w:t xml:space="preserve"> kit.</w:t>
      </w:r>
      <w:r w:rsidR="00A70AAC" w:rsidRPr="00C16CDC">
        <w:rPr>
          <w:sz w:val="24"/>
        </w:rPr>
        <w:t>*</w:t>
      </w:r>
    </w:p>
    <w:p w:rsidR="002601FC" w:rsidRPr="00821191" w:rsidRDefault="002601FC">
      <w:pPr>
        <w:pStyle w:val="Text"/>
        <w:spacing w:after="0" w:line="240" w:lineRule="auto"/>
        <w:rPr>
          <w:rFonts w:ascii="Times New Roman" w:hAnsi="Times New Roman"/>
          <w:color w:val="000000"/>
          <w:sz w:val="24"/>
        </w:rPr>
      </w:pPr>
    </w:p>
    <w:p w:rsidR="00AA7FFD" w:rsidRDefault="00893401" w:rsidP="00D77FA3">
      <w:pPr>
        <w:pStyle w:val="Heading2"/>
        <w:spacing w:after="0" w:line="240" w:lineRule="auto"/>
        <w:rPr>
          <w:rFonts w:ascii="Times New Roman" w:hAnsi="Times New Roman"/>
          <w:b w:val="0"/>
          <w:bCs/>
          <w:i/>
          <w:iCs/>
          <w:sz w:val="24"/>
        </w:rPr>
      </w:pPr>
      <w:r w:rsidRPr="00D77FA3">
        <w:rPr>
          <w:rFonts w:ascii="Times New Roman" w:hAnsi="Times New Roman"/>
          <w:sz w:val="24"/>
        </w:rPr>
        <w:t xml:space="preserve">Effects on </w:t>
      </w:r>
      <w:r w:rsidR="00AA7FFD" w:rsidRPr="00D77FA3">
        <w:rPr>
          <w:rFonts w:ascii="Times New Roman" w:hAnsi="Times New Roman"/>
          <w:sz w:val="24"/>
        </w:rPr>
        <w:t>Fertility</w:t>
      </w:r>
    </w:p>
    <w:p w:rsidR="005A4B5C" w:rsidRPr="001B499F" w:rsidRDefault="00E0258C">
      <w:pPr>
        <w:pStyle w:val="Text"/>
        <w:spacing w:after="0" w:line="240" w:lineRule="auto"/>
        <w:rPr>
          <w:rFonts w:ascii="Times New Roman" w:hAnsi="Times New Roman"/>
          <w:bCs/>
          <w:iCs/>
          <w:sz w:val="24"/>
        </w:rPr>
      </w:pPr>
      <w:proofErr w:type="spellStart"/>
      <w:r w:rsidRPr="00F6078F">
        <w:rPr>
          <w:rFonts w:ascii="Times New Roman" w:hAnsi="Times New Roman"/>
          <w:bCs/>
          <w:iCs/>
          <w:sz w:val="24"/>
        </w:rPr>
        <w:t>Panitumumab</w:t>
      </w:r>
      <w:proofErr w:type="spellEnd"/>
      <w:r w:rsidRPr="00F6078F">
        <w:rPr>
          <w:rFonts w:ascii="Times New Roman" w:hAnsi="Times New Roman"/>
          <w:bCs/>
          <w:iCs/>
          <w:sz w:val="24"/>
        </w:rPr>
        <w:t xml:space="preserve"> </w:t>
      </w:r>
      <w:r w:rsidR="005A4B5C" w:rsidRPr="001B499F">
        <w:rPr>
          <w:rFonts w:ascii="Times New Roman" w:hAnsi="Times New Roman"/>
          <w:bCs/>
          <w:iCs/>
          <w:sz w:val="24"/>
        </w:rPr>
        <w:t xml:space="preserve">may </w:t>
      </w:r>
      <w:r w:rsidR="005A6D22" w:rsidRPr="001B499F">
        <w:rPr>
          <w:rFonts w:ascii="Times New Roman" w:hAnsi="Times New Roman"/>
          <w:bCs/>
          <w:iCs/>
          <w:sz w:val="24"/>
        </w:rPr>
        <w:t xml:space="preserve">impair fertility in women of childbearing potential. </w:t>
      </w:r>
      <w:r w:rsidR="00D77FA3">
        <w:rPr>
          <w:rFonts w:ascii="Times New Roman" w:hAnsi="Times New Roman"/>
          <w:bCs/>
          <w:iCs/>
          <w:sz w:val="24"/>
        </w:rPr>
        <w:t xml:space="preserve"> </w:t>
      </w:r>
      <w:r w:rsidR="005A6D22" w:rsidRPr="001B499F">
        <w:rPr>
          <w:rFonts w:ascii="Times New Roman" w:hAnsi="Times New Roman"/>
          <w:bCs/>
          <w:iCs/>
          <w:sz w:val="24"/>
        </w:rPr>
        <w:t xml:space="preserve">Prolonged menstrual cycles and/or amenorrhoea, accompanied by changes in the cycling of progesterone and 17β-oestradiol levels, were observed in female </w:t>
      </w:r>
      <w:proofErr w:type="spellStart"/>
      <w:r w:rsidR="005A6D22" w:rsidRPr="001B499F">
        <w:rPr>
          <w:rFonts w:ascii="Times New Roman" w:hAnsi="Times New Roman"/>
          <w:bCs/>
          <w:iCs/>
          <w:sz w:val="24"/>
        </w:rPr>
        <w:t>cynomolgus</w:t>
      </w:r>
      <w:proofErr w:type="spellEnd"/>
      <w:r w:rsidR="005A6D22" w:rsidRPr="001B499F">
        <w:rPr>
          <w:rFonts w:ascii="Times New Roman" w:hAnsi="Times New Roman"/>
          <w:bCs/>
          <w:iCs/>
          <w:sz w:val="24"/>
        </w:rPr>
        <w:t xml:space="preserve"> monkeys following weekly doses of </w:t>
      </w:r>
      <w:proofErr w:type="spellStart"/>
      <w:r w:rsidR="005A6D22" w:rsidRPr="001B499F">
        <w:rPr>
          <w:rFonts w:ascii="Times New Roman" w:hAnsi="Times New Roman"/>
          <w:bCs/>
          <w:iCs/>
          <w:sz w:val="24"/>
        </w:rPr>
        <w:t>panitumumab</w:t>
      </w:r>
      <w:proofErr w:type="spellEnd"/>
      <w:r w:rsidR="005A6D22" w:rsidRPr="001B499F">
        <w:rPr>
          <w:rFonts w:ascii="Times New Roman" w:hAnsi="Times New Roman"/>
          <w:bCs/>
          <w:iCs/>
          <w:sz w:val="24"/>
        </w:rPr>
        <w:t xml:space="preserve"> resulting in exposure similar to that at the maximum recommended human doses (based on AUC). </w:t>
      </w:r>
      <w:r w:rsidR="00D77FA3">
        <w:rPr>
          <w:rFonts w:ascii="Times New Roman" w:hAnsi="Times New Roman"/>
          <w:bCs/>
          <w:iCs/>
          <w:sz w:val="24"/>
        </w:rPr>
        <w:t xml:space="preserve"> </w:t>
      </w:r>
      <w:r w:rsidR="005A6D22" w:rsidRPr="001B499F">
        <w:rPr>
          <w:rFonts w:ascii="Times New Roman" w:hAnsi="Times New Roman"/>
          <w:bCs/>
          <w:iCs/>
          <w:sz w:val="24"/>
        </w:rPr>
        <w:t xml:space="preserve">These effects in monkeys were likely to be due to the reduced food consumption and body weight loss observed in the treated animals. </w:t>
      </w:r>
      <w:r w:rsidR="00D77FA3">
        <w:rPr>
          <w:rFonts w:ascii="Times New Roman" w:hAnsi="Times New Roman"/>
          <w:bCs/>
          <w:iCs/>
          <w:sz w:val="24"/>
        </w:rPr>
        <w:t xml:space="preserve"> </w:t>
      </w:r>
      <w:r w:rsidR="005A6D22" w:rsidRPr="001B499F">
        <w:rPr>
          <w:rFonts w:ascii="Times New Roman" w:hAnsi="Times New Roman"/>
          <w:bCs/>
          <w:iCs/>
          <w:sz w:val="24"/>
        </w:rPr>
        <w:t xml:space="preserve">Normal menstrual cycling resumed in most animals after discontinuation of </w:t>
      </w:r>
      <w:proofErr w:type="spellStart"/>
      <w:r w:rsidR="005A6D22" w:rsidRPr="001B499F">
        <w:rPr>
          <w:rFonts w:ascii="Times New Roman" w:hAnsi="Times New Roman"/>
          <w:bCs/>
          <w:iCs/>
          <w:sz w:val="24"/>
        </w:rPr>
        <w:t>panitumumab</w:t>
      </w:r>
      <w:proofErr w:type="spellEnd"/>
      <w:r w:rsidR="005A6D22" w:rsidRPr="001B499F">
        <w:rPr>
          <w:rFonts w:ascii="Times New Roman" w:hAnsi="Times New Roman"/>
          <w:bCs/>
          <w:iCs/>
          <w:sz w:val="24"/>
        </w:rPr>
        <w:t xml:space="preserve"> treatment.</w:t>
      </w:r>
    </w:p>
    <w:p w:rsidR="005A6D22" w:rsidRPr="001B499F" w:rsidRDefault="005A6D22">
      <w:pPr>
        <w:pStyle w:val="Text"/>
        <w:spacing w:after="0" w:line="240" w:lineRule="auto"/>
        <w:rPr>
          <w:rFonts w:ascii="Times New Roman" w:hAnsi="Times New Roman"/>
          <w:bCs/>
          <w:iCs/>
          <w:sz w:val="24"/>
        </w:rPr>
      </w:pPr>
    </w:p>
    <w:p w:rsidR="005A6D22" w:rsidRPr="001B499F" w:rsidRDefault="005A6D22">
      <w:pPr>
        <w:pStyle w:val="Text"/>
        <w:spacing w:after="0" w:line="240" w:lineRule="auto"/>
        <w:rPr>
          <w:rFonts w:ascii="Times New Roman" w:hAnsi="Times New Roman"/>
          <w:bCs/>
          <w:iCs/>
          <w:sz w:val="24"/>
        </w:rPr>
      </w:pPr>
      <w:r w:rsidRPr="007114A7">
        <w:rPr>
          <w:rFonts w:ascii="Times New Roman" w:hAnsi="Times New Roman"/>
          <w:bCs/>
          <w:iCs/>
          <w:sz w:val="24"/>
        </w:rPr>
        <w:t>Formal fertility studies have not been conducted</w:t>
      </w:r>
      <w:r w:rsidR="007C48E3" w:rsidRPr="007114A7">
        <w:rPr>
          <w:rFonts w:ascii="Times New Roman" w:hAnsi="Times New Roman"/>
          <w:bCs/>
          <w:iCs/>
          <w:sz w:val="24"/>
        </w:rPr>
        <w:t>;</w:t>
      </w:r>
      <w:r w:rsidRPr="007114A7">
        <w:rPr>
          <w:rFonts w:ascii="Times New Roman" w:hAnsi="Times New Roman"/>
          <w:bCs/>
          <w:iCs/>
          <w:sz w:val="24"/>
        </w:rPr>
        <w:t xml:space="preserve"> however</w:t>
      </w:r>
      <w:r w:rsidR="007C48E3" w:rsidRPr="007114A7">
        <w:rPr>
          <w:rFonts w:ascii="Times New Roman" w:hAnsi="Times New Roman"/>
          <w:bCs/>
          <w:iCs/>
          <w:sz w:val="24"/>
        </w:rPr>
        <w:t>,</w:t>
      </w:r>
      <w:r w:rsidRPr="007114A7">
        <w:rPr>
          <w:rFonts w:ascii="Times New Roman" w:hAnsi="Times New Roman"/>
          <w:bCs/>
          <w:iCs/>
          <w:sz w:val="24"/>
        </w:rPr>
        <w:t xml:space="preserve"> no effects of </w:t>
      </w:r>
      <w:proofErr w:type="spellStart"/>
      <w:r w:rsidRPr="007114A7">
        <w:rPr>
          <w:rFonts w:ascii="Times New Roman" w:hAnsi="Times New Roman"/>
          <w:bCs/>
          <w:iCs/>
          <w:sz w:val="24"/>
        </w:rPr>
        <w:t>panitumumab</w:t>
      </w:r>
      <w:proofErr w:type="spellEnd"/>
      <w:r w:rsidRPr="007114A7">
        <w:rPr>
          <w:rFonts w:ascii="Times New Roman" w:hAnsi="Times New Roman"/>
          <w:bCs/>
          <w:iCs/>
          <w:sz w:val="24"/>
        </w:rPr>
        <w:t xml:space="preserve"> treatment on the male reproductive organs were observed</w:t>
      </w:r>
      <w:r w:rsidRPr="001B499F">
        <w:rPr>
          <w:rFonts w:ascii="Times New Roman" w:hAnsi="Times New Roman"/>
          <w:bCs/>
          <w:iCs/>
          <w:sz w:val="24"/>
        </w:rPr>
        <w:t xml:space="preserve"> in </w:t>
      </w:r>
      <w:proofErr w:type="spellStart"/>
      <w:r w:rsidRPr="001B499F">
        <w:rPr>
          <w:rFonts w:ascii="Times New Roman" w:hAnsi="Times New Roman"/>
          <w:bCs/>
          <w:iCs/>
          <w:sz w:val="24"/>
        </w:rPr>
        <w:t>cynomolgus</w:t>
      </w:r>
      <w:proofErr w:type="spellEnd"/>
      <w:r w:rsidRPr="001B499F">
        <w:rPr>
          <w:rFonts w:ascii="Times New Roman" w:hAnsi="Times New Roman"/>
          <w:bCs/>
          <w:iCs/>
          <w:sz w:val="24"/>
        </w:rPr>
        <w:t xml:space="preserve"> monkeys given </w:t>
      </w:r>
      <w:proofErr w:type="spellStart"/>
      <w:r w:rsidRPr="001B499F">
        <w:rPr>
          <w:rFonts w:ascii="Times New Roman" w:hAnsi="Times New Roman"/>
          <w:bCs/>
          <w:iCs/>
          <w:sz w:val="24"/>
        </w:rPr>
        <w:t>panitumumab</w:t>
      </w:r>
      <w:proofErr w:type="spellEnd"/>
      <w:r w:rsidRPr="001B499F">
        <w:rPr>
          <w:rFonts w:ascii="Times New Roman" w:hAnsi="Times New Roman"/>
          <w:bCs/>
          <w:iCs/>
          <w:sz w:val="24"/>
        </w:rPr>
        <w:t xml:space="preserve"> for up to 26 weeks at exposures (based on AUC) about 5-fold that at the maximum recommended human dose.</w:t>
      </w:r>
    </w:p>
    <w:p w:rsidR="005A6D22" w:rsidRPr="005A4B5C" w:rsidRDefault="005A6D22">
      <w:pPr>
        <w:pStyle w:val="Text"/>
        <w:spacing w:after="0" w:line="240" w:lineRule="auto"/>
        <w:rPr>
          <w:rFonts w:ascii="Times New Roman" w:hAnsi="Times New Roman"/>
          <w:bCs/>
          <w:iCs/>
          <w:sz w:val="24"/>
          <w:u w:val="single"/>
        </w:rPr>
      </w:pPr>
    </w:p>
    <w:p w:rsidR="00D77FA3" w:rsidRDefault="00D77FA3">
      <w:pPr>
        <w:pStyle w:val="Heading2"/>
        <w:spacing w:after="0" w:line="240" w:lineRule="auto"/>
        <w:rPr>
          <w:rFonts w:ascii="Times New Roman" w:hAnsi="Times New Roman"/>
          <w:sz w:val="24"/>
        </w:rPr>
      </w:pPr>
      <w:r>
        <w:rPr>
          <w:rFonts w:ascii="Times New Roman" w:hAnsi="Times New Roman"/>
          <w:sz w:val="24"/>
        </w:rPr>
        <w:lastRenderedPageBreak/>
        <w:t>Use in Pregnancy</w:t>
      </w:r>
    </w:p>
    <w:p w:rsidR="00AA7FFD" w:rsidRPr="00D77FA3" w:rsidRDefault="00AA7FFD" w:rsidP="00D77FA3">
      <w:pPr>
        <w:pStyle w:val="Text"/>
        <w:spacing w:after="0" w:line="240" w:lineRule="auto"/>
        <w:rPr>
          <w:rFonts w:ascii="Times New Roman" w:hAnsi="Times New Roman"/>
          <w:b/>
          <w:sz w:val="24"/>
        </w:rPr>
      </w:pPr>
      <w:r w:rsidRPr="00D77FA3">
        <w:rPr>
          <w:rFonts w:ascii="Times New Roman" w:hAnsi="Times New Roman"/>
          <w:b/>
          <w:sz w:val="24"/>
        </w:rPr>
        <w:t>Pregnancy Category: C</w:t>
      </w:r>
    </w:p>
    <w:p w:rsidR="00AA7FFD" w:rsidRPr="004B21C3" w:rsidRDefault="00AA7FFD">
      <w:pPr>
        <w:rPr>
          <w:color w:val="000000"/>
          <w:sz w:val="24"/>
        </w:rPr>
      </w:pPr>
      <w:r>
        <w:rPr>
          <w:sz w:val="24"/>
        </w:rPr>
        <w:t xml:space="preserve">There are no studies of </w:t>
      </w:r>
      <w:proofErr w:type="spellStart"/>
      <w:r>
        <w:rPr>
          <w:sz w:val="24"/>
        </w:rPr>
        <w:t>panitumumab</w:t>
      </w:r>
      <w:proofErr w:type="spellEnd"/>
      <w:r>
        <w:rPr>
          <w:sz w:val="24"/>
        </w:rPr>
        <w:t xml:space="preserve"> in pregnant women.  However, EGFR has been implicated in the control of prenatal development and may be essential for normal organogenesis.  Therefore, </w:t>
      </w:r>
      <w:proofErr w:type="spellStart"/>
      <w:r>
        <w:rPr>
          <w:sz w:val="24"/>
        </w:rPr>
        <w:t>panitumumab</w:t>
      </w:r>
      <w:proofErr w:type="spellEnd"/>
      <w:r>
        <w:rPr>
          <w:sz w:val="24"/>
        </w:rPr>
        <w:t xml:space="preserve"> has the potential to cause </w:t>
      </w:r>
      <w:proofErr w:type="spellStart"/>
      <w:r>
        <w:rPr>
          <w:sz w:val="24"/>
        </w:rPr>
        <w:t>f</w:t>
      </w:r>
      <w:r w:rsidR="00D77FA3" w:rsidRPr="00821191">
        <w:rPr>
          <w:color w:val="000000"/>
          <w:sz w:val="24"/>
        </w:rPr>
        <w:t>o</w:t>
      </w:r>
      <w:r>
        <w:rPr>
          <w:sz w:val="24"/>
        </w:rPr>
        <w:t>etal</w:t>
      </w:r>
      <w:proofErr w:type="spellEnd"/>
      <w:r>
        <w:rPr>
          <w:sz w:val="24"/>
        </w:rPr>
        <w:t xml:space="preserve"> harm when administered to pregnant women</w:t>
      </w:r>
      <w:r w:rsidR="00CB4419">
        <w:rPr>
          <w:sz w:val="24"/>
        </w:rPr>
        <w:t xml:space="preserve"> and has shown to be </w:t>
      </w:r>
      <w:proofErr w:type="spellStart"/>
      <w:r w:rsidR="00B829A0">
        <w:rPr>
          <w:sz w:val="24"/>
        </w:rPr>
        <w:t>embryolethal</w:t>
      </w:r>
      <w:proofErr w:type="spellEnd"/>
      <w:r w:rsidR="00B829A0">
        <w:rPr>
          <w:sz w:val="24"/>
        </w:rPr>
        <w:t xml:space="preserve"> </w:t>
      </w:r>
      <w:r w:rsidR="00CB4419">
        <w:rPr>
          <w:sz w:val="24"/>
        </w:rPr>
        <w:t>and</w:t>
      </w:r>
      <w:r w:rsidRPr="00BF14DE">
        <w:rPr>
          <w:sz w:val="24"/>
          <w:lang w:val="en-AU"/>
        </w:rPr>
        <w:t xml:space="preserve"> </w:t>
      </w:r>
      <w:proofErr w:type="spellStart"/>
      <w:r w:rsidRPr="00BF14DE">
        <w:rPr>
          <w:sz w:val="24"/>
          <w:lang w:val="en-AU"/>
        </w:rPr>
        <w:t>abortifacient</w:t>
      </w:r>
      <w:proofErr w:type="spellEnd"/>
      <w:r w:rsidR="00D07EF2">
        <w:rPr>
          <w:sz w:val="24"/>
        </w:rPr>
        <w:t xml:space="preserve"> </w:t>
      </w:r>
      <w:r>
        <w:rPr>
          <w:sz w:val="24"/>
        </w:rPr>
        <w:t>in</w:t>
      </w:r>
      <w:r w:rsidR="00F51956" w:rsidRPr="00BF14DE">
        <w:rPr>
          <w:sz w:val="24"/>
          <w:lang w:val="en-AU"/>
        </w:rPr>
        <w:t xml:space="preserve"> </w:t>
      </w:r>
      <w:proofErr w:type="spellStart"/>
      <w:r w:rsidRPr="00BF14DE">
        <w:rPr>
          <w:sz w:val="24"/>
          <w:lang w:val="en-AU"/>
        </w:rPr>
        <w:t>cynomolgus</w:t>
      </w:r>
      <w:proofErr w:type="spellEnd"/>
      <w:r w:rsidRPr="007114A7">
        <w:rPr>
          <w:sz w:val="24"/>
        </w:rPr>
        <w:t xml:space="preserve"> monkeys when administered during the period of organogenesis</w:t>
      </w:r>
      <w:r w:rsidR="00B829A0" w:rsidRPr="007114A7">
        <w:rPr>
          <w:sz w:val="24"/>
        </w:rPr>
        <w:t xml:space="preserve"> (gestation day 20</w:t>
      </w:r>
      <w:r w:rsidR="00F6078F">
        <w:rPr>
          <w:sz w:val="24"/>
        </w:rPr>
        <w:t xml:space="preserve"> </w:t>
      </w:r>
      <w:r w:rsidR="00905222" w:rsidRPr="00F6078F">
        <w:rPr>
          <w:sz w:val="24"/>
        </w:rPr>
        <w:t xml:space="preserve">to </w:t>
      </w:r>
      <w:r w:rsidR="00B829A0" w:rsidRPr="007114A7">
        <w:rPr>
          <w:sz w:val="24"/>
        </w:rPr>
        <w:t>50)</w:t>
      </w:r>
      <w:r w:rsidRPr="007114A7">
        <w:rPr>
          <w:sz w:val="24"/>
        </w:rPr>
        <w:t xml:space="preserve"> at </w:t>
      </w:r>
      <w:r w:rsidR="00CB4419" w:rsidRPr="007114A7">
        <w:rPr>
          <w:sz w:val="24"/>
        </w:rPr>
        <w:t xml:space="preserve">doses achieving an exposure </w:t>
      </w:r>
      <w:r w:rsidR="00682B3D" w:rsidRPr="007114A7">
        <w:rPr>
          <w:sz w:val="24"/>
        </w:rPr>
        <w:t>(on</w:t>
      </w:r>
      <w:r w:rsidR="00CB4419" w:rsidRPr="007114A7">
        <w:rPr>
          <w:sz w:val="24"/>
        </w:rPr>
        <w:t xml:space="preserve"> an </w:t>
      </w:r>
      <w:r w:rsidR="00F51956" w:rsidRPr="007114A7">
        <w:rPr>
          <w:sz w:val="24"/>
        </w:rPr>
        <w:t>AUC</w:t>
      </w:r>
      <w:r w:rsidR="00CB4419" w:rsidRPr="007114A7">
        <w:rPr>
          <w:sz w:val="24"/>
        </w:rPr>
        <w:t xml:space="preserve"> basis</w:t>
      </w:r>
      <w:r w:rsidR="00682B3D" w:rsidRPr="007114A7">
        <w:rPr>
          <w:sz w:val="24"/>
        </w:rPr>
        <w:t>)</w:t>
      </w:r>
      <w:r w:rsidR="00F51956" w:rsidRPr="007114A7">
        <w:rPr>
          <w:sz w:val="24"/>
        </w:rPr>
        <w:t xml:space="preserve"> </w:t>
      </w:r>
      <w:r w:rsidR="00CB4419" w:rsidRPr="007114A7">
        <w:rPr>
          <w:sz w:val="24"/>
        </w:rPr>
        <w:t xml:space="preserve">similar to that at </w:t>
      </w:r>
      <w:r w:rsidR="00F51956" w:rsidRPr="007114A7">
        <w:rPr>
          <w:sz w:val="24"/>
        </w:rPr>
        <w:t xml:space="preserve">the </w:t>
      </w:r>
      <w:r w:rsidRPr="007114A7">
        <w:rPr>
          <w:sz w:val="24"/>
        </w:rPr>
        <w:t>recommended</w:t>
      </w:r>
      <w:r>
        <w:rPr>
          <w:sz w:val="24"/>
        </w:rPr>
        <w:t xml:space="preserve"> human dose. </w:t>
      </w:r>
    </w:p>
    <w:p w:rsidR="00AA7FFD" w:rsidRPr="004B21C3" w:rsidRDefault="00AA7FFD">
      <w:pPr>
        <w:pStyle w:val="FigureLegend"/>
        <w:keepLines w:val="0"/>
        <w:suppressAutoHyphens w:val="0"/>
        <w:overflowPunct w:val="0"/>
        <w:autoSpaceDE w:val="0"/>
        <w:autoSpaceDN w:val="0"/>
        <w:adjustRightInd w:val="0"/>
        <w:spacing w:before="0"/>
        <w:textAlignment w:val="baseline"/>
        <w:rPr>
          <w:color w:val="000000"/>
          <w:sz w:val="24"/>
        </w:rPr>
      </w:pPr>
    </w:p>
    <w:p w:rsidR="00AA7FFD" w:rsidRDefault="00AA7FFD">
      <w:pPr>
        <w:rPr>
          <w:sz w:val="24"/>
        </w:rPr>
      </w:pPr>
      <w:r>
        <w:rPr>
          <w:sz w:val="24"/>
          <w:szCs w:val="22"/>
          <w:lang w:val="en-GB"/>
        </w:rPr>
        <w:t xml:space="preserve">Human </w:t>
      </w:r>
      <w:proofErr w:type="spellStart"/>
      <w:r>
        <w:rPr>
          <w:sz w:val="24"/>
          <w:szCs w:val="22"/>
          <w:lang w:val="en-GB"/>
        </w:rPr>
        <w:t>IgG</w:t>
      </w:r>
      <w:proofErr w:type="spellEnd"/>
      <w:r>
        <w:rPr>
          <w:sz w:val="24"/>
          <w:szCs w:val="22"/>
          <w:lang w:val="en-GB"/>
        </w:rPr>
        <w:t xml:space="preserve"> </w:t>
      </w:r>
      <w:r w:rsidR="000920BA">
        <w:rPr>
          <w:sz w:val="24"/>
          <w:szCs w:val="22"/>
          <w:lang w:val="en-GB"/>
        </w:rPr>
        <w:t>i</w:t>
      </w:r>
      <w:r>
        <w:rPr>
          <w:sz w:val="24"/>
          <w:szCs w:val="22"/>
          <w:lang w:val="en-GB"/>
        </w:rPr>
        <w:t xml:space="preserve">s known to cross the placental barrier, therefore </w:t>
      </w:r>
      <w:proofErr w:type="spellStart"/>
      <w:r>
        <w:rPr>
          <w:sz w:val="24"/>
          <w:szCs w:val="22"/>
          <w:lang w:val="en-GB"/>
        </w:rPr>
        <w:t>panitumumab</w:t>
      </w:r>
      <w:proofErr w:type="spellEnd"/>
      <w:r>
        <w:rPr>
          <w:sz w:val="24"/>
          <w:szCs w:val="22"/>
          <w:lang w:val="en-GB"/>
        </w:rPr>
        <w:t xml:space="preserve"> may be transmitted from the mother to the developing f</w:t>
      </w:r>
      <w:r w:rsidR="00D77FA3" w:rsidRPr="00821191">
        <w:rPr>
          <w:color w:val="000000"/>
          <w:sz w:val="24"/>
          <w:szCs w:val="22"/>
          <w:lang w:val="en-GB"/>
        </w:rPr>
        <w:t>o</w:t>
      </w:r>
      <w:r>
        <w:rPr>
          <w:sz w:val="24"/>
          <w:szCs w:val="22"/>
          <w:lang w:val="en-GB"/>
        </w:rPr>
        <w:t>etus.</w:t>
      </w:r>
      <w:r w:rsidR="00864E4B">
        <w:rPr>
          <w:sz w:val="24"/>
          <w:szCs w:val="22"/>
          <w:lang w:val="en-GB"/>
        </w:rPr>
        <w:t xml:space="preserve"> </w:t>
      </w:r>
      <w:r>
        <w:rPr>
          <w:sz w:val="24"/>
          <w:szCs w:val="22"/>
          <w:lang w:val="en-GB"/>
        </w:rPr>
        <w:t xml:space="preserve"> In women of childbearing potential, appropriate contraceptive measures must be used during treatment with </w:t>
      </w:r>
      <w:proofErr w:type="spellStart"/>
      <w:r>
        <w:rPr>
          <w:sz w:val="24"/>
        </w:rPr>
        <w:t>panitumumab</w:t>
      </w:r>
      <w:proofErr w:type="spellEnd"/>
      <w:r>
        <w:rPr>
          <w:sz w:val="24"/>
        </w:rPr>
        <w:t>,</w:t>
      </w:r>
      <w:r>
        <w:rPr>
          <w:sz w:val="24"/>
          <w:szCs w:val="24"/>
          <w:lang w:val="en-GB"/>
        </w:rPr>
        <w:t xml:space="preserve"> and for </w:t>
      </w:r>
      <w:r w:rsidR="00FB261A" w:rsidRPr="00E82C77">
        <w:rPr>
          <w:sz w:val="24"/>
          <w:szCs w:val="24"/>
          <w:lang w:val="en-GB"/>
        </w:rPr>
        <w:t>6 months</w:t>
      </w:r>
      <w:r w:rsidR="00FB261A">
        <w:rPr>
          <w:sz w:val="24"/>
          <w:szCs w:val="24"/>
          <w:lang w:val="en-GB"/>
        </w:rPr>
        <w:t xml:space="preserve"> </w:t>
      </w:r>
      <w:r>
        <w:rPr>
          <w:sz w:val="24"/>
          <w:szCs w:val="24"/>
          <w:lang w:val="en-GB"/>
        </w:rPr>
        <w:t xml:space="preserve">following the last dose of </w:t>
      </w:r>
      <w:proofErr w:type="spellStart"/>
      <w:r>
        <w:rPr>
          <w:sz w:val="24"/>
        </w:rPr>
        <w:t>panitumumab</w:t>
      </w:r>
      <w:proofErr w:type="spellEnd"/>
      <w:r>
        <w:rPr>
          <w:sz w:val="24"/>
        </w:rPr>
        <w:t xml:space="preserve">. </w:t>
      </w:r>
      <w:r w:rsidR="00864E4B">
        <w:rPr>
          <w:sz w:val="24"/>
        </w:rPr>
        <w:t xml:space="preserve"> </w:t>
      </w:r>
      <w:r>
        <w:rPr>
          <w:sz w:val="24"/>
        </w:rPr>
        <w:t xml:space="preserve">If </w:t>
      </w:r>
      <w:proofErr w:type="spellStart"/>
      <w:r>
        <w:rPr>
          <w:sz w:val="24"/>
        </w:rPr>
        <w:t>panitumumab</w:t>
      </w:r>
      <w:proofErr w:type="spellEnd"/>
      <w:r>
        <w:rPr>
          <w:sz w:val="24"/>
        </w:rPr>
        <w:t xml:space="preserve"> is used during pregnancy or if the patient becomes pregnant while receiving this drug, she should be </w:t>
      </w:r>
      <w:r w:rsidR="00CF0D24" w:rsidRPr="00F6078F">
        <w:rPr>
          <w:sz w:val="24"/>
        </w:rPr>
        <w:t>aware</w:t>
      </w:r>
      <w:r>
        <w:rPr>
          <w:sz w:val="24"/>
        </w:rPr>
        <w:t xml:space="preserve"> of the potential risk for loss of the pregnancy or potential hazard to the </w:t>
      </w:r>
      <w:r w:rsidR="00D77FA3">
        <w:rPr>
          <w:sz w:val="24"/>
          <w:szCs w:val="22"/>
          <w:lang w:val="en-GB"/>
        </w:rPr>
        <w:t>f</w:t>
      </w:r>
      <w:r w:rsidR="00D77FA3" w:rsidRPr="00821191">
        <w:rPr>
          <w:color w:val="000000"/>
          <w:sz w:val="24"/>
          <w:szCs w:val="22"/>
          <w:lang w:val="en-GB"/>
        </w:rPr>
        <w:t>o</w:t>
      </w:r>
      <w:r w:rsidR="00D77FA3">
        <w:rPr>
          <w:sz w:val="24"/>
          <w:szCs w:val="22"/>
          <w:lang w:val="en-GB"/>
        </w:rPr>
        <w:t>etus</w:t>
      </w:r>
      <w:r>
        <w:rPr>
          <w:sz w:val="24"/>
        </w:rPr>
        <w:t>.</w:t>
      </w:r>
      <w:r w:rsidRPr="00F6078F">
        <w:rPr>
          <w:sz w:val="24"/>
        </w:rPr>
        <w:t xml:space="preserve"> </w:t>
      </w:r>
      <w:r w:rsidR="00BE7B3E" w:rsidRPr="00F6078F">
        <w:rPr>
          <w:sz w:val="24"/>
        </w:rPr>
        <w:t xml:space="preserve"> These patients are encouraged to </w:t>
      </w:r>
      <w:proofErr w:type="spellStart"/>
      <w:r w:rsidR="00BE7B3E" w:rsidRPr="00F6078F">
        <w:rPr>
          <w:sz w:val="24"/>
        </w:rPr>
        <w:t>enrol</w:t>
      </w:r>
      <w:proofErr w:type="spellEnd"/>
      <w:r w:rsidR="00BE7B3E" w:rsidRPr="00F6078F">
        <w:rPr>
          <w:sz w:val="24"/>
        </w:rPr>
        <w:t xml:space="preserve"> in Amgen’s Pregnancy Surveillance Program.  Enrolment may be arranged by telephoning Amgen’s Medical Information line on 1800 803 638 (</w:t>
      </w:r>
      <w:proofErr w:type="spellStart"/>
      <w:r w:rsidR="00BE7B3E" w:rsidRPr="00F6078F">
        <w:rPr>
          <w:sz w:val="24"/>
        </w:rPr>
        <w:t>freecall</w:t>
      </w:r>
      <w:proofErr w:type="spellEnd"/>
      <w:r w:rsidR="00BE7B3E" w:rsidRPr="00F6078F">
        <w:rPr>
          <w:sz w:val="24"/>
        </w:rPr>
        <w:t xml:space="preserve"> within </w:t>
      </w:r>
      <w:smartTag w:uri="urn:schemas-microsoft-com:office:smarttags" w:element="country-region">
        <w:smartTag w:uri="urn:schemas-microsoft-com:office:smarttags" w:element="place">
          <w:r w:rsidR="00BE7B3E" w:rsidRPr="00F6078F">
            <w:rPr>
              <w:sz w:val="24"/>
            </w:rPr>
            <w:t>Australia</w:t>
          </w:r>
        </w:smartTag>
      </w:smartTag>
      <w:r w:rsidR="00BE7B3E" w:rsidRPr="00F6078F">
        <w:rPr>
          <w:sz w:val="24"/>
        </w:rPr>
        <w:t>).</w:t>
      </w:r>
    </w:p>
    <w:p w:rsidR="00474AEA" w:rsidRDefault="00474AEA">
      <w:pPr>
        <w:rPr>
          <w:sz w:val="24"/>
        </w:rPr>
      </w:pPr>
    </w:p>
    <w:p w:rsidR="00AA7FFD" w:rsidRDefault="00AA7FFD">
      <w:pPr>
        <w:pStyle w:val="Heading2"/>
        <w:spacing w:after="0" w:line="240" w:lineRule="auto"/>
        <w:rPr>
          <w:rFonts w:ascii="Times New Roman" w:hAnsi="Times New Roman"/>
          <w:sz w:val="24"/>
        </w:rPr>
      </w:pPr>
      <w:r>
        <w:rPr>
          <w:rFonts w:ascii="Times New Roman" w:hAnsi="Times New Roman"/>
          <w:sz w:val="24"/>
        </w:rPr>
        <w:t>Use in Lactation</w:t>
      </w:r>
    </w:p>
    <w:p w:rsidR="00AA7FFD" w:rsidRDefault="00AA7FFD">
      <w:pPr>
        <w:pStyle w:val="Text"/>
        <w:spacing w:after="0" w:line="240" w:lineRule="auto"/>
        <w:rPr>
          <w:rFonts w:ascii="Times New Roman" w:hAnsi="Times New Roman"/>
          <w:sz w:val="24"/>
        </w:rPr>
      </w:pPr>
      <w:r>
        <w:rPr>
          <w:rFonts w:ascii="Times New Roman" w:hAnsi="Times New Roman"/>
          <w:sz w:val="24"/>
        </w:rPr>
        <w:t>Studies have no</w:t>
      </w:r>
      <w:r w:rsidR="000920BA">
        <w:rPr>
          <w:rFonts w:ascii="Times New Roman" w:hAnsi="Times New Roman"/>
          <w:sz w:val="24"/>
        </w:rPr>
        <w:t xml:space="preserve">t been conducted to assess the </w:t>
      </w:r>
      <w:r w:rsidR="0049743A">
        <w:rPr>
          <w:rFonts w:ascii="Times New Roman" w:hAnsi="Times New Roman"/>
          <w:sz w:val="24"/>
        </w:rPr>
        <w:t>excretion</w:t>
      </w:r>
      <w:r>
        <w:rPr>
          <w:rFonts w:ascii="Times New Roman" w:hAnsi="Times New Roman"/>
          <w:sz w:val="24"/>
        </w:rPr>
        <w:t xml:space="preserve"> of </w:t>
      </w:r>
      <w:proofErr w:type="spellStart"/>
      <w:r>
        <w:rPr>
          <w:rFonts w:ascii="Times New Roman" w:hAnsi="Times New Roman"/>
          <w:sz w:val="24"/>
        </w:rPr>
        <w:t>panitumumab</w:t>
      </w:r>
      <w:proofErr w:type="spellEnd"/>
      <w:r>
        <w:rPr>
          <w:rFonts w:ascii="Times New Roman" w:hAnsi="Times New Roman"/>
          <w:sz w:val="24"/>
        </w:rPr>
        <w:t xml:space="preserve"> in human milk.  Because human </w:t>
      </w:r>
      <w:proofErr w:type="spellStart"/>
      <w:r>
        <w:rPr>
          <w:rFonts w:ascii="Times New Roman" w:hAnsi="Times New Roman"/>
          <w:sz w:val="24"/>
        </w:rPr>
        <w:t>IgG</w:t>
      </w:r>
      <w:proofErr w:type="spellEnd"/>
      <w:r>
        <w:rPr>
          <w:rFonts w:ascii="Times New Roman" w:hAnsi="Times New Roman"/>
          <w:sz w:val="24"/>
        </w:rPr>
        <w:t xml:space="preserve"> is </w:t>
      </w:r>
      <w:r w:rsidR="0049743A">
        <w:rPr>
          <w:rFonts w:ascii="Times New Roman" w:hAnsi="Times New Roman"/>
          <w:sz w:val="24"/>
        </w:rPr>
        <w:t>excreted</w:t>
      </w:r>
      <w:r>
        <w:rPr>
          <w:rFonts w:ascii="Times New Roman" w:hAnsi="Times New Roman"/>
          <w:sz w:val="24"/>
        </w:rPr>
        <w:t xml:space="preserve"> into human milk, </w:t>
      </w:r>
      <w:r w:rsidR="0049743A">
        <w:rPr>
          <w:rFonts w:ascii="Times New Roman" w:hAnsi="Times New Roman"/>
          <w:sz w:val="24"/>
        </w:rPr>
        <w:t>and because of t</w:t>
      </w:r>
      <w:r>
        <w:rPr>
          <w:rFonts w:ascii="Times New Roman" w:hAnsi="Times New Roman"/>
          <w:sz w:val="24"/>
        </w:rPr>
        <w:t>he potential for</w:t>
      </w:r>
      <w:r w:rsidR="0049743A">
        <w:rPr>
          <w:rFonts w:ascii="Times New Roman" w:hAnsi="Times New Roman"/>
          <w:sz w:val="24"/>
        </w:rPr>
        <w:t xml:space="preserve"> adverse reactions in infants,</w:t>
      </w:r>
      <w:r>
        <w:rPr>
          <w:rFonts w:ascii="Times New Roman" w:hAnsi="Times New Roman"/>
          <w:sz w:val="24"/>
        </w:rPr>
        <w:t xml:space="preserve"> </w:t>
      </w:r>
      <w:r w:rsidR="0049743A">
        <w:rPr>
          <w:rFonts w:ascii="Times New Roman" w:hAnsi="Times New Roman"/>
          <w:sz w:val="24"/>
        </w:rPr>
        <w:t>w</w:t>
      </w:r>
      <w:r>
        <w:rPr>
          <w:rFonts w:ascii="Times New Roman" w:hAnsi="Times New Roman"/>
          <w:sz w:val="24"/>
        </w:rPr>
        <w:t xml:space="preserve">omen </w:t>
      </w:r>
      <w:r w:rsidRPr="007114A7">
        <w:rPr>
          <w:rFonts w:ascii="Times New Roman" w:hAnsi="Times New Roman"/>
          <w:sz w:val="24"/>
        </w:rPr>
        <w:t xml:space="preserve">must be advised to discontinue </w:t>
      </w:r>
      <w:r w:rsidR="0049743A" w:rsidRPr="007114A7">
        <w:rPr>
          <w:rFonts w:ascii="Times New Roman" w:hAnsi="Times New Roman"/>
          <w:sz w:val="24"/>
        </w:rPr>
        <w:t xml:space="preserve">breast-feeding </w:t>
      </w:r>
      <w:r w:rsidRPr="007114A7">
        <w:rPr>
          <w:rFonts w:ascii="Times New Roman" w:hAnsi="Times New Roman"/>
          <w:sz w:val="24"/>
        </w:rPr>
        <w:t xml:space="preserve">during treatment with </w:t>
      </w:r>
      <w:proofErr w:type="spellStart"/>
      <w:r w:rsidRPr="007114A7">
        <w:rPr>
          <w:rFonts w:ascii="Times New Roman" w:hAnsi="Times New Roman"/>
          <w:sz w:val="24"/>
        </w:rPr>
        <w:t>panitumumab</w:t>
      </w:r>
      <w:proofErr w:type="spellEnd"/>
      <w:r w:rsidRPr="007114A7">
        <w:rPr>
          <w:rFonts w:ascii="Times New Roman" w:hAnsi="Times New Roman"/>
          <w:sz w:val="24"/>
        </w:rPr>
        <w:t xml:space="preserve"> and for</w:t>
      </w:r>
      <w:r w:rsidR="00FB261A">
        <w:rPr>
          <w:rFonts w:ascii="Times New Roman" w:hAnsi="Times New Roman"/>
          <w:sz w:val="24"/>
        </w:rPr>
        <w:t xml:space="preserve"> 8 weeks </w:t>
      </w:r>
      <w:r w:rsidRPr="007114A7">
        <w:rPr>
          <w:rFonts w:ascii="Times New Roman" w:hAnsi="Times New Roman"/>
          <w:sz w:val="24"/>
        </w:rPr>
        <w:t xml:space="preserve">after the last dose of </w:t>
      </w:r>
      <w:proofErr w:type="spellStart"/>
      <w:r w:rsidRPr="007114A7">
        <w:rPr>
          <w:rFonts w:ascii="Times New Roman" w:hAnsi="Times New Roman"/>
          <w:sz w:val="24"/>
        </w:rPr>
        <w:t>panitumumab</w:t>
      </w:r>
      <w:proofErr w:type="spellEnd"/>
      <w:r w:rsidRPr="007114A7">
        <w:rPr>
          <w:rFonts w:ascii="Times New Roman" w:hAnsi="Times New Roman"/>
          <w:sz w:val="24"/>
        </w:rPr>
        <w:t>.</w:t>
      </w:r>
    </w:p>
    <w:p w:rsidR="00AA7FFD" w:rsidRPr="004B21C3" w:rsidRDefault="00AA7FFD">
      <w:pPr>
        <w:pStyle w:val="Text"/>
        <w:spacing w:after="0" w:line="240" w:lineRule="auto"/>
        <w:rPr>
          <w:rFonts w:ascii="Times New Roman" w:hAnsi="Times New Roman"/>
          <w:b/>
          <w:bCs/>
          <w:color w:val="000000"/>
          <w:sz w:val="24"/>
        </w:rPr>
      </w:pPr>
    </w:p>
    <w:p w:rsidR="00AA7FFD" w:rsidRDefault="00AA7FFD">
      <w:pPr>
        <w:pStyle w:val="Heading2"/>
        <w:spacing w:after="0" w:line="240" w:lineRule="auto"/>
        <w:rPr>
          <w:rFonts w:ascii="Times New Roman" w:hAnsi="Times New Roman"/>
          <w:sz w:val="24"/>
        </w:rPr>
      </w:pPr>
      <w:r>
        <w:rPr>
          <w:rFonts w:ascii="Times New Roman" w:hAnsi="Times New Roman"/>
          <w:sz w:val="24"/>
        </w:rPr>
        <w:t>Paediatric Use</w:t>
      </w:r>
    </w:p>
    <w:p w:rsidR="00AA7FFD" w:rsidRDefault="00AA7FFD">
      <w:pPr>
        <w:pStyle w:val="Text"/>
        <w:spacing w:after="0" w:line="240" w:lineRule="auto"/>
        <w:rPr>
          <w:rFonts w:ascii="Times New Roman" w:hAnsi="Times New Roman"/>
          <w:sz w:val="24"/>
        </w:rPr>
      </w:pPr>
      <w:r>
        <w:rPr>
          <w:rFonts w:ascii="Times New Roman" w:hAnsi="Times New Roman"/>
          <w:sz w:val="24"/>
        </w:rPr>
        <w:t xml:space="preserve">The safety and effectiveness of </w:t>
      </w:r>
      <w:proofErr w:type="spellStart"/>
      <w:r>
        <w:rPr>
          <w:rFonts w:ascii="Times New Roman" w:hAnsi="Times New Roman"/>
          <w:sz w:val="24"/>
        </w:rPr>
        <w:t>panitumumab</w:t>
      </w:r>
      <w:proofErr w:type="spellEnd"/>
      <w:r>
        <w:rPr>
          <w:rFonts w:ascii="Times New Roman" w:hAnsi="Times New Roman"/>
          <w:sz w:val="24"/>
        </w:rPr>
        <w:t xml:space="preserve"> in paediatric patients have not been established.</w:t>
      </w:r>
    </w:p>
    <w:p w:rsidR="00AA7FFD" w:rsidRDefault="00AA7FFD">
      <w:pPr>
        <w:pStyle w:val="Text"/>
        <w:spacing w:after="0" w:line="240" w:lineRule="auto"/>
        <w:rPr>
          <w:rFonts w:ascii="Times New Roman" w:hAnsi="Times New Roman"/>
          <w:sz w:val="24"/>
        </w:rPr>
      </w:pPr>
    </w:p>
    <w:p w:rsidR="00AA7FFD" w:rsidRPr="00821191" w:rsidRDefault="00AA7FFD">
      <w:pPr>
        <w:pStyle w:val="Heading2"/>
        <w:spacing w:after="0" w:line="240" w:lineRule="auto"/>
        <w:rPr>
          <w:rFonts w:ascii="Times New Roman" w:hAnsi="Times New Roman"/>
          <w:color w:val="000000"/>
          <w:sz w:val="24"/>
        </w:rPr>
      </w:pPr>
      <w:bookmarkStart w:id="7" w:name="_Geriatric_Use"/>
      <w:bookmarkEnd w:id="7"/>
      <w:r w:rsidRPr="00821191">
        <w:rPr>
          <w:rFonts w:ascii="Times New Roman" w:hAnsi="Times New Roman"/>
          <w:color w:val="000000"/>
          <w:sz w:val="24"/>
        </w:rPr>
        <w:t>Use</w:t>
      </w:r>
      <w:r w:rsidR="00D77FA3" w:rsidRPr="00821191">
        <w:rPr>
          <w:rFonts w:ascii="Times New Roman" w:hAnsi="Times New Roman"/>
          <w:color w:val="000000"/>
          <w:sz w:val="24"/>
        </w:rPr>
        <w:t xml:space="preserve"> in the Elderly</w:t>
      </w:r>
    </w:p>
    <w:p w:rsidR="00AB5D29" w:rsidRPr="00AB5D29" w:rsidRDefault="00AB5D29" w:rsidP="00AB5D29">
      <w:pPr>
        <w:pStyle w:val="Text"/>
        <w:spacing w:after="0" w:line="240" w:lineRule="auto"/>
        <w:rPr>
          <w:rFonts w:ascii="Times New Roman" w:hAnsi="Times New Roman"/>
          <w:sz w:val="24"/>
        </w:rPr>
      </w:pPr>
      <w:r w:rsidRPr="00AB5D29">
        <w:rPr>
          <w:rFonts w:ascii="Times New Roman" w:hAnsi="Times New Roman"/>
          <w:sz w:val="24"/>
        </w:rPr>
        <w:t xml:space="preserve">No overall differences in efficacy or safety were observed in elderly patients (aged </w:t>
      </w:r>
      <w:r w:rsidRPr="00AB5D29">
        <w:rPr>
          <w:rFonts w:ascii="Times New Roman" w:hAnsi="Times New Roman"/>
          <w:sz w:val="24"/>
        </w:rPr>
        <w:sym w:font="Symbol" w:char="F0B3"/>
      </w:r>
      <w:r>
        <w:rPr>
          <w:rFonts w:ascii="Times New Roman" w:hAnsi="Times New Roman"/>
          <w:sz w:val="24"/>
        </w:rPr>
        <w:t xml:space="preserve"> 65 </w:t>
      </w:r>
      <w:r w:rsidRPr="00AB5D29">
        <w:rPr>
          <w:rFonts w:ascii="Times New Roman" w:hAnsi="Times New Roman"/>
          <w:sz w:val="24"/>
        </w:rPr>
        <w:t xml:space="preserve">years) and younger patients treated with </w:t>
      </w:r>
      <w:proofErr w:type="spellStart"/>
      <w:r w:rsidRPr="00AB5D29">
        <w:rPr>
          <w:rFonts w:ascii="Times New Roman" w:hAnsi="Times New Roman"/>
          <w:sz w:val="24"/>
        </w:rPr>
        <w:t>Vectibix</w:t>
      </w:r>
      <w:proofErr w:type="spellEnd"/>
      <w:r w:rsidRPr="00AB5D29">
        <w:rPr>
          <w:rFonts w:ascii="Times New Roman" w:hAnsi="Times New Roman"/>
          <w:sz w:val="24"/>
        </w:rPr>
        <w:t xml:space="preserve"> </w:t>
      </w:r>
      <w:proofErr w:type="spellStart"/>
      <w:r w:rsidRPr="00AB5D29">
        <w:rPr>
          <w:rFonts w:ascii="Times New Roman" w:hAnsi="Times New Roman"/>
          <w:sz w:val="24"/>
        </w:rPr>
        <w:t>monotherapy</w:t>
      </w:r>
      <w:proofErr w:type="spellEnd"/>
      <w:r w:rsidRPr="00AB5D29">
        <w:rPr>
          <w:rFonts w:ascii="Times New Roman" w:hAnsi="Times New Roman"/>
          <w:sz w:val="24"/>
        </w:rPr>
        <w:t xml:space="preserve">.  However, an increased number of serious adverse events were reported in elderly patients treated with </w:t>
      </w:r>
      <w:proofErr w:type="spellStart"/>
      <w:r w:rsidRPr="00AB5D29">
        <w:rPr>
          <w:rFonts w:ascii="Times New Roman" w:hAnsi="Times New Roman"/>
          <w:sz w:val="24"/>
        </w:rPr>
        <w:t>Vectibix</w:t>
      </w:r>
      <w:proofErr w:type="spellEnd"/>
      <w:r w:rsidRPr="00AB5D29">
        <w:rPr>
          <w:rFonts w:ascii="Times New Roman" w:hAnsi="Times New Roman"/>
          <w:sz w:val="24"/>
        </w:rPr>
        <w:t xml:space="preserve"> in combination with </w:t>
      </w:r>
      <w:r w:rsidR="00C0043F" w:rsidRPr="001F5C27">
        <w:rPr>
          <w:rFonts w:ascii="Times New Roman" w:hAnsi="Times New Roman"/>
          <w:sz w:val="24"/>
        </w:rPr>
        <w:t xml:space="preserve">FOLFOX </w:t>
      </w:r>
      <w:r w:rsidRPr="00AB5D29">
        <w:rPr>
          <w:rFonts w:ascii="Times New Roman" w:hAnsi="Times New Roman"/>
          <w:sz w:val="24"/>
        </w:rPr>
        <w:t xml:space="preserve">or </w:t>
      </w:r>
      <w:r w:rsidR="00C0043F" w:rsidRPr="001F5C27">
        <w:rPr>
          <w:rFonts w:ascii="Times New Roman" w:hAnsi="Times New Roman"/>
          <w:sz w:val="24"/>
        </w:rPr>
        <w:t xml:space="preserve">FOLFIRI </w:t>
      </w:r>
      <w:r w:rsidRPr="00AB5D29">
        <w:rPr>
          <w:rFonts w:ascii="Times New Roman" w:hAnsi="Times New Roman"/>
          <w:sz w:val="24"/>
        </w:rPr>
        <w:t>chemotherapy compared to chemotherapy alone</w:t>
      </w:r>
      <w:r w:rsidR="00194373">
        <w:rPr>
          <w:rFonts w:ascii="Times New Roman" w:hAnsi="Times New Roman"/>
          <w:sz w:val="24"/>
        </w:rPr>
        <w:t>.</w:t>
      </w:r>
      <w:r w:rsidR="00194373" w:rsidRPr="00782806">
        <w:rPr>
          <w:rFonts w:ascii="Times New Roman" w:hAnsi="Times New Roman"/>
          <w:i/>
          <w:iCs/>
          <w:sz w:val="24"/>
        </w:rPr>
        <w:t>*</w:t>
      </w:r>
    </w:p>
    <w:p w:rsidR="008A3254" w:rsidRDefault="008A3254" w:rsidP="00000BBF">
      <w:pPr>
        <w:pStyle w:val="Text"/>
        <w:spacing w:after="0" w:line="240" w:lineRule="auto"/>
        <w:rPr>
          <w:rFonts w:ascii="Times New Roman" w:hAnsi="Times New Roman"/>
          <w:sz w:val="24"/>
        </w:rPr>
      </w:pPr>
    </w:p>
    <w:p w:rsidR="00D77FA3" w:rsidRPr="00D77FA3" w:rsidRDefault="00D77FA3" w:rsidP="00D77FA3">
      <w:pPr>
        <w:pStyle w:val="Heading2"/>
        <w:spacing w:after="0" w:line="240" w:lineRule="auto"/>
        <w:rPr>
          <w:rFonts w:ascii="Times New Roman" w:hAnsi="Times New Roman"/>
          <w:sz w:val="24"/>
        </w:rPr>
      </w:pPr>
      <w:r w:rsidRPr="00D77FA3">
        <w:rPr>
          <w:rFonts w:ascii="Times New Roman" w:hAnsi="Times New Roman"/>
          <w:sz w:val="24"/>
        </w:rPr>
        <w:t>Carcinogenicity</w:t>
      </w:r>
    </w:p>
    <w:p w:rsidR="00D77FA3" w:rsidRDefault="00D77FA3" w:rsidP="00D77FA3">
      <w:pPr>
        <w:pStyle w:val="Text"/>
        <w:spacing w:after="0" w:line="240" w:lineRule="auto"/>
        <w:rPr>
          <w:rFonts w:ascii="Times New Roman" w:hAnsi="Times New Roman"/>
          <w:sz w:val="24"/>
        </w:rPr>
      </w:pPr>
      <w:r>
        <w:rPr>
          <w:rFonts w:ascii="Times New Roman" w:hAnsi="Times New Roman"/>
          <w:sz w:val="24"/>
        </w:rPr>
        <w:t xml:space="preserve">The carcinogenic potential of </w:t>
      </w:r>
      <w:proofErr w:type="spellStart"/>
      <w:r>
        <w:rPr>
          <w:rFonts w:ascii="Times New Roman" w:hAnsi="Times New Roman"/>
          <w:sz w:val="24"/>
        </w:rPr>
        <w:t>panitumumab</w:t>
      </w:r>
      <w:proofErr w:type="spellEnd"/>
      <w:r>
        <w:rPr>
          <w:rFonts w:ascii="Times New Roman" w:hAnsi="Times New Roman"/>
          <w:sz w:val="24"/>
        </w:rPr>
        <w:t xml:space="preserve"> has not been evaluated.</w:t>
      </w:r>
    </w:p>
    <w:p w:rsidR="00D77FA3" w:rsidRDefault="00D77FA3" w:rsidP="00D77FA3">
      <w:pPr>
        <w:pStyle w:val="Text"/>
        <w:spacing w:after="0" w:line="240" w:lineRule="auto"/>
        <w:rPr>
          <w:rFonts w:ascii="Times New Roman" w:hAnsi="Times New Roman"/>
          <w:sz w:val="24"/>
        </w:rPr>
      </w:pPr>
    </w:p>
    <w:p w:rsidR="00D77FA3" w:rsidRPr="00D77FA3" w:rsidRDefault="00D77FA3" w:rsidP="00D77FA3">
      <w:pPr>
        <w:pStyle w:val="Heading2"/>
        <w:spacing w:after="0" w:line="240" w:lineRule="auto"/>
        <w:rPr>
          <w:rFonts w:ascii="Times New Roman" w:hAnsi="Times New Roman"/>
          <w:sz w:val="24"/>
        </w:rPr>
      </w:pPr>
      <w:proofErr w:type="spellStart"/>
      <w:r w:rsidRPr="00D77FA3">
        <w:rPr>
          <w:rFonts w:ascii="Times New Roman" w:hAnsi="Times New Roman"/>
          <w:sz w:val="24"/>
        </w:rPr>
        <w:t>Genotoxicity</w:t>
      </w:r>
      <w:proofErr w:type="spellEnd"/>
    </w:p>
    <w:p w:rsidR="00D77FA3" w:rsidRDefault="00D77FA3" w:rsidP="00D77FA3">
      <w:pPr>
        <w:pStyle w:val="Text"/>
        <w:spacing w:after="0" w:line="240" w:lineRule="auto"/>
        <w:rPr>
          <w:rFonts w:ascii="Times New Roman" w:hAnsi="Times New Roman"/>
          <w:sz w:val="24"/>
        </w:rPr>
      </w:pPr>
      <w:r>
        <w:rPr>
          <w:rFonts w:ascii="Times New Roman" w:hAnsi="Times New Roman"/>
          <w:sz w:val="24"/>
        </w:rPr>
        <w:t xml:space="preserve">The </w:t>
      </w:r>
      <w:proofErr w:type="spellStart"/>
      <w:r>
        <w:rPr>
          <w:rFonts w:ascii="Times New Roman" w:hAnsi="Times New Roman"/>
          <w:sz w:val="24"/>
        </w:rPr>
        <w:t>genotoxic</w:t>
      </w:r>
      <w:proofErr w:type="spellEnd"/>
      <w:r>
        <w:rPr>
          <w:rFonts w:ascii="Times New Roman" w:hAnsi="Times New Roman"/>
          <w:sz w:val="24"/>
        </w:rPr>
        <w:t xml:space="preserve"> potential of </w:t>
      </w:r>
      <w:proofErr w:type="spellStart"/>
      <w:r>
        <w:rPr>
          <w:rFonts w:ascii="Times New Roman" w:hAnsi="Times New Roman"/>
          <w:sz w:val="24"/>
        </w:rPr>
        <w:t>panitumumab</w:t>
      </w:r>
      <w:proofErr w:type="spellEnd"/>
      <w:r>
        <w:rPr>
          <w:rFonts w:ascii="Times New Roman" w:hAnsi="Times New Roman"/>
          <w:sz w:val="24"/>
        </w:rPr>
        <w:t xml:space="preserve"> has not been evaluated</w:t>
      </w:r>
      <w:r w:rsidRPr="00F6078F">
        <w:rPr>
          <w:rFonts w:ascii="Times New Roman" w:hAnsi="Times New Roman"/>
          <w:sz w:val="24"/>
        </w:rPr>
        <w:t xml:space="preserve"> </w:t>
      </w:r>
      <w:r w:rsidR="00CF0D24" w:rsidRPr="00F6078F">
        <w:rPr>
          <w:rFonts w:ascii="Times New Roman" w:hAnsi="Times New Roman"/>
          <w:sz w:val="24"/>
        </w:rPr>
        <w:t>in vitro</w:t>
      </w:r>
      <w:r w:rsidRPr="00F6078F">
        <w:rPr>
          <w:rFonts w:ascii="Times New Roman" w:hAnsi="Times New Roman"/>
          <w:sz w:val="24"/>
        </w:rPr>
        <w:t xml:space="preserve"> or </w:t>
      </w:r>
      <w:r w:rsidR="00CF0D24" w:rsidRPr="00F6078F">
        <w:rPr>
          <w:rFonts w:ascii="Times New Roman" w:hAnsi="Times New Roman"/>
          <w:sz w:val="24"/>
        </w:rPr>
        <w:t>in vivo.</w:t>
      </w:r>
    </w:p>
    <w:p w:rsidR="00D77FA3" w:rsidRDefault="00D77FA3" w:rsidP="00D77FA3">
      <w:pPr>
        <w:pStyle w:val="Text"/>
        <w:spacing w:after="0" w:line="240" w:lineRule="auto"/>
        <w:rPr>
          <w:rFonts w:ascii="Times New Roman" w:hAnsi="Times New Roman"/>
          <w:sz w:val="24"/>
        </w:rPr>
      </w:pPr>
    </w:p>
    <w:p w:rsidR="00D77FA3" w:rsidRPr="00821191" w:rsidRDefault="00D77FA3" w:rsidP="00D77FA3">
      <w:pPr>
        <w:pStyle w:val="Heading2"/>
        <w:spacing w:after="0" w:line="240" w:lineRule="auto"/>
        <w:rPr>
          <w:rFonts w:ascii="Times New Roman" w:hAnsi="Times New Roman"/>
          <w:color w:val="000000"/>
          <w:sz w:val="24"/>
        </w:rPr>
      </w:pPr>
      <w:r w:rsidRPr="00821191">
        <w:rPr>
          <w:rFonts w:ascii="Times New Roman" w:hAnsi="Times New Roman"/>
          <w:color w:val="000000"/>
          <w:sz w:val="24"/>
        </w:rPr>
        <w:lastRenderedPageBreak/>
        <w:t>Interactions with Other Medicines</w:t>
      </w:r>
    </w:p>
    <w:p w:rsidR="00DC3DEE" w:rsidRPr="00F6078F" w:rsidRDefault="00FB261A" w:rsidP="00FB261A">
      <w:pPr>
        <w:pStyle w:val="Text"/>
        <w:spacing w:after="0" w:line="240" w:lineRule="auto"/>
        <w:rPr>
          <w:rFonts w:ascii="Times New Roman" w:hAnsi="Times New Roman"/>
          <w:bCs/>
          <w:sz w:val="24"/>
        </w:rPr>
      </w:pPr>
      <w:r w:rsidRPr="00F6078F">
        <w:rPr>
          <w:rFonts w:ascii="Times New Roman" w:hAnsi="Times New Roman"/>
          <w:bCs/>
          <w:sz w:val="24"/>
        </w:rPr>
        <w:t>Data from a</w:t>
      </w:r>
      <w:r w:rsidR="00DC3DEE" w:rsidRPr="00F6078F">
        <w:rPr>
          <w:rFonts w:ascii="Times New Roman" w:hAnsi="Times New Roman"/>
          <w:bCs/>
          <w:sz w:val="24"/>
        </w:rPr>
        <w:t xml:space="preserve"> drug-drug </w:t>
      </w:r>
      <w:r w:rsidRPr="00F6078F">
        <w:rPr>
          <w:rFonts w:ascii="Times New Roman" w:hAnsi="Times New Roman"/>
          <w:bCs/>
          <w:sz w:val="24"/>
        </w:rPr>
        <w:t xml:space="preserve">interaction study involving </w:t>
      </w:r>
      <w:proofErr w:type="spellStart"/>
      <w:r w:rsidR="00B10D64" w:rsidRPr="00F6078F">
        <w:rPr>
          <w:rFonts w:ascii="Times New Roman" w:hAnsi="Times New Roman"/>
          <w:sz w:val="24"/>
        </w:rPr>
        <w:t>panitumumab</w:t>
      </w:r>
      <w:proofErr w:type="spellEnd"/>
      <w:r w:rsidR="00B10D64" w:rsidRPr="00F6078F">
        <w:rPr>
          <w:rFonts w:ascii="Times New Roman" w:hAnsi="Times New Roman"/>
          <w:bCs/>
          <w:sz w:val="24"/>
        </w:rPr>
        <w:t xml:space="preserve"> </w:t>
      </w:r>
      <w:r w:rsidRPr="00F6078F">
        <w:rPr>
          <w:rFonts w:ascii="Times New Roman" w:hAnsi="Times New Roman"/>
          <w:bCs/>
          <w:sz w:val="24"/>
        </w:rPr>
        <w:t xml:space="preserve">and </w:t>
      </w:r>
      <w:proofErr w:type="spellStart"/>
      <w:r w:rsidRPr="00F6078F">
        <w:rPr>
          <w:rFonts w:ascii="Times New Roman" w:hAnsi="Times New Roman"/>
          <w:bCs/>
          <w:sz w:val="24"/>
        </w:rPr>
        <w:t>irinotecan</w:t>
      </w:r>
      <w:proofErr w:type="spellEnd"/>
      <w:r w:rsidRPr="00F6078F">
        <w:rPr>
          <w:rFonts w:ascii="Times New Roman" w:hAnsi="Times New Roman"/>
          <w:bCs/>
          <w:sz w:val="24"/>
        </w:rPr>
        <w:t xml:space="preserve"> in patients with </w:t>
      </w:r>
      <w:proofErr w:type="spellStart"/>
      <w:r w:rsidRPr="00F6078F">
        <w:rPr>
          <w:rFonts w:ascii="Times New Roman" w:hAnsi="Times New Roman"/>
          <w:bCs/>
          <w:sz w:val="24"/>
        </w:rPr>
        <w:t>mCRC</w:t>
      </w:r>
      <w:proofErr w:type="spellEnd"/>
      <w:r w:rsidRPr="00F6078F">
        <w:rPr>
          <w:rFonts w:ascii="Times New Roman" w:hAnsi="Times New Roman"/>
          <w:bCs/>
          <w:sz w:val="24"/>
        </w:rPr>
        <w:t xml:space="preserve"> indicated that the pharmacokinetics of </w:t>
      </w:r>
      <w:proofErr w:type="spellStart"/>
      <w:r w:rsidRPr="00F6078F">
        <w:rPr>
          <w:rFonts w:ascii="Times New Roman" w:hAnsi="Times New Roman"/>
          <w:bCs/>
          <w:sz w:val="24"/>
        </w:rPr>
        <w:t>irinotecan</w:t>
      </w:r>
      <w:proofErr w:type="spellEnd"/>
      <w:r w:rsidRPr="00F6078F">
        <w:rPr>
          <w:rFonts w:ascii="Times New Roman" w:hAnsi="Times New Roman"/>
          <w:bCs/>
          <w:sz w:val="24"/>
        </w:rPr>
        <w:t xml:space="preserve"> and its active metabolite, SN-38, are not altered when the drugs are co-administered. </w:t>
      </w:r>
    </w:p>
    <w:p w:rsidR="00BE7B3E" w:rsidRPr="00F6078F" w:rsidRDefault="00BE7B3E" w:rsidP="00FB261A">
      <w:pPr>
        <w:pStyle w:val="Text"/>
        <w:spacing w:after="0" w:line="240" w:lineRule="auto"/>
        <w:rPr>
          <w:rFonts w:ascii="Times New Roman" w:hAnsi="Times New Roman"/>
          <w:bCs/>
          <w:sz w:val="24"/>
        </w:rPr>
      </w:pPr>
    </w:p>
    <w:p w:rsidR="00FB261A" w:rsidRPr="00F6078F" w:rsidRDefault="00FB261A" w:rsidP="00FB261A">
      <w:pPr>
        <w:pStyle w:val="Text"/>
        <w:spacing w:after="0" w:line="240" w:lineRule="auto"/>
        <w:rPr>
          <w:rFonts w:ascii="Times New Roman" w:hAnsi="Times New Roman"/>
          <w:bCs/>
          <w:sz w:val="24"/>
        </w:rPr>
      </w:pPr>
      <w:r w:rsidRPr="00F6078F">
        <w:rPr>
          <w:rFonts w:ascii="Times New Roman" w:hAnsi="Times New Roman"/>
          <w:bCs/>
          <w:sz w:val="24"/>
        </w:rPr>
        <w:t xml:space="preserve">Results from a cross-study comparison indicated that </w:t>
      </w:r>
      <w:proofErr w:type="spellStart"/>
      <w:r w:rsidRPr="00F6078F">
        <w:rPr>
          <w:rFonts w:ascii="Times New Roman" w:hAnsi="Times New Roman"/>
          <w:bCs/>
          <w:sz w:val="24"/>
        </w:rPr>
        <w:t>irinotecan</w:t>
      </w:r>
      <w:proofErr w:type="spellEnd"/>
      <w:r w:rsidRPr="00F6078F">
        <w:rPr>
          <w:rFonts w:ascii="Times New Roman" w:hAnsi="Times New Roman"/>
          <w:bCs/>
          <w:sz w:val="24"/>
        </w:rPr>
        <w:t xml:space="preserve">-containing regimens (IFL or FOLFIRI) have no effect on the pharmacokinetics of </w:t>
      </w:r>
      <w:proofErr w:type="spellStart"/>
      <w:r w:rsidRPr="00F6078F">
        <w:rPr>
          <w:rFonts w:ascii="Times New Roman" w:hAnsi="Times New Roman"/>
          <w:bCs/>
          <w:sz w:val="24"/>
        </w:rPr>
        <w:t>panitumumab</w:t>
      </w:r>
      <w:proofErr w:type="spellEnd"/>
      <w:r w:rsidRPr="00F6078F">
        <w:rPr>
          <w:rFonts w:ascii="Times New Roman" w:hAnsi="Times New Roman"/>
          <w:bCs/>
          <w:sz w:val="24"/>
        </w:rPr>
        <w:t>.</w:t>
      </w:r>
    </w:p>
    <w:p w:rsidR="000E7F9F" w:rsidRDefault="000E7F9F" w:rsidP="00D77FA3">
      <w:pPr>
        <w:pStyle w:val="Text"/>
        <w:spacing w:after="0" w:line="240" w:lineRule="auto"/>
        <w:rPr>
          <w:rFonts w:ascii="Times New Roman" w:hAnsi="Times New Roman"/>
          <w:sz w:val="24"/>
        </w:rPr>
      </w:pPr>
    </w:p>
    <w:p w:rsidR="00AA7FFD" w:rsidRDefault="00AA7FFD">
      <w:pPr>
        <w:pStyle w:val="Heading2"/>
        <w:spacing w:after="0" w:line="240" w:lineRule="auto"/>
        <w:ind w:right="-130"/>
        <w:rPr>
          <w:rFonts w:ascii="Times New Roman" w:hAnsi="Times New Roman"/>
          <w:sz w:val="24"/>
        </w:rPr>
      </w:pPr>
      <w:r>
        <w:rPr>
          <w:rFonts w:ascii="Times New Roman" w:hAnsi="Times New Roman"/>
          <w:sz w:val="24"/>
        </w:rPr>
        <w:t>Effects on Ability to Drive and Use Machines</w:t>
      </w:r>
    </w:p>
    <w:p w:rsidR="00AA7FFD" w:rsidRPr="00000BBF" w:rsidRDefault="00AA7FFD" w:rsidP="00000BBF">
      <w:pPr>
        <w:pStyle w:val="Text"/>
        <w:spacing w:after="0" w:line="240" w:lineRule="auto"/>
        <w:rPr>
          <w:rFonts w:ascii="Times New Roman" w:hAnsi="Times New Roman"/>
          <w:bCs/>
          <w:sz w:val="24"/>
        </w:rPr>
      </w:pPr>
      <w:r w:rsidRPr="00000BBF">
        <w:rPr>
          <w:rFonts w:ascii="Times New Roman" w:hAnsi="Times New Roman"/>
          <w:bCs/>
          <w:sz w:val="24"/>
        </w:rPr>
        <w:t>None known.</w:t>
      </w:r>
    </w:p>
    <w:p w:rsidR="00AA7FFD" w:rsidRDefault="00AA7FFD">
      <w:pPr>
        <w:rPr>
          <w:sz w:val="24"/>
        </w:rPr>
      </w:pPr>
    </w:p>
    <w:p w:rsidR="00AA7FFD" w:rsidRDefault="00AA7FFD">
      <w:pPr>
        <w:pStyle w:val="Heading1"/>
        <w:ind w:right="-134"/>
      </w:pPr>
      <w:r>
        <w:t xml:space="preserve">ADVERSE </w:t>
      </w:r>
      <w:r w:rsidR="00216803" w:rsidRPr="00821191">
        <w:rPr>
          <w:color w:val="000000"/>
        </w:rPr>
        <w:t>EFFECTS</w:t>
      </w:r>
    </w:p>
    <w:p w:rsidR="00944A55" w:rsidRPr="00F6078F" w:rsidRDefault="00944A55" w:rsidP="00944A55">
      <w:pPr>
        <w:rPr>
          <w:sz w:val="24"/>
          <w:lang w:val="en-AU"/>
        </w:rPr>
      </w:pPr>
      <w:bookmarkStart w:id="8" w:name="_Ref50440236"/>
      <w:r w:rsidRPr="00F6078F">
        <w:rPr>
          <w:sz w:val="24"/>
          <w:lang w:val="en-AU"/>
        </w:rPr>
        <w:t xml:space="preserve">Based on an analysis of all </w:t>
      </w:r>
      <w:proofErr w:type="spellStart"/>
      <w:r w:rsidRPr="00F6078F">
        <w:rPr>
          <w:sz w:val="24"/>
          <w:lang w:val="en-AU"/>
        </w:rPr>
        <w:t>mCRC</w:t>
      </w:r>
      <w:proofErr w:type="spellEnd"/>
      <w:r w:rsidRPr="00F6078F">
        <w:rPr>
          <w:sz w:val="24"/>
          <w:lang w:val="en-AU"/>
        </w:rPr>
        <w:t xml:space="preserve"> clinical trial patients receiving </w:t>
      </w:r>
      <w:proofErr w:type="spellStart"/>
      <w:r w:rsidRPr="00F6078F">
        <w:rPr>
          <w:sz w:val="24"/>
          <w:lang w:val="en-AU"/>
        </w:rPr>
        <w:t>Vectibix</w:t>
      </w:r>
      <w:proofErr w:type="spellEnd"/>
      <w:r w:rsidRPr="00F6078F">
        <w:rPr>
          <w:sz w:val="24"/>
          <w:lang w:val="en-AU"/>
        </w:rPr>
        <w:t xml:space="preserve"> </w:t>
      </w:r>
      <w:proofErr w:type="spellStart"/>
      <w:r w:rsidRPr="00F6078F">
        <w:rPr>
          <w:sz w:val="24"/>
          <w:lang w:val="en-AU"/>
        </w:rPr>
        <w:t>monotherapy</w:t>
      </w:r>
      <w:proofErr w:type="spellEnd"/>
      <w:r w:rsidRPr="00F6078F">
        <w:rPr>
          <w:sz w:val="24"/>
          <w:lang w:val="en-AU"/>
        </w:rPr>
        <w:t xml:space="preserve"> and in </w:t>
      </w:r>
      <w:r w:rsidR="00162E75">
        <w:rPr>
          <w:sz w:val="24"/>
          <w:lang w:val="en-AU"/>
        </w:rPr>
        <w:t>combination with chemotherapy (N</w:t>
      </w:r>
      <w:r w:rsidRPr="00F6078F">
        <w:rPr>
          <w:sz w:val="24"/>
          <w:lang w:val="en-AU"/>
        </w:rPr>
        <w:t xml:space="preserve"> = 2588), </w:t>
      </w:r>
      <w:bookmarkStart w:id="9" w:name="OLE_LINK9"/>
      <w:bookmarkStart w:id="10" w:name="OLE_LINK11"/>
      <w:r w:rsidRPr="00F6078F">
        <w:rPr>
          <w:sz w:val="24"/>
          <w:lang w:val="en-AU"/>
        </w:rPr>
        <w:t xml:space="preserve">the most commonly reported adverse reactions are </w:t>
      </w:r>
      <w:bookmarkEnd w:id="9"/>
      <w:bookmarkEnd w:id="10"/>
      <w:r w:rsidRPr="00F6078F">
        <w:rPr>
          <w:sz w:val="24"/>
          <w:lang w:val="en-AU"/>
        </w:rPr>
        <w:t xml:space="preserve">skin reactions occurring in 93% of patients. </w:t>
      </w:r>
      <w:r w:rsidR="006355E2" w:rsidRPr="00F6078F">
        <w:rPr>
          <w:sz w:val="24"/>
          <w:lang w:val="en-AU"/>
        </w:rPr>
        <w:t xml:space="preserve"> </w:t>
      </w:r>
      <w:r w:rsidRPr="00F6078F">
        <w:rPr>
          <w:sz w:val="24"/>
          <w:lang w:val="en-AU"/>
        </w:rPr>
        <w:t xml:space="preserve">These reactions are related to the pharmacologic effects of </w:t>
      </w:r>
      <w:proofErr w:type="spellStart"/>
      <w:r w:rsidR="009B24E3" w:rsidRPr="00F6078F">
        <w:rPr>
          <w:sz w:val="24"/>
          <w:lang w:val="en-AU"/>
        </w:rPr>
        <w:t>panitumumab</w:t>
      </w:r>
      <w:proofErr w:type="spellEnd"/>
      <w:r w:rsidRPr="00F6078F">
        <w:rPr>
          <w:sz w:val="24"/>
          <w:lang w:val="en-AU"/>
        </w:rPr>
        <w:t>, and the majority are mild to moderate in nature with 25% severe (grade 3 NCI-CTC) and &lt;</w:t>
      </w:r>
      <w:r w:rsidR="00CF0D24" w:rsidRPr="00F6078F">
        <w:rPr>
          <w:sz w:val="24"/>
          <w:lang w:val="en-AU"/>
        </w:rPr>
        <w:t xml:space="preserve"> </w:t>
      </w:r>
      <w:r w:rsidRPr="00F6078F">
        <w:rPr>
          <w:sz w:val="24"/>
          <w:lang w:val="en-AU"/>
        </w:rPr>
        <w:t xml:space="preserve">1% life threatening (grade 4 NCI-CTC).  </w:t>
      </w:r>
    </w:p>
    <w:p w:rsidR="00D516E7" w:rsidRPr="00F6078F" w:rsidRDefault="00D516E7" w:rsidP="00944A55">
      <w:pPr>
        <w:rPr>
          <w:sz w:val="24"/>
          <w:lang w:val="en-AU"/>
        </w:rPr>
      </w:pPr>
    </w:p>
    <w:p w:rsidR="00944A55" w:rsidRPr="00F6078F" w:rsidRDefault="00944A55" w:rsidP="00944A55">
      <w:pPr>
        <w:rPr>
          <w:sz w:val="24"/>
          <w:lang w:val="en-AU"/>
        </w:rPr>
      </w:pPr>
      <w:r w:rsidRPr="00F6078F">
        <w:rPr>
          <w:sz w:val="24"/>
          <w:lang w:val="en-AU"/>
        </w:rPr>
        <w:t>Commonly reported adverse reactions occurring in ≥ 20% of patients were gastrointestinal disorders [diarrhoea (50%), nausea (41%), vomiting (27%), constipation (23%) and abdominal pain (23%)]; general disorders [fatigue (37%), pyrexia (20%)]; metabolism and nutrition disorders [anorexia (27%)]; infections and infestations [</w:t>
      </w:r>
      <w:proofErr w:type="spellStart"/>
      <w:r w:rsidRPr="00F6078F">
        <w:rPr>
          <w:sz w:val="24"/>
          <w:lang w:val="en-AU"/>
        </w:rPr>
        <w:t>paronychia</w:t>
      </w:r>
      <w:proofErr w:type="spellEnd"/>
      <w:r w:rsidRPr="00F6078F">
        <w:rPr>
          <w:sz w:val="24"/>
          <w:lang w:val="en-AU"/>
        </w:rPr>
        <w:t xml:space="preserve"> (20%)]; and skin and subcutaneous disorders [rash (45%), dermatitis </w:t>
      </w:r>
      <w:proofErr w:type="spellStart"/>
      <w:r w:rsidRPr="00F6078F">
        <w:rPr>
          <w:sz w:val="24"/>
          <w:lang w:val="en-AU"/>
        </w:rPr>
        <w:t>acneiform</w:t>
      </w:r>
      <w:proofErr w:type="spellEnd"/>
      <w:r w:rsidRPr="00F6078F">
        <w:rPr>
          <w:sz w:val="24"/>
          <w:lang w:val="en-AU"/>
        </w:rPr>
        <w:t xml:space="preserve"> (39%), </w:t>
      </w:r>
      <w:proofErr w:type="spellStart"/>
      <w:r w:rsidRPr="00F6078F">
        <w:rPr>
          <w:sz w:val="24"/>
          <w:lang w:val="en-AU"/>
        </w:rPr>
        <w:t>pruritus</w:t>
      </w:r>
      <w:proofErr w:type="spellEnd"/>
      <w:r w:rsidRPr="00F6078F">
        <w:rPr>
          <w:sz w:val="24"/>
          <w:lang w:val="en-AU"/>
        </w:rPr>
        <w:t xml:space="preserve"> (35%), </w:t>
      </w:r>
      <w:proofErr w:type="spellStart"/>
      <w:r w:rsidRPr="00F6078F">
        <w:rPr>
          <w:sz w:val="24"/>
          <w:lang w:val="en-AU"/>
        </w:rPr>
        <w:t>erythema</w:t>
      </w:r>
      <w:proofErr w:type="spellEnd"/>
      <w:r w:rsidRPr="00F6078F">
        <w:rPr>
          <w:sz w:val="24"/>
          <w:lang w:val="en-AU"/>
        </w:rPr>
        <w:t xml:space="preserve"> (30%) and dry skin (22%)].</w:t>
      </w:r>
      <w:r w:rsidR="00B33855" w:rsidRPr="00F6078F">
        <w:rPr>
          <w:sz w:val="24"/>
          <w:lang w:val="en-AU"/>
        </w:rPr>
        <w:t>*</w:t>
      </w:r>
      <w:r w:rsidRPr="00F6078F">
        <w:rPr>
          <w:sz w:val="24"/>
          <w:lang w:val="en-AU"/>
        </w:rPr>
        <w:t xml:space="preserve">  </w:t>
      </w:r>
    </w:p>
    <w:p w:rsidR="00944A55" w:rsidRPr="00F6078F" w:rsidRDefault="00944A55" w:rsidP="00944A55">
      <w:pPr>
        <w:rPr>
          <w:sz w:val="24"/>
          <w:lang w:val="en-AU"/>
        </w:rPr>
      </w:pPr>
    </w:p>
    <w:p w:rsidR="00944A55" w:rsidRPr="00F6078F" w:rsidRDefault="00E4455D" w:rsidP="00944A55">
      <w:pPr>
        <w:ind w:right="-1"/>
        <w:rPr>
          <w:sz w:val="24"/>
          <w:lang w:val="en-AU"/>
        </w:rPr>
      </w:pPr>
      <w:r w:rsidRPr="00F6078F">
        <w:rPr>
          <w:sz w:val="24"/>
          <w:lang w:val="en-AU"/>
        </w:rPr>
        <w:t>The data in table 2</w:t>
      </w:r>
      <w:r w:rsidR="00944A55" w:rsidRPr="00F6078F">
        <w:rPr>
          <w:sz w:val="24"/>
          <w:lang w:val="en-AU"/>
        </w:rPr>
        <w:t xml:space="preserve"> describe adverse reactions reported from clinical studies in patients with </w:t>
      </w:r>
      <w:proofErr w:type="spellStart"/>
      <w:r w:rsidR="00944A55" w:rsidRPr="00F6078F">
        <w:rPr>
          <w:sz w:val="24"/>
          <w:lang w:val="en-AU"/>
        </w:rPr>
        <w:t>mCRC</w:t>
      </w:r>
      <w:proofErr w:type="spellEnd"/>
      <w:r w:rsidR="00944A55" w:rsidRPr="00F6078F">
        <w:rPr>
          <w:sz w:val="24"/>
          <w:lang w:val="en-AU"/>
        </w:rPr>
        <w:t xml:space="preserve"> who received </w:t>
      </w:r>
      <w:proofErr w:type="spellStart"/>
      <w:r w:rsidR="006728AC" w:rsidRPr="00F6078F">
        <w:rPr>
          <w:sz w:val="24"/>
          <w:lang w:val="en-AU"/>
        </w:rPr>
        <w:t>Vectibix</w:t>
      </w:r>
      <w:proofErr w:type="spellEnd"/>
      <w:r w:rsidR="00944A55" w:rsidRPr="00F6078F">
        <w:rPr>
          <w:sz w:val="24"/>
          <w:lang w:val="en-AU"/>
        </w:rPr>
        <w:t xml:space="preserve"> as a single agent or in co</w:t>
      </w:r>
      <w:r w:rsidR="00162E75">
        <w:rPr>
          <w:sz w:val="24"/>
          <w:lang w:val="en-AU"/>
        </w:rPr>
        <w:t>mbination with chemotherapy (N</w:t>
      </w:r>
      <w:r w:rsidRPr="00F6078F">
        <w:rPr>
          <w:sz w:val="24"/>
          <w:lang w:val="en-AU"/>
        </w:rPr>
        <w:t xml:space="preserve"> = </w:t>
      </w:r>
      <w:r w:rsidR="00944A55" w:rsidRPr="00F6078F">
        <w:rPr>
          <w:sz w:val="24"/>
          <w:lang w:val="en-AU"/>
        </w:rPr>
        <w:t xml:space="preserve">2588). </w:t>
      </w:r>
      <w:r w:rsidR="006355E2" w:rsidRPr="00F6078F">
        <w:rPr>
          <w:sz w:val="24"/>
          <w:lang w:val="en-AU"/>
        </w:rPr>
        <w:t xml:space="preserve"> </w:t>
      </w:r>
      <w:r w:rsidR="00944A55" w:rsidRPr="00F6078F">
        <w:rPr>
          <w:sz w:val="24"/>
          <w:lang w:val="en-AU"/>
        </w:rPr>
        <w:t>Within each frequency grouping, undesirable effects are presented in order of decreasing seriousness.</w:t>
      </w:r>
    </w:p>
    <w:p w:rsidR="00CF0D24" w:rsidRPr="00F6078F" w:rsidRDefault="00047771" w:rsidP="00E4455D">
      <w:pPr>
        <w:pStyle w:val="TableCenterBold"/>
      </w:pPr>
      <w:r>
        <w:br w:type="page"/>
      </w:r>
      <w:r w:rsidR="00370981">
        <w:lastRenderedPageBreak/>
        <w:t>Table 3</w:t>
      </w:r>
      <w:r w:rsidR="00E4455D" w:rsidRPr="00F6078F">
        <w:t>.  Incidence of Adverse Reactions in Patients with Metastatic Colorectal Cancer (</w:t>
      </w:r>
      <w:proofErr w:type="spellStart"/>
      <w:r w:rsidR="00E4455D" w:rsidRPr="00F6078F">
        <w:t>Vectibix</w:t>
      </w:r>
      <w:proofErr w:type="spellEnd"/>
      <w:r w:rsidR="00E4455D" w:rsidRPr="00F6078F">
        <w:t xml:space="preserve"> </w:t>
      </w:r>
      <w:proofErr w:type="spellStart"/>
      <w:r w:rsidR="00E4455D" w:rsidRPr="00F6078F">
        <w:t>Monotherapy</w:t>
      </w:r>
      <w:proofErr w:type="spellEnd"/>
      <w:r w:rsidR="00E4455D" w:rsidRPr="00F6078F">
        <w:t xml:space="preserve"> or </w:t>
      </w:r>
      <w:proofErr w:type="spellStart"/>
      <w:r w:rsidR="00E4455D" w:rsidRPr="00F6078F">
        <w:t>Vectibix</w:t>
      </w:r>
      <w:proofErr w:type="spellEnd"/>
      <w:r w:rsidR="00E4455D" w:rsidRPr="00F6078F">
        <w:t xml:space="preserve"> in Combination with Chemotherapy)</w:t>
      </w:r>
      <w:r w:rsidR="0057771B" w:rsidRPr="00F6078F">
        <w:t>*</w:t>
      </w:r>
    </w:p>
    <w:tbl>
      <w:tblPr>
        <w:tblW w:w="8545" w:type="dxa"/>
        <w:tblInd w:w="60" w:type="dxa"/>
        <w:tblLayout w:type="fixed"/>
        <w:tblCellMar>
          <w:left w:w="60" w:type="dxa"/>
          <w:right w:w="60" w:type="dxa"/>
        </w:tblCellMar>
        <w:tblLook w:val="0000"/>
      </w:tblPr>
      <w:tblGrid>
        <w:gridCol w:w="1890"/>
        <w:gridCol w:w="1864"/>
        <w:gridCol w:w="1951"/>
        <w:gridCol w:w="1415"/>
        <w:gridCol w:w="1425"/>
      </w:tblGrid>
      <w:tr w:rsidR="00944A55" w:rsidRPr="00F6078F" w:rsidTr="003A6E2D">
        <w:trPr>
          <w:trHeight w:val="80"/>
          <w:tblHeader/>
        </w:trPr>
        <w:tc>
          <w:tcPr>
            <w:tcW w:w="1890" w:type="dxa"/>
            <w:tcBorders>
              <w:top w:val="single" w:sz="6" w:space="0" w:color="auto"/>
              <w:left w:val="single" w:sz="6" w:space="0" w:color="auto"/>
              <w:right w:val="nil"/>
            </w:tcBorders>
          </w:tcPr>
          <w:p w:rsidR="00944A55" w:rsidRPr="00F6078F" w:rsidRDefault="00944A55" w:rsidP="00850751">
            <w:pPr>
              <w:pStyle w:val="TableText"/>
              <w:rPr>
                <w:strike/>
                <w:color w:val="auto"/>
              </w:rPr>
            </w:pPr>
          </w:p>
        </w:tc>
        <w:tc>
          <w:tcPr>
            <w:tcW w:w="6655" w:type="dxa"/>
            <w:gridSpan w:val="4"/>
            <w:tcBorders>
              <w:top w:val="single" w:sz="6" w:space="0" w:color="auto"/>
              <w:left w:val="single" w:sz="6" w:space="0" w:color="auto"/>
              <w:right w:val="single" w:sz="6" w:space="0" w:color="auto"/>
            </w:tcBorders>
          </w:tcPr>
          <w:p w:rsidR="00944A55" w:rsidRPr="00F6078F" w:rsidRDefault="00944A55" w:rsidP="00850751">
            <w:pPr>
              <w:pStyle w:val="TableText"/>
              <w:jc w:val="center"/>
              <w:rPr>
                <w:rFonts w:ascii="Times New Roman Bold" w:hAnsi="Times New Roman Bold"/>
                <w:b/>
                <w:color w:val="auto"/>
                <w:sz w:val="20"/>
              </w:rPr>
            </w:pPr>
            <w:r w:rsidRPr="00F6078F">
              <w:rPr>
                <w:rFonts w:ascii="Times New Roman Bold" w:hAnsi="Times New Roman Bold"/>
                <w:b/>
                <w:color w:val="auto"/>
                <w:sz w:val="20"/>
              </w:rPr>
              <w:t>Adverse reactions</w:t>
            </w:r>
          </w:p>
        </w:tc>
      </w:tr>
      <w:tr w:rsidR="00944A55" w:rsidRPr="00F6078F" w:rsidTr="003A6E2D">
        <w:trPr>
          <w:trHeight w:val="230"/>
          <w:tblHeader/>
        </w:trPr>
        <w:tc>
          <w:tcPr>
            <w:tcW w:w="1890" w:type="dxa"/>
            <w:tcBorders>
              <w:top w:val="nil"/>
              <w:left w:val="single" w:sz="6" w:space="0" w:color="auto"/>
              <w:bottom w:val="single" w:sz="6" w:space="0" w:color="auto"/>
              <w:right w:val="nil"/>
            </w:tcBorders>
          </w:tcPr>
          <w:p w:rsidR="00944A55" w:rsidRPr="00F6078F" w:rsidRDefault="00944A55" w:rsidP="00D57741">
            <w:pPr>
              <w:adjustRightInd w:val="0"/>
              <w:spacing w:before="20" w:after="20"/>
              <w:jc w:val="center"/>
              <w:rPr>
                <w:b/>
              </w:rPr>
            </w:pPr>
            <w:proofErr w:type="spellStart"/>
            <w:r w:rsidRPr="00F6078F">
              <w:rPr>
                <w:b/>
              </w:rPr>
              <w:t>MedDRA</w:t>
            </w:r>
            <w:proofErr w:type="spellEnd"/>
            <w:r w:rsidRPr="00F6078F">
              <w:rPr>
                <w:b/>
              </w:rPr>
              <w:t xml:space="preserve"> system organ class</w:t>
            </w:r>
          </w:p>
        </w:tc>
        <w:tc>
          <w:tcPr>
            <w:tcW w:w="1864"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jc w:val="center"/>
              <w:rPr>
                <w:b/>
              </w:rPr>
            </w:pPr>
            <w:r w:rsidRPr="00F6078F">
              <w:rPr>
                <w:b/>
              </w:rPr>
              <w:t>Very common</w:t>
            </w:r>
            <w:r w:rsidRPr="00F6078F">
              <w:rPr>
                <w:b/>
              </w:rPr>
              <w:br/>
              <w:t>(≥</w:t>
            </w:r>
            <w:r w:rsidR="007C3358" w:rsidRPr="00F6078F">
              <w:rPr>
                <w:b/>
              </w:rPr>
              <w:t> </w:t>
            </w:r>
            <w:r w:rsidRPr="00F6078F">
              <w:rPr>
                <w:b/>
              </w:rPr>
              <w:t>1/10)</w:t>
            </w:r>
          </w:p>
        </w:tc>
        <w:tc>
          <w:tcPr>
            <w:tcW w:w="1951"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jc w:val="center"/>
              <w:rPr>
                <w:b/>
              </w:rPr>
            </w:pPr>
            <w:r w:rsidRPr="00F6078F">
              <w:rPr>
                <w:b/>
              </w:rPr>
              <w:t>Common</w:t>
            </w:r>
            <w:r w:rsidRPr="00F6078F">
              <w:rPr>
                <w:b/>
              </w:rPr>
              <w:br/>
              <w:t>(≥</w:t>
            </w:r>
            <w:r w:rsidR="007C3358" w:rsidRPr="00F6078F">
              <w:rPr>
                <w:b/>
              </w:rPr>
              <w:t> </w:t>
            </w:r>
            <w:r w:rsidRPr="00F6078F">
              <w:rPr>
                <w:b/>
              </w:rPr>
              <w:t>1/100 to &lt;</w:t>
            </w:r>
            <w:r w:rsidR="007C3358" w:rsidRPr="00F6078F">
              <w:rPr>
                <w:b/>
              </w:rPr>
              <w:t> </w:t>
            </w:r>
            <w:r w:rsidRPr="00F6078F">
              <w:rPr>
                <w:b/>
              </w:rPr>
              <w:t>1/10)</w:t>
            </w:r>
          </w:p>
        </w:tc>
        <w:tc>
          <w:tcPr>
            <w:tcW w:w="1415" w:type="dxa"/>
            <w:tcBorders>
              <w:top w:val="single" w:sz="6" w:space="0" w:color="auto"/>
              <w:left w:val="single" w:sz="6" w:space="0" w:color="auto"/>
              <w:bottom w:val="single" w:sz="6" w:space="0" w:color="auto"/>
              <w:right w:val="nil"/>
            </w:tcBorders>
          </w:tcPr>
          <w:p w:rsidR="00D57741" w:rsidRPr="00F6078F" w:rsidRDefault="00944A55" w:rsidP="00D57741">
            <w:pPr>
              <w:adjustRightInd w:val="0"/>
              <w:spacing w:before="20" w:after="20"/>
              <w:jc w:val="center"/>
              <w:rPr>
                <w:b/>
              </w:rPr>
            </w:pPr>
            <w:r w:rsidRPr="00F6078F">
              <w:rPr>
                <w:b/>
              </w:rPr>
              <w:t>Uncommon</w:t>
            </w:r>
            <w:r w:rsidRPr="00F6078F">
              <w:rPr>
                <w:b/>
              </w:rPr>
              <w:br/>
              <w:t>(≥</w:t>
            </w:r>
            <w:r w:rsidR="00850751" w:rsidRPr="00F6078F">
              <w:rPr>
                <w:b/>
              </w:rPr>
              <w:t xml:space="preserve"> </w:t>
            </w:r>
            <w:r w:rsidRPr="00F6078F">
              <w:rPr>
                <w:b/>
              </w:rPr>
              <w:t xml:space="preserve">1/1000 to </w:t>
            </w:r>
          </w:p>
          <w:p w:rsidR="00944A55" w:rsidRPr="00F6078F" w:rsidRDefault="00944A55" w:rsidP="00D57741">
            <w:pPr>
              <w:adjustRightInd w:val="0"/>
              <w:spacing w:before="20" w:after="20"/>
              <w:jc w:val="center"/>
              <w:rPr>
                <w:b/>
              </w:rPr>
            </w:pPr>
            <w:r w:rsidRPr="00F6078F">
              <w:rPr>
                <w:b/>
              </w:rPr>
              <w:t>&lt;</w:t>
            </w:r>
            <w:r w:rsidR="007C3358" w:rsidRPr="00F6078F">
              <w:rPr>
                <w:b/>
              </w:rPr>
              <w:t> </w:t>
            </w:r>
            <w:r w:rsidRPr="00F6078F">
              <w:rPr>
                <w:b/>
              </w:rPr>
              <w:t>1/100)</w:t>
            </w:r>
          </w:p>
        </w:tc>
        <w:tc>
          <w:tcPr>
            <w:tcW w:w="1425" w:type="dxa"/>
            <w:tcBorders>
              <w:top w:val="single" w:sz="6" w:space="0" w:color="auto"/>
              <w:left w:val="single" w:sz="6" w:space="0" w:color="auto"/>
              <w:bottom w:val="single" w:sz="6" w:space="0" w:color="auto"/>
              <w:right w:val="single" w:sz="6" w:space="0" w:color="auto"/>
            </w:tcBorders>
          </w:tcPr>
          <w:p w:rsidR="00D57741" w:rsidRPr="00F6078F" w:rsidRDefault="00944A55" w:rsidP="00D57741">
            <w:pPr>
              <w:adjustRightInd w:val="0"/>
              <w:spacing w:before="20" w:after="20"/>
              <w:jc w:val="center"/>
              <w:rPr>
                <w:b/>
              </w:rPr>
            </w:pPr>
            <w:r w:rsidRPr="00F6078F">
              <w:rPr>
                <w:b/>
              </w:rPr>
              <w:t>Rare</w:t>
            </w:r>
            <w:r w:rsidRPr="00F6078F">
              <w:rPr>
                <w:b/>
              </w:rPr>
              <w:br/>
              <w:t>(≥</w:t>
            </w:r>
            <w:r w:rsidR="007C3358" w:rsidRPr="00F6078F">
              <w:rPr>
                <w:b/>
              </w:rPr>
              <w:t> </w:t>
            </w:r>
            <w:r w:rsidRPr="00F6078F">
              <w:rPr>
                <w:b/>
              </w:rPr>
              <w:t xml:space="preserve">1/10,000 to </w:t>
            </w:r>
          </w:p>
          <w:p w:rsidR="00944A55" w:rsidRPr="00F6078F" w:rsidRDefault="00944A55" w:rsidP="00D57741">
            <w:pPr>
              <w:adjustRightInd w:val="0"/>
              <w:spacing w:before="20" w:after="20"/>
              <w:jc w:val="center"/>
              <w:rPr>
                <w:b/>
              </w:rPr>
            </w:pPr>
            <w:r w:rsidRPr="00F6078F">
              <w:rPr>
                <w:b/>
              </w:rPr>
              <w:t>&lt;</w:t>
            </w:r>
            <w:r w:rsidR="007C3358" w:rsidRPr="00F6078F">
              <w:rPr>
                <w:b/>
              </w:rPr>
              <w:t> </w:t>
            </w:r>
            <w:r w:rsidRPr="00F6078F">
              <w:rPr>
                <w:b/>
              </w:rPr>
              <w:t>1/1000)</w:t>
            </w:r>
          </w:p>
        </w:tc>
      </w:tr>
      <w:tr w:rsidR="00944A55" w:rsidRPr="00F6078F" w:rsidTr="003A6E2D">
        <w:trPr>
          <w:trHeight w:val="150"/>
        </w:trPr>
        <w:tc>
          <w:tcPr>
            <w:tcW w:w="1890" w:type="dxa"/>
            <w:tcBorders>
              <w:top w:val="single" w:sz="6" w:space="0" w:color="auto"/>
              <w:left w:val="single" w:sz="6" w:space="0" w:color="auto"/>
              <w:bottom w:val="single" w:sz="6" w:space="0" w:color="auto"/>
              <w:right w:val="nil"/>
            </w:tcBorders>
          </w:tcPr>
          <w:p w:rsidR="00944A55" w:rsidRPr="00F6078F" w:rsidRDefault="00944A55" w:rsidP="003A6E2D">
            <w:pPr>
              <w:adjustRightInd w:val="0"/>
              <w:spacing w:before="20" w:after="20"/>
              <w:ind w:left="82" w:hanging="82"/>
            </w:pPr>
            <w:r w:rsidRPr="00F6078F">
              <w:t>Blood and lymphatic system disorders</w:t>
            </w:r>
          </w:p>
        </w:tc>
        <w:tc>
          <w:tcPr>
            <w:tcW w:w="1864"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proofErr w:type="spellStart"/>
            <w:r w:rsidRPr="00F6078F">
              <w:t>Anaemia</w:t>
            </w:r>
            <w:proofErr w:type="spellEnd"/>
          </w:p>
        </w:tc>
        <w:tc>
          <w:tcPr>
            <w:tcW w:w="1951"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proofErr w:type="spellStart"/>
            <w:r w:rsidRPr="00F6078F">
              <w:t>Leukopenia</w:t>
            </w:r>
            <w:proofErr w:type="spellEnd"/>
          </w:p>
        </w:tc>
        <w:tc>
          <w:tcPr>
            <w:tcW w:w="1415"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r w:rsidRPr="00F6078F">
              <w:t xml:space="preserve"> </w:t>
            </w:r>
          </w:p>
        </w:tc>
        <w:tc>
          <w:tcPr>
            <w:tcW w:w="1425" w:type="dxa"/>
            <w:tcBorders>
              <w:top w:val="single" w:sz="6" w:space="0" w:color="auto"/>
              <w:left w:val="single" w:sz="6" w:space="0" w:color="auto"/>
              <w:bottom w:val="single" w:sz="6" w:space="0" w:color="auto"/>
              <w:right w:val="single" w:sz="6" w:space="0" w:color="auto"/>
            </w:tcBorders>
          </w:tcPr>
          <w:p w:rsidR="00944A55" w:rsidRPr="00F6078F" w:rsidRDefault="00944A55" w:rsidP="00D57741">
            <w:pPr>
              <w:adjustRightInd w:val="0"/>
              <w:spacing w:before="20" w:after="20"/>
            </w:pPr>
            <w:r w:rsidRPr="00F6078F">
              <w:t xml:space="preserve"> </w:t>
            </w:r>
          </w:p>
        </w:tc>
      </w:tr>
      <w:tr w:rsidR="00944A55" w:rsidRPr="00F6078F" w:rsidTr="003A6E2D">
        <w:trPr>
          <w:trHeight w:val="82"/>
        </w:trPr>
        <w:tc>
          <w:tcPr>
            <w:tcW w:w="1890"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r w:rsidRPr="00F6078F">
              <w:t>Cardiac disorders</w:t>
            </w:r>
          </w:p>
        </w:tc>
        <w:tc>
          <w:tcPr>
            <w:tcW w:w="1864"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r w:rsidRPr="00F6078F">
              <w:t xml:space="preserve"> </w:t>
            </w:r>
          </w:p>
        </w:tc>
        <w:tc>
          <w:tcPr>
            <w:tcW w:w="1951"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r w:rsidRPr="00F6078F">
              <w:t>Tachycardia</w:t>
            </w:r>
          </w:p>
        </w:tc>
        <w:tc>
          <w:tcPr>
            <w:tcW w:w="1415"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r w:rsidRPr="00F6078F">
              <w:t>Cyanosis</w:t>
            </w:r>
          </w:p>
        </w:tc>
        <w:tc>
          <w:tcPr>
            <w:tcW w:w="1425" w:type="dxa"/>
            <w:tcBorders>
              <w:top w:val="single" w:sz="6" w:space="0" w:color="auto"/>
              <w:left w:val="single" w:sz="6" w:space="0" w:color="auto"/>
              <w:bottom w:val="single" w:sz="6" w:space="0" w:color="auto"/>
              <w:right w:val="single" w:sz="6" w:space="0" w:color="auto"/>
            </w:tcBorders>
          </w:tcPr>
          <w:p w:rsidR="00944A55" w:rsidRPr="00F6078F" w:rsidRDefault="00944A55" w:rsidP="00D57741">
            <w:pPr>
              <w:adjustRightInd w:val="0"/>
              <w:spacing w:before="20" w:after="20"/>
            </w:pPr>
            <w:r w:rsidRPr="00F6078F">
              <w:t xml:space="preserve"> </w:t>
            </w:r>
          </w:p>
        </w:tc>
      </w:tr>
      <w:tr w:rsidR="00944A55" w:rsidRPr="00F6078F" w:rsidTr="003A6E2D">
        <w:trPr>
          <w:trHeight w:val="612"/>
        </w:trPr>
        <w:tc>
          <w:tcPr>
            <w:tcW w:w="1890" w:type="dxa"/>
            <w:tcBorders>
              <w:top w:val="single" w:sz="6" w:space="0" w:color="auto"/>
              <w:left w:val="single" w:sz="6" w:space="0" w:color="auto"/>
              <w:right w:val="nil"/>
            </w:tcBorders>
          </w:tcPr>
          <w:p w:rsidR="00944A55" w:rsidRPr="00F6078F" w:rsidRDefault="00944A55" w:rsidP="00D57741">
            <w:pPr>
              <w:adjustRightInd w:val="0"/>
              <w:spacing w:before="20" w:after="20"/>
            </w:pPr>
            <w:r w:rsidRPr="00F6078F">
              <w:t>Eye disorders</w:t>
            </w:r>
          </w:p>
        </w:tc>
        <w:tc>
          <w:tcPr>
            <w:tcW w:w="1864" w:type="dxa"/>
            <w:tcBorders>
              <w:top w:val="single" w:sz="6" w:space="0" w:color="auto"/>
              <w:left w:val="single" w:sz="6" w:space="0" w:color="auto"/>
              <w:right w:val="nil"/>
            </w:tcBorders>
          </w:tcPr>
          <w:p w:rsidR="00944A55" w:rsidRPr="00F6078F" w:rsidRDefault="00944A55" w:rsidP="00D57741">
            <w:pPr>
              <w:adjustRightInd w:val="0"/>
              <w:spacing w:before="20" w:after="20"/>
            </w:pPr>
            <w:r w:rsidRPr="00F6078F">
              <w:t>Conjunctivitis</w:t>
            </w:r>
          </w:p>
        </w:tc>
        <w:tc>
          <w:tcPr>
            <w:tcW w:w="1951" w:type="dxa"/>
            <w:tcBorders>
              <w:top w:val="single" w:sz="6" w:space="0" w:color="auto"/>
              <w:left w:val="single" w:sz="6" w:space="0" w:color="auto"/>
              <w:right w:val="nil"/>
            </w:tcBorders>
          </w:tcPr>
          <w:p w:rsidR="00944A55" w:rsidRPr="00F6078F" w:rsidRDefault="00944A55" w:rsidP="00D57741">
            <w:pPr>
              <w:adjustRightInd w:val="0"/>
              <w:spacing w:before="20" w:after="20"/>
            </w:pPr>
            <w:proofErr w:type="spellStart"/>
            <w:r w:rsidRPr="00F6078F">
              <w:t>Blepharitis</w:t>
            </w:r>
            <w:proofErr w:type="spellEnd"/>
          </w:p>
          <w:p w:rsidR="00944A55" w:rsidRPr="00F6078F" w:rsidRDefault="00944A55" w:rsidP="00D57741">
            <w:pPr>
              <w:adjustRightInd w:val="0"/>
              <w:spacing w:before="20" w:after="20"/>
            </w:pPr>
            <w:r w:rsidRPr="00F6078F">
              <w:t>Dry eye</w:t>
            </w:r>
          </w:p>
          <w:p w:rsidR="00944A55" w:rsidRPr="00F6078F" w:rsidRDefault="00944A55" w:rsidP="00D57741">
            <w:pPr>
              <w:adjustRightInd w:val="0"/>
              <w:spacing w:before="20" w:after="20"/>
            </w:pPr>
            <w:r w:rsidRPr="00F6078F">
              <w:t>Eye irritation</w:t>
            </w:r>
          </w:p>
          <w:p w:rsidR="00944A55" w:rsidRPr="00F6078F" w:rsidRDefault="00944A55" w:rsidP="00D57741">
            <w:pPr>
              <w:adjustRightInd w:val="0"/>
              <w:spacing w:before="20" w:after="20"/>
            </w:pPr>
            <w:r w:rsidRPr="00F6078F">
              <w:t xml:space="preserve">Eye </w:t>
            </w:r>
            <w:proofErr w:type="spellStart"/>
            <w:r w:rsidRPr="00F6078F">
              <w:t>pruritus</w:t>
            </w:r>
            <w:proofErr w:type="spellEnd"/>
          </w:p>
          <w:p w:rsidR="00944A55" w:rsidRPr="00F6078F" w:rsidRDefault="00944A55" w:rsidP="00D57741">
            <w:pPr>
              <w:adjustRightInd w:val="0"/>
              <w:spacing w:before="20" w:after="20"/>
            </w:pPr>
            <w:r w:rsidRPr="00F6078F">
              <w:t>Growth of eyelashes</w:t>
            </w:r>
          </w:p>
          <w:p w:rsidR="00944A55" w:rsidRPr="00F6078F" w:rsidRDefault="008C51BF" w:rsidP="00D57741">
            <w:pPr>
              <w:adjustRightInd w:val="0"/>
              <w:spacing w:before="20" w:after="20"/>
            </w:pPr>
            <w:proofErr w:type="spellStart"/>
            <w:r w:rsidRPr="00F6078F">
              <w:t>Lacrimation</w:t>
            </w:r>
            <w:proofErr w:type="spellEnd"/>
            <w:r w:rsidRPr="00F6078F">
              <w:t xml:space="preserve"> increase</w:t>
            </w:r>
          </w:p>
          <w:p w:rsidR="00944A55" w:rsidRPr="00F6078F" w:rsidRDefault="00944A55" w:rsidP="00D57741">
            <w:pPr>
              <w:adjustRightInd w:val="0"/>
              <w:spacing w:before="20" w:after="20"/>
            </w:pPr>
            <w:r w:rsidRPr="00F6078F">
              <w:t xml:space="preserve">Ocular </w:t>
            </w:r>
            <w:proofErr w:type="spellStart"/>
            <w:r w:rsidRPr="00F6078F">
              <w:t>hyperaemia</w:t>
            </w:r>
            <w:proofErr w:type="spellEnd"/>
          </w:p>
        </w:tc>
        <w:tc>
          <w:tcPr>
            <w:tcW w:w="1415" w:type="dxa"/>
            <w:tcBorders>
              <w:top w:val="single" w:sz="6" w:space="0" w:color="auto"/>
              <w:left w:val="single" w:sz="6" w:space="0" w:color="auto"/>
              <w:right w:val="nil"/>
            </w:tcBorders>
          </w:tcPr>
          <w:p w:rsidR="00944A55" w:rsidRPr="00F6078F" w:rsidRDefault="00944A55" w:rsidP="00D57741">
            <w:pPr>
              <w:adjustRightInd w:val="0"/>
              <w:spacing w:before="20" w:after="20"/>
            </w:pPr>
            <w:r w:rsidRPr="00F6078F">
              <w:t>Eyelid irritation</w:t>
            </w:r>
          </w:p>
        </w:tc>
        <w:tc>
          <w:tcPr>
            <w:tcW w:w="1425" w:type="dxa"/>
            <w:tcBorders>
              <w:top w:val="single" w:sz="6" w:space="0" w:color="auto"/>
              <w:left w:val="single" w:sz="6" w:space="0" w:color="auto"/>
              <w:right w:val="single" w:sz="6" w:space="0" w:color="auto"/>
            </w:tcBorders>
          </w:tcPr>
          <w:p w:rsidR="00944A55" w:rsidRPr="00F6078F" w:rsidRDefault="00944A55" w:rsidP="00D57741">
            <w:pPr>
              <w:adjustRightInd w:val="0"/>
              <w:spacing w:before="20" w:after="20"/>
            </w:pPr>
            <w:r w:rsidRPr="00F6078F">
              <w:t xml:space="preserve"> </w:t>
            </w:r>
          </w:p>
        </w:tc>
      </w:tr>
      <w:tr w:rsidR="00944A55" w:rsidRPr="00F6078F" w:rsidTr="003A6E2D">
        <w:trPr>
          <w:trHeight w:val="532"/>
        </w:trPr>
        <w:tc>
          <w:tcPr>
            <w:tcW w:w="1890" w:type="dxa"/>
            <w:tcBorders>
              <w:top w:val="single" w:sz="6" w:space="0" w:color="auto"/>
              <w:left w:val="single" w:sz="6" w:space="0" w:color="auto"/>
              <w:right w:val="nil"/>
            </w:tcBorders>
          </w:tcPr>
          <w:p w:rsidR="00944A55" w:rsidRPr="00F6078F" w:rsidRDefault="00944A55" w:rsidP="003A6E2D">
            <w:pPr>
              <w:adjustRightInd w:val="0"/>
              <w:spacing w:before="20" w:after="20"/>
              <w:ind w:left="82" w:hanging="82"/>
            </w:pPr>
            <w:r w:rsidRPr="00F6078F">
              <w:t>Gastrointestinal disorders</w:t>
            </w:r>
          </w:p>
        </w:tc>
        <w:tc>
          <w:tcPr>
            <w:tcW w:w="1864" w:type="dxa"/>
            <w:tcBorders>
              <w:top w:val="single" w:sz="6" w:space="0" w:color="auto"/>
              <w:left w:val="single" w:sz="6" w:space="0" w:color="auto"/>
              <w:right w:val="nil"/>
            </w:tcBorders>
          </w:tcPr>
          <w:p w:rsidR="00944A55" w:rsidRPr="00F6078F" w:rsidRDefault="00944A55" w:rsidP="00D57741">
            <w:pPr>
              <w:adjustRightInd w:val="0"/>
              <w:spacing w:before="20" w:after="20"/>
            </w:pPr>
            <w:proofErr w:type="spellStart"/>
            <w:r w:rsidRPr="00F6078F">
              <w:t>Diarrhoea</w:t>
            </w:r>
            <w:proofErr w:type="spellEnd"/>
          </w:p>
          <w:p w:rsidR="00944A55" w:rsidRPr="00F6078F" w:rsidRDefault="00944A55" w:rsidP="00D57741">
            <w:pPr>
              <w:adjustRightInd w:val="0"/>
              <w:spacing w:before="20" w:after="20"/>
            </w:pPr>
            <w:r w:rsidRPr="00F6078F">
              <w:t>Vomiting</w:t>
            </w:r>
          </w:p>
          <w:p w:rsidR="00944A55" w:rsidRPr="00F6078F" w:rsidRDefault="00944A55" w:rsidP="00D57741">
            <w:pPr>
              <w:adjustRightInd w:val="0"/>
              <w:spacing w:before="20" w:after="20"/>
            </w:pPr>
            <w:r w:rsidRPr="00F6078F">
              <w:t>Abdominal pain</w:t>
            </w:r>
          </w:p>
          <w:p w:rsidR="00944A55" w:rsidRPr="00F6078F" w:rsidRDefault="00944A55" w:rsidP="00D57741">
            <w:pPr>
              <w:adjustRightInd w:val="0"/>
              <w:spacing w:before="20" w:after="20"/>
            </w:pPr>
            <w:r w:rsidRPr="00F6078F">
              <w:t>Nausea</w:t>
            </w:r>
          </w:p>
          <w:p w:rsidR="00944A55" w:rsidRPr="00F6078F" w:rsidRDefault="00944A55" w:rsidP="00D57741">
            <w:pPr>
              <w:adjustRightInd w:val="0"/>
              <w:spacing w:before="20" w:after="20"/>
            </w:pPr>
            <w:r w:rsidRPr="00F6078F">
              <w:t>Constipation</w:t>
            </w:r>
          </w:p>
          <w:p w:rsidR="00944A55" w:rsidRPr="00F6078F" w:rsidRDefault="00944A55" w:rsidP="00D57741">
            <w:pPr>
              <w:adjustRightInd w:val="0"/>
              <w:spacing w:before="20" w:after="20"/>
            </w:pPr>
            <w:proofErr w:type="spellStart"/>
            <w:r w:rsidRPr="00F6078F">
              <w:t>Stomatitis</w:t>
            </w:r>
            <w:proofErr w:type="spellEnd"/>
          </w:p>
        </w:tc>
        <w:tc>
          <w:tcPr>
            <w:tcW w:w="1951" w:type="dxa"/>
            <w:tcBorders>
              <w:top w:val="single" w:sz="6" w:space="0" w:color="auto"/>
              <w:left w:val="single" w:sz="6" w:space="0" w:color="auto"/>
              <w:right w:val="nil"/>
            </w:tcBorders>
          </w:tcPr>
          <w:p w:rsidR="00944A55" w:rsidRPr="00F6078F" w:rsidRDefault="00944A55" w:rsidP="00D57741">
            <w:pPr>
              <w:adjustRightInd w:val="0"/>
              <w:spacing w:before="20" w:after="20"/>
            </w:pPr>
            <w:r w:rsidRPr="00F6078F">
              <w:t xml:space="preserve">Rectal </w:t>
            </w:r>
            <w:proofErr w:type="spellStart"/>
            <w:r w:rsidRPr="00F6078F">
              <w:t>haemorrhage</w:t>
            </w:r>
            <w:proofErr w:type="spellEnd"/>
          </w:p>
          <w:p w:rsidR="00944A55" w:rsidRPr="00F6078F" w:rsidRDefault="00944A55" w:rsidP="00D57741">
            <w:pPr>
              <w:adjustRightInd w:val="0"/>
              <w:spacing w:before="20" w:after="20"/>
            </w:pPr>
            <w:r w:rsidRPr="00F6078F">
              <w:t>Dry mouth</w:t>
            </w:r>
          </w:p>
          <w:p w:rsidR="00944A55" w:rsidRPr="00F6078F" w:rsidRDefault="00944A55" w:rsidP="00D57741">
            <w:pPr>
              <w:adjustRightInd w:val="0"/>
              <w:spacing w:before="20" w:after="20"/>
            </w:pPr>
            <w:r w:rsidRPr="00F6078F">
              <w:t>Dyspepsia</w:t>
            </w:r>
          </w:p>
          <w:p w:rsidR="00944A55" w:rsidRPr="00F6078F" w:rsidRDefault="00944A55" w:rsidP="00D57741">
            <w:pPr>
              <w:adjustRightInd w:val="0"/>
              <w:spacing w:before="20" w:after="20"/>
            </w:pPr>
            <w:proofErr w:type="spellStart"/>
            <w:r w:rsidRPr="00F6078F">
              <w:t>Aphthous</w:t>
            </w:r>
            <w:proofErr w:type="spellEnd"/>
            <w:r w:rsidRPr="00F6078F">
              <w:t xml:space="preserve"> </w:t>
            </w:r>
            <w:proofErr w:type="spellStart"/>
            <w:r w:rsidRPr="00F6078F">
              <w:t>stomatitis</w:t>
            </w:r>
            <w:proofErr w:type="spellEnd"/>
          </w:p>
          <w:p w:rsidR="00944A55" w:rsidRPr="00F6078F" w:rsidRDefault="00944A55" w:rsidP="00D57741">
            <w:pPr>
              <w:adjustRightInd w:val="0"/>
              <w:spacing w:before="20" w:after="20"/>
            </w:pPr>
            <w:proofErr w:type="spellStart"/>
            <w:r w:rsidRPr="00F6078F">
              <w:t>Cheilitis</w:t>
            </w:r>
            <w:proofErr w:type="spellEnd"/>
          </w:p>
          <w:p w:rsidR="00944A55" w:rsidRPr="00F6078F" w:rsidRDefault="008F7CBC" w:rsidP="00632C7E">
            <w:pPr>
              <w:adjustRightInd w:val="0"/>
              <w:spacing w:before="20" w:after="20"/>
              <w:ind w:left="82" w:hanging="82"/>
            </w:pPr>
            <w:proofErr w:type="spellStart"/>
            <w:r w:rsidRPr="00F6078F">
              <w:t>Gastro</w:t>
            </w:r>
            <w:r w:rsidR="00D57741" w:rsidRPr="00F6078F">
              <w:t>esophageal</w:t>
            </w:r>
            <w:proofErr w:type="spellEnd"/>
            <w:r w:rsidR="00632C7E" w:rsidRPr="00F6078F">
              <w:t xml:space="preserve"> </w:t>
            </w:r>
            <w:r w:rsidR="00D57741" w:rsidRPr="00F6078F">
              <w:t xml:space="preserve">reflux </w:t>
            </w:r>
            <w:r w:rsidR="00944A55" w:rsidRPr="00F6078F">
              <w:t>disease</w:t>
            </w:r>
          </w:p>
        </w:tc>
        <w:tc>
          <w:tcPr>
            <w:tcW w:w="1415" w:type="dxa"/>
            <w:tcBorders>
              <w:top w:val="single" w:sz="6" w:space="0" w:color="auto"/>
              <w:left w:val="single" w:sz="6" w:space="0" w:color="auto"/>
              <w:right w:val="nil"/>
            </w:tcBorders>
          </w:tcPr>
          <w:p w:rsidR="00944A55" w:rsidRPr="00F6078F" w:rsidRDefault="00944A55" w:rsidP="00D57741">
            <w:pPr>
              <w:adjustRightInd w:val="0"/>
              <w:spacing w:before="20" w:after="20"/>
            </w:pPr>
            <w:r w:rsidRPr="00F6078F">
              <w:t>Chapped lips</w:t>
            </w:r>
          </w:p>
        </w:tc>
        <w:tc>
          <w:tcPr>
            <w:tcW w:w="1425" w:type="dxa"/>
            <w:tcBorders>
              <w:top w:val="single" w:sz="6" w:space="0" w:color="auto"/>
              <w:left w:val="single" w:sz="6" w:space="0" w:color="auto"/>
              <w:right w:val="single" w:sz="6" w:space="0" w:color="auto"/>
            </w:tcBorders>
          </w:tcPr>
          <w:p w:rsidR="00944A55" w:rsidRPr="00F6078F" w:rsidRDefault="00944A55" w:rsidP="00D57741">
            <w:pPr>
              <w:adjustRightInd w:val="0"/>
              <w:spacing w:before="20" w:after="20"/>
            </w:pPr>
          </w:p>
        </w:tc>
      </w:tr>
      <w:tr w:rsidR="00944A55" w:rsidRPr="00F6078F" w:rsidTr="003A6E2D">
        <w:trPr>
          <w:trHeight w:val="473"/>
        </w:trPr>
        <w:tc>
          <w:tcPr>
            <w:tcW w:w="1890" w:type="dxa"/>
            <w:tcBorders>
              <w:top w:val="single" w:sz="6" w:space="0" w:color="auto"/>
              <w:left w:val="single" w:sz="6" w:space="0" w:color="auto"/>
              <w:right w:val="nil"/>
            </w:tcBorders>
          </w:tcPr>
          <w:p w:rsidR="00944A55" w:rsidRPr="00F6078F" w:rsidRDefault="00944A55" w:rsidP="003A6E2D">
            <w:pPr>
              <w:adjustRightInd w:val="0"/>
              <w:spacing w:before="20" w:after="20"/>
              <w:ind w:left="82" w:hanging="82"/>
            </w:pPr>
            <w:r w:rsidRPr="00F6078F">
              <w:t xml:space="preserve">General disorders and administration site conditions </w:t>
            </w:r>
          </w:p>
        </w:tc>
        <w:tc>
          <w:tcPr>
            <w:tcW w:w="1864" w:type="dxa"/>
            <w:tcBorders>
              <w:top w:val="single" w:sz="6" w:space="0" w:color="auto"/>
              <w:left w:val="single" w:sz="6" w:space="0" w:color="auto"/>
              <w:right w:val="nil"/>
            </w:tcBorders>
          </w:tcPr>
          <w:p w:rsidR="00944A55" w:rsidRPr="00F6078F" w:rsidRDefault="00944A55" w:rsidP="00D57741">
            <w:pPr>
              <w:adjustRightInd w:val="0"/>
              <w:spacing w:before="20" w:after="20"/>
            </w:pPr>
            <w:r w:rsidRPr="00F6078F">
              <w:t>Pyrexia</w:t>
            </w:r>
          </w:p>
          <w:p w:rsidR="00944A55" w:rsidRPr="00F6078F" w:rsidRDefault="00944A55" w:rsidP="00D57741">
            <w:pPr>
              <w:adjustRightInd w:val="0"/>
              <w:spacing w:before="20" w:after="20"/>
            </w:pPr>
            <w:r w:rsidRPr="00F6078F">
              <w:t>Asthenia</w:t>
            </w:r>
          </w:p>
          <w:p w:rsidR="00944A55" w:rsidRPr="00F6078F" w:rsidRDefault="00944A55" w:rsidP="00D57741">
            <w:pPr>
              <w:adjustRightInd w:val="0"/>
              <w:spacing w:before="20" w:after="20"/>
            </w:pPr>
            <w:r w:rsidRPr="00F6078F">
              <w:t>Fatigue</w:t>
            </w:r>
          </w:p>
          <w:p w:rsidR="00944A55" w:rsidRPr="00F6078F" w:rsidRDefault="00944A55" w:rsidP="00D57741">
            <w:pPr>
              <w:adjustRightInd w:val="0"/>
              <w:spacing w:before="20" w:after="20"/>
            </w:pPr>
            <w:r w:rsidRPr="00F6078F">
              <w:t>Mucosal inflammation</w:t>
            </w:r>
          </w:p>
          <w:p w:rsidR="00944A55" w:rsidRPr="00F6078F" w:rsidRDefault="00944A55" w:rsidP="00D57741">
            <w:pPr>
              <w:adjustRightInd w:val="0"/>
              <w:spacing w:before="20" w:after="20"/>
            </w:pPr>
            <w:proofErr w:type="spellStart"/>
            <w:r w:rsidRPr="00F6078F">
              <w:t>Oedema</w:t>
            </w:r>
            <w:proofErr w:type="spellEnd"/>
            <w:r w:rsidRPr="00F6078F">
              <w:t xml:space="preserve"> peripheral</w:t>
            </w:r>
          </w:p>
        </w:tc>
        <w:tc>
          <w:tcPr>
            <w:tcW w:w="1951" w:type="dxa"/>
            <w:tcBorders>
              <w:top w:val="single" w:sz="6" w:space="0" w:color="auto"/>
              <w:left w:val="single" w:sz="6" w:space="0" w:color="auto"/>
              <w:right w:val="nil"/>
            </w:tcBorders>
          </w:tcPr>
          <w:p w:rsidR="00944A55" w:rsidRPr="00F6078F" w:rsidRDefault="00944A55" w:rsidP="00D57741">
            <w:pPr>
              <w:adjustRightInd w:val="0"/>
              <w:spacing w:before="20" w:after="20"/>
            </w:pPr>
            <w:r w:rsidRPr="00F6078F">
              <w:t>Chest pain</w:t>
            </w:r>
          </w:p>
          <w:p w:rsidR="00944A55" w:rsidRPr="00F6078F" w:rsidRDefault="00944A55" w:rsidP="00D57741">
            <w:pPr>
              <w:adjustRightInd w:val="0"/>
              <w:spacing w:before="20" w:after="20"/>
            </w:pPr>
            <w:r w:rsidRPr="00F6078F">
              <w:t>Pain</w:t>
            </w:r>
          </w:p>
          <w:p w:rsidR="00944A55" w:rsidRPr="00F6078F" w:rsidRDefault="00944A55" w:rsidP="00D57741">
            <w:pPr>
              <w:adjustRightInd w:val="0"/>
              <w:spacing w:before="20" w:after="20"/>
            </w:pPr>
            <w:r w:rsidRPr="00F6078F">
              <w:t>Chills</w:t>
            </w:r>
          </w:p>
          <w:p w:rsidR="00944A55" w:rsidRPr="00F6078F" w:rsidRDefault="00944A55" w:rsidP="00D57741">
            <w:pPr>
              <w:adjustRightInd w:val="0"/>
              <w:spacing w:before="20" w:after="20"/>
            </w:pPr>
            <w:r w:rsidRPr="00F6078F">
              <w:t xml:space="preserve">  </w:t>
            </w:r>
          </w:p>
        </w:tc>
        <w:tc>
          <w:tcPr>
            <w:tcW w:w="1415" w:type="dxa"/>
            <w:tcBorders>
              <w:top w:val="single" w:sz="6" w:space="0" w:color="auto"/>
              <w:left w:val="single" w:sz="6" w:space="0" w:color="auto"/>
              <w:right w:val="nil"/>
            </w:tcBorders>
          </w:tcPr>
          <w:p w:rsidR="00944A55" w:rsidRPr="00F6078F" w:rsidRDefault="00944A55" w:rsidP="00047771">
            <w:pPr>
              <w:adjustRightInd w:val="0"/>
              <w:spacing w:before="20" w:after="20"/>
              <w:ind w:left="72" w:hanging="72"/>
            </w:pPr>
            <w:r w:rsidRPr="00F6078F">
              <w:t>Infusion related reaction</w:t>
            </w:r>
          </w:p>
          <w:p w:rsidR="00944A55" w:rsidRPr="00F6078F" w:rsidRDefault="00944A55" w:rsidP="00D57741">
            <w:pPr>
              <w:adjustRightInd w:val="0"/>
              <w:spacing w:before="20" w:after="20"/>
            </w:pPr>
            <w:r w:rsidRPr="00F6078F">
              <w:t xml:space="preserve"> </w:t>
            </w:r>
          </w:p>
        </w:tc>
        <w:tc>
          <w:tcPr>
            <w:tcW w:w="1425" w:type="dxa"/>
            <w:tcBorders>
              <w:top w:val="single" w:sz="6" w:space="0" w:color="auto"/>
              <w:left w:val="single" w:sz="6" w:space="0" w:color="auto"/>
              <w:right w:val="single" w:sz="6" w:space="0" w:color="auto"/>
            </w:tcBorders>
          </w:tcPr>
          <w:p w:rsidR="00944A55" w:rsidRPr="00F6078F" w:rsidRDefault="00944A55" w:rsidP="00D57741">
            <w:pPr>
              <w:adjustRightInd w:val="0"/>
              <w:spacing w:before="20" w:after="20"/>
            </w:pPr>
          </w:p>
        </w:tc>
      </w:tr>
      <w:tr w:rsidR="00944A55" w:rsidRPr="00F6078F" w:rsidTr="003A6E2D">
        <w:trPr>
          <w:trHeight w:val="150"/>
        </w:trPr>
        <w:tc>
          <w:tcPr>
            <w:tcW w:w="1890" w:type="dxa"/>
            <w:tcBorders>
              <w:top w:val="single" w:sz="6" w:space="0" w:color="auto"/>
              <w:left w:val="single" w:sz="6" w:space="0" w:color="auto"/>
              <w:bottom w:val="single" w:sz="6" w:space="0" w:color="auto"/>
              <w:right w:val="nil"/>
            </w:tcBorders>
          </w:tcPr>
          <w:p w:rsidR="00944A55" w:rsidRPr="00F6078F" w:rsidRDefault="00944A55" w:rsidP="003A6E2D">
            <w:pPr>
              <w:adjustRightInd w:val="0"/>
              <w:spacing w:before="20" w:after="20"/>
              <w:ind w:left="82" w:hanging="142"/>
            </w:pPr>
            <w:r w:rsidRPr="00F6078F">
              <w:t>Immune system disorders</w:t>
            </w:r>
          </w:p>
        </w:tc>
        <w:tc>
          <w:tcPr>
            <w:tcW w:w="1864"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p>
        </w:tc>
        <w:tc>
          <w:tcPr>
            <w:tcW w:w="1951"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r w:rsidRPr="00F6078F">
              <w:t>Hypersensitivity</w:t>
            </w:r>
          </w:p>
        </w:tc>
        <w:tc>
          <w:tcPr>
            <w:tcW w:w="1415"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p>
        </w:tc>
        <w:tc>
          <w:tcPr>
            <w:tcW w:w="1425" w:type="dxa"/>
            <w:tcBorders>
              <w:top w:val="single" w:sz="6" w:space="0" w:color="auto"/>
              <w:left w:val="single" w:sz="6" w:space="0" w:color="auto"/>
              <w:bottom w:val="single" w:sz="6" w:space="0" w:color="auto"/>
              <w:right w:val="single" w:sz="6" w:space="0" w:color="auto"/>
            </w:tcBorders>
          </w:tcPr>
          <w:p w:rsidR="00944A55" w:rsidRPr="00F6078F" w:rsidRDefault="00944A55" w:rsidP="00CA7EAC">
            <w:pPr>
              <w:adjustRightInd w:val="0"/>
              <w:spacing w:before="20" w:after="20"/>
              <w:ind w:left="81" w:hanging="81"/>
            </w:pPr>
            <w:r w:rsidRPr="00F6078F">
              <w:t>Anaphylactic reaction</w:t>
            </w:r>
          </w:p>
        </w:tc>
      </w:tr>
      <w:tr w:rsidR="00944A55" w:rsidRPr="00F6078F" w:rsidTr="003A6E2D">
        <w:trPr>
          <w:trHeight w:val="317"/>
        </w:trPr>
        <w:tc>
          <w:tcPr>
            <w:tcW w:w="1890" w:type="dxa"/>
            <w:tcBorders>
              <w:top w:val="single" w:sz="6" w:space="0" w:color="auto"/>
              <w:left w:val="single" w:sz="6" w:space="0" w:color="auto"/>
              <w:right w:val="nil"/>
            </w:tcBorders>
          </w:tcPr>
          <w:p w:rsidR="00944A55" w:rsidRPr="00F6078F" w:rsidRDefault="00944A55" w:rsidP="003A6E2D">
            <w:pPr>
              <w:adjustRightInd w:val="0"/>
              <w:spacing w:before="20" w:after="20"/>
              <w:ind w:left="82" w:hanging="82"/>
            </w:pPr>
            <w:r w:rsidRPr="00F6078F">
              <w:t xml:space="preserve">Infections and infestations </w:t>
            </w:r>
          </w:p>
        </w:tc>
        <w:tc>
          <w:tcPr>
            <w:tcW w:w="1864" w:type="dxa"/>
            <w:tcBorders>
              <w:top w:val="single" w:sz="6" w:space="0" w:color="auto"/>
              <w:left w:val="single" w:sz="6" w:space="0" w:color="auto"/>
              <w:right w:val="nil"/>
            </w:tcBorders>
          </w:tcPr>
          <w:p w:rsidR="00944A55" w:rsidRPr="00F6078F" w:rsidRDefault="00944A55" w:rsidP="00D57741">
            <w:pPr>
              <w:adjustRightInd w:val="0"/>
              <w:spacing w:before="20" w:after="20"/>
            </w:pPr>
            <w:proofErr w:type="spellStart"/>
            <w:r w:rsidRPr="00F6078F">
              <w:t>Paronychia</w:t>
            </w:r>
            <w:proofErr w:type="spellEnd"/>
          </w:p>
        </w:tc>
        <w:tc>
          <w:tcPr>
            <w:tcW w:w="1951" w:type="dxa"/>
            <w:tcBorders>
              <w:top w:val="single" w:sz="6" w:space="0" w:color="auto"/>
              <w:left w:val="single" w:sz="6" w:space="0" w:color="auto"/>
              <w:right w:val="nil"/>
            </w:tcBorders>
          </w:tcPr>
          <w:p w:rsidR="00944A55" w:rsidRPr="00F6078F" w:rsidRDefault="00944A55" w:rsidP="00D57741">
            <w:pPr>
              <w:adjustRightInd w:val="0"/>
              <w:spacing w:before="20" w:after="20"/>
            </w:pPr>
            <w:proofErr w:type="spellStart"/>
            <w:r w:rsidRPr="00F6078F">
              <w:t>Cellulitis</w:t>
            </w:r>
            <w:proofErr w:type="spellEnd"/>
          </w:p>
          <w:p w:rsidR="00944A55" w:rsidRPr="00F6078F" w:rsidRDefault="00944A55" w:rsidP="00D57741">
            <w:pPr>
              <w:adjustRightInd w:val="0"/>
              <w:spacing w:before="20" w:after="20"/>
            </w:pPr>
            <w:proofErr w:type="spellStart"/>
            <w:r w:rsidRPr="00F6078F">
              <w:t>Folliculitis</w:t>
            </w:r>
            <w:proofErr w:type="spellEnd"/>
          </w:p>
          <w:p w:rsidR="00944A55" w:rsidRPr="00F6078F" w:rsidRDefault="00944A55" w:rsidP="00D57741">
            <w:pPr>
              <w:adjustRightInd w:val="0"/>
              <w:spacing w:before="20" w:after="20"/>
            </w:pPr>
            <w:proofErr w:type="spellStart"/>
            <w:r w:rsidRPr="00F6078F">
              <w:t>Localised</w:t>
            </w:r>
            <w:proofErr w:type="spellEnd"/>
            <w:r w:rsidRPr="00F6078F">
              <w:t xml:space="preserve"> infection</w:t>
            </w:r>
          </w:p>
          <w:p w:rsidR="00944A55" w:rsidRPr="00F6078F" w:rsidRDefault="00944A55" w:rsidP="00D57741">
            <w:pPr>
              <w:adjustRightInd w:val="0"/>
              <w:spacing w:before="20" w:after="20"/>
            </w:pPr>
            <w:r w:rsidRPr="00F6078F">
              <w:t xml:space="preserve">Rash </w:t>
            </w:r>
            <w:proofErr w:type="spellStart"/>
            <w:r w:rsidRPr="00F6078F">
              <w:t>pustular</w:t>
            </w:r>
            <w:proofErr w:type="spellEnd"/>
          </w:p>
        </w:tc>
        <w:tc>
          <w:tcPr>
            <w:tcW w:w="1415" w:type="dxa"/>
            <w:tcBorders>
              <w:top w:val="single" w:sz="6" w:space="0" w:color="auto"/>
              <w:left w:val="single" w:sz="6" w:space="0" w:color="auto"/>
              <w:right w:val="nil"/>
            </w:tcBorders>
          </w:tcPr>
          <w:p w:rsidR="00944A55" w:rsidRPr="00F6078F" w:rsidRDefault="00944A55" w:rsidP="00D57741">
            <w:pPr>
              <w:adjustRightInd w:val="0"/>
              <w:spacing w:before="20" w:after="20"/>
            </w:pPr>
            <w:r w:rsidRPr="00F6078F">
              <w:t>Eye infection</w:t>
            </w:r>
          </w:p>
          <w:p w:rsidR="00944A55" w:rsidRPr="00F6078F" w:rsidRDefault="00944A55" w:rsidP="00D57741">
            <w:pPr>
              <w:adjustRightInd w:val="0"/>
              <w:spacing w:before="20" w:after="20"/>
            </w:pPr>
            <w:r w:rsidRPr="00F6078F">
              <w:t>Eyelid infection</w:t>
            </w:r>
          </w:p>
        </w:tc>
        <w:tc>
          <w:tcPr>
            <w:tcW w:w="1425" w:type="dxa"/>
            <w:tcBorders>
              <w:top w:val="single" w:sz="6" w:space="0" w:color="auto"/>
              <w:left w:val="single" w:sz="6" w:space="0" w:color="auto"/>
              <w:right w:val="single" w:sz="6" w:space="0" w:color="auto"/>
            </w:tcBorders>
          </w:tcPr>
          <w:p w:rsidR="00944A55" w:rsidRPr="00F6078F" w:rsidRDefault="00944A55" w:rsidP="00D57741">
            <w:pPr>
              <w:adjustRightInd w:val="0"/>
              <w:spacing w:before="20" w:after="20"/>
            </w:pPr>
          </w:p>
        </w:tc>
      </w:tr>
      <w:tr w:rsidR="00944A55" w:rsidRPr="00F6078F" w:rsidTr="003A6E2D">
        <w:trPr>
          <w:trHeight w:val="150"/>
        </w:trPr>
        <w:tc>
          <w:tcPr>
            <w:tcW w:w="1890" w:type="dxa"/>
            <w:tcBorders>
              <w:top w:val="single" w:sz="6" w:space="0" w:color="auto"/>
              <w:left w:val="single" w:sz="6" w:space="0" w:color="auto"/>
              <w:bottom w:val="single" w:sz="6" w:space="0" w:color="auto"/>
              <w:right w:val="nil"/>
            </w:tcBorders>
          </w:tcPr>
          <w:p w:rsidR="00944A55" w:rsidRPr="00F6078F" w:rsidRDefault="008F7CBC" w:rsidP="00D57741">
            <w:pPr>
              <w:adjustRightInd w:val="0"/>
              <w:spacing w:before="20" w:after="20"/>
            </w:pPr>
            <w:r w:rsidRPr="00F6078F">
              <w:t>In</w:t>
            </w:r>
            <w:r w:rsidR="00944A55" w:rsidRPr="00F6078F">
              <w:t>vestigations</w:t>
            </w:r>
          </w:p>
        </w:tc>
        <w:tc>
          <w:tcPr>
            <w:tcW w:w="1864" w:type="dxa"/>
            <w:tcBorders>
              <w:top w:val="single" w:sz="6" w:space="0" w:color="auto"/>
              <w:left w:val="single" w:sz="6" w:space="0" w:color="auto"/>
              <w:bottom w:val="single" w:sz="6" w:space="0" w:color="auto"/>
              <w:right w:val="nil"/>
            </w:tcBorders>
          </w:tcPr>
          <w:p w:rsidR="00944A55" w:rsidRPr="00F6078F" w:rsidRDefault="008C51BF" w:rsidP="00D57741">
            <w:pPr>
              <w:adjustRightInd w:val="0"/>
              <w:spacing w:before="20" w:after="20"/>
            </w:pPr>
            <w:r w:rsidRPr="00F6078F">
              <w:t>Weight decrease</w:t>
            </w:r>
          </w:p>
        </w:tc>
        <w:tc>
          <w:tcPr>
            <w:tcW w:w="1951" w:type="dxa"/>
            <w:tcBorders>
              <w:top w:val="single" w:sz="6" w:space="0" w:color="auto"/>
              <w:left w:val="single" w:sz="6" w:space="0" w:color="auto"/>
              <w:bottom w:val="single" w:sz="6" w:space="0" w:color="auto"/>
              <w:right w:val="nil"/>
            </w:tcBorders>
          </w:tcPr>
          <w:p w:rsidR="00944A55" w:rsidRPr="00F6078F" w:rsidRDefault="008C51BF" w:rsidP="00632C7E">
            <w:pPr>
              <w:adjustRightInd w:val="0"/>
              <w:spacing w:before="20" w:after="20"/>
              <w:ind w:left="82" w:hanging="82"/>
            </w:pPr>
            <w:r w:rsidRPr="00F6078F">
              <w:t>Blood magnesium decrease</w:t>
            </w:r>
          </w:p>
        </w:tc>
        <w:tc>
          <w:tcPr>
            <w:tcW w:w="1415"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p>
        </w:tc>
        <w:tc>
          <w:tcPr>
            <w:tcW w:w="1425" w:type="dxa"/>
            <w:tcBorders>
              <w:top w:val="single" w:sz="6" w:space="0" w:color="auto"/>
              <w:left w:val="single" w:sz="6" w:space="0" w:color="auto"/>
              <w:bottom w:val="single" w:sz="6" w:space="0" w:color="auto"/>
              <w:right w:val="single" w:sz="6" w:space="0" w:color="auto"/>
            </w:tcBorders>
          </w:tcPr>
          <w:p w:rsidR="00944A55" w:rsidRPr="00F6078F" w:rsidRDefault="00944A55" w:rsidP="00D57741">
            <w:pPr>
              <w:adjustRightInd w:val="0"/>
              <w:spacing w:before="20" w:after="20"/>
            </w:pPr>
          </w:p>
        </w:tc>
      </w:tr>
      <w:tr w:rsidR="00944A55" w:rsidRPr="00F6078F" w:rsidTr="003A6E2D">
        <w:trPr>
          <w:trHeight w:val="317"/>
        </w:trPr>
        <w:tc>
          <w:tcPr>
            <w:tcW w:w="1890" w:type="dxa"/>
            <w:tcBorders>
              <w:top w:val="single" w:sz="6" w:space="0" w:color="auto"/>
              <w:left w:val="single" w:sz="6" w:space="0" w:color="auto"/>
              <w:right w:val="nil"/>
            </w:tcBorders>
          </w:tcPr>
          <w:p w:rsidR="00944A55" w:rsidRPr="00F6078F" w:rsidRDefault="00944A55" w:rsidP="003A6E2D">
            <w:pPr>
              <w:adjustRightInd w:val="0"/>
              <w:spacing w:before="20" w:after="20"/>
              <w:ind w:left="82" w:hanging="82"/>
            </w:pPr>
            <w:r w:rsidRPr="00F6078F">
              <w:t>Metabolism and nutrition disorders</w:t>
            </w:r>
          </w:p>
        </w:tc>
        <w:tc>
          <w:tcPr>
            <w:tcW w:w="1864" w:type="dxa"/>
            <w:tcBorders>
              <w:top w:val="single" w:sz="6" w:space="0" w:color="auto"/>
              <w:left w:val="single" w:sz="6" w:space="0" w:color="auto"/>
              <w:right w:val="nil"/>
            </w:tcBorders>
          </w:tcPr>
          <w:p w:rsidR="00944A55" w:rsidRPr="00F6078F" w:rsidRDefault="00944A55" w:rsidP="00D57741">
            <w:pPr>
              <w:adjustRightInd w:val="0"/>
              <w:spacing w:before="20" w:after="20"/>
            </w:pPr>
            <w:proofErr w:type="spellStart"/>
            <w:r w:rsidRPr="00F6078F">
              <w:t>Hypokalaemia</w:t>
            </w:r>
            <w:proofErr w:type="spellEnd"/>
          </w:p>
          <w:p w:rsidR="00944A55" w:rsidRPr="00F6078F" w:rsidRDefault="00944A55" w:rsidP="00D57741">
            <w:pPr>
              <w:adjustRightInd w:val="0"/>
              <w:spacing w:before="20" w:after="20"/>
            </w:pPr>
            <w:r w:rsidRPr="00F6078F">
              <w:t>Anorexia</w:t>
            </w:r>
          </w:p>
          <w:p w:rsidR="00944A55" w:rsidRPr="00F6078F" w:rsidRDefault="00944A55" w:rsidP="00D57741">
            <w:pPr>
              <w:adjustRightInd w:val="0"/>
              <w:spacing w:before="20" w:after="20"/>
            </w:pPr>
            <w:r w:rsidRPr="00F6078F">
              <w:t>Hypomagnesaemia</w:t>
            </w:r>
          </w:p>
        </w:tc>
        <w:tc>
          <w:tcPr>
            <w:tcW w:w="1951" w:type="dxa"/>
            <w:tcBorders>
              <w:top w:val="single" w:sz="6" w:space="0" w:color="auto"/>
              <w:left w:val="single" w:sz="6" w:space="0" w:color="auto"/>
              <w:right w:val="nil"/>
            </w:tcBorders>
          </w:tcPr>
          <w:p w:rsidR="00944A55" w:rsidRPr="00F6078F" w:rsidRDefault="00944A55" w:rsidP="00D57741">
            <w:pPr>
              <w:adjustRightInd w:val="0"/>
              <w:spacing w:before="20" w:after="20"/>
            </w:pPr>
            <w:r w:rsidRPr="00F6078F">
              <w:t>Dehydration</w:t>
            </w:r>
          </w:p>
          <w:p w:rsidR="00944A55" w:rsidRPr="00F6078F" w:rsidRDefault="00944A55" w:rsidP="00D57741">
            <w:pPr>
              <w:adjustRightInd w:val="0"/>
              <w:spacing w:before="20" w:after="20"/>
            </w:pPr>
            <w:r w:rsidRPr="00F6078F">
              <w:t>Hypocalcaemia</w:t>
            </w:r>
          </w:p>
          <w:p w:rsidR="00944A55" w:rsidRPr="00F6078F" w:rsidRDefault="00944A55" w:rsidP="00D57741">
            <w:pPr>
              <w:adjustRightInd w:val="0"/>
              <w:spacing w:before="20" w:after="20"/>
            </w:pPr>
            <w:proofErr w:type="spellStart"/>
            <w:r w:rsidRPr="00F6078F">
              <w:t>Hyperglycaemia</w:t>
            </w:r>
            <w:proofErr w:type="spellEnd"/>
          </w:p>
          <w:p w:rsidR="00944A55" w:rsidRPr="00F6078F" w:rsidRDefault="00944A55" w:rsidP="00D57741">
            <w:pPr>
              <w:adjustRightInd w:val="0"/>
              <w:spacing w:before="20" w:after="20"/>
            </w:pPr>
            <w:proofErr w:type="spellStart"/>
            <w:r w:rsidRPr="00F6078F">
              <w:t>Hypophosphataemia</w:t>
            </w:r>
            <w:proofErr w:type="spellEnd"/>
          </w:p>
        </w:tc>
        <w:tc>
          <w:tcPr>
            <w:tcW w:w="1415" w:type="dxa"/>
            <w:tcBorders>
              <w:top w:val="single" w:sz="6" w:space="0" w:color="auto"/>
              <w:left w:val="single" w:sz="6" w:space="0" w:color="auto"/>
              <w:right w:val="nil"/>
            </w:tcBorders>
          </w:tcPr>
          <w:p w:rsidR="00944A55" w:rsidRPr="00F6078F" w:rsidRDefault="00944A55" w:rsidP="00D57741">
            <w:pPr>
              <w:adjustRightInd w:val="0"/>
              <w:spacing w:before="20" w:after="20"/>
            </w:pPr>
          </w:p>
        </w:tc>
        <w:tc>
          <w:tcPr>
            <w:tcW w:w="1425" w:type="dxa"/>
            <w:tcBorders>
              <w:top w:val="single" w:sz="6" w:space="0" w:color="auto"/>
              <w:left w:val="single" w:sz="6" w:space="0" w:color="auto"/>
              <w:right w:val="single" w:sz="6" w:space="0" w:color="auto"/>
            </w:tcBorders>
          </w:tcPr>
          <w:p w:rsidR="00944A55" w:rsidRPr="00F6078F" w:rsidRDefault="00944A55" w:rsidP="00D57741">
            <w:pPr>
              <w:adjustRightInd w:val="0"/>
              <w:spacing w:before="20" w:after="20"/>
            </w:pPr>
          </w:p>
        </w:tc>
      </w:tr>
      <w:tr w:rsidR="00944A55" w:rsidRPr="00F6078F" w:rsidTr="003A6E2D">
        <w:trPr>
          <w:trHeight w:val="218"/>
        </w:trPr>
        <w:tc>
          <w:tcPr>
            <w:tcW w:w="1890" w:type="dxa"/>
            <w:tcBorders>
              <w:top w:val="single" w:sz="6" w:space="0" w:color="auto"/>
              <w:left w:val="single" w:sz="6" w:space="0" w:color="auto"/>
              <w:bottom w:val="single" w:sz="6" w:space="0" w:color="auto"/>
              <w:right w:val="nil"/>
            </w:tcBorders>
          </w:tcPr>
          <w:p w:rsidR="00944A55" w:rsidRPr="00F6078F" w:rsidRDefault="00944A55" w:rsidP="008F7CBC">
            <w:pPr>
              <w:adjustRightInd w:val="0"/>
              <w:spacing w:before="20" w:after="20"/>
              <w:ind w:left="82" w:hanging="82"/>
            </w:pPr>
            <w:r w:rsidRPr="00F6078F">
              <w:t>Musculoskeletal and connective tissue disorders</w:t>
            </w:r>
          </w:p>
        </w:tc>
        <w:tc>
          <w:tcPr>
            <w:tcW w:w="1864"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r w:rsidRPr="00F6078F">
              <w:t>Back pain</w:t>
            </w:r>
          </w:p>
        </w:tc>
        <w:tc>
          <w:tcPr>
            <w:tcW w:w="1951"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r w:rsidRPr="00F6078F">
              <w:t>Pain in extremity</w:t>
            </w:r>
          </w:p>
        </w:tc>
        <w:tc>
          <w:tcPr>
            <w:tcW w:w="1415"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p>
        </w:tc>
        <w:tc>
          <w:tcPr>
            <w:tcW w:w="1425" w:type="dxa"/>
            <w:tcBorders>
              <w:top w:val="single" w:sz="6" w:space="0" w:color="auto"/>
              <w:left w:val="single" w:sz="6" w:space="0" w:color="auto"/>
              <w:bottom w:val="single" w:sz="6" w:space="0" w:color="auto"/>
              <w:right w:val="single" w:sz="6" w:space="0" w:color="auto"/>
            </w:tcBorders>
          </w:tcPr>
          <w:p w:rsidR="00944A55" w:rsidRPr="00F6078F" w:rsidRDefault="00944A55" w:rsidP="00D57741">
            <w:pPr>
              <w:adjustRightInd w:val="0"/>
              <w:spacing w:before="20" w:after="20"/>
            </w:pPr>
          </w:p>
        </w:tc>
      </w:tr>
      <w:tr w:rsidR="00944A55" w:rsidRPr="00F6078F" w:rsidTr="003A6E2D">
        <w:trPr>
          <w:trHeight w:val="156"/>
        </w:trPr>
        <w:tc>
          <w:tcPr>
            <w:tcW w:w="1890" w:type="dxa"/>
            <w:tcBorders>
              <w:top w:val="single" w:sz="6" w:space="0" w:color="auto"/>
              <w:left w:val="single" w:sz="6" w:space="0" w:color="auto"/>
              <w:right w:val="nil"/>
            </w:tcBorders>
          </w:tcPr>
          <w:p w:rsidR="00944A55" w:rsidRPr="00F6078F" w:rsidRDefault="00944A55" w:rsidP="008F7CBC">
            <w:pPr>
              <w:adjustRightInd w:val="0"/>
              <w:spacing w:before="20" w:after="20"/>
              <w:ind w:left="82" w:hanging="82"/>
            </w:pPr>
            <w:r w:rsidRPr="00F6078F">
              <w:t xml:space="preserve">Nervous system disorders </w:t>
            </w:r>
          </w:p>
        </w:tc>
        <w:tc>
          <w:tcPr>
            <w:tcW w:w="1864" w:type="dxa"/>
            <w:tcBorders>
              <w:top w:val="single" w:sz="6" w:space="0" w:color="auto"/>
              <w:left w:val="single" w:sz="6" w:space="0" w:color="auto"/>
              <w:right w:val="nil"/>
            </w:tcBorders>
          </w:tcPr>
          <w:p w:rsidR="00944A55" w:rsidRPr="00F6078F" w:rsidRDefault="00944A55" w:rsidP="00D57741">
            <w:pPr>
              <w:adjustRightInd w:val="0"/>
              <w:spacing w:before="20" w:after="20"/>
            </w:pPr>
          </w:p>
        </w:tc>
        <w:tc>
          <w:tcPr>
            <w:tcW w:w="1951" w:type="dxa"/>
            <w:tcBorders>
              <w:top w:val="single" w:sz="6" w:space="0" w:color="auto"/>
              <w:left w:val="single" w:sz="6" w:space="0" w:color="auto"/>
              <w:right w:val="nil"/>
            </w:tcBorders>
          </w:tcPr>
          <w:p w:rsidR="00944A55" w:rsidRPr="00F6078F" w:rsidRDefault="00944A55" w:rsidP="00D57741">
            <w:pPr>
              <w:adjustRightInd w:val="0"/>
              <w:spacing w:before="20" w:after="20"/>
            </w:pPr>
            <w:r w:rsidRPr="00F6078F">
              <w:t>Dizziness</w:t>
            </w:r>
          </w:p>
          <w:p w:rsidR="00944A55" w:rsidRPr="00F6078F" w:rsidRDefault="00944A55" w:rsidP="00D57741">
            <w:pPr>
              <w:adjustRightInd w:val="0"/>
              <w:spacing w:before="20" w:after="20"/>
            </w:pPr>
            <w:r w:rsidRPr="00F6078F">
              <w:t>Headache</w:t>
            </w:r>
          </w:p>
        </w:tc>
        <w:tc>
          <w:tcPr>
            <w:tcW w:w="1415" w:type="dxa"/>
            <w:tcBorders>
              <w:top w:val="single" w:sz="6" w:space="0" w:color="auto"/>
              <w:left w:val="single" w:sz="6" w:space="0" w:color="auto"/>
              <w:right w:val="nil"/>
            </w:tcBorders>
          </w:tcPr>
          <w:p w:rsidR="00944A55" w:rsidRPr="00F6078F" w:rsidRDefault="00944A55" w:rsidP="00D57741">
            <w:pPr>
              <w:adjustRightInd w:val="0"/>
              <w:spacing w:before="20" w:after="20"/>
            </w:pPr>
          </w:p>
        </w:tc>
        <w:tc>
          <w:tcPr>
            <w:tcW w:w="1425" w:type="dxa"/>
            <w:tcBorders>
              <w:top w:val="single" w:sz="6" w:space="0" w:color="auto"/>
              <w:left w:val="single" w:sz="6" w:space="0" w:color="auto"/>
              <w:right w:val="single" w:sz="6" w:space="0" w:color="auto"/>
            </w:tcBorders>
          </w:tcPr>
          <w:p w:rsidR="00944A55" w:rsidRPr="00F6078F" w:rsidRDefault="00944A55" w:rsidP="00D57741">
            <w:pPr>
              <w:adjustRightInd w:val="0"/>
              <w:spacing w:before="20" w:after="20"/>
            </w:pPr>
          </w:p>
        </w:tc>
      </w:tr>
      <w:tr w:rsidR="00944A55" w:rsidRPr="00F6078F" w:rsidTr="00047771">
        <w:trPr>
          <w:trHeight w:val="82"/>
        </w:trPr>
        <w:tc>
          <w:tcPr>
            <w:tcW w:w="1890"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r w:rsidRPr="00F6078F">
              <w:t>Psychiatric disorders</w:t>
            </w:r>
          </w:p>
        </w:tc>
        <w:tc>
          <w:tcPr>
            <w:tcW w:w="1864"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r w:rsidRPr="00F6078F">
              <w:t>Insomnia</w:t>
            </w:r>
          </w:p>
        </w:tc>
        <w:tc>
          <w:tcPr>
            <w:tcW w:w="1951"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r w:rsidRPr="00F6078F">
              <w:t>Anxiety</w:t>
            </w:r>
          </w:p>
        </w:tc>
        <w:tc>
          <w:tcPr>
            <w:tcW w:w="1415"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p>
        </w:tc>
        <w:tc>
          <w:tcPr>
            <w:tcW w:w="1425" w:type="dxa"/>
            <w:tcBorders>
              <w:top w:val="single" w:sz="6" w:space="0" w:color="auto"/>
              <w:left w:val="single" w:sz="6" w:space="0" w:color="auto"/>
              <w:bottom w:val="single" w:sz="6" w:space="0" w:color="auto"/>
              <w:right w:val="single" w:sz="6" w:space="0" w:color="auto"/>
            </w:tcBorders>
          </w:tcPr>
          <w:p w:rsidR="00944A55" w:rsidRPr="00F6078F" w:rsidRDefault="00944A55" w:rsidP="00D57741">
            <w:pPr>
              <w:adjustRightInd w:val="0"/>
              <w:spacing w:before="20" w:after="20"/>
            </w:pPr>
          </w:p>
        </w:tc>
      </w:tr>
      <w:tr w:rsidR="00944A55" w:rsidRPr="00F6078F" w:rsidTr="00047771">
        <w:trPr>
          <w:trHeight w:val="232"/>
        </w:trPr>
        <w:tc>
          <w:tcPr>
            <w:tcW w:w="1890" w:type="dxa"/>
            <w:tcBorders>
              <w:top w:val="single" w:sz="6" w:space="0" w:color="auto"/>
              <w:left w:val="single" w:sz="6" w:space="0" w:color="auto"/>
              <w:bottom w:val="single" w:sz="6" w:space="0" w:color="auto"/>
              <w:right w:val="nil"/>
            </w:tcBorders>
          </w:tcPr>
          <w:p w:rsidR="00944A55" w:rsidRPr="00F6078F" w:rsidRDefault="00944A55" w:rsidP="008F7CBC">
            <w:pPr>
              <w:adjustRightInd w:val="0"/>
              <w:spacing w:before="20" w:after="20"/>
              <w:ind w:left="82" w:hanging="82"/>
            </w:pPr>
            <w:r w:rsidRPr="00F6078F">
              <w:t xml:space="preserve">Respiratory, thoracic and </w:t>
            </w:r>
            <w:proofErr w:type="spellStart"/>
            <w:r w:rsidRPr="00F6078F">
              <w:t>mediastinal</w:t>
            </w:r>
            <w:proofErr w:type="spellEnd"/>
            <w:r w:rsidRPr="00F6078F">
              <w:t xml:space="preserve"> </w:t>
            </w:r>
            <w:r w:rsidR="00047771">
              <w:t>disorders</w:t>
            </w:r>
          </w:p>
        </w:tc>
        <w:tc>
          <w:tcPr>
            <w:tcW w:w="1864"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proofErr w:type="spellStart"/>
            <w:r w:rsidRPr="00F6078F">
              <w:t>Dyspnoea</w:t>
            </w:r>
            <w:proofErr w:type="spellEnd"/>
          </w:p>
          <w:p w:rsidR="00944A55" w:rsidRPr="00F6078F" w:rsidRDefault="00944A55" w:rsidP="00D57741">
            <w:pPr>
              <w:adjustRightInd w:val="0"/>
              <w:spacing w:before="20" w:after="20"/>
            </w:pPr>
            <w:r w:rsidRPr="00F6078F">
              <w:t>Cough</w:t>
            </w:r>
          </w:p>
        </w:tc>
        <w:tc>
          <w:tcPr>
            <w:tcW w:w="1951"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r w:rsidRPr="00F6078F">
              <w:t>Pulmonary embolism</w:t>
            </w:r>
          </w:p>
          <w:p w:rsidR="00944A55" w:rsidRPr="00F6078F" w:rsidRDefault="00944A55" w:rsidP="00D57741">
            <w:pPr>
              <w:adjustRightInd w:val="0"/>
              <w:spacing w:before="20" w:after="20"/>
            </w:pPr>
            <w:proofErr w:type="spellStart"/>
            <w:r w:rsidRPr="00F6078F">
              <w:t>Epistaxis</w:t>
            </w:r>
            <w:proofErr w:type="spellEnd"/>
          </w:p>
        </w:tc>
        <w:tc>
          <w:tcPr>
            <w:tcW w:w="1415" w:type="dxa"/>
            <w:tcBorders>
              <w:top w:val="single" w:sz="6" w:space="0" w:color="auto"/>
              <w:left w:val="single" w:sz="6" w:space="0" w:color="auto"/>
              <w:bottom w:val="single" w:sz="6" w:space="0" w:color="auto"/>
              <w:right w:val="nil"/>
            </w:tcBorders>
          </w:tcPr>
          <w:p w:rsidR="00944A55" w:rsidRPr="00F6078F" w:rsidRDefault="00944A55" w:rsidP="00D57741">
            <w:pPr>
              <w:adjustRightInd w:val="0"/>
              <w:spacing w:before="20" w:after="20"/>
            </w:pPr>
            <w:proofErr w:type="spellStart"/>
            <w:r w:rsidRPr="00F6078F">
              <w:t>Bronchospasm</w:t>
            </w:r>
            <w:proofErr w:type="spellEnd"/>
          </w:p>
          <w:p w:rsidR="00944A55" w:rsidRPr="00F6078F" w:rsidRDefault="00944A55" w:rsidP="00D57741">
            <w:pPr>
              <w:adjustRightInd w:val="0"/>
              <w:spacing w:before="20" w:after="20"/>
            </w:pPr>
            <w:r w:rsidRPr="00F6078F">
              <w:t>Nasal dryness</w:t>
            </w:r>
          </w:p>
        </w:tc>
        <w:tc>
          <w:tcPr>
            <w:tcW w:w="1425" w:type="dxa"/>
            <w:tcBorders>
              <w:top w:val="single" w:sz="6" w:space="0" w:color="auto"/>
              <w:left w:val="single" w:sz="6" w:space="0" w:color="auto"/>
              <w:bottom w:val="single" w:sz="6" w:space="0" w:color="auto"/>
              <w:right w:val="single" w:sz="6" w:space="0" w:color="auto"/>
            </w:tcBorders>
          </w:tcPr>
          <w:p w:rsidR="00944A55" w:rsidRPr="00F6078F" w:rsidRDefault="00944A55" w:rsidP="00D57741">
            <w:pPr>
              <w:adjustRightInd w:val="0"/>
              <w:spacing w:before="20" w:after="20"/>
            </w:pPr>
          </w:p>
        </w:tc>
      </w:tr>
      <w:tr w:rsidR="00944A55" w:rsidRPr="00F6078F" w:rsidTr="00047771">
        <w:trPr>
          <w:trHeight w:val="1452"/>
        </w:trPr>
        <w:tc>
          <w:tcPr>
            <w:tcW w:w="1890" w:type="dxa"/>
            <w:tcBorders>
              <w:top w:val="single" w:sz="6" w:space="0" w:color="auto"/>
              <w:left w:val="single" w:sz="6" w:space="0" w:color="auto"/>
              <w:right w:val="nil"/>
            </w:tcBorders>
          </w:tcPr>
          <w:p w:rsidR="00944A55" w:rsidRPr="00F6078F" w:rsidRDefault="00944A55" w:rsidP="008F7CBC">
            <w:pPr>
              <w:adjustRightInd w:val="0"/>
              <w:spacing w:before="20" w:after="20"/>
              <w:ind w:left="82" w:hanging="82"/>
            </w:pPr>
            <w:r w:rsidRPr="00F6078F">
              <w:lastRenderedPageBreak/>
              <w:t>Skin an</w:t>
            </w:r>
            <w:r w:rsidR="00047771">
              <w:t>d subcutaneous tissue disorders</w:t>
            </w:r>
          </w:p>
        </w:tc>
        <w:tc>
          <w:tcPr>
            <w:tcW w:w="1864" w:type="dxa"/>
            <w:tcBorders>
              <w:top w:val="single" w:sz="6" w:space="0" w:color="auto"/>
              <w:left w:val="single" w:sz="6" w:space="0" w:color="auto"/>
              <w:right w:val="nil"/>
            </w:tcBorders>
          </w:tcPr>
          <w:p w:rsidR="00944A55" w:rsidRPr="00F6078F" w:rsidRDefault="00944A55" w:rsidP="00D57741">
            <w:pPr>
              <w:adjustRightInd w:val="0"/>
              <w:spacing w:before="20" w:after="20"/>
            </w:pPr>
            <w:r w:rsidRPr="00F6078F">
              <w:t>Rash</w:t>
            </w:r>
          </w:p>
          <w:p w:rsidR="00944A55" w:rsidRPr="00F6078F" w:rsidRDefault="00944A55" w:rsidP="00D57741">
            <w:pPr>
              <w:adjustRightInd w:val="0"/>
              <w:spacing w:before="20" w:after="20"/>
            </w:pPr>
            <w:r w:rsidRPr="00F6078F">
              <w:t xml:space="preserve">Dermatitis </w:t>
            </w:r>
            <w:proofErr w:type="spellStart"/>
            <w:r w:rsidRPr="00F6078F">
              <w:t>acneiform</w:t>
            </w:r>
            <w:proofErr w:type="spellEnd"/>
          </w:p>
          <w:p w:rsidR="00944A55" w:rsidRPr="00F6078F" w:rsidRDefault="00944A55" w:rsidP="00D57741">
            <w:pPr>
              <w:adjustRightInd w:val="0"/>
              <w:spacing w:before="20" w:after="20"/>
            </w:pPr>
            <w:r w:rsidRPr="00F6078F">
              <w:t>Acne</w:t>
            </w:r>
          </w:p>
          <w:p w:rsidR="00944A55" w:rsidRPr="00F6078F" w:rsidRDefault="00944A55" w:rsidP="00D57741">
            <w:pPr>
              <w:adjustRightInd w:val="0"/>
              <w:spacing w:before="20" w:after="20"/>
            </w:pPr>
            <w:proofErr w:type="spellStart"/>
            <w:r w:rsidRPr="00F6078F">
              <w:t>Erythema</w:t>
            </w:r>
            <w:proofErr w:type="spellEnd"/>
          </w:p>
          <w:p w:rsidR="00944A55" w:rsidRPr="00F6078F" w:rsidRDefault="00944A55" w:rsidP="00D57741">
            <w:pPr>
              <w:adjustRightInd w:val="0"/>
              <w:spacing w:before="20" w:after="20"/>
            </w:pPr>
            <w:r w:rsidRPr="00F6078F">
              <w:t>Skin fissures</w:t>
            </w:r>
          </w:p>
          <w:p w:rsidR="00944A55" w:rsidRPr="00F6078F" w:rsidRDefault="00944A55" w:rsidP="00D57741">
            <w:pPr>
              <w:adjustRightInd w:val="0"/>
              <w:spacing w:before="20" w:after="20"/>
            </w:pPr>
            <w:proofErr w:type="spellStart"/>
            <w:r w:rsidRPr="00F6078F">
              <w:t>Pruritus</w:t>
            </w:r>
            <w:proofErr w:type="spellEnd"/>
          </w:p>
          <w:p w:rsidR="00944A55" w:rsidRPr="00F6078F" w:rsidRDefault="00944A55" w:rsidP="00D57741">
            <w:pPr>
              <w:adjustRightInd w:val="0"/>
              <w:spacing w:before="20" w:after="20"/>
            </w:pPr>
            <w:r w:rsidRPr="00F6078F">
              <w:t>Alopecia</w:t>
            </w:r>
          </w:p>
          <w:p w:rsidR="00944A55" w:rsidRPr="00F6078F" w:rsidRDefault="00944A55" w:rsidP="00D57741">
            <w:pPr>
              <w:adjustRightInd w:val="0"/>
              <w:spacing w:before="20" w:after="20"/>
            </w:pPr>
            <w:r w:rsidRPr="00F6078F">
              <w:t>Dry skin</w:t>
            </w:r>
          </w:p>
        </w:tc>
        <w:tc>
          <w:tcPr>
            <w:tcW w:w="1951" w:type="dxa"/>
            <w:tcBorders>
              <w:top w:val="single" w:sz="6" w:space="0" w:color="auto"/>
              <w:left w:val="single" w:sz="6" w:space="0" w:color="auto"/>
              <w:right w:val="nil"/>
            </w:tcBorders>
          </w:tcPr>
          <w:p w:rsidR="00944A55" w:rsidRPr="00F6078F" w:rsidRDefault="00944A55" w:rsidP="00D57741">
            <w:pPr>
              <w:adjustRightInd w:val="0"/>
              <w:spacing w:before="20" w:after="20"/>
            </w:pPr>
            <w:r w:rsidRPr="00F6078F">
              <w:t>Skin toxicity</w:t>
            </w:r>
          </w:p>
          <w:p w:rsidR="00944A55" w:rsidRPr="00F6078F" w:rsidRDefault="00944A55" w:rsidP="00D57741">
            <w:pPr>
              <w:adjustRightInd w:val="0"/>
              <w:spacing w:before="20" w:after="20"/>
            </w:pPr>
            <w:r w:rsidRPr="00F6078F">
              <w:t>Skin exfoliation</w:t>
            </w:r>
          </w:p>
          <w:p w:rsidR="00944A55" w:rsidRPr="00F6078F" w:rsidRDefault="00944A55" w:rsidP="00D57741">
            <w:pPr>
              <w:adjustRightInd w:val="0"/>
              <w:spacing w:before="20" w:after="20"/>
            </w:pPr>
            <w:r w:rsidRPr="00F6078F">
              <w:t xml:space="preserve">Rash </w:t>
            </w:r>
            <w:proofErr w:type="spellStart"/>
            <w:r w:rsidRPr="00F6078F">
              <w:t>pruritic</w:t>
            </w:r>
            <w:proofErr w:type="spellEnd"/>
          </w:p>
          <w:p w:rsidR="00944A55" w:rsidRPr="00F6078F" w:rsidRDefault="00944A55" w:rsidP="00D57741">
            <w:pPr>
              <w:adjustRightInd w:val="0"/>
              <w:spacing w:before="20" w:after="20"/>
            </w:pPr>
            <w:proofErr w:type="spellStart"/>
            <w:r w:rsidRPr="00F6078F">
              <w:t>Exfoliative</w:t>
            </w:r>
            <w:proofErr w:type="spellEnd"/>
            <w:r w:rsidRPr="00F6078F">
              <w:t xml:space="preserve"> rash</w:t>
            </w:r>
          </w:p>
          <w:p w:rsidR="00944A55" w:rsidRPr="00F6078F" w:rsidRDefault="00944A55" w:rsidP="00D57741">
            <w:pPr>
              <w:adjustRightInd w:val="0"/>
              <w:spacing w:before="20" w:after="20"/>
            </w:pPr>
            <w:proofErr w:type="spellStart"/>
            <w:r w:rsidRPr="00F6078F">
              <w:t>Hypertrichosis</w:t>
            </w:r>
            <w:proofErr w:type="spellEnd"/>
          </w:p>
          <w:p w:rsidR="00944A55" w:rsidRPr="00F6078F" w:rsidRDefault="00944A55" w:rsidP="00D57741">
            <w:pPr>
              <w:adjustRightInd w:val="0"/>
              <w:spacing w:before="20" w:after="20"/>
            </w:pPr>
            <w:r w:rsidRPr="00F6078F">
              <w:t>Nail disorder</w:t>
            </w:r>
          </w:p>
          <w:p w:rsidR="00944A55" w:rsidRPr="00F6078F" w:rsidRDefault="00944A55" w:rsidP="00D57741">
            <w:pPr>
              <w:adjustRightInd w:val="0"/>
              <w:spacing w:before="20" w:after="20"/>
            </w:pPr>
            <w:proofErr w:type="spellStart"/>
            <w:r w:rsidRPr="00F6078F">
              <w:t>Onychoclasis</w:t>
            </w:r>
            <w:proofErr w:type="spellEnd"/>
          </w:p>
          <w:p w:rsidR="00944A55" w:rsidRPr="00F6078F" w:rsidRDefault="00944A55" w:rsidP="005C2ED5">
            <w:pPr>
              <w:adjustRightInd w:val="0"/>
              <w:spacing w:before="20" w:after="20"/>
              <w:ind w:left="82" w:hanging="82"/>
            </w:pPr>
            <w:proofErr w:type="spellStart"/>
            <w:r w:rsidRPr="00F6078F">
              <w:t>Palmar</w:t>
            </w:r>
            <w:proofErr w:type="spellEnd"/>
            <w:r w:rsidRPr="00F6078F">
              <w:t xml:space="preserve">-plantar </w:t>
            </w:r>
            <w:proofErr w:type="spellStart"/>
            <w:r w:rsidRPr="00F6078F">
              <w:t>erythrodysaesthesia</w:t>
            </w:r>
            <w:proofErr w:type="spellEnd"/>
            <w:r w:rsidRPr="00F6078F">
              <w:t xml:space="preserve"> syndrome</w:t>
            </w:r>
          </w:p>
          <w:p w:rsidR="00944A55" w:rsidRPr="00F6078F" w:rsidRDefault="00944A55" w:rsidP="00D57741">
            <w:pPr>
              <w:adjustRightInd w:val="0"/>
              <w:spacing w:before="20" w:after="20"/>
            </w:pPr>
            <w:r w:rsidRPr="00F6078F">
              <w:t xml:space="preserve">Rash </w:t>
            </w:r>
            <w:proofErr w:type="spellStart"/>
            <w:r w:rsidRPr="00F6078F">
              <w:t>erythematous</w:t>
            </w:r>
            <w:proofErr w:type="spellEnd"/>
          </w:p>
          <w:p w:rsidR="00944A55" w:rsidRPr="00F6078F" w:rsidRDefault="00944A55" w:rsidP="00D57741">
            <w:pPr>
              <w:adjustRightInd w:val="0"/>
              <w:spacing w:before="20" w:after="20"/>
            </w:pPr>
            <w:r w:rsidRPr="00F6078F">
              <w:t xml:space="preserve">Rash </w:t>
            </w:r>
            <w:proofErr w:type="spellStart"/>
            <w:r w:rsidRPr="00F6078F">
              <w:t>generalised</w:t>
            </w:r>
            <w:proofErr w:type="spellEnd"/>
          </w:p>
          <w:p w:rsidR="00944A55" w:rsidRPr="00F6078F" w:rsidRDefault="00944A55" w:rsidP="00D57741">
            <w:pPr>
              <w:adjustRightInd w:val="0"/>
              <w:spacing w:before="20" w:after="20"/>
            </w:pPr>
            <w:r w:rsidRPr="00F6078F">
              <w:t>Rash macular</w:t>
            </w:r>
          </w:p>
          <w:p w:rsidR="00944A55" w:rsidRPr="00F6078F" w:rsidRDefault="00944A55" w:rsidP="00D57741">
            <w:pPr>
              <w:adjustRightInd w:val="0"/>
              <w:spacing w:before="20" w:after="20"/>
            </w:pPr>
            <w:r w:rsidRPr="00F6078F">
              <w:t xml:space="preserve">Rash </w:t>
            </w:r>
            <w:proofErr w:type="spellStart"/>
            <w:r w:rsidRPr="00F6078F">
              <w:t>maculo-papular</w:t>
            </w:r>
            <w:proofErr w:type="spellEnd"/>
          </w:p>
          <w:p w:rsidR="00944A55" w:rsidRPr="00F6078F" w:rsidRDefault="00944A55" w:rsidP="00D57741">
            <w:pPr>
              <w:adjustRightInd w:val="0"/>
              <w:spacing w:before="20" w:after="20"/>
            </w:pPr>
            <w:r w:rsidRPr="00F6078F">
              <w:t xml:space="preserve">Rash </w:t>
            </w:r>
            <w:proofErr w:type="spellStart"/>
            <w:r w:rsidRPr="00F6078F">
              <w:t>papular</w:t>
            </w:r>
            <w:proofErr w:type="spellEnd"/>
          </w:p>
          <w:p w:rsidR="00944A55" w:rsidRPr="00F6078F" w:rsidRDefault="00944A55" w:rsidP="00D57741">
            <w:pPr>
              <w:adjustRightInd w:val="0"/>
              <w:spacing w:before="20" w:after="20"/>
            </w:pPr>
            <w:r w:rsidRPr="00F6078F">
              <w:t>Scab</w:t>
            </w:r>
          </w:p>
          <w:p w:rsidR="00944A55" w:rsidRPr="00F6078F" w:rsidRDefault="00944A55" w:rsidP="00D57741">
            <w:pPr>
              <w:adjustRightInd w:val="0"/>
              <w:spacing w:before="20" w:after="20"/>
            </w:pPr>
            <w:r w:rsidRPr="00F6078F">
              <w:t>Skin lesion</w:t>
            </w:r>
          </w:p>
          <w:p w:rsidR="00944A55" w:rsidRPr="00F6078F" w:rsidRDefault="00944A55" w:rsidP="00D57741">
            <w:pPr>
              <w:adjustRightInd w:val="0"/>
              <w:spacing w:before="20" w:after="20"/>
            </w:pPr>
            <w:r w:rsidRPr="00F6078F">
              <w:t>Skin ulcer</w:t>
            </w:r>
          </w:p>
        </w:tc>
        <w:tc>
          <w:tcPr>
            <w:tcW w:w="1415" w:type="dxa"/>
            <w:tcBorders>
              <w:top w:val="single" w:sz="6" w:space="0" w:color="auto"/>
              <w:left w:val="single" w:sz="6" w:space="0" w:color="auto"/>
              <w:right w:val="nil"/>
            </w:tcBorders>
          </w:tcPr>
          <w:p w:rsidR="00944A55" w:rsidRPr="00F6078F" w:rsidRDefault="00944A55" w:rsidP="00D57741">
            <w:pPr>
              <w:adjustRightInd w:val="0"/>
              <w:spacing w:before="20" w:after="20"/>
            </w:pPr>
            <w:proofErr w:type="spellStart"/>
            <w:r w:rsidRPr="00F6078F">
              <w:t>Angioedema</w:t>
            </w:r>
            <w:proofErr w:type="spellEnd"/>
          </w:p>
          <w:p w:rsidR="00944A55" w:rsidRPr="00F6078F" w:rsidRDefault="00944A55" w:rsidP="00D57741">
            <w:pPr>
              <w:adjustRightInd w:val="0"/>
              <w:spacing w:before="20" w:after="20"/>
            </w:pPr>
            <w:proofErr w:type="spellStart"/>
            <w:r w:rsidRPr="00F6078F">
              <w:t>Hirsutism</w:t>
            </w:r>
            <w:proofErr w:type="spellEnd"/>
          </w:p>
          <w:p w:rsidR="00944A55" w:rsidRPr="00F6078F" w:rsidRDefault="00944A55" w:rsidP="00D57741">
            <w:pPr>
              <w:adjustRightInd w:val="0"/>
              <w:spacing w:before="20" w:after="20"/>
            </w:pPr>
            <w:proofErr w:type="spellStart"/>
            <w:r w:rsidRPr="00F6078F">
              <w:t>Ingrowing</w:t>
            </w:r>
            <w:proofErr w:type="spellEnd"/>
            <w:r w:rsidRPr="00F6078F">
              <w:t xml:space="preserve"> nail</w:t>
            </w:r>
          </w:p>
          <w:p w:rsidR="00944A55" w:rsidRPr="00F6078F" w:rsidRDefault="00944A55" w:rsidP="00D57741">
            <w:pPr>
              <w:adjustRightInd w:val="0"/>
              <w:spacing w:before="20" w:after="20"/>
            </w:pPr>
            <w:proofErr w:type="spellStart"/>
            <w:r w:rsidRPr="00F6078F">
              <w:t>Onycholysis</w:t>
            </w:r>
            <w:proofErr w:type="spellEnd"/>
          </w:p>
        </w:tc>
        <w:tc>
          <w:tcPr>
            <w:tcW w:w="1425" w:type="dxa"/>
            <w:tcBorders>
              <w:top w:val="single" w:sz="6" w:space="0" w:color="auto"/>
              <w:left w:val="single" w:sz="6" w:space="0" w:color="auto"/>
              <w:right w:val="single" w:sz="6" w:space="0" w:color="auto"/>
            </w:tcBorders>
          </w:tcPr>
          <w:p w:rsidR="00944A55" w:rsidRPr="00F6078F" w:rsidRDefault="00944A55" w:rsidP="00D57741">
            <w:pPr>
              <w:adjustRightInd w:val="0"/>
              <w:spacing w:before="20" w:after="20"/>
            </w:pPr>
          </w:p>
        </w:tc>
      </w:tr>
      <w:tr w:rsidR="00944A55" w:rsidRPr="00F6078F" w:rsidTr="003A6E2D">
        <w:trPr>
          <w:trHeight w:val="379"/>
        </w:trPr>
        <w:tc>
          <w:tcPr>
            <w:tcW w:w="1890" w:type="dxa"/>
            <w:tcBorders>
              <w:top w:val="single" w:sz="6" w:space="0" w:color="auto"/>
              <w:left w:val="single" w:sz="6" w:space="0" w:color="auto"/>
              <w:bottom w:val="single" w:sz="4" w:space="0" w:color="auto"/>
              <w:right w:val="nil"/>
            </w:tcBorders>
          </w:tcPr>
          <w:p w:rsidR="00944A55" w:rsidRPr="00F6078F" w:rsidRDefault="00944A55" w:rsidP="00D57741">
            <w:pPr>
              <w:adjustRightInd w:val="0"/>
              <w:spacing w:before="20" w:after="20"/>
            </w:pPr>
            <w:r w:rsidRPr="00F6078F">
              <w:t>Vascular disorders</w:t>
            </w:r>
          </w:p>
        </w:tc>
        <w:tc>
          <w:tcPr>
            <w:tcW w:w="1864" w:type="dxa"/>
            <w:tcBorders>
              <w:top w:val="single" w:sz="6" w:space="0" w:color="auto"/>
              <w:left w:val="single" w:sz="6" w:space="0" w:color="auto"/>
              <w:bottom w:val="single" w:sz="4" w:space="0" w:color="auto"/>
              <w:right w:val="nil"/>
            </w:tcBorders>
          </w:tcPr>
          <w:p w:rsidR="00944A55" w:rsidRPr="00F6078F" w:rsidRDefault="00944A55" w:rsidP="00D57741">
            <w:pPr>
              <w:adjustRightInd w:val="0"/>
              <w:spacing w:before="20" w:after="20"/>
            </w:pPr>
          </w:p>
        </w:tc>
        <w:tc>
          <w:tcPr>
            <w:tcW w:w="1951" w:type="dxa"/>
            <w:tcBorders>
              <w:top w:val="single" w:sz="6" w:space="0" w:color="auto"/>
              <w:left w:val="single" w:sz="6" w:space="0" w:color="auto"/>
              <w:bottom w:val="single" w:sz="4" w:space="0" w:color="auto"/>
              <w:right w:val="nil"/>
            </w:tcBorders>
          </w:tcPr>
          <w:p w:rsidR="00944A55" w:rsidRPr="00F6078F" w:rsidRDefault="00944A55" w:rsidP="00D57741">
            <w:pPr>
              <w:adjustRightInd w:val="0"/>
              <w:spacing w:before="20" w:after="20"/>
            </w:pPr>
            <w:r w:rsidRPr="00F6078F">
              <w:t>Deep vein thrombosis</w:t>
            </w:r>
          </w:p>
          <w:p w:rsidR="00944A55" w:rsidRPr="00F6078F" w:rsidRDefault="00944A55" w:rsidP="00D57741">
            <w:pPr>
              <w:adjustRightInd w:val="0"/>
              <w:spacing w:before="20" w:after="20"/>
            </w:pPr>
            <w:r w:rsidRPr="00F6078F">
              <w:t>Hypotension</w:t>
            </w:r>
          </w:p>
          <w:p w:rsidR="00944A55" w:rsidRPr="00F6078F" w:rsidRDefault="00944A55" w:rsidP="00D57741">
            <w:pPr>
              <w:adjustRightInd w:val="0"/>
              <w:spacing w:before="20" w:after="20"/>
            </w:pPr>
            <w:r w:rsidRPr="00F6078F">
              <w:t>Hypertension</w:t>
            </w:r>
          </w:p>
          <w:p w:rsidR="00944A55" w:rsidRPr="00F6078F" w:rsidRDefault="00944A55" w:rsidP="00D57741">
            <w:pPr>
              <w:adjustRightInd w:val="0"/>
              <w:spacing w:before="20" w:after="20"/>
            </w:pPr>
            <w:smartTag w:uri="urn:schemas-microsoft-com:office:smarttags" w:element="place">
              <w:r w:rsidRPr="00F6078F">
                <w:t>Flushing</w:t>
              </w:r>
            </w:smartTag>
          </w:p>
        </w:tc>
        <w:tc>
          <w:tcPr>
            <w:tcW w:w="1415" w:type="dxa"/>
            <w:tcBorders>
              <w:top w:val="single" w:sz="6" w:space="0" w:color="auto"/>
              <w:left w:val="single" w:sz="6" w:space="0" w:color="auto"/>
              <w:bottom w:val="single" w:sz="4" w:space="0" w:color="auto"/>
              <w:right w:val="nil"/>
            </w:tcBorders>
          </w:tcPr>
          <w:p w:rsidR="00944A55" w:rsidRPr="00F6078F" w:rsidRDefault="00944A55" w:rsidP="00D57741">
            <w:pPr>
              <w:adjustRightInd w:val="0"/>
              <w:spacing w:before="20" w:after="20"/>
            </w:pPr>
          </w:p>
        </w:tc>
        <w:tc>
          <w:tcPr>
            <w:tcW w:w="1425" w:type="dxa"/>
            <w:tcBorders>
              <w:top w:val="single" w:sz="6" w:space="0" w:color="auto"/>
              <w:left w:val="single" w:sz="6" w:space="0" w:color="auto"/>
              <w:bottom w:val="single" w:sz="4" w:space="0" w:color="auto"/>
              <w:right w:val="single" w:sz="6" w:space="0" w:color="auto"/>
            </w:tcBorders>
          </w:tcPr>
          <w:p w:rsidR="00944A55" w:rsidRPr="00F6078F" w:rsidRDefault="00944A55" w:rsidP="00D57741">
            <w:pPr>
              <w:adjustRightInd w:val="0"/>
              <w:spacing w:before="20" w:after="20"/>
            </w:pPr>
          </w:p>
        </w:tc>
      </w:tr>
    </w:tbl>
    <w:p w:rsidR="005C2ED5" w:rsidRPr="005C2ED5" w:rsidRDefault="005C2ED5" w:rsidP="005C2ED5">
      <w:pPr>
        <w:rPr>
          <w:lang w:val="en-AU"/>
        </w:rPr>
      </w:pPr>
    </w:p>
    <w:p w:rsidR="00944A55" w:rsidRPr="00F6078F" w:rsidRDefault="00944A55" w:rsidP="00944A55">
      <w:pPr>
        <w:pStyle w:val="Date"/>
        <w:rPr>
          <w:sz w:val="24"/>
          <w:lang w:val="en-AU" w:eastAsia="ja-JP"/>
        </w:rPr>
      </w:pPr>
      <w:r w:rsidRPr="00F6078F">
        <w:rPr>
          <w:sz w:val="24"/>
          <w:lang w:val="en-AU" w:eastAsia="ja-JP"/>
        </w:rPr>
        <w:t xml:space="preserve">The safety profile of </w:t>
      </w:r>
      <w:proofErr w:type="spellStart"/>
      <w:r w:rsidRPr="00F6078F">
        <w:rPr>
          <w:sz w:val="24"/>
          <w:lang w:val="en-AU" w:eastAsia="ja-JP"/>
        </w:rPr>
        <w:t>Vectibix</w:t>
      </w:r>
      <w:proofErr w:type="spellEnd"/>
      <w:r w:rsidRPr="00F6078F">
        <w:rPr>
          <w:sz w:val="24"/>
          <w:lang w:val="en-AU" w:eastAsia="ja-JP"/>
        </w:rPr>
        <w:t xml:space="preserve"> in combination with chemotherapy consisted of the reported adverse reactions of </w:t>
      </w:r>
      <w:proofErr w:type="spellStart"/>
      <w:r w:rsidR="006728AC" w:rsidRPr="00F6078F">
        <w:rPr>
          <w:sz w:val="24"/>
          <w:lang w:val="en-AU"/>
        </w:rPr>
        <w:t>Vectibix</w:t>
      </w:r>
      <w:proofErr w:type="spellEnd"/>
      <w:r w:rsidR="006728AC" w:rsidRPr="00F6078F">
        <w:rPr>
          <w:sz w:val="24"/>
          <w:lang w:val="en-AU" w:eastAsia="ja-JP"/>
        </w:rPr>
        <w:t xml:space="preserve"> </w:t>
      </w:r>
      <w:r w:rsidRPr="00F6078F">
        <w:rPr>
          <w:sz w:val="24"/>
          <w:lang w:val="en-AU" w:eastAsia="ja-JP"/>
        </w:rPr>
        <w:t xml:space="preserve">(as a </w:t>
      </w:r>
      <w:proofErr w:type="spellStart"/>
      <w:r w:rsidRPr="00F6078F">
        <w:rPr>
          <w:sz w:val="24"/>
          <w:lang w:val="en-AU" w:eastAsia="ja-JP"/>
        </w:rPr>
        <w:t>monotherapy</w:t>
      </w:r>
      <w:proofErr w:type="spellEnd"/>
      <w:r w:rsidRPr="00F6078F">
        <w:rPr>
          <w:sz w:val="24"/>
          <w:lang w:val="en-AU" w:eastAsia="ja-JP"/>
        </w:rPr>
        <w:t xml:space="preserve">) and the toxicities of the background chemotherapy regimen. </w:t>
      </w:r>
      <w:r w:rsidR="006355E2" w:rsidRPr="00F6078F">
        <w:rPr>
          <w:sz w:val="24"/>
          <w:lang w:val="en-AU" w:eastAsia="ja-JP"/>
        </w:rPr>
        <w:t xml:space="preserve"> </w:t>
      </w:r>
      <w:r w:rsidRPr="00F6078F">
        <w:rPr>
          <w:sz w:val="24"/>
          <w:lang w:val="en-AU" w:eastAsia="ja-JP"/>
        </w:rPr>
        <w:t>No new toxicities or worsening of previously recogni</w:t>
      </w:r>
      <w:r w:rsidR="00E4455D" w:rsidRPr="00F6078F">
        <w:rPr>
          <w:sz w:val="24"/>
          <w:lang w:val="en-AU" w:eastAsia="ja-JP"/>
        </w:rPr>
        <w:t>s</w:t>
      </w:r>
      <w:r w:rsidRPr="00F6078F">
        <w:rPr>
          <w:sz w:val="24"/>
          <w:lang w:val="en-AU" w:eastAsia="ja-JP"/>
        </w:rPr>
        <w:t>ed toxicities beyond the expected additive effects were observed.</w:t>
      </w:r>
      <w:r w:rsidR="006355E2" w:rsidRPr="00F6078F">
        <w:rPr>
          <w:sz w:val="24"/>
          <w:lang w:val="en-AU" w:eastAsia="ja-JP"/>
        </w:rPr>
        <w:t xml:space="preserve"> </w:t>
      </w:r>
      <w:r w:rsidRPr="00F6078F">
        <w:rPr>
          <w:sz w:val="24"/>
          <w:lang w:val="en-AU" w:eastAsia="ja-JP"/>
        </w:rPr>
        <w:t xml:space="preserve"> Skin reactions were the most frequently occurring adverse reactions in patients receiving </w:t>
      </w:r>
      <w:proofErr w:type="spellStart"/>
      <w:r w:rsidR="006728AC" w:rsidRPr="00F6078F">
        <w:rPr>
          <w:sz w:val="24"/>
          <w:lang w:val="en-AU"/>
        </w:rPr>
        <w:t>Vectibix</w:t>
      </w:r>
      <w:proofErr w:type="spellEnd"/>
      <w:r w:rsidRPr="00F6078F">
        <w:rPr>
          <w:sz w:val="24"/>
          <w:lang w:val="en-AU" w:eastAsia="ja-JP"/>
        </w:rPr>
        <w:t xml:space="preserve"> in combination with chemotherapy.  Other toxicities that were observed with a greater frequency relative to </w:t>
      </w:r>
      <w:proofErr w:type="spellStart"/>
      <w:r w:rsidRPr="00F6078F">
        <w:rPr>
          <w:sz w:val="24"/>
          <w:lang w:val="en-AU" w:eastAsia="ja-JP"/>
        </w:rPr>
        <w:t>monotherapy</w:t>
      </w:r>
      <w:proofErr w:type="spellEnd"/>
      <w:r w:rsidRPr="00F6078F">
        <w:rPr>
          <w:sz w:val="24"/>
          <w:lang w:val="en-AU" w:eastAsia="ja-JP"/>
        </w:rPr>
        <w:t xml:space="preserve"> included hypomagnesaemia, diarrhoea, and </w:t>
      </w:r>
      <w:proofErr w:type="spellStart"/>
      <w:r w:rsidRPr="00F6078F">
        <w:rPr>
          <w:sz w:val="24"/>
          <w:lang w:val="en-AU" w:eastAsia="ja-JP"/>
        </w:rPr>
        <w:t>stomatitis</w:t>
      </w:r>
      <w:proofErr w:type="spellEnd"/>
      <w:r w:rsidRPr="00F6078F">
        <w:rPr>
          <w:sz w:val="24"/>
          <w:lang w:val="en-AU" w:eastAsia="ja-JP"/>
        </w:rPr>
        <w:t xml:space="preserve">. </w:t>
      </w:r>
      <w:r w:rsidR="006355E2" w:rsidRPr="00F6078F">
        <w:rPr>
          <w:sz w:val="24"/>
          <w:lang w:val="en-AU" w:eastAsia="ja-JP"/>
        </w:rPr>
        <w:t xml:space="preserve"> </w:t>
      </w:r>
      <w:r w:rsidRPr="00F6078F">
        <w:rPr>
          <w:sz w:val="24"/>
          <w:lang w:val="en-AU" w:eastAsia="ja-JP"/>
        </w:rPr>
        <w:t xml:space="preserve">These toxicities infrequently led to discontinuation of </w:t>
      </w:r>
      <w:proofErr w:type="spellStart"/>
      <w:r w:rsidR="009B24E3" w:rsidRPr="00F6078F">
        <w:rPr>
          <w:sz w:val="24"/>
          <w:lang w:val="en-AU"/>
        </w:rPr>
        <w:t>panitumumab</w:t>
      </w:r>
      <w:proofErr w:type="spellEnd"/>
      <w:r w:rsidR="00B10D64" w:rsidRPr="00F6078F">
        <w:rPr>
          <w:sz w:val="24"/>
          <w:lang w:val="en-AU" w:eastAsia="ja-JP"/>
        </w:rPr>
        <w:t xml:space="preserve"> </w:t>
      </w:r>
      <w:r w:rsidRPr="00F6078F">
        <w:rPr>
          <w:sz w:val="24"/>
          <w:lang w:val="en-AU" w:eastAsia="ja-JP"/>
        </w:rPr>
        <w:t>or of chemotherapy.</w:t>
      </w:r>
      <w:r w:rsidR="00A17978" w:rsidRPr="00F6078F">
        <w:rPr>
          <w:sz w:val="24"/>
          <w:lang w:val="en-AU" w:eastAsia="ja-JP"/>
        </w:rPr>
        <w:t>*</w:t>
      </w:r>
      <w:r w:rsidRPr="00F6078F">
        <w:rPr>
          <w:sz w:val="24"/>
          <w:lang w:val="en-AU" w:eastAsia="ja-JP"/>
        </w:rPr>
        <w:t xml:space="preserve"> </w:t>
      </w:r>
    </w:p>
    <w:p w:rsidR="00FF1B81" w:rsidRPr="00F6078F" w:rsidRDefault="00FF1B81" w:rsidP="00421224">
      <w:pPr>
        <w:ind w:right="-1"/>
        <w:rPr>
          <w:sz w:val="24"/>
          <w:lang w:val="en-AU"/>
        </w:rPr>
      </w:pPr>
    </w:p>
    <w:p w:rsidR="00421224" w:rsidRPr="00F6078F" w:rsidRDefault="006355E2" w:rsidP="00421224">
      <w:pPr>
        <w:pStyle w:val="Heading3"/>
        <w:spacing w:after="0" w:line="240" w:lineRule="auto"/>
        <w:rPr>
          <w:rFonts w:ascii="Times New Roman" w:hAnsi="Times New Roman"/>
          <w:i w:val="0"/>
          <w:iCs/>
          <w:sz w:val="24"/>
        </w:rPr>
      </w:pPr>
      <w:r w:rsidRPr="00F6078F">
        <w:rPr>
          <w:rFonts w:ascii="Times New Roman" w:hAnsi="Times New Roman"/>
          <w:i w:val="0"/>
          <w:iCs/>
          <w:sz w:val="24"/>
        </w:rPr>
        <w:t>Gastrointestinal D</w:t>
      </w:r>
      <w:r w:rsidR="00FF1B81" w:rsidRPr="00F6078F">
        <w:rPr>
          <w:rFonts w:ascii="Times New Roman" w:hAnsi="Times New Roman"/>
          <w:i w:val="0"/>
          <w:iCs/>
          <w:sz w:val="24"/>
        </w:rPr>
        <w:t>isorders</w:t>
      </w:r>
      <w:r w:rsidR="0057771B" w:rsidRPr="00F6078F">
        <w:rPr>
          <w:rFonts w:ascii="Times New Roman" w:hAnsi="Times New Roman"/>
          <w:i w:val="0"/>
          <w:iCs/>
          <w:sz w:val="24"/>
        </w:rPr>
        <w:t>*</w:t>
      </w:r>
    </w:p>
    <w:p w:rsidR="00944A55" w:rsidRPr="00F6078F" w:rsidRDefault="00944A55" w:rsidP="00944A55">
      <w:pPr>
        <w:ind w:right="-1"/>
        <w:rPr>
          <w:sz w:val="24"/>
          <w:lang w:val="en-AU"/>
        </w:rPr>
      </w:pPr>
      <w:r w:rsidRPr="00F6078F">
        <w:rPr>
          <w:sz w:val="24"/>
          <w:lang w:val="en-AU"/>
        </w:rPr>
        <w:t xml:space="preserve">Diarrhoea when reported was mainly mild or moderate in severity. </w:t>
      </w:r>
      <w:r w:rsidR="006355E2" w:rsidRPr="00F6078F">
        <w:rPr>
          <w:sz w:val="24"/>
          <w:lang w:val="en-AU"/>
        </w:rPr>
        <w:t xml:space="preserve"> </w:t>
      </w:r>
      <w:r w:rsidRPr="00F6078F">
        <w:rPr>
          <w:sz w:val="24"/>
          <w:lang w:val="en-AU"/>
        </w:rPr>
        <w:t xml:space="preserve">Severe diarrhoea (NCI-CTC grade 3 and 4) was reported in 2% of patients treated with </w:t>
      </w:r>
      <w:proofErr w:type="spellStart"/>
      <w:r w:rsidR="006728AC" w:rsidRPr="00F6078F">
        <w:rPr>
          <w:sz w:val="24"/>
        </w:rPr>
        <w:t>Vectibix</w:t>
      </w:r>
      <w:proofErr w:type="spellEnd"/>
      <w:r w:rsidR="00B10D64" w:rsidRPr="00F6078F">
        <w:rPr>
          <w:sz w:val="24"/>
          <w:lang w:val="en-AU"/>
        </w:rPr>
        <w:t xml:space="preserve"> </w:t>
      </w:r>
      <w:r w:rsidRPr="00F6078F">
        <w:rPr>
          <w:sz w:val="24"/>
          <w:lang w:val="en-AU"/>
        </w:rPr>
        <w:t xml:space="preserve">as a </w:t>
      </w:r>
      <w:proofErr w:type="spellStart"/>
      <w:r w:rsidRPr="00F6078F">
        <w:rPr>
          <w:sz w:val="24"/>
          <w:lang w:val="en-AU"/>
        </w:rPr>
        <w:t>monotherapy</w:t>
      </w:r>
      <w:proofErr w:type="spellEnd"/>
      <w:r w:rsidRPr="00F6078F">
        <w:rPr>
          <w:sz w:val="24"/>
          <w:lang w:val="en-AU"/>
        </w:rPr>
        <w:t xml:space="preserve"> and in 17% of patients treated with </w:t>
      </w:r>
      <w:proofErr w:type="spellStart"/>
      <w:r w:rsidR="006B1B75" w:rsidRPr="00F6078F">
        <w:rPr>
          <w:sz w:val="24"/>
          <w:lang w:val="en-AU"/>
        </w:rPr>
        <w:t>Vectibix</w:t>
      </w:r>
      <w:proofErr w:type="spellEnd"/>
      <w:r w:rsidR="006B1B75" w:rsidRPr="00F6078F">
        <w:rPr>
          <w:sz w:val="24"/>
          <w:lang w:val="en-AU"/>
        </w:rPr>
        <w:t xml:space="preserve"> </w:t>
      </w:r>
      <w:r w:rsidRPr="00F6078F">
        <w:rPr>
          <w:sz w:val="24"/>
          <w:lang w:val="en-AU"/>
        </w:rPr>
        <w:t xml:space="preserve">in combination with chemotherapy. </w:t>
      </w:r>
    </w:p>
    <w:p w:rsidR="00944A55" w:rsidRPr="00F6078F" w:rsidRDefault="00944A55" w:rsidP="00944A55">
      <w:pPr>
        <w:ind w:right="-1"/>
        <w:rPr>
          <w:sz w:val="24"/>
          <w:lang w:val="en-AU"/>
        </w:rPr>
      </w:pPr>
    </w:p>
    <w:p w:rsidR="00944A55" w:rsidRPr="00F6078F" w:rsidRDefault="00944A55" w:rsidP="00944A55">
      <w:pPr>
        <w:ind w:right="-1"/>
        <w:rPr>
          <w:sz w:val="24"/>
          <w:lang w:val="en-AU"/>
        </w:rPr>
      </w:pPr>
      <w:r w:rsidRPr="00F6078F">
        <w:rPr>
          <w:sz w:val="24"/>
          <w:lang w:val="en-AU"/>
        </w:rPr>
        <w:t>There have been reports of acute renal failure in patients who develop diarrhoea and dehydration.</w:t>
      </w:r>
    </w:p>
    <w:p w:rsidR="00370CD4" w:rsidRDefault="00370CD4">
      <w:pPr>
        <w:pStyle w:val="Heading3"/>
        <w:spacing w:after="0" w:line="240" w:lineRule="auto"/>
        <w:rPr>
          <w:rFonts w:ascii="Times New Roman" w:hAnsi="Times New Roman"/>
          <w:i w:val="0"/>
          <w:iCs/>
          <w:sz w:val="24"/>
          <w:lang w:val="en-US"/>
        </w:rPr>
      </w:pPr>
    </w:p>
    <w:p w:rsidR="00AA7FFD" w:rsidRDefault="00AA7FFD">
      <w:pPr>
        <w:pStyle w:val="Heading3"/>
        <w:spacing w:after="0" w:line="240" w:lineRule="auto"/>
        <w:rPr>
          <w:rFonts w:ascii="Times New Roman" w:eastAsia="Arial Unicode MS" w:hAnsi="Times New Roman"/>
          <w:i w:val="0"/>
          <w:iCs/>
          <w:sz w:val="24"/>
        </w:rPr>
      </w:pPr>
      <w:r>
        <w:rPr>
          <w:rFonts w:ascii="Times New Roman" w:hAnsi="Times New Roman"/>
          <w:i w:val="0"/>
          <w:iCs/>
          <w:sz w:val="24"/>
        </w:rPr>
        <w:t>Dermatologic Toxicity and Related Disorders</w:t>
      </w:r>
    </w:p>
    <w:p w:rsidR="004976B4" w:rsidRPr="00F6078F" w:rsidRDefault="00AA7FFD" w:rsidP="004976B4">
      <w:pPr>
        <w:rPr>
          <w:sz w:val="24"/>
          <w:u w:val="single"/>
          <w:lang w:val="en-AU"/>
        </w:rPr>
      </w:pPr>
      <w:r>
        <w:rPr>
          <w:sz w:val="24"/>
        </w:rPr>
        <w:t xml:space="preserve">As expected from EGFR inhibitors, dermatologic toxicity and related disorders were observed in </w:t>
      </w:r>
      <w:r w:rsidR="00F177B0" w:rsidRPr="00F6078F">
        <w:rPr>
          <w:sz w:val="24"/>
        </w:rPr>
        <w:t xml:space="preserve">93% </w:t>
      </w:r>
      <w:r>
        <w:rPr>
          <w:sz w:val="24"/>
        </w:rPr>
        <w:t xml:space="preserve">patients receiving </w:t>
      </w:r>
      <w:proofErr w:type="spellStart"/>
      <w:r w:rsidR="006E463F">
        <w:rPr>
          <w:sz w:val="24"/>
        </w:rPr>
        <w:t>Vectibix</w:t>
      </w:r>
      <w:proofErr w:type="spellEnd"/>
      <w:r w:rsidR="00DE6328" w:rsidRPr="00821191">
        <w:rPr>
          <w:color w:val="000000"/>
          <w:sz w:val="24"/>
        </w:rPr>
        <w:t xml:space="preserve"> </w:t>
      </w:r>
      <w:r w:rsidR="006E7018" w:rsidRPr="00F6078F">
        <w:rPr>
          <w:sz w:val="24"/>
        </w:rPr>
        <w:t xml:space="preserve">as </w:t>
      </w:r>
      <w:proofErr w:type="spellStart"/>
      <w:r w:rsidR="006E7018" w:rsidRPr="00F6078F">
        <w:rPr>
          <w:sz w:val="24"/>
        </w:rPr>
        <w:t>monotherapy</w:t>
      </w:r>
      <w:proofErr w:type="spellEnd"/>
      <w:r w:rsidR="006E7018" w:rsidRPr="00F6078F">
        <w:rPr>
          <w:sz w:val="24"/>
        </w:rPr>
        <w:t xml:space="preserve"> or in combination with chemotherapy</w:t>
      </w:r>
      <w:r w:rsidR="006355E2" w:rsidRPr="00F6078F">
        <w:rPr>
          <w:sz w:val="24"/>
        </w:rPr>
        <w:t>.</w:t>
      </w:r>
      <w:r w:rsidR="004976B4" w:rsidRPr="00F6078F">
        <w:rPr>
          <w:sz w:val="24"/>
          <w:lang w:val="en-AU"/>
        </w:rPr>
        <w:t xml:space="preserve"> </w:t>
      </w:r>
      <w:r w:rsidR="008266B7" w:rsidRPr="00F6078F">
        <w:rPr>
          <w:sz w:val="24"/>
          <w:lang w:val="en-AU"/>
        </w:rPr>
        <w:t xml:space="preserve"> </w:t>
      </w:r>
      <w:r w:rsidR="004976B4" w:rsidRPr="00F6078F">
        <w:rPr>
          <w:sz w:val="24"/>
          <w:lang w:val="en-AU"/>
        </w:rPr>
        <w:t xml:space="preserve">These events consisted predominantly of rash and dermatitis </w:t>
      </w:r>
      <w:proofErr w:type="spellStart"/>
      <w:r w:rsidR="004976B4" w:rsidRPr="00F6078F">
        <w:rPr>
          <w:sz w:val="24"/>
          <w:lang w:val="en-AU"/>
        </w:rPr>
        <w:t>acneiform</w:t>
      </w:r>
      <w:proofErr w:type="spellEnd"/>
      <w:r w:rsidR="004976B4" w:rsidRPr="00F6078F">
        <w:rPr>
          <w:sz w:val="24"/>
          <w:lang w:val="en-AU"/>
        </w:rPr>
        <w:t xml:space="preserve"> </w:t>
      </w:r>
      <w:r w:rsidR="004976B4" w:rsidRPr="00F6078F">
        <w:rPr>
          <w:sz w:val="24"/>
          <w:lang w:val="en-AU"/>
        </w:rPr>
        <w:lastRenderedPageBreak/>
        <w:t>and were mostl</w:t>
      </w:r>
      <w:r w:rsidR="008266B7" w:rsidRPr="00F6078F">
        <w:rPr>
          <w:sz w:val="24"/>
          <w:lang w:val="en-AU"/>
        </w:rPr>
        <w:t xml:space="preserve">y mild to moderate in severity. </w:t>
      </w:r>
      <w:r w:rsidR="004976B4" w:rsidRPr="00F6078F">
        <w:rPr>
          <w:sz w:val="24"/>
          <w:lang w:val="en-AU"/>
        </w:rPr>
        <w:t xml:space="preserve"> Severe (NCI-CTC grade 3) skin reactions were reported in 34% and life-threatening (NCI-CTC grade 4) skin reactions in 1% of patients who received </w:t>
      </w:r>
      <w:proofErr w:type="spellStart"/>
      <w:r w:rsidR="004976B4" w:rsidRPr="00F6078F">
        <w:rPr>
          <w:sz w:val="24"/>
          <w:lang w:val="en-AU"/>
        </w:rPr>
        <w:t>Vectibix</w:t>
      </w:r>
      <w:proofErr w:type="spellEnd"/>
      <w:r w:rsidR="004976B4" w:rsidRPr="00F6078F">
        <w:rPr>
          <w:sz w:val="24"/>
          <w:lang w:val="en-AU"/>
        </w:rPr>
        <w:t xml:space="preserve"> in combination with chemotherapy.</w:t>
      </w:r>
      <w:r w:rsidR="0057771B" w:rsidRPr="00F6078F">
        <w:rPr>
          <w:sz w:val="24"/>
          <w:lang w:val="en-AU"/>
        </w:rPr>
        <w:t>*</w:t>
      </w:r>
      <w:r w:rsidR="004976B4" w:rsidRPr="00F6078F">
        <w:rPr>
          <w:sz w:val="24"/>
          <w:lang w:val="en-AU"/>
        </w:rPr>
        <w:t xml:space="preserve">  </w:t>
      </w:r>
    </w:p>
    <w:p w:rsidR="004976B4" w:rsidRDefault="004976B4">
      <w:pPr>
        <w:pStyle w:val="Text"/>
        <w:spacing w:after="0" w:line="240" w:lineRule="auto"/>
        <w:rPr>
          <w:rFonts w:ascii="Times New Roman" w:hAnsi="Times New Roman"/>
          <w:color w:val="000000"/>
          <w:sz w:val="24"/>
        </w:rPr>
      </w:pPr>
    </w:p>
    <w:p w:rsidR="00AA7FFD" w:rsidRDefault="00AA7FFD">
      <w:pPr>
        <w:pStyle w:val="Text"/>
        <w:spacing w:after="0" w:line="240" w:lineRule="auto"/>
        <w:rPr>
          <w:rFonts w:ascii="Times New Roman" w:hAnsi="Times New Roman"/>
          <w:strike/>
          <w:color w:val="000000"/>
          <w:sz w:val="24"/>
        </w:rPr>
      </w:pPr>
      <w:r w:rsidRPr="00821191">
        <w:rPr>
          <w:rFonts w:ascii="Times New Roman" w:hAnsi="Times New Roman"/>
          <w:color w:val="000000"/>
          <w:sz w:val="24"/>
        </w:rPr>
        <w:t>Skin rash most commonly occurred on the face and trunk, but could extend to the extremitie</w:t>
      </w:r>
      <w:r>
        <w:rPr>
          <w:rFonts w:ascii="Times New Roman" w:hAnsi="Times New Roman"/>
          <w:sz w:val="24"/>
        </w:rPr>
        <w:t xml:space="preserve">s and was </w:t>
      </w:r>
      <w:r w:rsidR="00821191" w:rsidRPr="00821191">
        <w:rPr>
          <w:rFonts w:ascii="Times New Roman" w:hAnsi="Times New Roman"/>
          <w:color w:val="000000"/>
          <w:sz w:val="24"/>
        </w:rPr>
        <w:t>characteris</w:t>
      </w:r>
      <w:r w:rsidRPr="00821191">
        <w:rPr>
          <w:rFonts w:ascii="Times New Roman" w:hAnsi="Times New Roman"/>
          <w:color w:val="000000"/>
          <w:sz w:val="24"/>
        </w:rPr>
        <w:t xml:space="preserve">ed by multiple </w:t>
      </w:r>
      <w:proofErr w:type="spellStart"/>
      <w:r w:rsidRPr="00821191">
        <w:rPr>
          <w:rFonts w:ascii="Times New Roman" w:hAnsi="Times New Roman"/>
          <w:color w:val="000000"/>
          <w:sz w:val="24"/>
        </w:rPr>
        <w:t>pustular</w:t>
      </w:r>
      <w:proofErr w:type="spellEnd"/>
      <w:r w:rsidRPr="00821191">
        <w:rPr>
          <w:rFonts w:ascii="Times New Roman" w:hAnsi="Times New Roman"/>
          <w:color w:val="000000"/>
          <w:sz w:val="24"/>
        </w:rPr>
        <w:t xml:space="preserve">-, macular-, or </w:t>
      </w:r>
      <w:proofErr w:type="spellStart"/>
      <w:r w:rsidRPr="00821191">
        <w:rPr>
          <w:rFonts w:ascii="Times New Roman" w:hAnsi="Times New Roman"/>
          <w:color w:val="000000"/>
          <w:sz w:val="24"/>
        </w:rPr>
        <w:t>papular</w:t>
      </w:r>
      <w:proofErr w:type="spellEnd"/>
      <w:r w:rsidRPr="00821191">
        <w:rPr>
          <w:rFonts w:ascii="Times New Roman" w:hAnsi="Times New Roman"/>
          <w:color w:val="000000"/>
          <w:sz w:val="24"/>
        </w:rPr>
        <w:t xml:space="preserve">-appearing lesions.  </w:t>
      </w:r>
      <w:proofErr w:type="spellStart"/>
      <w:r w:rsidR="00B024C2" w:rsidRPr="00B024C2">
        <w:rPr>
          <w:rFonts w:ascii="Times New Roman" w:hAnsi="Times New Roman"/>
          <w:color w:val="000000"/>
          <w:sz w:val="24"/>
          <w:lang w:val="en-US"/>
        </w:rPr>
        <w:t>Palmar</w:t>
      </w:r>
      <w:proofErr w:type="spellEnd"/>
      <w:r w:rsidR="00B024C2" w:rsidRPr="00B024C2">
        <w:rPr>
          <w:rFonts w:ascii="Times New Roman" w:hAnsi="Times New Roman"/>
          <w:color w:val="000000"/>
          <w:sz w:val="24"/>
          <w:lang w:val="en-US"/>
        </w:rPr>
        <w:t xml:space="preserve">-plantar </w:t>
      </w:r>
      <w:proofErr w:type="spellStart"/>
      <w:r w:rsidR="00B024C2" w:rsidRPr="00B024C2">
        <w:rPr>
          <w:rFonts w:ascii="Times New Roman" w:hAnsi="Times New Roman"/>
          <w:color w:val="000000"/>
          <w:sz w:val="24"/>
          <w:lang w:val="en-US"/>
        </w:rPr>
        <w:t>erythrodysaesthesia</w:t>
      </w:r>
      <w:proofErr w:type="spellEnd"/>
      <w:r w:rsidR="00B024C2" w:rsidRPr="00B024C2">
        <w:rPr>
          <w:rFonts w:ascii="Times New Roman" w:hAnsi="Times New Roman"/>
          <w:color w:val="000000"/>
          <w:sz w:val="24"/>
          <w:lang w:val="en-US"/>
        </w:rPr>
        <w:t xml:space="preserve"> (PPE) syndrome was commonly reported in the setting of </w:t>
      </w:r>
      <w:proofErr w:type="spellStart"/>
      <w:r w:rsidR="00B024C2" w:rsidRPr="00B024C2">
        <w:rPr>
          <w:rFonts w:ascii="Times New Roman" w:hAnsi="Times New Roman"/>
          <w:color w:val="000000"/>
          <w:sz w:val="24"/>
          <w:lang w:val="en-US"/>
        </w:rPr>
        <w:t>panitumumab</w:t>
      </w:r>
      <w:proofErr w:type="spellEnd"/>
      <w:r w:rsidR="00B024C2" w:rsidRPr="00B024C2">
        <w:rPr>
          <w:rFonts w:ascii="Times New Roman" w:hAnsi="Times New Roman"/>
          <w:color w:val="000000"/>
          <w:sz w:val="24"/>
          <w:lang w:val="en-US"/>
        </w:rPr>
        <w:t xml:space="preserve"> in combination with chemotherapy.  </w:t>
      </w:r>
      <w:r w:rsidRPr="00821191">
        <w:rPr>
          <w:rFonts w:ascii="Times New Roman" w:hAnsi="Times New Roman"/>
          <w:color w:val="000000"/>
          <w:sz w:val="24"/>
        </w:rPr>
        <w:t xml:space="preserve">Skin drying and fissures were common and in some cases were associated with inflammatory and infectious </w:t>
      </w:r>
      <w:proofErr w:type="spellStart"/>
      <w:r w:rsidRPr="00821191">
        <w:rPr>
          <w:rFonts w:ascii="Times New Roman" w:hAnsi="Times New Roman"/>
          <w:color w:val="000000"/>
          <w:sz w:val="24"/>
        </w:rPr>
        <w:t>sequelae</w:t>
      </w:r>
      <w:proofErr w:type="spellEnd"/>
      <w:r w:rsidRPr="00821191">
        <w:rPr>
          <w:rFonts w:ascii="Times New Roman" w:hAnsi="Times New Roman"/>
          <w:color w:val="000000"/>
          <w:sz w:val="24"/>
        </w:rPr>
        <w:t xml:space="preserve">, </w:t>
      </w:r>
      <w:r w:rsidRPr="009C1494">
        <w:rPr>
          <w:rFonts w:ascii="Times New Roman" w:hAnsi="Times New Roman"/>
          <w:color w:val="000000"/>
          <w:sz w:val="24"/>
        </w:rPr>
        <w:t xml:space="preserve">including sepsis, in rare cases leading to death, and local abscesses requiring incisions and drainage (see </w:t>
      </w:r>
      <w:r w:rsidR="00216803" w:rsidRPr="009C1494">
        <w:rPr>
          <w:rFonts w:ascii="Times New Roman" w:hAnsi="Times New Roman"/>
          <w:color w:val="000000"/>
          <w:sz w:val="24"/>
        </w:rPr>
        <w:t>PRECAUTIONS</w:t>
      </w:r>
      <w:r w:rsidRPr="009C1494">
        <w:rPr>
          <w:rFonts w:ascii="Times New Roman" w:hAnsi="Times New Roman"/>
          <w:color w:val="000000"/>
          <w:sz w:val="24"/>
        </w:rPr>
        <w:t>: Dermatologic Toxicity</w:t>
      </w:r>
      <w:r w:rsidR="00216803" w:rsidRPr="009C1494">
        <w:rPr>
          <w:rFonts w:ascii="Times New Roman" w:hAnsi="Times New Roman"/>
          <w:color w:val="000000"/>
          <w:sz w:val="24"/>
        </w:rPr>
        <w:t xml:space="preserve"> and Related Disorders</w:t>
      </w:r>
      <w:r w:rsidRPr="009C1494">
        <w:rPr>
          <w:rFonts w:ascii="Times New Roman" w:hAnsi="Times New Roman"/>
          <w:color w:val="000000"/>
          <w:sz w:val="24"/>
        </w:rPr>
        <w:t xml:space="preserve">). The median time to first symptom of dermatologic </w:t>
      </w:r>
      <w:r w:rsidRPr="00F6078F">
        <w:rPr>
          <w:rFonts w:ascii="Times New Roman" w:hAnsi="Times New Roman"/>
          <w:sz w:val="24"/>
        </w:rPr>
        <w:t xml:space="preserve">toxicity was 10 days, and the median time to resolution after the last dose of </w:t>
      </w:r>
      <w:proofErr w:type="spellStart"/>
      <w:r w:rsidR="009B24E3" w:rsidRPr="00F6078F">
        <w:rPr>
          <w:rFonts w:ascii="Times New Roman" w:hAnsi="Times New Roman"/>
          <w:sz w:val="24"/>
        </w:rPr>
        <w:t>panitumumab</w:t>
      </w:r>
      <w:proofErr w:type="spellEnd"/>
      <w:r w:rsidRPr="00F6078F">
        <w:rPr>
          <w:rFonts w:ascii="Times New Roman" w:hAnsi="Times New Roman"/>
          <w:sz w:val="24"/>
        </w:rPr>
        <w:t xml:space="preserve"> was 28 days.  Overall, while the incidence and duration of dermatologic and related disorders were correlated with </w:t>
      </w:r>
      <w:proofErr w:type="spellStart"/>
      <w:r w:rsidR="009B24E3" w:rsidRPr="00F6078F">
        <w:rPr>
          <w:rFonts w:ascii="Times New Roman" w:hAnsi="Times New Roman"/>
          <w:sz w:val="24"/>
        </w:rPr>
        <w:t>panitumumab</w:t>
      </w:r>
      <w:proofErr w:type="spellEnd"/>
      <w:r w:rsidRPr="00F6078F">
        <w:rPr>
          <w:rFonts w:ascii="Times New Roman" w:hAnsi="Times New Roman"/>
          <w:sz w:val="24"/>
        </w:rPr>
        <w:t xml:space="preserve"> exp</w:t>
      </w:r>
      <w:r w:rsidRPr="009C1494">
        <w:rPr>
          <w:rFonts w:ascii="Times New Roman" w:hAnsi="Times New Roman"/>
          <w:color w:val="000000"/>
          <w:sz w:val="24"/>
        </w:rPr>
        <w:t xml:space="preserve">osure, the duration of severe dermatologic and related disorders was not.  </w:t>
      </w:r>
    </w:p>
    <w:p w:rsidR="00421224" w:rsidRPr="00821191" w:rsidRDefault="00421224">
      <w:pPr>
        <w:pStyle w:val="Text"/>
        <w:spacing w:after="0" w:line="240" w:lineRule="auto"/>
        <w:rPr>
          <w:rFonts w:ascii="Times New Roman" w:hAnsi="Times New Roman"/>
          <w:b/>
          <w:bCs/>
          <w:color w:val="000000"/>
          <w:sz w:val="24"/>
        </w:rPr>
      </w:pPr>
    </w:p>
    <w:p w:rsidR="00AA7FFD" w:rsidRPr="00821191" w:rsidRDefault="00AA7FFD">
      <w:pPr>
        <w:pStyle w:val="Heading3"/>
        <w:spacing w:after="0" w:line="240" w:lineRule="auto"/>
        <w:rPr>
          <w:rFonts w:ascii="Times New Roman" w:eastAsia="Arial Unicode MS" w:hAnsi="Times New Roman"/>
          <w:i w:val="0"/>
          <w:iCs/>
          <w:color w:val="000000"/>
          <w:sz w:val="24"/>
        </w:rPr>
      </w:pPr>
      <w:r w:rsidRPr="00821191">
        <w:rPr>
          <w:rFonts w:ascii="Times New Roman" w:hAnsi="Times New Roman"/>
          <w:i w:val="0"/>
          <w:iCs/>
          <w:color w:val="000000"/>
          <w:sz w:val="24"/>
        </w:rPr>
        <w:t>Infusion Reactions</w:t>
      </w:r>
    </w:p>
    <w:p w:rsidR="00B87F0D" w:rsidRPr="004F3B51" w:rsidRDefault="00C90920" w:rsidP="00B87F0D">
      <w:pPr>
        <w:pStyle w:val="Text"/>
        <w:spacing w:after="0" w:line="240" w:lineRule="auto"/>
        <w:rPr>
          <w:rFonts w:ascii="Times New Roman" w:hAnsi="Times New Roman"/>
          <w:sz w:val="24"/>
        </w:rPr>
      </w:pPr>
      <w:r w:rsidRPr="004F3B51">
        <w:rPr>
          <w:rFonts w:ascii="Times New Roman" w:hAnsi="Times New Roman"/>
          <w:sz w:val="24"/>
        </w:rPr>
        <w:t>Across all</w:t>
      </w:r>
      <w:r w:rsidR="00B87F0D" w:rsidRPr="004F3B51">
        <w:rPr>
          <w:rFonts w:ascii="Times New Roman" w:hAnsi="Times New Roman"/>
          <w:sz w:val="24"/>
        </w:rPr>
        <w:t xml:space="preserve"> clinical studies, potential infusion reactions (defined as any identified allergic reaction, </w:t>
      </w:r>
      <w:proofErr w:type="spellStart"/>
      <w:r w:rsidR="00B87F0D" w:rsidRPr="004F3B51">
        <w:rPr>
          <w:rFonts w:ascii="Times New Roman" w:hAnsi="Times New Roman"/>
          <w:sz w:val="24"/>
        </w:rPr>
        <w:t>anaphylactoid</w:t>
      </w:r>
      <w:proofErr w:type="spellEnd"/>
      <w:r w:rsidR="00B87F0D" w:rsidRPr="004F3B51">
        <w:rPr>
          <w:rFonts w:ascii="Times New Roman" w:hAnsi="Times New Roman"/>
          <w:sz w:val="24"/>
        </w:rPr>
        <w:t xml:space="preserve"> reaction, chills, fever, or dyspn</w:t>
      </w:r>
      <w:r w:rsidR="007560D6" w:rsidRPr="004F3B51">
        <w:rPr>
          <w:rFonts w:ascii="Times New Roman" w:hAnsi="Times New Roman"/>
          <w:sz w:val="24"/>
        </w:rPr>
        <w:t>o</w:t>
      </w:r>
      <w:r w:rsidR="00B87F0D" w:rsidRPr="004F3B51">
        <w:rPr>
          <w:rFonts w:ascii="Times New Roman" w:hAnsi="Times New Roman"/>
          <w:sz w:val="24"/>
        </w:rPr>
        <w:t xml:space="preserve">ea, occurring within 24 hours of </w:t>
      </w:r>
      <w:r w:rsidRPr="004F3B51">
        <w:rPr>
          <w:rFonts w:ascii="Times New Roman" w:hAnsi="Times New Roman"/>
          <w:sz w:val="24"/>
        </w:rPr>
        <w:t xml:space="preserve">any </w:t>
      </w:r>
      <w:r w:rsidR="00B87F0D" w:rsidRPr="004F3B51">
        <w:rPr>
          <w:rFonts w:ascii="Times New Roman" w:hAnsi="Times New Roman"/>
          <w:sz w:val="24"/>
        </w:rPr>
        <w:t xml:space="preserve">dose that were not otherwise designated as either </w:t>
      </w:r>
      <w:proofErr w:type="spellStart"/>
      <w:r w:rsidR="00B87F0D" w:rsidRPr="004F3B51">
        <w:rPr>
          <w:rFonts w:ascii="Times New Roman" w:hAnsi="Times New Roman"/>
          <w:sz w:val="24"/>
        </w:rPr>
        <w:t>anaphylactoid</w:t>
      </w:r>
      <w:proofErr w:type="spellEnd"/>
      <w:r w:rsidR="00B87F0D" w:rsidRPr="004F3B51">
        <w:rPr>
          <w:rFonts w:ascii="Times New Roman" w:hAnsi="Times New Roman"/>
          <w:sz w:val="24"/>
        </w:rPr>
        <w:t xml:space="preserve"> or allergic reaction) were identified in </w:t>
      </w:r>
      <w:r w:rsidRPr="004F3B51">
        <w:rPr>
          <w:rFonts w:ascii="Times New Roman" w:hAnsi="Times New Roman"/>
          <w:sz w:val="24"/>
        </w:rPr>
        <w:t>3</w:t>
      </w:r>
      <w:r w:rsidR="00B87F0D" w:rsidRPr="004F3B51">
        <w:rPr>
          <w:rFonts w:ascii="Times New Roman" w:hAnsi="Times New Roman"/>
          <w:sz w:val="24"/>
        </w:rPr>
        <w:t xml:space="preserve">% </w:t>
      </w:r>
      <w:r w:rsidR="00EC68C2" w:rsidRPr="004F3B51">
        <w:rPr>
          <w:rFonts w:ascii="Times New Roman" w:hAnsi="Times New Roman"/>
          <w:sz w:val="24"/>
        </w:rPr>
        <w:t xml:space="preserve">of </w:t>
      </w:r>
      <w:r w:rsidR="00B87F0D" w:rsidRPr="004F3B51">
        <w:rPr>
          <w:rFonts w:ascii="Times New Roman" w:hAnsi="Times New Roman"/>
          <w:sz w:val="24"/>
        </w:rPr>
        <w:t>patients</w:t>
      </w:r>
      <w:r w:rsidR="009B24E3" w:rsidRPr="004F3B51">
        <w:rPr>
          <w:rFonts w:ascii="Times New Roman" w:hAnsi="Times New Roman"/>
          <w:sz w:val="24"/>
        </w:rPr>
        <w:t xml:space="preserve"> treated with </w:t>
      </w:r>
      <w:proofErr w:type="spellStart"/>
      <w:r w:rsidR="009B24E3" w:rsidRPr="004F3B51">
        <w:rPr>
          <w:rFonts w:ascii="Times New Roman" w:hAnsi="Times New Roman"/>
          <w:sz w:val="24"/>
        </w:rPr>
        <w:t>panitumumab</w:t>
      </w:r>
      <w:proofErr w:type="spellEnd"/>
      <w:r w:rsidR="00B87F0D" w:rsidRPr="004F3B51">
        <w:rPr>
          <w:rFonts w:ascii="Times New Roman" w:hAnsi="Times New Roman"/>
          <w:sz w:val="24"/>
        </w:rPr>
        <w:t xml:space="preserve">, of which </w:t>
      </w:r>
      <w:r w:rsidR="00EC68C2" w:rsidRPr="004F3B51">
        <w:rPr>
          <w:rFonts w:ascii="Times New Roman" w:hAnsi="Times New Roman"/>
          <w:sz w:val="24"/>
        </w:rPr>
        <w:t>0.5</w:t>
      </w:r>
      <w:r w:rsidR="00B87F0D" w:rsidRPr="004F3B51">
        <w:rPr>
          <w:rFonts w:ascii="Times New Roman" w:hAnsi="Times New Roman"/>
          <w:sz w:val="24"/>
        </w:rPr>
        <w:t>% were</w:t>
      </w:r>
      <w:r w:rsidR="00821191" w:rsidRPr="004F3B51">
        <w:rPr>
          <w:rFonts w:ascii="Times New Roman" w:hAnsi="Times New Roman"/>
          <w:sz w:val="24"/>
        </w:rPr>
        <w:t xml:space="preserve"> </w:t>
      </w:r>
      <w:r w:rsidRPr="004F3B51">
        <w:rPr>
          <w:rFonts w:ascii="Times New Roman" w:hAnsi="Times New Roman"/>
          <w:sz w:val="24"/>
        </w:rPr>
        <w:t>severe (NCI-CTC grade 3</w:t>
      </w:r>
      <w:r w:rsidR="004F3B51" w:rsidRPr="004F3B51">
        <w:rPr>
          <w:rFonts w:ascii="Times New Roman" w:hAnsi="Times New Roman"/>
          <w:sz w:val="24"/>
        </w:rPr>
        <w:t xml:space="preserve"> </w:t>
      </w:r>
      <w:r w:rsidR="00C812A8" w:rsidRPr="004F3B51">
        <w:rPr>
          <w:rFonts w:ascii="Times New Roman" w:hAnsi="Times New Roman"/>
          <w:sz w:val="24"/>
        </w:rPr>
        <w:t xml:space="preserve">and </w:t>
      </w:r>
      <w:r w:rsidRPr="004F3B51">
        <w:rPr>
          <w:rFonts w:ascii="Times New Roman" w:hAnsi="Times New Roman"/>
          <w:sz w:val="24"/>
        </w:rPr>
        <w:t>4)</w:t>
      </w:r>
      <w:r w:rsidR="004F3B51" w:rsidRPr="004F3B51">
        <w:rPr>
          <w:rFonts w:ascii="Times New Roman" w:hAnsi="Times New Roman"/>
          <w:sz w:val="24"/>
        </w:rPr>
        <w:t>.</w:t>
      </w:r>
      <w:r w:rsidR="00B87F0D" w:rsidRPr="004F3B51">
        <w:rPr>
          <w:rFonts w:ascii="Times New Roman" w:hAnsi="Times New Roman"/>
          <w:sz w:val="24"/>
        </w:rPr>
        <w:t xml:space="preserve">  Most of the symptoms of potential infusion reactions were mild in intensity, resolved without treatment, were isolated occurrences and did not require alteration or interruption of </w:t>
      </w:r>
      <w:proofErr w:type="spellStart"/>
      <w:r w:rsidR="009B24E3" w:rsidRPr="004F3B51">
        <w:rPr>
          <w:rFonts w:ascii="Times New Roman" w:hAnsi="Times New Roman"/>
          <w:sz w:val="24"/>
        </w:rPr>
        <w:t>panitumumab</w:t>
      </w:r>
      <w:proofErr w:type="spellEnd"/>
      <w:r w:rsidR="00B87F0D" w:rsidRPr="004F3B51">
        <w:rPr>
          <w:rFonts w:ascii="Times New Roman" w:hAnsi="Times New Roman"/>
          <w:sz w:val="24"/>
        </w:rPr>
        <w:t xml:space="preserve"> administration. </w:t>
      </w:r>
    </w:p>
    <w:p w:rsidR="00EC68C2" w:rsidRPr="004F3B51" w:rsidRDefault="00EC68C2" w:rsidP="00B87F0D">
      <w:pPr>
        <w:pStyle w:val="Text"/>
        <w:spacing w:after="0" w:line="240" w:lineRule="auto"/>
        <w:rPr>
          <w:rFonts w:ascii="Times New Roman" w:hAnsi="Times New Roman"/>
          <w:sz w:val="24"/>
        </w:rPr>
      </w:pPr>
    </w:p>
    <w:p w:rsidR="00EC68C2" w:rsidRPr="004F3B51" w:rsidRDefault="00EC68C2" w:rsidP="00B87F0D">
      <w:pPr>
        <w:pStyle w:val="Text"/>
        <w:spacing w:after="0" w:line="240" w:lineRule="auto"/>
        <w:rPr>
          <w:rFonts w:ascii="Times New Roman" w:hAnsi="Times New Roman"/>
          <w:sz w:val="24"/>
        </w:rPr>
      </w:pPr>
      <w:r w:rsidRPr="004F3B51">
        <w:rPr>
          <w:rFonts w:ascii="Times New Roman" w:hAnsi="Times New Roman"/>
          <w:sz w:val="24"/>
        </w:rPr>
        <w:t xml:space="preserve">In clinical studies with </w:t>
      </w:r>
      <w:proofErr w:type="spellStart"/>
      <w:r w:rsidRPr="004F3B51">
        <w:rPr>
          <w:rFonts w:ascii="Times New Roman" w:hAnsi="Times New Roman"/>
          <w:sz w:val="24"/>
        </w:rPr>
        <w:t>irinotecan</w:t>
      </w:r>
      <w:proofErr w:type="spellEnd"/>
      <w:r w:rsidRPr="004F3B51">
        <w:rPr>
          <w:rFonts w:ascii="Times New Roman" w:hAnsi="Times New Roman"/>
          <w:sz w:val="24"/>
        </w:rPr>
        <w:t>-based chemotherapy, seve</w:t>
      </w:r>
      <w:r w:rsidR="00D516E7" w:rsidRPr="004F3B51">
        <w:rPr>
          <w:rFonts w:ascii="Times New Roman" w:hAnsi="Times New Roman"/>
          <w:sz w:val="24"/>
        </w:rPr>
        <w:t>re infusion reactions (NCI</w:t>
      </w:r>
      <w:r w:rsidR="00D516E7" w:rsidRPr="004F3B51">
        <w:rPr>
          <w:rFonts w:ascii="Times New Roman" w:hAnsi="Times New Roman"/>
          <w:sz w:val="24"/>
        </w:rPr>
        <w:noBreakHyphen/>
      </w:r>
      <w:r w:rsidRPr="004F3B51">
        <w:rPr>
          <w:rFonts w:ascii="Times New Roman" w:hAnsi="Times New Roman"/>
          <w:sz w:val="24"/>
        </w:rPr>
        <w:t xml:space="preserve">CTC grade 3 and 4) occurred in 0.1% of patients administered </w:t>
      </w:r>
      <w:proofErr w:type="spellStart"/>
      <w:r w:rsidRPr="004F3B51">
        <w:rPr>
          <w:rFonts w:ascii="Times New Roman" w:hAnsi="Times New Roman"/>
          <w:sz w:val="24"/>
        </w:rPr>
        <w:t>Vectibix</w:t>
      </w:r>
      <w:proofErr w:type="spellEnd"/>
      <w:r w:rsidRPr="004F3B51">
        <w:rPr>
          <w:rFonts w:ascii="Times New Roman" w:hAnsi="Times New Roman"/>
          <w:sz w:val="24"/>
        </w:rPr>
        <w:t xml:space="preserve"> in combination with </w:t>
      </w:r>
      <w:proofErr w:type="spellStart"/>
      <w:r w:rsidRPr="004F3B51">
        <w:rPr>
          <w:rFonts w:ascii="Times New Roman" w:hAnsi="Times New Roman"/>
          <w:sz w:val="24"/>
        </w:rPr>
        <w:t>irinotecan</w:t>
      </w:r>
      <w:proofErr w:type="spellEnd"/>
      <w:r w:rsidRPr="004F3B51">
        <w:rPr>
          <w:rFonts w:ascii="Times New Roman" w:hAnsi="Times New Roman"/>
          <w:sz w:val="24"/>
        </w:rPr>
        <w:t xml:space="preserve">-based chemotherapy (n = 951) and in 0.2% of patients administered only </w:t>
      </w:r>
      <w:proofErr w:type="spellStart"/>
      <w:r w:rsidRPr="004F3B51">
        <w:rPr>
          <w:rFonts w:ascii="Times New Roman" w:hAnsi="Times New Roman"/>
          <w:sz w:val="24"/>
        </w:rPr>
        <w:t>irinotecan</w:t>
      </w:r>
      <w:proofErr w:type="spellEnd"/>
      <w:r w:rsidRPr="004F3B51">
        <w:rPr>
          <w:rFonts w:ascii="Times New Roman" w:hAnsi="Times New Roman"/>
          <w:sz w:val="24"/>
        </w:rPr>
        <w:t xml:space="preserve">-based chemotherapy (n = 594).  In clinical studies with </w:t>
      </w:r>
      <w:proofErr w:type="spellStart"/>
      <w:r w:rsidRPr="004F3B51">
        <w:rPr>
          <w:rFonts w:ascii="Times New Roman" w:hAnsi="Times New Roman"/>
          <w:sz w:val="24"/>
        </w:rPr>
        <w:t>oxaliplatin</w:t>
      </w:r>
      <w:proofErr w:type="spellEnd"/>
      <w:r w:rsidRPr="004F3B51">
        <w:rPr>
          <w:rFonts w:ascii="Times New Roman" w:hAnsi="Times New Roman"/>
          <w:sz w:val="24"/>
        </w:rPr>
        <w:t xml:space="preserve">-based chemotherapy, severe infusion reactions (NCI-CTC grade 3 and 4) occurred in 2.4% of patients administered </w:t>
      </w:r>
      <w:proofErr w:type="spellStart"/>
      <w:r w:rsidRPr="004F3B51">
        <w:rPr>
          <w:rFonts w:ascii="Times New Roman" w:hAnsi="Times New Roman"/>
          <w:sz w:val="24"/>
        </w:rPr>
        <w:t>Vectibix</w:t>
      </w:r>
      <w:proofErr w:type="spellEnd"/>
      <w:r w:rsidRPr="004F3B51">
        <w:rPr>
          <w:rFonts w:ascii="Times New Roman" w:hAnsi="Times New Roman"/>
          <w:sz w:val="24"/>
        </w:rPr>
        <w:t xml:space="preserve"> in combination with </w:t>
      </w:r>
      <w:proofErr w:type="spellStart"/>
      <w:r w:rsidRPr="004F3B51">
        <w:rPr>
          <w:rFonts w:ascii="Times New Roman" w:hAnsi="Times New Roman"/>
          <w:sz w:val="24"/>
        </w:rPr>
        <w:t>oxaliplatin</w:t>
      </w:r>
      <w:proofErr w:type="spellEnd"/>
      <w:r w:rsidRPr="004F3B51">
        <w:rPr>
          <w:rFonts w:ascii="Times New Roman" w:hAnsi="Times New Roman"/>
          <w:sz w:val="24"/>
        </w:rPr>
        <w:t xml:space="preserve">-based chemotherapy (n = 585) and 2.4% of patients administered only </w:t>
      </w:r>
      <w:proofErr w:type="spellStart"/>
      <w:r w:rsidRPr="004F3B51">
        <w:rPr>
          <w:rFonts w:ascii="Times New Roman" w:hAnsi="Times New Roman"/>
          <w:sz w:val="24"/>
        </w:rPr>
        <w:t>oxaliplatin</w:t>
      </w:r>
      <w:proofErr w:type="spellEnd"/>
      <w:r w:rsidRPr="004F3B51">
        <w:rPr>
          <w:rFonts w:ascii="Times New Roman" w:hAnsi="Times New Roman"/>
          <w:sz w:val="24"/>
        </w:rPr>
        <w:t>-based chemotherapy (n = 584).</w:t>
      </w:r>
      <w:r w:rsidR="0057771B" w:rsidRPr="004F3B51">
        <w:rPr>
          <w:rFonts w:ascii="Times New Roman" w:hAnsi="Times New Roman"/>
          <w:sz w:val="24"/>
        </w:rPr>
        <w:t>*</w:t>
      </w:r>
    </w:p>
    <w:p w:rsidR="00EC68C2" w:rsidRPr="00821191" w:rsidRDefault="00EC68C2" w:rsidP="00B87F0D">
      <w:pPr>
        <w:pStyle w:val="Text"/>
        <w:spacing w:after="0" w:line="240" w:lineRule="auto"/>
        <w:rPr>
          <w:rFonts w:ascii="Times New Roman" w:hAnsi="Times New Roman"/>
          <w:color w:val="000000"/>
          <w:sz w:val="24"/>
        </w:rPr>
      </w:pPr>
    </w:p>
    <w:p w:rsidR="00F10F48" w:rsidRPr="00821191" w:rsidRDefault="00F10F48" w:rsidP="00940C54">
      <w:pPr>
        <w:pStyle w:val="Heading3"/>
        <w:spacing w:after="0" w:line="240" w:lineRule="auto"/>
        <w:rPr>
          <w:rFonts w:ascii="Times New Roman" w:hAnsi="Times New Roman"/>
          <w:i w:val="0"/>
          <w:iCs/>
          <w:color w:val="000000"/>
          <w:sz w:val="24"/>
        </w:rPr>
      </w:pPr>
      <w:r w:rsidRPr="00821191">
        <w:rPr>
          <w:rFonts w:ascii="Times New Roman" w:hAnsi="Times New Roman"/>
          <w:i w:val="0"/>
          <w:iCs/>
          <w:color w:val="000000"/>
          <w:sz w:val="24"/>
        </w:rPr>
        <w:t>Other Hypersensitivity Reactions</w:t>
      </w:r>
    </w:p>
    <w:p w:rsidR="00F84F08" w:rsidRPr="004F3B51" w:rsidRDefault="00F10F48" w:rsidP="00F10F48">
      <w:pPr>
        <w:pStyle w:val="Text"/>
        <w:spacing w:after="0" w:line="240" w:lineRule="auto"/>
        <w:rPr>
          <w:rFonts w:ascii="Times New Roman" w:hAnsi="Times New Roman"/>
          <w:sz w:val="24"/>
        </w:rPr>
      </w:pPr>
      <w:r w:rsidRPr="004F3B51">
        <w:rPr>
          <w:rFonts w:ascii="Times New Roman" w:hAnsi="Times New Roman"/>
          <w:sz w:val="24"/>
        </w:rPr>
        <w:t xml:space="preserve">A case of fatal </w:t>
      </w:r>
      <w:proofErr w:type="spellStart"/>
      <w:r w:rsidRPr="004F3B51">
        <w:rPr>
          <w:rFonts w:ascii="Times New Roman" w:hAnsi="Times New Roman"/>
          <w:sz w:val="24"/>
        </w:rPr>
        <w:t>angioedema</w:t>
      </w:r>
      <w:proofErr w:type="spellEnd"/>
      <w:r w:rsidRPr="004F3B51">
        <w:rPr>
          <w:rFonts w:ascii="Times New Roman" w:hAnsi="Times New Roman"/>
          <w:sz w:val="24"/>
        </w:rPr>
        <w:t xml:space="preserve"> occurred in a patient with recurrent and metastatic </w:t>
      </w:r>
      <w:proofErr w:type="spellStart"/>
      <w:r w:rsidRPr="004F3B51">
        <w:rPr>
          <w:rFonts w:ascii="Times New Roman" w:hAnsi="Times New Roman"/>
          <w:sz w:val="24"/>
        </w:rPr>
        <w:t>squamous</w:t>
      </w:r>
      <w:proofErr w:type="spellEnd"/>
      <w:r w:rsidRPr="004F3B51">
        <w:rPr>
          <w:rFonts w:ascii="Times New Roman" w:hAnsi="Times New Roman"/>
          <w:sz w:val="24"/>
        </w:rPr>
        <w:t xml:space="preserve"> cell carcinoma of the head and neck treated with </w:t>
      </w:r>
      <w:proofErr w:type="spellStart"/>
      <w:r w:rsidR="009B24E3" w:rsidRPr="004F3B51">
        <w:rPr>
          <w:rFonts w:ascii="Times New Roman" w:hAnsi="Times New Roman"/>
          <w:sz w:val="24"/>
        </w:rPr>
        <w:t>panitumumab</w:t>
      </w:r>
      <w:proofErr w:type="spellEnd"/>
      <w:r w:rsidRPr="004F3B51">
        <w:rPr>
          <w:rFonts w:ascii="Times New Roman" w:hAnsi="Times New Roman"/>
          <w:sz w:val="24"/>
        </w:rPr>
        <w:t xml:space="preserve"> in a clinical trial.  The fatal event occurred after re-exposure following a prior episode of </w:t>
      </w:r>
      <w:proofErr w:type="spellStart"/>
      <w:r w:rsidRPr="004F3B51">
        <w:rPr>
          <w:rFonts w:ascii="Times New Roman" w:hAnsi="Times New Roman"/>
          <w:sz w:val="24"/>
        </w:rPr>
        <w:t>angioedema</w:t>
      </w:r>
      <w:proofErr w:type="spellEnd"/>
      <w:r w:rsidRPr="004F3B51">
        <w:rPr>
          <w:rFonts w:ascii="Times New Roman" w:hAnsi="Times New Roman"/>
          <w:sz w:val="24"/>
        </w:rPr>
        <w:t>; both episodes occurred more than 24 hours after administration</w:t>
      </w:r>
      <w:r w:rsidR="00940C54" w:rsidRPr="004F3B51">
        <w:rPr>
          <w:rFonts w:ascii="Times New Roman" w:hAnsi="Times New Roman"/>
          <w:sz w:val="24"/>
        </w:rPr>
        <w:t>.</w:t>
      </w:r>
    </w:p>
    <w:p w:rsidR="00F10F48" w:rsidRPr="009C1494" w:rsidRDefault="00F10F48" w:rsidP="00F10F48">
      <w:pPr>
        <w:pStyle w:val="Text"/>
        <w:spacing w:after="0" w:line="240" w:lineRule="auto"/>
        <w:rPr>
          <w:rFonts w:ascii="Times New Roman" w:hAnsi="Times New Roman"/>
          <w:sz w:val="24"/>
        </w:rPr>
      </w:pPr>
    </w:p>
    <w:p w:rsidR="00AA7FFD" w:rsidRPr="009C1494" w:rsidRDefault="00AA7FFD">
      <w:pPr>
        <w:pStyle w:val="Heading3"/>
        <w:spacing w:after="0" w:line="240" w:lineRule="auto"/>
        <w:rPr>
          <w:rFonts w:ascii="Times New Roman" w:eastAsia="Arial Unicode MS" w:hAnsi="Times New Roman"/>
          <w:bCs/>
          <w:i w:val="0"/>
          <w:iCs/>
          <w:sz w:val="24"/>
        </w:rPr>
      </w:pPr>
      <w:r w:rsidRPr="009C1494">
        <w:rPr>
          <w:rFonts w:ascii="Times New Roman" w:hAnsi="Times New Roman"/>
          <w:i w:val="0"/>
          <w:iCs/>
          <w:sz w:val="24"/>
        </w:rPr>
        <w:t>Electrolyte Depletion</w:t>
      </w:r>
    </w:p>
    <w:p w:rsidR="006525F9" w:rsidRPr="009C1494" w:rsidRDefault="00AA7FFD">
      <w:pPr>
        <w:pStyle w:val="Text"/>
        <w:spacing w:after="0" w:line="240" w:lineRule="auto"/>
        <w:rPr>
          <w:rFonts w:ascii="Times New Roman" w:hAnsi="Times New Roman"/>
          <w:sz w:val="24"/>
        </w:rPr>
      </w:pPr>
      <w:r w:rsidRPr="004F3B51">
        <w:rPr>
          <w:rFonts w:ascii="Times New Roman" w:hAnsi="Times New Roman"/>
          <w:sz w:val="24"/>
        </w:rPr>
        <w:t xml:space="preserve">In clinical studies in which magnesium levels were collected at specified time intervals during treatment with </w:t>
      </w:r>
      <w:proofErr w:type="spellStart"/>
      <w:r w:rsidR="009B24E3" w:rsidRPr="004F3B51">
        <w:rPr>
          <w:rFonts w:ascii="Times New Roman" w:hAnsi="Times New Roman"/>
          <w:sz w:val="24"/>
        </w:rPr>
        <w:t>panitumumab</w:t>
      </w:r>
      <w:proofErr w:type="spellEnd"/>
      <w:r w:rsidRPr="004F3B51">
        <w:rPr>
          <w:rFonts w:ascii="Times New Roman" w:hAnsi="Times New Roman"/>
          <w:sz w:val="24"/>
        </w:rPr>
        <w:t>, hypomagnes</w:t>
      </w:r>
      <w:r w:rsidR="007C48E3" w:rsidRPr="004F3B51">
        <w:rPr>
          <w:rFonts w:ascii="Times New Roman" w:hAnsi="Times New Roman"/>
          <w:sz w:val="24"/>
        </w:rPr>
        <w:t>a</w:t>
      </w:r>
      <w:r w:rsidRPr="004F3B51">
        <w:rPr>
          <w:rFonts w:ascii="Times New Roman" w:hAnsi="Times New Roman"/>
          <w:sz w:val="24"/>
        </w:rPr>
        <w:t>emia (any grade) was observed in 250/649 (39%) of patients assessed and occurred at various time points during treatment.  Grade 3 or higher hypomagnes</w:t>
      </w:r>
      <w:r w:rsidR="007C48E3" w:rsidRPr="004F3B51">
        <w:rPr>
          <w:rFonts w:ascii="Times New Roman" w:hAnsi="Times New Roman"/>
          <w:sz w:val="24"/>
        </w:rPr>
        <w:t>a</w:t>
      </w:r>
      <w:r w:rsidRPr="004F3B51">
        <w:rPr>
          <w:rFonts w:ascii="Times New Roman" w:hAnsi="Times New Roman"/>
          <w:sz w:val="24"/>
        </w:rPr>
        <w:t xml:space="preserve">emia was reported in 32/649 (5%) of patients, most of </w:t>
      </w:r>
      <w:r w:rsidRPr="004F3B51">
        <w:rPr>
          <w:rFonts w:ascii="Times New Roman" w:hAnsi="Times New Roman"/>
          <w:sz w:val="24"/>
        </w:rPr>
        <w:lastRenderedPageBreak/>
        <w:t>whom received IV electrolyte repletion.  Serious cases of hypomagnes</w:t>
      </w:r>
      <w:r w:rsidR="007C48E3" w:rsidRPr="004F3B51">
        <w:rPr>
          <w:rFonts w:ascii="Times New Roman" w:hAnsi="Times New Roman"/>
          <w:sz w:val="24"/>
        </w:rPr>
        <w:t>a</w:t>
      </w:r>
      <w:r w:rsidRPr="004F3B51">
        <w:rPr>
          <w:rFonts w:ascii="Times New Roman" w:hAnsi="Times New Roman"/>
          <w:sz w:val="24"/>
        </w:rPr>
        <w:t xml:space="preserve">emia occurred 6 weeks or longer after the initiation of </w:t>
      </w:r>
      <w:proofErr w:type="spellStart"/>
      <w:r w:rsidR="009B24E3" w:rsidRPr="004F3B51">
        <w:rPr>
          <w:rFonts w:ascii="Times New Roman" w:hAnsi="Times New Roman"/>
          <w:sz w:val="24"/>
        </w:rPr>
        <w:t>panitumumab</w:t>
      </w:r>
      <w:proofErr w:type="spellEnd"/>
      <w:r w:rsidR="00ED15A2" w:rsidRPr="004F3B51">
        <w:rPr>
          <w:rFonts w:ascii="Times New Roman" w:hAnsi="Times New Roman"/>
          <w:caps/>
          <w:sz w:val="24"/>
        </w:rPr>
        <w:t>.</w:t>
      </w:r>
      <w:r w:rsidRPr="004F3B51">
        <w:rPr>
          <w:rFonts w:ascii="Times New Roman" w:hAnsi="Times New Roman"/>
          <w:caps/>
          <w:sz w:val="24"/>
        </w:rPr>
        <w:t xml:space="preserve">  </w:t>
      </w:r>
      <w:r w:rsidRPr="004F3B51">
        <w:rPr>
          <w:rFonts w:ascii="Times New Roman" w:hAnsi="Times New Roman"/>
          <w:sz w:val="24"/>
        </w:rPr>
        <w:t>In 5/649 (&lt; 1%) of patients, adverse reactions of hypomagnes</w:t>
      </w:r>
      <w:r w:rsidR="007C48E3" w:rsidRPr="004F3B51">
        <w:rPr>
          <w:rFonts w:ascii="Times New Roman" w:hAnsi="Times New Roman"/>
          <w:sz w:val="24"/>
        </w:rPr>
        <w:t>a</w:t>
      </w:r>
      <w:r w:rsidRPr="004F3B51">
        <w:rPr>
          <w:rFonts w:ascii="Times New Roman" w:hAnsi="Times New Roman"/>
          <w:sz w:val="24"/>
        </w:rPr>
        <w:t>emia were associated with adverse reactions of hypocalc</w:t>
      </w:r>
      <w:r w:rsidR="007C48E3" w:rsidRPr="004F3B51">
        <w:rPr>
          <w:rFonts w:ascii="Times New Roman" w:hAnsi="Times New Roman"/>
          <w:sz w:val="24"/>
        </w:rPr>
        <w:t>a</w:t>
      </w:r>
      <w:r w:rsidRPr="004F3B51">
        <w:rPr>
          <w:rFonts w:ascii="Times New Roman" w:hAnsi="Times New Roman"/>
          <w:sz w:val="24"/>
        </w:rPr>
        <w:t xml:space="preserve">emia. </w:t>
      </w:r>
      <w:r w:rsidRPr="009C1494">
        <w:rPr>
          <w:rFonts w:ascii="Times New Roman" w:hAnsi="Times New Roman"/>
          <w:sz w:val="24"/>
        </w:rPr>
        <w:t xml:space="preserve"> Patients’ electrolytes should be periodically monitored during and for 8 weeks after the completion of </w:t>
      </w:r>
      <w:proofErr w:type="spellStart"/>
      <w:r w:rsidR="009B24E3" w:rsidRPr="004F3B51">
        <w:rPr>
          <w:rFonts w:ascii="Times New Roman" w:hAnsi="Times New Roman"/>
          <w:sz w:val="24"/>
        </w:rPr>
        <w:t>panitumumab</w:t>
      </w:r>
      <w:proofErr w:type="spellEnd"/>
      <w:r w:rsidRPr="004F3B51">
        <w:rPr>
          <w:rFonts w:ascii="Times New Roman" w:hAnsi="Times New Roman"/>
          <w:sz w:val="24"/>
        </w:rPr>
        <w:t xml:space="preserve"> </w:t>
      </w:r>
      <w:r w:rsidRPr="009C1494">
        <w:rPr>
          <w:rFonts w:ascii="Times New Roman" w:hAnsi="Times New Roman"/>
          <w:sz w:val="24"/>
        </w:rPr>
        <w:t>therapy (see PRECAUTIONS).</w:t>
      </w:r>
    </w:p>
    <w:p w:rsidR="006525F9" w:rsidRPr="009C1494" w:rsidRDefault="006525F9">
      <w:pPr>
        <w:pStyle w:val="Text"/>
        <w:spacing w:after="0" w:line="240" w:lineRule="auto"/>
        <w:rPr>
          <w:rFonts w:ascii="Times New Roman" w:hAnsi="Times New Roman"/>
          <w:sz w:val="24"/>
        </w:rPr>
      </w:pPr>
    </w:p>
    <w:p w:rsidR="000E3C2C" w:rsidRPr="00F56FFF" w:rsidRDefault="00F60450" w:rsidP="00F56FFF">
      <w:pPr>
        <w:pStyle w:val="Heading3"/>
        <w:spacing w:after="0" w:line="240" w:lineRule="auto"/>
        <w:rPr>
          <w:rFonts w:ascii="Times New Roman" w:hAnsi="Times New Roman"/>
          <w:i w:val="0"/>
          <w:iCs/>
          <w:sz w:val="24"/>
        </w:rPr>
      </w:pPr>
      <w:proofErr w:type="spellStart"/>
      <w:r w:rsidRPr="00F56FFF">
        <w:rPr>
          <w:rFonts w:ascii="Times New Roman" w:hAnsi="Times New Roman"/>
          <w:i w:val="0"/>
          <w:iCs/>
          <w:sz w:val="24"/>
        </w:rPr>
        <w:t>P</w:t>
      </w:r>
      <w:r w:rsidR="000E3C2C" w:rsidRPr="00F56FFF">
        <w:rPr>
          <w:rFonts w:ascii="Times New Roman" w:hAnsi="Times New Roman"/>
          <w:i w:val="0"/>
          <w:iCs/>
          <w:sz w:val="24"/>
        </w:rPr>
        <w:t>ostmarketing</w:t>
      </w:r>
      <w:proofErr w:type="spellEnd"/>
      <w:r w:rsidR="000E3C2C" w:rsidRPr="00F56FFF">
        <w:rPr>
          <w:rFonts w:ascii="Times New Roman" w:hAnsi="Times New Roman"/>
          <w:i w:val="0"/>
          <w:iCs/>
          <w:sz w:val="24"/>
        </w:rPr>
        <w:t xml:space="preserve"> Experience</w:t>
      </w:r>
    </w:p>
    <w:p w:rsidR="00F60450" w:rsidRPr="00F56FFF" w:rsidRDefault="00F60450" w:rsidP="00F60450">
      <w:pPr>
        <w:pStyle w:val="Heading3"/>
        <w:spacing w:after="0" w:line="240" w:lineRule="auto"/>
        <w:rPr>
          <w:rFonts w:ascii="Times New Roman" w:hAnsi="Times New Roman"/>
          <w:bCs/>
          <w:iCs/>
          <w:color w:val="000000"/>
          <w:sz w:val="24"/>
        </w:rPr>
      </w:pPr>
      <w:r w:rsidRPr="00F56FFF">
        <w:rPr>
          <w:rFonts w:ascii="Times New Roman" w:hAnsi="Times New Roman"/>
          <w:bCs/>
          <w:iCs/>
          <w:color w:val="000000"/>
          <w:sz w:val="24"/>
        </w:rPr>
        <w:t>Infusion Reactions</w:t>
      </w:r>
    </w:p>
    <w:bookmarkEnd w:id="8"/>
    <w:p w:rsidR="00AA7FFD" w:rsidRPr="004F3B51" w:rsidRDefault="00922092" w:rsidP="00000BBF">
      <w:pPr>
        <w:pStyle w:val="Text"/>
        <w:spacing w:after="0" w:line="240" w:lineRule="auto"/>
        <w:rPr>
          <w:rFonts w:ascii="Times New Roman" w:hAnsi="Times New Roman"/>
          <w:sz w:val="24"/>
        </w:rPr>
      </w:pPr>
      <w:r w:rsidRPr="004F3B51">
        <w:rPr>
          <w:rFonts w:ascii="Times New Roman" w:hAnsi="Times New Roman"/>
          <w:sz w:val="24"/>
        </w:rPr>
        <w:t>S</w:t>
      </w:r>
      <w:r w:rsidR="00E67C7F" w:rsidRPr="004F3B51">
        <w:rPr>
          <w:rFonts w:ascii="Times New Roman" w:hAnsi="Times New Roman"/>
          <w:sz w:val="24"/>
        </w:rPr>
        <w:t xml:space="preserve">erious infusion reactions have been reported in &lt; 1% of patients, very rarely with a fatal </w:t>
      </w:r>
      <w:r w:rsidR="00456576" w:rsidRPr="004F3B51">
        <w:rPr>
          <w:rFonts w:ascii="Times New Roman" w:hAnsi="Times New Roman"/>
          <w:sz w:val="24"/>
        </w:rPr>
        <w:t xml:space="preserve">outcome (&lt; </w:t>
      </w:r>
      <w:r w:rsidR="00E67C7F" w:rsidRPr="004F3B51">
        <w:rPr>
          <w:rFonts w:ascii="Times New Roman" w:hAnsi="Times New Roman"/>
          <w:sz w:val="24"/>
        </w:rPr>
        <w:t>0.01%)</w:t>
      </w:r>
      <w:r w:rsidR="00F60450" w:rsidRPr="004F3B51">
        <w:rPr>
          <w:rFonts w:ascii="Times New Roman" w:hAnsi="Times New Roman"/>
          <w:sz w:val="24"/>
        </w:rPr>
        <w:t>.</w:t>
      </w:r>
      <w:r w:rsidR="007C72FA" w:rsidRPr="004F3B51">
        <w:rPr>
          <w:rFonts w:ascii="Times New Roman" w:hAnsi="Times New Roman"/>
          <w:sz w:val="24"/>
        </w:rPr>
        <w:t xml:space="preserve"> </w:t>
      </w:r>
      <w:r w:rsidRPr="004F3B51">
        <w:rPr>
          <w:rFonts w:ascii="Times New Roman" w:hAnsi="Times New Roman"/>
          <w:sz w:val="24"/>
        </w:rPr>
        <w:t xml:space="preserve"> </w:t>
      </w:r>
      <w:r w:rsidR="007C72FA" w:rsidRPr="004F3B51">
        <w:rPr>
          <w:rFonts w:ascii="Times New Roman" w:hAnsi="Times New Roman"/>
          <w:sz w:val="24"/>
        </w:rPr>
        <w:t xml:space="preserve">Adverse events associated with serious infusion reactions have included </w:t>
      </w:r>
      <w:proofErr w:type="spellStart"/>
      <w:r w:rsidR="007C72FA" w:rsidRPr="004F3B51">
        <w:rPr>
          <w:rFonts w:ascii="Times New Roman" w:hAnsi="Times New Roman"/>
          <w:sz w:val="24"/>
        </w:rPr>
        <w:t>cardiorespiratory</w:t>
      </w:r>
      <w:proofErr w:type="spellEnd"/>
      <w:r w:rsidR="007C72FA" w:rsidRPr="004F3B51">
        <w:rPr>
          <w:rFonts w:ascii="Times New Roman" w:hAnsi="Times New Roman"/>
          <w:sz w:val="24"/>
        </w:rPr>
        <w:t xml:space="preserve"> </w:t>
      </w:r>
      <w:r w:rsidR="008F4162" w:rsidRPr="004F3B51">
        <w:rPr>
          <w:rFonts w:ascii="Times New Roman" w:hAnsi="Times New Roman"/>
          <w:sz w:val="24"/>
        </w:rPr>
        <w:t>arrest, anaphylaxis</w:t>
      </w:r>
      <w:r w:rsidR="007C72FA" w:rsidRPr="004F3B51">
        <w:rPr>
          <w:rFonts w:ascii="Times New Roman" w:hAnsi="Times New Roman"/>
          <w:sz w:val="24"/>
        </w:rPr>
        <w:t xml:space="preserve">, and increased </w:t>
      </w:r>
      <w:r w:rsidR="004F3B51" w:rsidRPr="004F3B51">
        <w:rPr>
          <w:rFonts w:ascii="Times New Roman" w:hAnsi="Times New Roman"/>
          <w:sz w:val="24"/>
        </w:rPr>
        <w:t>blood pressure.</w:t>
      </w:r>
      <w:r w:rsidR="0057771B" w:rsidRPr="004F3B51">
        <w:rPr>
          <w:rFonts w:ascii="Times New Roman" w:hAnsi="Times New Roman"/>
          <w:sz w:val="24"/>
        </w:rPr>
        <w:t>*</w:t>
      </w:r>
    </w:p>
    <w:p w:rsidR="00075D02" w:rsidRPr="004F3B51" w:rsidRDefault="00075D02" w:rsidP="007C72FA">
      <w:pPr>
        <w:pStyle w:val="Heading3"/>
        <w:spacing w:after="0" w:line="240" w:lineRule="auto"/>
        <w:rPr>
          <w:rFonts w:ascii="Times New Roman" w:hAnsi="Times New Roman"/>
          <w:i w:val="0"/>
          <w:iCs/>
          <w:sz w:val="24"/>
        </w:rPr>
      </w:pPr>
    </w:p>
    <w:p w:rsidR="007C72FA" w:rsidRPr="00F56FFF" w:rsidRDefault="000C4860" w:rsidP="007C72FA">
      <w:pPr>
        <w:pStyle w:val="Heading3"/>
        <w:spacing w:after="0" w:line="240" w:lineRule="auto"/>
        <w:rPr>
          <w:rFonts w:ascii="Times New Roman" w:hAnsi="Times New Roman"/>
          <w:bCs/>
          <w:iCs/>
          <w:color w:val="000000"/>
          <w:sz w:val="24"/>
        </w:rPr>
      </w:pPr>
      <w:r w:rsidRPr="00F56FFF">
        <w:rPr>
          <w:rFonts w:ascii="Times New Roman" w:hAnsi="Times New Roman"/>
          <w:bCs/>
          <w:iCs/>
          <w:color w:val="000000"/>
          <w:sz w:val="24"/>
        </w:rPr>
        <w:t>Dermatologic Toxicity and Related Disorders</w:t>
      </w:r>
    </w:p>
    <w:p w:rsidR="008266B7" w:rsidRPr="004F3B51" w:rsidRDefault="000C4860" w:rsidP="00000BBF">
      <w:pPr>
        <w:pStyle w:val="Text"/>
        <w:spacing w:after="0" w:line="240" w:lineRule="auto"/>
        <w:rPr>
          <w:rFonts w:ascii="Times New Roman" w:hAnsi="Times New Roman"/>
          <w:sz w:val="24"/>
        </w:rPr>
      </w:pPr>
      <w:r w:rsidRPr="004F3B51">
        <w:rPr>
          <w:rFonts w:ascii="Times New Roman" w:hAnsi="Times New Roman"/>
          <w:sz w:val="24"/>
        </w:rPr>
        <w:t>Cases of s</w:t>
      </w:r>
      <w:r w:rsidR="007C72FA" w:rsidRPr="004F3B51">
        <w:rPr>
          <w:rFonts w:ascii="Times New Roman" w:hAnsi="Times New Roman"/>
          <w:sz w:val="24"/>
        </w:rPr>
        <w:t>kin necrosis</w:t>
      </w:r>
      <w:r w:rsidRPr="004F3B51">
        <w:rPr>
          <w:rFonts w:ascii="Times New Roman" w:hAnsi="Times New Roman"/>
          <w:sz w:val="24"/>
        </w:rPr>
        <w:t xml:space="preserve"> have been reported.</w:t>
      </w:r>
      <w:r w:rsidR="0057771B" w:rsidRPr="004F3B51">
        <w:rPr>
          <w:rFonts w:ascii="Times New Roman" w:hAnsi="Times New Roman"/>
          <w:sz w:val="24"/>
        </w:rPr>
        <w:t>*</w:t>
      </w:r>
      <w:r w:rsidRPr="004F3B51">
        <w:rPr>
          <w:rFonts w:ascii="Times New Roman" w:hAnsi="Times New Roman"/>
          <w:sz w:val="24"/>
        </w:rPr>
        <w:t xml:space="preserve"> </w:t>
      </w:r>
    </w:p>
    <w:p w:rsidR="008266B7" w:rsidRDefault="008266B7" w:rsidP="00000BBF">
      <w:pPr>
        <w:pStyle w:val="Text"/>
        <w:spacing w:after="0" w:line="240" w:lineRule="auto"/>
        <w:rPr>
          <w:rFonts w:ascii="Times New Roman" w:hAnsi="Times New Roman"/>
          <w:sz w:val="24"/>
        </w:rPr>
      </w:pPr>
    </w:p>
    <w:p w:rsidR="00DC3841" w:rsidRPr="00DA0813" w:rsidRDefault="00DC3841" w:rsidP="00DC3841">
      <w:pPr>
        <w:pStyle w:val="Heading3"/>
        <w:spacing w:after="0" w:line="240" w:lineRule="auto"/>
        <w:rPr>
          <w:rFonts w:ascii="Times New Roman" w:hAnsi="Times New Roman"/>
          <w:i w:val="0"/>
          <w:iCs/>
          <w:sz w:val="24"/>
        </w:rPr>
      </w:pPr>
      <w:r w:rsidRPr="00DA0813">
        <w:rPr>
          <w:rFonts w:ascii="Times New Roman" w:hAnsi="Times New Roman"/>
          <w:i w:val="0"/>
          <w:iCs/>
          <w:sz w:val="24"/>
        </w:rPr>
        <w:t xml:space="preserve">Ocular Toxicities </w:t>
      </w:r>
    </w:p>
    <w:p w:rsidR="00DC3841" w:rsidRDefault="00DC3841" w:rsidP="00DC3841">
      <w:pPr>
        <w:pStyle w:val="Text"/>
        <w:spacing w:after="0" w:line="240" w:lineRule="auto"/>
        <w:rPr>
          <w:rFonts w:ascii="Times New Roman" w:hAnsi="Times New Roman"/>
          <w:sz w:val="24"/>
        </w:rPr>
      </w:pPr>
      <w:r w:rsidRPr="00DA0813">
        <w:rPr>
          <w:rFonts w:ascii="Times New Roman" w:hAnsi="Times New Roman"/>
          <w:sz w:val="24"/>
        </w:rPr>
        <w:t xml:space="preserve">Serious cases of </w:t>
      </w:r>
      <w:proofErr w:type="spellStart"/>
      <w:r w:rsidRPr="00DA0813">
        <w:rPr>
          <w:rFonts w:ascii="Times New Roman" w:hAnsi="Times New Roman"/>
          <w:sz w:val="24"/>
        </w:rPr>
        <w:t>keratitis</w:t>
      </w:r>
      <w:proofErr w:type="spellEnd"/>
      <w:r w:rsidRPr="00DA0813">
        <w:rPr>
          <w:rFonts w:ascii="Times New Roman" w:hAnsi="Times New Roman"/>
          <w:sz w:val="24"/>
        </w:rPr>
        <w:t xml:space="preserve"> and/or ulcerative </w:t>
      </w:r>
      <w:proofErr w:type="spellStart"/>
      <w:r w:rsidRPr="00DA0813">
        <w:rPr>
          <w:rFonts w:ascii="Times New Roman" w:hAnsi="Times New Roman"/>
          <w:sz w:val="24"/>
        </w:rPr>
        <w:t>keratitis</w:t>
      </w:r>
      <w:proofErr w:type="spellEnd"/>
      <w:r w:rsidRPr="00DA0813">
        <w:rPr>
          <w:rFonts w:ascii="Times New Roman" w:hAnsi="Times New Roman"/>
          <w:sz w:val="24"/>
        </w:rPr>
        <w:t xml:space="preserve"> h</w:t>
      </w:r>
      <w:r>
        <w:rPr>
          <w:rFonts w:ascii="Times New Roman" w:hAnsi="Times New Roman"/>
          <w:sz w:val="24"/>
        </w:rPr>
        <w:t>ave been reported very rarely.*</w:t>
      </w:r>
    </w:p>
    <w:p w:rsidR="00DC3841" w:rsidRDefault="00DC3841" w:rsidP="00000BBF">
      <w:pPr>
        <w:pStyle w:val="Text"/>
        <w:spacing w:after="0" w:line="240" w:lineRule="auto"/>
        <w:rPr>
          <w:rFonts w:ascii="Times New Roman" w:hAnsi="Times New Roman"/>
          <w:sz w:val="24"/>
        </w:rPr>
      </w:pPr>
    </w:p>
    <w:p w:rsidR="00AA7FFD" w:rsidRPr="009C1494" w:rsidRDefault="00AA7FFD">
      <w:pPr>
        <w:pStyle w:val="Heading1"/>
      </w:pPr>
      <w:r>
        <w:t xml:space="preserve">DOSAGE AND </w:t>
      </w:r>
      <w:r w:rsidRPr="009C1494">
        <w:t>ADMINISTRATION</w:t>
      </w:r>
    </w:p>
    <w:p w:rsidR="00AA7FFD" w:rsidRPr="009C1494" w:rsidRDefault="00AA7FFD">
      <w:pPr>
        <w:pStyle w:val="Text"/>
        <w:spacing w:after="0" w:line="240" w:lineRule="auto"/>
        <w:rPr>
          <w:rFonts w:ascii="Times New Roman" w:hAnsi="Times New Roman"/>
          <w:sz w:val="24"/>
        </w:rPr>
      </w:pPr>
      <w:r w:rsidRPr="009C1494">
        <w:rPr>
          <w:rFonts w:ascii="Times New Roman" w:hAnsi="Times New Roman"/>
          <w:sz w:val="24"/>
        </w:rPr>
        <w:t xml:space="preserve">The recommended dose of </w:t>
      </w:r>
      <w:proofErr w:type="spellStart"/>
      <w:r w:rsidR="006E463F" w:rsidRPr="009C1494">
        <w:rPr>
          <w:rFonts w:ascii="Times New Roman" w:hAnsi="Times New Roman"/>
          <w:sz w:val="24"/>
        </w:rPr>
        <w:t>Vectibix</w:t>
      </w:r>
      <w:proofErr w:type="spellEnd"/>
      <w:r w:rsidRPr="009C1494">
        <w:rPr>
          <w:rFonts w:ascii="Times New Roman" w:hAnsi="Times New Roman"/>
          <w:sz w:val="24"/>
        </w:rPr>
        <w:t xml:space="preserve"> is 6 mg/kg given once every 2 weeks.</w:t>
      </w:r>
      <w:r w:rsidR="00DA0B9A" w:rsidRPr="009C1494">
        <w:rPr>
          <w:rFonts w:ascii="Times New Roman" w:hAnsi="Times New Roman"/>
          <w:sz w:val="24"/>
        </w:rPr>
        <w:t xml:space="preserve"> </w:t>
      </w:r>
      <w:r w:rsidR="00FE6101" w:rsidRPr="009C1494">
        <w:rPr>
          <w:rFonts w:ascii="Times New Roman" w:hAnsi="Times New Roman"/>
          <w:sz w:val="24"/>
        </w:rPr>
        <w:t xml:space="preserve"> </w:t>
      </w:r>
      <w:r w:rsidR="00DA0B9A" w:rsidRPr="009C1494">
        <w:rPr>
          <w:rFonts w:ascii="Times New Roman" w:hAnsi="Times New Roman"/>
          <w:sz w:val="24"/>
        </w:rPr>
        <w:t xml:space="preserve">It is recommended that </w:t>
      </w:r>
      <w:proofErr w:type="spellStart"/>
      <w:r w:rsidR="006E463F" w:rsidRPr="009C1494">
        <w:rPr>
          <w:rFonts w:ascii="Times New Roman" w:hAnsi="Times New Roman"/>
          <w:sz w:val="24"/>
        </w:rPr>
        <w:t>Vectibix</w:t>
      </w:r>
      <w:proofErr w:type="spellEnd"/>
      <w:r w:rsidR="00DA0B9A" w:rsidRPr="009C1494">
        <w:rPr>
          <w:rFonts w:ascii="Times New Roman" w:hAnsi="Times New Roman"/>
          <w:sz w:val="24"/>
        </w:rPr>
        <w:t xml:space="preserve"> treatment be continued until pr</w:t>
      </w:r>
      <w:r w:rsidR="008A20D0" w:rsidRPr="009C1494">
        <w:rPr>
          <w:rFonts w:ascii="Times New Roman" w:hAnsi="Times New Roman"/>
          <w:sz w:val="24"/>
        </w:rPr>
        <w:t>ogression of the underlying dis</w:t>
      </w:r>
      <w:r w:rsidR="00DA0B9A" w:rsidRPr="009C1494">
        <w:rPr>
          <w:rFonts w:ascii="Times New Roman" w:hAnsi="Times New Roman"/>
          <w:sz w:val="24"/>
        </w:rPr>
        <w:t>ease.</w:t>
      </w:r>
    </w:p>
    <w:p w:rsidR="008915D9" w:rsidRPr="009C1494" w:rsidRDefault="008915D9">
      <w:pPr>
        <w:pStyle w:val="Text"/>
        <w:spacing w:after="0" w:line="240" w:lineRule="auto"/>
        <w:rPr>
          <w:rFonts w:ascii="Times New Roman" w:hAnsi="Times New Roman"/>
          <w:sz w:val="24"/>
        </w:rPr>
      </w:pPr>
    </w:p>
    <w:p w:rsidR="00AA7FFD" w:rsidRDefault="00AA7FFD" w:rsidP="000570A5">
      <w:pPr>
        <w:pStyle w:val="Text"/>
        <w:keepNext/>
        <w:spacing w:after="0" w:line="240" w:lineRule="auto"/>
        <w:rPr>
          <w:rFonts w:ascii="Times New Roman" w:hAnsi="Times New Roman"/>
          <w:b/>
          <w:bCs/>
          <w:sz w:val="24"/>
        </w:rPr>
      </w:pPr>
      <w:r w:rsidRPr="009C1494">
        <w:rPr>
          <w:rFonts w:ascii="Times New Roman" w:hAnsi="Times New Roman"/>
          <w:b/>
          <w:bCs/>
          <w:sz w:val="24"/>
        </w:rPr>
        <w:t>Dose Modifications</w:t>
      </w:r>
    </w:p>
    <w:p w:rsidR="006F3AF0" w:rsidRPr="004F3B51" w:rsidRDefault="006F3AF0" w:rsidP="008915D9">
      <w:pPr>
        <w:pStyle w:val="Text"/>
        <w:keepNext/>
        <w:spacing w:after="0" w:line="240" w:lineRule="auto"/>
        <w:rPr>
          <w:rFonts w:ascii="Times New Roman" w:hAnsi="Times New Roman"/>
          <w:b/>
          <w:bCs/>
          <w:i/>
          <w:iCs/>
          <w:sz w:val="24"/>
        </w:rPr>
      </w:pPr>
      <w:r w:rsidRPr="004F3B51">
        <w:rPr>
          <w:rFonts w:ascii="Times New Roman" w:hAnsi="Times New Roman"/>
          <w:b/>
          <w:bCs/>
          <w:i/>
          <w:iCs/>
          <w:sz w:val="24"/>
        </w:rPr>
        <w:t>Infusion Reactions</w:t>
      </w:r>
    </w:p>
    <w:p w:rsidR="004E4D47" w:rsidRDefault="00075D02" w:rsidP="008915D9">
      <w:pPr>
        <w:keepNext/>
        <w:keepLines/>
        <w:rPr>
          <w:sz w:val="24"/>
          <w:lang w:val="en-AU"/>
        </w:rPr>
      </w:pPr>
      <w:r w:rsidRPr="004F3B51">
        <w:rPr>
          <w:sz w:val="24"/>
          <w:lang w:val="en-AU"/>
        </w:rPr>
        <w:t xml:space="preserve">The </w:t>
      </w:r>
      <w:r w:rsidR="006F3AF0" w:rsidRPr="004F3B51">
        <w:rPr>
          <w:sz w:val="24"/>
          <w:lang w:val="en-AU"/>
        </w:rPr>
        <w:t xml:space="preserve">infusion rate </w:t>
      </w:r>
      <w:r w:rsidRPr="004F3B51">
        <w:rPr>
          <w:sz w:val="24"/>
          <w:lang w:val="en-AU"/>
        </w:rPr>
        <w:t xml:space="preserve">should be reduced </w:t>
      </w:r>
      <w:r w:rsidR="006F3AF0" w:rsidRPr="004F3B51">
        <w:rPr>
          <w:sz w:val="24"/>
          <w:lang w:val="en-AU"/>
        </w:rPr>
        <w:t>by 50% in patients experiencing a mild or moderate (grade 1 or 2) infusion reaction for the duration of that infusion.</w:t>
      </w:r>
      <w:r w:rsidR="008F1735" w:rsidRPr="004F3B51">
        <w:rPr>
          <w:sz w:val="24"/>
          <w:lang w:val="en-AU"/>
        </w:rPr>
        <w:t xml:space="preserve"> </w:t>
      </w:r>
      <w:r w:rsidR="004247E2" w:rsidRPr="004F3B51">
        <w:rPr>
          <w:sz w:val="24"/>
          <w:lang w:val="en-AU"/>
        </w:rPr>
        <w:t xml:space="preserve"> </w:t>
      </w:r>
    </w:p>
    <w:p w:rsidR="00A70AAC" w:rsidRPr="004F3B51" w:rsidRDefault="00A70AAC" w:rsidP="008915D9">
      <w:pPr>
        <w:keepNext/>
        <w:keepLines/>
        <w:rPr>
          <w:sz w:val="24"/>
          <w:lang w:val="en-AU"/>
        </w:rPr>
      </w:pPr>
    </w:p>
    <w:p w:rsidR="006F3AF0" w:rsidRPr="004F3B51" w:rsidRDefault="00075D02" w:rsidP="008915D9">
      <w:pPr>
        <w:keepNext/>
        <w:keepLines/>
        <w:rPr>
          <w:sz w:val="24"/>
          <w:lang w:val="en-AU"/>
        </w:rPr>
      </w:pPr>
      <w:r w:rsidRPr="004F3B51">
        <w:rPr>
          <w:sz w:val="24"/>
          <w:lang w:val="en-AU"/>
        </w:rPr>
        <w:t>The infusion should be st</w:t>
      </w:r>
      <w:r w:rsidR="006F3AF0" w:rsidRPr="004F3B51">
        <w:rPr>
          <w:sz w:val="24"/>
          <w:lang w:val="en-AU"/>
        </w:rPr>
        <w:t>op</w:t>
      </w:r>
      <w:r w:rsidRPr="004F3B51">
        <w:rPr>
          <w:sz w:val="24"/>
          <w:lang w:val="en-AU"/>
        </w:rPr>
        <w:t>ped</w:t>
      </w:r>
      <w:r w:rsidR="008266B7" w:rsidRPr="004F3B51">
        <w:rPr>
          <w:sz w:val="24"/>
          <w:lang w:val="en-AU"/>
        </w:rPr>
        <w:t xml:space="preserve"> </w:t>
      </w:r>
      <w:r w:rsidR="006F3AF0" w:rsidRPr="004F3B51">
        <w:rPr>
          <w:sz w:val="24"/>
          <w:lang w:val="en-AU"/>
        </w:rPr>
        <w:t xml:space="preserve">if a severe or life-threatening infusion reaction occurs.  Depending on the severity and/or persistence of the reaction, </w:t>
      </w:r>
      <w:r w:rsidRPr="004F3B51">
        <w:rPr>
          <w:sz w:val="24"/>
          <w:lang w:val="en-AU"/>
        </w:rPr>
        <w:t>p</w:t>
      </w:r>
      <w:r w:rsidR="006F3AF0" w:rsidRPr="004F3B51">
        <w:rPr>
          <w:sz w:val="24"/>
          <w:lang w:val="en-AU"/>
        </w:rPr>
        <w:t>ermanent discontinu</w:t>
      </w:r>
      <w:r w:rsidRPr="004F3B51">
        <w:rPr>
          <w:sz w:val="24"/>
          <w:lang w:val="en-AU"/>
        </w:rPr>
        <w:t>ation of</w:t>
      </w:r>
      <w:r w:rsidR="006F3AF0" w:rsidRPr="004F3B51">
        <w:rPr>
          <w:sz w:val="24"/>
          <w:lang w:val="en-AU"/>
        </w:rPr>
        <w:t xml:space="preserve"> </w:t>
      </w:r>
      <w:proofErr w:type="spellStart"/>
      <w:r w:rsidR="006F3AF0" w:rsidRPr="004F3B51">
        <w:rPr>
          <w:sz w:val="24"/>
          <w:lang w:val="en-AU"/>
        </w:rPr>
        <w:t>Vectibix</w:t>
      </w:r>
      <w:proofErr w:type="spellEnd"/>
      <w:r w:rsidRPr="004F3B51">
        <w:rPr>
          <w:sz w:val="24"/>
          <w:lang w:val="en-AU"/>
        </w:rPr>
        <w:t xml:space="preserve"> should be considered</w:t>
      </w:r>
      <w:r w:rsidR="006F3AF0" w:rsidRPr="004F3B51">
        <w:rPr>
          <w:sz w:val="24"/>
          <w:lang w:val="en-AU"/>
        </w:rPr>
        <w:t>.</w:t>
      </w:r>
      <w:r w:rsidR="0057771B" w:rsidRPr="004F3B51">
        <w:rPr>
          <w:sz w:val="24"/>
          <w:lang w:val="en-AU"/>
        </w:rPr>
        <w:t>*</w:t>
      </w:r>
    </w:p>
    <w:p w:rsidR="008253B0" w:rsidRPr="006F3AF0" w:rsidRDefault="008253B0" w:rsidP="006F3AF0">
      <w:pPr>
        <w:pStyle w:val="Text"/>
        <w:spacing w:after="0" w:line="240" w:lineRule="auto"/>
        <w:rPr>
          <w:rFonts w:ascii="Times New Roman" w:hAnsi="Times New Roman"/>
          <w:b/>
          <w:bCs/>
          <w:i/>
          <w:iCs/>
          <w:sz w:val="24"/>
        </w:rPr>
      </w:pPr>
    </w:p>
    <w:p w:rsidR="00AA7FFD" w:rsidRPr="004F3B51" w:rsidRDefault="00AA7FFD" w:rsidP="0027249A">
      <w:pPr>
        <w:pStyle w:val="Text"/>
        <w:keepNext/>
        <w:spacing w:after="0" w:line="240" w:lineRule="auto"/>
        <w:rPr>
          <w:rFonts w:ascii="Times New Roman" w:hAnsi="Times New Roman"/>
          <w:b/>
          <w:bCs/>
          <w:i/>
          <w:iCs/>
          <w:sz w:val="24"/>
        </w:rPr>
      </w:pPr>
      <w:r w:rsidRPr="004F3B51">
        <w:rPr>
          <w:rFonts w:ascii="Times New Roman" w:hAnsi="Times New Roman"/>
          <w:b/>
          <w:bCs/>
          <w:i/>
          <w:iCs/>
          <w:sz w:val="24"/>
        </w:rPr>
        <w:t xml:space="preserve">Dermatological Reactions </w:t>
      </w:r>
    </w:p>
    <w:p w:rsidR="00812AA6" w:rsidRPr="004F3B51" w:rsidRDefault="00812AA6" w:rsidP="00812AA6">
      <w:pPr>
        <w:ind w:right="-1"/>
        <w:rPr>
          <w:sz w:val="24"/>
          <w:lang w:val="en-AU"/>
        </w:rPr>
      </w:pPr>
      <w:r w:rsidRPr="004F3B51">
        <w:rPr>
          <w:sz w:val="24"/>
          <w:lang w:val="en-AU"/>
        </w:rPr>
        <w:t xml:space="preserve">If a patient develops dermatologic reactions that are </w:t>
      </w:r>
      <w:r w:rsidR="00075D02" w:rsidRPr="004F3B51">
        <w:rPr>
          <w:sz w:val="24"/>
          <w:lang w:val="en-AU"/>
        </w:rPr>
        <w:t>≥</w:t>
      </w:r>
      <w:r w:rsidR="0075136C" w:rsidRPr="004F3B51">
        <w:rPr>
          <w:sz w:val="24"/>
          <w:lang w:val="en-AU"/>
        </w:rPr>
        <w:t> </w:t>
      </w:r>
      <w:r w:rsidR="004247E2" w:rsidRPr="004F3B51">
        <w:rPr>
          <w:sz w:val="24"/>
          <w:lang w:val="en-AU"/>
        </w:rPr>
        <w:t>grade </w:t>
      </w:r>
      <w:r w:rsidRPr="004F3B51">
        <w:rPr>
          <w:sz w:val="24"/>
          <w:lang w:val="en-AU"/>
        </w:rPr>
        <w:t>3 (NCI-CTC/CTCAE), or</w:t>
      </w:r>
      <w:r w:rsidR="008266B7" w:rsidRPr="004F3B51">
        <w:rPr>
          <w:sz w:val="24"/>
          <w:lang w:val="en-AU"/>
        </w:rPr>
        <w:t xml:space="preserve"> </w:t>
      </w:r>
      <w:r w:rsidRPr="004F3B51">
        <w:rPr>
          <w:sz w:val="24"/>
          <w:lang w:val="en-AU"/>
        </w:rPr>
        <w:t>considered intolerable</w:t>
      </w:r>
      <w:r w:rsidR="00075D02" w:rsidRPr="004F3B51">
        <w:rPr>
          <w:sz w:val="24"/>
          <w:lang w:val="en-AU"/>
        </w:rPr>
        <w:t>,</w:t>
      </w:r>
      <w:r w:rsidRPr="004F3B51">
        <w:rPr>
          <w:sz w:val="24"/>
          <w:lang w:val="en-AU"/>
        </w:rPr>
        <w:t xml:space="preserve"> the following dose modification</w:t>
      </w:r>
      <w:r w:rsidR="00075D02" w:rsidRPr="004F3B51">
        <w:rPr>
          <w:sz w:val="24"/>
          <w:lang w:val="en-AU"/>
        </w:rPr>
        <w:t>s are</w:t>
      </w:r>
      <w:r w:rsidRPr="004F3B51">
        <w:rPr>
          <w:sz w:val="24"/>
          <w:lang w:val="en-AU"/>
        </w:rPr>
        <w:t xml:space="preserve"> recommended:</w:t>
      </w:r>
      <w:r w:rsidR="0057771B" w:rsidRPr="004F3B51">
        <w:rPr>
          <w:sz w:val="24"/>
          <w:lang w:val="en-AU"/>
        </w:rPr>
        <w:t>*</w:t>
      </w:r>
      <w:r w:rsidRPr="004F3B51">
        <w:rPr>
          <w:sz w:val="24"/>
          <w:lang w:val="en-AU"/>
        </w:rPr>
        <w:t xml:space="preserve"> </w:t>
      </w:r>
    </w:p>
    <w:p w:rsidR="00812AA6" w:rsidRPr="008266B7" w:rsidRDefault="00812AA6" w:rsidP="008266B7">
      <w:pPr>
        <w:pStyle w:val="TableText"/>
        <w:rPr>
          <w:strike/>
          <w:sz w:val="24"/>
          <w:lang w:val="en-AU"/>
        </w:rPr>
      </w:pPr>
    </w:p>
    <w:tbl>
      <w:tblPr>
        <w:tblW w:w="8300" w:type="dxa"/>
        <w:jc w:val="center"/>
        <w:tblCellMar>
          <w:left w:w="0" w:type="dxa"/>
          <w:right w:w="0" w:type="dxa"/>
        </w:tblCellMar>
        <w:tblLook w:val="0000"/>
      </w:tblPr>
      <w:tblGrid>
        <w:gridCol w:w="1734"/>
        <w:gridCol w:w="1733"/>
        <w:gridCol w:w="2545"/>
        <w:gridCol w:w="2288"/>
      </w:tblGrid>
      <w:tr w:rsidR="004E4D47" w:rsidRPr="004F3B51" w:rsidTr="004E4D47">
        <w:trPr>
          <w:trHeight w:val="874"/>
          <w:jc w:val="center"/>
        </w:trPr>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eastAsia="MS Mincho" w:hAnsi="Times New Roman"/>
                <w:b/>
              </w:rPr>
            </w:pPr>
            <w:r w:rsidRPr="004F3B51">
              <w:rPr>
                <w:rFonts w:ascii="Times New Roman" w:hAnsi="Times New Roman"/>
                <w:b/>
              </w:rPr>
              <w:t xml:space="preserve">Occurrence of skin symptom(s): </w:t>
            </w:r>
            <w:r w:rsidR="00086F1D" w:rsidRPr="004F3B51">
              <w:rPr>
                <w:rFonts w:ascii="Times New Roman" w:hAnsi="Times New Roman"/>
                <w:b/>
              </w:rPr>
              <w:br/>
              <w:t xml:space="preserve">≥ </w:t>
            </w:r>
            <w:r w:rsidRPr="004F3B51">
              <w:rPr>
                <w:rFonts w:ascii="Times New Roman" w:hAnsi="Times New Roman"/>
                <w:b/>
              </w:rPr>
              <w:t>grade 3</w:t>
            </w:r>
            <w:r w:rsidR="004946A6" w:rsidRPr="004F3B51">
              <w:rPr>
                <w:rFonts w:cs="Arial"/>
                <w:b/>
                <w:vertAlign w:val="superscript"/>
              </w:rPr>
              <w:t>†</w:t>
            </w:r>
          </w:p>
        </w:tc>
        <w:tc>
          <w:tcPr>
            <w:tcW w:w="173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1E51F2">
            <w:pPr>
              <w:pStyle w:val="Text"/>
              <w:spacing w:after="0" w:line="240" w:lineRule="auto"/>
              <w:jc w:val="center"/>
              <w:rPr>
                <w:rFonts w:ascii="Times New Roman" w:eastAsia="MS Mincho" w:hAnsi="Times New Roman"/>
                <w:b/>
              </w:rPr>
            </w:pPr>
            <w:r w:rsidRPr="004F3B51">
              <w:rPr>
                <w:rFonts w:ascii="Times New Roman" w:hAnsi="Times New Roman"/>
                <w:b/>
              </w:rPr>
              <w:t>Administration</w:t>
            </w:r>
            <w:r w:rsidRPr="004F3B51">
              <w:rPr>
                <w:rFonts w:ascii="Times New Roman" w:hAnsi="Times New Roman"/>
                <w:b/>
              </w:rPr>
              <w:br/>
              <w:t xml:space="preserve">of </w:t>
            </w:r>
            <w:proofErr w:type="spellStart"/>
            <w:r w:rsidRPr="004F3B51">
              <w:rPr>
                <w:rFonts w:ascii="Times New Roman" w:hAnsi="Times New Roman"/>
                <w:b/>
              </w:rPr>
              <w:t>Vectibix</w:t>
            </w:r>
            <w:proofErr w:type="spellEnd"/>
          </w:p>
        </w:tc>
        <w:tc>
          <w:tcPr>
            <w:tcW w:w="254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eastAsia="MS Mincho" w:hAnsi="Times New Roman"/>
                <w:b/>
              </w:rPr>
            </w:pPr>
            <w:r w:rsidRPr="004F3B51">
              <w:rPr>
                <w:rFonts w:ascii="Times New Roman" w:hAnsi="Times New Roman"/>
                <w:b/>
              </w:rPr>
              <w:t>Outcome</w:t>
            </w:r>
          </w:p>
        </w:tc>
        <w:tc>
          <w:tcPr>
            <w:tcW w:w="228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eastAsia="MS Mincho" w:hAnsi="Times New Roman"/>
                <w:b/>
              </w:rPr>
            </w:pPr>
            <w:r w:rsidRPr="004F3B51">
              <w:rPr>
                <w:rFonts w:ascii="Times New Roman" w:hAnsi="Times New Roman"/>
                <w:b/>
              </w:rPr>
              <w:t>Dose regulation</w:t>
            </w:r>
          </w:p>
        </w:tc>
      </w:tr>
      <w:tr w:rsidR="004E4D47" w:rsidRPr="004F3B51" w:rsidTr="004E4D47">
        <w:trPr>
          <w:trHeight w:val="178"/>
          <w:jc w:val="center"/>
        </w:trPr>
        <w:tc>
          <w:tcPr>
            <w:tcW w:w="17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eastAsia="MS Mincho" w:hAnsi="Times New Roman"/>
              </w:rPr>
            </w:pPr>
            <w:r w:rsidRPr="004F3B51">
              <w:rPr>
                <w:rFonts w:ascii="Times New Roman" w:hAnsi="Times New Roman"/>
              </w:rPr>
              <w:t>Initial occurrence</w:t>
            </w:r>
          </w:p>
        </w:tc>
        <w:tc>
          <w:tcPr>
            <w:tcW w:w="1733"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eastAsia="MS Mincho" w:hAnsi="Times New Roman"/>
              </w:rPr>
            </w:pPr>
            <w:r w:rsidRPr="004F3B51">
              <w:rPr>
                <w:rFonts w:ascii="Times New Roman" w:hAnsi="Times New Roman"/>
              </w:rPr>
              <w:t>Hold 1 or 2 doses</w:t>
            </w:r>
          </w:p>
        </w:tc>
        <w:tc>
          <w:tcPr>
            <w:tcW w:w="2545" w:type="dxa"/>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hAnsi="Times New Roman"/>
              </w:rPr>
            </w:pPr>
            <w:r w:rsidRPr="004F3B51">
              <w:rPr>
                <w:rFonts w:ascii="Times New Roman" w:hAnsi="Times New Roman"/>
              </w:rPr>
              <w:t>Improved  (&lt;</w:t>
            </w:r>
            <w:r w:rsidR="008266B7" w:rsidRPr="004F3B51">
              <w:rPr>
                <w:rFonts w:ascii="Times New Roman" w:hAnsi="Times New Roman"/>
              </w:rPr>
              <w:t xml:space="preserve"> </w:t>
            </w:r>
            <w:r w:rsidRPr="004F3B51">
              <w:rPr>
                <w:rFonts w:ascii="Times New Roman" w:hAnsi="Times New Roman"/>
              </w:rPr>
              <w:t>grade 3)</w:t>
            </w:r>
          </w:p>
        </w:tc>
        <w:tc>
          <w:tcPr>
            <w:tcW w:w="2288" w:type="dxa"/>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075D02" w:rsidP="007948C4">
            <w:pPr>
              <w:pStyle w:val="Text"/>
              <w:spacing w:after="0" w:line="240" w:lineRule="auto"/>
              <w:jc w:val="center"/>
              <w:rPr>
                <w:rFonts w:ascii="Times New Roman" w:hAnsi="Times New Roman"/>
              </w:rPr>
            </w:pPr>
            <w:r w:rsidRPr="004F3B51">
              <w:rPr>
                <w:rFonts w:ascii="Times New Roman" w:hAnsi="Times New Roman"/>
              </w:rPr>
              <w:t xml:space="preserve">Continue </w:t>
            </w:r>
            <w:r w:rsidR="004E4D47" w:rsidRPr="004F3B51">
              <w:rPr>
                <w:rFonts w:ascii="Times New Roman" w:hAnsi="Times New Roman"/>
              </w:rPr>
              <w:t>infusion at 100% of original dose</w:t>
            </w:r>
          </w:p>
        </w:tc>
      </w:tr>
      <w:tr w:rsidR="004E4D47" w:rsidRPr="004F3B51" w:rsidTr="004E4D47">
        <w:trPr>
          <w:trHeight w:val="178"/>
          <w:jc w:val="center"/>
        </w:trPr>
        <w:tc>
          <w:tcPr>
            <w:tcW w:w="0" w:type="auto"/>
            <w:vMerge/>
            <w:tcBorders>
              <w:top w:val="nil"/>
              <w:left w:val="single" w:sz="8" w:space="0" w:color="000000"/>
              <w:bottom w:val="single" w:sz="8" w:space="0" w:color="000000"/>
              <w:right w:val="single" w:sz="8" w:space="0" w:color="000000"/>
            </w:tcBorders>
            <w:vAlign w:val="center"/>
          </w:tcPr>
          <w:p w:rsidR="004E4D47" w:rsidRPr="004F3B51" w:rsidRDefault="004E4D47" w:rsidP="007948C4">
            <w:pPr>
              <w:pStyle w:val="Text"/>
              <w:spacing w:after="0" w:line="240" w:lineRule="auto"/>
              <w:jc w:val="center"/>
              <w:rPr>
                <w:rFonts w:ascii="Times New Roman" w:eastAsia="MS Mincho" w:hAnsi="Times New Roman"/>
              </w:rPr>
            </w:pPr>
          </w:p>
        </w:tc>
        <w:tc>
          <w:tcPr>
            <w:tcW w:w="1733" w:type="dxa"/>
            <w:vMerge/>
            <w:tcBorders>
              <w:top w:val="nil"/>
              <w:left w:val="nil"/>
              <w:bottom w:val="single" w:sz="8" w:space="0" w:color="000000"/>
              <w:right w:val="single" w:sz="8" w:space="0" w:color="000000"/>
            </w:tcBorders>
            <w:vAlign w:val="center"/>
          </w:tcPr>
          <w:p w:rsidR="004E4D47" w:rsidRPr="004F3B51" w:rsidRDefault="004E4D47" w:rsidP="007948C4">
            <w:pPr>
              <w:pStyle w:val="Text"/>
              <w:spacing w:after="0" w:line="240" w:lineRule="auto"/>
              <w:jc w:val="center"/>
              <w:rPr>
                <w:rFonts w:ascii="Times New Roman" w:eastAsia="MS Mincho" w:hAnsi="Times New Roman"/>
              </w:rPr>
            </w:pPr>
          </w:p>
        </w:tc>
        <w:tc>
          <w:tcPr>
            <w:tcW w:w="2545" w:type="dxa"/>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hAnsi="Times New Roman"/>
              </w:rPr>
            </w:pPr>
            <w:r w:rsidRPr="004F3B51">
              <w:rPr>
                <w:rFonts w:ascii="Times New Roman" w:hAnsi="Times New Roman"/>
              </w:rPr>
              <w:t>Not recovered</w:t>
            </w:r>
          </w:p>
        </w:tc>
        <w:tc>
          <w:tcPr>
            <w:tcW w:w="2288" w:type="dxa"/>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hAnsi="Times New Roman"/>
              </w:rPr>
            </w:pPr>
            <w:r w:rsidRPr="004F3B51">
              <w:rPr>
                <w:rFonts w:ascii="Times New Roman" w:hAnsi="Times New Roman"/>
              </w:rPr>
              <w:t>Discontinue</w:t>
            </w:r>
          </w:p>
        </w:tc>
      </w:tr>
      <w:tr w:rsidR="004E4D47" w:rsidRPr="004F3B51" w:rsidTr="004E4D47">
        <w:trPr>
          <w:trHeight w:val="178"/>
          <w:jc w:val="center"/>
        </w:trPr>
        <w:tc>
          <w:tcPr>
            <w:tcW w:w="17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eastAsia="MS Mincho" w:hAnsi="Times New Roman"/>
              </w:rPr>
            </w:pPr>
            <w:r w:rsidRPr="004F3B51">
              <w:rPr>
                <w:rFonts w:ascii="Times New Roman" w:hAnsi="Times New Roman"/>
              </w:rPr>
              <w:t>At the second occurrence</w:t>
            </w:r>
          </w:p>
        </w:tc>
        <w:tc>
          <w:tcPr>
            <w:tcW w:w="1733"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eastAsia="MS Mincho" w:hAnsi="Times New Roman"/>
              </w:rPr>
            </w:pPr>
            <w:r w:rsidRPr="004F3B51">
              <w:rPr>
                <w:rFonts w:ascii="Times New Roman" w:hAnsi="Times New Roman"/>
              </w:rPr>
              <w:t>Hold 1 or 2 doses</w:t>
            </w:r>
          </w:p>
        </w:tc>
        <w:tc>
          <w:tcPr>
            <w:tcW w:w="2545" w:type="dxa"/>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hAnsi="Times New Roman"/>
              </w:rPr>
            </w:pPr>
            <w:r w:rsidRPr="004F3B51">
              <w:rPr>
                <w:rFonts w:ascii="Times New Roman" w:hAnsi="Times New Roman"/>
              </w:rPr>
              <w:t>Improved  (&lt;</w:t>
            </w:r>
            <w:r w:rsidR="008266B7" w:rsidRPr="004F3B51">
              <w:rPr>
                <w:rFonts w:ascii="Times New Roman" w:hAnsi="Times New Roman"/>
              </w:rPr>
              <w:t xml:space="preserve"> </w:t>
            </w:r>
            <w:r w:rsidRPr="004F3B51">
              <w:rPr>
                <w:rFonts w:ascii="Times New Roman" w:hAnsi="Times New Roman"/>
              </w:rPr>
              <w:t>grade 3)</w:t>
            </w:r>
          </w:p>
        </w:tc>
        <w:tc>
          <w:tcPr>
            <w:tcW w:w="2288" w:type="dxa"/>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075D02" w:rsidP="007948C4">
            <w:pPr>
              <w:pStyle w:val="Text"/>
              <w:spacing w:after="0" w:line="240" w:lineRule="auto"/>
              <w:jc w:val="center"/>
              <w:rPr>
                <w:rFonts w:ascii="Times New Roman" w:hAnsi="Times New Roman"/>
              </w:rPr>
            </w:pPr>
            <w:r w:rsidRPr="004F3B51">
              <w:rPr>
                <w:rFonts w:ascii="Times New Roman" w:hAnsi="Times New Roman"/>
              </w:rPr>
              <w:t xml:space="preserve">Continue </w:t>
            </w:r>
            <w:r w:rsidR="004E4D47" w:rsidRPr="004F3B51">
              <w:rPr>
                <w:rFonts w:ascii="Times New Roman" w:hAnsi="Times New Roman"/>
              </w:rPr>
              <w:t>infusion at 80% of original dose</w:t>
            </w:r>
          </w:p>
        </w:tc>
      </w:tr>
      <w:tr w:rsidR="004E4D47" w:rsidRPr="004F3B51" w:rsidTr="004E4D47">
        <w:trPr>
          <w:trHeight w:val="178"/>
          <w:jc w:val="center"/>
        </w:trPr>
        <w:tc>
          <w:tcPr>
            <w:tcW w:w="0" w:type="auto"/>
            <w:vMerge/>
            <w:tcBorders>
              <w:top w:val="nil"/>
              <w:left w:val="single" w:sz="8" w:space="0" w:color="000000"/>
              <w:bottom w:val="single" w:sz="8" w:space="0" w:color="000000"/>
              <w:right w:val="single" w:sz="8" w:space="0" w:color="000000"/>
            </w:tcBorders>
            <w:vAlign w:val="center"/>
          </w:tcPr>
          <w:p w:rsidR="004E4D47" w:rsidRPr="004F3B51" w:rsidRDefault="004E4D47" w:rsidP="007948C4">
            <w:pPr>
              <w:pStyle w:val="Text"/>
              <w:spacing w:after="0" w:line="240" w:lineRule="auto"/>
              <w:jc w:val="center"/>
              <w:rPr>
                <w:rFonts w:ascii="Times New Roman" w:eastAsia="MS Mincho" w:hAnsi="Times New Roman"/>
              </w:rPr>
            </w:pPr>
          </w:p>
        </w:tc>
        <w:tc>
          <w:tcPr>
            <w:tcW w:w="1733" w:type="dxa"/>
            <w:vMerge/>
            <w:tcBorders>
              <w:top w:val="nil"/>
              <w:left w:val="nil"/>
              <w:bottom w:val="single" w:sz="8" w:space="0" w:color="000000"/>
              <w:right w:val="single" w:sz="8" w:space="0" w:color="000000"/>
            </w:tcBorders>
            <w:vAlign w:val="center"/>
          </w:tcPr>
          <w:p w:rsidR="004E4D47" w:rsidRPr="004F3B51" w:rsidRDefault="004E4D47" w:rsidP="007948C4">
            <w:pPr>
              <w:pStyle w:val="Text"/>
              <w:spacing w:after="0" w:line="240" w:lineRule="auto"/>
              <w:jc w:val="center"/>
              <w:rPr>
                <w:rFonts w:ascii="Times New Roman" w:eastAsia="MS Mincho" w:hAnsi="Times New Roman"/>
              </w:rPr>
            </w:pPr>
          </w:p>
        </w:tc>
        <w:tc>
          <w:tcPr>
            <w:tcW w:w="2545" w:type="dxa"/>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hAnsi="Times New Roman"/>
              </w:rPr>
            </w:pPr>
            <w:r w:rsidRPr="004F3B51">
              <w:rPr>
                <w:rFonts w:ascii="Times New Roman" w:hAnsi="Times New Roman"/>
              </w:rPr>
              <w:t>Not recovered</w:t>
            </w:r>
          </w:p>
        </w:tc>
        <w:tc>
          <w:tcPr>
            <w:tcW w:w="2288" w:type="dxa"/>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hAnsi="Times New Roman"/>
              </w:rPr>
            </w:pPr>
            <w:r w:rsidRPr="004F3B51">
              <w:rPr>
                <w:rFonts w:ascii="Times New Roman" w:hAnsi="Times New Roman"/>
              </w:rPr>
              <w:t>Discontinue</w:t>
            </w:r>
          </w:p>
        </w:tc>
      </w:tr>
      <w:tr w:rsidR="004E4D47" w:rsidRPr="004F3B51" w:rsidTr="004E4D47">
        <w:trPr>
          <w:trHeight w:val="178"/>
          <w:jc w:val="center"/>
        </w:trPr>
        <w:tc>
          <w:tcPr>
            <w:tcW w:w="17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eastAsia="MS Mincho" w:hAnsi="Times New Roman"/>
              </w:rPr>
            </w:pPr>
            <w:r w:rsidRPr="004F3B51">
              <w:rPr>
                <w:rFonts w:ascii="Times New Roman" w:hAnsi="Times New Roman"/>
              </w:rPr>
              <w:t>At the third occurrence</w:t>
            </w:r>
          </w:p>
        </w:tc>
        <w:tc>
          <w:tcPr>
            <w:tcW w:w="1733"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eastAsia="MS Mincho" w:hAnsi="Times New Roman"/>
              </w:rPr>
            </w:pPr>
            <w:r w:rsidRPr="004F3B51">
              <w:rPr>
                <w:rFonts w:ascii="Times New Roman" w:hAnsi="Times New Roman"/>
              </w:rPr>
              <w:t>Hold 1 or 2 doses</w:t>
            </w:r>
          </w:p>
        </w:tc>
        <w:tc>
          <w:tcPr>
            <w:tcW w:w="2545" w:type="dxa"/>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hAnsi="Times New Roman"/>
              </w:rPr>
            </w:pPr>
            <w:r w:rsidRPr="004F3B51">
              <w:rPr>
                <w:rFonts w:ascii="Times New Roman" w:hAnsi="Times New Roman"/>
              </w:rPr>
              <w:t>Improved  (&lt;</w:t>
            </w:r>
            <w:r w:rsidR="008266B7" w:rsidRPr="004F3B51">
              <w:rPr>
                <w:rFonts w:ascii="Times New Roman" w:hAnsi="Times New Roman"/>
              </w:rPr>
              <w:t xml:space="preserve"> </w:t>
            </w:r>
            <w:r w:rsidRPr="004F3B51">
              <w:rPr>
                <w:rFonts w:ascii="Times New Roman" w:hAnsi="Times New Roman"/>
              </w:rPr>
              <w:t>grade 3)</w:t>
            </w:r>
          </w:p>
        </w:tc>
        <w:tc>
          <w:tcPr>
            <w:tcW w:w="2288" w:type="dxa"/>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075D02" w:rsidP="007948C4">
            <w:pPr>
              <w:pStyle w:val="Text"/>
              <w:spacing w:after="0" w:line="240" w:lineRule="auto"/>
              <w:jc w:val="center"/>
              <w:rPr>
                <w:rFonts w:ascii="Times New Roman" w:hAnsi="Times New Roman"/>
              </w:rPr>
            </w:pPr>
            <w:r w:rsidRPr="004F3B51">
              <w:rPr>
                <w:rFonts w:ascii="Times New Roman" w:hAnsi="Times New Roman"/>
              </w:rPr>
              <w:t xml:space="preserve">Continue </w:t>
            </w:r>
            <w:r w:rsidR="004E4D47" w:rsidRPr="004F3B51">
              <w:rPr>
                <w:rFonts w:ascii="Times New Roman" w:hAnsi="Times New Roman"/>
              </w:rPr>
              <w:t>infusion at 60% of original dose</w:t>
            </w:r>
          </w:p>
        </w:tc>
      </w:tr>
      <w:tr w:rsidR="004E4D47" w:rsidRPr="004F3B51" w:rsidTr="004946A6">
        <w:trPr>
          <w:trHeight w:val="178"/>
          <w:jc w:val="center"/>
        </w:trPr>
        <w:tc>
          <w:tcPr>
            <w:tcW w:w="0" w:type="auto"/>
            <w:vMerge/>
            <w:tcBorders>
              <w:top w:val="nil"/>
              <w:left w:val="single" w:sz="8" w:space="0" w:color="000000"/>
              <w:bottom w:val="single" w:sz="8" w:space="0" w:color="000000"/>
              <w:right w:val="single" w:sz="8" w:space="0" w:color="000000"/>
            </w:tcBorders>
            <w:vAlign w:val="center"/>
          </w:tcPr>
          <w:p w:rsidR="004E4D47" w:rsidRPr="004F3B51" w:rsidRDefault="004E4D47" w:rsidP="007948C4">
            <w:pPr>
              <w:pStyle w:val="Text"/>
              <w:spacing w:after="0" w:line="240" w:lineRule="auto"/>
              <w:jc w:val="center"/>
              <w:rPr>
                <w:rFonts w:ascii="Times New Roman" w:eastAsia="MS Mincho" w:hAnsi="Times New Roman"/>
              </w:rPr>
            </w:pPr>
          </w:p>
        </w:tc>
        <w:tc>
          <w:tcPr>
            <w:tcW w:w="1733" w:type="dxa"/>
            <w:vMerge/>
            <w:tcBorders>
              <w:top w:val="nil"/>
              <w:left w:val="nil"/>
              <w:bottom w:val="single" w:sz="8" w:space="0" w:color="000000"/>
              <w:right w:val="single" w:sz="8" w:space="0" w:color="000000"/>
            </w:tcBorders>
            <w:vAlign w:val="center"/>
          </w:tcPr>
          <w:p w:rsidR="004E4D47" w:rsidRPr="004F3B51" w:rsidRDefault="004E4D47" w:rsidP="007948C4">
            <w:pPr>
              <w:pStyle w:val="Text"/>
              <w:spacing w:after="0" w:line="240" w:lineRule="auto"/>
              <w:jc w:val="center"/>
              <w:rPr>
                <w:rFonts w:ascii="Times New Roman" w:eastAsia="MS Mincho" w:hAnsi="Times New Roman"/>
              </w:rPr>
            </w:pPr>
          </w:p>
        </w:tc>
        <w:tc>
          <w:tcPr>
            <w:tcW w:w="2545" w:type="dxa"/>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hAnsi="Times New Roman"/>
              </w:rPr>
            </w:pPr>
            <w:r w:rsidRPr="004F3B51">
              <w:rPr>
                <w:rFonts w:ascii="Times New Roman" w:hAnsi="Times New Roman"/>
              </w:rPr>
              <w:t>Not recovered</w:t>
            </w:r>
          </w:p>
        </w:tc>
        <w:tc>
          <w:tcPr>
            <w:tcW w:w="2288" w:type="dxa"/>
            <w:tcBorders>
              <w:top w:val="nil"/>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hAnsi="Times New Roman"/>
              </w:rPr>
            </w:pPr>
            <w:r w:rsidRPr="004F3B51">
              <w:rPr>
                <w:rFonts w:ascii="Times New Roman" w:hAnsi="Times New Roman"/>
              </w:rPr>
              <w:t>Discontinue</w:t>
            </w:r>
          </w:p>
        </w:tc>
      </w:tr>
      <w:tr w:rsidR="004E4D47" w:rsidRPr="004F3B51" w:rsidTr="004946A6">
        <w:trPr>
          <w:trHeight w:val="507"/>
          <w:jc w:val="center"/>
        </w:trPr>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hAnsi="Times New Roman"/>
              </w:rPr>
            </w:pPr>
            <w:r w:rsidRPr="004F3B51">
              <w:rPr>
                <w:rFonts w:ascii="Times New Roman" w:hAnsi="Times New Roman"/>
              </w:rPr>
              <w:t>At the fourth occurrence</w:t>
            </w:r>
          </w:p>
        </w:tc>
        <w:tc>
          <w:tcPr>
            <w:tcW w:w="173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hAnsi="Times New Roman"/>
              </w:rPr>
            </w:pPr>
            <w:r w:rsidRPr="004F3B51">
              <w:rPr>
                <w:rFonts w:ascii="Times New Roman" w:hAnsi="Times New Roman"/>
              </w:rPr>
              <w:t>Discontinue</w:t>
            </w:r>
          </w:p>
        </w:tc>
        <w:tc>
          <w:tcPr>
            <w:tcW w:w="254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hAnsi="Times New Roman"/>
              </w:rPr>
            </w:pPr>
            <w:r w:rsidRPr="004F3B51">
              <w:rPr>
                <w:rFonts w:ascii="Times New Roman" w:hAnsi="Times New Roman"/>
              </w:rPr>
              <w:t>-</w:t>
            </w:r>
          </w:p>
        </w:tc>
        <w:tc>
          <w:tcPr>
            <w:tcW w:w="228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E4D47" w:rsidRPr="004F3B51" w:rsidRDefault="004E4D47" w:rsidP="007948C4">
            <w:pPr>
              <w:pStyle w:val="Text"/>
              <w:spacing w:after="0" w:line="240" w:lineRule="auto"/>
              <w:jc w:val="center"/>
              <w:rPr>
                <w:rFonts w:ascii="Times New Roman" w:hAnsi="Times New Roman"/>
              </w:rPr>
            </w:pPr>
            <w:r w:rsidRPr="004F3B51">
              <w:rPr>
                <w:rFonts w:ascii="Times New Roman" w:hAnsi="Times New Roman"/>
              </w:rPr>
              <w:t>-</w:t>
            </w:r>
          </w:p>
        </w:tc>
      </w:tr>
    </w:tbl>
    <w:p w:rsidR="008F1735" w:rsidRPr="004F3B51" w:rsidRDefault="0027249A" w:rsidP="0027249A">
      <w:pPr>
        <w:pStyle w:val="Text"/>
        <w:spacing w:after="0" w:line="240" w:lineRule="auto"/>
        <w:ind w:left="142"/>
        <w:rPr>
          <w:rFonts w:ascii="Times New Roman" w:hAnsi="Times New Roman"/>
          <w:sz w:val="18"/>
          <w:szCs w:val="18"/>
        </w:rPr>
      </w:pPr>
      <w:r w:rsidRPr="004F3B51">
        <w:rPr>
          <w:rFonts w:cs="Arial"/>
          <w:vertAlign w:val="superscript"/>
        </w:rPr>
        <w:t>†</w:t>
      </w:r>
      <w:r w:rsidRPr="004F3B51">
        <w:rPr>
          <w:rFonts w:ascii="Times New Roman" w:hAnsi="Times New Roman"/>
          <w:sz w:val="18"/>
          <w:szCs w:val="18"/>
        </w:rPr>
        <w:t>Greater than or equal to Grade 3 is defined as severe or life-threatening</w:t>
      </w:r>
    </w:p>
    <w:p w:rsidR="0027249A" w:rsidRPr="009C1494" w:rsidRDefault="0027249A" w:rsidP="00000BBF">
      <w:pPr>
        <w:pStyle w:val="Text"/>
        <w:spacing w:after="0" w:line="240" w:lineRule="auto"/>
        <w:rPr>
          <w:rFonts w:ascii="Times New Roman" w:hAnsi="Times New Roman"/>
          <w:sz w:val="24"/>
        </w:rPr>
      </w:pPr>
    </w:p>
    <w:p w:rsidR="00AA7FFD" w:rsidRPr="009C1494" w:rsidRDefault="00AA7FFD">
      <w:pPr>
        <w:pStyle w:val="Heading1"/>
        <w:rPr>
          <w:bCs/>
        </w:rPr>
      </w:pPr>
      <w:r w:rsidRPr="009C1494">
        <w:rPr>
          <w:bCs/>
        </w:rPr>
        <w:t>Preparation and Administration</w:t>
      </w:r>
    </w:p>
    <w:p w:rsidR="00AA7FFD" w:rsidRPr="009C1494" w:rsidRDefault="00AA7FFD">
      <w:pPr>
        <w:pStyle w:val="Text"/>
        <w:spacing w:after="0" w:line="240" w:lineRule="auto"/>
        <w:rPr>
          <w:rFonts w:ascii="Times New Roman" w:hAnsi="Times New Roman"/>
          <w:sz w:val="24"/>
        </w:rPr>
      </w:pPr>
      <w:r w:rsidRPr="009C1494">
        <w:rPr>
          <w:rFonts w:ascii="Times New Roman" w:hAnsi="Times New Roman"/>
          <w:sz w:val="24"/>
        </w:rPr>
        <w:t xml:space="preserve">DO NOT ADMINISTER </w:t>
      </w:r>
      <w:proofErr w:type="spellStart"/>
      <w:smartTag w:uri="urn:schemas-microsoft-com:office:smarttags" w:element="place">
        <w:smartTag w:uri="urn:schemas-microsoft-com:office:smarttags" w:element="City">
          <w:r w:rsidR="006E463F" w:rsidRPr="009C1494">
            <w:rPr>
              <w:rFonts w:ascii="Times New Roman" w:hAnsi="Times New Roman"/>
              <w:sz w:val="24"/>
            </w:rPr>
            <w:t>Vectibix</w:t>
          </w:r>
        </w:smartTag>
        <w:proofErr w:type="spellEnd"/>
        <w:r w:rsidRPr="009C1494">
          <w:rPr>
            <w:rFonts w:ascii="Times New Roman" w:hAnsi="Times New Roman"/>
            <w:sz w:val="24"/>
          </w:rPr>
          <w:t xml:space="preserve"> </w:t>
        </w:r>
        <w:smartTag w:uri="urn:schemas-microsoft-com:office:smarttags" w:element="State">
          <w:r w:rsidRPr="009C1494">
            <w:rPr>
              <w:rFonts w:ascii="Times New Roman" w:hAnsi="Times New Roman"/>
              <w:sz w:val="24"/>
            </w:rPr>
            <w:t>AS</w:t>
          </w:r>
        </w:smartTag>
      </w:smartTag>
      <w:r w:rsidRPr="009C1494">
        <w:rPr>
          <w:rFonts w:ascii="Times New Roman" w:hAnsi="Times New Roman"/>
          <w:sz w:val="24"/>
        </w:rPr>
        <w:t xml:space="preserve"> AN IV PUSH OR BOLUS.</w:t>
      </w:r>
    </w:p>
    <w:p w:rsidR="00AA7FFD" w:rsidRPr="009C1494" w:rsidRDefault="00AA7FFD"/>
    <w:p w:rsidR="00AA7FFD" w:rsidRPr="009C1494" w:rsidRDefault="006E463F">
      <w:pPr>
        <w:pStyle w:val="Text"/>
        <w:spacing w:after="0" w:line="240" w:lineRule="auto"/>
        <w:rPr>
          <w:rFonts w:ascii="Times New Roman" w:hAnsi="Times New Roman"/>
          <w:sz w:val="24"/>
        </w:rPr>
      </w:pPr>
      <w:proofErr w:type="spellStart"/>
      <w:r w:rsidRPr="009C1494">
        <w:rPr>
          <w:rFonts w:ascii="Times New Roman" w:hAnsi="Times New Roman"/>
          <w:b/>
          <w:bCs/>
          <w:sz w:val="24"/>
        </w:rPr>
        <w:t>Vectibix</w:t>
      </w:r>
      <w:proofErr w:type="spellEnd"/>
      <w:r w:rsidR="00ED15A2" w:rsidRPr="009C1494">
        <w:rPr>
          <w:rFonts w:ascii="Times New Roman" w:hAnsi="Times New Roman"/>
          <w:b/>
          <w:bCs/>
          <w:sz w:val="24"/>
        </w:rPr>
        <w:t xml:space="preserve"> </w:t>
      </w:r>
      <w:r w:rsidR="00AA7FFD" w:rsidRPr="009C1494">
        <w:rPr>
          <w:rFonts w:ascii="Times New Roman" w:hAnsi="Times New Roman"/>
          <w:b/>
          <w:bCs/>
          <w:sz w:val="24"/>
        </w:rPr>
        <w:t xml:space="preserve">must be administered using a low protein binding 0.2 </w:t>
      </w:r>
      <w:proofErr w:type="spellStart"/>
      <w:r w:rsidR="00AA7FFD" w:rsidRPr="009C1494">
        <w:rPr>
          <w:rFonts w:ascii="Times New Roman" w:hAnsi="Times New Roman"/>
          <w:b/>
          <w:bCs/>
          <w:sz w:val="24"/>
        </w:rPr>
        <w:t>μm</w:t>
      </w:r>
      <w:proofErr w:type="spellEnd"/>
      <w:r w:rsidR="00AA7FFD" w:rsidRPr="009C1494">
        <w:rPr>
          <w:rFonts w:ascii="Times New Roman" w:hAnsi="Times New Roman"/>
          <w:b/>
          <w:bCs/>
          <w:sz w:val="24"/>
        </w:rPr>
        <w:t xml:space="preserve"> or 0.22 </w:t>
      </w:r>
      <w:proofErr w:type="spellStart"/>
      <w:r w:rsidR="00AA7FFD" w:rsidRPr="009C1494">
        <w:rPr>
          <w:rFonts w:ascii="Times New Roman" w:hAnsi="Times New Roman"/>
          <w:b/>
          <w:bCs/>
          <w:sz w:val="24"/>
        </w:rPr>
        <w:t>μm</w:t>
      </w:r>
      <w:proofErr w:type="spellEnd"/>
      <w:r w:rsidR="00AA7FFD" w:rsidRPr="009C1494">
        <w:rPr>
          <w:rFonts w:ascii="Times New Roman" w:hAnsi="Times New Roman"/>
          <w:b/>
          <w:bCs/>
          <w:sz w:val="24"/>
        </w:rPr>
        <w:t xml:space="preserve"> in-line filter.</w:t>
      </w:r>
    </w:p>
    <w:p w:rsidR="00AA7FFD" w:rsidRPr="009C1494" w:rsidRDefault="00AA7FFD">
      <w:pPr>
        <w:pStyle w:val="Text"/>
        <w:spacing w:after="0" w:line="240" w:lineRule="auto"/>
        <w:rPr>
          <w:rFonts w:ascii="Times New Roman" w:hAnsi="Times New Roman"/>
          <w:sz w:val="24"/>
        </w:rPr>
      </w:pPr>
    </w:p>
    <w:p w:rsidR="004946A6" w:rsidRDefault="006E463F">
      <w:pPr>
        <w:pStyle w:val="Text"/>
        <w:spacing w:after="0" w:line="240" w:lineRule="auto"/>
        <w:rPr>
          <w:rFonts w:ascii="Times New Roman" w:hAnsi="Times New Roman"/>
          <w:sz w:val="24"/>
        </w:rPr>
      </w:pPr>
      <w:proofErr w:type="spellStart"/>
      <w:r w:rsidRPr="009C1494">
        <w:rPr>
          <w:rFonts w:ascii="Times New Roman" w:hAnsi="Times New Roman"/>
          <w:sz w:val="24"/>
        </w:rPr>
        <w:t>Vectibix</w:t>
      </w:r>
      <w:proofErr w:type="spellEnd"/>
      <w:r w:rsidR="00AA7FFD" w:rsidRPr="009C1494">
        <w:rPr>
          <w:rFonts w:ascii="Times New Roman" w:hAnsi="Times New Roman"/>
          <w:sz w:val="24"/>
        </w:rPr>
        <w:t xml:space="preserve"> is supplied as a sterile, colo</w:t>
      </w:r>
      <w:r w:rsidR="00FE6101" w:rsidRPr="009C1494">
        <w:rPr>
          <w:rFonts w:ascii="Times New Roman" w:hAnsi="Times New Roman"/>
          <w:color w:val="000000"/>
          <w:sz w:val="24"/>
        </w:rPr>
        <w:t>u</w:t>
      </w:r>
      <w:r w:rsidR="00AA7FFD" w:rsidRPr="009C1494">
        <w:rPr>
          <w:rFonts w:ascii="Times New Roman" w:hAnsi="Times New Roman"/>
          <w:color w:val="000000"/>
          <w:sz w:val="24"/>
        </w:rPr>
        <w:t>r</w:t>
      </w:r>
      <w:r w:rsidR="00AA7FFD" w:rsidRPr="009C1494">
        <w:rPr>
          <w:rFonts w:ascii="Times New Roman" w:hAnsi="Times New Roman"/>
          <w:sz w:val="24"/>
        </w:rPr>
        <w:t xml:space="preserve">less, preservative-free solution containing </w:t>
      </w:r>
      <w:r w:rsidR="00D079C2">
        <w:rPr>
          <w:rFonts w:ascii="Times New Roman" w:hAnsi="Times New Roman"/>
          <w:sz w:val="24"/>
        </w:rPr>
        <w:t>20 </w:t>
      </w:r>
      <w:r w:rsidR="00AA7FFD" w:rsidRPr="00D079C2">
        <w:rPr>
          <w:rFonts w:ascii="Times New Roman" w:hAnsi="Times New Roman"/>
          <w:sz w:val="24"/>
        </w:rPr>
        <w:t>mg/</w:t>
      </w:r>
      <w:proofErr w:type="spellStart"/>
      <w:r w:rsidR="00AA7FFD" w:rsidRPr="00D079C2">
        <w:rPr>
          <w:rFonts w:ascii="Times New Roman" w:hAnsi="Times New Roman"/>
          <w:sz w:val="24"/>
        </w:rPr>
        <w:t>mL</w:t>
      </w:r>
      <w:proofErr w:type="spellEnd"/>
      <w:r w:rsidR="00AA7FFD" w:rsidRPr="009C1494">
        <w:rPr>
          <w:rFonts w:ascii="Times New Roman" w:hAnsi="Times New Roman"/>
          <w:sz w:val="24"/>
        </w:rPr>
        <w:t xml:space="preserve"> </w:t>
      </w:r>
      <w:proofErr w:type="spellStart"/>
      <w:r w:rsidR="00AA7FFD" w:rsidRPr="009C1494">
        <w:rPr>
          <w:rFonts w:ascii="Times New Roman" w:hAnsi="Times New Roman"/>
          <w:sz w:val="24"/>
        </w:rPr>
        <w:t>panitumumab</w:t>
      </w:r>
      <w:proofErr w:type="spellEnd"/>
      <w:r w:rsidR="00AA7FFD" w:rsidRPr="009C1494">
        <w:rPr>
          <w:rFonts w:ascii="Times New Roman" w:hAnsi="Times New Roman"/>
          <w:sz w:val="24"/>
        </w:rPr>
        <w:t xml:space="preserve"> in a single-use vial.  The solution may contain a small amount of vis</w:t>
      </w:r>
      <w:r w:rsidR="00AA7FFD" w:rsidRPr="004F3B51">
        <w:rPr>
          <w:rFonts w:ascii="Times New Roman" w:hAnsi="Times New Roman"/>
          <w:sz w:val="24"/>
        </w:rPr>
        <w:t xml:space="preserve">ible </w:t>
      </w:r>
      <w:r w:rsidR="00F87CD0" w:rsidRPr="004F3B51">
        <w:rPr>
          <w:rFonts w:ascii="Times New Roman" w:hAnsi="Times New Roman"/>
          <w:sz w:val="24"/>
        </w:rPr>
        <w:t xml:space="preserve">translucent to white, </w:t>
      </w:r>
      <w:r w:rsidR="00AA7FFD" w:rsidRPr="004F3B51">
        <w:rPr>
          <w:rFonts w:ascii="Times New Roman" w:hAnsi="Times New Roman"/>
          <w:sz w:val="24"/>
        </w:rPr>
        <w:t>amorphous</w:t>
      </w:r>
      <w:r w:rsidR="00F87CD0" w:rsidRPr="004F3B51">
        <w:rPr>
          <w:rFonts w:ascii="Times New Roman" w:hAnsi="Times New Roman"/>
          <w:sz w:val="24"/>
        </w:rPr>
        <w:t xml:space="preserve">, </w:t>
      </w:r>
      <w:proofErr w:type="spellStart"/>
      <w:r w:rsidR="00F87CD0" w:rsidRPr="004F3B51">
        <w:rPr>
          <w:rFonts w:ascii="Times New Roman" w:hAnsi="Times New Roman"/>
          <w:sz w:val="24"/>
        </w:rPr>
        <w:t>proteinaceous</w:t>
      </w:r>
      <w:proofErr w:type="spellEnd"/>
      <w:r w:rsidR="00AA7FFD" w:rsidRPr="004F3B51">
        <w:rPr>
          <w:rFonts w:ascii="Times New Roman" w:hAnsi="Times New Roman"/>
          <w:sz w:val="24"/>
        </w:rPr>
        <w:t xml:space="preserve"> </w:t>
      </w:r>
      <w:proofErr w:type="spellStart"/>
      <w:r w:rsidR="00AA7FFD" w:rsidRPr="004F3B51">
        <w:rPr>
          <w:rFonts w:ascii="Times New Roman" w:hAnsi="Times New Roman"/>
          <w:sz w:val="24"/>
        </w:rPr>
        <w:t>pa</w:t>
      </w:r>
      <w:r w:rsidR="00AA7FFD" w:rsidRPr="009C1494">
        <w:rPr>
          <w:rFonts w:ascii="Times New Roman" w:hAnsi="Times New Roman"/>
          <w:sz w:val="24"/>
        </w:rPr>
        <w:t>nitumumab</w:t>
      </w:r>
      <w:proofErr w:type="spellEnd"/>
      <w:r w:rsidR="00AA7FFD" w:rsidRPr="009C1494">
        <w:rPr>
          <w:rFonts w:ascii="Times New Roman" w:hAnsi="Times New Roman"/>
          <w:sz w:val="24"/>
        </w:rPr>
        <w:t xml:space="preserve"> </w:t>
      </w:r>
      <w:r w:rsidR="00AA7FFD" w:rsidRPr="00BF14DE">
        <w:rPr>
          <w:rFonts w:ascii="Times New Roman" w:hAnsi="Times New Roman"/>
          <w:sz w:val="24"/>
        </w:rPr>
        <w:t>particulates</w:t>
      </w:r>
      <w:r w:rsidR="00AA7FFD" w:rsidRPr="009C1494">
        <w:rPr>
          <w:rFonts w:ascii="Times New Roman" w:hAnsi="Times New Roman"/>
          <w:sz w:val="24"/>
        </w:rPr>
        <w:t>.</w:t>
      </w:r>
    </w:p>
    <w:p w:rsidR="00AA7FFD" w:rsidRPr="009C1494" w:rsidRDefault="00812AA6">
      <w:pPr>
        <w:pStyle w:val="Text"/>
        <w:spacing w:after="0" w:line="240" w:lineRule="auto"/>
        <w:rPr>
          <w:rFonts w:ascii="Times New Roman" w:hAnsi="Times New Roman"/>
          <w:b/>
          <w:bCs/>
          <w:sz w:val="24"/>
        </w:rPr>
      </w:pPr>
      <w:r>
        <w:rPr>
          <w:rFonts w:ascii="Times New Roman" w:hAnsi="Times New Roman"/>
          <w:b/>
          <w:bCs/>
          <w:sz w:val="24"/>
        </w:rPr>
        <w:t>DO NOT SHAKE</w:t>
      </w:r>
      <w:r w:rsidR="004E4D47">
        <w:rPr>
          <w:rFonts w:ascii="Times New Roman" w:hAnsi="Times New Roman"/>
          <w:b/>
          <w:bCs/>
          <w:sz w:val="24"/>
        </w:rPr>
        <w:t>.</w:t>
      </w:r>
    </w:p>
    <w:p w:rsidR="00AA7FFD" w:rsidRPr="009C1494" w:rsidRDefault="00AA7FFD">
      <w:pPr>
        <w:pStyle w:val="Text"/>
        <w:spacing w:after="0" w:line="240" w:lineRule="auto"/>
        <w:rPr>
          <w:rFonts w:ascii="Times New Roman" w:hAnsi="Times New Roman"/>
          <w:sz w:val="24"/>
        </w:rPr>
      </w:pPr>
    </w:p>
    <w:p w:rsidR="00AA7FFD" w:rsidRPr="009C1494" w:rsidRDefault="00AA7FFD">
      <w:pPr>
        <w:pStyle w:val="Text"/>
        <w:spacing w:after="0" w:line="240" w:lineRule="auto"/>
        <w:rPr>
          <w:rFonts w:ascii="Times New Roman" w:hAnsi="Times New Roman"/>
          <w:sz w:val="24"/>
        </w:rPr>
      </w:pPr>
      <w:r w:rsidRPr="009C1494">
        <w:rPr>
          <w:rFonts w:ascii="Times New Roman" w:hAnsi="Times New Roman"/>
          <w:sz w:val="24"/>
        </w:rPr>
        <w:t>Prepare infusion using an appropriate aseptic technique.</w:t>
      </w:r>
    </w:p>
    <w:p w:rsidR="00AA7FFD" w:rsidRPr="009C1494" w:rsidRDefault="00AA7FFD">
      <w:pPr>
        <w:pStyle w:val="Text"/>
        <w:spacing w:after="0" w:line="240" w:lineRule="auto"/>
        <w:rPr>
          <w:rFonts w:ascii="Times New Roman" w:hAnsi="Times New Roman"/>
          <w:sz w:val="24"/>
        </w:rPr>
      </w:pPr>
    </w:p>
    <w:p w:rsidR="00AA7FFD" w:rsidRPr="009C1494" w:rsidRDefault="006E463F">
      <w:pPr>
        <w:pStyle w:val="Text"/>
        <w:spacing w:after="0" w:line="240" w:lineRule="auto"/>
        <w:rPr>
          <w:rFonts w:ascii="Times New Roman" w:hAnsi="Times New Roman"/>
          <w:b/>
          <w:bCs/>
          <w:sz w:val="24"/>
        </w:rPr>
      </w:pPr>
      <w:proofErr w:type="spellStart"/>
      <w:r w:rsidRPr="009C1494">
        <w:rPr>
          <w:rFonts w:ascii="Times New Roman" w:hAnsi="Times New Roman"/>
          <w:sz w:val="24"/>
        </w:rPr>
        <w:t>Vectibix</w:t>
      </w:r>
      <w:proofErr w:type="spellEnd"/>
      <w:r w:rsidR="00AA7FFD" w:rsidRPr="009C1494">
        <w:rPr>
          <w:rFonts w:ascii="Times New Roman" w:hAnsi="Times New Roman"/>
          <w:sz w:val="24"/>
        </w:rPr>
        <w:t xml:space="preserve"> MUST BE ADMINISTERED BY IV INFUSION PUMP:</w:t>
      </w:r>
    </w:p>
    <w:p w:rsidR="00AA7FFD" w:rsidRPr="009C1494" w:rsidRDefault="00AA7FFD">
      <w:pPr>
        <w:pStyle w:val="Text"/>
        <w:numPr>
          <w:ilvl w:val="0"/>
          <w:numId w:val="5"/>
        </w:numPr>
        <w:spacing w:after="0" w:line="240" w:lineRule="auto"/>
        <w:rPr>
          <w:rFonts w:ascii="Times New Roman" w:hAnsi="Times New Roman"/>
          <w:sz w:val="24"/>
        </w:rPr>
      </w:pPr>
      <w:r w:rsidRPr="009C1494">
        <w:rPr>
          <w:rFonts w:ascii="Times New Roman" w:hAnsi="Times New Roman"/>
          <w:sz w:val="24"/>
        </w:rPr>
        <w:t xml:space="preserve">Withdraw the necessary amount of </w:t>
      </w:r>
      <w:proofErr w:type="spellStart"/>
      <w:r w:rsidR="006E463F" w:rsidRPr="009C1494">
        <w:rPr>
          <w:rFonts w:ascii="Times New Roman" w:hAnsi="Times New Roman"/>
          <w:sz w:val="24"/>
        </w:rPr>
        <w:t>Vectibix</w:t>
      </w:r>
      <w:proofErr w:type="spellEnd"/>
      <w:r w:rsidRPr="009C1494">
        <w:rPr>
          <w:rFonts w:ascii="Times New Roman" w:hAnsi="Times New Roman"/>
          <w:sz w:val="24"/>
        </w:rPr>
        <w:t xml:space="preserve"> for a dose of 6 mg/kg</w:t>
      </w:r>
      <w:r w:rsidR="00BA0CCE" w:rsidRPr="009C1494">
        <w:rPr>
          <w:rFonts w:ascii="Times New Roman" w:hAnsi="Times New Roman"/>
          <w:sz w:val="24"/>
        </w:rPr>
        <w:t>.</w:t>
      </w:r>
      <w:r w:rsidRPr="009C1494">
        <w:rPr>
          <w:rFonts w:ascii="Times New Roman" w:hAnsi="Times New Roman"/>
          <w:sz w:val="24"/>
        </w:rPr>
        <w:t xml:space="preserve"> </w:t>
      </w:r>
    </w:p>
    <w:p w:rsidR="00AA7FFD" w:rsidRPr="009C1494" w:rsidRDefault="00AA7FFD">
      <w:pPr>
        <w:pStyle w:val="Text"/>
        <w:numPr>
          <w:ilvl w:val="0"/>
          <w:numId w:val="5"/>
        </w:numPr>
        <w:spacing w:after="0" w:line="240" w:lineRule="auto"/>
        <w:rPr>
          <w:rFonts w:ascii="Times New Roman" w:hAnsi="Times New Roman"/>
          <w:sz w:val="24"/>
        </w:rPr>
      </w:pPr>
      <w:r w:rsidRPr="009C1494">
        <w:rPr>
          <w:rFonts w:ascii="Times New Roman" w:hAnsi="Times New Roman"/>
          <w:sz w:val="24"/>
        </w:rPr>
        <w:t xml:space="preserve">Dilute in a volume of 100 </w:t>
      </w:r>
      <w:proofErr w:type="spellStart"/>
      <w:r w:rsidRPr="009C1494">
        <w:rPr>
          <w:rFonts w:ascii="Times New Roman" w:hAnsi="Times New Roman"/>
          <w:sz w:val="24"/>
        </w:rPr>
        <w:t>mL</w:t>
      </w:r>
      <w:proofErr w:type="spellEnd"/>
      <w:r w:rsidRPr="009C1494">
        <w:rPr>
          <w:rFonts w:ascii="Times New Roman" w:hAnsi="Times New Roman"/>
          <w:sz w:val="24"/>
        </w:rPr>
        <w:t xml:space="preserve"> in 0.9% sodium chloride injection.  Final concentration should not exceed 10 mg/</w:t>
      </w:r>
      <w:proofErr w:type="spellStart"/>
      <w:r w:rsidRPr="009C1494">
        <w:rPr>
          <w:rFonts w:ascii="Times New Roman" w:hAnsi="Times New Roman"/>
          <w:sz w:val="24"/>
        </w:rPr>
        <w:t>mL.</w:t>
      </w:r>
      <w:proofErr w:type="spellEnd"/>
    </w:p>
    <w:p w:rsidR="00AA7FFD" w:rsidRPr="009C1494" w:rsidRDefault="00AA7FFD">
      <w:pPr>
        <w:pStyle w:val="Text"/>
        <w:numPr>
          <w:ilvl w:val="0"/>
          <w:numId w:val="5"/>
        </w:numPr>
        <w:spacing w:after="0" w:line="240" w:lineRule="auto"/>
        <w:rPr>
          <w:rFonts w:ascii="Times New Roman" w:hAnsi="Times New Roman"/>
          <w:sz w:val="24"/>
        </w:rPr>
      </w:pPr>
      <w:r w:rsidRPr="009C1494">
        <w:rPr>
          <w:rFonts w:ascii="Times New Roman" w:hAnsi="Times New Roman"/>
          <w:sz w:val="24"/>
        </w:rPr>
        <w:t>Diluted solution should be mixed by gentle inversion.</w:t>
      </w:r>
      <w:r w:rsidRPr="009C1494">
        <w:rPr>
          <w:rFonts w:ascii="Times New Roman" w:hAnsi="Times New Roman"/>
          <w:b/>
          <w:bCs/>
          <w:sz w:val="24"/>
        </w:rPr>
        <w:t xml:space="preserve"> </w:t>
      </w:r>
      <w:r w:rsidR="00FE6101" w:rsidRPr="009C1494">
        <w:rPr>
          <w:rFonts w:ascii="Times New Roman" w:hAnsi="Times New Roman"/>
          <w:b/>
          <w:bCs/>
          <w:sz w:val="24"/>
        </w:rPr>
        <w:t xml:space="preserve"> </w:t>
      </w:r>
      <w:r w:rsidRPr="009C1494">
        <w:rPr>
          <w:rFonts w:ascii="Times New Roman" w:hAnsi="Times New Roman"/>
          <w:b/>
          <w:bCs/>
          <w:sz w:val="24"/>
        </w:rPr>
        <w:t>DO NOT SHAKE.</w:t>
      </w:r>
    </w:p>
    <w:p w:rsidR="00AA7FFD" w:rsidRPr="009C1494" w:rsidRDefault="00AA7FFD">
      <w:pPr>
        <w:pStyle w:val="Text"/>
        <w:numPr>
          <w:ilvl w:val="0"/>
          <w:numId w:val="5"/>
        </w:numPr>
        <w:spacing w:after="0" w:line="240" w:lineRule="auto"/>
        <w:rPr>
          <w:rFonts w:ascii="Times New Roman" w:hAnsi="Times New Roman"/>
          <w:sz w:val="24"/>
        </w:rPr>
      </w:pPr>
      <w:r w:rsidRPr="009C1494">
        <w:rPr>
          <w:rFonts w:ascii="Times New Roman" w:hAnsi="Times New Roman"/>
          <w:sz w:val="24"/>
        </w:rPr>
        <w:t>Infuse over approximately 60 minutes through a peripheral line or indwelling cathete</w:t>
      </w:r>
      <w:r w:rsidRPr="004F3B51">
        <w:rPr>
          <w:rFonts w:ascii="Times New Roman" w:hAnsi="Times New Roman"/>
          <w:sz w:val="24"/>
        </w:rPr>
        <w:t>r</w:t>
      </w:r>
      <w:r w:rsidR="004F3B51" w:rsidRPr="004F3B51">
        <w:rPr>
          <w:rFonts w:ascii="Times New Roman" w:hAnsi="Times New Roman"/>
          <w:sz w:val="24"/>
        </w:rPr>
        <w:t>.</w:t>
      </w:r>
      <w:r w:rsidR="004F3B51" w:rsidRPr="004F3B51">
        <w:rPr>
          <w:rFonts w:cs="Arial"/>
          <w:vertAlign w:val="superscript"/>
        </w:rPr>
        <w:t>†</w:t>
      </w:r>
      <w:r w:rsidR="004F3B51" w:rsidRPr="004F3B51">
        <w:rPr>
          <w:rFonts w:cs="Arial"/>
        </w:rPr>
        <w:t xml:space="preserve"> </w:t>
      </w:r>
      <w:r w:rsidR="004F3B51">
        <w:rPr>
          <w:rFonts w:cs="Arial"/>
        </w:rPr>
        <w:t xml:space="preserve"> </w:t>
      </w:r>
      <w:r w:rsidR="004F3B51" w:rsidRPr="004F3B51">
        <w:rPr>
          <w:rFonts w:ascii="Times New Roman" w:hAnsi="Times New Roman"/>
          <w:sz w:val="24"/>
        </w:rPr>
        <w:t>If</w:t>
      </w:r>
      <w:r w:rsidR="00902A79" w:rsidRPr="004F3B51">
        <w:rPr>
          <w:rFonts w:ascii="Times New Roman" w:hAnsi="Times New Roman"/>
          <w:sz w:val="24"/>
        </w:rPr>
        <w:t xml:space="preserve"> the first infusion is tolerated, then subsequent infusions may be administered over 30 to 60 minutes. </w:t>
      </w:r>
    </w:p>
    <w:p w:rsidR="00AA7FFD" w:rsidRDefault="00AA7FFD">
      <w:pPr>
        <w:pStyle w:val="Text"/>
        <w:numPr>
          <w:ilvl w:val="0"/>
          <w:numId w:val="5"/>
        </w:numPr>
        <w:spacing w:after="0" w:line="240" w:lineRule="auto"/>
        <w:rPr>
          <w:rFonts w:ascii="Times New Roman" w:hAnsi="Times New Roman"/>
          <w:sz w:val="24"/>
          <w:szCs w:val="22"/>
        </w:rPr>
      </w:pPr>
      <w:r>
        <w:rPr>
          <w:rFonts w:ascii="Times New Roman" w:hAnsi="Times New Roman"/>
          <w:sz w:val="24"/>
        </w:rPr>
        <w:t xml:space="preserve">Flush line before and after </w:t>
      </w:r>
      <w:proofErr w:type="spellStart"/>
      <w:r w:rsidR="006E463F">
        <w:rPr>
          <w:rFonts w:ascii="Times New Roman" w:hAnsi="Times New Roman"/>
          <w:sz w:val="24"/>
        </w:rPr>
        <w:t>Vectibix</w:t>
      </w:r>
      <w:proofErr w:type="spellEnd"/>
      <w:r>
        <w:rPr>
          <w:rFonts w:ascii="Times New Roman" w:hAnsi="Times New Roman"/>
          <w:sz w:val="24"/>
        </w:rPr>
        <w:t xml:space="preserve"> administration with 0.9% sodium chloride injection to avoid mixing with other drug products or IV solutions.   </w:t>
      </w:r>
    </w:p>
    <w:p w:rsidR="00AA7FFD" w:rsidRDefault="00AA7FFD">
      <w:pPr>
        <w:rPr>
          <w:sz w:val="24"/>
        </w:rPr>
      </w:pPr>
    </w:p>
    <w:p w:rsidR="00AA7FFD" w:rsidRDefault="00FE6101" w:rsidP="00923A06">
      <w:pPr>
        <w:pStyle w:val="BodyText2"/>
        <w:tabs>
          <w:tab w:val="left" w:pos="120"/>
        </w:tabs>
        <w:ind w:left="120" w:hanging="120"/>
        <w:rPr>
          <w:rFonts w:cs="Times New Roman"/>
          <w:szCs w:val="20"/>
        </w:rPr>
      </w:pPr>
      <w:r w:rsidRPr="00BA265E">
        <w:rPr>
          <w:color w:val="000000"/>
          <w:vertAlign w:val="superscript"/>
        </w:rPr>
        <w:t>†</w:t>
      </w:r>
      <w:r w:rsidR="00923A06">
        <w:rPr>
          <w:rFonts w:cs="Times New Roman"/>
          <w:szCs w:val="20"/>
        </w:rPr>
        <w:tab/>
      </w:r>
      <w:r w:rsidR="00AA7FFD">
        <w:rPr>
          <w:rFonts w:cs="Times New Roman"/>
          <w:szCs w:val="20"/>
        </w:rPr>
        <w:t xml:space="preserve">Doses higher than 1000 mg should be diluted in 150 </w:t>
      </w:r>
      <w:proofErr w:type="spellStart"/>
      <w:r w:rsidR="00AA7FFD">
        <w:rPr>
          <w:rFonts w:cs="Times New Roman"/>
          <w:szCs w:val="20"/>
        </w:rPr>
        <w:t>mL</w:t>
      </w:r>
      <w:proofErr w:type="spellEnd"/>
      <w:r w:rsidR="00AA7FFD">
        <w:rPr>
          <w:rFonts w:cs="Times New Roman"/>
          <w:szCs w:val="20"/>
        </w:rPr>
        <w:t xml:space="preserve"> 0.9% sodium chloride injection and should be infused over approximately 90 minutes via infusion pump.</w:t>
      </w:r>
    </w:p>
    <w:p w:rsidR="00AA7FFD" w:rsidRDefault="00AA7FFD">
      <w:pPr>
        <w:rPr>
          <w:sz w:val="24"/>
        </w:rPr>
      </w:pPr>
    </w:p>
    <w:p w:rsidR="00AA7FFD" w:rsidRDefault="00AA7FFD">
      <w:pPr>
        <w:pStyle w:val="Text"/>
        <w:spacing w:after="0" w:line="240" w:lineRule="auto"/>
        <w:rPr>
          <w:rFonts w:ascii="Times New Roman" w:hAnsi="Times New Roman"/>
          <w:sz w:val="24"/>
        </w:rPr>
      </w:pPr>
      <w:r>
        <w:rPr>
          <w:rFonts w:ascii="Times New Roman" w:hAnsi="Times New Roman"/>
          <w:sz w:val="24"/>
        </w:rPr>
        <w:t xml:space="preserve">The solution may contain a small amount of visible amorphous </w:t>
      </w:r>
      <w:proofErr w:type="spellStart"/>
      <w:r>
        <w:rPr>
          <w:rFonts w:ascii="Times New Roman" w:hAnsi="Times New Roman"/>
          <w:sz w:val="24"/>
        </w:rPr>
        <w:t>panitumumab</w:t>
      </w:r>
      <w:proofErr w:type="spellEnd"/>
      <w:r>
        <w:rPr>
          <w:rFonts w:ascii="Times New Roman" w:hAnsi="Times New Roman"/>
          <w:sz w:val="24"/>
        </w:rPr>
        <w:t xml:space="preserve"> particulates that will be removed during infusion by a low protein binding 0.2 </w:t>
      </w:r>
      <w:r>
        <w:rPr>
          <w:rFonts w:ascii="Times New Roman" w:hAnsi="Times New Roman"/>
          <w:sz w:val="24"/>
        </w:rPr>
        <w:sym w:font="Symbol" w:char="F06D"/>
      </w:r>
      <w:r>
        <w:rPr>
          <w:rFonts w:ascii="Times New Roman" w:hAnsi="Times New Roman"/>
          <w:sz w:val="24"/>
        </w:rPr>
        <w:t xml:space="preserve">m or 0.22 </w:t>
      </w:r>
      <w:r>
        <w:rPr>
          <w:rFonts w:ascii="Times New Roman" w:hAnsi="Times New Roman"/>
          <w:sz w:val="24"/>
        </w:rPr>
        <w:sym w:font="Symbol" w:char="F06D"/>
      </w:r>
      <w:r>
        <w:rPr>
          <w:rFonts w:ascii="Times New Roman" w:hAnsi="Times New Roman"/>
          <w:sz w:val="24"/>
        </w:rPr>
        <w:t xml:space="preserve">m in-line filter; the filtration does not impact the quality of the administered product.  </w:t>
      </w:r>
      <w:proofErr w:type="spellStart"/>
      <w:r w:rsidR="006E463F">
        <w:rPr>
          <w:rFonts w:ascii="Times New Roman" w:hAnsi="Times New Roman"/>
          <w:sz w:val="24"/>
        </w:rPr>
        <w:t>Vectibix</w:t>
      </w:r>
      <w:proofErr w:type="spellEnd"/>
      <w:r>
        <w:rPr>
          <w:rFonts w:ascii="Times New Roman" w:hAnsi="Times New Roman"/>
          <w:sz w:val="24"/>
        </w:rPr>
        <w:t xml:space="preserve"> should not be administered if discoloration is observed.  </w:t>
      </w:r>
    </w:p>
    <w:p w:rsidR="00AA7FFD" w:rsidRDefault="00AA7FFD">
      <w:pPr>
        <w:rPr>
          <w:rFonts w:cs="Arial"/>
          <w:sz w:val="24"/>
          <w:szCs w:val="22"/>
        </w:rPr>
      </w:pPr>
    </w:p>
    <w:p w:rsidR="00AA7FFD" w:rsidRDefault="00AA7FFD">
      <w:pPr>
        <w:rPr>
          <w:rFonts w:cs="Arial"/>
          <w:sz w:val="24"/>
          <w:szCs w:val="22"/>
        </w:rPr>
      </w:pPr>
      <w:r>
        <w:rPr>
          <w:rFonts w:cs="Arial"/>
          <w:sz w:val="24"/>
          <w:szCs w:val="22"/>
        </w:rPr>
        <w:t xml:space="preserve">In the absence of compatibility studies, </w:t>
      </w:r>
      <w:proofErr w:type="spellStart"/>
      <w:r w:rsidR="006E463F">
        <w:rPr>
          <w:rFonts w:cs="Arial"/>
          <w:sz w:val="24"/>
          <w:szCs w:val="22"/>
        </w:rPr>
        <w:t>Vectibix</w:t>
      </w:r>
      <w:proofErr w:type="spellEnd"/>
      <w:r>
        <w:rPr>
          <w:rFonts w:cs="Arial"/>
          <w:sz w:val="24"/>
          <w:szCs w:val="22"/>
        </w:rPr>
        <w:t xml:space="preserve"> must not be mixed with other medicinal products.</w:t>
      </w:r>
    </w:p>
    <w:p w:rsidR="00C75B7F" w:rsidRDefault="00C75B7F">
      <w:pPr>
        <w:rPr>
          <w:sz w:val="24"/>
        </w:rPr>
      </w:pPr>
    </w:p>
    <w:p w:rsidR="00AA7FFD" w:rsidRDefault="00AA7FFD">
      <w:pPr>
        <w:rPr>
          <w:rFonts w:cs="Arial"/>
          <w:sz w:val="24"/>
          <w:szCs w:val="22"/>
        </w:rPr>
      </w:pPr>
      <w:r>
        <w:rPr>
          <w:sz w:val="24"/>
        </w:rPr>
        <w:t xml:space="preserve">No incompatibilities have been observed between </w:t>
      </w:r>
      <w:proofErr w:type="spellStart"/>
      <w:r w:rsidR="006E463F">
        <w:rPr>
          <w:sz w:val="24"/>
        </w:rPr>
        <w:t>Vectibix</w:t>
      </w:r>
      <w:proofErr w:type="spellEnd"/>
      <w:r>
        <w:rPr>
          <w:sz w:val="24"/>
        </w:rPr>
        <w:t xml:space="preserve"> and 0.9% sodium chloride injection in polyvinyl chloride bags or polyolefin bags.</w:t>
      </w:r>
    </w:p>
    <w:p w:rsidR="00AA7FFD" w:rsidRDefault="00AA7FFD">
      <w:pPr>
        <w:rPr>
          <w:rFonts w:cs="Arial"/>
          <w:sz w:val="24"/>
          <w:szCs w:val="22"/>
        </w:rPr>
      </w:pPr>
    </w:p>
    <w:p w:rsidR="00F6083A" w:rsidRPr="00132EFB" w:rsidRDefault="00F6083A">
      <w:pPr>
        <w:rPr>
          <w:rFonts w:cs="Arial"/>
          <w:sz w:val="24"/>
          <w:szCs w:val="22"/>
        </w:rPr>
      </w:pPr>
      <w:r w:rsidRPr="00132EFB">
        <w:rPr>
          <w:rFonts w:cs="Arial"/>
          <w:sz w:val="24"/>
          <w:szCs w:val="22"/>
        </w:rPr>
        <w:t>Use in one patient on one occasion only.</w:t>
      </w:r>
    </w:p>
    <w:p w:rsidR="00F6083A" w:rsidRDefault="00F6083A">
      <w:pPr>
        <w:rPr>
          <w:rFonts w:cs="Arial"/>
          <w:sz w:val="24"/>
          <w:szCs w:val="22"/>
        </w:rPr>
      </w:pPr>
    </w:p>
    <w:p w:rsidR="00AA7FFD" w:rsidRDefault="00AA7FFD">
      <w:pPr>
        <w:rPr>
          <w:rFonts w:cs="Arial"/>
          <w:sz w:val="24"/>
          <w:szCs w:val="22"/>
        </w:rPr>
      </w:pPr>
      <w:r>
        <w:rPr>
          <w:rFonts w:cs="Arial"/>
          <w:sz w:val="24"/>
          <w:szCs w:val="22"/>
        </w:rPr>
        <w:t>Do not use beyond the expiration date.</w:t>
      </w:r>
    </w:p>
    <w:p w:rsidR="00893401" w:rsidRDefault="00893401">
      <w:pPr>
        <w:rPr>
          <w:rFonts w:cs="Arial"/>
          <w:sz w:val="24"/>
          <w:szCs w:val="22"/>
        </w:rPr>
      </w:pPr>
    </w:p>
    <w:p w:rsidR="00893401" w:rsidRDefault="00893401" w:rsidP="00893401">
      <w:pPr>
        <w:pStyle w:val="Heading1"/>
      </w:pPr>
      <w:r>
        <w:lastRenderedPageBreak/>
        <w:t>OVERDOSAGE</w:t>
      </w:r>
    </w:p>
    <w:p w:rsidR="00893401" w:rsidRPr="00000BBF" w:rsidRDefault="00893401" w:rsidP="00000BBF">
      <w:pPr>
        <w:pStyle w:val="Text"/>
        <w:spacing w:after="0" w:line="240" w:lineRule="auto"/>
        <w:rPr>
          <w:rFonts w:ascii="Times New Roman" w:hAnsi="Times New Roman"/>
          <w:bCs/>
          <w:sz w:val="24"/>
        </w:rPr>
      </w:pPr>
      <w:r w:rsidRPr="00000BBF">
        <w:rPr>
          <w:rFonts w:ascii="Times New Roman" w:hAnsi="Times New Roman"/>
          <w:bCs/>
          <w:sz w:val="24"/>
        </w:rPr>
        <w:t xml:space="preserve">Doses of </w:t>
      </w:r>
      <w:proofErr w:type="spellStart"/>
      <w:r w:rsidR="006E463F">
        <w:rPr>
          <w:rFonts w:ascii="Times New Roman" w:hAnsi="Times New Roman"/>
          <w:bCs/>
          <w:sz w:val="24"/>
        </w:rPr>
        <w:t>Vectibix</w:t>
      </w:r>
      <w:proofErr w:type="spellEnd"/>
      <w:r w:rsidRPr="00000BBF">
        <w:rPr>
          <w:rFonts w:ascii="Times New Roman" w:hAnsi="Times New Roman"/>
          <w:bCs/>
          <w:sz w:val="24"/>
        </w:rPr>
        <w:t xml:space="preserve"> higher than 9 mg/kg</w:t>
      </w:r>
      <w:r w:rsidRPr="00000BBF">
        <w:rPr>
          <w:rFonts w:ascii="Times New Roman" w:hAnsi="Times New Roman"/>
          <w:bCs/>
          <w:sz w:val="24"/>
          <w:szCs w:val="16"/>
        </w:rPr>
        <w:t xml:space="preserve"> </w:t>
      </w:r>
      <w:r w:rsidRPr="00000BBF">
        <w:rPr>
          <w:rFonts w:ascii="Times New Roman" w:hAnsi="Times New Roman"/>
          <w:bCs/>
          <w:sz w:val="24"/>
        </w:rPr>
        <w:t xml:space="preserve">have not been tested in clinical studies. </w:t>
      </w:r>
      <w:r w:rsidRPr="00821191">
        <w:rPr>
          <w:rFonts w:ascii="Times New Roman" w:hAnsi="Times New Roman"/>
          <w:bCs/>
          <w:color w:val="000000"/>
          <w:sz w:val="24"/>
        </w:rPr>
        <w:t xml:space="preserve"> </w:t>
      </w:r>
      <w:r w:rsidR="00DE6328" w:rsidRPr="00821191">
        <w:rPr>
          <w:rFonts w:ascii="Times New Roman" w:hAnsi="Times New Roman"/>
          <w:bCs/>
          <w:color w:val="000000"/>
          <w:sz w:val="24"/>
        </w:rPr>
        <w:t xml:space="preserve">There have been reports of </w:t>
      </w:r>
      <w:proofErr w:type="spellStart"/>
      <w:r w:rsidR="00DE6328" w:rsidRPr="00821191">
        <w:rPr>
          <w:rFonts w:ascii="Times New Roman" w:hAnsi="Times New Roman"/>
          <w:bCs/>
          <w:color w:val="000000"/>
          <w:sz w:val="24"/>
        </w:rPr>
        <w:t>overdosage</w:t>
      </w:r>
      <w:proofErr w:type="spellEnd"/>
      <w:r w:rsidR="00DE6328" w:rsidRPr="00821191">
        <w:rPr>
          <w:rFonts w:ascii="Times New Roman" w:hAnsi="Times New Roman"/>
          <w:bCs/>
          <w:color w:val="000000"/>
          <w:sz w:val="24"/>
        </w:rPr>
        <w:t xml:space="preserve"> at doses up to approximately twice the recommended therapeutic dos</w:t>
      </w:r>
      <w:r w:rsidR="00DE6328" w:rsidRPr="004F3B51">
        <w:rPr>
          <w:rFonts w:ascii="Times New Roman" w:hAnsi="Times New Roman"/>
          <w:bCs/>
          <w:sz w:val="24"/>
        </w:rPr>
        <w:t>e</w:t>
      </w:r>
      <w:r w:rsidR="00812AA6" w:rsidRPr="004F3B51">
        <w:rPr>
          <w:rFonts w:ascii="Times New Roman" w:hAnsi="Times New Roman"/>
          <w:bCs/>
          <w:sz w:val="24"/>
        </w:rPr>
        <w:t xml:space="preserve"> (12</w:t>
      </w:r>
      <w:r w:rsidR="00326DCA" w:rsidRPr="004F3B51">
        <w:rPr>
          <w:rFonts w:ascii="Times New Roman" w:hAnsi="Times New Roman"/>
          <w:bCs/>
          <w:sz w:val="24"/>
        </w:rPr>
        <w:t xml:space="preserve"> </w:t>
      </w:r>
      <w:r w:rsidR="00812AA6" w:rsidRPr="004F3B51">
        <w:rPr>
          <w:rFonts w:ascii="Times New Roman" w:hAnsi="Times New Roman"/>
          <w:bCs/>
          <w:sz w:val="24"/>
        </w:rPr>
        <w:t>mg/kg)</w:t>
      </w:r>
      <w:r w:rsidR="00DE6328" w:rsidRPr="004F3B51">
        <w:rPr>
          <w:rFonts w:ascii="Times New Roman" w:hAnsi="Times New Roman"/>
          <w:bCs/>
          <w:sz w:val="24"/>
        </w:rPr>
        <w:t>.</w:t>
      </w:r>
      <w:r w:rsidR="00FE6101" w:rsidRPr="004F3B51">
        <w:rPr>
          <w:rFonts w:ascii="Times New Roman" w:hAnsi="Times New Roman"/>
          <w:bCs/>
          <w:sz w:val="24"/>
        </w:rPr>
        <w:t xml:space="preserve"> </w:t>
      </w:r>
      <w:r w:rsidR="00DE6328" w:rsidRPr="00821191">
        <w:rPr>
          <w:rFonts w:ascii="Times New Roman" w:hAnsi="Times New Roman"/>
          <w:bCs/>
          <w:color w:val="000000"/>
          <w:sz w:val="24"/>
        </w:rPr>
        <w:t xml:space="preserve"> Adverse events observed included skin toxicity, diarrhoea, dehydration and fatigue and were consistent with the safety profile at the recommended dose.  </w:t>
      </w:r>
      <w:r w:rsidRPr="00821191">
        <w:rPr>
          <w:rFonts w:ascii="Times New Roman" w:hAnsi="Times New Roman"/>
          <w:bCs/>
          <w:color w:val="000000"/>
          <w:sz w:val="24"/>
        </w:rPr>
        <w:t>In</w:t>
      </w:r>
      <w:r w:rsidRPr="00000BBF">
        <w:rPr>
          <w:rFonts w:ascii="Times New Roman" w:hAnsi="Times New Roman"/>
          <w:bCs/>
          <w:sz w:val="24"/>
        </w:rPr>
        <w:t xml:space="preserve"> the event of </w:t>
      </w:r>
      <w:proofErr w:type="spellStart"/>
      <w:r w:rsidRPr="00000BBF">
        <w:rPr>
          <w:rFonts w:ascii="Times New Roman" w:hAnsi="Times New Roman"/>
          <w:bCs/>
          <w:sz w:val="24"/>
        </w:rPr>
        <w:t>overdosage</w:t>
      </w:r>
      <w:proofErr w:type="spellEnd"/>
      <w:r w:rsidRPr="00000BBF">
        <w:rPr>
          <w:rFonts w:ascii="Times New Roman" w:hAnsi="Times New Roman"/>
          <w:bCs/>
          <w:sz w:val="24"/>
        </w:rPr>
        <w:t>, the patient should be observed and appropriate supportive treatment given.</w:t>
      </w:r>
    </w:p>
    <w:p w:rsidR="00AA7FFD" w:rsidRPr="00B46342" w:rsidRDefault="00AA7FFD">
      <w:pPr>
        <w:pStyle w:val="Heading1"/>
        <w:rPr>
          <w:color w:val="000000"/>
        </w:rPr>
      </w:pPr>
      <w:r>
        <w:t>PRESENTATION</w:t>
      </w:r>
      <w:r w:rsidR="00FE6101">
        <w:t xml:space="preserve"> </w:t>
      </w:r>
      <w:r w:rsidR="00FE6101" w:rsidRPr="00B46342">
        <w:rPr>
          <w:color w:val="000000"/>
        </w:rPr>
        <w:t>AND STORAGE CONDITIONS</w:t>
      </w:r>
    </w:p>
    <w:p w:rsidR="00AA7FFD" w:rsidRPr="00B46342" w:rsidRDefault="006E463F">
      <w:pPr>
        <w:pStyle w:val="Text"/>
        <w:spacing w:after="0" w:line="240" w:lineRule="auto"/>
        <w:rPr>
          <w:rFonts w:ascii="Times New Roman" w:hAnsi="Times New Roman"/>
          <w:color w:val="000000"/>
          <w:sz w:val="24"/>
        </w:rPr>
      </w:pPr>
      <w:proofErr w:type="spellStart"/>
      <w:r w:rsidRPr="00B46342">
        <w:rPr>
          <w:rFonts w:ascii="Times New Roman" w:hAnsi="Times New Roman"/>
          <w:color w:val="000000"/>
          <w:sz w:val="24"/>
        </w:rPr>
        <w:t>Vectibix</w:t>
      </w:r>
      <w:proofErr w:type="spellEnd"/>
      <w:r w:rsidR="00AA7FFD" w:rsidRPr="00B46342">
        <w:rPr>
          <w:rFonts w:ascii="Times New Roman" w:hAnsi="Times New Roman"/>
          <w:color w:val="000000"/>
          <w:sz w:val="24"/>
        </w:rPr>
        <w:t xml:space="preserve"> is supplied as a sterile, colo</w:t>
      </w:r>
      <w:r w:rsidR="00866685" w:rsidRPr="00B46342">
        <w:rPr>
          <w:rFonts w:ascii="Times New Roman" w:hAnsi="Times New Roman"/>
          <w:color w:val="000000"/>
          <w:sz w:val="24"/>
        </w:rPr>
        <w:t>u</w:t>
      </w:r>
      <w:r w:rsidR="00AA7FFD" w:rsidRPr="00B46342">
        <w:rPr>
          <w:rFonts w:ascii="Times New Roman" w:hAnsi="Times New Roman"/>
          <w:color w:val="000000"/>
          <w:sz w:val="24"/>
        </w:rPr>
        <w:t xml:space="preserve">rless, preservative-free solution containing </w:t>
      </w:r>
      <w:r w:rsidR="00D079C2">
        <w:rPr>
          <w:rFonts w:ascii="Times New Roman" w:hAnsi="Times New Roman"/>
          <w:color w:val="000000"/>
          <w:sz w:val="24"/>
        </w:rPr>
        <w:t>20 </w:t>
      </w:r>
      <w:r w:rsidR="00AA7FFD" w:rsidRPr="00D079C2">
        <w:rPr>
          <w:rFonts w:ascii="Times New Roman" w:hAnsi="Times New Roman"/>
          <w:color w:val="000000"/>
          <w:sz w:val="24"/>
        </w:rPr>
        <w:t>mg/</w:t>
      </w:r>
      <w:proofErr w:type="spellStart"/>
      <w:r w:rsidR="00AA7FFD" w:rsidRPr="00D079C2">
        <w:rPr>
          <w:rFonts w:ascii="Times New Roman" w:hAnsi="Times New Roman"/>
          <w:color w:val="000000"/>
          <w:sz w:val="24"/>
        </w:rPr>
        <w:t>mL</w:t>
      </w:r>
      <w:proofErr w:type="spellEnd"/>
      <w:r w:rsidR="00AA7FFD" w:rsidRPr="00B46342">
        <w:rPr>
          <w:rFonts w:ascii="Times New Roman" w:hAnsi="Times New Roman"/>
          <w:color w:val="000000"/>
          <w:sz w:val="24"/>
        </w:rPr>
        <w:t xml:space="preserve"> </w:t>
      </w:r>
      <w:proofErr w:type="spellStart"/>
      <w:r w:rsidR="00AA7FFD" w:rsidRPr="00F2732D">
        <w:rPr>
          <w:rFonts w:ascii="Times New Roman" w:hAnsi="Times New Roman"/>
          <w:color w:val="000000"/>
          <w:sz w:val="24"/>
        </w:rPr>
        <w:t>panitumumab</w:t>
      </w:r>
      <w:proofErr w:type="spellEnd"/>
      <w:r w:rsidR="00AA7FFD" w:rsidRPr="00B46342">
        <w:rPr>
          <w:rFonts w:ascii="Times New Roman" w:hAnsi="Times New Roman"/>
          <w:color w:val="000000"/>
          <w:sz w:val="24"/>
        </w:rPr>
        <w:t xml:space="preserve"> in a single-use vial.</w:t>
      </w:r>
    </w:p>
    <w:p w:rsidR="00AA7FFD" w:rsidRPr="00B46342" w:rsidRDefault="00AA7FFD">
      <w:pPr>
        <w:pStyle w:val="Text"/>
        <w:spacing w:after="0" w:line="240" w:lineRule="auto"/>
        <w:rPr>
          <w:rFonts w:ascii="Times New Roman" w:hAnsi="Times New Roman"/>
          <w:color w:val="000000"/>
          <w:sz w:val="24"/>
        </w:rPr>
      </w:pPr>
    </w:p>
    <w:p w:rsidR="00AA7FFD" w:rsidRPr="00B46342" w:rsidRDefault="006E463F">
      <w:pPr>
        <w:pStyle w:val="Text"/>
        <w:spacing w:after="0" w:line="240" w:lineRule="auto"/>
        <w:rPr>
          <w:rFonts w:ascii="Times New Roman" w:hAnsi="Times New Roman"/>
          <w:color w:val="000000"/>
          <w:sz w:val="24"/>
        </w:rPr>
      </w:pPr>
      <w:proofErr w:type="spellStart"/>
      <w:r w:rsidRPr="00B46342">
        <w:rPr>
          <w:rFonts w:ascii="Times New Roman" w:hAnsi="Times New Roman"/>
          <w:color w:val="000000"/>
          <w:sz w:val="24"/>
        </w:rPr>
        <w:t>Vectibix</w:t>
      </w:r>
      <w:proofErr w:type="spellEnd"/>
      <w:r w:rsidR="00AA7FFD" w:rsidRPr="00B46342">
        <w:rPr>
          <w:rFonts w:ascii="Times New Roman" w:hAnsi="Times New Roman"/>
          <w:color w:val="000000"/>
          <w:sz w:val="24"/>
        </w:rPr>
        <w:t xml:space="preserve"> is provided as one vial per carton.</w:t>
      </w:r>
    </w:p>
    <w:p w:rsidR="00AA7FFD" w:rsidRDefault="00AA7FFD">
      <w:pPr>
        <w:pStyle w:val="Text"/>
        <w:spacing w:after="0" w:line="240" w:lineRule="auto"/>
        <w:rPr>
          <w:rFonts w:ascii="Times New Roman" w:hAnsi="Times New Roman"/>
          <w:color w:val="000000"/>
          <w:sz w:val="24"/>
        </w:rPr>
      </w:pPr>
    </w:p>
    <w:p w:rsidR="00CB0E46" w:rsidRPr="00B46342" w:rsidRDefault="00CB0E46" w:rsidP="00E03D83">
      <w:pPr>
        <w:pStyle w:val="Text"/>
        <w:spacing w:after="0" w:line="240" w:lineRule="auto"/>
        <w:rPr>
          <w:rFonts w:ascii="Times New Roman" w:hAnsi="Times New Roman"/>
          <w:color w:val="000000"/>
          <w:sz w:val="24"/>
        </w:rPr>
      </w:pPr>
      <w:r>
        <w:rPr>
          <w:rFonts w:ascii="Times New Roman" w:hAnsi="Times New Roman"/>
          <w:color w:val="000000"/>
          <w:sz w:val="24"/>
        </w:rPr>
        <w:t>Presentation</w:t>
      </w:r>
      <w:r w:rsidRPr="00CB0E46">
        <w:rPr>
          <w:rFonts w:ascii="Times New Roman" w:hAnsi="Times New Roman"/>
          <w:color w:val="000000"/>
          <w:sz w:val="24"/>
        </w:rPr>
        <w:t xml:space="preserve"> Available in Australia:</w:t>
      </w:r>
    </w:p>
    <w:p w:rsidR="00CB0E46" w:rsidRDefault="00AA7FFD" w:rsidP="00E03D83">
      <w:pPr>
        <w:pStyle w:val="Text"/>
        <w:spacing w:after="0" w:line="240" w:lineRule="auto"/>
        <w:rPr>
          <w:rFonts w:ascii="Times New Roman" w:hAnsi="Times New Roman"/>
          <w:color w:val="000000"/>
          <w:sz w:val="24"/>
        </w:rPr>
      </w:pPr>
      <w:r w:rsidRPr="00B46342">
        <w:rPr>
          <w:rFonts w:ascii="Times New Roman" w:hAnsi="Times New Roman"/>
          <w:color w:val="000000"/>
          <w:sz w:val="24"/>
        </w:rPr>
        <w:t xml:space="preserve">Each 5 </w:t>
      </w:r>
      <w:proofErr w:type="spellStart"/>
      <w:r w:rsidRPr="00B46342">
        <w:rPr>
          <w:rFonts w:ascii="Times New Roman" w:hAnsi="Times New Roman"/>
          <w:color w:val="000000"/>
          <w:sz w:val="24"/>
        </w:rPr>
        <w:t>mL</w:t>
      </w:r>
      <w:proofErr w:type="spellEnd"/>
      <w:r w:rsidRPr="00B46342">
        <w:rPr>
          <w:rFonts w:ascii="Times New Roman" w:hAnsi="Times New Roman"/>
          <w:color w:val="000000"/>
          <w:sz w:val="24"/>
        </w:rPr>
        <w:t xml:space="preserve"> single-use vial contains 100 mg of </w:t>
      </w:r>
      <w:proofErr w:type="spellStart"/>
      <w:r w:rsidRPr="00B46342">
        <w:rPr>
          <w:rFonts w:ascii="Times New Roman" w:hAnsi="Times New Roman"/>
          <w:color w:val="000000"/>
          <w:sz w:val="24"/>
        </w:rPr>
        <w:t>panitumumab</w:t>
      </w:r>
      <w:proofErr w:type="spellEnd"/>
      <w:r w:rsidRPr="00B46342">
        <w:rPr>
          <w:rFonts w:ascii="Times New Roman" w:hAnsi="Times New Roman"/>
          <w:color w:val="000000"/>
          <w:sz w:val="24"/>
        </w:rPr>
        <w:t xml:space="preserve"> in 5 </w:t>
      </w:r>
      <w:proofErr w:type="spellStart"/>
      <w:r w:rsidRPr="00B46342">
        <w:rPr>
          <w:rFonts w:ascii="Times New Roman" w:hAnsi="Times New Roman"/>
          <w:color w:val="000000"/>
          <w:sz w:val="24"/>
        </w:rPr>
        <w:t>mL.</w:t>
      </w:r>
      <w:proofErr w:type="spellEnd"/>
    </w:p>
    <w:p w:rsidR="00CB0E46" w:rsidRDefault="00CB0E46" w:rsidP="00E03D83">
      <w:pPr>
        <w:pStyle w:val="Text"/>
        <w:spacing w:after="0" w:line="240" w:lineRule="auto"/>
        <w:rPr>
          <w:rFonts w:ascii="Times New Roman" w:hAnsi="Times New Roman"/>
          <w:color w:val="000000"/>
          <w:sz w:val="24"/>
        </w:rPr>
      </w:pPr>
    </w:p>
    <w:p w:rsidR="00ED4C79" w:rsidRPr="00B46342" w:rsidRDefault="00CB0E46" w:rsidP="00E03D83">
      <w:pPr>
        <w:pStyle w:val="Text"/>
        <w:spacing w:after="0" w:line="240" w:lineRule="auto"/>
        <w:rPr>
          <w:rFonts w:ascii="Times New Roman" w:hAnsi="Times New Roman"/>
          <w:color w:val="000000"/>
          <w:sz w:val="24"/>
        </w:rPr>
      </w:pPr>
      <w:r w:rsidRPr="00CB0E46">
        <w:rPr>
          <w:rFonts w:ascii="Times New Roman" w:hAnsi="Times New Roman"/>
          <w:color w:val="000000"/>
          <w:sz w:val="24"/>
        </w:rPr>
        <w:t xml:space="preserve">Presentations </w:t>
      </w:r>
      <w:r>
        <w:rPr>
          <w:rFonts w:ascii="Times New Roman" w:hAnsi="Times New Roman"/>
          <w:color w:val="000000"/>
          <w:sz w:val="24"/>
        </w:rPr>
        <w:t xml:space="preserve">Not </w:t>
      </w:r>
      <w:r w:rsidRPr="00CB0E46">
        <w:rPr>
          <w:rFonts w:ascii="Times New Roman" w:hAnsi="Times New Roman"/>
          <w:color w:val="000000"/>
          <w:sz w:val="24"/>
        </w:rPr>
        <w:t>Available in Australia:</w:t>
      </w:r>
      <w:r w:rsidR="00AA7FFD" w:rsidRPr="00B46342">
        <w:rPr>
          <w:rFonts w:ascii="Times New Roman" w:hAnsi="Times New Roman"/>
          <w:color w:val="000000"/>
          <w:sz w:val="24"/>
        </w:rPr>
        <w:br/>
      </w:r>
      <w:r w:rsidR="00ED4C79" w:rsidRPr="00B46342">
        <w:rPr>
          <w:rFonts w:ascii="Times New Roman" w:hAnsi="Times New Roman"/>
          <w:color w:val="000000"/>
          <w:sz w:val="24"/>
        </w:rPr>
        <w:t xml:space="preserve">Each 10 </w:t>
      </w:r>
      <w:proofErr w:type="spellStart"/>
      <w:r w:rsidR="00ED4C79" w:rsidRPr="00B46342">
        <w:rPr>
          <w:rFonts w:ascii="Times New Roman" w:hAnsi="Times New Roman"/>
          <w:color w:val="000000"/>
          <w:sz w:val="24"/>
        </w:rPr>
        <w:t>mL</w:t>
      </w:r>
      <w:proofErr w:type="spellEnd"/>
      <w:r w:rsidR="00ED4C79" w:rsidRPr="00B46342">
        <w:rPr>
          <w:rFonts w:ascii="Times New Roman" w:hAnsi="Times New Roman"/>
          <w:color w:val="000000"/>
          <w:sz w:val="24"/>
        </w:rPr>
        <w:t xml:space="preserve"> single-use vial contains 200 mg of </w:t>
      </w:r>
      <w:proofErr w:type="spellStart"/>
      <w:r w:rsidR="00ED4C79" w:rsidRPr="00B46342">
        <w:rPr>
          <w:rFonts w:ascii="Times New Roman" w:hAnsi="Times New Roman"/>
          <w:color w:val="000000"/>
          <w:sz w:val="24"/>
        </w:rPr>
        <w:t>panitumumab</w:t>
      </w:r>
      <w:proofErr w:type="spellEnd"/>
      <w:r w:rsidR="00ED4C79" w:rsidRPr="00B46342">
        <w:rPr>
          <w:rFonts w:ascii="Times New Roman" w:hAnsi="Times New Roman"/>
          <w:color w:val="000000"/>
          <w:sz w:val="24"/>
        </w:rPr>
        <w:t xml:space="preserve"> in 10 </w:t>
      </w:r>
      <w:proofErr w:type="spellStart"/>
      <w:r w:rsidR="00ED4C79" w:rsidRPr="00B46342">
        <w:rPr>
          <w:rFonts w:ascii="Times New Roman" w:hAnsi="Times New Roman"/>
          <w:color w:val="000000"/>
          <w:sz w:val="24"/>
        </w:rPr>
        <w:t>mL.</w:t>
      </w:r>
      <w:proofErr w:type="spellEnd"/>
    </w:p>
    <w:p w:rsidR="00ED4C79" w:rsidRPr="00B46342" w:rsidRDefault="00ED4C79" w:rsidP="00E03D83">
      <w:pPr>
        <w:pStyle w:val="Text"/>
        <w:spacing w:after="0" w:line="240" w:lineRule="auto"/>
        <w:rPr>
          <w:rFonts w:ascii="Times New Roman" w:hAnsi="Times New Roman"/>
          <w:bCs/>
          <w:color w:val="000000"/>
          <w:sz w:val="24"/>
        </w:rPr>
      </w:pPr>
      <w:r w:rsidRPr="00B46342">
        <w:rPr>
          <w:rFonts w:ascii="Times New Roman" w:hAnsi="Times New Roman"/>
          <w:bCs/>
          <w:color w:val="000000"/>
          <w:sz w:val="24"/>
        </w:rPr>
        <w:t xml:space="preserve">Each 20 </w:t>
      </w:r>
      <w:proofErr w:type="spellStart"/>
      <w:r w:rsidRPr="00B46342">
        <w:rPr>
          <w:rFonts w:ascii="Times New Roman" w:hAnsi="Times New Roman"/>
          <w:bCs/>
          <w:color w:val="000000"/>
          <w:sz w:val="24"/>
        </w:rPr>
        <w:t>mL</w:t>
      </w:r>
      <w:proofErr w:type="spellEnd"/>
      <w:r w:rsidRPr="00B46342">
        <w:rPr>
          <w:rFonts w:ascii="Times New Roman" w:hAnsi="Times New Roman"/>
          <w:bCs/>
          <w:color w:val="000000"/>
          <w:sz w:val="24"/>
        </w:rPr>
        <w:t xml:space="preserve"> single-use vial contains 400 mg of </w:t>
      </w:r>
      <w:proofErr w:type="spellStart"/>
      <w:r w:rsidRPr="00B46342">
        <w:rPr>
          <w:rFonts w:ascii="Times New Roman" w:hAnsi="Times New Roman"/>
          <w:bCs/>
          <w:color w:val="000000"/>
          <w:sz w:val="24"/>
        </w:rPr>
        <w:t>panitumumab</w:t>
      </w:r>
      <w:proofErr w:type="spellEnd"/>
      <w:r w:rsidRPr="00B46342">
        <w:rPr>
          <w:rFonts w:ascii="Times New Roman" w:hAnsi="Times New Roman"/>
          <w:bCs/>
          <w:color w:val="000000"/>
          <w:sz w:val="24"/>
        </w:rPr>
        <w:t xml:space="preserve"> in 20 </w:t>
      </w:r>
      <w:proofErr w:type="spellStart"/>
      <w:r w:rsidRPr="00B46342">
        <w:rPr>
          <w:rFonts w:ascii="Times New Roman" w:hAnsi="Times New Roman"/>
          <w:bCs/>
          <w:color w:val="000000"/>
          <w:sz w:val="24"/>
        </w:rPr>
        <w:t>mL</w:t>
      </w:r>
      <w:r w:rsidRPr="007933E2">
        <w:rPr>
          <w:rFonts w:ascii="Times New Roman" w:hAnsi="Times New Roman"/>
          <w:bCs/>
          <w:color w:val="000000"/>
          <w:sz w:val="24"/>
        </w:rPr>
        <w:t>.</w:t>
      </w:r>
      <w:proofErr w:type="spellEnd"/>
    </w:p>
    <w:p w:rsidR="00AA7FFD" w:rsidRPr="00B46342" w:rsidRDefault="00AA7FFD" w:rsidP="00000BBF">
      <w:pPr>
        <w:pStyle w:val="Text"/>
        <w:spacing w:after="0" w:line="240" w:lineRule="auto"/>
        <w:rPr>
          <w:rFonts w:ascii="Times New Roman" w:hAnsi="Times New Roman"/>
          <w:color w:val="000000"/>
          <w:sz w:val="24"/>
        </w:rPr>
      </w:pPr>
    </w:p>
    <w:p w:rsidR="00AA7FFD" w:rsidRPr="00B46342" w:rsidRDefault="00AA7FFD">
      <w:pPr>
        <w:pStyle w:val="Text"/>
        <w:spacing w:after="0" w:line="240" w:lineRule="auto"/>
        <w:rPr>
          <w:rFonts w:ascii="Times New Roman" w:hAnsi="Times New Roman"/>
          <w:color w:val="000000"/>
          <w:sz w:val="24"/>
        </w:rPr>
      </w:pPr>
      <w:r w:rsidRPr="00B46342">
        <w:rPr>
          <w:rFonts w:ascii="Times New Roman" w:hAnsi="Times New Roman"/>
          <w:color w:val="000000"/>
          <w:sz w:val="24"/>
        </w:rPr>
        <w:t>Store vials in the original carton under refrigeration at 2</w:t>
      </w:r>
      <w:r w:rsidRPr="00B46342">
        <w:rPr>
          <w:rFonts w:ascii="Times New Roman" w:hAnsi="Times New Roman"/>
          <w:color w:val="000000"/>
          <w:sz w:val="24"/>
        </w:rPr>
        <w:sym w:font="Symbol" w:char="F0B0"/>
      </w:r>
      <w:r w:rsidR="00FE6101" w:rsidRPr="00B46342">
        <w:rPr>
          <w:rFonts w:ascii="Times New Roman" w:hAnsi="Times New Roman"/>
          <w:color w:val="000000"/>
          <w:sz w:val="24"/>
        </w:rPr>
        <w:t>C</w:t>
      </w:r>
      <w:r w:rsidRPr="00B46342">
        <w:rPr>
          <w:rFonts w:ascii="Times New Roman" w:hAnsi="Times New Roman"/>
          <w:color w:val="000000"/>
          <w:sz w:val="24"/>
        </w:rPr>
        <w:t xml:space="preserve"> to 8</w:t>
      </w:r>
      <w:r w:rsidRPr="00B46342">
        <w:rPr>
          <w:rFonts w:ascii="Times New Roman" w:hAnsi="Times New Roman"/>
          <w:color w:val="000000"/>
          <w:sz w:val="24"/>
        </w:rPr>
        <w:sym w:font="Symbol" w:char="F0B0"/>
      </w:r>
      <w:r w:rsidRPr="00B46342">
        <w:rPr>
          <w:rFonts w:ascii="Times New Roman" w:hAnsi="Times New Roman"/>
          <w:color w:val="000000"/>
          <w:sz w:val="24"/>
        </w:rPr>
        <w:t xml:space="preserve">C until time of use. Protect from direct </w:t>
      </w:r>
      <w:r w:rsidR="00EE2B1D" w:rsidRPr="00B46342">
        <w:rPr>
          <w:rFonts w:ascii="Times New Roman" w:hAnsi="Times New Roman"/>
          <w:color w:val="000000"/>
          <w:sz w:val="24"/>
        </w:rPr>
        <w:t>sun</w:t>
      </w:r>
      <w:r w:rsidRPr="00B46342">
        <w:rPr>
          <w:rFonts w:ascii="Times New Roman" w:hAnsi="Times New Roman"/>
          <w:color w:val="000000"/>
          <w:sz w:val="24"/>
        </w:rPr>
        <w:t>light.  DO NOT FREEZE.</w:t>
      </w:r>
      <w:r w:rsidR="008149D5" w:rsidRPr="00B46342">
        <w:rPr>
          <w:rFonts w:ascii="Times New Roman" w:hAnsi="Times New Roman"/>
          <w:color w:val="000000"/>
          <w:sz w:val="24"/>
        </w:rPr>
        <w:t xml:space="preserve"> </w:t>
      </w:r>
      <w:r w:rsidR="00FE6101" w:rsidRPr="00B46342">
        <w:rPr>
          <w:rFonts w:ascii="Times New Roman" w:hAnsi="Times New Roman"/>
          <w:color w:val="000000"/>
          <w:sz w:val="24"/>
        </w:rPr>
        <w:t xml:space="preserve"> </w:t>
      </w:r>
      <w:r w:rsidR="008149D5" w:rsidRPr="00E747D6">
        <w:rPr>
          <w:rFonts w:ascii="Times New Roman" w:hAnsi="Times New Roman"/>
          <w:b/>
          <w:color w:val="000000"/>
          <w:sz w:val="24"/>
        </w:rPr>
        <w:t>DO NOT SHAKE</w:t>
      </w:r>
      <w:r w:rsidR="008149D5" w:rsidRPr="00B46342">
        <w:rPr>
          <w:rFonts w:ascii="Times New Roman" w:hAnsi="Times New Roman"/>
          <w:color w:val="000000"/>
          <w:sz w:val="24"/>
        </w:rPr>
        <w:t>.</w:t>
      </w:r>
      <w:r w:rsidRPr="00B46342">
        <w:rPr>
          <w:rFonts w:ascii="Times New Roman" w:hAnsi="Times New Roman"/>
          <w:color w:val="000000"/>
          <w:sz w:val="24"/>
        </w:rPr>
        <w:t xml:space="preserve"> </w:t>
      </w:r>
    </w:p>
    <w:p w:rsidR="00AA7FFD" w:rsidRPr="00B46342" w:rsidRDefault="00AA7FFD">
      <w:pPr>
        <w:pStyle w:val="Text"/>
        <w:spacing w:after="0" w:line="240" w:lineRule="auto"/>
        <w:rPr>
          <w:rFonts w:ascii="Times New Roman" w:hAnsi="Times New Roman"/>
          <w:color w:val="000000"/>
          <w:sz w:val="24"/>
          <w:szCs w:val="24"/>
        </w:rPr>
      </w:pPr>
    </w:p>
    <w:p w:rsidR="00110F9C" w:rsidRPr="00B46342" w:rsidRDefault="006E463F" w:rsidP="00110F9C">
      <w:pPr>
        <w:pStyle w:val="Text"/>
        <w:spacing w:after="0" w:line="240" w:lineRule="auto"/>
        <w:rPr>
          <w:rFonts w:ascii="Times New Roman" w:hAnsi="Times New Roman"/>
          <w:color w:val="000000"/>
          <w:sz w:val="24"/>
        </w:rPr>
      </w:pPr>
      <w:proofErr w:type="spellStart"/>
      <w:r w:rsidRPr="00B46342">
        <w:rPr>
          <w:rFonts w:ascii="Times New Roman" w:hAnsi="Times New Roman"/>
          <w:color w:val="000000"/>
          <w:sz w:val="24"/>
          <w:szCs w:val="24"/>
        </w:rPr>
        <w:t>Vectibix</w:t>
      </w:r>
      <w:proofErr w:type="spellEnd"/>
      <w:r w:rsidR="00110F9C" w:rsidRPr="00B46342">
        <w:rPr>
          <w:rFonts w:ascii="Times New Roman" w:hAnsi="Times New Roman"/>
          <w:color w:val="000000"/>
          <w:sz w:val="24"/>
          <w:szCs w:val="24"/>
        </w:rPr>
        <w:t xml:space="preserve"> does not contain any antimicrobial preservative or </w:t>
      </w:r>
      <w:proofErr w:type="spellStart"/>
      <w:r w:rsidR="00110F9C" w:rsidRPr="00B46342">
        <w:rPr>
          <w:rFonts w:ascii="Times New Roman" w:hAnsi="Times New Roman"/>
          <w:color w:val="000000"/>
          <w:sz w:val="24"/>
          <w:szCs w:val="24"/>
        </w:rPr>
        <w:t>bacteriostatic</w:t>
      </w:r>
      <w:proofErr w:type="spellEnd"/>
      <w:r w:rsidR="00110F9C" w:rsidRPr="00B46342">
        <w:rPr>
          <w:rFonts w:ascii="Times New Roman" w:hAnsi="Times New Roman"/>
          <w:color w:val="000000"/>
          <w:sz w:val="24"/>
          <w:szCs w:val="24"/>
        </w:rPr>
        <w:t xml:space="preserve"> agent. </w:t>
      </w:r>
      <w:r w:rsidR="00FE6101" w:rsidRPr="00B46342">
        <w:rPr>
          <w:rFonts w:ascii="Times New Roman" w:hAnsi="Times New Roman"/>
          <w:color w:val="000000"/>
          <w:sz w:val="24"/>
          <w:szCs w:val="24"/>
        </w:rPr>
        <w:t xml:space="preserve"> </w:t>
      </w:r>
      <w:r w:rsidR="00110F9C" w:rsidRPr="00B46342">
        <w:rPr>
          <w:rFonts w:ascii="Times New Roman" w:hAnsi="Times New Roman"/>
          <w:color w:val="000000"/>
          <w:sz w:val="24"/>
          <w:szCs w:val="24"/>
        </w:rPr>
        <w:t>To reduce microbiological hazard, the product should be used immediately after dilution.</w:t>
      </w:r>
      <w:r w:rsidR="00FE6101" w:rsidRPr="00B46342">
        <w:rPr>
          <w:rFonts w:ascii="Times New Roman" w:hAnsi="Times New Roman"/>
          <w:color w:val="000000"/>
          <w:sz w:val="24"/>
          <w:szCs w:val="24"/>
        </w:rPr>
        <w:t xml:space="preserve"> </w:t>
      </w:r>
      <w:r w:rsidR="00110F9C" w:rsidRPr="00B46342">
        <w:rPr>
          <w:rFonts w:ascii="Times New Roman" w:hAnsi="Times New Roman"/>
          <w:color w:val="000000"/>
          <w:sz w:val="24"/>
          <w:szCs w:val="24"/>
        </w:rPr>
        <w:t xml:space="preserve"> If storage is necessary, the diluted infusion of </w:t>
      </w:r>
      <w:proofErr w:type="spellStart"/>
      <w:r w:rsidRPr="00B46342">
        <w:rPr>
          <w:rFonts w:ascii="Times New Roman" w:hAnsi="Times New Roman"/>
          <w:color w:val="000000"/>
          <w:sz w:val="24"/>
          <w:szCs w:val="24"/>
        </w:rPr>
        <w:t>Vectibix</w:t>
      </w:r>
      <w:proofErr w:type="spellEnd"/>
      <w:r w:rsidR="00110F9C" w:rsidRPr="00B46342">
        <w:rPr>
          <w:rFonts w:ascii="Times New Roman" w:hAnsi="Times New Roman"/>
          <w:color w:val="000000"/>
          <w:sz w:val="24"/>
          <w:szCs w:val="24"/>
        </w:rPr>
        <w:t xml:space="preserve"> should be </w:t>
      </w:r>
      <w:r w:rsidR="00FE6101" w:rsidRPr="00B46342">
        <w:rPr>
          <w:rFonts w:ascii="Times New Roman" w:hAnsi="Times New Roman"/>
          <w:color w:val="000000"/>
          <w:sz w:val="24"/>
          <w:szCs w:val="24"/>
        </w:rPr>
        <w:t xml:space="preserve">stored at 2°C to 8°C, and </w:t>
      </w:r>
      <w:r w:rsidR="00110F9C" w:rsidRPr="00B46342">
        <w:rPr>
          <w:rFonts w:ascii="Times New Roman" w:hAnsi="Times New Roman"/>
          <w:color w:val="000000"/>
          <w:sz w:val="24"/>
          <w:szCs w:val="24"/>
        </w:rPr>
        <w:t>used within 24 hours of dilution</w:t>
      </w:r>
      <w:r w:rsidR="00FE6101" w:rsidRPr="00B46342">
        <w:rPr>
          <w:rFonts w:ascii="Times New Roman" w:hAnsi="Times New Roman"/>
          <w:color w:val="000000"/>
          <w:sz w:val="24"/>
          <w:szCs w:val="24"/>
        </w:rPr>
        <w:t xml:space="preserve">.  </w:t>
      </w:r>
      <w:r w:rsidR="00110F9C" w:rsidRPr="00B46342">
        <w:rPr>
          <w:rFonts w:ascii="Times New Roman" w:hAnsi="Times New Roman"/>
          <w:color w:val="000000"/>
          <w:sz w:val="24"/>
        </w:rPr>
        <w:t>The diluted infusion should be mixed by gentle inversion.</w:t>
      </w:r>
      <w:r w:rsidR="00FE6101" w:rsidRPr="00B46342">
        <w:rPr>
          <w:rFonts w:ascii="Times New Roman" w:hAnsi="Times New Roman"/>
          <w:color w:val="000000"/>
          <w:sz w:val="24"/>
        </w:rPr>
        <w:t xml:space="preserve"> </w:t>
      </w:r>
      <w:r w:rsidR="00110F9C" w:rsidRPr="00B46342">
        <w:rPr>
          <w:rFonts w:ascii="Times New Roman" w:hAnsi="Times New Roman"/>
          <w:color w:val="000000"/>
          <w:sz w:val="24"/>
        </w:rPr>
        <w:t xml:space="preserve"> </w:t>
      </w:r>
      <w:r w:rsidR="00110F9C" w:rsidRPr="00E747D6">
        <w:rPr>
          <w:rFonts w:ascii="Times New Roman" w:hAnsi="Times New Roman"/>
          <w:b/>
          <w:color w:val="000000"/>
          <w:sz w:val="24"/>
        </w:rPr>
        <w:t>DO NOT SHAKE</w:t>
      </w:r>
      <w:r w:rsidR="00110F9C" w:rsidRPr="00B46342">
        <w:rPr>
          <w:rFonts w:ascii="Times New Roman" w:hAnsi="Times New Roman"/>
          <w:color w:val="000000"/>
          <w:sz w:val="24"/>
        </w:rPr>
        <w:t>.</w:t>
      </w:r>
      <w:r w:rsidR="00D60012" w:rsidRPr="00B46342">
        <w:rPr>
          <w:rFonts w:ascii="Times New Roman" w:hAnsi="Times New Roman"/>
          <w:color w:val="000000"/>
          <w:sz w:val="24"/>
        </w:rPr>
        <w:t xml:space="preserve"> </w:t>
      </w:r>
      <w:r w:rsidR="00FE6101" w:rsidRPr="00B46342">
        <w:rPr>
          <w:rFonts w:ascii="Times New Roman" w:hAnsi="Times New Roman"/>
          <w:color w:val="000000"/>
          <w:sz w:val="24"/>
        </w:rPr>
        <w:t xml:space="preserve"> </w:t>
      </w:r>
      <w:r w:rsidR="00D60012" w:rsidRPr="00B46342">
        <w:rPr>
          <w:rFonts w:ascii="Times New Roman" w:hAnsi="Times New Roman"/>
          <w:color w:val="000000"/>
          <w:sz w:val="24"/>
        </w:rPr>
        <w:t>DO NOT FREEZE.</w:t>
      </w:r>
    </w:p>
    <w:p w:rsidR="00AA7FFD" w:rsidRPr="00B46342" w:rsidRDefault="00AA7FFD">
      <w:pPr>
        <w:pStyle w:val="BodyText"/>
        <w:spacing w:after="0"/>
        <w:rPr>
          <w:rFonts w:ascii="Times New Roman" w:hAnsi="Times New Roman"/>
          <w:color w:val="000000"/>
          <w:sz w:val="24"/>
        </w:rPr>
      </w:pPr>
    </w:p>
    <w:p w:rsidR="00AA7FFD" w:rsidRPr="00B46342" w:rsidRDefault="00AA7FFD">
      <w:pPr>
        <w:pStyle w:val="Heading1"/>
        <w:rPr>
          <w:color w:val="000000"/>
        </w:rPr>
      </w:pPr>
      <w:r w:rsidRPr="00B46342">
        <w:rPr>
          <w:color w:val="000000"/>
        </w:rPr>
        <w:t>NAME AND ADDRESS OF THE SPONSOR</w:t>
      </w:r>
    </w:p>
    <w:p w:rsidR="00FE6101" w:rsidRPr="000B58E1" w:rsidRDefault="00AA7FFD">
      <w:pPr>
        <w:pStyle w:val="BodyText"/>
        <w:spacing w:after="0"/>
        <w:rPr>
          <w:rFonts w:ascii="Times New Roman" w:hAnsi="Times New Roman"/>
          <w:color w:val="000000"/>
          <w:sz w:val="24"/>
        </w:rPr>
      </w:pPr>
      <w:r w:rsidRPr="000B58E1">
        <w:rPr>
          <w:rFonts w:ascii="Times New Roman" w:hAnsi="Times New Roman"/>
          <w:color w:val="000000"/>
          <w:sz w:val="24"/>
        </w:rPr>
        <w:t>Amgen Australia Pty Ltd</w:t>
      </w:r>
      <w:r w:rsidRPr="000B58E1">
        <w:rPr>
          <w:rFonts w:ascii="Times New Roman" w:hAnsi="Times New Roman"/>
          <w:color w:val="000000"/>
          <w:sz w:val="24"/>
        </w:rPr>
        <w:br/>
      </w:r>
      <w:r w:rsidR="00FE6101" w:rsidRPr="000B58E1">
        <w:rPr>
          <w:rFonts w:ascii="Times New Roman" w:hAnsi="Times New Roman"/>
          <w:color w:val="000000"/>
          <w:sz w:val="24"/>
        </w:rPr>
        <w:t>ABN 31 051 057 428</w:t>
      </w:r>
    </w:p>
    <w:p w:rsidR="00FE6101" w:rsidRPr="00B46342" w:rsidRDefault="00AA7FFD">
      <w:pPr>
        <w:pStyle w:val="BodyText"/>
        <w:spacing w:after="0"/>
        <w:rPr>
          <w:rFonts w:ascii="Times New Roman" w:hAnsi="Times New Roman"/>
          <w:color w:val="000000"/>
          <w:sz w:val="24"/>
        </w:rPr>
      </w:pPr>
      <w:r w:rsidRPr="00B46342">
        <w:rPr>
          <w:rFonts w:ascii="Times New Roman" w:hAnsi="Times New Roman"/>
          <w:color w:val="000000"/>
          <w:sz w:val="24"/>
        </w:rPr>
        <w:t xml:space="preserve">Level 7, </w:t>
      </w:r>
      <w:smartTag w:uri="urn:schemas-microsoft-com:office:smarttags" w:element="Street">
        <w:smartTag w:uri="urn:schemas-microsoft-com:office:smarttags" w:element="address">
          <w:r w:rsidRPr="00B46342">
            <w:rPr>
              <w:rFonts w:ascii="Times New Roman" w:hAnsi="Times New Roman"/>
              <w:color w:val="000000"/>
              <w:sz w:val="24"/>
            </w:rPr>
            <w:t>123 Epping Road</w:t>
          </w:r>
          <w:r w:rsidRPr="00B46342">
            <w:rPr>
              <w:rFonts w:ascii="Times New Roman" w:hAnsi="Times New Roman"/>
              <w:color w:val="000000"/>
              <w:sz w:val="24"/>
            </w:rPr>
            <w:br/>
            <w:t>North</w:t>
          </w:r>
        </w:smartTag>
      </w:smartTag>
      <w:r w:rsidRPr="00B46342">
        <w:rPr>
          <w:rFonts w:ascii="Times New Roman" w:hAnsi="Times New Roman"/>
          <w:color w:val="000000"/>
          <w:sz w:val="24"/>
        </w:rPr>
        <w:t xml:space="preserve"> Ryde, NSW 2113</w:t>
      </w:r>
      <w:r w:rsidRPr="00B46342">
        <w:rPr>
          <w:rFonts w:ascii="Times New Roman" w:hAnsi="Times New Roman"/>
          <w:color w:val="000000"/>
          <w:sz w:val="24"/>
        </w:rPr>
        <w:br/>
      </w:r>
    </w:p>
    <w:p w:rsidR="00FE6101" w:rsidRPr="00B46342" w:rsidRDefault="00FE6101" w:rsidP="00FE6101">
      <w:pPr>
        <w:pStyle w:val="Heading1"/>
        <w:rPr>
          <w:color w:val="000000"/>
        </w:rPr>
      </w:pPr>
      <w:r w:rsidRPr="00B46342">
        <w:rPr>
          <w:color w:val="000000"/>
        </w:rPr>
        <w:t>POISON SCHEDULE OF THE</w:t>
      </w:r>
      <w:r w:rsidR="00B46342" w:rsidRPr="00B46342">
        <w:rPr>
          <w:color w:val="000000"/>
        </w:rPr>
        <w:t xml:space="preserve"> </w:t>
      </w:r>
      <w:r w:rsidRPr="00B46342">
        <w:rPr>
          <w:color w:val="000000"/>
        </w:rPr>
        <w:t>MEDICINE</w:t>
      </w:r>
    </w:p>
    <w:p w:rsidR="00FE6101" w:rsidRPr="00B46342" w:rsidRDefault="00FE6101" w:rsidP="00FE6101">
      <w:pPr>
        <w:pStyle w:val="BodyText"/>
        <w:spacing w:after="0"/>
        <w:rPr>
          <w:rFonts w:ascii="Times New Roman" w:hAnsi="Times New Roman"/>
          <w:color w:val="000000"/>
          <w:sz w:val="24"/>
        </w:rPr>
      </w:pPr>
      <w:r w:rsidRPr="00B46342">
        <w:rPr>
          <w:rFonts w:ascii="Times New Roman" w:hAnsi="Times New Roman"/>
          <w:color w:val="000000"/>
          <w:sz w:val="24"/>
        </w:rPr>
        <w:t>S4</w:t>
      </w:r>
    </w:p>
    <w:p w:rsidR="00AA7FFD" w:rsidRPr="00B46342" w:rsidRDefault="00AA7FFD">
      <w:pPr>
        <w:pStyle w:val="BodyText"/>
        <w:spacing w:after="0"/>
        <w:rPr>
          <w:rFonts w:ascii="Times New Roman" w:hAnsi="Times New Roman"/>
          <w:color w:val="000000"/>
          <w:sz w:val="24"/>
        </w:rPr>
      </w:pPr>
    </w:p>
    <w:p w:rsidR="00315722" w:rsidRPr="00B46342" w:rsidRDefault="00315722" w:rsidP="00315722">
      <w:pPr>
        <w:pStyle w:val="Heading1"/>
        <w:rPr>
          <w:color w:val="000000"/>
        </w:rPr>
      </w:pPr>
      <w:r w:rsidRPr="00B46342">
        <w:rPr>
          <w:color w:val="000000"/>
        </w:rPr>
        <w:t>DATE OF APPROVAL</w:t>
      </w:r>
    </w:p>
    <w:p w:rsidR="004B21C3" w:rsidRPr="004F3B51" w:rsidRDefault="001529D7">
      <w:pPr>
        <w:pStyle w:val="BodyText"/>
        <w:spacing w:after="0"/>
        <w:rPr>
          <w:rFonts w:ascii="Times New Roman" w:hAnsi="Times New Roman"/>
          <w:sz w:val="24"/>
        </w:rPr>
      </w:pPr>
      <w:r>
        <w:rPr>
          <w:rFonts w:ascii="Times New Roman" w:hAnsi="Times New Roman"/>
          <w:sz w:val="24"/>
        </w:rPr>
        <w:t>20 March 2012</w:t>
      </w:r>
    </w:p>
    <w:p w:rsidR="00283D18" w:rsidRDefault="00283D18">
      <w:pPr>
        <w:pStyle w:val="BodyText"/>
        <w:spacing w:after="0"/>
        <w:rPr>
          <w:rFonts w:ascii="Times New Roman" w:hAnsi="Times New Roman"/>
          <w:color w:val="000000"/>
          <w:sz w:val="24"/>
        </w:rPr>
      </w:pPr>
    </w:p>
    <w:p w:rsidR="00283D18" w:rsidRDefault="00283D18" w:rsidP="00C64AC3">
      <w:pPr>
        <w:pStyle w:val="BodyText"/>
        <w:spacing w:after="0"/>
        <w:rPr>
          <w:rFonts w:ascii="Times New Roman" w:hAnsi="Times New Roman"/>
          <w:color w:val="000000"/>
          <w:sz w:val="24"/>
        </w:rPr>
      </w:pPr>
      <w:r w:rsidRPr="00E72363">
        <w:rPr>
          <w:rFonts w:ascii="Times New Roman" w:hAnsi="Times New Roman"/>
          <w:color w:val="000000"/>
          <w:sz w:val="24"/>
        </w:rPr>
        <w:t>* Please note changes in Product Information</w:t>
      </w:r>
    </w:p>
    <w:p w:rsidR="00F07C0C" w:rsidRDefault="00F07C0C" w:rsidP="00C64AC3">
      <w:pPr>
        <w:pStyle w:val="BodyText"/>
        <w:spacing w:after="0"/>
        <w:rPr>
          <w:rFonts w:ascii="Times New Roman" w:hAnsi="Times New Roman"/>
          <w:color w:val="000000"/>
          <w:sz w:val="24"/>
        </w:rPr>
      </w:pPr>
    </w:p>
    <w:p w:rsidR="00F07C0C" w:rsidRDefault="00F07C0C" w:rsidP="00C64AC3">
      <w:pPr>
        <w:pStyle w:val="BodyText"/>
        <w:spacing w:after="0"/>
        <w:rPr>
          <w:rFonts w:ascii="Times New Roman" w:hAnsi="Times New Roman"/>
          <w:color w:val="000000"/>
          <w:sz w:val="24"/>
        </w:rPr>
      </w:pPr>
    </w:p>
    <w:p w:rsidR="00F07C0C" w:rsidRPr="00F56FFF" w:rsidRDefault="00F07C0C" w:rsidP="00F56FFF">
      <w:pPr>
        <w:rPr>
          <w:color w:val="000000"/>
          <w:sz w:val="24"/>
          <w:szCs w:val="22"/>
          <w:lang w:val="en-AU"/>
        </w:rPr>
      </w:pPr>
    </w:p>
    <w:sectPr w:rsidR="00F07C0C" w:rsidRPr="00F56FFF" w:rsidSect="00047771">
      <w:headerReference w:type="default" r:id="rId10"/>
      <w:footerReference w:type="default" r:id="rId11"/>
      <w:pgSz w:w="11909" w:h="16834" w:code="9"/>
      <w:pgMar w:top="1134" w:right="1440" w:bottom="2074" w:left="1800" w:header="360" w:footer="360" w:gutter="0"/>
      <w:cols w:space="475"/>
      <w:noEndnote/>
      <w:docGrid w:linePitch="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D9C" w:rsidRDefault="00500D9C">
      <w:r>
        <w:separator/>
      </w:r>
    </w:p>
  </w:endnote>
  <w:endnote w:type="continuationSeparator" w:id="0">
    <w:p w:rsidR="00500D9C" w:rsidRDefault="00500D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F45" w:rsidRPr="00F06ABA" w:rsidRDefault="00F02F45">
    <w:pPr>
      <w:pStyle w:val="Footer"/>
      <w:rPr>
        <w:b w:val="0"/>
      </w:rPr>
    </w:pPr>
    <w:r>
      <w:rPr>
        <w:rFonts w:cs="Arial"/>
        <w:b w:val="0"/>
        <w:sz w:val="18"/>
        <w:szCs w:val="18"/>
      </w:rPr>
      <w:t>120</w:t>
    </w:r>
    <w:r w:rsidR="001529D7">
      <w:rPr>
        <w:rFonts w:cs="Arial"/>
        <w:b w:val="0"/>
        <w:sz w:val="18"/>
        <w:szCs w:val="18"/>
      </w:rPr>
      <w:t>320</w:t>
    </w:r>
    <w:r w:rsidR="00AF16F0">
      <w:rPr>
        <w:rFonts w:cs="Arial"/>
        <w:b w:val="0"/>
        <w:sz w:val="18"/>
        <w:szCs w:val="18"/>
      </w:rPr>
      <w:t xml:space="preserve"> </w:t>
    </w:r>
    <w:proofErr w:type="spellStart"/>
    <w:r w:rsidRPr="00F06ABA">
      <w:rPr>
        <w:rFonts w:cs="Arial"/>
        <w:b w:val="0"/>
        <w:color w:val="000000"/>
        <w:sz w:val="18"/>
        <w:szCs w:val="18"/>
      </w:rPr>
      <w:t>Vect</w:t>
    </w:r>
    <w:proofErr w:type="spellEnd"/>
    <w:r w:rsidRPr="00F06ABA">
      <w:rPr>
        <w:rFonts w:cs="Arial"/>
        <w:b w:val="0"/>
        <w:color w:val="000000"/>
        <w:sz w:val="18"/>
        <w:szCs w:val="18"/>
      </w:rPr>
      <w:t xml:space="preserve"> RPI </w:t>
    </w:r>
    <w:r>
      <w:rPr>
        <w:rFonts w:cs="Arial"/>
        <w:b w:val="0"/>
        <w:color w:val="000000"/>
        <w:sz w:val="18"/>
        <w:szCs w:val="18"/>
      </w:rPr>
      <w:t>v3.7</w:t>
    </w:r>
    <w:r w:rsidR="00F56FFF">
      <w:rPr>
        <w:rFonts w:cs="Arial"/>
        <w:b w:val="0"/>
        <w:color w:val="000000"/>
        <w:sz w:val="18"/>
        <w:szCs w:val="18"/>
      </w:rPr>
      <w:t xml:space="preserve"> </w:t>
    </w:r>
    <w:proofErr w:type="spellStart"/>
    <w:r w:rsidRPr="00F06ABA">
      <w:rPr>
        <w:rFonts w:cs="Arial"/>
        <w:b w:val="0"/>
        <w:color w:val="000000"/>
        <w:sz w:val="18"/>
        <w:szCs w:val="18"/>
      </w:rPr>
      <w:t>mCRC</w:t>
    </w:r>
    <w:proofErr w:type="spellEnd"/>
    <w:r w:rsidRPr="00F06ABA">
      <w:rPr>
        <w:rFonts w:cs="Arial"/>
        <w:b w:val="0"/>
        <w:color w:val="000000"/>
        <w:sz w:val="18"/>
        <w:szCs w:val="18"/>
      </w:rPr>
      <w:t xml:space="preserve"> </w:t>
    </w:r>
    <w:r w:rsidRPr="00E27F9B">
      <w:rPr>
        <w:rFonts w:cs="Arial"/>
        <w:b w:val="0"/>
        <w:i/>
        <w:color w:val="000000"/>
        <w:sz w:val="18"/>
        <w:szCs w:val="18"/>
      </w:rPr>
      <w:t>KRAS</w:t>
    </w:r>
    <w:r w:rsidRPr="00F06ABA">
      <w:rPr>
        <w:rFonts w:cs="Arial"/>
        <w:b w:val="0"/>
        <w:color w:val="000000"/>
        <w:sz w:val="18"/>
        <w:szCs w:val="18"/>
      </w:rPr>
      <w:t xml:space="preserve"> </w:t>
    </w:r>
    <w:r w:rsidR="001529D7">
      <w:rPr>
        <w:rFonts w:cs="Arial"/>
        <w:b w:val="0"/>
        <w:sz w:val="18"/>
        <w:szCs w:val="18"/>
      </w:rPr>
      <w:t>1</w:t>
    </w:r>
    <w:r w:rsidR="001529D7" w:rsidRPr="001529D7">
      <w:rPr>
        <w:rFonts w:cs="Arial"/>
        <w:b w:val="0"/>
        <w:sz w:val="18"/>
        <w:szCs w:val="18"/>
        <w:vertAlign w:val="superscript"/>
      </w:rPr>
      <w:t>st</w:t>
    </w:r>
    <w:r w:rsidR="001529D7">
      <w:rPr>
        <w:rFonts w:cs="Arial"/>
        <w:b w:val="0"/>
        <w:sz w:val="18"/>
        <w:szCs w:val="18"/>
      </w:rPr>
      <w:t xml:space="preserve"> 2</w:t>
    </w:r>
    <w:r w:rsidR="001529D7" w:rsidRPr="001529D7">
      <w:rPr>
        <w:rFonts w:cs="Arial"/>
        <w:b w:val="0"/>
        <w:sz w:val="18"/>
        <w:szCs w:val="18"/>
        <w:vertAlign w:val="superscript"/>
      </w:rPr>
      <w:t>nd</w:t>
    </w:r>
    <w:r w:rsidR="001529D7">
      <w:rPr>
        <w:rFonts w:cs="Arial"/>
        <w:b w:val="0"/>
        <w:sz w:val="18"/>
        <w:szCs w:val="18"/>
      </w:rPr>
      <w:t xml:space="preserve"> Line</w:t>
    </w:r>
    <w:r>
      <w:rPr>
        <w:rFonts w:cs="Arial"/>
        <w:b w:val="0"/>
        <w:sz w:val="18"/>
        <w:szCs w:val="18"/>
      </w:rPr>
      <w:t>.</w:t>
    </w:r>
    <w:r w:rsidRPr="00F06ABA">
      <w:rPr>
        <w:rFonts w:cs="Arial"/>
        <w:b w:val="0"/>
        <w:color w:val="000000"/>
        <w:sz w:val="18"/>
        <w:szCs w:val="18"/>
      </w:rPr>
      <w:t>doc</w:t>
    </w:r>
    <w:r w:rsidRPr="00F06ABA">
      <w:rPr>
        <w:b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D9C" w:rsidRDefault="00500D9C">
      <w:r>
        <w:separator/>
      </w:r>
    </w:p>
  </w:footnote>
  <w:footnote w:type="continuationSeparator" w:id="0">
    <w:p w:rsidR="00500D9C" w:rsidRDefault="00500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0" w:type="auto"/>
      <w:shd w:val="clear" w:color="auto" w:fill="E4F2E0"/>
      <w:tblLook w:val="04A0"/>
    </w:tblPr>
    <w:tblGrid>
      <w:gridCol w:w="8720"/>
    </w:tblGrid>
    <w:tr w:rsidR="00616AFF" w:rsidRPr="00616AFF" w:rsidTr="00B96007">
      <w:tc>
        <w:tcPr>
          <w:tcW w:w="8720" w:type="dxa"/>
          <w:shd w:val="clear" w:color="auto" w:fill="E4F2E0"/>
        </w:tcPr>
        <w:p w:rsidR="00616AFF" w:rsidRPr="00616AFF" w:rsidRDefault="00616AFF" w:rsidP="00616AFF">
          <w:pPr>
            <w:spacing w:before="40" w:after="40" w:line="240" w:lineRule="atLeast"/>
            <w:rPr>
              <w:b/>
              <w:szCs w:val="20"/>
              <w:lang w:val="en-AU" w:eastAsia="en-US"/>
            </w:rPr>
          </w:pPr>
          <w:r w:rsidRPr="00616AFF">
            <w:rPr>
              <w:b/>
              <w:sz w:val="20"/>
              <w:szCs w:val="20"/>
              <w:lang w:val="en-AU" w:eastAsia="en-US"/>
            </w:rPr>
            <w:t xml:space="preserve">Attachment 1: Product information for </w:t>
          </w:r>
          <w:proofErr w:type="spellStart"/>
          <w:r w:rsidRPr="00616AFF">
            <w:rPr>
              <w:b/>
              <w:sz w:val="20"/>
              <w:lang w:val="en-AU" w:eastAsia="en-US"/>
            </w:rPr>
            <w:t>AusPAR</w:t>
          </w:r>
          <w:proofErr w:type="spellEnd"/>
          <w:r w:rsidRPr="00616AFF">
            <w:rPr>
              <w:b/>
              <w:sz w:val="20"/>
              <w:lang w:val="en-AU" w:eastAsia="en-US"/>
            </w:rPr>
            <w:t xml:space="preserve"> </w:t>
          </w:r>
          <w:proofErr w:type="spellStart"/>
          <w:r w:rsidRPr="00616AFF">
            <w:rPr>
              <w:b/>
              <w:sz w:val="20"/>
              <w:lang w:val="en-AU" w:eastAsia="en-US"/>
            </w:rPr>
            <w:t>Vectibix</w:t>
          </w:r>
          <w:proofErr w:type="spellEnd"/>
          <w:r w:rsidRPr="00616AFF">
            <w:rPr>
              <w:b/>
              <w:sz w:val="20"/>
              <w:lang w:val="en-AU" w:eastAsia="en-US"/>
            </w:rPr>
            <w:t xml:space="preserve"> PAN Amgen Australia Pty Ltd PM-2010-01972-3-4 Final 7 May 2012</w:t>
          </w:r>
          <w:r w:rsidRPr="00616AFF">
            <w:rPr>
              <w:b/>
              <w:sz w:val="20"/>
              <w:szCs w:val="20"/>
              <w:lang w:val="en-AU" w:eastAsia="en-US"/>
            </w:rPr>
            <w:t xml:space="preserve">. This Product Information was approved at the time this </w:t>
          </w:r>
          <w:proofErr w:type="spellStart"/>
          <w:r w:rsidRPr="00616AFF">
            <w:rPr>
              <w:b/>
              <w:sz w:val="20"/>
              <w:szCs w:val="20"/>
              <w:lang w:val="en-AU" w:eastAsia="en-US"/>
            </w:rPr>
            <w:t>AusPAR</w:t>
          </w:r>
          <w:proofErr w:type="spellEnd"/>
          <w:r w:rsidRPr="00616AFF">
            <w:rPr>
              <w:b/>
              <w:sz w:val="20"/>
              <w:szCs w:val="20"/>
              <w:lang w:val="en-AU" w:eastAsia="en-US"/>
            </w:rPr>
            <w:t xml:space="preserve"> was published.</w:t>
          </w:r>
        </w:p>
      </w:tc>
    </w:tr>
  </w:tbl>
  <w:p w:rsidR="00F02F45" w:rsidRPr="0041353D" w:rsidRDefault="00F02F45" w:rsidP="00616AFF">
    <w:pPr>
      <w:pStyle w:val="Header"/>
      <w:spacing w:before="240"/>
      <w:rPr>
        <w:b w:val="0"/>
      </w:rPr>
    </w:pPr>
    <w:proofErr w:type="spellStart"/>
    <w:r w:rsidRPr="0041353D">
      <w:rPr>
        <w:b w:val="0"/>
      </w:rPr>
      <w:t>Vectibix</w:t>
    </w:r>
    <w:proofErr w:type="spellEnd"/>
    <w:r w:rsidRPr="0041353D">
      <w:rPr>
        <w:rFonts w:cs="Arial"/>
        <w:b w:val="0"/>
        <w:vertAlign w:val="superscript"/>
      </w:rPr>
      <w:t>®</w:t>
    </w:r>
    <w:r w:rsidRPr="0041353D">
      <w:rPr>
        <w:b w:val="0"/>
      </w:rPr>
      <w:t xml:space="preserve"> (</w:t>
    </w:r>
    <w:proofErr w:type="spellStart"/>
    <w:r w:rsidRPr="0041353D">
      <w:rPr>
        <w:b w:val="0"/>
      </w:rPr>
      <w:t>panitumumab</w:t>
    </w:r>
    <w:proofErr w:type="spellEnd"/>
    <w:r w:rsidRPr="0041353D">
      <w:rPr>
        <w:b w:val="0"/>
      </w:rPr>
      <w:t xml:space="preserve">) </w:t>
    </w:r>
    <w:r>
      <w:rPr>
        <w:b w:val="0"/>
      </w:rPr>
      <w:t xml:space="preserve">Registered </w:t>
    </w:r>
    <w:r w:rsidRPr="0041353D">
      <w:rPr>
        <w:b w:val="0"/>
      </w:rPr>
      <w:t>Product Information</w:t>
    </w:r>
    <w:r w:rsidRPr="0041353D">
      <w:rPr>
        <w:b w:val="0"/>
      </w:rPr>
      <w:tab/>
      <w:t xml:space="preserve">Page </w:t>
    </w:r>
    <w:r w:rsidR="002E1E58" w:rsidRPr="0041353D">
      <w:rPr>
        <w:rStyle w:val="PageNumber"/>
        <w:b w:val="0"/>
      </w:rPr>
      <w:fldChar w:fldCharType="begin"/>
    </w:r>
    <w:r w:rsidRPr="0041353D">
      <w:rPr>
        <w:rStyle w:val="PageNumber"/>
        <w:b w:val="0"/>
      </w:rPr>
      <w:instrText xml:space="preserve">PAGE  </w:instrText>
    </w:r>
    <w:r w:rsidR="002E1E58" w:rsidRPr="0041353D">
      <w:rPr>
        <w:rStyle w:val="PageNumber"/>
        <w:b w:val="0"/>
      </w:rPr>
      <w:fldChar w:fldCharType="separate"/>
    </w:r>
    <w:r w:rsidR="004A37F5">
      <w:rPr>
        <w:rStyle w:val="PageNumber"/>
        <w:b w:val="0"/>
        <w:noProof/>
      </w:rPr>
      <w:t>1</w:t>
    </w:r>
    <w:r w:rsidR="002E1E58" w:rsidRPr="0041353D">
      <w:rPr>
        <w:rStyle w:val="PageNumber"/>
        <w:b w:val="0"/>
      </w:rPr>
      <w:fldChar w:fldCharType="end"/>
    </w:r>
    <w:r w:rsidRPr="0041353D">
      <w:rPr>
        <w:rStyle w:val="PageNumber"/>
        <w:b w:val="0"/>
      </w:rPr>
      <w:t xml:space="preserve"> of </w:t>
    </w:r>
    <w:r w:rsidR="002E1E58" w:rsidRPr="0041353D">
      <w:rPr>
        <w:rStyle w:val="PageNumber"/>
        <w:b w:val="0"/>
      </w:rPr>
      <w:fldChar w:fldCharType="begin"/>
    </w:r>
    <w:r w:rsidRPr="0041353D">
      <w:rPr>
        <w:rStyle w:val="PageNumber"/>
        <w:b w:val="0"/>
      </w:rPr>
      <w:instrText xml:space="preserve"> NUMPAGES </w:instrText>
    </w:r>
    <w:r w:rsidR="002E1E58" w:rsidRPr="0041353D">
      <w:rPr>
        <w:rStyle w:val="PageNumber"/>
        <w:b w:val="0"/>
      </w:rPr>
      <w:fldChar w:fldCharType="separate"/>
    </w:r>
    <w:r w:rsidR="004A37F5">
      <w:rPr>
        <w:rStyle w:val="PageNumber"/>
        <w:b w:val="0"/>
        <w:noProof/>
      </w:rPr>
      <w:t>21</w:t>
    </w:r>
    <w:r w:rsidR="002E1E58" w:rsidRPr="0041353D">
      <w:rPr>
        <w:rStyle w:val="PageNumber"/>
        <w:b w:val="0"/>
      </w:rPr>
      <w:fldChar w:fldCharType="end"/>
    </w:r>
    <w:bookmarkStart w:id="11" w:name="_Ref128640559"/>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01A"/>
    <w:multiLevelType w:val="singleLevel"/>
    <w:tmpl w:val="21B0C21C"/>
    <w:lvl w:ilvl="0">
      <w:start w:val="1"/>
      <w:numFmt w:val="bullet"/>
      <w:pStyle w:val="TextDash"/>
      <w:lvlText w:val=""/>
      <w:lvlJc w:val="left"/>
      <w:pPr>
        <w:tabs>
          <w:tab w:val="num" w:pos="720"/>
        </w:tabs>
        <w:ind w:left="720" w:hanging="360"/>
      </w:pPr>
      <w:rPr>
        <w:rFonts w:ascii="Symbol" w:hAnsi="Symbol" w:hint="default"/>
      </w:rPr>
    </w:lvl>
  </w:abstractNum>
  <w:abstractNum w:abstractNumId="1">
    <w:nsid w:val="033F240C"/>
    <w:multiLevelType w:val="hybridMultilevel"/>
    <w:tmpl w:val="76C00E32"/>
    <w:lvl w:ilvl="0" w:tplc="A65C807A">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8F0690"/>
    <w:multiLevelType w:val="hybridMultilevel"/>
    <w:tmpl w:val="805E0A50"/>
    <w:lvl w:ilvl="0" w:tplc="04090001">
      <w:start w:val="1"/>
      <w:numFmt w:val="bullet"/>
      <w:lvlText w:val=""/>
      <w:lvlJc w:val="left"/>
      <w:pPr>
        <w:tabs>
          <w:tab w:val="num" w:pos="780"/>
        </w:tabs>
        <w:ind w:left="780" w:hanging="360"/>
      </w:pPr>
      <w:rPr>
        <w:rFonts w:ascii="Symbol" w:hAnsi="Symbol" w:hint="default"/>
      </w:rPr>
    </w:lvl>
    <w:lvl w:ilvl="1" w:tplc="A65C807A">
      <w:start w:val="1"/>
      <w:numFmt w:val="bullet"/>
      <w:lvlText w:val=""/>
      <w:lvlJc w:val="left"/>
      <w:pPr>
        <w:tabs>
          <w:tab w:val="num" w:pos="1500"/>
        </w:tabs>
        <w:ind w:left="1500" w:hanging="360"/>
      </w:pPr>
      <w:rPr>
        <w:rFonts w:ascii="Symbol" w:hAnsi="Symbol" w:hint="default"/>
        <w:sz w:val="16"/>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A632989"/>
    <w:multiLevelType w:val="hybridMultilevel"/>
    <w:tmpl w:val="64BC12F2"/>
    <w:lvl w:ilvl="0" w:tplc="A65C807A">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DED783E"/>
    <w:multiLevelType w:val="hybridMultilevel"/>
    <w:tmpl w:val="539ACEAC"/>
    <w:lvl w:ilvl="0" w:tplc="3564C4EA">
      <w:start w:val="2"/>
      <w:numFmt w:val="decimal"/>
      <w:lvlText w:val="%1."/>
      <w:lvlJc w:val="left"/>
      <w:pPr>
        <w:tabs>
          <w:tab w:val="num" w:pos="720"/>
        </w:tabs>
        <w:ind w:left="720" w:hanging="360"/>
      </w:pPr>
    </w:lvl>
    <w:lvl w:ilvl="1" w:tplc="00C00D24" w:tentative="1">
      <w:start w:val="1"/>
      <w:numFmt w:val="decimal"/>
      <w:lvlText w:val="%2."/>
      <w:lvlJc w:val="left"/>
      <w:pPr>
        <w:tabs>
          <w:tab w:val="num" w:pos="1440"/>
        </w:tabs>
        <w:ind w:left="1440" w:hanging="360"/>
      </w:pPr>
    </w:lvl>
    <w:lvl w:ilvl="2" w:tplc="8BA4A79E" w:tentative="1">
      <w:start w:val="1"/>
      <w:numFmt w:val="decimal"/>
      <w:lvlText w:val="%3."/>
      <w:lvlJc w:val="left"/>
      <w:pPr>
        <w:tabs>
          <w:tab w:val="num" w:pos="2160"/>
        </w:tabs>
        <w:ind w:left="2160" w:hanging="360"/>
      </w:pPr>
    </w:lvl>
    <w:lvl w:ilvl="3" w:tplc="CD3642D8" w:tentative="1">
      <w:start w:val="1"/>
      <w:numFmt w:val="decimal"/>
      <w:lvlText w:val="%4."/>
      <w:lvlJc w:val="left"/>
      <w:pPr>
        <w:tabs>
          <w:tab w:val="num" w:pos="2880"/>
        </w:tabs>
        <w:ind w:left="2880" w:hanging="360"/>
      </w:pPr>
    </w:lvl>
    <w:lvl w:ilvl="4" w:tplc="EEEEC64C" w:tentative="1">
      <w:start w:val="1"/>
      <w:numFmt w:val="decimal"/>
      <w:lvlText w:val="%5."/>
      <w:lvlJc w:val="left"/>
      <w:pPr>
        <w:tabs>
          <w:tab w:val="num" w:pos="3600"/>
        </w:tabs>
        <w:ind w:left="3600" w:hanging="360"/>
      </w:pPr>
    </w:lvl>
    <w:lvl w:ilvl="5" w:tplc="F4E0D2D0" w:tentative="1">
      <w:start w:val="1"/>
      <w:numFmt w:val="decimal"/>
      <w:lvlText w:val="%6."/>
      <w:lvlJc w:val="left"/>
      <w:pPr>
        <w:tabs>
          <w:tab w:val="num" w:pos="4320"/>
        </w:tabs>
        <w:ind w:left="4320" w:hanging="360"/>
      </w:pPr>
    </w:lvl>
    <w:lvl w:ilvl="6" w:tplc="1B560DA6" w:tentative="1">
      <w:start w:val="1"/>
      <w:numFmt w:val="decimal"/>
      <w:lvlText w:val="%7."/>
      <w:lvlJc w:val="left"/>
      <w:pPr>
        <w:tabs>
          <w:tab w:val="num" w:pos="5040"/>
        </w:tabs>
        <w:ind w:left="5040" w:hanging="360"/>
      </w:pPr>
    </w:lvl>
    <w:lvl w:ilvl="7" w:tplc="EDD25B24" w:tentative="1">
      <w:start w:val="1"/>
      <w:numFmt w:val="decimal"/>
      <w:lvlText w:val="%8."/>
      <w:lvlJc w:val="left"/>
      <w:pPr>
        <w:tabs>
          <w:tab w:val="num" w:pos="5760"/>
        </w:tabs>
        <w:ind w:left="5760" w:hanging="360"/>
      </w:pPr>
    </w:lvl>
    <w:lvl w:ilvl="8" w:tplc="E2E4FC78" w:tentative="1">
      <w:start w:val="1"/>
      <w:numFmt w:val="decimal"/>
      <w:lvlText w:val="%9."/>
      <w:lvlJc w:val="left"/>
      <w:pPr>
        <w:tabs>
          <w:tab w:val="num" w:pos="6480"/>
        </w:tabs>
        <w:ind w:left="6480" w:hanging="360"/>
      </w:pPr>
    </w:lvl>
  </w:abstractNum>
  <w:abstractNum w:abstractNumId="5">
    <w:nsid w:val="14D96F98"/>
    <w:multiLevelType w:val="hybridMultilevel"/>
    <w:tmpl w:val="DF86C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0C6FE7"/>
    <w:multiLevelType w:val="multilevel"/>
    <w:tmpl w:val="B11E566C"/>
    <w:lvl w:ilvl="0">
      <w:start w:val="1"/>
      <w:numFmt w:val="decimal"/>
      <w:pStyle w:val="NumberRestart"/>
      <w:lvlText w:val=""/>
      <w:lvlJc w:val="left"/>
      <w:pPr>
        <w:tabs>
          <w:tab w:val="num" w:pos="1440"/>
        </w:tabs>
        <w:ind w:left="1440" w:hanging="1440"/>
      </w:pPr>
    </w:lvl>
    <w:lvl w:ilvl="1">
      <w:start w:val="1"/>
      <w:numFmt w:val="decimal"/>
      <w:lvlText w:val="Part %1."/>
      <w:lvlJc w:val="left"/>
      <w:pPr>
        <w:tabs>
          <w:tab w:val="num" w:pos="1440"/>
        </w:tabs>
        <w:ind w:left="1440" w:hanging="1440"/>
      </w:pPr>
    </w:lvl>
    <w:lvl w:ilvl="2">
      <w:start w:val="1"/>
      <w:numFmt w:val="decimal"/>
      <w:lvlText w:val="Part %1.%2"/>
      <w:lvlJc w:val="left"/>
      <w:pPr>
        <w:tabs>
          <w:tab w:val="num" w:pos="1440"/>
        </w:tabs>
        <w:ind w:left="1440" w:hanging="1440"/>
      </w:pPr>
    </w:lvl>
    <w:lvl w:ilvl="3">
      <w:start w:val="1"/>
      <w:numFmt w:val="decimal"/>
      <w:lvlText w:val="%1.%2.%3"/>
      <w:lvlJc w:val="left"/>
      <w:pPr>
        <w:tabs>
          <w:tab w:val="num" w:pos="1440"/>
        </w:tabs>
        <w:ind w:left="1440" w:hanging="1440"/>
      </w:pPr>
    </w:lvl>
    <w:lvl w:ilvl="4">
      <w:start w:val="1"/>
      <w:numFmt w:val="decimal"/>
      <w:lvlText w:val="%1.%2.%3.%4"/>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lowerLetter"/>
      <w:lvlText w:val="%8."/>
      <w:lvlJc w:val="left"/>
      <w:pPr>
        <w:tabs>
          <w:tab w:val="num" w:pos="2880"/>
        </w:tabs>
        <w:ind w:left="2880" w:hanging="360"/>
      </w:pPr>
    </w:lvl>
    <w:lvl w:ilvl="8">
      <w:start w:val="1"/>
      <w:numFmt w:val="decimal"/>
      <w:lvlText w:val="%1.%2.%3.%4.%5.%6.%7.%8"/>
      <w:lvlJc w:val="left"/>
      <w:pPr>
        <w:tabs>
          <w:tab w:val="num" w:pos="1440"/>
        </w:tabs>
        <w:ind w:left="1440" w:hanging="1440"/>
      </w:pPr>
    </w:lvl>
  </w:abstractNum>
  <w:abstractNum w:abstractNumId="7">
    <w:nsid w:val="1B747A7C"/>
    <w:multiLevelType w:val="hybridMultilevel"/>
    <w:tmpl w:val="574E9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CE1892"/>
    <w:multiLevelType w:val="hybridMultilevel"/>
    <w:tmpl w:val="B568C676"/>
    <w:lvl w:ilvl="0" w:tplc="147AD020">
      <w:start w:val="5"/>
      <w:numFmt w:val="decimal"/>
      <w:lvlText w:val="%1."/>
      <w:lvlJc w:val="left"/>
      <w:pPr>
        <w:tabs>
          <w:tab w:val="num" w:pos="720"/>
        </w:tabs>
        <w:ind w:left="720" w:hanging="360"/>
      </w:pPr>
    </w:lvl>
    <w:lvl w:ilvl="1" w:tplc="0B3A280E" w:tentative="1">
      <w:start w:val="1"/>
      <w:numFmt w:val="decimal"/>
      <w:lvlText w:val="%2."/>
      <w:lvlJc w:val="left"/>
      <w:pPr>
        <w:tabs>
          <w:tab w:val="num" w:pos="1440"/>
        </w:tabs>
        <w:ind w:left="1440" w:hanging="360"/>
      </w:pPr>
    </w:lvl>
    <w:lvl w:ilvl="2" w:tplc="20304328" w:tentative="1">
      <w:start w:val="1"/>
      <w:numFmt w:val="decimal"/>
      <w:lvlText w:val="%3."/>
      <w:lvlJc w:val="left"/>
      <w:pPr>
        <w:tabs>
          <w:tab w:val="num" w:pos="2160"/>
        </w:tabs>
        <w:ind w:left="2160" w:hanging="360"/>
      </w:pPr>
    </w:lvl>
    <w:lvl w:ilvl="3" w:tplc="CAA6C51E" w:tentative="1">
      <w:start w:val="1"/>
      <w:numFmt w:val="decimal"/>
      <w:lvlText w:val="%4."/>
      <w:lvlJc w:val="left"/>
      <w:pPr>
        <w:tabs>
          <w:tab w:val="num" w:pos="2880"/>
        </w:tabs>
        <w:ind w:left="2880" w:hanging="360"/>
      </w:pPr>
    </w:lvl>
    <w:lvl w:ilvl="4" w:tplc="93662EF0" w:tentative="1">
      <w:start w:val="1"/>
      <w:numFmt w:val="decimal"/>
      <w:lvlText w:val="%5."/>
      <w:lvlJc w:val="left"/>
      <w:pPr>
        <w:tabs>
          <w:tab w:val="num" w:pos="3600"/>
        </w:tabs>
        <w:ind w:left="3600" w:hanging="360"/>
      </w:pPr>
    </w:lvl>
    <w:lvl w:ilvl="5" w:tplc="F988620C" w:tentative="1">
      <w:start w:val="1"/>
      <w:numFmt w:val="decimal"/>
      <w:lvlText w:val="%6."/>
      <w:lvlJc w:val="left"/>
      <w:pPr>
        <w:tabs>
          <w:tab w:val="num" w:pos="4320"/>
        </w:tabs>
        <w:ind w:left="4320" w:hanging="360"/>
      </w:pPr>
    </w:lvl>
    <w:lvl w:ilvl="6" w:tplc="FEA48AF6" w:tentative="1">
      <w:start w:val="1"/>
      <w:numFmt w:val="decimal"/>
      <w:lvlText w:val="%7."/>
      <w:lvlJc w:val="left"/>
      <w:pPr>
        <w:tabs>
          <w:tab w:val="num" w:pos="5040"/>
        </w:tabs>
        <w:ind w:left="5040" w:hanging="360"/>
      </w:pPr>
    </w:lvl>
    <w:lvl w:ilvl="7" w:tplc="95DA4496" w:tentative="1">
      <w:start w:val="1"/>
      <w:numFmt w:val="decimal"/>
      <w:lvlText w:val="%8."/>
      <w:lvlJc w:val="left"/>
      <w:pPr>
        <w:tabs>
          <w:tab w:val="num" w:pos="5760"/>
        </w:tabs>
        <w:ind w:left="5760" w:hanging="360"/>
      </w:pPr>
    </w:lvl>
    <w:lvl w:ilvl="8" w:tplc="B2A4B9A0" w:tentative="1">
      <w:start w:val="1"/>
      <w:numFmt w:val="decimal"/>
      <w:lvlText w:val="%9."/>
      <w:lvlJc w:val="left"/>
      <w:pPr>
        <w:tabs>
          <w:tab w:val="num" w:pos="6480"/>
        </w:tabs>
        <w:ind w:left="6480" w:hanging="360"/>
      </w:pPr>
    </w:lvl>
  </w:abstractNum>
  <w:abstractNum w:abstractNumId="9">
    <w:nsid w:val="27094B0A"/>
    <w:multiLevelType w:val="hybridMultilevel"/>
    <w:tmpl w:val="0D56156C"/>
    <w:lvl w:ilvl="0" w:tplc="1CB84872">
      <w:start w:val="3"/>
      <w:numFmt w:val="decimal"/>
      <w:lvlText w:val="%1."/>
      <w:lvlJc w:val="left"/>
      <w:pPr>
        <w:tabs>
          <w:tab w:val="num" w:pos="720"/>
        </w:tabs>
        <w:ind w:left="720" w:hanging="360"/>
      </w:pPr>
    </w:lvl>
    <w:lvl w:ilvl="1" w:tplc="D402DD74" w:tentative="1">
      <w:start w:val="1"/>
      <w:numFmt w:val="decimal"/>
      <w:lvlText w:val="%2."/>
      <w:lvlJc w:val="left"/>
      <w:pPr>
        <w:tabs>
          <w:tab w:val="num" w:pos="1440"/>
        </w:tabs>
        <w:ind w:left="1440" w:hanging="360"/>
      </w:pPr>
    </w:lvl>
    <w:lvl w:ilvl="2" w:tplc="39281D58" w:tentative="1">
      <w:start w:val="1"/>
      <w:numFmt w:val="decimal"/>
      <w:lvlText w:val="%3."/>
      <w:lvlJc w:val="left"/>
      <w:pPr>
        <w:tabs>
          <w:tab w:val="num" w:pos="2160"/>
        </w:tabs>
        <w:ind w:left="2160" w:hanging="360"/>
      </w:pPr>
    </w:lvl>
    <w:lvl w:ilvl="3" w:tplc="2E549BB0" w:tentative="1">
      <w:start w:val="1"/>
      <w:numFmt w:val="decimal"/>
      <w:lvlText w:val="%4."/>
      <w:lvlJc w:val="left"/>
      <w:pPr>
        <w:tabs>
          <w:tab w:val="num" w:pos="2880"/>
        </w:tabs>
        <w:ind w:left="2880" w:hanging="360"/>
      </w:pPr>
    </w:lvl>
    <w:lvl w:ilvl="4" w:tplc="21A06922" w:tentative="1">
      <w:start w:val="1"/>
      <w:numFmt w:val="decimal"/>
      <w:lvlText w:val="%5."/>
      <w:lvlJc w:val="left"/>
      <w:pPr>
        <w:tabs>
          <w:tab w:val="num" w:pos="3600"/>
        </w:tabs>
        <w:ind w:left="3600" w:hanging="360"/>
      </w:pPr>
    </w:lvl>
    <w:lvl w:ilvl="5" w:tplc="C3BC7C80" w:tentative="1">
      <w:start w:val="1"/>
      <w:numFmt w:val="decimal"/>
      <w:lvlText w:val="%6."/>
      <w:lvlJc w:val="left"/>
      <w:pPr>
        <w:tabs>
          <w:tab w:val="num" w:pos="4320"/>
        </w:tabs>
        <w:ind w:left="4320" w:hanging="360"/>
      </w:pPr>
    </w:lvl>
    <w:lvl w:ilvl="6" w:tplc="DC08BE48" w:tentative="1">
      <w:start w:val="1"/>
      <w:numFmt w:val="decimal"/>
      <w:lvlText w:val="%7."/>
      <w:lvlJc w:val="left"/>
      <w:pPr>
        <w:tabs>
          <w:tab w:val="num" w:pos="5040"/>
        </w:tabs>
        <w:ind w:left="5040" w:hanging="360"/>
      </w:pPr>
    </w:lvl>
    <w:lvl w:ilvl="7" w:tplc="761C846A" w:tentative="1">
      <w:start w:val="1"/>
      <w:numFmt w:val="decimal"/>
      <w:lvlText w:val="%8."/>
      <w:lvlJc w:val="left"/>
      <w:pPr>
        <w:tabs>
          <w:tab w:val="num" w:pos="5760"/>
        </w:tabs>
        <w:ind w:left="5760" w:hanging="360"/>
      </w:pPr>
    </w:lvl>
    <w:lvl w:ilvl="8" w:tplc="641025E8" w:tentative="1">
      <w:start w:val="1"/>
      <w:numFmt w:val="decimal"/>
      <w:lvlText w:val="%9."/>
      <w:lvlJc w:val="left"/>
      <w:pPr>
        <w:tabs>
          <w:tab w:val="num" w:pos="6480"/>
        </w:tabs>
        <w:ind w:left="6480" w:hanging="360"/>
      </w:pPr>
    </w:lvl>
  </w:abstractNum>
  <w:abstractNum w:abstractNumId="1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11">
    <w:nsid w:val="2B8252F4"/>
    <w:multiLevelType w:val="hybridMultilevel"/>
    <w:tmpl w:val="59BAC534"/>
    <w:lvl w:ilvl="0" w:tplc="A65C807A">
      <w:start w:val="1"/>
      <w:numFmt w:val="bullet"/>
      <w:lvlText w:val=""/>
      <w:lvlJc w:val="left"/>
      <w:pPr>
        <w:tabs>
          <w:tab w:val="num" w:pos="780"/>
        </w:tabs>
        <w:ind w:left="780" w:hanging="360"/>
      </w:pPr>
      <w:rPr>
        <w:rFonts w:ascii="Symbol" w:hAnsi="Symbol" w:hint="default"/>
        <w:sz w:val="16"/>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nsid w:val="323A0C3C"/>
    <w:multiLevelType w:val="hybridMultilevel"/>
    <w:tmpl w:val="F870A09E"/>
    <w:lvl w:ilvl="0" w:tplc="54C0C4FC">
      <w:start w:val="1"/>
      <w:numFmt w:val="decimal"/>
      <w:lvlText w:val="%1."/>
      <w:lvlJc w:val="left"/>
      <w:pPr>
        <w:tabs>
          <w:tab w:val="num" w:pos="720"/>
        </w:tabs>
        <w:ind w:left="720" w:hanging="360"/>
      </w:pPr>
    </w:lvl>
    <w:lvl w:ilvl="1" w:tplc="B08C6AA8" w:tentative="1">
      <w:start w:val="1"/>
      <w:numFmt w:val="decimal"/>
      <w:lvlText w:val="%2."/>
      <w:lvlJc w:val="left"/>
      <w:pPr>
        <w:tabs>
          <w:tab w:val="num" w:pos="1440"/>
        </w:tabs>
        <w:ind w:left="1440" w:hanging="360"/>
      </w:pPr>
    </w:lvl>
    <w:lvl w:ilvl="2" w:tplc="1744EBB4" w:tentative="1">
      <w:start w:val="1"/>
      <w:numFmt w:val="decimal"/>
      <w:lvlText w:val="%3."/>
      <w:lvlJc w:val="left"/>
      <w:pPr>
        <w:tabs>
          <w:tab w:val="num" w:pos="2160"/>
        </w:tabs>
        <w:ind w:left="2160" w:hanging="360"/>
      </w:pPr>
    </w:lvl>
    <w:lvl w:ilvl="3" w:tplc="FE5CC894" w:tentative="1">
      <w:start w:val="1"/>
      <w:numFmt w:val="decimal"/>
      <w:lvlText w:val="%4."/>
      <w:lvlJc w:val="left"/>
      <w:pPr>
        <w:tabs>
          <w:tab w:val="num" w:pos="2880"/>
        </w:tabs>
        <w:ind w:left="2880" w:hanging="360"/>
      </w:pPr>
    </w:lvl>
    <w:lvl w:ilvl="4" w:tplc="7658AF32" w:tentative="1">
      <w:start w:val="1"/>
      <w:numFmt w:val="decimal"/>
      <w:lvlText w:val="%5."/>
      <w:lvlJc w:val="left"/>
      <w:pPr>
        <w:tabs>
          <w:tab w:val="num" w:pos="3600"/>
        </w:tabs>
        <w:ind w:left="3600" w:hanging="360"/>
      </w:pPr>
    </w:lvl>
    <w:lvl w:ilvl="5" w:tplc="8974B58C" w:tentative="1">
      <w:start w:val="1"/>
      <w:numFmt w:val="decimal"/>
      <w:lvlText w:val="%6."/>
      <w:lvlJc w:val="left"/>
      <w:pPr>
        <w:tabs>
          <w:tab w:val="num" w:pos="4320"/>
        </w:tabs>
        <w:ind w:left="4320" w:hanging="360"/>
      </w:pPr>
    </w:lvl>
    <w:lvl w:ilvl="6" w:tplc="3E384E44" w:tentative="1">
      <w:start w:val="1"/>
      <w:numFmt w:val="decimal"/>
      <w:lvlText w:val="%7."/>
      <w:lvlJc w:val="left"/>
      <w:pPr>
        <w:tabs>
          <w:tab w:val="num" w:pos="5040"/>
        </w:tabs>
        <w:ind w:left="5040" w:hanging="360"/>
      </w:pPr>
    </w:lvl>
    <w:lvl w:ilvl="7" w:tplc="01381CC0" w:tentative="1">
      <w:start w:val="1"/>
      <w:numFmt w:val="decimal"/>
      <w:lvlText w:val="%8."/>
      <w:lvlJc w:val="left"/>
      <w:pPr>
        <w:tabs>
          <w:tab w:val="num" w:pos="5760"/>
        </w:tabs>
        <w:ind w:left="5760" w:hanging="360"/>
      </w:pPr>
    </w:lvl>
    <w:lvl w:ilvl="8" w:tplc="600E7014" w:tentative="1">
      <w:start w:val="1"/>
      <w:numFmt w:val="decimal"/>
      <w:lvlText w:val="%9."/>
      <w:lvlJc w:val="left"/>
      <w:pPr>
        <w:tabs>
          <w:tab w:val="num" w:pos="6480"/>
        </w:tabs>
        <w:ind w:left="6480" w:hanging="360"/>
      </w:pPr>
    </w:lvl>
  </w:abstractNum>
  <w:abstractNum w:abstractNumId="13">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14">
    <w:nsid w:val="38F70991"/>
    <w:multiLevelType w:val="hybridMultilevel"/>
    <w:tmpl w:val="79BA622A"/>
    <w:lvl w:ilvl="0" w:tplc="C7B270C2">
      <w:start w:val="1"/>
      <w:numFmt w:val="bullet"/>
      <w:lvlText w:val=""/>
      <w:lvlJc w:val="left"/>
      <w:pPr>
        <w:tabs>
          <w:tab w:val="num" w:pos="720"/>
        </w:tabs>
        <w:ind w:left="720" w:hanging="360"/>
      </w:pPr>
      <w:rPr>
        <w:rFonts w:ascii="Symbol" w:hAnsi="Symbol" w:hint="default"/>
      </w:rPr>
    </w:lvl>
    <w:lvl w:ilvl="1" w:tplc="2B5EF978" w:tentative="1">
      <w:start w:val="1"/>
      <w:numFmt w:val="bullet"/>
      <w:lvlText w:val="o"/>
      <w:lvlJc w:val="left"/>
      <w:pPr>
        <w:tabs>
          <w:tab w:val="num" w:pos="1440"/>
        </w:tabs>
        <w:ind w:left="1440" w:hanging="360"/>
      </w:pPr>
      <w:rPr>
        <w:rFonts w:ascii="Courier New" w:hAnsi="Courier New" w:hint="default"/>
      </w:rPr>
    </w:lvl>
    <w:lvl w:ilvl="2" w:tplc="346A486E" w:tentative="1">
      <w:start w:val="1"/>
      <w:numFmt w:val="bullet"/>
      <w:lvlText w:val=""/>
      <w:lvlJc w:val="left"/>
      <w:pPr>
        <w:tabs>
          <w:tab w:val="num" w:pos="2160"/>
        </w:tabs>
        <w:ind w:left="2160" w:hanging="360"/>
      </w:pPr>
      <w:rPr>
        <w:rFonts w:ascii="Wingdings" w:hAnsi="Wingdings" w:hint="default"/>
      </w:rPr>
    </w:lvl>
    <w:lvl w:ilvl="3" w:tplc="F51853C8" w:tentative="1">
      <w:start w:val="1"/>
      <w:numFmt w:val="bullet"/>
      <w:lvlText w:val=""/>
      <w:lvlJc w:val="left"/>
      <w:pPr>
        <w:tabs>
          <w:tab w:val="num" w:pos="2880"/>
        </w:tabs>
        <w:ind w:left="2880" w:hanging="360"/>
      </w:pPr>
      <w:rPr>
        <w:rFonts w:ascii="Symbol" w:hAnsi="Symbol" w:hint="default"/>
      </w:rPr>
    </w:lvl>
    <w:lvl w:ilvl="4" w:tplc="9516D514" w:tentative="1">
      <w:start w:val="1"/>
      <w:numFmt w:val="bullet"/>
      <w:lvlText w:val="o"/>
      <w:lvlJc w:val="left"/>
      <w:pPr>
        <w:tabs>
          <w:tab w:val="num" w:pos="3600"/>
        </w:tabs>
        <w:ind w:left="3600" w:hanging="360"/>
      </w:pPr>
      <w:rPr>
        <w:rFonts w:ascii="Courier New" w:hAnsi="Courier New" w:hint="default"/>
      </w:rPr>
    </w:lvl>
    <w:lvl w:ilvl="5" w:tplc="FBA6CED4" w:tentative="1">
      <w:start w:val="1"/>
      <w:numFmt w:val="bullet"/>
      <w:lvlText w:val=""/>
      <w:lvlJc w:val="left"/>
      <w:pPr>
        <w:tabs>
          <w:tab w:val="num" w:pos="4320"/>
        </w:tabs>
        <w:ind w:left="4320" w:hanging="360"/>
      </w:pPr>
      <w:rPr>
        <w:rFonts w:ascii="Wingdings" w:hAnsi="Wingdings" w:hint="default"/>
      </w:rPr>
    </w:lvl>
    <w:lvl w:ilvl="6" w:tplc="2E92EA2C" w:tentative="1">
      <w:start w:val="1"/>
      <w:numFmt w:val="bullet"/>
      <w:lvlText w:val=""/>
      <w:lvlJc w:val="left"/>
      <w:pPr>
        <w:tabs>
          <w:tab w:val="num" w:pos="5040"/>
        </w:tabs>
        <w:ind w:left="5040" w:hanging="360"/>
      </w:pPr>
      <w:rPr>
        <w:rFonts w:ascii="Symbol" w:hAnsi="Symbol" w:hint="default"/>
      </w:rPr>
    </w:lvl>
    <w:lvl w:ilvl="7" w:tplc="4B1E2786" w:tentative="1">
      <w:start w:val="1"/>
      <w:numFmt w:val="bullet"/>
      <w:lvlText w:val="o"/>
      <w:lvlJc w:val="left"/>
      <w:pPr>
        <w:tabs>
          <w:tab w:val="num" w:pos="5760"/>
        </w:tabs>
        <w:ind w:left="5760" w:hanging="360"/>
      </w:pPr>
      <w:rPr>
        <w:rFonts w:ascii="Courier New" w:hAnsi="Courier New" w:hint="default"/>
      </w:rPr>
    </w:lvl>
    <w:lvl w:ilvl="8" w:tplc="87684C0A" w:tentative="1">
      <w:start w:val="1"/>
      <w:numFmt w:val="bullet"/>
      <w:lvlText w:val=""/>
      <w:lvlJc w:val="left"/>
      <w:pPr>
        <w:tabs>
          <w:tab w:val="num" w:pos="6480"/>
        </w:tabs>
        <w:ind w:left="6480" w:hanging="360"/>
      </w:pPr>
      <w:rPr>
        <w:rFonts w:ascii="Wingdings" w:hAnsi="Wingdings" w:hint="default"/>
      </w:rPr>
    </w:lvl>
  </w:abstractNum>
  <w:abstractNum w:abstractNumId="15">
    <w:nsid w:val="436071FD"/>
    <w:multiLevelType w:val="hybridMultilevel"/>
    <w:tmpl w:val="6BD2F434"/>
    <w:lvl w:ilvl="0" w:tplc="0BCCFD0C">
      <w:start w:val="2"/>
      <w:numFmt w:val="decimal"/>
      <w:lvlText w:val="%1."/>
      <w:lvlJc w:val="left"/>
      <w:pPr>
        <w:tabs>
          <w:tab w:val="num" w:pos="720"/>
        </w:tabs>
        <w:ind w:left="720" w:hanging="360"/>
      </w:pPr>
    </w:lvl>
    <w:lvl w:ilvl="1" w:tplc="44108C34" w:tentative="1">
      <w:start w:val="1"/>
      <w:numFmt w:val="decimal"/>
      <w:lvlText w:val="%2."/>
      <w:lvlJc w:val="left"/>
      <w:pPr>
        <w:tabs>
          <w:tab w:val="num" w:pos="1440"/>
        </w:tabs>
        <w:ind w:left="1440" w:hanging="360"/>
      </w:pPr>
    </w:lvl>
    <w:lvl w:ilvl="2" w:tplc="46083672" w:tentative="1">
      <w:start w:val="1"/>
      <w:numFmt w:val="decimal"/>
      <w:lvlText w:val="%3."/>
      <w:lvlJc w:val="left"/>
      <w:pPr>
        <w:tabs>
          <w:tab w:val="num" w:pos="2160"/>
        </w:tabs>
        <w:ind w:left="2160" w:hanging="360"/>
      </w:pPr>
    </w:lvl>
    <w:lvl w:ilvl="3" w:tplc="1650388E" w:tentative="1">
      <w:start w:val="1"/>
      <w:numFmt w:val="decimal"/>
      <w:lvlText w:val="%4."/>
      <w:lvlJc w:val="left"/>
      <w:pPr>
        <w:tabs>
          <w:tab w:val="num" w:pos="2880"/>
        </w:tabs>
        <w:ind w:left="2880" w:hanging="360"/>
      </w:pPr>
    </w:lvl>
    <w:lvl w:ilvl="4" w:tplc="F950F664" w:tentative="1">
      <w:start w:val="1"/>
      <w:numFmt w:val="decimal"/>
      <w:lvlText w:val="%5."/>
      <w:lvlJc w:val="left"/>
      <w:pPr>
        <w:tabs>
          <w:tab w:val="num" w:pos="3600"/>
        </w:tabs>
        <w:ind w:left="3600" w:hanging="360"/>
      </w:pPr>
    </w:lvl>
    <w:lvl w:ilvl="5" w:tplc="2536EEAA" w:tentative="1">
      <w:start w:val="1"/>
      <w:numFmt w:val="decimal"/>
      <w:lvlText w:val="%6."/>
      <w:lvlJc w:val="left"/>
      <w:pPr>
        <w:tabs>
          <w:tab w:val="num" w:pos="4320"/>
        </w:tabs>
        <w:ind w:left="4320" w:hanging="360"/>
      </w:pPr>
    </w:lvl>
    <w:lvl w:ilvl="6" w:tplc="B9E410A4" w:tentative="1">
      <w:start w:val="1"/>
      <w:numFmt w:val="decimal"/>
      <w:lvlText w:val="%7."/>
      <w:lvlJc w:val="left"/>
      <w:pPr>
        <w:tabs>
          <w:tab w:val="num" w:pos="5040"/>
        </w:tabs>
        <w:ind w:left="5040" w:hanging="360"/>
      </w:pPr>
    </w:lvl>
    <w:lvl w:ilvl="7" w:tplc="9EE89CBE" w:tentative="1">
      <w:start w:val="1"/>
      <w:numFmt w:val="decimal"/>
      <w:lvlText w:val="%8."/>
      <w:lvlJc w:val="left"/>
      <w:pPr>
        <w:tabs>
          <w:tab w:val="num" w:pos="5760"/>
        </w:tabs>
        <w:ind w:left="5760" w:hanging="360"/>
      </w:pPr>
    </w:lvl>
    <w:lvl w:ilvl="8" w:tplc="8FFE69FE" w:tentative="1">
      <w:start w:val="1"/>
      <w:numFmt w:val="decimal"/>
      <w:lvlText w:val="%9."/>
      <w:lvlJc w:val="left"/>
      <w:pPr>
        <w:tabs>
          <w:tab w:val="num" w:pos="6480"/>
        </w:tabs>
        <w:ind w:left="6480" w:hanging="360"/>
      </w:pPr>
    </w:lvl>
  </w:abstractNum>
  <w:abstractNum w:abstractNumId="16">
    <w:nsid w:val="483436F6"/>
    <w:multiLevelType w:val="hybridMultilevel"/>
    <w:tmpl w:val="96467DE2"/>
    <w:lvl w:ilvl="0" w:tplc="E5B858A6">
      <w:start w:val="1"/>
      <w:numFmt w:val="decimal"/>
      <w:lvlText w:val="%1."/>
      <w:lvlJc w:val="left"/>
      <w:pPr>
        <w:tabs>
          <w:tab w:val="num" w:pos="720"/>
        </w:tabs>
        <w:ind w:left="720" w:hanging="360"/>
      </w:pPr>
    </w:lvl>
    <w:lvl w:ilvl="1" w:tplc="2A927326" w:tentative="1">
      <w:start w:val="1"/>
      <w:numFmt w:val="decimal"/>
      <w:lvlText w:val="%2."/>
      <w:lvlJc w:val="left"/>
      <w:pPr>
        <w:tabs>
          <w:tab w:val="num" w:pos="1440"/>
        </w:tabs>
        <w:ind w:left="1440" w:hanging="360"/>
      </w:pPr>
    </w:lvl>
    <w:lvl w:ilvl="2" w:tplc="ED66E460" w:tentative="1">
      <w:start w:val="1"/>
      <w:numFmt w:val="decimal"/>
      <w:lvlText w:val="%3."/>
      <w:lvlJc w:val="left"/>
      <w:pPr>
        <w:tabs>
          <w:tab w:val="num" w:pos="2160"/>
        </w:tabs>
        <w:ind w:left="2160" w:hanging="360"/>
      </w:pPr>
    </w:lvl>
    <w:lvl w:ilvl="3" w:tplc="D944C166" w:tentative="1">
      <w:start w:val="1"/>
      <w:numFmt w:val="decimal"/>
      <w:lvlText w:val="%4."/>
      <w:lvlJc w:val="left"/>
      <w:pPr>
        <w:tabs>
          <w:tab w:val="num" w:pos="2880"/>
        </w:tabs>
        <w:ind w:left="2880" w:hanging="360"/>
      </w:pPr>
    </w:lvl>
    <w:lvl w:ilvl="4" w:tplc="EF867B34" w:tentative="1">
      <w:start w:val="1"/>
      <w:numFmt w:val="decimal"/>
      <w:lvlText w:val="%5."/>
      <w:lvlJc w:val="left"/>
      <w:pPr>
        <w:tabs>
          <w:tab w:val="num" w:pos="3600"/>
        </w:tabs>
        <w:ind w:left="3600" w:hanging="360"/>
      </w:pPr>
    </w:lvl>
    <w:lvl w:ilvl="5" w:tplc="F632953A" w:tentative="1">
      <w:start w:val="1"/>
      <w:numFmt w:val="decimal"/>
      <w:lvlText w:val="%6."/>
      <w:lvlJc w:val="left"/>
      <w:pPr>
        <w:tabs>
          <w:tab w:val="num" w:pos="4320"/>
        </w:tabs>
        <w:ind w:left="4320" w:hanging="360"/>
      </w:pPr>
    </w:lvl>
    <w:lvl w:ilvl="6" w:tplc="4B22D064" w:tentative="1">
      <w:start w:val="1"/>
      <w:numFmt w:val="decimal"/>
      <w:lvlText w:val="%7."/>
      <w:lvlJc w:val="left"/>
      <w:pPr>
        <w:tabs>
          <w:tab w:val="num" w:pos="5040"/>
        </w:tabs>
        <w:ind w:left="5040" w:hanging="360"/>
      </w:pPr>
    </w:lvl>
    <w:lvl w:ilvl="7" w:tplc="16E81F7A" w:tentative="1">
      <w:start w:val="1"/>
      <w:numFmt w:val="decimal"/>
      <w:lvlText w:val="%8."/>
      <w:lvlJc w:val="left"/>
      <w:pPr>
        <w:tabs>
          <w:tab w:val="num" w:pos="5760"/>
        </w:tabs>
        <w:ind w:left="5760" w:hanging="360"/>
      </w:pPr>
    </w:lvl>
    <w:lvl w:ilvl="8" w:tplc="FE7C6FC8" w:tentative="1">
      <w:start w:val="1"/>
      <w:numFmt w:val="decimal"/>
      <w:lvlText w:val="%9."/>
      <w:lvlJc w:val="left"/>
      <w:pPr>
        <w:tabs>
          <w:tab w:val="num" w:pos="6480"/>
        </w:tabs>
        <w:ind w:left="6480" w:hanging="360"/>
      </w:pPr>
    </w:lvl>
  </w:abstractNum>
  <w:abstractNum w:abstractNumId="17">
    <w:nsid w:val="4A6E187C"/>
    <w:multiLevelType w:val="hybridMultilevel"/>
    <w:tmpl w:val="F33CCFB0"/>
    <w:lvl w:ilvl="0" w:tplc="A65C807A">
      <w:start w:val="1"/>
      <w:numFmt w:val="bullet"/>
      <w:lvlText w:val=""/>
      <w:lvlJc w:val="left"/>
      <w:pPr>
        <w:tabs>
          <w:tab w:val="num" w:pos="480"/>
        </w:tabs>
        <w:ind w:left="480" w:hanging="360"/>
      </w:pPr>
      <w:rPr>
        <w:rFonts w:ascii="Symbol" w:hAnsi="Symbol" w:hint="default"/>
        <w:sz w:val="16"/>
      </w:rPr>
    </w:lvl>
    <w:lvl w:ilvl="1" w:tplc="0C090003" w:tentative="1">
      <w:start w:val="1"/>
      <w:numFmt w:val="bullet"/>
      <w:lvlText w:val="o"/>
      <w:lvlJc w:val="left"/>
      <w:pPr>
        <w:tabs>
          <w:tab w:val="num" w:pos="1200"/>
        </w:tabs>
        <w:ind w:left="1200" w:hanging="360"/>
      </w:pPr>
      <w:rPr>
        <w:rFonts w:ascii="Courier New" w:hAnsi="Courier New" w:cs="Courier New" w:hint="default"/>
      </w:rPr>
    </w:lvl>
    <w:lvl w:ilvl="2" w:tplc="0C090005" w:tentative="1">
      <w:start w:val="1"/>
      <w:numFmt w:val="bullet"/>
      <w:lvlText w:val=""/>
      <w:lvlJc w:val="left"/>
      <w:pPr>
        <w:tabs>
          <w:tab w:val="num" w:pos="1920"/>
        </w:tabs>
        <w:ind w:left="1920" w:hanging="360"/>
      </w:pPr>
      <w:rPr>
        <w:rFonts w:ascii="Wingdings" w:hAnsi="Wingdings" w:hint="default"/>
      </w:rPr>
    </w:lvl>
    <w:lvl w:ilvl="3" w:tplc="0C090001" w:tentative="1">
      <w:start w:val="1"/>
      <w:numFmt w:val="bullet"/>
      <w:lvlText w:val=""/>
      <w:lvlJc w:val="left"/>
      <w:pPr>
        <w:tabs>
          <w:tab w:val="num" w:pos="2640"/>
        </w:tabs>
        <w:ind w:left="2640" w:hanging="360"/>
      </w:pPr>
      <w:rPr>
        <w:rFonts w:ascii="Symbol" w:hAnsi="Symbol" w:hint="default"/>
      </w:rPr>
    </w:lvl>
    <w:lvl w:ilvl="4" w:tplc="0C090003" w:tentative="1">
      <w:start w:val="1"/>
      <w:numFmt w:val="bullet"/>
      <w:lvlText w:val="o"/>
      <w:lvlJc w:val="left"/>
      <w:pPr>
        <w:tabs>
          <w:tab w:val="num" w:pos="3360"/>
        </w:tabs>
        <w:ind w:left="3360" w:hanging="360"/>
      </w:pPr>
      <w:rPr>
        <w:rFonts w:ascii="Courier New" w:hAnsi="Courier New" w:cs="Courier New" w:hint="default"/>
      </w:rPr>
    </w:lvl>
    <w:lvl w:ilvl="5" w:tplc="0C090005" w:tentative="1">
      <w:start w:val="1"/>
      <w:numFmt w:val="bullet"/>
      <w:lvlText w:val=""/>
      <w:lvlJc w:val="left"/>
      <w:pPr>
        <w:tabs>
          <w:tab w:val="num" w:pos="4080"/>
        </w:tabs>
        <w:ind w:left="4080" w:hanging="360"/>
      </w:pPr>
      <w:rPr>
        <w:rFonts w:ascii="Wingdings" w:hAnsi="Wingdings" w:hint="default"/>
      </w:rPr>
    </w:lvl>
    <w:lvl w:ilvl="6" w:tplc="0C090001" w:tentative="1">
      <w:start w:val="1"/>
      <w:numFmt w:val="bullet"/>
      <w:lvlText w:val=""/>
      <w:lvlJc w:val="left"/>
      <w:pPr>
        <w:tabs>
          <w:tab w:val="num" w:pos="4800"/>
        </w:tabs>
        <w:ind w:left="4800" w:hanging="360"/>
      </w:pPr>
      <w:rPr>
        <w:rFonts w:ascii="Symbol" w:hAnsi="Symbol" w:hint="default"/>
      </w:rPr>
    </w:lvl>
    <w:lvl w:ilvl="7" w:tplc="0C090003" w:tentative="1">
      <w:start w:val="1"/>
      <w:numFmt w:val="bullet"/>
      <w:lvlText w:val="o"/>
      <w:lvlJc w:val="left"/>
      <w:pPr>
        <w:tabs>
          <w:tab w:val="num" w:pos="5520"/>
        </w:tabs>
        <w:ind w:left="5520" w:hanging="360"/>
      </w:pPr>
      <w:rPr>
        <w:rFonts w:ascii="Courier New" w:hAnsi="Courier New" w:cs="Courier New" w:hint="default"/>
      </w:rPr>
    </w:lvl>
    <w:lvl w:ilvl="8" w:tplc="0C090005" w:tentative="1">
      <w:start w:val="1"/>
      <w:numFmt w:val="bullet"/>
      <w:lvlText w:val=""/>
      <w:lvlJc w:val="left"/>
      <w:pPr>
        <w:tabs>
          <w:tab w:val="num" w:pos="6240"/>
        </w:tabs>
        <w:ind w:left="6240" w:hanging="360"/>
      </w:pPr>
      <w:rPr>
        <w:rFonts w:ascii="Wingdings" w:hAnsi="Wingdings" w:hint="default"/>
      </w:rPr>
    </w:lvl>
  </w:abstractNum>
  <w:abstractNum w:abstractNumId="18">
    <w:nsid w:val="4BC34F3D"/>
    <w:multiLevelType w:val="hybridMultilevel"/>
    <w:tmpl w:val="554E0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3162EF"/>
    <w:multiLevelType w:val="hybridMultilevel"/>
    <w:tmpl w:val="BB4AA5E0"/>
    <w:lvl w:ilvl="0" w:tplc="04090001">
      <w:start w:val="1"/>
      <w:numFmt w:val="bullet"/>
      <w:pStyle w:val="PresTextBullets"/>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DB710F5"/>
    <w:multiLevelType w:val="hybridMultilevel"/>
    <w:tmpl w:val="1310BDAE"/>
    <w:lvl w:ilvl="0" w:tplc="ED1C0DE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F0262F3"/>
    <w:multiLevelType w:val="hybridMultilevel"/>
    <w:tmpl w:val="857206C0"/>
    <w:lvl w:ilvl="0" w:tplc="74FE8DE8">
      <w:start w:val="4"/>
      <w:numFmt w:val="decimal"/>
      <w:lvlText w:val="%1."/>
      <w:lvlJc w:val="left"/>
      <w:pPr>
        <w:tabs>
          <w:tab w:val="num" w:pos="720"/>
        </w:tabs>
        <w:ind w:left="720" w:hanging="360"/>
      </w:pPr>
    </w:lvl>
    <w:lvl w:ilvl="1" w:tplc="7B8ABC80" w:tentative="1">
      <w:start w:val="1"/>
      <w:numFmt w:val="decimal"/>
      <w:lvlText w:val="%2."/>
      <w:lvlJc w:val="left"/>
      <w:pPr>
        <w:tabs>
          <w:tab w:val="num" w:pos="1440"/>
        </w:tabs>
        <w:ind w:left="1440" w:hanging="360"/>
      </w:pPr>
    </w:lvl>
    <w:lvl w:ilvl="2" w:tplc="F502F642" w:tentative="1">
      <w:start w:val="1"/>
      <w:numFmt w:val="decimal"/>
      <w:lvlText w:val="%3."/>
      <w:lvlJc w:val="left"/>
      <w:pPr>
        <w:tabs>
          <w:tab w:val="num" w:pos="2160"/>
        </w:tabs>
        <w:ind w:left="2160" w:hanging="360"/>
      </w:pPr>
    </w:lvl>
    <w:lvl w:ilvl="3" w:tplc="E92009CC" w:tentative="1">
      <w:start w:val="1"/>
      <w:numFmt w:val="decimal"/>
      <w:lvlText w:val="%4."/>
      <w:lvlJc w:val="left"/>
      <w:pPr>
        <w:tabs>
          <w:tab w:val="num" w:pos="2880"/>
        </w:tabs>
        <w:ind w:left="2880" w:hanging="360"/>
      </w:pPr>
    </w:lvl>
    <w:lvl w:ilvl="4" w:tplc="1F08C80E" w:tentative="1">
      <w:start w:val="1"/>
      <w:numFmt w:val="decimal"/>
      <w:lvlText w:val="%5."/>
      <w:lvlJc w:val="left"/>
      <w:pPr>
        <w:tabs>
          <w:tab w:val="num" w:pos="3600"/>
        </w:tabs>
        <w:ind w:left="3600" w:hanging="360"/>
      </w:pPr>
    </w:lvl>
    <w:lvl w:ilvl="5" w:tplc="42DED1BC" w:tentative="1">
      <w:start w:val="1"/>
      <w:numFmt w:val="decimal"/>
      <w:lvlText w:val="%6."/>
      <w:lvlJc w:val="left"/>
      <w:pPr>
        <w:tabs>
          <w:tab w:val="num" w:pos="4320"/>
        </w:tabs>
        <w:ind w:left="4320" w:hanging="360"/>
      </w:pPr>
    </w:lvl>
    <w:lvl w:ilvl="6" w:tplc="C6A42B74" w:tentative="1">
      <w:start w:val="1"/>
      <w:numFmt w:val="decimal"/>
      <w:lvlText w:val="%7."/>
      <w:lvlJc w:val="left"/>
      <w:pPr>
        <w:tabs>
          <w:tab w:val="num" w:pos="5040"/>
        </w:tabs>
        <w:ind w:left="5040" w:hanging="360"/>
      </w:pPr>
    </w:lvl>
    <w:lvl w:ilvl="7" w:tplc="687CE7F4" w:tentative="1">
      <w:start w:val="1"/>
      <w:numFmt w:val="decimal"/>
      <w:lvlText w:val="%8."/>
      <w:lvlJc w:val="left"/>
      <w:pPr>
        <w:tabs>
          <w:tab w:val="num" w:pos="5760"/>
        </w:tabs>
        <w:ind w:left="5760" w:hanging="360"/>
      </w:pPr>
    </w:lvl>
    <w:lvl w:ilvl="8" w:tplc="FEF6ABAC" w:tentative="1">
      <w:start w:val="1"/>
      <w:numFmt w:val="decimal"/>
      <w:lvlText w:val="%9."/>
      <w:lvlJc w:val="left"/>
      <w:pPr>
        <w:tabs>
          <w:tab w:val="num" w:pos="6480"/>
        </w:tabs>
        <w:ind w:left="6480" w:hanging="360"/>
      </w:pPr>
    </w:lvl>
  </w:abstractNum>
  <w:num w:numId="1">
    <w:abstractNumId w:val="0"/>
  </w:num>
  <w:num w:numId="2">
    <w:abstractNumId w:val="10"/>
  </w:num>
  <w:num w:numId="3">
    <w:abstractNumId w:val="6"/>
  </w:num>
  <w:num w:numId="4">
    <w:abstractNumId w:val="19"/>
  </w:num>
  <w:num w:numId="5">
    <w:abstractNumId w:val="14"/>
  </w:num>
  <w:num w:numId="6">
    <w:abstractNumId w:val="17"/>
  </w:num>
  <w:num w:numId="7">
    <w:abstractNumId w:val="7"/>
  </w:num>
  <w:num w:numId="8">
    <w:abstractNumId w:val="5"/>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1"/>
  </w:num>
  <w:num w:numId="15">
    <w:abstractNumId w:val="13"/>
  </w:num>
  <w:num w:numId="16">
    <w:abstractNumId w:val="18"/>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1"/>
  </w:num>
  <w:num w:numId="20">
    <w:abstractNumId w:val="15"/>
  </w:num>
  <w:num w:numId="21">
    <w:abstractNumId w:val="16"/>
  </w:num>
  <w:num w:numId="22">
    <w:abstractNumId w:val="12"/>
  </w:num>
  <w:num w:numId="23">
    <w:abstractNumId w:val="8"/>
  </w:num>
  <w:num w:numId="24">
    <w:abstractNumId w:val="9"/>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activeWritingStyle w:appName="MSWord" w:lang="en-US" w:vendorID="64" w:dllVersion="131077" w:nlCheck="1" w:checkStyle="1"/>
  <w:activeWritingStyle w:appName="MSWord" w:lang="en-AU" w:vendorID="64" w:dllVersion="131077" w:nlCheck="1" w:checkStyle="1"/>
  <w:activeWritingStyle w:appName="MSWord" w:lang="en-GB" w:vendorID="64" w:dllVersion="131077" w:nlCheck="1" w:checkStyle="1"/>
  <w:activeWritingStyle w:appName="MSWord" w:lang="en-CA"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fr-FR" w:vendorID="64" w:dllVersion="131078" w:nlCheck="1" w:checkStyle="1"/>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7889" fillcolor="white">
      <v:fill color="white"/>
    </o:shapedefaults>
  </w:hdrShapeDefaults>
  <w:footnotePr>
    <w:footnote w:id="-1"/>
    <w:footnote w:id="0"/>
  </w:footnotePr>
  <w:endnotePr>
    <w:endnote w:id="-1"/>
    <w:endnote w:id="0"/>
  </w:endnotePr>
  <w:compat/>
  <w:rsids>
    <w:rsidRoot w:val="00306458"/>
    <w:rsid w:val="00000487"/>
    <w:rsid w:val="00000BBF"/>
    <w:rsid w:val="00001473"/>
    <w:rsid w:val="0000164B"/>
    <w:rsid w:val="00001DBC"/>
    <w:rsid w:val="00003E3F"/>
    <w:rsid w:val="0000434F"/>
    <w:rsid w:val="00007D8F"/>
    <w:rsid w:val="00010011"/>
    <w:rsid w:val="000131B4"/>
    <w:rsid w:val="00013B1B"/>
    <w:rsid w:val="00014799"/>
    <w:rsid w:val="00016B32"/>
    <w:rsid w:val="00017AD9"/>
    <w:rsid w:val="0002257C"/>
    <w:rsid w:val="00022A49"/>
    <w:rsid w:val="00024148"/>
    <w:rsid w:val="00027A69"/>
    <w:rsid w:val="000302C8"/>
    <w:rsid w:val="00030337"/>
    <w:rsid w:val="00035C47"/>
    <w:rsid w:val="00042450"/>
    <w:rsid w:val="000424ED"/>
    <w:rsid w:val="00047771"/>
    <w:rsid w:val="0005027B"/>
    <w:rsid w:val="00052648"/>
    <w:rsid w:val="00055347"/>
    <w:rsid w:val="000567DA"/>
    <w:rsid w:val="000570A5"/>
    <w:rsid w:val="000578DC"/>
    <w:rsid w:val="00060CBA"/>
    <w:rsid w:val="000634AB"/>
    <w:rsid w:val="0006411C"/>
    <w:rsid w:val="00064E5F"/>
    <w:rsid w:val="00065CFD"/>
    <w:rsid w:val="000674A4"/>
    <w:rsid w:val="00070221"/>
    <w:rsid w:val="00070699"/>
    <w:rsid w:val="00072B1E"/>
    <w:rsid w:val="00075D02"/>
    <w:rsid w:val="00076FD9"/>
    <w:rsid w:val="000776A9"/>
    <w:rsid w:val="00077A2D"/>
    <w:rsid w:val="000822E6"/>
    <w:rsid w:val="000832AA"/>
    <w:rsid w:val="00085C80"/>
    <w:rsid w:val="00086F1D"/>
    <w:rsid w:val="000876B8"/>
    <w:rsid w:val="00087C39"/>
    <w:rsid w:val="000904A8"/>
    <w:rsid w:val="000920BA"/>
    <w:rsid w:val="0009323A"/>
    <w:rsid w:val="00093EEA"/>
    <w:rsid w:val="0009416E"/>
    <w:rsid w:val="00094200"/>
    <w:rsid w:val="00095A70"/>
    <w:rsid w:val="00097B9F"/>
    <w:rsid w:val="000A03AC"/>
    <w:rsid w:val="000A17BB"/>
    <w:rsid w:val="000A63C0"/>
    <w:rsid w:val="000A7F78"/>
    <w:rsid w:val="000B0584"/>
    <w:rsid w:val="000B2C92"/>
    <w:rsid w:val="000B3396"/>
    <w:rsid w:val="000B3AD2"/>
    <w:rsid w:val="000B58E1"/>
    <w:rsid w:val="000B79F7"/>
    <w:rsid w:val="000B7CAE"/>
    <w:rsid w:val="000B7DE6"/>
    <w:rsid w:val="000C0CF8"/>
    <w:rsid w:val="000C3934"/>
    <w:rsid w:val="000C4860"/>
    <w:rsid w:val="000D7509"/>
    <w:rsid w:val="000E0A9E"/>
    <w:rsid w:val="000E0AC5"/>
    <w:rsid w:val="000E3C2C"/>
    <w:rsid w:val="000E3FDC"/>
    <w:rsid w:val="000E6817"/>
    <w:rsid w:val="000E6AD2"/>
    <w:rsid w:val="000E7F9F"/>
    <w:rsid w:val="000F0E7B"/>
    <w:rsid w:val="000F10F5"/>
    <w:rsid w:val="000F189C"/>
    <w:rsid w:val="000F1C9C"/>
    <w:rsid w:val="000F4BC4"/>
    <w:rsid w:val="000F52BB"/>
    <w:rsid w:val="000F668F"/>
    <w:rsid w:val="000F7EAD"/>
    <w:rsid w:val="00101D7C"/>
    <w:rsid w:val="00103CC5"/>
    <w:rsid w:val="001051B5"/>
    <w:rsid w:val="00107290"/>
    <w:rsid w:val="00110F9C"/>
    <w:rsid w:val="00115FA1"/>
    <w:rsid w:val="0011626E"/>
    <w:rsid w:val="00117C5A"/>
    <w:rsid w:val="001203F2"/>
    <w:rsid w:val="0012385C"/>
    <w:rsid w:val="0012499B"/>
    <w:rsid w:val="00127851"/>
    <w:rsid w:val="00131408"/>
    <w:rsid w:val="00132EFB"/>
    <w:rsid w:val="001341B9"/>
    <w:rsid w:val="001351EE"/>
    <w:rsid w:val="00136916"/>
    <w:rsid w:val="00143335"/>
    <w:rsid w:val="00143704"/>
    <w:rsid w:val="00144ED1"/>
    <w:rsid w:val="0014613F"/>
    <w:rsid w:val="00151D22"/>
    <w:rsid w:val="001529D7"/>
    <w:rsid w:val="001535C3"/>
    <w:rsid w:val="001536D9"/>
    <w:rsid w:val="00153748"/>
    <w:rsid w:val="001552CA"/>
    <w:rsid w:val="001568FC"/>
    <w:rsid w:val="00156911"/>
    <w:rsid w:val="00162E75"/>
    <w:rsid w:val="00162E7F"/>
    <w:rsid w:val="00166AE8"/>
    <w:rsid w:val="00170524"/>
    <w:rsid w:val="001753B3"/>
    <w:rsid w:val="00176F38"/>
    <w:rsid w:val="00181551"/>
    <w:rsid w:val="00181C59"/>
    <w:rsid w:val="0018263F"/>
    <w:rsid w:val="00182861"/>
    <w:rsid w:val="001842F3"/>
    <w:rsid w:val="00187E1F"/>
    <w:rsid w:val="0019013E"/>
    <w:rsid w:val="0019108E"/>
    <w:rsid w:val="001934C0"/>
    <w:rsid w:val="00194373"/>
    <w:rsid w:val="00194581"/>
    <w:rsid w:val="0019552F"/>
    <w:rsid w:val="001A0F78"/>
    <w:rsid w:val="001A1382"/>
    <w:rsid w:val="001A224A"/>
    <w:rsid w:val="001A2651"/>
    <w:rsid w:val="001A4386"/>
    <w:rsid w:val="001A52F1"/>
    <w:rsid w:val="001A6E0B"/>
    <w:rsid w:val="001A7075"/>
    <w:rsid w:val="001A7BA5"/>
    <w:rsid w:val="001B0129"/>
    <w:rsid w:val="001B0E79"/>
    <w:rsid w:val="001B1F63"/>
    <w:rsid w:val="001B284C"/>
    <w:rsid w:val="001B3B62"/>
    <w:rsid w:val="001B3EDB"/>
    <w:rsid w:val="001B4428"/>
    <w:rsid w:val="001B499F"/>
    <w:rsid w:val="001B5AE2"/>
    <w:rsid w:val="001B5BCE"/>
    <w:rsid w:val="001B5EE5"/>
    <w:rsid w:val="001B751A"/>
    <w:rsid w:val="001C2B67"/>
    <w:rsid w:val="001C3DEC"/>
    <w:rsid w:val="001C3FB1"/>
    <w:rsid w:val="001C646D"/>
    <w:rsid w:val="001D0C3F"/>
    <w:rsid w:val="001D2FD7"/>
    <w:rsid w:val="001D3D72"/>
    <w:rsid w:val="001D5724"/>
    <w:rsid w:val="001D5A99"/>
    <w:rsid w:val="001D6585"/>
    <w:rsid w:val="001D7FC1"/>
    <w:rsid w:val="001E51F2"/>
    <w:rsid w:val="001E6113"/>
    <w:rsid w:val="001F5C27"/>
    <w:rsid w:val="001F5F36"/>
    <w:rsid w:val="001F67FE"/>
    <w:rsid w:val="001F6DA3"/>
    <w:rsid w:val="00200E87"/>
    <w:rsid w:val="00210588"/>
    <w:rsid w:val="00216320"/>
    <w:rsid w:val="00216803"/>
    <w:rsid w:val="0021719E"/>
    <w:rsid w:val="00217915"/>
    <w:rsid w:val="00222F27"/>
    <w:rsid w:val="00225DD6"/>
    <w:rsid w:val="00231991"/>
    <w:rsid w:val="00233813"/>
    <w:rsid w:val="00234172"/>
    <w:rsid w:val="0023703B"/>
    <w:rsid w:val="0023723C"/>
    <w:rsid w:val="002401C5"/>
    <w:rsid w:val="002404B4"/>
    <w:rsid w:val="0024144B"/>
    <w:rsid w:val="00241821"/>
    <w:rsid w:val="00242BCE"/>
    <w:rsid w:val="00243E93"/>
    <w:rsid w:val="0024561D"/>
    <w:rsid w:val="00245A27"/>
    <w:rsid w:val="00245BEE"/>
    <w:rsid w:val="0025009F"/>
    <w:rsid w:val="002522C5"/>
    <w:rsid w:val="0025335F"/>
    <w:rsid w:val="002537AE"/>
    <w:rsid w:val="00254C82"/>
    <w:rsid w:val="00257664"/>
    <w:rsid w:val="0025775B"/>
    <w:rsid w:val="00257A19"/>
    <w:rsid w:val="002601FC"/>
    <w:rsid w:val="002606B4"/>
    <w:rsid w:val="00262225"/>
    <w:rsid w:val="002648DA"/>
    <w:rsid w:val="00264F65"/>
    <w:rsid w:val="00265D35"/>
    <w:rsid w:val="0027019C"/>
    <w:rsid w:val="002705A2"/>
    <w:rsid w:val="0027249A"/>
    <w:rsid w:val="002729AC"/>
    <w:rsid w:val="00272CFE"/>
    <w:rsid w:val="00272E3A"/>
    <w:rsid w:val="00272E7A"/>
    <w:rsid w:val="0027599C"/>
    <w:rsid w:val="00277215"/>
    <w:rsid w:val="002775BC"/>
    <w:rsid w:val="00280AAC"/>
    <w:rsid w:val="00280F45"/>
    <w:rsid w:val="00282674"/>
    <w:rsid w:val="002831D4"/>
    <w:rsid w:val="00283D18"/>
    <w:rsid w:val="00285024"/>
    <w:rsid w:val="002868A0"/>
    <w:rsid w:val="00287671"/>
    <w:rsid w:val="0028791F"/>
    <w:rsid w:val="00290DCE"/>
    <w:rsid w:val="00290F3C"/>
    <w:rsid w:val="0029453C"/>
    <w:rsid w:val="00294D37"/>
    <w:rsid w:val="002A0623"/>
    <w:rsid w:val="002A2240"/>
    <w:rsid w:val="002A2C43"/>
    <w:rsid w:val="002A47A6"/>
    <w:rsid w:val="002A5999"/>
    <w:rsid w:val="002A5AB9"/>
    <w:rsid w:val="002B0F2B"/>
    <w:rsid w:val="002B1431"/>
    <w:rsid w:val="002B2E09"/>
    <w:rsid w:val="002B77B1"/>
    <w:rsid w:val="002C55B5"/>
    <w:rsid w:val="002C6296"/>
    <w:rsid w:val="002D327A"/>
    <w:rsid w:val="002D5478"/>
    <w:rsid w:val="002D5F51"/>
    <w:rsid w:val="002D69AB"/>
    <w:rsid w:val="002D7F93"/>
    <w:rsid w:val="002E080D"/>
    <w:rsid w:val="002E1C60"/>
    <w:rsid w:val="002E1E58"/>
    <w:rsid w:val="002E209F"/>
    <w:rsid w:val="002E2FAB"/>
    <w:rsid w:val="002E6D62"/>
    <w:rsid w:val="002E6FCF"/>
    <w:rsid w:val="002F09E6"/>
    <w:rsid w:val="002F171A"/>
    <w:rsid w:val="002F215C"/>
    <w:rsid w:val="002F4AC8"/>
    <w:rsid w:val="002F7ED1"/>
    <w:rsid w:val="0030172F"/>
    <w:rsid w:val="00301A6A"/>
    <w:rsid w:val="003056E6"/>
    <w:rsid w:val="00306458"/>
    <w:rsid w:val="00312272"/>
    <w:rsid w:val="0031468E"/>
    <w:rsid w:val="00315522"/>
    <w:rsid w:val="00315722"/>
    <w:rsid w:val="003157D1"/>
    <w:rsid w:val="00315D13"/>
    <w:rsid w:val="00317318"/>
    <w:rsid w:val="00325F5D"/>
    <w:rsid w:val="00326D5A"/>
    <w:rsid w:val="00326DCA"/>
    <w:rsid w:val="0033022D"/>
    <w:rsid w:val="00330A00"/>
    <w:rsid w:val="00331E64"/>
    <w:rsid w:val="00333E41"/>
    <w:rsid w:val="00336B05"/>
    <w:rsid w:val="00336D2F"/>
    <w:rsid w:val="00337441"/>
    <w:rsid w:val="00341FEE"/>
    <w:rsid w:val="003434B8"/>
    <w:rsid w:val="003461FA"/>
    <w:rsid w:val="0034623C"/>
    <w:rsid w:val="0034765C"/>
    <w:rsid w:val="00351CE0"/>
    <w:rsid w:val="00355C77"/>
    <w:rsid w:val="00360380"/>
    <w:rsid w:val="003621D9"/>
    <w:rsid w:val="00362B24"/>
    <w:rsid w:val="00365C80"/>
    <w:rsid w:val="00366102"/>
    <w:rsid w:val="00370981"/>
    <w:rsid w:val="00370C86"/>
    <w:rsid w:val="00370CD4"/>
    <w:rsid w:val="003867F0"/>
    <w:rsid w:val="003874D3"/>
    <w:rsid w:val="00387836"/>
    <w:rsid w:val="00393F46"/>
    <w:rsid w:val="00394069"/>
    <w:rsid w:val="003A6E2D"/>
    <w:rsid w:val="003A7D85"/>
    <w:rsid w:val="003B0EE6"/>
    <w:rsid w:val="003B383C"/>
    <w:rsid w:val="003B4028"/>
    <w:rsid w:val="003B4BFD"/>
    <w:rsid w:val="003B77E2"/>
    <w:rsid w:val="003D6321"/>
    <w:rsid w:val="003E0DF2"/>
    <w:rsid w:val="003E0F36"/>
    <w:rsid w:val="003F0C62"/>
    <w:rsid w:val="003F2A18"/>
    <w:rsid w:val="003F36DB"/>
    <w:rsid w:val="003F4590"/>
    <w:rsid w:val="003F48CF"/>
    <w:rsid w:val="003F4A1C"/>
    <w:rsid w:val="003F5B63"/>
    <w:rsid w:val="003F7BE3"/>
    <w:rsid w:val="004008FC"/>
    <w:rsid w:val="004016B2"/>
    <w:rsid w:val="00401B3B"/>
    <w:rsid w:val="00403D95"/>
    <w:rsid w:val="00404BF1"/>
    <w:rsid w:val="004066CD"/>
    <w:rsid w:val="00410845"/>
    <w:rsid w:val="00411291"/>
    <w:rsid w:val="00412403"/>
    <w:rsid w:val="0041353D"/>
    <w:rsid w:val="004157CB"/>
    <w:rsid w:val="00421224"/>
    <w:rsid w:val="00421DDC"/>
    <w:rsid w:val="004247E2"/>
    <w:rsid w:val="00425442"/>
    <w:rsid w:val="004276A1"/>
    <w:rsid w:val="00430C1B"/>
    <w:rsid w:val="00431D96"/>
    <w:rsid w:val="00433000"/>
    <w:rsid w:val="00433DCC"/>
    <w:rsid w:val="00436838"/>
    <w:rsid w:val="004374EB"/>
    <w:rsid w:val="00440094"/>
    <w:rsid w:val="004442B8"/>
    <w:rsid w:val="004445F6"/>
    <w:rsid w:val="00444810"/>
    <w:rsid w:val="0044559B"/>
    <w:rsid w:val="00446A51"/>
    <w:rsid w:val="00447026"/>
    <w:rsid w:val="00452024"/>
    <w:rsid w:val="00454553"/>
    <w:rsid w:val="00456576"/>
    <w:rsid w:val="004566EB"/>
    <w:rsid w:val="004606FD"/>
    <w:rsid w:val="00461192"/>
    <w:rsid w:val="004611C6"/>
    <w:rsid w:val="004613C4"/>
    <w:rsid w:val="00461E58"/>
    <w:rsid w:val="00461EBF"/>
    <w:rsid w:val="00462B55"/>
    <w:rsid w:val="004657AA"/>
    <w:rsid w:val="0046633E"/>
    <w:rsid w:val="004701A0"/>
    <w:rsid w:val="0047077D"/>
    <w:rsid w:val="0047173F"/>
    <w:rsid w:val="00473065"/>
    <w:rsid w:val="00473AAD"/>
    <w:rsid w:val="00473CB4"/>
    <w:rsid w:val="00474815"/>
    <w:rsid w:val="00474AEA"/>
    <w:rsid w:val="0047533B"/>
    <w:rsid w:val="00476A44"/>
    <w:rsid w:val="004772E8"/>
    <w:rsid w:val="0047788D"/>
    <w:rsid w:val="00480F5C"/>
    <w:rsid w:val="00490D78"/>
    <w:rsid w:val="0049286C"/>
    <w:rsid w:val="00492C70"/>
    <w:rsid w:val="004934FC"/>
    <w:rsid w:val="004946A6"/>
    <w:rsid w:val="00494A4E"/>
    <w:rsid w:val="00496E34"/>
    <w:rsid w:val="0049733E"/>
    <w:rsid w:val="0049743A"/>
    <w:rsid w:val="004976B4"/>
    <w:rsid w:val="004A04EB"/>
    <w:rsid w:val="004A06B6"/>
    <w:rsid w:val="004A0C73"/>
    <w:rsid w:val="004A2B47"/>
    <w:rsid w:val="004A37F5"/>
    <w:rsid w:val="004A3C56"/>
    <w:rsid w:val="004A4F11"/>
    <w:rsid w:val="004A5627"/>
    <w:rsid w:val="004A7FC3"/>
    <w:rsid w:val="004B21C3"/>
    <w:rsid w:val="004B2837"/>
    <w:rsid w:val="004B4BDD"/>
    <w:rsid w:val="004B7C1B"/>
    <w:rsid w:val="004C1945"/>
    <w:rsid w:val="004C282C"/>
    <w:rsid w:val="004C5021"/>
    <w:rsid w:val="004C7660"/>
    <w:rsid w:val="004D0A7B"/>
    <w:rsid w:val="004D3728"/>
    <w:rsid w:val="004D43E3"/>
    <w:rsid w:val="004D4C99"/>
    <w:rsid w:val="004D5E15"/>
    <w:rsid w:val="004D5FC4"/>
    <w:rsid w:val="004E0E75"/>
    <w:rsid w:val="004E4D47"/>
    <w:rsid w:val="004F0DE0"/>
    <w:rsid w:val="004F3B51"/>
    <w:rsid w:val="004F3F93"/>
    <w:rsid w:val="004F449F"/>
    <w:rsid w:val="004F5978"/>
    <w:rsid w:val="004F6EE3"/>
    <w:rsid w:val="00500B07"/>
    <w:rsid w:val="00500BB5"/>
    <w:rsid w:val="00500D9C"/>
    <w:rsid w:val="00500EE6"/>
    <w:rsid w:val="0050169A"/>
    <w:rsid w:val="00502DDF"/>
    <w:rsid w:val="00505293"/>
    <w:rsid w:val="005068F8"/>
    <w:rsid w:val="00510639"/>
    <w:rsid w:val="00511530"/>
    <w:rsid w:val="005131C4"/>
    <w:rsid w:val="00515E7B"/>
    <w:rsid w:val="005176E8"/>
    <w:rsid w:val="005208B8"/>
    <w:rsid w:val="005218EE"/>
    <w:rsid w:val="00521934"/>
    <w:rsid w:val="00521D70"/>
    <w:rsid w:val="00523C7B"/>
    <w:rsid w:val="005244EC"/>
    <w:rsid w:val="00526C63"/>
    <w:rsid w:val="00526F09"/>
    <w:rsid w:val="00527575"/>
    <w:rsid w:val="00531876"/>
    <w:rsid w:val="00531A59"/>
    <w:rsid w:val="00534DD7"/>
    <w:rsid w:val="005356E3"/>
    <w:rsid w:val="00535847"/>
    <w:rsid w:val="00536F75"/>
    <w:rsid w:val="00536FBD"/>
    <w:rsid w:val="0054079B"/>
    <w:rsid w:val="0054261E"/>
    <w:rsid w:val="005454A6"/>
    <w:rsid w:val="00545E1F"/>
    <w:rsid w:val="00547390"/>
    <w:rsid w:val="00552214"/>
    <w:rsid w:val="005527A7"/>
    <w:rsid w:val="00553F30"/>
    <w:rsid w:val="00556CDE"/>
    <w:rsid w:val="00560062"/>
    <w:rsid w:val="00562298"/>
    <w:rsid w:val="00565395"/>
    <w:rsid w:val="00570746"/>
    <w:rsid w:val="00571DFC"/>
    <w:rsid w:val="00572C17"/>
    <w:rsid w:val="00573BD4"/>
    <w:rsid w:val="00575627"/>
    <w:rsid w:val="00576CFC"/>
    <w:rsid w:val="0057771B"/>
    <w:rsid w:val="005834DE"/>
    <w:rsid w:val="005837A6"/>
    <w:rsid w:val="00584595"/>
    <w:rsid w:val="005845D4"/>
    <w:rsid w:val="0058695D"/>
    <w:rsid w:val="0059188E"/>
    <w:rsid w:val="005926FF"/>
    <w:rsid w:val="005A230C"/>
    <w:rsid w:val="005A3851"/>
    <w:rsid w:val="005A4B5C"/>
    <w:rsid w:val="005A6D22"/>
    <w:rsid w:val="005A79A4"/>
    <w:rsid w:val="005B10D6"/>
    <w:rsid w:val="005B1586"/>
    <w:rsid w:val="005B1E84"/>
    <w:rsid w:val="005B2B20"/>
    <w:rsid w:val="005B63E8"/>
    <w:rsid w:val="005B6B7A"/>
    <w:rsid w:val="005C06FB"/>
    <w:rsid w:val="005C1E3F"/>
    <w:rsid w:val="005C2584"/>
    <w:rsid w:val="005C2ED5"/>
    <w:rsid w:val="005C7AD0"/>
    <w:rsid w:val="005D1C93"/>
    <w:rsid w:val="005D4E6E"/>
    <w:rsid w:val="005D50FE"/>
    <w:rsid w:val="005D5838"/>
    <w:rsid w:val="005D721E"/>
    <w:rsid w:val="005D7FE5"/>
    <w:rsid w:val="005E019E"/>
    <w:rsid w:val="005E2A70"/>
    <w:rsid w:val="005E34B4"/>
    <w:rsid w:val="005E384A"/>
    <w:rsid w:val="005E3EFB"/>
    <w:rsid w:val="005E4266"/>
    <w:rsid w:val="005E5C0C"/>
    <w:rsid w:val="005E618D"/>
    <w:rsid w:val="005F0442"/>
    <w:rsid w:val="005F1067"/>
    <w:rsid w:val="005F26E4"/>
    <w:rsid w:val="005F347F"/>
    <w:rsid w:val="005F58DE"/>
    <w:rsid w:val="005F6206"/>
    <w:rsid w:val="005F6AE3"/>
    <w:rsid w:val="005F7809"/>
    <w:rsid w:val="00600FB4"/>
    <w:rsid w:val="00601990"/>
    <w:rsid w:val="006024FB"/>
    <w:rsid w:val="00602C6F"/>
    <w:rsid w:val="00602D48"/>
    <w:rsid w:val="00606ED6"/>
    <w:rsid w:val="006134DC"/>
    <w:rsid w:val="00614C61"/>
    <w:rsid w:val="006159F6"/>
    <w:rsid w:val="00616AC7"/>
    <w:rsid w:val="00616AFF"/>
    <w:rsid w:val="00622F15"/>
    <w:rsid w:val="006260F7"/>
    <w:rsid w:val="00626D0D"/>
    <w:rsid w:val="0063057A"/>
    <w:rsid w:val="00632C7E"/>
    <w:rsid w:val="0063469D"/>
    <w:rsid w:val="00634E6D"/>
    <w:rsid w:val="006355E2"/>
    <w:rsid w:val="006360CD"/>
    <w:rsid w:val="00640C9D"/>
    <w:rsid w:val="00642213"/>
    <w:rsid w:val="00642C40"/>
    <w:rsid w:val="00645815"/>
    <w:rsid w:val="006474B9"/>
    <w:rsid w:val="00647D36"/>
    <w:rsid w:val="00651D13"/>
    <w:rsid w:val="006524F0"/>
    <w:rsid w:val="006525F9"/>
    <w:rsid w:val="00654044"/>
    <w:rsid w:val="006546AC"/>
    <w:rsid w:val="00661199"/>
    <w:rsid w:val="00661C2D"/>
    <w:rsid w:val="0067148C"/>
    <w:rsid w:val="00671EAC"/>
    <w:rsid w:val="006728AC"/>
    <w:rsid w:val="0067388F"/>
    <w:rsid w:val="00673DFB"/>
    <w:rsid w:val="00674AE9"/>
    <w:rsid w:val="00674F45"/>
    <w:rsid w:val="00675042"/>
    <w:rsid w:val="006777E7"/>
    <w:rsid w:val="00677DB7"/>
    <w:rsid w:val="00680491"/>
    <w:rsid w:val="00681633"/>
    <w:rsid w:val="0068194A"/>
    <w:rsid w:val="00681F83"/>
    <w:rsid w:val="00682B3D"/>
    <w:rsid w:val="00683D37"/>
    <w:rsid w:val="006846DB"/>
    <w:rsid w:val="006861F1"/>
    <w:rsid w:val="00687751"/>
    <w:rsid w:val="00690557"/>
    <w:rsid w:val="00691D93"/>
    <w:rsid w:val="00691DD1"/>
    <w:rsid w:val="00693AE4"/>
    <w:rsid w:val="0069521B"/>
    <w:rsid w:val="00696B67"/>
    <w:rsid w:val="006B1024"/>
    <w:rsid w:val="006B1B75"/>
    <w:rsid w:val="006B2042"/>
    <w:rsid w:val="006B22E5"/>
    <w:rsid w:val="006B4C16"/>
    <w:rsid w:val="006B55DF"/>
    <w:rsid w:val="006B5D6C"/>
    <w:rsid w:val="006C3928"/>
    <w:rsid w:val="006C3B63"/>
    <w:rsid w:val="006C3D03"/>
    <w:rsid w:val="006C694A"/>
    <w:rsid w:val="006D1451"/>
    <w:rsid w:val="006D1995"/>
    <w:rsid w:val="006D5A98"/>
    <w:rsid w:val="006E07D1"/>
    <w:rsid w:val="006E0BBE"/>
    <w:rsid w:val="006E1457"/>
    <w:rsid w:val="006E1863"/>
    <w:rsid w:val="006E21C1"/>
    <w:rsid w:val="006E463F"/>
    <w:rsid w:val="006E6A8A"/>
    <w:rsid w:val="006E7018"/>
    <w:rsid w:val="006F3AF0"/>
    <w:rsid w:val="00700130"/>
    <w:rsid w:val="007002DD"/>
    <w:rsid w:val="007022DB"/>
    <w:rsid w:val="007058CF"/>
    <w:rsid w:val="00706EBA"/>
    <w:rsid w:val="00707104"/>
    <w:rsid w:val="00710DD1"/>
    <w:rsid w:val="007114A7"/>
    <w:rsid w:val="00712B07"/>
    <w:rsid w:val="00715B8F"/>
    <w:rsid w:val="007170DB"/>
    <w:rsid w:val="00720881"/>
    <w:rsid w:val="0072495E"/>
    <w:rsid w:val="00725457"/>
    <w:rsid w:val="00727D05"/>
    <w:rsid w:val="00731449"/>
    <w:rsid w:val="00733358"/>
    <w:rsid w:val="00736144"/>
    <w:rsid w:val="00736851"/>
    <w:rsid w:val="00744B56"/>
    <w:rsid w:val="00745183"/>
    <w:rsid w:val="00747AB8"/>
    <w:rsid w:val="0075136C"/>
    <w:rsid w:val="0075286A"/>
    <w:rsid w:val="0075375C"/>
    <w:rsid w:val="007560D6"/>
    <w:rsid w:val="00757B06"/>
    <w:rsid w:val="007609D4"/>
    <w:rsid w:val="00761BDB"/>
    <w:rsid w:val="00763A0A"/>
    <w:rsid w:val="007702E6"/>
    <w:rsid w:val="0077358D"/>
    <w:rsid w:val="007778FC"/>
    <w:rsid w:val="00782806"/>
    <w:rsid w:val="007858D8"/>
    <w:rsid w:val="00791CC3"/>
    <w:rsid w:val="007933E2"/>
    <w:rsid w:val="007948C4"/>
    <w:rsid w:val="00794A54"/>
    <w:rsid w:val="007A100F"/>
    <w:rsid w:val="007A2C92"/>
    <w:rsid w:val="007A3BCC"/>
    <w:rsid w:val="007A670C"/>
    <w:rsid w:val="007B0C66"/>
    <w:rsid w:val="007B294B"/>
    <w:rsid w:val="007B31A2"/>
    <w:rsid w:val="007B4D6F"/>
    <w:rsid w:val="007B50C2"/>
    <w:rsid w:val="007B58EC"/>
    <w:rsid w:val="007B781D"/>
    <w:rsid w:val="007C007B"/>
    <w:rsid w:val="007C028F"/>
    <w:rsid w:val="007C12B5"/>
    <w:rsid w:val="007C146B"/>
    <w:rsid w:val="007C1BE9"/>
    <w:rsid w:val="007C2172"/>
    <w:rsid w:val="007C21FC"/>
    <w:rsid w:val="007C28F4"/>
    <w:rsid w:val="007C3358"/>
    <w:rsid w:val="007C48E3"/>
    <w:rsid w:val="007C4F7C"/>
    <w:rsid w:val="007C72FA"/>
    <w:rsid w:val="007C7487"/>
    <w:rsid w:val="007D11AD"/>
    <w:rsid w:val="007D245A"/>
    <w:rsid w:val="007D39F8"/>
    <w:rsid w:val="007D5565"/>
    <w:rsid w:val="007E1317"/>
    <w:rsid w:val="007E684F"/>
    <w:rsid w:val="007E6A2A"/>
    <w:rsid w:val="007F0D88"/>
    <w:rsid w:val="007F12CD"/>
    <w:rsid w:val="007F1DCE"/>
    <w:rsid w:val="007F2B14"/>
    <w:rsid w:val="007F3E8F"/>
    <w:rsid w:val="007F4875"/>
    <w:rsid w:val="007F4C5A"/>
    <w:rsid w:val="00802AFB"/>
    <w:rsid w:val="0080676A"/>
    <w:rsid w:val="008109EE"/>
    <w:rsid w:val="008118A9"/>
    <w:rsid w:val="00811AB5"/>
    <w:rsid w:val="00812AA6"/>
    <w:rsid w:val="008149D5"/>
    <w:rsid w:val="008149F7"/>
    <w:rsid w:val="00815E2F"/>
    <w:rsid w:val="00816D4E"/>
    <w:rsid w:val="0081727A"/>
    <w:rsid w:val="00817A2B"/>
    <w:rsid w:val="00821191"/>
    <w:rsid w:val="00821199"/>
    <w:rsid w:val="00821C11"/>
    <w:rsid w:val="00823076"/>
    <w:rsid w:val="008237C0"/>
    <w:rsid w:val="00823C0B"/>
    <w:rsid w:val="008253B0"/>
    <w:rsid w:val="008260C6"/>
    <w:rsid w:val="008266B7"/>
    <w:rsid w:val="00832707"/>
    <w:rsid w:val="00833588"/>
    <w:rsid w:val="008343FA"/>
    <w:rsid w:val="0083593B"/>
    <w:rsid w:val="008366EE"/>
    <w:rsid w:val="00840709"/>
    <w:rsid w:val="00840947"/>
    <w:rsid w:val="00842370"/>
    <w:rsid w:val="00844911"/>
    <w:rsid w:val="00844D68"/>
    <w:rsid w:val="00844D77"/>
    <w:rsid w:val="00847005"/>
    <w:rsid w:val="0084756A"/>
    <w:rsid w:val="008479D2"/>
    <w:rsid w:val="00850751"/>
    <w:rsid w:val="00851BC2"/>
    <w:rsid w:val="00856B4C"/>
    <w:rsid w:val="0085724B"/>
    <w:rsid w:val="008575DE"/>
    <w:rsid w:val="00860831"/>
    <w:rsid w:val="00860914"/>
    <w:rsid w:val="008610F5"/>
    <w:rsid w:val="00863350"/>
    <w:rsid w:val="00863B2F"/>
    <w:rsid w:val="00864E4B"/>
    <w:rsid w:val="00865FDD"/>
    <w:rsid w:val="00866555"/>
    <w:rsid w:val="00866685"/>
    <w:rsid w:val="0087043C"/>
    <w:rsid w:val="00870E7E"/>
    <w:rsid w:val="0087367A"/>
    <w:rsid w:val="00873C92"/>
    <w:rsid w:val="00877906"/>
    <w:rsid w:val="008815F9"/>
    <w:rsid w:val="0088625A"/>
    <w:rsid w:val="008915D9"/>
    <w:rsid w:val="00893401"/>
    <w:rsid w:val="00895766"/>
    <w:rsid w:val="00897139"/>
    <w:rsid w:val="00897239"/>
    <w:rsid w:val="00897713"/>
    <w:rsid w:val="008A0C10"/>
    <w:rsid w:val="008A0D65"/>
    <w:rsid w:val="008A20D0"/>
    <w:rsid w:val="008A2FA7"/>
    <w:rsid w:val="008A3254"/>
    <w:rsid w:val="008A3D86"/>
    <w:rsid w:val="008A5E5F"/>
    <w:rsid w:val="008A7726"/>
    <w:rsid w:val="008A7E6D"/>
    <w:rsid w:val="008A7EEC"/>
    <w:rsid w:val="008B2E0A"/>
    <w:rsid w:val="008B440A"/>
    <w:rsid w:val="008B4A8F"/>
    <w:rsid w:val="008C038C"/>
    <w:rsid w:val="008C29C5"/>
    <w:rsid w:val="008C44C4"/>
    <w:rsid w:val="008C51BF"/>
    <w:rsid w:val="008C549F"/>
    <w:rsid w:val="008C7D3C"/>
    <w:rsid w:val="008D155D"/>
    <w:rsid w:val="008D24D8"/>
    <w:rsid w:val="008D4D0E"/>
    <w:rsid w:val="008D570A"/>
    <w:rsid w:val="008D6859"/>
    <w:rsid w:val="008D692F"/>
    <w:rsid w:val="008E13BD"/>
    <w:rsid w:val="008E36C0"/>
    <w:rsid w:val="008E4864"/>
    <w:rsid w:val="008E4B28"/>
    <w:rsid w:val="008E66D1"/>
    <w:rsid w:val="008E7499"/>
    <w:rsid w:val="008F1735"/>
    <w:rsid w:val="008F4162"/>
    <w:rsid w:val="008F7CBC"/>
    <w:rsid w:val="0090258E"/>
    <w:rsid w:val="00902A79"/>
    <w:rsid w:val="00905222"/>
    <w:rsid w:val="009066C3"/>
    <w:rsid w:val="00906E13"/>
    <w:rsid w:val="00907DDA"/>
    <w:rsid w:val="00910353"/>
    <w:rsid w:val="00910711"/>
    <w:rsid w:val="00912A31"/>
    <w:rsid w:val="00913060"/>
    <w:rsid w:val="009135A1"/>
    <w:rsid w:val="00914736"/>
    <w:rsid w:val="00921E2B"/>
    <w:rsid w:val="00922092"/>
    <w:rsid w:val="00923422"/>
    <w:rsid w:val="00923A06"/>
    <w:rsid w:val="00924B26"/>
    <w:rsid w:val="009265AB"/>
    <w:rsid w:val="00927237"/>
    <w:rsid w:val="00931164"/>
    <w:rsid w:val="00931F56"/>
    <w:rsid w:val="0093213E"/>
    <w:rsid w:val="00932612"/>
    <w:rsid w:val="00935521"/>
    <w:rsid w:val="00940C54"/>
    <w:rsid w:val="00941252"/>
    <w:rsid w:val="0094387C"/>
    <w:rsid w:val="00943F9D"/>
    <w:rsid w:val="00944A55"/>
    <w:rsid w:val="00946902"/>
    <w:rsid w:val="0094784E"/>
    <w:rsid w:val="009504E3"/>
    <w:rsid w:val="0095132D"/>
    <w:rsid w:val="00954928"/>
    <w:rsid w:val="009552EE"/>
    <w:rsid w:val="00955A0F"/>
    <w:rsid w:val="00957072"/>
    <w:rsid w:val="009574DA"/>
    <w:rsid w:val="00957CDD"/>
    <w:rsid w:val="009617F0"/>
    <w:rsid w:val="00961B5C"/>
    <w:rsid w:val="00963B3D"/>
    <w:rsid w:val="0096776A"/>
    <w:rsid w:val="00971243"/>
    <w:rsid w:val="00971D03"/>
    <w:rsid w:val="009727A8"/>
    <w:rsid w:val="00973D98"/>
    <w:rsid w:val="0097435B"/>
    <w:rsid w:val="00974AE2"/>
    <w:rsid w:val="00976761"/>
    <w:rsid w:val="00976FC3"/>
    <w:rsid w:val="0097746D"/>
    <w:rsid w:val="00983869"/>
    <w:rsid w:val="009903F3"/>
    <w:rsid w:val="00992CBB"/>
    <w:rsid w:val="009930C3"/>
    <w:rsid w:val="0099446B"/>
    <w:rsid w:val="00994EF8"/>
    <w:rsid w:val="00996DC2"/>
    <w:rsid w:val="0099742C"/>
    <w:rsid w:val="009A01CD"/>
    <w:rsid w:val="009A1782"/>
    <w:rsid w:val="009A6724"/>
    <w:rsid w:val="009A75E4"/>
    <w:rsid w:val="009A7FE5"/>
    <w:rsid w:val="009B24E3"/>
    <w:rsid w:val="009B46A4"/>
    <w:rsid w:val="009B5C78"/>
    <w:rsid w:val="009B6D00"/>
    <w:rsid w:val="009C1494"/>
    <w:rsid w:val="009C1B8E"/>
    <w:rsid w:val="009C1FD0"/>
    <w:rsid w:val="009C32A0"/>
    <w:rsid w:val="009C5E84"/>
    <w:rsid w:val="009D3038"/>
    <w:rsid w:val="009D434D"/>
    <w:rsid w:val="009D5B26"/>
    <w:rsid w:val="009E066D"/>
    <w:rsid w:val="009E0A5A"/>
    <w:rsid w:val="009E392A"/>
    <w:rsid w:val="009E407F"/>
    <w:rsid w:val="009E4382"/>
    <w:rsid w:val="009E4707"/>
    <w:rsid w:val="009E52A8"/>
    <w:rsid w:val="009E5A1C"/>
    <w:rsid w:val="009E6211"/>
    <w:rsid w:val="009E6693"/>
    <w:rsid w:val="009F5177"/>
    <w:rsid w:val="009F6976"/>
    <w:rsid w:val="009F756F"/>
    <w:rsid w:val="00A0058B"/>
    <w:rsid w:val="00A015D0"/>
    <w:rsid w:val="00A01BA0"/>
    <w:rsid w:val="00A031BC"/>
    <w:rsid w:val="00A04FBC"/>
    <w:rsid w:val="00A05CC7"/>
    <w:rsid w:val="00A07B49"/>
    <w:rsid w:val="00A109BA"/>
    <w:rsid w:val="00A11900"/>
    <w:rsid w:val="00A13069"/>
    <w:rsid w:val="00A14906"/>
    <w:rsid w:val="00A16344"/>
    <w:rsid w:val="00A16E93"/>
    <w:rsid w:val="00A17978"/>
    <w:rsid w:val="00A21159"/>
    <w:rsid w:val="00A23B1F"/>
    <w:rsid w:val="00A250CA"/>
    <w:rsid w:val="00A254F1"/>
    <w:rsid w:val="00A25868"/>
    <w:rsid w:val="00A32AA1"/>
    <w:rsid w:val="00A3482B"/>
    <w:rsid w:val="00A34B20"/>
    <w:rsid w:val="00A34B49"/>
    <w:rsid w:val="00A36380"/>
    <w:rsid w:val="00A426EA"/>
    <w:rsid w:val="00A42E88"/>
    <w:rsid w:val="00A43B85"/>
    <w:rsid w:val="00A45C3E"/>
    <w:rsid w:val="00A51246"/>
    <w:rsid w:val="00A560B4"/>
    <w:rsid w:val="00A56113"/>
    <w:rsid w:val="00A56C66"/>
    <w:rsid w:val="00A64E87"/>
    <w:rsid w:val="00A658FA"/>
    <w:rsid w:val="00A65A4C"/>
    <w:rsid w:val="00A70AAC"/>
    <w:rsid w:val="00A71B39"/>
    <w:rsid w:val="00A71FE6"/>
    <w:rsid w:val="00A728F1"/>
    <w:rsid w:val="00A737C8"/>
    <w:rsid w:val="00A76827"/>
    <w:rsid w:val="00A820EC"/>
    <w:rsid w:val="00A901C9"/>
    <w:rsid w:val="00A9162B"/>
    <w:rsid w:val="00A94168"/>
    <w:rsid w:val="00A95E57"/>
    <w:rsid w:val="00AA040D"/>
    <w:rsid w:val="00AA1022"/>
    <w:rsid w:val="00AA1FDE"/>
    <w:rsid w:val="00AA344B"/>
    <w:rsid w:val="00AA4F84"/>
    <w:rsid w:val="00AA7FFD"/>
    <w:rsid w:val="00AB37CF"/>
    <w:rsid w:val="00AB5D29"/>
    <w:rsid w:val="00AB73AE"/>
    <w:rsid w:val="00AC022A"/>
    <w:rsid w:val="00AC1B21"/>
    <w:rsid w:val="00AC361F"/>
    <w:rsid w:val="00AC6F1A"/>
    <w:rsid w:val="00AD0135"/>
    <w:rsid w:val="00AD12C6"/>
    <w:rsid w:val="00AD2502"/>
    <w:rsid w:val="00AD35CD"/>
    <w:rsid w:val="00AD3A1F"/>
    <w:rsid w:val="00AD55AB"/>
    <w:rsid w:val="00AE0082"/>
    <w:rsid w:val="00AE0CFF"/>
    <w:rsid w:val="00AE186E"/>
    <w:rsid w:val="00AE20DB"/>
    <w:rsid w:val="00AE4CBC"/>
    <w:rsid w:val="00AE7671"/>
    <w:rsid w:val="00AF16F0"/>
    <w:rsid w:val="00AF2198"/>
    <w:rsid w:val="00AF35A9"/>
    <w:rsid w:val="00AF450A"/>
    <w:rsid w:val="00B01402"/>
    <w:rsid w:val="00B01582"/>
    <w:rsid w:val="00B024C2"/>
    <w:rsid w:val="00B0648F"/>
    <w:rsid w:val="00B072E5"/>
    <w:rsid w:val="00B10690"/>
    <w:rsid w:val="00B10D64"/>
    <w:rsid w:val="00B12010"/>
    <w:rsid w:val="00B12695"/>
    <w:rsid w:val="00B14E8E"/>
    <w:rsid w:val="00B1531C"/>
    <w:rsid w:val="00B1560F"/>
    <w:rsid w:val="00B156ED"/>
    <w:rsid w:val="00B15745"/>
    <w:rsid w:val="00B158DC"/>
    <w:rsid w:val="00B15939"/>
    <w:rsid w:val="00B20933"/>
    <w:rsid w:val="00B20B53"/>
    <w:rsid w:val="00B21BB2"/>
    <w:rsid w:val="00B24F4E"/>
    <w:rsid w:val="00B25917"/>
    <w:rsid w:val="00B25D95"/>
    <w:rsid w:val="00B267DA"/>
    <w:rsid w:val="00B27253"/>
    <w:rsid w:val="00B2735B"/>
    <w:rsid w:val="00B27C7C"/>
    <w:rsid w:val="00B32623"/>
    <w:rsid w:val="00B33855"/>
    <w:rsid w:val="00B340AA"/>
    <w:rsid w:val="00B36D13"/>
    <w:rsid w:val="00B37FBE"/>
    <w:rsid w:val="00B41235"/>
    <w:rsid w:val="00B42928"/>
    <w:rsid w:val="00B4471A"/>
    <w:rsid w:val="00B44A76"/>
    <w:rsid w:val="00B4518E"/>
    <w:rsid w:val="00B46342"/>
    <w:rsid w:val="00B47642"/>
    <w:rsid w:val="00B50511"/>
    <w:rsid w:val="00B50AB4"/>
    <w:rsid w:val="00B5137E"/>
    <w:rsid w:val="00B520BD"/>
    <w:rsid w:val="00B530F9"/>
    <w:rsid w:val="00B54D45"/>
    <w:rsid w:val="00B551BC"/>
    <w:rsid w:val="00B62B7D"/>
    <w:rsid w:val="00B638B8"/>
    <w:rsid w:val="00B67027"/>
    <w:rsid w:val="00B70333"/>
    <w:rsid w:val="00B706FF"/>
    <w:rsid w:val="00B709C1"/>
    <w:rsid w:val="00B71CC0"/>
    <w:rsid w:val="00B7328C"/>
    <w:rsid w:val="00B732D5"/>
    <w:rsid w:val="00B75B2A"/>
    <w:rsid w:val="00B7618E"/>
    <w:rsid w:val="00B772D0"/>
    <w:rsid w:val="00B829A0"/>
    <w:rsid w:val="00B82D9C"/>
    <w:rsid w:val="00B85EFC"/>
    <w:rsid w:val="00B86D2F"/>
    <w:rsid w:val="00B87F0D"/>
    <w:rsid w:val="00B925FA"/>
    <w:rsid w:val="00B9274B"/>
    <w:rsid w:val="00B92D47"/>
    <w:rsid w:val="00B93CF4"/>
    <w:rsid w:val="00BA0860"/>
    <w:rsid w:val="00BA0CCE"/>
    <w:rsid w:val="00BA265E"/>
    <w:rsid w:val="00BA27BE"/>
    <w:rsid w:val="00BA2F0C"/>
    <w:rsid w:val="00BA3398"/>
    <w:rsid w:val="00BA5115"/>
    <w:rsid w:val="00BA5FD4"/>
    <w:rsid w:val="00BA6617"/>
    <w:rsid w:val="00BA77CF"/>
    <w:rsid w:val="00BB1035"/>
    <w:rsid w:val="00BB1A19"/>
    <w:rsid w:val="00BB2AC2"/>
    <w:rsid w:val="00BB3C1F"/>
    <w:rsid w:val="00BB7E96"/>
    <w:rsid w:val="00BC09ED"/>
    <w:rsid w:val="00BC42C2"/>
    <w:rsid w:val="00BC4CA9"/>
    <w:rsid w:val="00BC7428"/>
    <w:rsid w:val="00BC77AA"/>
    <w:rsid w:val="00BD1256"/>
    <w:rsid w:val="00BD1DE2"/>
    <w:rsid w:val="00BD2591"/>
    <w:rsid w:val="00BD25F7"/>
    <w:rsid w:val="00BD2D55"/>
    <w:rsid w:val="00BD4545"/>
    <w:rsid w:val="00BD48C1"/>
    <w:rsid w:val="00BD4E8A"/>
    <w:rsid w:val="00BE1E48"/>
    <w:rsid w:val="00BE327D"/>
    <w:rsid w:val="00BE329E"/>
    <w:rsid w:val="00BE3DDA"/>
    <w:rsid w:val="00BE4480"/>
    <w:rsid w:val="00BE7B3E"/>
    <w:rsid w:val="00BF133B"/>
    <w:rsid w:val="00BF14DE"/>
    <w:rsid w:val="00BF15FF"/>
    <w:rsid w:val="00C0043F"/>
    <w:rsid w:val="00C00D9A"/>
    <w:rsid w:val="00C06D08"/>
    <w:rsid w:val="00C076F4"/>
    <w:rsid w:val="00C0791B"/>
    <w:rsid w:val="00C07DC2"/>
    <w:rsid w:val="00C141E0"/>
    <w:rsid w:val="00C167E1"/>
    <w:rsid w:val="00C16CDC"/>
    <w:rsid w:val="00C212E6"/>
    <w:rsid w:val="00C22857"/>
    <w:rsid w:val="00C2308B"/>
    <w:rsid w:val="00C23B89"/>
    <w:rsid w:val="00C25BB9"/>
    <w:rsid w:val="00C26468"/>
    <w:rsid w:val="00C26835"/>
    <w:rsid w:val="00C2741C"/>
    <w:rsid w:val="00C27BED"/>
    <w:rsid w:val="00C350DD"/>
    <w:rsid w:val="00C35402"/>
    <w:rsid w:val="00C40D06"/>
    <w:rsid w:val="00C41BF1"/>
    <w:rsid w:val="00C4263F"/>
    <w:rsid w:val="00C47319"/>
    <w:rsid w:val="00C523F7"/>
    <w:rsid w:val="00C52FA1"/>
    <w:rsid w:val="00C57E5B"/>
    <w:rsid w:val="00C60660"/>
    <w:rsid w:val="00C62177"/>
    <w:rsid w:val="00C631E5"/>
    <w:rsid w:val="00C64AC3"/>
    <w:rsid w:val="00C67645"/>
    <w:rsid w:val="00C745B3"/>
    <w:rsid w:val="00C75525"/>
    <w:rsid w:val="00C75B7F"/>
    <w:rsid w:val="00C812A8"/>
    <w:rsid w:val="00C851A5"/>
    <w:rsid w:val="00C860F7"/>
    <w:rsid w:val="00C86540"/>
    <w:rsid w:val="00C86621"/>
    <w:rsid w:val="00C879E3"/>
    <w:rsid w:val="00C90920"/>
    <w:rsid w:val="00C92EB8"/>
    <w:rsid w:val="00C933DB"/>
    <w:rsid w:val="00C93ACF"/>
    <w:rsid w:val="00C9430D"/>
    <w:rsid w:val="00C97CFF"/>
    <w:rsid w:val="00CA18AA"/>
    <w:rsid w:val="00CA2789"/>
    <w:rsid w:val="00CA279F"/>
    <w:rsid w:val="00CA66E1"/>
    <w:rsid w:val="00CA7959"/>
    <w:rsid w:val="00CA7EAC"/>
    <w:rsid w:val="00CB0E46"/>
    <w:rsid w:val="00CB1177"/>
    <w:rsid w:val="00CB1180"/>
    <w:rsid w:val="00CB21BF"/>
    <w:rsid w:val="00CB21E6"/>
    <w:rsid w:val="00CB4419"/>
    <w:rsid w:val="00CB47ED"/>
    <w:rsid w:val="00CB5C6F"/>
    <w:rsid w:val="00CB611B"/>
    <w:rsid w:val="00CB6C31"/>
    <w:rsid w:val="00CC56BC"/>
    <w:rsid w:val="00CC6BF4"/>
    <w:rsid w:val="00CC6FE6"/>
    <w:rsid w:val="00CD1042"/>
    <w:rsid w:val="00CD423A"/>
    <w:rsid w:val="00CD632B"/>
    <w:rsid w:val="00CD691F"/>
    <w:rsid w:val="00CE0CFC"/>
    <w:rsid w:val="00CE1B55"/>
    <w:rsid w:val="00CE3ACA"/>
    <w:rsid w:val="00CE4DE1"/>
    <w:rsid w:val="00CE6FFD"/>
    <w:rsid w:val="00CF0507"/>
    <w:rsid w:val="00CF0B2B"/>
    <w:rsid w:val="00CF0D24"/>
    <w:rsid w:val="00CF1578"/>
    <w:rsid w:val="00CF1959"/>
    <w:rsid w:val="00CF301D"/>
    <w:rsid w:val="00CF3DD1"/>
    <w:rsid w:val="00CF4745"/>
    <w:rsid w:val="00CF4937"/>
    <w:rsid w:val="00CF6FB0"/>
    <w:rsid w:val="00D0045E"/>
    <w:rsid w:val="00D01061"/>
    <w:rsid w:val="00D010AB"/>
    <w:rsid w:val="00D06BB4"/>
    <w:rsid w:val="00D07291"/>
    <w:rsid w:val="00D079C2"/>
    <w:rsid w:val="00D07EF2"/>
    <w:rsid w:val="00D113A1"/>
    <w:rsid w:val="00D13424"/>
    <w:rsid w:val="00D13712"/>
    <w:rsid w:val="00D17932"/>
    <w:rsid w:val="00D209F3"/>
    <w:rsid w:val="00D24918"/>
    <w:rsid w:val="00D27CC3"/>
    <w:rsid w:val="00D31C06"/>
    <w:rsid w:val="00D3210E"/>
    <w:rsid w:val="00D328C4"/>
    <w:rsid w:val="00D32BDB"/>
    <w:rsid w:val="00D33235"/>
    <w:rsid w:val="00D37353"/>
    <w:rsid w:val="00D40391"/>
    <w:rsid w:val="00D40927"/>
    <w:rsid w:val="00D416D9"/>
    <w:rsid w:val="00D451BF"/>
    <w:rsid w:val="00D467B2"/>
    <w:rsid w:val="00D504C7"/>
    <w:rsid w:val="00D516E7"/>
    <w:rsid w:val="00D55A15"/>
    <w:rsid w:val="00D57741"/>
    <w:rsid w:val="00D57CB7"/>
    <w:rsid w:val="00D60012"/>
    <w:rsid w:val="00D6031F"/>
    <w:rsid w:val="00D60C1F"/>
    <w:rsid w:val="00D61156"/>
    <w:rsid w:val="00D668AC"/>
    <w:rsid w:val="00D760C1"/>
    <w:rsid w:val="00D77FA3"/>
    <w:rsid w:val="00D80773"/>
    <w:rsid w:val="00D81070"/>
    <w:rsid w:val="00D916E5"/>
    <w:rsid w:val="00D9199E"/>
    <w:rsid w:val="00D922B2"/>
    <w:rsid w:val="00D93102"/>
    <w:rsid w:val="00D93519"/>
    <w:rsid w:val="00D948CD"/>
    <w:rsid w:val="00D95965"/>
    <w:rsid w:val="00D9620C"/>
    <w:rsid w:val="00D9659A"/>
    <w:rsid w:val="00DA0B9A"/>
    <w:rsid w:val="00DA1DBD"/>
    <w:rsid w:val="00DA6E7A"/>
    <w:rsid w:val="00DA775F"/>
    <w:rsid w:val="00DB44FF"/>
    <w:rsid w:val="00DB527D"/>
    <w:rsid w:val="00DB7C88"/>
    <w:rsid w:val="00DC3841"/>
    <w:rsid w:val="00DC3DEE"/>
    <w:rsid w:val="00DD23B2"/>
    <w:rsid w:val="00DD2488"/>
    <w:rsid w:val="00DD48BD"/>
    <w:rsid w:val="00DD5604"/>
    <w:rsid w:val="00DD777D"/>
    <w:rsid w:val="00DD7962"/>
    <w:rsid w:val="00DE363B"/>
    <w:rsid w:val="00DE36AF"/>
    <w:rsid w:val="00DE5650"/>
    <w:rsid w:val="00DE6328"/>
    <w:rsid w:val="00DE747B"/>
    <w:rsid w:val="00DF1C04"/>
    <w:rsid w:val="00DF3EA0"/>
    <w:rsid w:val="00DF44DE"/>
    <w:rsid w:val="00E0258C"/>
    <w:rsid w:val="00E03D83"/>
    <w:rsid w:val="00E055F1"/>
    <w:rsid w:val="00E134F9"/>
    <w:rsid w:val="00E13EF4"/>
    <w:rsid w:val="00E15789"/>
    <w:rsid w:val="00E16A13"/>
    <w:rsid w:val="00E2029C"/>
    <w:rsid w:val="00E2111D"/>
    <w:rsid w:val="00E21481"/>
    <w:rsid w:val="00E22AA5"/>
    <w:rsid w:val="00E23875"/>
    <w:rsid w:val="00E23F17"/>
    <w:rsid w:val="00E243B8"/>
    <w:rsid w:val="00E25B19"/>
    <w:rsid w:val="00E27F9B"/>
    <w:rsid w:val="00E3062F"/>
    <w:rsid w:val="00E308E7"/>
    <w:rsid w:val="00E310E0"/>
    <w:rsid w:val="00E3412F"/>
    <w:rsid w:val="00E40AE4"/>
    <w:rsid w:val="00E41DEA"/>
    <w:rsid w:val="00E4455D"/>
    <w:rsid w:val="00E45DF4"/>
    <w:rsid w:val="00E46DB4"/>
    <w:rsid w:val="00E505DB"/>
    <w:rsid w:val="00E50E84"/>
    <w:rsid w:val="00E53746"/>
    <w:rsid w:val="00E5563A"/>
    <w:rsid w:val="00E60F93"/>
    <w:rsid w:val="00E625A4"/>
    <w:rsid w:val="00E65120"/>
    <w:rsid w:val="00E65427"/>
    <w:rsid w:val="00E65EBA"/>
    <w:rsid w:val="00E6649C"/>
    <w:rsid w:val="00E66A48"/>
    <w:rsid w:val="00E66DB5"/>
    <w:rsid w:val="00E6728B"/>
    <w:rsid w:val="00E67C7F"/>
    <w:rsid w:val="00E7115E"/>
    <w:rsid w:val="00E72363"/>
    <w:rsid w:val="00E73BC1"/>
    <w:rsid w:val="00E747D6"/>
    <w:rsid w:val="00E75F0B"/>
    <w:rsid w:val="00E774F9"/>
    <w:rsid w:val="00E82C77"/>
    <w:rsid w:val="00E869D5"/>
    <w:rsid w:val="00E87167"/>
    <w:rsid w:val="00E877E7"/>
    <w:rsid w:val="00E8781D"/>
    <w:rsid w:val="00E909DA"/>
    <w:rsid w:val="00E90C24"/>
    <w:rsid w:val="00E923DC"/>
    <w:rsid w:val="00E92C39"/>
    <w:rsid w:val="00E9620E"/>
    <w:rsid w:val="00E97B96"/>
    <w:rsid w:val="00EA0473"/>
    <w:rsid w:val="00EA096B"/>
    <w:rsid w:val="00EA296B"/>
    <w:rsid w:val="00EA3094"/>
    <w:rsid w:val="00EA3B5E"/>
    <w:rsid w:val="00EA585C"/>
    <w:rsid w:val="00EB08D5"/>
    <w:rsid w:val="00EB1058"/>
    <w:rsid w:val="00EB284C"/>
    <w:rsid w:val="00EB66E8"/>
    <w:rsid w:val="00EB78DD"/>
    <w:rsid w:val="00EC390C"/>
    <w:rsid w:val="00EC3E6B"/>
    <w:rsid w:val="00EC498A"/>
    <w:rsid w:val="00EC68C2"/>
    <w:rsid w:val="00ED15A2"/>
    <w:rsid w:val="00ED4C79"/>
    <w:rsid w:val="00ED50AB"/>
    <w:rsid w:val="00EE007D"/>
    <w:rsid w:val="00EE2B1D"/>
    <w:rsid w:val="00EE5CF7"/>
    <w:rsid w:val="00EE708F"/>
    <w:rsid w:val="00EF1061"/>
    <w:rsid w:val="00EF1969"/>
    <w:rsid w:val="00EF2CB7"/>
    <w:rsid w:val="00EF52F3"/>
    <w:rsid w:val="00EF6D35"/>
    <w:rsid w:val="00F02F45"/>
    <w:rsid w:val="00F036CA"/>
    <w:rsid w:val="00F047BB"/>
    <w:rsid w:val="00F04B13"/>
    <w:rsid w:val="00F063B4"/>
    <w:rsid w:val="00F065A4"/>
    <w:rsid w:val="00F06ABA"/>
    <w:rsid w:val="00F07196"/>
    <w:rsid w:val="00F07C0C"/>
    <w:rsid w:val="00F10B98"/>
    <w:rsid w:val="00F10F48"/>
    <w:rsid w:val="00F11485"/>
    <w:rsid w:val="00F12BB4"/>
    <w:rsid w:val="00F135E5"/>
    <w:rsid w:val="00F177B0"/>
    <w:rsid w:val="00F210B8"/>
    <w:rsid w:val="00F21A6F"/>
    <w:rsid w:val="00F2356C"/>
    <w:rsid w:val="00F25215"/>
    <w:rsid w:val="00F26B88"/>
    <w:rsid w:val="00F2732D"/>
    <w:rsid w:val="00F2766A"/>
    <w:rsid w:val="00F317CA"/>
    <w:rsid w:val="00F3193E"/>
    <w:rsid w:val="00F350FF"/>
    <w:rsid w:val="00F35FB3"/>
    <w:rsid w:val="00F369B6"/>
    <w:rsid w:val="00F369EA"/>
    <w:rsid w:val="00F40B62"/>
    <w:rsid w:val="00F40BE7"/>
    <w:rsid w:val="00F43BEB"/>
    <w:rsid w:val="00F46787"/>
    <w:rsid w:val="00F468BB"/>
    <w:rsid w:val="00F470CB"/>
    <w:rsid w:val="00F476B7"/>
    <w:rsid w:val="00F51956"/>
    <w:rsid w:val="00F51CFE"/>
    <w:rsid w:val="00F55F44"/>
    <w:rsid w:val="00F56FFF"/>
    <w:rsid w:val="00F6027A"/>
    <w:rsid w:val="00F60292"/>
    <w:rsid w:val="00F60450"/>
    <w:rsid w:val="00F60578"/>
    <w:rsid w:val="00F6078F"/>
    <w:rsid w:val="00F6083A"/>
    <w:rsid w:val="00F646B6"/>
    <w:rsid w:val="00F66177"/>
    <w:rsid w:val="00F6635F"/>
    <w:rsid w:val="00F66C3A"/>
    <w:rsid w:val="00F66CC1"/>
    <w:rsid w:val="00F67BB8"/>
    <w:rsid w:val="00F707F0"/>
    <w:rsid w:val="00F70A81"/>
    <w:rsid w:val="00F70B11"/>
    <w:rsid w:val="00F71C24"/>
    <w:rsid w:val="00F71DF3"/>
    <w:rsid w:val="00F74406"/>
    <w:rsid w:val="00F775FA"/>
    <w:rsid w:val="00F802A0"/>
    <w:rsid w:val="00F82886"/>
    <w:rsid w:val="00F84B17"/>
    <w:rsid w:val="00F84F08"/>
    <w:rsid w:val="00F85B87"/>
    <w:rsid w:val="00F87CD0"/>
    <w:rsid w:val="00F917F0"/>
    <w:rsid w:val="00F936DD"/>
    <w:rsid w:val="00F945BD"/>
    <w:rsid w:val="00F952CD"/>
    <w:rsid w:val="00F95F03"/>
    <w:rsid w:val="00F963D0"/>
    <w:rsid w:val="00F972D8"/>
    <w:rsid w:val="00FA1131"/>
    <w:rsid w:val="00FA12CF"/>
    <w:rsid w:val="00FA16BD"/>
    <w:rsid w:val="00FA418F"/>
    <w:rsid w:val="00FA6F25"/>
    <w:rsid w:val="00FB0400"/>
    <w:rsid w:val="00FB261A"/>
    <w:rsid w:val="00FB44FE"/>
    <w:rsid w:val="00FB539F"/>
    <w:rsid w:val="00FB64C9"/>
    <w:rsid w:val="00FB7020"/>
    <w:rsid w:val="00FC1246"/>
    <w:rsid w:val="00FC1890"/>
    <w:rsid w:val="00FC3E9E"/>
    <w:rsid w:val="00FC3F68"/>
    <w:rsid w:val="00FD4559"/>
    <w:rsid w:val="00FD64F3"/>
    <w:rsid w:val="00FE33C5"/>
    <w:rsid w:val="00FE33F7"/>
    <w:rsid w:val="00FE40D0"/>
    <w:rsid w:val="00FE5164"/>
    <w:rsid w:val="00FE5E0C"/>
    <w:rsid w:val="00FE6101"/>
    <w:rsid w:val="00FE7F5C"/>
    <w:rsid w:val="00FF015B"/>
    <w:rsid w:val="00FF039E"/>
    <w:rsid w:val="00FF1A3A"/>
    <w:rsid w:val="00FF1B81"/>
    <w:rsid w:val="00FF3023"/>
    <w:rsid w:val="00FF32EF"/>
    <w:rsid w:val="00FF37D9"/>
    <w:rsid w:val="00FF4193"/>
    <w:rsid w:val="00FF5577"/>
    <w:rsid w:val="00FF768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788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Date"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C24"/>
    <w:rPr>
      <w:lang w:val="en-US" w:eastAsia="ja-JP"/>
    </w:rPr>
  </w:style>
  <w:style w:type="paragraph" w:styleId="Heading1">
    <w:name w:val="heading 1"/>
    <w:basedOn w:val="Normal"/>
    <w:next w:val="Normal"/>
    <w:qFormat/>
    <w:rsid w:val="00E90C24"/>
    <w:pPr>
      <w:keepNext/>
      <w:outlineLvl w:val="0"/>
    </w:pPr>
    <w:rPr>
      <w:b/>
      <w:sz w:val="24"/>
    </w:rPr>
  </w:style>
  <w:style w:type="paragraph" w:styleId="Heading2">
    <w:name w:val="heading 2"/>
    <w:basedOn w:val="Heading1"/>
    <w:next w:val="Text"/>
    <w:qFormat/>
    <w:rsid w:val="00811AB5"/>
    <w:pPr>
      <w:suppressAutoHyphens/>
      <w:spacing w:after="100" w:line="300" w:lineRule="atLeast"/>
      <w:outlineLvl w:val="1"/>
    </w:pPr>
    <w:rPr>
      <w:rFonts w:ascii="Arial" w:hAnsi="Arial"/>
      <w:sz w:val="20"/>
      <w:lang w:val="en-AU"/>
    </w:rPr>
  </w:style>
  <w:style w:type="paragraph" w:styleId="Heading3">
    <w:name w:val="heading 3"/>
    <w:basedOn w:val="Heading2"/>
    <w:next w:val="Text"/>
    <w:qFormat/>
    <w:rsid w:val="00811AB5"/>
    <w:pPr>
      <w:outlineLvl w:val="2"/>
    </w:pPr>
    <w:rPr>
      <w:i/>
    </w:rPr>
  </w:style>
  <w:style w:type="paragraph" w:styleId="Heading4">
    <w:name w:val="heading 4"/>
    <w:basedOn w:val="Heading2"/>
    <w:next w:val="Text"/>
    <w:qFormat/>
    <w:rsid w:val="00811AB5"/>
    <w:pPr>
      <w:outlineLvl w:val="3"/>
    </w:pPr>
  </w:style>
  <w:style w:type="paragraph" w:styleId="Heading5">
    <w:name w:val="heading 5"/>
    <w:basedOn w:val="Heading2"/>
    <w:next w:val="Text"/>
    <w:qFormat/>
    <w:rsid w:val="00811AB5"/>
    <w:pPr>
      <w:outlineLvl w:val="4"/>
    </w:pPr>
  </w:style>
  <w:style w:type="paragraph" w:styleId="Heading6">
    <w:name w:val="heading 6"/>
    <w:basedOn w:val="Heading2"/>
    <w:next w:val="Text"/>
    <w:qFormat/>
    <w:rsid w:val="00811AB5"/>
    <w:pPr>
      <w:outlineLvl w:val="5"/>
    </w:pPr>
  </w:style>
  <w:style w:type="paragraph" w:styleId="Heading7">
    <w:name w:val="heading 7"/>
    <w:basedOn w:val="Heading2"/>
    <w:next w:val="Text"/>
    <w:qFormat/>
    <w:rsid w:val="00811AB5"/>
    <w:pPr>
      <w:outlineLvl w:val="6"/>
    </w:pPr>
  </w:style>
  <w:style w:type="paragraph" w:styleId="Heading8">
    <w:name w:val="heading 8"/>
    <w:basedOn w:val="Heading2"/>
    <w:next w:val="Text"/>
    <w:qFormat/>
    <w:rsid w:val="00811AB5"/>
    <w:pPr>
      <w:outlineLvl w:val="7"/>
    </w:pPr>
  </w:style>
  <w:style w:type="paragraph" w:styleId="Heading9">
    <w:name w:val="heading 9"/>
    <w:basedOn w:val="Heading2"/>
    <w:next w:val="Text"/>
    <w:qFormat/>
    <w:rsid w:val="00811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1"/>
    <w:qFormat/>
    <w:rsid w:val="00811AB5"/>
    <w:pPr>
      <w:suppressAutoHyphens/>
      <w:spacing w:after="200" w:line="380" w:lineRule="atLeast"/>
    </w:pPr>
    <w:rPr>
      <w:rFonts w:ascii="Arial" w:hAnsi="Arial"/>
      <w:lang w:val="en-AU"/>
    </w:rPr>
  </w:style>
  <w:style w:type="paragraph" w:customStyle="1" w:styleId="TextBullet">
    <w:name w:val="TextBullet"/>
    <w:basedOn w:val="Normal"/>
    <w:rsid w:val="00811AB5"/>
    <w:pPr>
      <w:numPr>
        <w:numId w:val="2"/>
      </w:numPr>
      <w:suppressAutoHyphens/>
      <w:spacing w:after="100"/>
    </w:pPr>
    <w:rPr>
      <w:rFonts w:ascii="Arial" w:hAnsi="Arial"/>
      <w:lang w:val="en-AU"/>
    </w:rPr>
  </w:style>
  <w:style w:type="paragraph" w:customStyle="1" w:styleId="TextDash">
    <w:name w:val="TextDash"/>
    <w:basedOn w:val="TextBullet"/>
    <w:rsid w:val="00811AB5"/>
    <w:pPr>
      <w:numPr>
        <w:numId w:val="1"/>
      </w:numPr>
    </w:pPr>
  </w:style>
  <w:style w:type="paragraph" w:customStyle="1" w:styleId="NumberRestart">
    <w:name w:val="NumberRestart"/>
    <w:basedOn w:val="Text"/>
    <w:rsid w:val="00811AB5"/>
    <w:pPr>
      <w:numPr>
        <w:numId w:val="3"/>
      </w:numPr>
      <w:outlineLvl w:val="0"/>
    </w:pPr>
  </w:style>
  <w:style w:type="paragraph" w:customStyle="1" w:styleId="PresTextBullets">
    <w:name w:val="Pres Text Bullets"/>
    <w:basedOn w:val="Normal"/>
    <w:rsid w:val="00811AB5"/>
    <w:pPr>
      <w:numPr>
        <w:numId w:val="4"/>
      </w:numPr>
      <w:suppressAutoHyphens/>
      <w:spacing w:line="380" w:lineRule="atLeast"/>
    </w:pPr>
    <w:rPr>
      <w:rFonts w:ascii="Arial" w:hAnsi="Arial"/>
      <w:lang w:val="en-AU"/>
    </w:rPr>
  </w:style>
  <w:style w:type="paragraph" w:customStyle="1" w:styleId="Heading0">
    <w:name w:val="Heading 0"/>
    <w:basedOn w:val="Heading7Bold"/>
    <w:next w:val="Text"/>
    <w:rsid w:val="00811AB5"/>
    <w:pPr>
      <w:pageBreakBefore/>
      <w:ind w:left="1440" w:hanging="1440"/>
    </w:pPr>
  </w:style>
  <w:style w:type="paragraph" w:customStyle="1" w:styleId="Heading7Bold">
    <w:name w:val="Heading 7Bold"/>
    <w:basedOn w:val="Normal"/>
    <w:next w:val="Text"/>
    <w:rsid w:val="00811AB5"/>
    <w:pPr>
      <w:keepNext/>
      <w:suppressAutoHyphens/>
      <w:spacing w:before="200" w:after="100" w:line="300" w:lineRule="atLeast"/>
    </w:pPr>
    <w:rPr>
      <w:rFonts w:ascii="Arial" w:hAnsi="Arial"/>
      <w:b/>
      <w:lang w:val="en-AU"/>
    </w:rPr>
  </w:style>
  <w:style w:type="paragraph" w:styleId="BodyText">
    <w:name w:val="Body Text"/>
    <w:basedOn w:val="Normal"/>
    <w:rsid w:val="00811AB5"/>
    <w:pPr>
      <w:tabs>
        <w:tab w:val="left" w:pos="72"/>
        <w:tab w:val="decimal" w:leader="dot" w:pos="9540"/>
      </w:tabs>
      <w:overflowPunct w:val="0"/>
      <w:autoSpaceDE w:val="0"/>
      <w:autoSpaceDN w:val="0"/>
      <w:adjustRightInd w:val="0"/>
      <w:spacing w:after="120"/>
      <w:textAlignment w:val="baseline"/>
    </w:pPr>
    <w:rPr>
      <w:rFonts w:ascii="Arial" w:hAnsi="Arial"/>
      <w:szCs w:val="22"/>
      <w:lang w:val="en-AU"/>
    </w:rPr>
  </w:style>
  <w:style w:type="paragraph" w:styleId="Caption">
    <w:name w:val="caption"/>
    <w:basedOn w:val="Normal"/>
    <w:next w:val="Text"/>
    <w:link w:val="CaptionChar"/>
    <w:uiPriority w:val="99"/>
    <w:qFormat/>
    <w:rsid w:val="00811AB5"/>
    <w:pPr>
      <w:keepNext/>
      <w:suppressAutoHyphens/>
      <w:spacing w:before="300" w:after="100" w:line="300" w:lineRule="atLeast"/>
      <w:jc w:val="center"/>
    </w:pPr>
    <w:rPr>
      <w:rFonts w:ascii="Arial" w:hAnsi="Arial"/>
      <w:b/>
      <w:lang w:val="en-AU"/>
    </w:rPr>
  </w:style>
  <w:style w:type="paragraph" w:customStyle="1" w:styleId="TableLeftBold">
    <w:name w:val="TableLeftBold"/>
    <w:basedOn w:val="TableLeftAlign"/>
    <w:link w:val="TableLeftBoldChar"/>
    <w:rsid w:val="00811AB5"/>
    <w:rPr>
      <w:b/>
      <w:lang w:val="en-US"/>
    </w:rPr>
  </w:style>
  <w:style w:type="paragraph" w:customStyle="1" w:styleId="TableLeftAlign">
    <w:name w:val="TableLeftAlign"/>
    <w:basedOn w:val="Normal"/>
    <w:link w:val="TableLeftAlignChar"/>
    <w:rsid w:val="00811AB5"/>
    <w:pPr>
      <w:suppressAutoHyphens/>
      <w:spacing w:before="60" w:after="60"/>
    </w:pPr>
    <w:rPr>
      <w:rFonts w:ascii="Arial" w:hAnsi="Arial"/>
      <w:lang w:val="en-AU"/>
    </w:rPr>
  </w:style>
  <w:style w:type="paragraph" w:customStyle="1" w:styleId="TableCenterBold">
    <w:name w:val="TableCenterBold"/>
    <w:basedOn w:val="TableCenterAlign"/>
    <w:link w:val="TableCenterBoldChar"/>
    <w:rsid w:val="00811AB5"/>
    <w:pPr>
      <w:spacing w:line="240" w:lineRule="auto"/>
    </w:pPr>
    <w:rPr>
      <w:b/>
      <w:lang w:val="en-US"/>
    </w:rPr>
  </w:style>
  <w:style w:type="paragraph" w:customStyle="1" w:styleId="TableCenterAlign">
    <w:name w:val="TableCenterAlign"/>
    <w:basedOn w:val="Normal"/>
    <w:link w:val="TableCenterAlignChar"/>
    <w:rsid w:val="00811AB5"/>
    <w:pPr>
      <w:suppressAutoHyphens/>
      <w:spacing w:before="60" w:after="60" w:line="240" w:lineRule="atLeast"/>
      <w:jc w:val="center"/>
    </w:pPr>
    <w:rPr>
      <w:rFonts w:ascii="Arial" w:hAnsi="Arial"/>
      <w:lang w:val="en-AU"/>
    </w:rPr>
  </w:style>
  <w:style w:type="paragraph" w:styleId="Header">
    <w:name w:val="header"/>
    <w:basedOn w:val="Normal"/>
    <w:rsid w:val="00811AB5"/>
    <w:pPr>
      <w:keepLines/>
      <w:pBdr>
        <w:bottom w:val="single" w:sz="12" w:space="6" w:color="auto"/>
      </w:pBdr>
      <w:tabs>
        <w:tab w:val="right" w:pos="8640"/>
      </w:tabs>
      <w:suppressAutoHyphens/>
      <w:spacing w:line="200" w:lineRule="atLeast"/>
    </w:pPr>
    <w:rPr>
      <w:rFonts w:ascii="Arial" w:hAnsi="Arial"/>
      <w:b/>
      <w:lang w:val="en-AU"/>
    </w:rPr>
  </w:style>
  <w:style w:type="character" w:styleId="PageNumber">
    <w:name w:val="page number"/>
    <w:basedOn w:val="DefaultParagraphFont"/>
    <w:rsid w:val="00811AB5"/>
  </w:style>
  <w:style w:type="paragraph" w:styleId="Footer">
    <w:name w:val="footer"/>
    <w:basedOn w:val="Normal"/>
    <w:rsid w:val="00811AB5"/>
    <w:pPr>
      <w:keepLines/>
      <w:pBdr>
        <w:top w:val="single" w:sz="12" w:space="6" w:color="auto"/>
      </w:pBdr>
      <w:tabs>
        <w:tab w:val="center" w:pos="4320"/>
        <w:tab w:val="right" w:pos="8640"/>
      </w:tabs>
      <w:suppressAutoHyphens/>
      <w:spacing w:line="200" w:lineRule="atLeast"/>
    </w:pPr>
    <w:rPr>
      <w:rFonts w:ascii="Arial" w:hAnsi="Arial"/>
      <w:b/>
      <w:lang w:val="en-AU"/>
    </w:rPr>
  </w:style>
  <w:style w:type="character" w:styleId="LineNumber">
    <w:name w:val="line number"/>
    <w:basedOn w:val="DefaultParagraphFont"/>
    <w:rsid w:val="00811AB5"/>
  </w:style>
  <w:style w:type="character" w:styleId="CommentReference">
    <w:name w:val="annotation reference"/>
    <w:basedOn w:val="DefaultParagraphFont"/>
    <w:semiHidden/>
    <w:rsid w:val="00811AB5"/>
    <w:rPr>
      <w:sz w:val="16"/>
      <w:szCs w:val="16"/>
    </w:rPr>
  </w:style>
  <w:style w:type="paragraph" w:styleId="CommentText">
    <w:name w:val="annotation text"/>
    <w:basedOn w:val="Normal"/>
    <w:link w:val="CommentTextChar"/>
    <w:semiHidden/>
    <w:rsid w:val="00811AB5"/>
  </w:style>
  <w:style w:type="paragraph" w:customStyle="1" w:styleId="CPCLH1">
    <w:name w:val="CPCLH1"/>
    <w:basedOn w:val="Normal"/>
    <w:rsid w:val="00811AB5"/>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jc w:val="both"/>
      <w:textAlignment w:val="baseline"/>
    </w:pPr>
    <w:rPr>
      <w:rFonts w:ascii="Helv" w:hAnsi="Helv"/>
      <w:b/>
    </w:rPr>
  </w:style>
  <w:style w:type="paragraph" w:styleId="BodyText3">
    <w:name w:val="Body Text 3"/>
    <w:basedOn w:val="Normal"/>
    <w:rsid w:val="00811AB5"/>
    <w:pPr>
      <w:overflowPunct w:val="0"/>
      <w:autoSpaceDE w:val="0"/>
      <w:autoSpaceDN w:val="0"/>
      <w:adjustRightInd w:val="0"/>
      <w:spacing w:after="120"/>
      <w:textAlignment w:val="baseline"/>
    </w:pPr>
    <w:rPr>
      <w:rFonts w:ascii="Arial" w:hAnsi="Arial"/>
    </w:rPr>
  </w:style>
  <w:style w:type="character" w:styleId="Hyperlink">
    <w:name w:val="Hyperlink"/>
    <w:basedOn w:val="DefaultParagraphFont"/>
    <w:rsid w:val="00811AB5"/>
    <w:rPr>
      <w:color w:val="0000FF"/>
      <w:u w:val="single"/>
    </w:rPr>
  </w:style>
  <w:style w:type="paragraph" w:customStyle="1" w:styleId="FootnoteText">
    <w:name w:val="FootnoteText"/>
    <w:basedOn w:val="Normal"/>
    <w:next w:val="Normal"/>
    <w:rsid w:val="00811AB5"/>
    <w:pPr>
      <w:keepLines/>
      <w:suppressAutoHyphens/>
      <w:spacing w:before="60" w:line="200" w:lineRule="atLeast"/>
      <w:ind w:left="360" w:hanging="360"/>
    </w:pPr>
    <w:rPr>
      <w:rFonts w:ascii="Arial" w:hAnsi="Arial"/>
    </w:rPr>
  </w:style>
  <w:style w:type="paragraph" w:styleId="FootnoteText0">
    <w:name w:val="footnote text"/>
    <w:basedOn w:val="Normal"/>
    <w:semiHidden/>
    <w:rsid w:val="00811AB5"/>
    <w:pPr>
      <w:ind w:left="360" w:hanging="360"/>
    </w:pPr>
    <w:rPr>
      <w:sz w:val="22"/>
    </w:rPr>
  </w:style>
  <w:style w:type="paragraph" w:styleId="BodyText2">
    <w:name w:val="Body Text 2"/>
    <w:basedOn w:val="Normal"/>
    <w:rsid w:val="00811AB5"/>
    <w:rPr>
      <w:rFonts w:cs="Arial"/>
      <w:sz w:val="24"/>
      <w:szCs w:val="22"/>
    </w:rPr>
  </w:style>
  <w:style w:type="paragraph" w:customStyle="1" w:styleId="FigureLegend">
    <w:name w:val="FigureLegend"/>
    <w:basedOn w:val="Text"/>
    <w:next w:val="Text"/>
    <w:rsid w:val="00811AB5"/>
    <w:pPr>
      <w:keepLines/>
      <w:spacing w:before="60" w:after="0" w:line="240" w:lineRule="auto"/>
    </w:pPr>
    <w:rPr>
      <w:rFonts w:ascii="Times New Roman" w:hAnsi="Times New Roman"/>
      <w:lang w:val="en-US"/>
    </w:rPr>
  </w:style>
  <w:style w:type="character" w:styleId="FollowedHyperlink">
    <w:name w:val="FollowedHyperlink"/>
    <w:basedOn w:val="DefaultParagraphFont"/>
    <w:rsid w:val="00811AB5"/>
    <w:rPr>
      <w:color w:val="800080"/>
      <w:u w:val="single"/>
    </w:rPr>
  </w:style>
  <w:style w:type="paragraph" w:customStyle="1" w:styleId="Default">
    <w:name w:val="Default"/>
    <w:rsid w:val="00870E7E"/>
    <w:pPr>
      <w:autoSpaceDE w:val="0"/>
      <w:autoSpaceDN w:val="0"/>
      <w:adjustRightInd w:val="0"/>
    </w:pPr>
    <w:rPr>
      <w:rFonts w:eastAsia="MS Mincho"/>
      <w:color w:val="000000"/>
      <w:sz w:val="24"/>
      <w:szCs w:val="24"/>
      <w:lang w:eastAsia="ja-JP"/>
    </w:rPr>
  </w:style>
  <w:style w:type="paragraph" w:styleId="CommentSubject">
    <w:name w:val="annotation subject"/>
    <w:basedOn w:val="CommentText"/>
    <w:next w:val="CommentText"/>
    <w:semiHidden/>
    <w:rsid w:val="000B3396"/>
    <w:rPr>
      <w:b/>
      <w:bCs/>
    </w:rPr>
  </w:style>
  <w:style w:type="paragraph" w:styleId="BalloonText">
    <w:name w:val="Balloon Text"/>
    <w:basedOn w:val="Normal"/>
    <w:semiHidden/>
    <w:rsid w:val="000B3396"/>
    <w:rPr>
      <w:rFonts w:ascii="Tahoma" w:hAnsi="Tahoma" w:cs="Tahoma"/>
      <w:sz w:val="16"/>
      <w:szCs w:val="16"/>
    </w:rPr>
  </w:style>
  <w:style w:type="paragraph" w:customStyle="1" w:styleId="TableText">
    <w:name w:val="TableText"/>
    <w:rsid w:val="00FF768C"/>
    <w:pPr>
      <w:keepNext/>
    </w:pPr>
    <w:rPr>
      <w:snapToGrid w:val="0"/>
      <w:color w:val="000000"/>
      <w:sz w:val="22"/>
      <w:lang w:val="en-US" w:eastAsia="en-US"/>
    </w:rPr>
  </w:style>
  <w:style w:type="character" w:customStyle="1" w:styleId="TableLeftBoldChar">
    <w:name w:val="TableLeftBold Char"/>
    <w:basedOn w:val="DefaultParagraphFont"/>
    <w:link w:val="TableLeftBold"/>
    <w:rsid w:val="00FF768C"/>
    <w:rPr>
      <w:rFonts w:ascii="Arial" w:hAnsi="Arial"/>
      <w:b/>
      <w:lang w:val="en-US" w:eastAsia="en-US" w:bidi="ar-SA"/>
    </w:rPr>
  </w:style>
  <w:style w:type="character" w:customStyle="1" w:styleId="CaptionChar">
    <w:name w:val="Caption Char"/>
    <w:basedOn w:val="DefaultParagraphFont"/>
    <w:link w:val="Caption"/>
    <w:rsid w:val="00001DBC"/>
    <w:rPr>
      <w:rFonts w:ascii="Arial" w:hAnsi="Arial"/>
      <w:b/>
      <w:lang w:val="en-AU" w:eastAsia="en-US" w:bidi="ar-SA"/>
    </w:rPr>
  </w:style>
  <w:style w:type="character" w:customStyle="1" w:styleId="TableCenterAlignChar">
    <w:name w:val="TableCenterAlign Char"/>
    <w:basedOn w:val="DefaultParagraphFont"/>
    <w:link w:val="TableCenterAlign"/>
    <w:rsid w:val="00411291"/>
    <w:rPr>
      <w:rFonts w:ascii="Arial" w:hAnsi="Arial"/>
      <w:lang w:val="en-AU" w:eastAsia="ja-JP" w:bidi="ar-SA"/>
    </w:rPr>
  </w:style>
  <w:style w:type="character" w:customStyle="1" w:styleId="TableCenterBoldChar">
    <w:name w:val="TableCenterBold Char"/>
    <w:basedOn w:val="TableCenterAlignChar"/>
    <w:link w:val="TableCenterBold"/>
    <w:rsid w:val="00411291"/>
    <w:rPr>
      <w:b/>
      <w:lang w:val="en-US"/>
    </w:rPr>
  </w:style>
  <w:style w:type="character" w:styleId="FootnoteReference">
    <w:name w:val="footnote reference"/>
    <w:basedOn w:val="DefaultParagraphFont"/>
    <w:semiHidden/>
    <w:rsid w:val="008149F7"/>
    <w:rPr>
      <w:vertAlign w:val="superscript"/>
    </w:rPr>
  </w:style>
  <w:style w:type="paragraph" w:styleId="DocumentMap">
    <w:name w:val="Document Map"/>
    <w:basedOn w:val="Normal"/>
    <w:semiHidden/>
    <w:rsid w:val="00573BD4"/>
    <w:pPr>
      <w:shd w:val="clear" w:color="auto" w:fill="000080"/>
    </w:pPr>
    <w:rPr>
      <w:rFonts w:ascii="Tahoma" w:hAnsi="Tahoma" w:cs="Tahoma"/>
    </w:rPr>
  </w:style>
  <w:style w:type="paragraph" w:styleId="BodyTextIndent">
    <w:name w:val="Body Text Indent"/>
    <w:basedOn w:val="Normal"/>
    <w:rsid w:val="003B0EE6"/>
    <w:pPr>
      <w:spacing w:after="120"/>
      <w:ind w:left="283"/>
    </w:pPr>
  </w:style>
  <w:style w:type="paragraph" w:styleId="TOC5">
    <w:name w:val="toc 5"/>
    <w:basedOn w:val="TOC4"/>
    <w:semiHidden/>
    <w:rsid w:val="001A4386"/>
    <w:pPr>
      <w:tabs>
        <w:tab w:val="right" w:leader="dot" w:pos="9090"/>
      </w:tabs>
      <w:overflowPunct w:val="0"/>
      <w:autoSpaceDE w:val="0"/>
      <w:autoSpaceDN w:val="0"/>
      <w:adjustRightInd w:val="0"/>
      <w:ind w:left="2520" w:hanging="720"/>
      <w:jc w:val="both"/>
      <w:textAlignment w:val="baseline"/>
    </w:pPr>
    <w:rPr>
      <w:rFonts w:ascii="Arial" w:hAnsi="Arial"/>
      <w:lang w:eastAsia="en-US"/>
    </w:rPr>
  </w:style>
  <w:style w:type="paragraph" w:styleId="TOC4">
    <w:name w:val="toc 4"/>
    <w:basedOn w:val="Normal"/>
    <w:next w:val="Normal"/>
    <w:autoRedefine/>
    <w:semiHidden/>
    <w:rsid w:val="001A4386"/>
    <w:pPr>
      <w:ind w:left="600"/>
    </w:pPr>
  </w:style>
  <w:style w:type="paragraph" w:customStyle="1" w:styleId="CPCLH4">
    <w:name w:val="CPCLH4"/>
    <w:basedOn w:val="Normal"/>
    <w:rsid w:val="00B1560F"/>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jc w:val="both"/>
      <w:textAlignment w:val="baseline"/>
    </w:pPr>
    <w:rPr>
      <w:rFonts w:ascii="Courier New" w:hAnsi="Courier New"/>
      <w:lang w:eastAsia="en-US"/>
    </w:rPr>
  </w:style>
  <w:style w:type="paragraph" w:styleId="TOC3">
    <w:name w:val="toc 3"/>
    <w:basedOn w:val="Normal"/>
    <w:next w:val="Normal"/>
    <w:semiHidden/>
    <w:rsid w:val="000B58E1"/>
    <w:pPr>
      <w:tabs>
        <w:tab w:val="right" w:leader="dot" w:pos="9072"/>
      </w:tabs>
      <w:overflowPunct w:val="0"/>
      <w:autoSpaceDE w:val="0"/>
      <w:autoSpaceDN w:val="0"/>
      <w:adjustRightInd w:val="0"/>
      <w:ind w:left="1800" w:hanging="360"/>
      <w:jc w:val="both"/>
      <w:textAlignment w:val="baseline"/>
    </w:pPr>
    <w:rPr>
      <w:rFonts w:ascii="Arial" w:hAnsi="Arial"/>
      <w:lang w:eastAsia="en-US"/>
    </w:rPr>
  </w:style>
  <w:style w:type="paragraph" w:styleId="TOC2">
    <w:name w:val="toc 2"/>
    <w:basedOn w:val="Normal"/>
    <w:next w:val="Normal"/>
    <w:semiHidden/>
    <w:rsid w:val="000B58E1"/>
    <w:pPr>
      <w:tabs>
        <w:tab w:val="left" w:pos="1710"/>
        <w:tab w:val="right" w:leader="dot" w:pos="9072"/>
      </w:tabs>
      <w:overflowPunct w:val="0"/>
      <w:autoSpaceDE w:val="0"/>
      <w:autoSpaceDN w:val="0"/>
      <w:adjustRightInd w:val="0"/>
      <w:spacing w:after="120"/>
      <w:ind w:left="1260" w:hanging="360"/>
      <w:jc w:val="both"/>
      <w:textAlignment w:val="baseline"/>
    </w:pPr>
    <w:rPr>
      <w:rFonts w:ascii="Arial" w:hAnsi="Arial"/>
      <w:lang w:eastAsia="en-US"/>
    </w:rPr>
  </w:style>
  <w:style w:type="paragraph" w:styleId="TOC1">
    <w:name w:val="toc 1"/>
    <w:basedOn w:val="Normal"/>
    <w:next w:val="Normal"/>
    <w:semiHidden/>
    <w:rsid w:val="000B58E1"/>
    <w:pPr>
      <w:tabs>
        <w:tab w:val="right" w:pos="630"/>
        <w:tab w:val="right" w:leader="dot" w:pos="9072"/>
      </w:tabs>
      <w:overflowPunct w:val="0"/>
      <w:autoSpaceDE w:val="0"/>
      <w:autoSpaceDN w:val="0"/>
      <w:adjustRightInd w:val="0"/>
      <w:spacing w:before="240" w:after="120"/>
      <w:ind w:left="900" w:hanging="904"/>
      <w:jc w:val="both"/>
      <w:textAlignment w:val="baseline"/>
    </w:pPr>
    <w:rPr>
      <w:rFonts w:ascii="Arial" w:hAnsi="Arial"/>
      <w:caps/>
      <w:lang w:eastAsia="en-US"/>
    </w:rPr>
  </w:style>
  <w:style w:type="paragraph" w:styleId="NormalIndent">
    <w:name w:val="Normal Indent"/>
    <w:basedOn w:val="Normal"/>
    <w:rsid w:val="000B58E1"/>
    <w:pPr>
      <w:overflowPunct w:val="0"/>
      <w:autoSpaceDE w:val="0"/>
      <w:autoSpaceDN w:val="0"/>
      <w:adjustRightInd w:val="0"/>
      <w:spacing w:before="168"/>
      <w:ind w:left="900"/>
      <w:jc w:val="both"/>
      <w:textAlignment w:val="baseline"/>
    </w:pPr>
    <w:rPr>
      <w:rFonts w:ascii="Arial" w:hAnsi="Arial"/>
      <w:lang w:eastAsia="en-US"/>
    </w:rPr>
  </w:style>
  <w:style w:type="paragraph" w:customStyle="1" w:styleId="CPCLH2">
    <w:name w:val="CPCLH2"/>
    <w:basedOn w:val="Normal"/>
    <w:rsid w:val="000B58E1"/>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jc w:val="both"/>
      <w:textAlignment w:val="baseline"/>
    </w:pPr>
    <w:rPr>
      <w:rFonts w:ascii="Helv" w:hAnsi="Helv"/>
      <w:u w:val="single"/>
      <w:lang w:eastAsia="en-US"/>
    </w:rPr>
  </w:style>
  <w:style w:type="paragraph" w:customStyle="1" w:styleId="CPCLH3">
    <w:name w:val="CPCLH3"/>
    <w:basedOn w:val="Normal"/>
    <w:rsid w:val="000B58E1"/>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jc w:val="both"/>
      <w:textAlignment w:val="baseline"/>
    </w:pPr>
    <w:rPr>
      <w:rFonts w:ascii="Helv" w:hAnsi="Helv"/>
      <w:lang w:eastAsia="en-US"/>
    </w:rPr>
  </w:style>
  <w:style w:type="paragraph" w:styleId="BodyTextIndent2">
    <w:name w:val="Body Text Indent 2"/>
    <w:basedOn w:val="Normal"/>
    <w:rsid w:val="000B58E1"/>
    <w:pPr>
      <w:tabs>
        <w:tab w:val="left" w:pos="450"/>
        <w:tab w:val="left" w:pos="990"/>
        <w:tab w:val="left" w:pos="1260"/>
        <w:tab w:val="decimal" w:leader="dot" w:pos="9540"/>
      </w:tabs>
      <w:overflowPunct w:val="0"/>
      <w:autoSpaceDE w:val="0"/>
      <w:autoSpaceDN w:val="0"/>
      <w:adjustRightInd w:val="0"/>
      <w:spacing w:after="120"/>
      <w:ind w:left="446"/>
      <w:jc w:val="both"/>
      <w:textAlignment w:val="baseline"/>
    </w:pPr>
    <w:rPr>
      <w:rFonts w:ascii="Arial" w:hAnsi="Arial"/>
      <w:sz w:val="22"/>
      <w:lang w:eastAsia="en-US"/>
    </w:rPr>
  </w:style>
  <w:style w:type="paragraph" w:styleId="BodyTextIndent3">
    <w:name w:val="Body Text Indent 3"/>
    <w:basedOn w:val="Normal"/>
    <w:rsid w:val="000B58E1"/>
    <w:pPr>
      <w:tabs>
        <w:tab w:val="left" w:pos="450"/>
        <w:tab w:val="decimal" w:leader="dot" w:pos="9540"/>
      </w:tabs>
      <w:overflowPunct w:val="0"/>
      <w:autoSpaceDE w:val="0"/>
      <w:autoSpaceDN w:val="0"/>
      <w:adjustRightInd w:val="0"/>
      <w:ind w:left="450" w:hanging="450"/>
      <w:jc w:val="both"/>
      <w:textAlignment w:val="baseline"/>
    </w:pPr>
    <w:rPr>
      <w:rFonts w:ascii="Arial" w:hAnsi="Arial"/>
      <w:sz w:val="22"/>
      <w:lang w:eastAsia="en-US"/>
    </w:rPr>
  </w:style>
  <w:style w:type="paragraph" w:styleId="Title">
    <w:name w:val="Title"/>
    <w:basedOn w:val="Normal"/>
    <w:qFormat/>
    <w:rsid w:val="000B58E1"/>
    <w:pPr>
      <w:shd w:val="pct10" w:color="auto" w:fill="auto"/>
      <w:tabs>
        <w:tab w:val="left" w:pos="450"/>
        <w:tab w:val="left" w:pos="900"/>
        <w:tab w:val="decimal" w:leader="dot" w:pos="9540"/>
      </w:tabs>
      <w:overflowPunct w:val="0"/>
      <w:autoSpaceDE w:val="0"/>
      <w:autoSpaceDN w:val="0"/>
      <w:adjustRightInd w:val="0"/>
      <w:ind w:left="900" w:hanging="900"/>
      <w:jc w:val="center"/>
      <w:textAlignment w:val="baseline"/>
    </w:pPr>
    <w:rPr>
      <w:rFonts w:ascii="Arial" w:hAnsi="Arial"/>
      <w:b/>
      <w:sz w:val="28"/>
      <w:u w:val="single"/>
      <w:lang w:eastAsia="en-US"/>
    </w:rPr>
  </w:style>
  <w:style w:type="paragraph" w:styleId="BlockText">
    <w:name w:val="Block Text"/>
    <w:basedOn w:val="Normal"/>
    <w:rsid w:val="000B58E1"/>
    <w:pPr>
      <w:tabs>
        <w:tab w:val="left" w:pos="443"/>
      </w:tabs>
      <w:overflowPunct w:val="0"/>
      <w:autoSpaceDE w:val="0"/>
      <w:autoSpaceDN w:val="0"/>
      <w:adjustRightInd w:val="0"/>
      <w:spacing w:after="120"/>
      <w:ind w:left="72" w:right="175"/>
      <w:textAlignment w:val="baseline"/>
    </w:pPr>
    <w:rPr>
      <w:rFonts w:ascii="Arial" w:hAnsi="Arial" w:cs="Arial"/>
      <w:color w:val="0000FF"/>
      <w:lang w:eastAsia="en-US"/>
    </w:rPr>
  </w:style>
  <w:style w:type="paragraph" w:styleId="NormalWeb">
    <w:name w:val="Normal (Web)"/>
    <w:basedOn w:val="Normal"/>
    <w:rsid w:val="000B58E1"/>
    <w:pPr>
      <w:spacing w:before="100" w:beforeAutospacing="1" w:after="100" w:afterAutospacing="1"/>
    </w:pPr>
    <w:rPr>
      <w:rFonts w:ascii="Arial Unicode MS" w:eastAsia="Arial Unicode MS" w:hAnsi="Arial Unicode MS" w:cs="Arial Unicode MS"/>
      <w:color w:val="000000"/>
      <w:sz w:val="24"/>
      <w:szCs w:val="24"/>
      <w:lang w:eastAsia="en-US"/>
    </w:rPr>
  </w:style>
  <w:style w:type="paragraph" w:customStyle="1" w:styleId="tableleftalign0">
    <w:name w:val="tableleftalign"/>
    <w:basedOn w:val="Normal"/>
    <w:rsid w:val="000B58E1"/>
    <w:pPr>
      <w:spacing w:before="60" w:line="240" w:lineRule="atLeast"/>
    </w:pPr>
    <w:rPr>
      <w:rFonts w:eastAsia="MS Mincho"/>
      <w:sz w:val="22"/>
      <w:szCs w:val="22"/>
    </w:rPr>
  </w:style>
  <w:style w:type="table" w:styleId="TableGrid">
    <w:name w:val="Table Grid"/>
    <w:basedOn w:val="TableNormal"/>
    <w:rsid w:val="000B58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ournalname">
    <w:name w:val="journalname"/>
    <w:basedOn w:val="DefaultParagraphFont"/>
    <w:rsid w:val="000B58E1"/>
  </w:style>
  <w:style w:type="paragraph" w:customStyle="1" w:styleId="NormalArial">
    <w:name w:val="Normal + Arial"/>
    <w:aliases w:val="10 pt,Blue"/>
    <w:basedOn w:val="FigureLegend"/>
    <w:rsid w:val="000B58E1"/>
    <w:pPr>
      <w:keepLines w:val="0"/>
      <w:suppressAutoHyphens w:val="0"/>
      <w:overflowPunct w:val="0"/>
      <w:autoSpaceDE w:val="0"/>
      <w:autoSpaceDN w:val="0"/>
      <w:adjustRightInd w:val="0"/>
      <w:spacing w:before="0"/>
      <w:textAlignment w:val="baseline"/>
    </w:pPr>
    <w:rPr>
      <w:rFonts w:ascii="Arial" w:hAnsi="Arial" w:cs="Arial"/>
      <w:lang w:val="de-DE" w:eastAsia="en-US"/>
    </w:rPr>
  </w:style>
  <w:style w:type="character" w:customStyle="1" w:styleId="EmailStyle711">
    <w:name w:val="EmailStyle71"/>
    <w:aliases w:val="EmailStyle71"/>
    <w:basedOn w:val="DefaultParagraphFont"/>
    <w:semiHidden/>
    <w:personal/>
    <w:personalCompose/>
    <w:rsid w:val="000B58E1"/>
  </w:style>
  <w:style w:type="paragraph" w:customStyle="1" w:styleId="text0">
    <w:name w:val="text"/>
    <w:basedOn w:val="Normal"/>
    <w:link w:val="textChar"/>
    <w:rsid w:val="000B58E1"/>
    <w:pPr>
      <w:spacing w:before="100" w:beforeAutospacing="1" w:after="100" w:afterAutospacing="1"/>
    </w:pPr>
    <w:rPr>
      <w:sz w:val="24"/>
      <w:szCs w:val="24"/>
      <w:lang w:eastAsia="en-US"/>
    </w:rPr>
  </w:style>
  <w:style w:type="character" w:customStyle="1" w:styleId="textChar">
    <w:name w:val="text Char"/>
    <w:basedOn w:val="DefaultParagraphFont"/>
    <w:link w:val="text0"/>
    <w:rsid w:val="000B58E1"/>
    <w:rPr>
      <w:sz w:val="24"/>
      <w:szCs w:val="24"/>
      <w:lang w:val="en-US" w:eastAsia="en-US" w:bidi="ar-SA"/>
    </w:rPr>
  </w:style>
  <w:style w:type="paragraph" w:styleId="Date">
    <w:name w:val="Date"/>
    <w:basedOn w:val="Normal"/>
    <w:next w:val="Normal"/>
    <w:link w:val="DateChar"/>
    <w:uiPriority w:val="99"/>
    <w:rsid w:val="00944A55"/>
    <w:rPr>
      <w:sz w:val="22"/>
      <w:lang w:val="en-GB" w:eastAsia="en-US"/>
    </w:rPr>
  </w:style>
  <w:style w:type="character" w:customStyle="1" w:styleId="TextChar1">
    <w:name w:val="Text Char1"/>
    <w:basedOn w:val="DefaultParagraphFont"/>
    <w:link w:val="Text"/>
    <w:rsid w:val="00691D93"/>
    <w:rPr>
      <w:rFonts w:ascii="Arial" w:hAnsi="Arial"/>
      <w:lang w:val="en-AU" w:eastAsia="ja-JP" w:bidi="ar-SA"/>
    </w:rPr>
  </w:style>
  <w:style w:type="character" w:customStyle="1" w:styleId="TableLeftAlignChar">
    <w:name w:val="TableLeftAlign Char"/>
    <w:basedOn w:val="DefaultParagraphFont"/>
    <w:link w:val="TableLeftAlign"/>
    <w:rsid w:val="00691D93"/>
    <w:rPr>
      <w:rFonts w:ascii="Arial" w:hAnsi="Arial"/>
      <w:lang w:val="en-AU" w:eastAsia="ja-JP" w:bidi="ar-SA"/>
    </w:rPr>
  </w:style>
  <w:style w:type="paragraph" w:styleId="PlainText">
    <w:name w:val="Plain Text"/>
    <w:basedOn w:val="Normal"/>
    <w:rsid w:val="006C694A"/>
    <w:rPr>
      <w:rFonts w:ascii="Courier New" w:hAnsi="Courier New" w:cs="Courier New"/>
      <w:lang w:val="en-AU" w:eastAsia="en-US"/>
    </w:rPr>
  </w:style>
  <w:style w:type="character" w:customStyle="1" w:styleId="CommentTextChar">
    <w:name w:val="Comment Text Char"/>
    <w:basedOn w:val="DefaultParagraphFont"/>
    <w:link w:val="CommentText"/>
    <w:semiHidden/>
    <w:rsid w:val="002D5478"/>
    <w:rPr>
      <w:lang w:val="en-US" w:eastAsia="ja-JP"/>
    </w:rPr>
  </w:style>
  <w:style w:type="character" w:customStyle="1" w:styleId="DateChar">
    <w:name w:val="Date Char"/>
    <w:basedOn w:val="DefaultParagraphFont"/>
    <w:link w:val="Date"/>
    <w:uiPriority w:val="99"/>
    <w:rsid w:val="007C028F"/>
    <w:rPr>
      <w:sz w:val="22"/>
      <w:lang w:val="en-GB" w:eastAsia="en-US"/>
    </w:rPr>
  </w:style>
  <w:style w:type="paragraph" w:customStyle="1" w:styleId="Proc1">
    <w:name w:val="Proc 1"/>
    <w:basedOn w:val="Normal"/>
    <w:rsid w:val="0009323A"/>
    <w:pPr>
      <w:numPr>
        <w:numId w:val="15"/>
      </w:numPr>
      <w:spacing w:before="240" w:line="240" w:lineRule="exact"/>
    </w:pPr>
    <w:rPr>
      <w:b/>
      <w:kern w:val="28"/>
      <w:sz w:val="22"/>
      <w:lang w:val="en-GB" w:eastAsia="en-US"/>
    </w:rPr>
  </w:style>
  <w:style w:type="character" w:customStyle="1" w:styleId="CaptionChar1">
    <w:name w:val="Caption Char1"/>
    <w:basedOn w:val="DefaultParagraphFont"/>
    <w:rsid w:val="001C3FB1"/>
    <w:rPr>
      <w:rFonts w:ascii="Arial" w:hAnsi="Arial"/>
      <w:b/>
      <w:sz w:val="22"/>
      <w:lang w:val="en-GB" w:eastAsia="en-US" w:bidi="ar-SA"/>
    </w:rPr>
  </w:style>
  <w:style w:type="character" w:customStyle="1" w:styleId="TextChar0">
    <w:name w:val="Text Char"/>
    <w:basedOn w:val="DefaultParagraphFont"/>
    <w:rsid w:val="00CB0E46"/>
    <w:rPr>
      <w:rFonts w:ascii="Arial" w:hAnsi="Arial"/>
      <w:sz w:val="22"/>
      <w:lang w:val="en-AU" w:eastAsia="en-US" w:bidi="ar-SA"/>
    </w:rPr>
  </w:style>
  <w:style w:type="paragraph" w:styleId="ListParagraph">
    <w:name w:val="List Paragraph"/>
    <w:basedOn w:val="Normal"/>
    <w:uiPriority w:val="34"/>
    <w:qFormat/>
    <w:rsid w:val="00651D13"/>
    <w:pPr>
      <w:ind w:left="720"/>
      <w:contextualSpacing/>
    </w:pPr>
    <w:rPr>
      <w:sz w:val="24"/>
      <w:szCs w:val="24"/>
      <w:lang w:val="en-AU" w:eastAsia="en-AU"/>
    </w:rPr>
  </w:style>
  <w:style w:type="paragraph" w:customStyle="1" w:styleId="FigureTitle">
    <w:name w:val="Figure Title"/>
    <w:basedOn w:val="Normal"/>
    <w:qFormat/>
    <w:rsid w:val="00616AFF"/>
    <w:pPr>
      <w:spacing w:before="180" w:after="180" w:line="220" w:lineRule="atLeast"/>
    </w:pPr>
    <w:rPr>
      <w:rFonts w:ascii="Cambria" w:eastAsia="Cambria" w:hAnsi="Cambria"/>
      <w:b/>
      <w:sz w:val="22"/>
      <w:szCs w:val="22"/>
      <w:lang w:val="en-AU" w:eastAsia="en-US"/>
    </w:rPr>
  </w:style>
  <w:style w:type="table" w:customStyle="1" w:styleId="TableGrid1">
    <w:name w:val="Table Grid1"/>
    <w:basedOn w:val="TableNormal"/>
    <w:next w:val="TableGrid"/>
    <w:uiPriority w:val="59"/>
    <w:rsid w:val="00616AFF"/>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895711">
      <w:bodyDiv w:val="1"/>
      <w:marLeft w:val="0"/>
      <w:marRight w:val="0"/>
      <w:marTop w:val="0"/>
      <w:marBottom w:val="0"/>
      <w:divBdr>
        <w:top w:val="none" w:sz="0" w:space="0" w:color="auto"/>
        <w:left w:val="none" w:sz="0" w:space="0" w:color="auto"/>
        <w:bottom w:val="none" w:sz="0" w:space="0" w:color="auto"/>
        <w:right w:val="none" w:sz="0" w:space="0" w:color="auto"/>
      </w:divBdr>
    </w:div>
    <w:div w:id="210121439">
      <w:bodyDiv w:val="1"/>
      <w:marLeft w:val="0"/>
      <w:marRight w:val="0"/>
      <w:marTop w:val="0"/>
      <w:marBottom w:val="0"/>
      <w:divBdr>
        <w:top w:val="none" w:sz="0" w:space="0" w:color="auto"/>
        <w:left w:val="none" w:sz="0" w:space="0" w:color="auto"/>
        <w:bottom w:val="none" w:sz="0" w:space="0" w:color="auto"/>
        <w:right w:val="none" w:sz="0" w:space="0" w:color="auto"/>
      </w:divBdr>
      <w:divsChild>
        <w:div w:id="1130321316">
          <w:marLeft w:val="547"/>
          <w:marRight w:val="0"/>
          <w:marTop w:val="240"/>
          <w:marBottom w:val="0"/>
          <w:divBdr>
            <w:top w:val="none" w:sz="0" w:space="0" w:color="auto"/>
            <w:left w:val="none" w:sz="0" w:space="0" w:color="auto"/>
            <w:bottom w:val="none" w:sz="0" w:space="0" w:color="auto"/>
            <w:right w:val="none" w:sz="0" w:space="0" w:color="auto"/>
          </w:divBdr>
        </w:div>
      </w:divsChild>
    </w:div>
    <w:div w:id="462314097">
      <w:bodyDiv w:val="1"/>
      <w:marLeft w:val="0"/>
      <w:marRight w:val="0"/>
      <w:marTop w:val="0"/>
      <w:marBottom w:val="0"/>
      <w:divBdr>
        <w:top w:val="none" w:sz="0" w:space="0" w:color="auto"/>
        <w:left w:val="none" w:sz="0" w:space="0" w:color="auto"/>
        <w:bottom w:val="none" w:sz="0" w:space="0" w:color="auto"/>
        <w:right w:val="none" w:sz="0" w:space="0" w:color="auto"/>
      </w:divBdr>
    </w:div>
    <w:div w:id="493490962">
      <w:bodyDiv w:val="1"/>
      <w:marLeft w:val="0"/>
      <w:marRight w:val="0"/>
      <w:marTop w:val="0"/>
      <w:marBottom w:val="0"/>
      <w:divBdr>
        <w:top w:val="none" w:sz="0" w:space="0" w:color="auto"/>
        <w:left w:val="none" w:sz="0" w:space="0" w:color="auto"/>
        <w:bottom w:val="none" w:sz="0" w:space="0" w:color="auto"/>
        <w:right w:val="none" w:sz="0" w:space="0" w:color="auto"/>
      </w:divBdr>
      <w:divsChild>
        <w:div w:id="2042978054">
          <w:marLeft w:val="0"/>
          <w:marRight w:val="0"/>
          <w:marTop w:val="0"/>
          <w:marBottom w:val="0"/>
          <w:divBdr>
            <w:top w:val="none" w:sz="0" w:space="0" w:color="auto"/>
            <w:left w:val="none" w:sz="0" w:space="0" w:color="auto"/>
            <w:bottom w:val="none" w:sz="0" w:space="0" w:color="auto"/>
            <w:right w:val="none" w:sz="0" w:space="0" w:color="auto"/>
          </w:divBdr>
          <w:divsChild>
            <w:div w:id="889607667">
              <w:marLeft w:val="0"/>
              <w:marRight w:val="0"/>
              <w:marTop w:val="40"/>
              <w:marBottom w:val="40"/>
              <w:divBdr>
                <w:top w:val="none" w:sz="0" w:space="0" w:color="auto"/>
                <w:left w:val="none" w:sz="0" w:space="0" w:color="auto"/>
                <w:bottom w:val="none" w:sz="0" w:space="0" w:color="auto"/>
                <w:right w:val="none" w:sz="0" w:space="0" w:color="auto"/>
              </w:divBdr>
              <w:divsChild>
                <w:div w:id="6656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1217">
      <w:bodyDiv w:val="1"/>
      <w:marLeft w:val="0"/>
      <w:marRight w:val="0"/>
      <w:marTop w:val="0"/>
      <w:marBottom w:val="0"/>
      <w:divBdr>
        <w:top w:val="none" w:sz="0" w:space="0" w:color="auto"/>
        <w:left w:val="none" w:sz="0" w:space="0" w:color="auto"/>
        <w:bottom w:val="none" w:sz="0" w:space="0" w:color="auto"/>
        <w:right w:val="none" w:sz="0" w:space="0" w:color="auto"/>
      </w:divBdr>
      <w:divsChild>
        <w:div w:id="1876304439">
          <w:marLeft w:val="720"/>
          <w:marRight w:val="0"/>
          <w:marTop w:val="288"/>
          <w:marBottom w:val="0"/>
          <w:divBdr>
            <w:top w:val="none" w:sz="0" w:space="0" w:color="auto"/>
            <w:left w:val="none" w:sz="0" w:space="0" w:color="auto"/>
            <w:bottom w:val="none" w:sz="0" w:space="0" w:color="auto"/>
            <w:right w:val="none" w:sz="0" w:space="0" w:color="auto"/>
          </w:divBdr>
        </w:div>
      </w:divsChild>
    </w:div>
    <w:div w:id="737049348">
      <w:bodyDiv w:val="1"/>
      <w:marLeft w:val="0"/>
      <w:marRight w:val="0"/>
      <w:marTop w:val="0"/>
      <w:marBottom w:val="0"/>
      <w:divBdr>
        <w:top w:val="none" w:sz="0" w:space="0" w:color="auto"/>
        <w:left w:val="none" w:sz="0" w:space="0" w:color="auto"/>
        <w:bottom w:val="none" w:sz="0" w:space="0" w:color="auto"/>
        <w:right w:val="none" w:sz="0" w:space="0" w:color="auto"/>
      </w:divBdr>
      <w:divsChild>
        <w:div w:id="1799298755">
          <w:marLeft w:val="547"/>
          <w:marRight w:val="0"/>
          <w:marTop w:val="240"/>
          <w:marBottom w:val="0"/>
          <w:divBdr>
            <w:top w:val="none" w:sz="0" w:space="0" w:color="auto"/>
            <w:left w:val="none" w:sz="0" w:space="0" w:color="auto"/>
            <w:bottom w:val="none" w:sz="0" w:space="0" w:color="auto"/>
            <w:right w:val="none" w:sz="0" w:space="0" w:color="auto"/>
          </w:divBdr>
        </w:div>
      </w:divsChild>
    </w:div>
    <w:div w:id="784927362">
      <w:bodyDiv w:val="1"/>
      <w:marLeft w:val="0"/>
      <w:marRight w:val="0"/>
      <w:marTop w:val="0"/>
      <w:marBottom w:val="0"/>
      <w:divBdr>
        <w:top w:val="none" w:sz="0" w:space="0" w:color="auto"/>
        <w:left w:val="none" w:sz="0" w:space="0" w:color="auto"/>
        <w:bottom w:val="none" w:sz="0" w:space="0" w:color="auto"/>
        <w:right w:val="none" w:sz="0" w:space="0" w:color="auto"/>
      </w:divBdr>
    </w:div>
    <w:div w:id="859319894">
      <w:bodyDiv w:val="1"/>
      <w:marLeft w:val="0"/>
      <w:marRight w:val="0"/>
      <w:marTop w:val="0"/>
      <w:marBottom w:val="0"/>
      <w:divBdr>
        <w:top w:val="none" w:sz="0" w:space="0" w:color="auto"/>
        <w:left w:val="none" w:sz="0" w:space="0" w:color="auto"/>
        <w:bottom w:val="none" w:sz="0" w:space="0" w:color="auto"/>
        <w:right w:val="none" w:sz="0" w:space="0" w:color="auto"/>
      </w:divBdr>
    </w:div>
    <w:div w:id="1038432369">
      <w:bodyDiv w:val="1"/>
      <w:marLeft w:val="0"/>
      <w:marRight w:val="0"/>
      <w:marTop w:val="0"/>
      <w:marBottom w:val="0"/>
      <w:divBdr>
        <w:top w:val="none" w:sz="0" w:space="0" w:color="auto"/>
        <w:left w:val="none" w:sz="0" w:space="0" w:color="auto"/>
        <w:bottom w:val="none" w:sz="0" w:space="0" w:color="auto"/>
        <w:right w:val="none" w:sz="0" w:space="0" w:color="auto"/>
      </w:divBdr>
    </w:div>
    <w:div w:id="1154495513">
      <w:bodyDiv w:val="1"/>
      <w:marLeft w:val="0"/>
      <w:marRight w:val="0"/>
      <w:marTop w:val="0"/>
      <w:marBottom w:val="0"/>
      <w:divBdr>
        <w:top w:val="none" w:sz="0" w:space="0" w:color="auto"/>
        <w:left w:val="none" w:sz="0" w:space="0" w:color="auto"/>
        <w:bottom w:val="none" w:sz="0" w:space="0" w:color="auto"/>
        <w:right w:val="none" w:sz="0" w:space="0" w:color="auto"/>
      </w:divBdr>
      <w:divsChild>
        <w:div w:id="215244845">
          <w:marLeft w:val="720"/>
          <w:marRight w:val="0"/>
          <w:marTop w:val="288"/>
          <w:marBottom w:val="0"/>
          <w:divBdr>
            <w:top w:val="none" w:sz="0" w:space="0" w:color="auto"/>
            <w:left w:val="none" w:sz="0" w:space="0" w:color="auto"/>
            <w:bottom w:val="none" w:sz="0" w:space="0" w:color="auto"/>
            <w:right w:val="none" w:sz="0" w:space="0" w:color="auto"/>
          </w:divBdr>
        </w:div>
      </w:divsChild>
    </w:div>
    <w:div w:id="1346132500">
      <w:bodyDiv w:val="1"/>
      <w:marLeft w:val="0"/>
      <w:marRight w:val="0"/>
      <w:marTop w:val="0"/>
      <w:marBottom w:val="0"/>
      <w:divBdr>
        <w:top w:val="none" w:sz="0" w:space="0" w:color="auto"/>
        <w:left w:val="none" w:sz="0" w:space="0" w:color="auto"/>
        <w:bottom w:val="none" w:sz="0" w:space="0" w:color="auto"/>
        <w:right w:val="none" w:sz="0" w:space="0" w:color="auto"/>
      </w:divBdr>
    </w:div>
    <w:div w:id="1463113520">
      <w:bodyDiv w:val="1"/>
      <w:marLeft w:val="0"/>
      <w:marRight w:val="0"/>
      <w:marTop w:val="0"/>
      <w:marBottom w:val="0"/>
      <w:divBdr>
        <w:top w:val="none" w:sz="0" w:space="0" w:color="auto"/>
        <w:left w:val="none" w:sz="0" w:space="0" w:color="auto"/>
        <w:bottom w:val="none" w:sz="0" w:space="0" w:color="auto"/>
        <w:right w:val="none" w:sz="0" w:space="0" w:color="auto"/>
      </w:divBdr>
      <w:divsChild>
        <w:div w:id="1276475629">
          <w:marLeft w:val="720"/>
          <w:marRight w:val="0"/>
          <w:marTop w:val="288"/>
          <w:marBottom w:val="0"/>
          <w:divBdr>
            <w:top w:val="none" w:sz="0" w:space="0" w:color="auto"/>
            <w:left w:val="none" w:sz="0" w:space="0" w:color="auto"/>
            <w:bottom w:val="none" w:sz="0" w:space="0" w:color="auto"/>
            <w:right w:val="none" w:sz="0" w:space="0" w:color="auto"/>
          </w:divBdr>
        </w:div>
      </w:divsChild>
    </w:div>
    <w:div w:id="1691905118">
      <w:bodyDiv w:val="1"/>
      <w:marLeft w:val="0"/>
      <w:marRight w:val="0"/>
      <w:marTop w:val="0"/>
      <w:marBottom w:val="0"/>
      <w:divBdr>
        <w:top w:val="none" w:sz="0" w:space="0" w:color="auto"/>
        <w:left w:val="none" w:sz="0" w:space="0" w:color="auto"/>
        <w:bottom w:val="none" w:sz="0" w:space="0" w:color="auto"/>
        <w:right w:val="none" w:sz="0" w:space="0" w:color="auto"/>
      </w:divBdr>
      <w:divsChild>
        <w:div w:id="891841196">
          <w:marLeft w:val="720"/>
          <w:marRight w:val="0"/>
          <w:marTop w:val="288"/>
          <w:marBottom w:val="0"/>
          <w:divBdr>
            <w:top w:val="none" w:sz="0" w:space="0" w:color="auto"/>
            <w:left w:val="none" w:sz="0" w:space="0" w:color="auto"/>
            <w:bottom w:val="none" w:sz="0" w:space="0" w:color="auto"/>
            <w:right w:val="none" w:sz="0" w:space="0" w:color="auto"/>
          </w:divBdr>
        </w:div>
      </w:divsChild>
    </w:div>
    <w:div w:id="1861124091">
      <w:bodyDiv w:val="1"/>
      <w:marLeft w:val="0"/>
      <w:marRight w:val="0"/>
      <w:marTop w:val="0"/>
      <w:marBottom w:val="0"/>
      <w:divBdr>
        <w:top w:val="none" w:sz="0" w:space="0" w:color="auto"/>
        <w:left w:val="none" w:sz="0" w:space="0" w:color="auto"/>
        <w:bottom w:val="none" w:sz="0" w:space="0" w:color="auto"/>
        <w:right w:val="none" w:sz="0" w:space="0" w:color="auto"/>
      </w:divBdr>
    </w:div>
    <w:div w:id="2067025550">
      <w:bodyDiv w:val="1"/>
      <w:marLeft w:val="0"/>
      <w:marRight w:val="0"/>
      <w:marTop w:val="0"/>
      <w:marBottom w:val="0"/>
      <w:divBdr>
        <w:top w:val="none" w:sz="0" w:space="0" w:color="auto"/>
        <w:left w:val="none" w:sz="0" w:space="0" w:color="auto"/>
        <w:bottom w:val="none" w:sz="0" w:space="0" w:color="auto"/>
        <w:right w:val="none" w:sz="0" w:space="0" w:color="auto"/>
      </w:divBdr>
      <w:divsChild>
        <w:div w:id="186989529">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818B-60B5-48AD-899B-C9C21792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6919</Words>
  <Characters>40278</Characters>
  <Application>Microsoft Office Word</Application>
  <DocSecurity>2</DocSecurity>
  <Lines>335</Lines>
  <Paragraphs>94</Paragraphs>
  <ScaleCrop>false</ScaleCrop>
  <HeadingPairs>
    <vt:vector size="2" baseType="variant">
      <vt:variant>
        <vt:lpstr>Title</vt:lpstr>
      </vt:variant>
      <vt:variant>
        <vt:i4>1</vt:i4>
      </vt:variant>
    </vt:vector>
  </HeadingPairs>
  <TitlesOfParts>
    <vt:vector size="1" baseType="lpstr">
      <vt:lpstr>Attachment 1. Product Information for Panitumumab</vt:lpstr>
    </vt:vector>
  </TitlesOfParts>
  <Manager/>
  <Company>Amgen Australia Pty Ltd</Company>
  <LinksUpToDate>false</LinksUpToDate>
  <CharactersWithSpaces>47103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Panitumumab</dc:title>
  <dc:subject>prescription medicine regulation</dc:subject>
  <dc:creator>Amgen Australia Pty Ltd</dc:creator>
  <cp:keywords>product, information, prescription, medicine, regulation, pan, panitumumab, vectibix, amgen, australia</cp:keywords>
  <cp:lastModifiedBy>dixonj</cp:lastModifiedBy>
  <cp:revision>2</cp:revision>
  <cp:lastPrinted>2010-05-20T07:58:00Z</cp:lastPrinted>
  <dcterms:created xsi:type="dcterms:W3CDTF">2014-01-28T04:07:00Z</dcterms:created>
  <dcterms:modified xsi:type="dcterms:W3CDTF">2014-01-28T04:07:00Z</dcterms:modified>
</cp:coreProperties>
</file>