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88F" w:rsidRPr="00DD5A44" w:rsidRDefault="00C5788F" w:rsidP="00C5788F">
      <w:pPr>
        <w:pStyle w:val="h2"/>
        <w:jc w:val="center"/>
        <w:rPr>
          <w:rFonts w:ascii="Arial Bold" w:hAnsi="Arial Bold" w:cs="Arial"/>
          <w:b/>
          <w:spacing w:val="-3"/>
          <w:w w:val="95"/>
          <w:sz w:val="36"/>
        </w:rPr>
      </w:pPr>
      <w:r w:rsidRPr="00DD5A44">
        <w:rPr>
          <w:rFonts w:ascii="Arial Bold" w:hAnsi="Arial Bold" w:cs="Arial"/>
          <w:b/>
          <w:spacing w:val="-3"/>
          <w:w w:val="95"/>
          <w:sz w:val="36"/>
        </w:rPr>
        <w:t>PRODUCT INFORMATION</w:t>
      </w:r>
    </w:p>
    <w:p w:rsidR="00C5788F" w:rsidRPr="00D312A2" w:rsidRDefault="00C5788F" w:rsidP="00C5788F">
      <w:pPr>
        <w:pStyle w:val="h2"/>
        <w:jc w:val="center"/>
        <w:rPr>
          <w:rFonts w:ascii="Arial Bold" w:hAnsi="Arial Bold" w:cs="Arial"/>
          <w:b/>
          <w:spacing w:val="-3"/>
          <w:w w:val="95"/>
          <w:sz w:val="28"/>
        </w:rPr>
      </w:pPr>
      <w:r w:rsidRPr="00D312A2">
        <w:rPr>
          <w:rFonts w:ascii="Arial Bold" w:hAnsi="Arial Bold" w:cs="Arial"/>
          <w:b/>
          <w:spacing w:val="-3"/>
          <w:w w:val="95"/>
          <w:sz w:val="28"/>
        </w:rPr>
        <w:t xml:space="preserve">ALOXI </w:t>
      </w:r>
    </w:p>
    <w:p w:rsidR="00C5788F" w:rsidRPr="00D312A2" w:rsidRDefault="00C5788F" w:rsidP="00C5788F">
      <w:pPr>
        <w:pStyle w:val="h2"/>
        <w:jc w:val="center"/>
        <w:rPr>
          <w:rFonts w:ascii="Arial Bold" w:hAnsi="Arial Bold" w:cs="Arial"/>
          <w:b/>
          <w:spacing w:val="-3"/>
          <w:w w:val="95"/>
          <w:sz w:val="24"/>
        </w:rPr>
      </w:pPr>
      <w:r w:rsidRPr="00D312A2">
        <w:rPr>
          <w:rFonts w:ascii="Arial Bold" w:hAnsi="Arial Bold" w:cs="Arial"/>
          <w:b/>
          <w:spacing w:val="-3"/>
          <w:w w:val="95"/>
          <w:sz w:val="24"/>
        </w:rPr>
        <w:t>palonosetron HCl injection</w:t>
      </w:r>
    </w:p>
    <w:p w:rsidR="00C5788F" w:rsidRDefault="00C5788F" w:rsidP="00C5788F">
      <w:pPr>
        <w:pStyle w:val="h2"/>
        <w:rPr>
          <w:rFonts w:ascii="Arial" w:hAnsi="Arial" w:cs="Arial"/>
          <w:b/>
          <w:spacing w:val="-3"/>
          <w:w w:val="95"/>
        </w:rPr>
      </w:pPr>
    </w:p>
    <w:p w:rsidR="00C5788F" w:rsidRPr="00D312A2" w:rsidRDefault="00C5788F" w:rsidP="00C5788F">
      <w:pPr>
        <w:pStyle w:val="h2"/>
        <w:rPr>
          <w:rFonts w:ascii="Arial" w:hAnsi="Arial" w:cs="Arial"/>
          <w:b/>
          <w:spacing w:val="-3"/>
          <w:w w:val="95"/>
          <w:sz w:val="22"/>
        </w:rPr>
      </w:pPr>
      <w:r w:rsidRPr="00D312A2">
        <w:rPr>
          <w:rFonts w:ascii="Arial" w:hAnsi="Arial" w:cs="Arial"/>
          <w:b/>
          <w:spacing w:val="-3"/>
          <w:w w:val="95"/>
          <w:sz w:val="22"/>
        </w:rPr>
        <w:t>NAME OF THE D</w:t>
      </w:r>
      <w:bookmarkStart w:id="0" w:name="_GoBack"/>
      <w:bookmarkEnd w:id="0"/>
      <w:r w:rsidRPr="00D312A2">
        <w:rPr>
          <w:rFonts w:ascii="Arial" w:hAnsi="Arial" w:cs="Arial"/>
          <w:b/>
          <w:spacing w:val="-3"/>
          <w:w w:val="95"/>
          <w:sz w:val="22"/>
        </w:rPr>
        <w:t>RUG</w:t>
      </w: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ALOXI Injection</w:t>
      </w: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(palonosetron hydrochloride)</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h2"/>
        <w:rPr>
          <w:rFonts w:ascii="Arial" w:hAnsi="Arial" w:cs="Arial"/>
          <w:b/>
          <w:spacing w:val="-3"/>
          <w:w w:val="95"/>
          <w:sz w:val="22"/>
        </w:rPr>
      </w:pPr>
      <w:r w:rsidRPr="00D312A2">
        <w:rPr>
          <w:rFonts w:ascii="Arial" w:hAnsi="Arial" w:cs="Arial"/>
          <w:b/>
          <w:spacing w:val="-3"/>
          <w:w w:val="95"/>
          <w:sz w:val="22"/>
        </w:rPr>
        <w:t>Structural Formula</w:t>
      </w:r>
    </w:p>
    <w:p w:rsidR="00C5788F" w:rsidRPr="00F55A23" w:rsidRDefault="00456BE8" w:rsidP="00C5788F">
      <w:pPr>
        <w:pStyle w:val="h2"/>
        <w:rPr>
          <w:rFonts w:ascii="Arial" w:hAnsi="Arial" w:cs="Arial"/>
          <w:spacing w:val="-3"/>
          <w:w w:val="95"/>
        </w:rPr>
      </w:pPr>
      <w:r>
        <w:rPr>
          <w:rFonts w:ascii="Arial" w:hAnsi="Arial" w:cs="Arial"/>
          <w:spacing w:val="-3"/>
          <w:w w:val="9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ructural formula of palonosetron HCl injection" style="width:108pt;height:96.75pt">
            <v:imagedata r:id="rId9" o:title="palo hcl structure"/>
          </v:shape>
        </w:pict>
      </w:r>
    </w:p>
    <w:p w:rsidR="00C5788F" w:rsidRPr="00D312A2" w:rsidRDefault="00C5788F" w:rsidP="00C5788F">
      <w:pPr>
        <w:pStyle w:val="h2"/>
        <w:rPr>
          <w:rFonts w:ascii="Arial" w:hAnsi="Arial" w:cs="Arial"/>
          <w:b/>
          <w:spacing w:val="-3"/>
          <w:w w:val="95"/>
          <w:sz w:val="22"/>
        </w:rPr>
      </w:pPr>
      <w:r w:rsidRPr="00D312A2">
        <w:rPr>
          <w:rFonts w:ascii="Arial" w:hAnsi="Arial" w:cs="Arial"/>
          <w:b/>
          <w:spacing w:val="-3"/>
          <w:w w:val="95"/>
          <w:sz w:val="22"/>
        </w:rPr>
        <w:t>DESCRIPTION</w:t>
      </w: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Palonosetron hydrochloride is a white to off-white crystalline powder.  It is freely soluble in water, soluble in propylene glycol, and slightly soluble in ethanol and 2-propanol.</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Chemically, palonosetron hydrochloride is: (3aS)-2-[(S)-1-Azabicyclo[2.2.2]oct-3-yl]-2,3,3a,4,5,6-hexahydro-1-oxo-1Hbenz[de]isoquinoline hydrochloride. The empirical formula is C</w:t>
      </w:r>
      <w:r w:rsidRPr="00D312A2">
        <w:rPr>
          <w:rFonts w:ascii="Arial" w:hAnsi="Arial" w:cs="Arial"/>
          <w:spacing w:val="-4"/>
          <w:w w:val="95"/>
          <w:sz w:val="22"/>
          <w:vertAlign w:val="subscript"/>
        </w:rPr>
        <w:t>19</w:t>
      </w:r>
      <w:r w:rsidRPr="00D312A2">
        <w:rPr>
          <w:rFonts w:ascii="Arial" w:hAnsi="Arial" w:cs="Arial"/>
          <w:spacing w:val="-4"/>
          <w:w w:val="95"/>
          <w:sz w:val="22"/>
        </w:rPr>
        <w:t>H</w:t>
      </w:r>
      <w:r w:rsidRPr="00D312A2">
        <w:rPr>
          <w:rFonts w:ascii="Arial" w:hAnsi="Arial" w:cs="Arial"/>
          <w:spacing w:val="-4"/>
          <w:w w:val="95"/>
          <w:sz w:val="22"/>
          <w:vertAlign w:val="subscript"/>
        </w:rPr>
        <w:t>24</w:t>
      </w:r>
      <w:r w:rsidRPr="00D312A2">
        <w:rPr>
          <w:rFonts w:ascii="Arial" w:hAnsi="Arial" w:cs="Arial"/>
          <w:spacing w:val="-4"/>
          <w:w w:val="95"/>
          <w:sz w:val="22"/>
        </w:rPr>
        <w:t>N</w:t>
      </w:r>
      <w:r w:rsidRPr="00D312A2">
        <w:rPr>
          <w:rFonts w:ascii="Arial" w:hAnsi="Arial" w:cs="Arial"/>
          <w:spacing w:val="-4"/>
          <w:w w:val="95"/>
          <w:sz w:val="22"/>
          <w:vertAlign w:val="subscript"/>
        </w:rPr>
        <w:t>2</w:t>
      </w:r>
      <w:r w:rsidRPr="00D312A2">
        <w:rPr>
          <w:rFonts w:ascii="Arial" w:hAnsi="Arial" w:cs="Arial"/>
          <w:spacing w:val="-4"/>
          <w:w w:val="95"/>
          <w:sz w:val="22"/>
        </w:rPr>
        <w:t>O.HCl, with a molecular weight of 332.87. Palonosetron hydrochloride exists as a single isomer.</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h3"/>
        <w:rPr>
          <w:rFonts w:ascii="Arial" w:hAnsi="Arial" w:cs="Arial"/>
          <w:b/>
          <w:spacing w:val="-4"/>
          <w:w w:val="95"/>
          <w:sz w:val="22"/>
        </w:rPr>
      </w:pPr>
      <w:r w:rsidRPr="00D312A2">
        <w:rPr>
          <w:rFonts w:ascii="Arial" w:hAnsi="Arial" w:cs="Arial"/>
          <w:b/>
          <w:spacing w:val="-4"/>
          <w:w w:val="95"/>
          <w:sz w:val="22"/>
        </w:rPr>
        <w:t>Chemical Abstracts Service (CAS) registry number:</w:t>
      </w: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135729-61-2 Palonosetron</w:t>
      </w: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135729-62-3 Palonosetron Hydrochloride</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 xml:space="preserve">ALOXI injection is a sterile, clear, colourless, non-pyrogenic, isotonic, buffered solution for intravenous administration.  Each 5 ml vial of ALOXI injection contains 250 µg equivalent palonosetron base as hydrochloride. </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h3"/>
        <w:rPr>
          <w:rFonts w:ascii="Arial" w:hAnsi="Arial" w:cs="Arial"/>
          <w:b/>
          <w:spacing w:val="-4"/>
          <w:w w:val="95"/>
          <w:sz w:val="22"/>
        </w:rPr>
      </w:pPr>
      <w:r w:rsidRPr="00D312A2">
        <w:rPr>
          <w:rFonts w:ascii="Arial" w:hAnsi="Arial" w:cs="Arial"/>
          <w:b/>
          <w:spacing w:val="-4"/>
          <w:w w:val="95"/>
          <w:sz w:val="22"/>
        </w:rPr>
        <w:t xml:space="preserve">Inactive Ingredients: </w:t>
      </w: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Mannitol 207.5 mg, disodium edetate and citrate buffer in water for intravenous administration.  The pH of the solution is 4.5 to 5.5.</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h2"/>
        <w:rPr>
          <w:rFonts w:ascii="Arial" w:hAnsi="Arial" w:cs="Arial"/>
          <w:b/>
          <w:spacing w:val="-3"/>
          <w:w w:val="95"/>
          <w:sz w:val="22"/>
        </w:rPr>
      </w:pPr>
      <w:r w:rsidRPr="00D312A2">
        <w:rPr>
          <w:rFonts w:ascii="Arial" w:hAnsi="Arial" w:cs="Arial"/>
          <w:b/>
          <w:spacing w:val="-3"/>
          <w:w w:val="95"/>
          <w:sz w:val="22"/>
        </w:rPr>
        <w:t>PHARMACOLOGY</w:t>
      </w: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Palonosetron hydrochloride is an antiemetic and antinauseant agent. It is a selective serotonin subtype 3 (5-HT</w:t>
      </w:r>
      <w:r w:rsidRPr="00D312A2">
        <w:rPr>
          <w:rFonts w:ascii="Arial" w:hAnsi="Arial" w:cs="Arial"/>
          <w:spacing w:val="-4"/>
          <w:w w:val="95"/>
          <w:sz w:val="22"/>
          <w:vertAlign w:val="subscript"/>
        </w:rPr>
        <w:t>3</w:t>
      </w:r>
      <w:r w:rsidRPr="00D312A2">
        <w:rPr>
          <w:rFonts w:ascii="Arial" w:hAnsi="Arial" w:cs="Arial"/>
          <w:spacing w:val="-4"/>
          <w:w w:val="95"/>
          <w:sz w:val="22"/>
        </w:rPr>
        <w:t>) receptor antagonist with a strong binding affinity for this receptor.</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h3"/>
        <w:rPr>
          <w:rFonts w:ascii="Arial" w:hAnsi="Arial" w:cs="Arial"/>
          <w:b/>
          <w:spacing w:val="-4"/>
          <w:w w:val="95"/>
          <w:sz w:val="22"/>
        </w:rPr>
      </w:pPr>
      <w:r w:rsidRPr="00D312A2">
        <w:rPr>
          <w:rFonts w:ascii="Arial" w:hAnsi="Arial" w:cs="Arial"/>
          <w:b/>
          <w:spacing w:val="-4"/>
          <w:w w:val="95"/>
          <w:sz w:val="22"/>
        </w:rPr>
        <w:t>Pharmacodynamics</w:t>
      </w: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Cancer chemotherapy may be associated with a high incidence of nausea and vomiting, particularly when certain agents, such as cisplatin, are used.  5-HT</w:t>
      </w:r>
      <w:r w:rsidRPr="00D312A2">
        <w:rPr>
          <w:rFonts w:ascii="Arial" w:hAnsi="Arial" w:cs="Arial"/>
          <w:spacing w:val="-4"/>
          <w:w w:val="95"/>
          <w:sz w:val="22"/>
          <w:vertAlign w:val="subscript"/>
        </w:rPr>
        <w:t>3</w:t>
      </w:r>
      <w:r w:rsidRPr="00D312A2">
        <w:rPr>
          <w:rFonts w:ascii="Arial" w:hAnsi="Arial" w:cs="Arial"/>
          <w:spacing w:val="-4"/>
          <w:w w:val="95"/>
          <w:sz w:val="22"/>
        </w:rPr>
        <w:t xml:space="preserve"> receptors are located on the nerve terminals of the vagus in the periphery and centrally in the chemoreceptor trigger zone of the area postrema.  It is thought that chemotherapeutic agents produce nausea and vomiting by releasing serotonin from the enterochromaffin cells of the small intestine and that the released serotonin then activates 5-HT</w:t>
      </w:r>
      <w:r w:rsidRPr="00D312A2">
        <w:rPr>
          <w:rFonts w:ascii="Arial" w:hAnsi="Arial" w:cs="Arial"/>
          <w:spacing w:val="-4"/>
          <w:w w:val="95"/>
          <w:sz w:val="22"/>
          <w:vertAlign w:val="subscript"/>
        </w:rPr>
        <w:t>3</w:t>
      </w:r>
      <w:r w:rsidRPr="00D312A2">
        <w:rPr>
          <w:rFonts w:ascii="Arial" w:hAnsi="Arial" w:cs="Arial"/>
          <w:spacing w:val="-4"/>
          <w:w w:val="95"/>
          <w:sz w:val="22"/>
        </w:rPr>
        <w:t xml:space="preserve"> receptors located on vagal afferents to initiate the vomiting reflex.</w:t>
      </w:r>
    </w:p>
    <w:p w:rsidR="00C5788F" w:rsidRPr="00D312A2" w:rsidRDefault="00C5788F" w:rsidP="00C5788F">
      <w:pPr>
        <w:pStyle w:val="Body"/>
        <w:rPr>
          <w:rFonts w:ascii="Arial" w:hAnsi="Arial" w:cs="Arial"/>
          <w:spacing w:val="-4"/>
          <w:w w:val="95"/>
          <w:sz w:val="22"/>
        </w:rPr>
      </w:pPr>
    </w:p>
    <w:p w:rsidR="00C5788F" w:rsidRDefault="00C5788F" w:rsidP="00C5788F">
      <w:pPr>
        <w:pStyle w:val="Body"/>
        <w:rPr>
          <w:rFonts w:ascii="Arial" w:hAnsi="Arial" w:cs="Arial"/>
          <w:spacing w:val="-4"/>
          <w:w w:val="95"/>
          <w:sz w:val="22"/>
        </w:rPr>
      </w:pPr>
      <w:r w:rsidRPr="00D312A2">
        <w:rPr>
          <w:rFonts w:ascii="Arial" w:hAnsi="Arial" w:cs="Arial"/>
          <w:spacing w:val="-4"/>
          <w:w w:val="95"/>
          <w:sz w:val="22"/>
        </w:rPr>
        <w:lastRenderedPageBreak/>
        <w:t xml:space="preserve">The effect of palonosetron on blood pressure, heart rate, and ECG parameters including QTc were comparable to ondansetron and dolasetron in clinical trials. In non-clinical studies palonosetron possesses the ability to block ion channels involved in ventricular de- and re-polarization and to prolong action potential duration. </w:t>
      </w:r>
      <w:r>
        <w:rPr>
          <w:rFonts w:ascii="Arial" w:hAnsi="Arial" w:cs="Arial"/>
          <w:spacing w:val="-4"/>
          <w:w w:val="95"/>
          <w:sz w:val="22"/>
        </w:rPr>
        <w:t xml:space="preserve"> The effect of palonosetron on QTc interval was evaluated in a double blind, randomized, parallel, placebo and positive (moxifloxacin) controlled trial in adult men and women.  The objective was to evaluate the ECG effects of IV administered palonosetron at single doses of 0.25, 0.75 or 2.25 mg in 221 healthy subjects.  The study demonstrated no effect on QT/QTc interval duration as well as any other ECG interval at doses up to 2.25 mg.  No clinically significant changes were shown on heart rate, atrioventricular (AV) conduction and cardiac repolarisation.</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h3"/>
        <w:rPr>
          <w:rFonts w:ascii="Arial" w:hAnsi="Arial" w:cs="Arial"/>
          <w:b/>
          <w:spacing w:val="-4"/>
          <w:w w:val="95"/>
          <w:sz w:val="22"/>
        </w:rPr>
      </w:pPr>
      <w:r w:rsidRPr="00D312A2">
        <w:rPr>
          <w:rFonts w:ascii="Arial" w:hAnsi="Arial" w:cs="Arial"/>
          <w:b/>
          <w:spacing w:val="-4"/>
          <w:w w:val="95"/>
          <w:sz w:val="22"/>
        </w:rPr>
        <w:t xml:space="preserve">Pharmacokinetics </w:t>
      </w: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After intravenous dosing of palonosetron in healthy subjects and cancer patients, an initial decline in plasma concentrations is followed by a slow elimination from the body.  Mean maximum plasma concentration (C</w:t>
      </w:r>
      <w:r w:rsidRPr="00D312A2">
        <w:rPr>
          <w:rFonts w:ascii="Arial" w:hAnsi="Arial" w:cs="Arial"/>
          <w:spacing w:val="-4"/>
          <w:w w:val="95"/>
          <w:sz w:val="22"/>
          <w:vertAlign w:val="subscript"/>
        </w:rPr>
        <w:t>max</w:t>
      </w:r>
      <w:r w:rsidRPr="00D312A2">
        <w:rPr>
          <w:rFonts w:ascii="Arial" w:hAnsi="Arial" w:cs="Arial"/>
          <w:spacing w:val="-4"/>
          <w:w w:val="95"/>
          <w:sz w:val="22"/>
        </w:rPr>
        <w:t>) and area under the concentration-time curve (AUC</w:t>
      </w:r>
      <w:r w:rsidRPr="00D312A2">
        <w:rPr>
          <w:rFonts w:ascii="Arial" w:hAnsi="Arial" w:cs="Arial"/>
          <w:spacing w:val="-4"/>
          <w:w w:val="95"/>
          <w:sz w:val="22"/>
          <w:vertAlign w:val="subscript"/>
        </w:rPr>
        <w:t>0-oo</w:t>
      </w:r>
      <w:r w:rsidRPr="00D312A2">
        <w:rPr>
          <w:rFonts w:ascii="Arial" w:hAnsi="Arial" w:cs="Arial"/>
          <w:spacing w:val="-4"/>
          <w:w w:val="95"/>
          <w:sz w:val="22"/>
        </w:rPr>
        <w:t>) are generally dose-proportional over the dose range of 0.3–90 µg/kg in healthy subjects and in cancer patients. Following single IV dose of palonosetron at 3 µg/kg (or 0.21 mg/70 kg) to six cancer patients, mean (±SD) maximum plasma concentration was estimated to be 5.6 ± 5.5 ng/mL and mean AUC was 35.8 ± 20.9 ng•hr/mL.</w:t>
      </w:r>
    </w:p>
    <w:p w:rsidR="00C5788F" w:rsidRPr="00D312A2" w:rsidRDefault="00C5788F" w:rsidP="00C5788F">
      <w:pPr>
        <w:pStyle w:val="Body"/>
        <w:rPr>
          <w:rFonts w:ascii="Arial" w:hAnsi="Arial" w:cs="Arial"/>
          <w:spacing w:val="-4"/>
          <w:w w:val="95"/>
          <w:sz w:val="22"/>
        </w:rPr>
      </w:pPr>
    </w:p>
    <w:p w:rsidR="00C5788F" w:rsidRPr="00C3643F" w:rsidRDefault="00C5788F" w:rsidP="00C5788F">
      <w:pPr>
        <w:pStyle w:val="Body"/>
        <w:rPr>
          <w:rFonts w:ascii="Arial" w:hAnsi="Arial" w:cs="TimesNewRomanPSMT"/>
          <w:sz w:val="22"/>
          <w:szCs w:val="22"/>
          <w:lang w:bidi="en-US"/>
        </w:rPr>
      </w:pPr>
      <w:r w:rsidRPr="00C3643F">
        <w:rPr>
          <w:rFonts w:ascii="Arial" w:hAnsi="Arial" w:cs="TimesNewRomanPSMT"/>
          <w:sz w:val="22"/>
          <w:szCs w:val="22"/>
          <w:lang w:bidi="en-US"/>
        </w:rPr>
        <w:t xml:space="preserve">Following intravenous administration of palonosetron 0.25 mg once every other day for 3 doses in 11 testicular cancer patients, the mean (± SD) increase in the initial phase of the plasma concentration-time curve (AUC </w:t>
      </w:r>
      <w:r w:rsidRPr="004E6E31">
        <w:rPr>
          <w:rFonts w:ascii="Arial" w:hAnsi="Arial" w:cs="TimesNewRomanPSMT"/>
          <w:sz w:val="22"/>
          <w:szCs w:val="22"/>
          <w:vertAlign w:val="subscript"/>
          <w:lang w:bidi="en-US"/>
        </w:rPr>
        <w:t>0-2.5hr</w:t>
      </w:r>
      <w:r w:rsidRPr="00C3643F">
        <w:rPr>
          <w:rFonts w:ascii="Arial" w:hAnsi="Arial" w:cs="TimesNewRomanPSMT"/>
          <w:sz w:val="22"/>
          <w:szCs w:val="22"/>
          <w:lang w:bidi="en-US"/>
        </w:rPr>
        <w:t xml:space="preserve">) from Day 1 to Day 5 was 42 ± 34 %; how this finding relates to more conventional measures of systemic exposure is not known. </w:t>
      </w:r>
    </w:p>
    <w:p w:rsidR="00C5788F" w:rsidRPr="00C3643F" w:rsidRDefault="00C5788F" w:rsidP="00C5788F">
      <w:pPr>
        <w:pStyle w:val="Body"/>
        <w:rPr>
          <w:rFonts w:ascii="Arial" w:hAnsi="Arial" w:cs="TimesNewRomanPSMT"/>
          <w:sz w:val="22"/>
          <w:szCs w:val="22"/>
          <w:lang w:bidi="en-US"/>
        </w:rPr>
      </w:pPr>
    </w:p>
    <w:p w:rsidR="00C5788F" w:rsidRPr="00C3643F" w:rsidRDefault="00C5788F" w:rsidP="00C5788F">
      <w:pPr>
        <w:pStyle w:val="Body"/>
        <w:rPr>
          <w:rFonts w:ascii="Arial" w:hAnsi="Arial" w:cs="TimesNewRomanPSMT"/>
          <w:sz w:val="22"/>
          <w:szCs w:val="22"/>
          <w:lang w:bidi="en-US"/>
        </w:rPr>
      </w:pPr>
      <w:r w:rsidRPr="00C3643F">
        <w:rPr>
          <w:rFonts w:ascii="Arial" w:hAnsi="Arial" w:cs="TimesNewRomanPSMT"/>
          <w:sz w:val="22"/>
          <w:szCs w:val="22"/>
          <w:lang w:bidi="en-US"/>
        </w:rPr>
        <w:t xml:space="preserve">After intravenous administration of palonosetron 0.25 mg once daily for 3 days in 12 healthy subjects, the mean (± SD) increase in systemic exposure over 24 hours (AUC </w:t>
      </w:r>
      <w:r w:rsidRPr="004E6E31">
        <w:rPr>
          <w:rFonts w:ascii="Arial" w:hAnsi="Arial" w:cs="TimesNewRomanPSMT"/>
          <w:sz w:val="22"/>
          <w:szCs w:val="22"/>
          <w:vertAlign w:val="subscript"/>
          <w:lang w:bidi="en-US"/>
        </w:rPr>
        <w:t>0-24hr</w:t>
      </w:r>
      <w:r w:rsidRPr="00C3643F">
        <w:rPr>
          <w:rFonts w:ascii="Arial" w:hAnsi="Arial" w:cs="TimesNewRomanPSMT"/>
          <w:sz w:val="22"/>
          <w:szCs w:val="22"/>
          <w:lang w:bidi="en-US"/>
        </w:rPr>
        <w:t>) from Day 1 to Day 3 was 110 ± 45 %.</w:t>
      </w:r>
    </w:p>
    <w:p w:rsidR="00C5788F" w:rsidRPr="00C3643F" w:rsidRDefault="00C5788F" w:rsidP="00C5788F">
      <w:pPr>
        <w:pStyle w:val="Body"/>
        <w:rPr>
          <w:rFonts w:ascii="Arial" w:hAnsi="Arial" w:cs="TimesNewRomanPSMT"/>
          <w:sz w:val="22"/>
          <w:szCs w:val="22"/>
          <w:lang w:bidi="en-US"/>
        </w:rPr>
      </w:pPr>
    </w:p>
    <w:p w:rsidR="00C5788F" w:rsidRPr="00D312A2" w:rsidRDefault="00C5788F" w:rsidP="00C5788F">
      <w:pPr>
        <w:pStyle w:val="Body"/>
        <w:rPr>
          <w:rFonts w:ascii="Arial" w:hAnsi="Arial" w:cs="Arial"/>
          <w:spacing w:val="-4"/>
          <w:w w:val="95"/>
          <w:sz w:val="22"/>
        </w:rPr>
      </w:pPr>
      <w:r w:rsidRPr="00C3643F">
        <w:rPr>
          <w:rFonts w:ascii="Arial" w:hAnsi="Arial" w:cs="TimesNewRomanPSMT"/>
          <w:sz w:val="22"/>
          <w:szCs w:val="22"/>
          <w:lang w:bidi="en-US"/>
        </w:rPr>
        <w:t>Drug accumulation may be greater in the 10% of pat</w:t>
      </w:r>
      <w:r w:rsidR="005E1A0D">
        <w:rPr>
          <w:rFonts w:ascii="Arial" w:hAnsi="Arial" w:cs="TimesNewRomanPSMT"/>
          <w:sz w:val="22"/>
          <w:szCs w:val="22"/>
          <w:lang w:bidi="en-US"/>
        </w:rPr>
        <w:t>i</w:t>
      </w:r>
      <w:r w:rsidRPr="00C3643F">
        <w:rPr>
          <w:rFonts w:ascii="Arial" w:hAnsi="Arial" w:cs="TimesNewRomanPSMT"/>
          <w:sz w:val="22"/>
          <w:szCs w:val="22"/>
          <w:lang w:bidi="en-US"/>
        </w:rPr>
        <w:t>ents with prolonged elimination half-life.</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Body"/>
        <w:rPr>
          <w:rFonts w:ascii="Arial" w:hAnsi="Arial" w:cs="Arial"/>
          <w:spacing w:val="-4"/>
          <w:w w:val="95"/>
          <w:sz w:val="22"/>
        </w:rPr>
      </w:pPr>
      <w:r w:rsidRPr="00D312A2">
        <w:rPr>
          <w:rFonts w:ascii="Arial" w:hAnsi="Arial" w:cs="Arial"/>
          <w:b/>
          <w:spacing w:val="-4"/>
          <w:w w:val="95"/>
          <w:sz w:val="22"/>
        </w:rPr>
        <w:t>Distribution:</w:t>
      </w:r>
      <w:r w:rsidRPr="00D312A2">
        <w:rPr>
          <w:rFonts w:ascii="Arial" w:hAnsi="Arial" w:cs="Arial"/>
          <w:spacing w:val="-4"/>
          <w:w w:val="95"/>
          <w:sz w:val="22"/>
        </w:rPr>
        <w:t xml:space="preserve"> Palonosetron has a volume of distribution of approximately 8.3 ± 2.5 L/kg.  Approximately 62% of palonosetron is bound to plasma proteins.</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Body"/>
        <w:rPr>
          <w:rFonts w:ascii="Arial" w:hAnsi="Arial" w:cs="Arial"/>
          <w:spacing w:val="-4"/>
          <w:w w:val="95"/>
          <w:sz w:val="22"/>
        </w:rPr>
      </w:pPr>
      <w:r w:rsidRPr="00D312A2">
        <w:rPr>
          <w:rFonts w:ascii="Arial" w:hAnsi="Arial" w:cs="Arial"/>
          <w:b/>
          <w:spacing w:val="-4"/>
          <w:w w:val="95"/>
          <w:sz w:val="22"/>
        </w:rPr>
        <w:t>Metabolism:</w:t>
      </w:r>
      <w:r w:rsidRPr="00D312A2">
        <w:rPr>
          <w:rFonts w:ascii="Arial" w:hAnsi="Arial" w:cs="Arial"/>
          <w:spacing w:val="-4"/>
          <w:w w:val="95"/>
          <w:sz w:val="22"/>
        </w:rPr>
        <w:t xml:space="preserve"> Palonosetron is eliminated by multiple routes with approximately 50% metabolized to form two primary metabolites: N-oxide-palonosetron and 6-S-hydroxy-palonosetron. These metabolites each have less than 1% of the 5-HT</w:t>
      </w:r>
      <w:r w:rsidRPr="00D312A2">
        <w:rPr>
          <w:rFonts w:ascii="Arial" w:hAnsi="Arial" w:cs="Arial"/>
          <w:spacing w:val="-4"/>
          <w:w w:val="95"/>
          <w:sz w:val="22"/>
          <w:vertAlign w:val="subscript"/>
        </w:rPr>
        <w:t>3</w:t>
      </w:r>
      <w:r w:rsidRPr="00D312A2">
        <w:rPr>
          <w:rFonts w:ascii="Arial" w:hAnsi="Arial" w:cs="Arial"/>
          <w:spacing w:val="-4"/>
          <w:w w:val="95"/>
          <w:sz w:val="22"/>
        </w:rPr>
        <w:t xml:space="preserve"> receptor antagonist activity of palonosetron.  </w:t>
      </w:r>
      <w:r w:rsidRPr="00D312A2">
        <w:rPr>
          <w:rFonts w:ascii="Arial" w:hAnsi="Arial" w:cs="Arial"/>
          <w:i/>
          <w:iCs/>
          <w:spacing w:val="-4"/>
          <w:w w:val="95"/>
          <w:sz w:val="22"/>
        </w:rPr>
        <w:t>In vitro</w:t>
      </w:r>
      <w:r w:rsidRPr="00D312A2">
        <w:rPr>
          <w:rFonts w:ascii="Arial" w:hAnsi="Arial" w:cs="Arial"/>
          <w:spacing w:val="-4"/>
          <w:w w:val="95"/>
          <w:sz w:val="22"/>
        </w:rPr>
        <w:t xml:space="preserve"> metabolism studies have suggested that CYP2D6 and to a lesser extent, CYP3A and CYP1A2 are involved in the metabolism of palonosetron.  However, clinical pharmacokinetic parameters are not significantly different between poor and extensive metabolizers of CYP2D6 substrates.  </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Body"/>
        <w:rPr>
          <w:rFonts w:ascii="Arial" w:hAnsi="Arial" w:cs="Arial"/>
          <w:spacing w:val="-4"/>
          <w:w w:val="95"/>
          <w:sz w:val="22"/>
        </w:rPr>
      </w:pPr>
      <w:r w:rsidRPr="00D312A2">
        <w:rPr>
          <w:rFonts w:ascii="Arial" w:hAnsi="Arial" w:cs="Arial"/>
          <w:b/>
          <w:spacing w:val="-4"/>
          <w:w w:val="95"/>
          <w:sz w:val="22"/>
        </w:rPr>
        <w:t>Elimination:</w:t>
      </w:r>
      <w:r w:rsidRPr="00D312A2">
        <w:rPr>
          <w:rFonts w:ascii="Arial" w:hAnsi="Arial" w:cs="Arial"/>
          <w:spacing w:val="-4"/>
          <w:w w:val="95"/>
          <w:sz w:val="22"/>
        </w:rPr>
        <w:t xml:space="preserve"> After a single intravenous dose of 10 µg/kg [</w:t>
      </w:r>
      <w:r w:rsidRPr="00D312A2">
        <w:rPr>
          <w:rFonts w:ascii="Arial" w:hAnsi="Arial" w:cs="Arial"/>
          <w:spacing w:val="-4"/>
          <w:w w:val="95"/>
          <w:sz w:val="22"/>
          <w:vertAlign w:val="superscript"/>
        </w:rPr>
        <w:t>14</w:t>
      </w:r>
      <w:r w:rsidRPr="00D312A2">
        <w:rPr>
          <w:rFonts w:ascii="Arial" w:hAnsi="Arial" w:cs="Arial"/>
          <w:spacing w:val="-4"/>
          <w:w w:val="95"/>
          <w:sz w:val="22"/>
        </w:rPr>
        <w:t xml:space="preserve">C]-palonosetron, approximately 80% of the dose was recovered within 144 hours in the urine with palonosetron representing approximately 40% of the administered dose.  In healthy subjects the total body clearance of palonosetron was 160 ± 35 mL/h/kg and renal clearance was 66.5± 18.2 mL/h/kg . Mean terminal elimination half life is approximately 40 hours.    </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h2"/>
        <w:rPr>
          <w:rFonts w:ascii="Arial" w:hAnsi="Arial" w:cs="Arial"/>
          <w:b/>
          <w:spacing w:val="-3"/>
          <w:w w:val="95"/>
          <w:sz w:val="22"/>
        </w:rPr>
      </w:pPr>
      <w:r w:rsidRPr="00D312A2">
        <w:rPr>
          <w:rFonts w:ascii="Arial" w:hAnsi="Arial" w:cs="Arial"/>
          <w:b/>
          <w:spacing w:val="-3"/>
          <w:w w:val="95"/>
          <w:sz w:val="22"/>
        </w:rPr>
        <w:t>CLINICAL TRIALS</w:t>
      </w:r>
    </w:p>
    <w:p w:rsidR="00C5788F" w:rsidRPr="00BF771F" w:rsidRDefault="00C5788F" w:rsidP="00C5788F">
      <w:pPr>
        <w:pStyle w:val="Body"/>
        <w:rPr>
          <w:rFonts w:ascii="Arial" w:hAnsi="Arial" w:cs="Arial"/>
          <w:b/>
          <w:spacing w:val="-4"/>
          <w:w w:val="95"/>
          <w:sz w:val="22"/>
        </w:rPr>
      </w:pPr>
      <w:r w:rsidRPr="00BF771F">
        <w:rPr>
          <w:rFonts w:ascii="Arial" w:hAnsi="Arial" w:cs="Arial"/>
          <w:b/>
          <w:spacing w:val="-4"/>
          <w:w w:val="95"/>
          <w:sz w:val="22"/>
        </w:rPr>
        <w:t>Single-dose palonosetron administration</w:t>
      </w: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Efficacy of single-dose palonosetron injection in preventing nausea and vomiting induced by moderately and highly emetogenic chemotherapy was studied in a phase 2 dose-ranging trial and three phase 3 trials.  In the phase 3 trials, the primary efficacy endpoint was complete response rate (no emetic episodes and no rescue medication). Prevention of nausea was assessed as a secondary efficacy endpoint. The safety and efficacy of palonosetron in repeated courses of chemotherapy was also studied.</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h3"/>
        <w:rPr>
          <w:rFonts w:ascii="Arial" w:hAnsi="Arial" w:cs="Arial"/>
          <w:b/>
          <w:spacing w:val="-4"/>
          <w:w w:val="95"/>
          <w:sz w:val="22"/>
        </w:rPr>
      </w:pPr>
    </w:p>
    <w:p w:rsidR="00C5788F" w:rsidRPr="00D312A2" w:rsidRDefault="00C5788F" w:rsidP="00C5788F">
      <w:pPr>
        <w:pStyle w:val="h3"/>
        <w:rPr>
          <w:rFonts w:ascii="Arial" w:hAnsi="Arial" w:cs="Arial"/>
          <w:b/>
          <w:spacing w:val="-4"/>
          <w:w w:val="95"/>
          <w:sz w:val="22"/>
        </w:rPr>
      </w:pPr>
      <w:r w:rsidRPr="00D312A2">
        <w:rPr>
          <w:rFonts w:ascii="Arial" w:hAnsi="Arial" w:cs="Arial"/>
          <w:b/>
          <w:spacing w:val="-4"/>
          <w:w w:val="95"/>
          <w:sz w:val="22"/>
        </w:rPr>
        <w:t>Moderately Emetogenic Chemotherapy</w:t>
      </w: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Two Phase 3, double-blind trials involving 1132 patients compared single-dose IV palonosetron with either single-dose IV ondansetron (study 1) or dolasetron (study 2) given 30 minutes prior to moderately emetogenic chemotherapy including carboplatin, cisplatin ≤ 50 mg/m², cyclophosphamide &lt; 1500 mg/m², doxorubicin &gt; 25 mg/m², epirubicin, irinotecan, and methotrexate &gt; 250 mg/m². Concomitant corticosteroids were not administered prophylactically in study 1 and were only used by 4-6% of patients in study 2.  The majority of patients in these studies were women (77%), White (65%) and naïve to previous chemotherapy (54%).  The mean age was 55 years, (age  range 18-97).</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h3"/>
        <w:rPr>
          <w:rFonts w:ascii="Arial" w:hAnsi="Arial" w:cs="Arial"/>
          <w:b/>
          <w:spacing w:val="-4"/>
          <w:w w:val="95"/>
          <w:sz w:val="22"/>
        </w:rPr>
      </w:pPr>
      <w:r w:rsidRPr="00D312A2">
        <w:rPr>
          <w:rFonts w:ascii="Arial" w:hAnsi="Arial" w:cs="Arial"/>
          <w:b/>
          <w:spacing w:val="-4"/>
          <w:w w:val="95"/>
          <w:sz w:val="22"/>
        </w:rPr>
        <w:t>Highly Emetogenic Chemotherapy</w:t>
      </w: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A Phase 2, double-blind, dose-ranging study evaluated the efficacy of single-dose IV  palonosetron from 0.3 to 90 µg/kg (equivalent to &lt; 0.1 mg to 6 mg fixed dose) in 161 chemotherapy-naïve adult cancer patients receiving highly-emetogenic chemotherapy (either cisplatin ≥ 70 mg/m² or cyclophosphamide &gt; 1100 mg/m²).  Concomitant corticosteroids were not administered prophylactically. Analysis of data from this trial indicates that 250 µg is the lowest effective dose in preventing acute nausea and vomiting induced by highly emetogenic chemotherapy.</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 xml:space="preserve">A Phase 3, double-blind trial involving 667 patients compared single-dose IV palonosetron with single-dose IV ondansetron (study 3) given 30 minutes prior to highly emetogenic chemotherapy including cisplatin ≥ 60 mg/m², cyclophosphamide  &gt; 1500 mg/m², and dacarbazine. Highly emetogenic chemotherapy was given only for the first day of the chemotherapy cycle. For the remainder of the cycle, low to moderately (max grade 3 of Hesketh scale) emetogenic chemotherapy was allowed. Corticosteroids were co-administered prophylactically before chemotherapy in 67% of patients.  Of the 667 patients, 51% were women, 60% White, and 59% naïve to previous chemotherapy.  The mean age was 52 years; (age range 18-86).  </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h3"/>
        <w:rPr>
          <w:rFonts w:ascii="Arial" w:hAnsi="Arial" w:cs="Arial"/>
          <w:b/>
          <w:spacing w:val="-4"/>
          <w:w w:val="95"/>
          <w:sz w:val="22"/>
        </w:rPr>
      </w:pPr>
      <w:r w:rsidRPr="00D312A2">
        <w:rPr>
          <w:rFonts w:ascii="Arial" w:hAnsi="Arial" w:cs="Arial"/>
          <w:b/>
          <w:spacing w:val="-4"/>
          <w:w w:val="95"/>
          <w:sz w:val="22"/>
        </w:rPr>
        <w:t xml:space="preserve">Efficacy Results </w:t>
      </w: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Intent-to-treat analyses are presented. The conclusions of the per protocol analyses were similar.</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Palonosetron was non-inferior to the comparators in the prevention of acute vomiting (within 24h) after moderately and highly emetogenic chemotherapy and comparable in the prevention of nausea (Tables 1-3). Efficacy was greater when corticosteroids were administered concomitantly in the highly emetogenic setting. The secondary efficacy endpoint of the study assessed delayed onset (24-120h) nausea and vomiting, the results are shown below (Tables 1-3).  The comparative efficacy of palonosetron 250 µg in multiple cycles of chemotherapy has not been demonstrated.</w:t>
      </w:r>
    </w:p>
    <w:p w:rsidR="00C5788F" w:rsidRPr="00F55A23" w:rsidRDefault="00C5788F" w:rsidP="00C5788F">
      <w:pPr>
        <w:pStyle w:val="Body"/>
        <w:rPr>
          <w:rFonts w:ascii="Arial" w:hAnsi="Arial" w:cs="Arial"/>
          <w:spacing w:val="-4"/>
          <w:w w:val="95"/>
        </w:rPr>
      </w:pP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Table 1: Study - Efficacy after Moderately Emetogenic Chemotherapy</w:t>
      </w:r>
    </w:p>
    <w:tbl>
      <w:tblPr>
        <w:tblW w:w="0" w:type="auto"/>
        <w:tblInd w:w="28" w:type="dxa"/>
        <w:tblLayout w:type="fixed"/>
        <w:tblCellMar>
          <w:left w:w="0" w:type="dxa"/>
          <w:right w:w="0" w:type="dxa"/>
        </w:tblCellMar>
        <w:tblLook w:val="0000" w:firstRow="0" w:lastRow="0" w:firstColumn="0" w:lastColumn="0" w:noHBand="0" w:noVBand="0"/>
      </w:tblPr>
      <w:tblGrid>
        <w:gridCol w:w="1323"/>
        <w:gridCol w:w="1322"/>
        <w:gridCol w:w="1323"/>
        <w:gridCol w:w="1323"/>
      </w:tblGrid>
      <w:tr w:rsidR="00C5788F" w:rsidRPr="00F55A23">
        <w:trPr>
          <w:trHeight w:val="60"/>
        </w:trPr>
        <w:tc>
          <w:tcPr>
            <w:tcW w:w="1323" w:type="dxa"/>
            <w:tcBorders>
              <w:top w:val="single" w:sz="4" w:space="0" w:color="000000"/>
              <w:left w:val="single" w:sz="4" w:space="0" w:color="000000"/>
              <w:bottom w:val="single" w:sz="4" w:space="0" w:color="000000"/>
              <w:right w:val="single" w:sz="4" w:space="0" w:color="000000"/>
            </w:tcBorders>
            <w:shd w:val="solid" w:color="FFFFFF" w:fill="auto"/>
            <w:tcMar>
              <w:top w:w="57" w:type="dxa"/>
              <w:left w:w="28" w:type="dxa"/>
              <w:bottom w:w="57" w:type="dxa"/>
              <w:right w:w="28" w:type="dxa"/>
            </w:tcMar>
          </w:tcPr>
          <w:p w:rsidR="00C5788F" w:rsidRPr="00F55A23" w:rsidRDefault="00C5788F">
            <w:pPr>
              <w:pStyle w:val="NoParagraphStyle"/>
              <w:spacing w:line="240" w:lineRule="auto"/>
              <w:textAlignment w:val="auto"/>
              <w:rPr>
                <w:rFonts w:ascii="Arial" w:hAnsi="Arial" w:cs="Arial"/>
                <w:color w:val="auto"/>
                <w:lang w:val="en-AU"/>
              </w:rPr>
            </w:pPr>
          </w:p>
        </w:tc>
        <w:tc>
          <w:tcPr>
            <w:tcW w:w="1322" w:type="dxa"/>
            <w:tcBorders>
              <w:top w:val="single" w:sz="4" w:space="0" w:color="000000"/>
              <w:left w:val="single" w:sz="4" w:space="0" w:color="000000"/>
              <w:bottom w:val="single" w:sz="4" w:space="0" w:color="000000"/>
              <w:right w:val="single" w:sz="4" w:space="0" w:color="000000"/>
            </w:tcBorders>
            <w:shd w:val="solid" w:color="FFFFFF" w:fill="auto"/>
            <w:tcMar>
              <w:top w:w="57" w:type="dxa"/>
              <w:left w:w="28" w:type="dxa"/>
              <w:bottom w:w="57" w:type="dxa"/>
              <w:right w:w="28" w:type="dxa"/>
            </w:tcMar>
          </w:tcPr>
          <w:p w:rsidR="00C5788F" w:rsidRPr="00F55A23" w:rsidRDefault="00C5788F">
            <w:pPr>
              <w:pStyle w:val="Body"/>
              <w:jc w:val="center"/>
              <w:rPr>
                <w:rFonts w:ascii="Arial" w:hAnsi="Arial" w:cs="Arial"/>
                <w:outline/>
                <w:spacing w:val="-7"/>
                <w:w w:val="90"/>
              </w:rPr>
            </w:pPr>
            <w:r w:rsidRPr="00F55A23">
              <w:rPr>
                <w:rFonts w:ascii="Arial" w:hAnsi="Arial" w:cs="Arial"/>
                <w:outline/>
                <w:spacing w:val="-7"/>
                <w:w w:val="90"/>
              </w:rPr>
              <w:t>Palonosetron 250 µg</w:t>
            </w:r>
          </w:p>
          <w:p w:rsidR="00C5788F" w:rsidRPr="00F55A23" w:rsidRDefault="00C5788F">
            <w:pPr>
              <w:pStyle w:val="Body"/>
              <w:jc w:val="center"/>
              <w:rPr>
                <w:rFonts w:ascii="Arial" w:hAnsi="Arial" w:cs="Arial"/>
              </w:rPr>
            </w:pPr>
            <w:r w:rsidRPr="00F55A23">
              <w:rPr>
                <w:rFonts w:ascii="Arial" w:hAnsi="Arial" w:cs="Arial"/>
                <w:outline/>
                <w:spacing w:val="-7"/>
                <w:w w:val="90"/>
              </w:rPr>
              <w:t>(n=189)</w:t>
            </w:r>
          </w:p>
        </w:tc>
        <w:tc>
          <w:tcPr>
            <w:tcW w:w="1323" w:type="dxa"/>
            <w:tcBorders>
              <w:top w:val="single" w:sz="4" w:space="0" w:color="000000"/>
              <w:left w:val="single" w:sz="4" w:space="0" w:color="000000"/>
              <w:bottom w:val="single" w:sz="4" w:space="0" w:color="000000"/>
              <w:right w:val="single" w:sz="4" w:space="0" w:color="000000"/>
            </w:tcBorders>
            <w:shd w:val="solid" w:color="FFFFFF" w:fill="auto"/>
            <w:tcMar>
              <w:top w:w="57" w:type="dxa"/>
              <w:left w:w="28" w:type="dxa"/>
              <w:bottom w:w="57" w:type="dxa"/>
              <w:right w:w="28" w:type="dxa"/>
            </w:tcMar>
          </w:tcPr>
          <w:p w:rsidR="00C5788F" w:rsidRPr="00F55A23" w:rsidDel="00C3643F" w:rsidRDefault="00C5788F" w:rsidP="00C5788F">
            <w:pPr>
              <w:pStyle w:val="Body"/>
              <w:jc w:val="center"/>
              <w:rPr>
                <w:rFonts w:ascii="Arial" w:hAnsi="Arial" w:cs="Arial"/>
                <w:outline/>
                <w:spacing w:val="-7"/>
                <w:w w:val="90"/>
              </w:rPr>
            </w:pPr>
            <w:r w:rsidRPr="00F55A23">
              <w:rPr>
                <w:rFonts w:ascii="Arial" w:hAnsi="Arial" w:cs="Arial"/>
                <w:outline/>
                <w:spacing w:val="-7"/>
                <w:w w:val="90"/>
              </w:rPr>
              <w:t xml:space="preserve">Ondansetron 32 mg IV </w:t>
            </w:r>
          </w:p>
          <w:p w:rsidR="00C5788F" w:rsidRPr="00F55A23" w:rsidRDefault="00C5788F" w:rsidP="00C5788F">
            <w:pPr>
              <w:pStyle w:val="Body"/>
              <w:jc w:val="center"/>
              <w:rPr>
                <w:rFonts w:ascii="Arial" w:hAnsi="Arial" w:cs="Arial"/>
              </w:rPr>
            </w:pPr>
            <w:r w:rsidRPr="00F55A23">
              <w:rPr>
                <w:rFonts w:ascii="Arial" w:hAnsi="Arial" w:cs="Arial"/>
                <w:outline/>
                <w:spacing w:val="-7"/>
                <w:w w:val="90"/>
              </w:rPr>
              <w:t>(n=185)</w:t>
            </w:r>
          </w:p>
        </w:tc>
        <w:tc>
          <w:tcPr>
            <w:tcW w:w="1323" w:type="dxa"/>
            <w:tcBorders>
              <w:top w:val="single" w:sz="4" w:space="0" w:color="000000"/>
              <w:left w:val="single" w:sz="4" w:space="0" w:color="000000"/>
              <w:bottom w:val="single" w:sz="4" w:space="0" w:color="000000"/>
              <w:right w:val="single" w:sz="4" w:space="0" w:color="000000"/>
            </w:tcBorders>
            <w:shd w:val="solid" w:color="FFFFFF" w:fill="auto"/>
            <w:tcMar>
              <w:top w:w="57" w:type="dxa"/>
              <w:left w:w="28" w:type="dxa"/>
              <w:bottom w:w="57" w:type="dxa"/>
              <w:right w:w="28" w:type="dxa"/>
            </w:tcMar>
          </w:tcPr>
          <w:p w:rsidR="00C5788F" w:rsidRPr="00F55A23" w:rsidRDefault="00C5788F">
            <w:pPr>
              <w:pStyle w:val="Body"/>
              <w:jc w:val="center"/>
              <w:rPr>
                <w:rFonts w:ascii="Arial" w:hAnsi="Arial" w:cs="Arial"/>
                <w:outline/>
                <w:spacing w:val="-7"/>
                <w:w w:val="90"/>
              </w:rPr>
            </w:pPr>
            <w:r w:rsidRPr="00F55A23">
              <w:rPr>
                <w:rFonts w:ascii="Arial" w:hAnsi="Arial" w:cs="Arial"/>
                <w:outline/>
                <w:spacing w:val="-7"/>
                <w:w w:val="90"/>
              </w:rPr>
              <w:t xml:space="preserve">Difference </w:t>
            </w:r>
          </w:p>
          <w:p w:rsidR="00C5788F" w:rsidRPr="00F55A23" w:rsidRDefault="00C5788F">
            <w:pPr>
              <w:pStyle w:val="Body"/>
              <w:jc w:val="center"/>
              <w:rPr>
                <w:rFonts w:ascii="Arial" w:hAnsi="Arial" w:cs="Arial"/>
              </w:rPr>
            </w:pPr>
            <w:r w:rsidRPr="00F55A23">
              <w:rPr>
                <w:rFonts w:ascii="Arial" w:hAnsi="Arial" w:cs="Arial"/>
                <w:outline/>
                <w:spacing w:val="-7"/>
                <w:w w:val="90"/>
              </w:rPr>
              <w:t xml:space="preserve">[97.5%CI] </w:t>
            </w:r>
            <w:r w:rsidRPr="00F55A23">
              <w:rPr>
                <w:rFonts w:ascii="Arial" w:hAnsi="Arial" w:cs="Arial"/>
                <w:outline/>
                <w:spacing w:val="-7"/>
                <w:w w:val="90"/>
                <w:vertAlign w:val="superscript"/>
              </w:rPr>
              <w:t>1</w:t>
            </w:r>
          </w:p>
        </w:tc>
      </w:tr>
      <w:tr w:rsidR="00C5788F" w:rsidRPr="00F55A23">
        <w:trPr>
          <w:trHeight w:val="60"/>
        </w:trPr>
        <w:tc>
          <w:tcPr>
            <w:tcW w:w="1323"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vAlign w:val="bottom"/>
          </w:tcPr>
          <w:p w:rsidR="00C5788F" w:rsidRPr="00F55A23" w:rsidRDefault="00C5788F">
            <w:pPr>
              <w:pStyle w:val="Body"/>
              <w:rPr>
                <w:rFonts w:ascii="Arial" w:hAnsi="Arial" w:cs="Arial"/>
                <w:w w:val="90"/>
              </w:rPr>
            </w:pPr>
            <w:r w:rsidRPr="00F55A23">
              <w:rPr>
                <w:rFonts w:ascii="Arial" w:hAnsi="Arial" w:cs="Arial"/>
                <w:w w:val="90"/>
              </w:rPr>
              <w:t>Complete Response (%)</w:t>
            </w:r>
          </w:p>
          <w:p w:rsidR="00C5788F" w:rsidRPr="00F55A23" w:rsidRDefault="00C5788F">
            <w:pPr>
              <w:pStyle w:val="Body"/>
              <w:rPr>
                <w:rFonts w:ascii="Arial" w:hAnsi="Arial" w:cs="Arial"/>
                <w:w w:val="90"/>
              </w:rPr>
            </w:pPr>
            <w:r w:rsidRPr="00F55A23">
              <w:rPr>
                <w:rFonts w:ascii="Arial" w:hAnsi="Arial" w:cs="Arial"/>
                <w:w w:val="90"/>
              </w:rPr>
              <w:t>0-24h</w:t>
            </w:r>
          </w:p>
          <w:p w:rsidR="00C5788F" w:rsidRPr="00F55A23" w:rsidRDefault="00C5788F">
            <w:pPr>
              <w:pStyle w:val="Body"/>
              <w:rPr>
                <w:rFonts w:ascii="Arial" w:hAnsi="Arial" w:cs="Arial"/>
                <w:w w:val="90"/>
              </w:rPr>
            </w:pPr>
            <w:r w:rsidRPr="00F55A23">
              <w:rPr>
                <w:rFonts w:ascii="Arial" w:hAnsi="Arial" w:cs="Arial"/>
                <w:w w:val="90"/>
              </w:rPr>
              <w:t>24-120h</w:t>
            </w:r>
          </w:p>
          <w:p w:rsidR="00C5788F" w:rsidRPr="00F55A23" w:rsidRDefault="00C5788F">
            <w:pPr>
              <w:pStyle w:val="Body"/>
              <w:rPr>
                <w:rFonts w:ascii="Arial" w:hAnsi="Arial" w:cs="Arial"/>
              </w:rPr>
            </w:pPr>
            <w:r w:rsidRPr="00F55A23">
              <w:rPr>
                <w:rFonts w:ascii="Arial" w:hAnsi="Arial" w:cs="Arial"/>
                <w:w w:val="90"/>
              </w:rPr>
              <w:t>0-120h</w:t>
            </w:r>
          </w:p>
        </w:tc>
        <w:tc>
          <w:tcPr>
            <w:tcW w:w="1322"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vAlign w:val="bottom"/>
          </w:tcPr>
          <w:p w:rsidR="00C5788F" w:rsidRPr="00F55A23" w:rsidRDefault="00C5788F">
            <w:pPr>
              <w:pStyle w:val="Body"/>
              <w:jc w:val="center"/>
              <w:rPr>
                <w:rFonts w:ascii="Arial" w:hAnsi="Arial" w:cs="Arial"/>
                <w:w w:val="90"/>
              </w:rPr>
            </w:pPr>
            <w:r w:rsidRPr="00F55A23">
              <w:rPr>
                <w:rFonts w:ascii="Arial" w:hAnsi="Arial" w:cs="Arial"/>
                <w:w w:val="90"/>
              </w:rPr>
              <w:t>81.0</w:t>
            </w:r>
          </w:p>
          <w:p w:rsidR="00C5788F" w:rsidRPr="00F55A23" w:rsidRDefault="00C5788F">
            <w:pPr>
              <w:pStyle w:val="Body"/>
              <w:jc w:val="center"/>
              <w:rPr>
                <w:rFonts w:ascii="Arial" w:hAnsi="Arial" w:cs="Arial"/>
                <w:w w:val="90"/>
              </w:rPr>
            </w:pPr>
            <w:r w:rsidRPr="00F55A23">
              <w:rPr>
                <w:rFonts w:ascii="Arial" w:hAnsi="Arial" w:cs="Arial"/>
                <w:w w:val="90"/>
              </w:rPr>
              <w:t>74.1</w:t>
            </w:r>
          </w:p>
          <w:p w:rsidR="00C5788F" w:rsidRPr="00F55A23" w:rsidRDefault="00C5788F">
            <w:pPr>
              <w:pStyle w:val="Body"/>
              <w:jc w:val="center"/>
              <w:rPr>
                <w:rFonts w:ascii="Arial" w:hAnsi="Arial" w:cs="Arial"/>
              </w:rPr>
            </w:pPr>
            <w:r w:rsidRPr="00F55A23">
              <w:rPr>
                <w:rFonts w:ascii="Arial" w:hAnsi="Arial" w:cs="Arial"/>
                <w:w w:val="90"/>
              </w:rPr>
              <w:t>69.3</w:t>
            </w:r>
          </w:p>
        </w:tc>
        <w:tc>
          <w:tcPr>
            <w:tcW w:w="1323"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vAlign w:val="bottom"/>
          </w:tcPr>
          <w:p w:rsidR="00C5788F" w:rsidRPr="00F55A23" w:rsidRDefault="00C5788F">
            <w:pPr>
              <w:pStyle w:val="Body"/>
              <w:jc w:val="center"/>
              <w:rPr>
                <w:rFonts w:ascii="Arial" w:hAnsi="Arial" w:cs="Arial"/>
                <w:w w:val="90"/>
              </w:rPr>
            </w:pPr>
            <w:r w:rsidRPr="00F55A23">
              <w:rPr>
                <w:rFonts w:ascii="Arial" w:hAnsi="Arial" w:cs="Arial"/>
                <w:w w:val="90"/>
              </w:rPr>
              <w:t>68.6</w:t>
            </w:r>
          </w:p>
          <w:p w:rsidR="00C5788F" w:rsidRPr="00F55A23" w:rsidRDefault="00C5788F">
            <w:pPr>
              <w:pStyle w:val="Body"/>
              <w:jc w:val="center"/>
              <w:rPr>
                <w:rFonts w:ascii="Arial" w:hAnsi="Arial" w:cs="Arial"/>
                <w:w w:val="90"/>
              </w:rPr>
            </w:pPr>
            <w:r w:rsidRPr="00F55A23">
              <w:rPr>
                <w:rFonts w:ascii="Arial" w:hAnsi="Arial" w:cs="Arial"/>
                <w:w w:val="90"/>
              </w:rPr>
              <w:t>55.1</w:t>
            </w:r>
          </w:p>
          <w:p w:rsidR="00C5788F" w:rsidRPr="00F55A23" w:rsidRDefault="00C5788F">
            <w:pPr>
              <w:pStyle w:val="Body"/>
              <w:jc w:val="center"/>
              <w:rPr>
                <w:rFonts w:ascii="Arial" w:hAnsi="Arial" w:cs="Arial"/>
              </w:rPr>
            </w:pPr>
            <w:r w:rsidRPr="00F55A23">
              <w:rPr>
                <w:rFonts w:ascii="Arial" w:hAnsi="Arial" w:cs="Arial"/>
                <w:w w:val="90"/>
              </w:rPr>
              <w:t>50.3</w:t>
            </w:r>
          </w:p>
        </w:tc>
        <w:tc>
          <w:tcPr>
            <w:tcW w:w="1323"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vAlign w:val="bottom"/>
          </w:tcPr>
          <w:p w:rsidR="00C5788F" w:rsidRPr="00F55A23" w:rsidRDefault="00C5788F">
            <w:pPr>
              <w:pStyle w:val="Body"/>
              <w:jc w:val="center"/>
              <w:rPr>
                <w:rFonts w:ascii="Arial" w:hAnsi="Arial" w:cs="Arial"/>
                <w:w w:val="90"/>
              </w:rPr>
            </w:pPr>
            <w:r w:rsidRPr="00F55A23">
              <w:rPr>
                <w:rFonts w:ascii="Arial" w:hAnsi="Arial" w:cs="Arial"/>
                <w:w w:val="90"/>
              </w:rPr>
              <w:t>12.4[1.8.22.8]</w:t>
            </w:r>
          </w:p>
          <w:p w:rsidR="00C5788F" w:rsidRPr="00F55A23" w:rsidRDefault="00C5788F">
            <w:pPr>
              <w:pStyle w:val="Body"/>
              <w:jc w:val="center"/>
              <w:rPr>
                <w:rFonts w:ascii="Arial" w:hAnsi="Arial" w:cs="Arial"/>
                <w:w w:val="90"/>
              </w:rPr>
            </w:pPr>
            <w:r w:rsidRPr="00F55A23">
              <w:rPr>
                <w:rFonts w:ascii="Arial" w:hAnsi="Arial" w:cs="Arial"/>
                <w:w w:val="90"/>
              </w:rPr>
              <w:t>19.0[7.5,30.3]</w:t>
            </w:r>
          </w:p>
          <w:p w:rsidR="00C5788F" w:rsidRPr="00F55A23" w:rsidRDefault="00C5788F">
            <w:pPr>
              <w:pStyle w:val="Body"/>
              <w:jc w:val="center"/>
              <w:rPr>
                <w:rFonts w:ascii="Arial" w:hAnsi="Arial" w:cs="Arial"/>
              </w:rPr>
            </w:pPr>
            <w:r w:rsidRPr="00F55A23">
              <w:rPr>
                <w:rFonts w:ascii="Arial" w:hAnsi="Arial" w:cs="Arial"/>
                <w:w w:val="90"/>
              </w:rPr>
              <w:t>19.0[7.4,30.7]</w:t>
            </w:r>
          </w:p>
        </w:tc>
      </w:tr>
      <w:tr w:rsidR="00C5788F" w:rsidRPr="00F55A23">
        <w:trPr>
          <w:trHeight w:val="60"/>
        </w:trPr>
        <w:tc>
          <w:tcPr>
            <w:tcW w:w="1323"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vAlign w:val="bottom"/>
          </w:tcPr>
          <w:p w:rsidR="00C5788F" w:rsidRPr="00F55A23" w:rsidRDefault="00C5788F">
            <w:pPr>
              <w:pStyle w:val="Body"/>
              <w:rPr>
                <w:rFonts w:ascii="Arial" w:hAnsi="Arial" w:cs="Arial"/>
                <w:w w:val="90"/>
              </w:rPr>
            </w:pPr>
            <w:r w:rsidRPr="00F55A23">
              <w:rPr>
                <w:rFonts w:ascii="Arial" w:hAnsi="Arial" w:cs="Arial"/>
                <w:spacing w:val="-4"/>
                <w:w w:val="90"/>
              </w:rPr>
              <w:t>No Nausea (%)</w:t>
            </w:r>
          </w:p>
          <w:p w:rsidR="00C5788F" w:rsidRPr="00F55A23" w:rsidRDefault="00C5788F">
            <w:pPr>
              <w:pStyle w:val="Body"/>
              <w:rPr>
                <w:rFonts w:ascii="Arial" w:hAnsi="Arial" w:cs="Arial"/>
                <w:w w:val="90"/>
              </w:rPr>
            </w:pPr>
            <w:r w:rsidRPr="00F55A23">
              <w:rPr>
                <w:rFonts w:ascii="Arial" w:hAnsi="Arial" w:cs="Arial"/>
                <w:w w:val="90"/>
              </w:rPr>
              <w:t>0-24h</w:t>
            </w:r>
          </w:p>
          <w:p w:rsidR="00C5788F" w:rsidRPr="00F55A23" w:rsidRDefault="00C5788F">
            <w:pPr>
              <w:pStyle w:val="Body"/>
              <w:rPr>
                <w:rFonts w:ascii="Arial" w:hAnsi="Arial" w:cs="Arial"/>
                <w:w w:val="90"/>
              </w:rPr>
            </w:pPr>
            <w:r w:rsidRPr="00F55A23">
              <w:rPr>
                <w:rFonts w:ascii="Arial" w:hAnsi="Arial" w:cs="Arial"/>
                <w:w w:val="90"/>
              </w:rPr>
              <w:t>24-120h</w:t>
            </w:r>
          </w:p>
          <w:p w:rsidR="00C5788F" w:rsidRPr="00F55A23" w:rsidRDefault="00C5788F">
            <w:pPr>
              <w:pStyle w:val="Body"/>
              <w:rPr>
                <w:rFonts w:ascii="Arial" w:hAnsi="Arial" w:cs="Arial"/>
              </w:rPr>
            </w:pPr>
            <w:r w:rsidRPr="00F55A23">
              <w:rPr>
                <w:rFonts w:ascii="Arial" w:hAnsi="Arial" w:cs="Arial"/>
                <w:w w:val="90"/>
              </w:rPr>
              <w:t>0-120h</w:t>
            </w:r>
          </w:p>
        </w:tc>
        <w:tc>
          <w:tcPr>
            <w:tcW w:w="1322"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vAlign w:val="bottom"/>
          </w:tcPr>
          <w:p w:rsidR="00C5788F" w:rsidRPr="00F55A23" w:rsidRDefault="00C5788F">
            <w:pPr>
              <w:pStyle w:val="Body"/>
              <w:jc w:val="center"/>
              <w:rPr>
                <w:rFonts w:ascii="Arial" w:hAnsi="Arial" w:cs="Arial"/>
                <w:w w:val="90"/>
              </w:rPr>
            </w:pPr>
            <w:r w:rsidRPr="00F55A23">
              <w:rPr>
                <w:rFonts w:ascii="Arial" w:hAnsi="Arial" w:cs="Arial"/>
                <w:w w:val="90"/>
              </w:rPr>
              <w:t>60.3</w:t>
            </w:r>
          </w:p>
          <w:p w:rsidR="00C5788F" w:rsidRPr="00F55A23" w:rsidRDefault="00C5788F">
            <w:pPr>
              <w:pStyle w:val="Body"/>
              <w:jc w:val="center"/>
              <w:rPr>
                <w:rFonts w:ascii="Arial" w:hAnsi="Arial" w:cs="Arial"/>
                <w:w w:val="90"/>
              </w:rPr>
            </w:pPr>
            <w:r w:rsidRPr="00F55A23">
              <w:rPr>
                <w:rFonts w:ascii="Arial" w:hAnsi="Arial" w:cs="Arial"/>
                <w:w w:val="90"/>
              </w:rPr>
              <w:t>51.9</w:t>
            </w:r>
          </w:p>
          <w:p w:rsidR="00C5788F" w:rsidRPr="00F55A23" w:rsidRDefault="00C5788F">
            <w:pPr>
              <w:pStyle w:val="Body"/>
              <w:jc w:val="center"/>
              <w:rPr>
                <w:rFonts w:ascii="Arial" w:hAnsi="Arial" w:cs="Arial"/>
              </w:rPr>
            </w:pPr>
            <w:r w:rsidRPr="00F55A23">
              <w:rPr>
                <w:rFonts w:ascii="Arial" w:hAnsi="Arial" w:cs="Arial"/>
                <w:w w:val="90"/>
              </w:rPr>
              <w:t>45.0</w:t>
            </w:r>
          </w:p>
        </w:tc>
        <w:tc>
          <w:tcPr>
            <w:tcW w:w="1323"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vAlign w:val="bottom"/>
          </w:tcPr>
          <w:p w:rsidR="00C5788F" w:rsidRPr="00F55A23" w:rsidRDefault="00C5788F">
            <w:pPr>
              <w:pStyle w:val="Body"/>
              <w:jc w:val="center"/>
              <w:rPr>
                <w:rFonts w:ascii="Arial" w:hAnsi="Arial" w:cs="Arial"/>
                <w:w w:val="90"/>
              </w:rPr>
            </w:pPr>
            <w:r w:rsidRPr="00F55A23">
              <w:rPr>
                <w:rFonts w:ascii="Arial" w:hAnsi="Arial" w:cs="Arial"/>
                <w:w w:val="90"/>
              </w:rPr>
              <w:t>56.8</w:t>
            </w:r>
          </w:p>
          <w:p w:rsidR="00C5788F" w:rsidRPr="00F55A23" w:rsidRDefault="00C5788F">
            <w:pPr>
              <w:pStyle w:val="Body"/>
              <w:jc w:val="center"/>
              <w:rPr>
                <w:rFonts w:ascii="Arial" w:hAnsi="Arial" w:cs="Arial"/>
                <w:w w:val="90"/>
              </w:rPr>
            </w:pPr>
            <w:r w:rsidRPr="00F55A23">
              <w:rPr>
                <w:rFonts w:ascii="Arial" w:hAnsi="Arial" w:cs="Arial"/>
                <w:w w:val="90"/>
              </w:rPr>
              <w:t>39.5</w:t>
            </w:r>
          </w:p>
          <w:p w:rsidR="00C5788F" w:rsidRPr="00F55A23" w:rsidRDefault="00C5788F">
            <w:pPr>
              <w:pStyle w:val="Body"/>
              <w:jc w:val="center"/>
              <w:rPr>
                <w:rFonts w:ascii="Arial" w:hAnsi="Arial" w:cs="Arial"/>
              </w:rPr>
            </w:pPr>
            <w:r w:rsidRPr="00F55A23">
              <w:rPr>
                <w:rFonts w:ascii="Arial" w:hAnsi="Arial" w:cs="Arial"/>
                <w:w w:val="90"/>
              </w:rPr>
              <w:t>36.2</w:t>
            </w:r>
          </w:p>
        </w:tc>
        <w:tc>
          <w:tcPr>
            <w:tcW w:w="1323"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vAlign w:val="bottom"/>
          </w:tcPr>
          <w:p w:rsidR="00C5788F" w:rsidRPr="00F55A23" w:rsidRDefault="00C5788F">
            <w:pPr>
              <w:pStyle w:val="Body"/>
              <w:jc w:val="center"/>
              <w:rPr>
                <w:rFonts w:ascii="Arial" w:hAnsi="Arial" w:cs="Arial"/>
                <w:w w:val="90"/>
              </w:rPr>
            </w:pPr>
            <w:r w:rsidRPr="00F55A23">
              <w:rPr>
                <w:rFonts w:ascii="Arial" w:hAnsi="Arial" w:cs="Arial"/>
                <w:w w:val="90"/>
              </w:rPr>
              <w:t>3.5[not sig]</w:t>
            </w:r>
          </w:p>
          <w:p w:rsidR="00C5788F" w:rsidRPr="00F55A23" w:rsidRDefault="00C5788F">
            <w:pPr>
              <w:pStyle w:val="Body"/>
              <w:jc w:val="center"/>
              <w:rPr>
                <w:rFonts w:ascii="Arial" w:hAnsi="Arial" w:cs="Arial"/>
                <w:w w:val="90"/>
              </w:rPr>
            </w:pPr>
            <w:r w:rsidRPr="00F55A23">
              <w:rPr>
                <w:rFonts w:ascii="Arial" w:hAnsi="Arial" w:cs="Arial"/>
                <w:w w:val="90"/>
              </w:rPr>
              <w:t>12.4[not sig]</w:t>
            </w:r>
          </w:p>
          <w:p w:rsidR="00C5788F" w:rsidRPr="00F55A23" w:rsidRDefault="00C5788F">
            <w:pPr>
              <w:pStyle w:val="Body"/>
              <w:jc w:val="center"/>
              <w:rPr>
                <w:rFonts w:ascii="Arial" w:hAnsi="Arial" w:cs="Arial"/>
              </w:rPr>
            </w:pPr>
            <w:r w:rsidRPr="00F55A23">
              <w:rPr>
                <w:rFonts w:ascii="Arial" w:hAnsi="Arial" w:cs="Arial"/>
                <w:w w:val="90"/>
              </w:rPr>
              <w:t>8.8[not sig]</w:t>
            </w:r>
          </w:p>
        </w:tc>
      </w:tr>
    </w:tbl>
    <w:p w:rsidR="00C5788F" w:rsidRPr="00F55A23" w:rsidRDefault="00C5788F" w:rsidP="00C5788F">
      <w:pPr>
        <w:pStyle w:val="Body"/>
        <w:rPr>
          <w:rFonts w:ascii="Arial" w:hAnsi="Arial" w:cs="Arial"/>
          <w:spacing w:val="-4"/>
          <w:w w:val="95"/>
        </w:rPr>
      </w:pPr>
    </w:p>
    <w:p w:rsidR="00C5788F" w:rsidRPr="00F55A23" w:rsidRDefault="00C5788F" w:rsidP="00C5788F">
      <w:pPr>
        <w:pStyle w:val="Body"/>
        <w:rPr>
          <w:rFonts w:ascii="Arial" w:hAnsi="Arial" w:cs="Arial"/>
          <w:spacing w:val="-4"/>
          <w:w w:val="95"/>
        </w:rPr>
      </w:pPr>
    </w:p>
    <w:p w:rsidR="00C5788F" w:rsidRPr="00D312A2" w:rsidRDefault="00C669AB" w:rsidP="00C5788F">
      <w:pPr>
        <w:pStyle w:val="Body"/>
        <w:rPr>
          <w:rFonts w:ascii="Arial" w:hAnsi="Arial" w:cs="Arial"/>
          <w:spacing w:val="-4"/>
          <w:w w:val="95"/>
          <w:sz w:val="22"/>
        </w:rPr>
      </w:pPr>
      <w:r>
        <w:rPr>
          <w:rFonts w:ascii="Arial" w:hAnsi="Arial" w:cs="Arial"/>
          <w:spacing w:val="-4"/>
          <w:w w:val="95"/>
          <w:sz w:val="22"/>
        </w:rPr>
        <w:br w:type="page"/>
      </w:r>
      <w:r w:rsidR="00C5788F" w:rsidRPr="00D312A2">
        <w:rPr>
          <w:rFonts w:ascii="Arial" w:hAnsi="Arial" w:cs="Arial"/>
          <w:spacing w:val="-4"/>
          <w:w w:val="95"/>
          <w:sz w:val="22"/>
        </w:rPr>
        <w:lastRenderedPageBreak/>
        <w:t>Table 2: Study 2 - Efficacy after Moderately Emetogenic Chemotherapy</w:t>
      </w:r>
    </w:p>
    <w:tbl>
      <w:tblPr>
        <w:tblW w:w="0" w:type="auto"/>
        <w:tblInd w:w="28" w:type="dxa"/>
        <w:tblLayout w:type="fixed"/>
        <w:tblCellMar>
          <w:left w:w="0" w:type="dxa"/>
          <w:right w:w="0" w:type="dxa"/>
        </w:tblCellMar>
        <w:tblLook w:val="0000" w:firstRow="0" w:lastRow="0" w:firstColumn="0" w:lastColumn="0" w:noHBand="0" w:noVBand="0"/>
      </w:tblPr>
      <w:tblGrid>
        <w:gridCol w:w="1323"/>
        <w:gridCol w:w="1322"/>
        <w:gridCol w:w="1323"/>
        <w:gridCol w:w="1323"/>
      </w:tblGrid>
      <w:tr w:rsidR="00C5788F" w:rsidRPr="00F55A23">
        <w:trPr>
          <w:trHeight w:val="60"/>
        </w:trPr>
        <w:tc>
          <w:tcPr>
            <w:tcW w:w="1323" w:type="dxa"/>
            <w:tcBorders>
              <w:top w:val="single" w:sz="4" w:space="0" w:color="000000"/>
              <w:left w:val="single" w:sz="4" w:space="0" w:color="000000"/>
              <w:bottom w:val="single" w:sz="4" w:space="0" w:color="000000"/>
              <w:right w:val="single" w:sz="4" w:space="0" w:color="000000"/>
            </w:tcBorders>
            <w:shd w:val="solid" w:color="FFFFFF" w:fill="auto"/>
            <w:tcMar>
              <w:top w:w="57" w:type="dxa"/>
              <w:left w:w="28" w:type="dxa"/>
              <w:bottom w:w="57" w:type="dxa"/>
              <w:right w:w="28" w:type="dxa"/>
            </w:tcMar>
          </w:tcPr>
          <w:p w:rsidR="00C5788F" w:rsidRPr="00F55A23" w:rsidRDefault="00C5788F">
            <w:pPr>
              <w:pStyle w:val="NoParagraphStyle"/>
              <w:spacing w:line="240" w:lineRule="auto"/>
              <w:textAlignment w:val="auto"/>
              <w:rPr>
                <w:rFonts w:ascii="Arial" w:hAnsi="Arial" w:cs="Arial"/>
                <w:color w:val="auto"/>
                <w:lang w:val="en-AU"/>
              </w:rPr>
            </w:pPr>
          </w:p>
        </w:tc>
        <w:tc>
          <w:tcPr>
            <w:tcW w:w="1322" w:type="dxa"/>
            <w:tcBorders>
              <w:top w:val="single" w:sz="4" w:space="0" w:color="000000"/>
              <w:left w:val="single" w:sz="4" w:space="0" w:color="000000"/>
              <w:bottom w:val="single" w:sz="4" w:space="0" w:color="000000"/>
              <w:right w:val="single" w:sz="4" w:space="0" w:color="000000"/>
            </w:tcBorders>
            <w:shd w:val="solid" w:color="FFFFFF" w:fill="auto"/>
            <w:tcMar>
              <w:top w:w="57" w:type="dxa"/>
              <w:left w:w="28" w:type="dxa"/>
              <w:bottom w:w="57" w:type="dxa"/>
              <w:right w:w="28" w:type="dxa"/>
            </w:tcMar>
          </w:tcPr>
          <w:p w:rsidR="00C5788F" w:rsidRPr="00F55A23" w:rsidRDefault="00C5788F">
            <w:pPr>
              <w:pStyle w:val="Body"/>
              <w:jc w:val="center"/>
              <w:rPr>
                <w:rFonts w:ascii="Arial" w:hAnsi="Arial" w:cs="Arial"/>
                <w:outline/>
                <w:spacing w:val="-7"/>
                <w:w w:val="90"/>
              </w:rPr>
            </w:pPr>
            <w:r w:rsidRPr="00F55A23">
              <w:rPr>
                <w:rFonts w:ascii="Arial" w:hAnsi="Arial" w:cs="Arial"/>
                <w:outline/>
                <w:spacing w:val="-7"/>
                <w:w w:val="90"/>
              </w:rPr>
              <w:t>Palonosetron 250 µg</w:t>
            </w:r>
          </w:p>
          <w:p w:rsidR="00C5788F" w:rsidRPr="00F55A23" w:rsidRDefault="00C5788F">
            <w:pPr>
              <w:pStyle w:val="Body"/>
              <w:jc w:val="center"/>
              <w:rPr>
                <w:rFonts w:ascii="Arial" w:hAnsi="Arial" w:cs="Arial"/>
              </w:rPr>
            </w:pPr>
            <w:r w:rsidRPr="00F55A23">
              <w:rPr>
                <w:rFonts w:ascii="Arial" w:hAnsi="Arial" w:cs="Arial"/>
                <w:outline/>
                <w:spacing w:val="-7"/>
                <w:w w:val="90"/>
              </w:rPr>
              <w:t>(n=189)</w:t>
            </w:r>
          </w:p>
        </w:tc>
        <w:tc>
          <w:tcPr>
            <w:tcW w:w="1323" w:type="dxa"/>
            <w:tcBorders>
              <w:top w:val="single" w:sz="4" w:space="0" w:color="000000"/>
              <w:left w:val="single" w:sz="4" w:space="0" w:color="000000"/>
              <w:bottom w:val="single" w:sz="4" w:space="0" w:color="000000"/>
              <w:right w:val="single" w:sz="4" w:space="0" w:color="000000"/>
            </w:tcBorders>
            <w:shd w:val="solid" w:color="FFFFFF" w:fill="auto"/>
            <w:tcMar>
              <w:top w:w="57" w:type="dxa"/>
              <w:left w:w="28" w:type="dxa"/>
              <w:bottom w:w="57" w:type="dxa"/>
              <w:right w:w="28" w:type="dxa"/>
            </w:tcMar>
          </w:tcPr>
          <w:p w:rsidR="00C5788F" w:rsidRPr="00F55A23" w:rsidRDefault="00C5788F" w:rsidP="00C5788F">
            <w:pPr>
              <w:pStyle w:val="Body"/>
              <w:jc w:val="center"/>
              <w:rPr>
                <w:rFonts w:ascii="Arial" w:hAnsi="Arial" w:cs="Arial"/>
                <w:outline/>
                <w:spacing w:val="-7"/>
                <w:w w:val="90"/>
              </w:rPr>
            </w:pPr>
            <w:r w:rsidRPr="00F55A23">
              <w:rPr>
                <w:rFonts w:ascii="Arial" w:hAnsi="Arial" w:cs="Arial"/>
                <w:outline/>
                <w:spacing w:val="-7"/>
                <w:w w:val="90"/>
              </w:rPr>
              <w:t>Dolasetron 100 mg IV</w:t>
            </w:r>
          </w:p>
          <w:p w:rsidR="00C5788F" w:rsidRPr="00F55A23" w:rsidRDefault="00C5788F">
            <w:pPr>
              <w:pStyle w:val="Body"/>
              <w:jc w:val="center"/>
              <w:rPr>
                <w:rFonts w:ascii="Arial" w:hAnsi="Arial" w:cs="Arial"/>
              </w:rPr>
            </w:pPr>
            <w:r w:rsidRPr="00F55A23">
              <w:rPr>
                <w:rFonts w:ascii="Arial" w:hAnsi="Arial" w:cs="Arial"/>
                <w:outline/>
                <w:spacing w:val="-7"/>
                <w:w w:val="90"/>
              </w:rPr>
              <w:t>(n=191)</w:t>
            </w:r>
          </w:p>
        </w:tc>
        <w:tc>
          <w:tcPr>
            <w:tcW w:w="1323" w:type="dxa"/>
            <w:tcBorders>
              <w:top w:val="single" w:sz="4" w:space="0" w:color="000000"/>
              <w:left w:val="single" w:sz="4" w:space="0" w:color="000000"/>
              <w:bottom w:val="single" w:sz="4" w:space="0" w:color="000000"/>
              <w:right w:val="single" w:sz="4" w:space="0" w:color="000000"/>
            </w:tcBorders>
            <w:shd w:val="solid" w:color="FFFFFF" w:fill="auto"/>
            <w:tcMar>
              <w:top w:w="57" w:type="dxa"/>
              <w:left w:w="28" w:type="dxa"/>
              <w:bottom w:w="57" w:type="dxa"/>
              <w:right w:w="28" w:type="dxa"/>
            </w:tcMar>
          </w:tcPr>
          <w:p w:rsidR="00C5788F" w:rsidRPr="00F55A23" w:rsidRDefault="00C5788F">
            <w:pPr>
              <w:pStyle w:val="Body"/>
              <w:jc w:val="center"/>
              <w:rPr>
                <w:rFonts w:ascii="Arial" w:hAnsi="Arial" w:cs="Arial"/>
                <w:outline/>
                <w:spacing w:val="-7"/>
                <w:w w:val="90"/>
                <w:vertAlign w:val="superscript"/>
              </w:rPr>
            </w:pPr>
            <w:r w:rsidRPr="00F55A23">
              <w:rPr>
                <w:rFonts w:ascii="Arial" w:hAnsi="Arial" w:cs="Arial"/>
                <w:outline/>
                <w:spacing w:val="-7"/>
                <w:w w:val="90"/>
              </w:rPr>
              <w:t>Difference [97.5%CI]</w:t>
            </w:r>
            <w:r w:rsidRPr="00F55A23">
              <w:rPr>
                <w:rFonts w:ascii="Arial" w:hAnsi="Arial" w:cs="Arial"/>
                <w:outline/>
                <w:spacing w:val="-7"/>
                <w:w w:val="90"/>
                <w:vertAlign w:val="superscript"/>
              </w:rPr>
              <w:t>1</w:t>
            </w:r>
          </w:p>
          <w:p w:rsidR="00C5788F" w:rsidRPr="00F55A23" w:rsidRDefault="00C5788F">
            <w:pPr>
              <w:pStyle w:val="Body"/>
              <w:jc w:val="center"/>
              <w:rPr>
                <w:rFonts w:ascii="Arial" w:hAnsi="Arial" w:cs="Arial"/>
              </w:rPr>
            </w:pPr>
          </w:p>
        </w:tc>
      </w:tr>
      <w:tr w:rsidR="00C5788F" w:rsidRPr="00F55A23">
        <w:trPr>
          <w:trHeight w:val="60"/>
        </w:trPr>
        <w:tc>
          <w:tcPr>
            <w:tcW w:w="1323"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vAlign w:val="bottom"/>
          </w:tcPr>
          <w:p w:rsidR="00C5788F" w:rsidRPr="00F55A23" w:rsidRDefault="00C5788F">
            <w:pPr>
              <w:pStyle w:val="Body"/>
              <w:rPr>
                <w:rFonts w:ascii="Arial" w:hAnsi="Arial" w:cs="Arial"/>
                <w:w w:val="90"/>
              </w:rPr>
            </w:pPr>
            <w:r w:rsidRPr="00F55A23">
              <w:rPr>
                <w:rFonts w:ascii="Arial" w:hAnsi="Arial" w:cs="Arial"/>
                <w:w w:val="90"/>
              </w:rPr>
              <w:t>Complete Response (%)</w:t>
            </w:r>
          </w:p>
          <w:p w:rsidR="00C5788F" w:rsidRPr="00F55A23" w:rsidRDefault="00C5788F">
            <w:pPr>
              <w:pStyle w:val="Body"/>
              <w:rPr>
                <w:rFonts w:ascii="Arial" w:hAnsi="Arial" w:cs="Arial"/>
                <w:w w:val="90"/>
              </w:rPr>
            </w:pPr>
            <w:r w:rsidRPr="00F55A23">
              <w:rPr>
                <w:rFonts w:ascii="Arial" w:hAnsi="Arial" w:cs="Arial"/>
                <w:w w:val="90"/>
              </w:rPr>
              <w:t>0-24h</w:t>
            </w:r>
          </w:p>
          <w:p w:rsidR="00C5788F" w:rsidRPr="00F55A23" w:rsidRDefault="00C5788F">
            <w:pPr>
              <w:pStyle w:val="Body"/>
              <w:rPr>
                <w:rFonts w:ascii="Arial" w:hAnsi="Arial" w:cs="Arial"/>
                <w:w w:val="90"/>
              </w:rPr>
            </w:pPr>
            <w:r w:rsidRPr="00F55A23">
              <w:rPr>
                <w:rFonts w:ascii="Arial" w:hAnsi="Arial" w:cs="Arial"/>
                <w:w w:val="90"/>
              </w:rPr>
              <w:t>24-120h</w:t>
            </w:r>
          </w:p>
          <w:p w:rsidR="00C5788F" w:rsidRPr="00F55A23" w:rsidRDefault="00C5788F">
            <w:pPr>
              <w:pStyle w:val="Body"/>
              <w:rPr>
                <w:rFonts w:ascii="Arial" w:hAnsi="Arial" w:cs="Arial"/>
              </w:rPr>
            </w:pPr>
            <w:r w:rsidRPr="00F55A23">
              <w:rPr>
                <w:rFonts w:ascii="Arial" w:hAnsi="Arial" w:cs="Arial"/>
                <w:w w:val="90"/>
              </w:rPr>
              <w:t>0-120h</w:t>
            </w:r>
          </w:p>
        </w:tc>
        <w:tc>
          <w:tcPr>
            <w:tcW w:w="1322"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vAlign w:val="bottom"/>
          </w:tcPr>
          <w:p w:rsidR="00C5788F" w:rsidRPr="00F55A23" w:rsidRDefault="00C5788F">
            <w:pPr>
              <w:pStyle w:val="Body"/>
              <w:jc w:val="center"/>
              <w:rPr>
                <w:rFonts w:ascii="Arial" w:hAnsi="Arial" w:cs="Arial"/>
                <w:w w:val="90"/>
              </w:rPr>
            </w:pPr>
            <w:r w:rsidRPr="00F55A23">
              <w:rPr>
                <w:rFonts w:ascii="Arial" w:hAnsi="Arial" w:cs="Arial"/>
                <w:w w:val="90"/>
              </w:rPr>
              <w:t>63.0</w:t>
            </w:r>
          </w:p>
          <w:p w:rsidR="00C5788F" w:rsidRPr="00F55A23" w:rsidRDefault="00C5788F">
            <w:pPr>
              <w:pStyle w:val="Body"/>
              <w:jc w:val="center"/>
              <w:rPr>
                <w:rFonts w:ascii="Arial" w:hAnsi="Arial" w:cs="Arial"/>
                <w:w w:val="90"/>
              </w:rPr>
            </w:pPr>
            <w:r w:rsidRPr="00F55A23">
              <w:rPr>
                <w:rFonts w:ascii="Arial" w:hAnsi="Arial" w:cs="Arial"/>
                <w:w w:val="90"/>
              </w:rPr>
              <w:t>54.0</w:t>
            </w:r>
          </w:p>
          <w:p w:rsidR="00C5788F" w:rsidRPr="00F55A23" w:rsidRDefault="00C5788F">
            <w:pPr>
              <w:pStyle w:val="Body"/>
              <w:jc w:val="center"/>
              <w:rPr>
                <w:rFonts w:ascii="Arial" w:hAnsi="Arial" w:cs="Arial"/>
              </w:rPr>
            </w:pPr>
            <w:r w:rsidRPr="00F55A23">
              <w:rPr>
                <w:rFonts w:ascii="Arial" w:hAnsi="Arial" w:cs="Arial"/>
                <w:w w:val="90"/>
              </w:rPr>
              <w:t>46.0</w:t>
            </w:r>
          </w:p>
        </w:tc>
        <w:tc>
          <w:tcPr>
            <w:tcW w:w="1323"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vAlign w:val="bottom"/>
          </w:tcPr>
          <w:p w:rsidR="00C5788F" w:rsidRPr="00F55A23" w:rsidRDefault="00C5788F">
            <w:pPr>
              <w:pStyle w:val="Body"/>
              <w:jc w:val="center"/>
              <w:rPr>
                <w:rFonts w:ascii="Arial" w:hAnsi="Arial" w:cs="Arial"/>
                <w:w w:val="90"/>
              </w:rPr>
            </w:pPr>
            <w:r w:rsidRPr="00F55A23">
              <w:rPr>
                <w:rFonts w:ascii="Arial" w:hAnsi="Arial" w:cs="Arial"/>
                <w:w w:val="90"/>
              </w:rPr>
              <w:t>52.9</w:t>
            </w:r>
          </w:p>
          <w:p w:rsidR="00C5788F" w:rsidRPr="00F55A23" w:rsidRDefault="00C5788F">
            <w:pPr>
              <w:pStyle w:val="Body"/>
              <w:jc w:val="center"/>
              <w:rPr>
                <w:rFonts w:ascii="Arial" w:hAnsi="Arial" w:cs="Arial"/>
                <w:w w:val="90"/>
              </w:rPr>
            </w:pPr>
            <w:r w:rsidRPr="00F55A23">
              <w:rPr>
                <w:rFonts w:ascii="Arial" w:hAnsi="Arial" w:cs="Arial"/>
                <w:w w:val="90"/>
              </w:rPr>
              <w:t>38.7</w:t>
            </w:r>
          </w:p>
          <w:p w:rsidR="00C5788F" w:rsidRPr="00F55A23" w:rsidRDefault="00C5788F">
            <w:pPr>
              <w:pStyle w:val="Body"/>
              <w:jc w:val="center"/>
              <w:rPr>
                <w:rFonts w:ascii="Arial" w:hAnsi="Arial" w:cs="Arial"/>
              </w:rPr>
            </w:pPr>
            <w:r w:rsidRPr="00F55A23">
              <w:rPr>
                <w:rFonts w:ascii="Arial" w:hAnsi="Arial" w:cs="Arial"/>
                <w:w w:val="90"/>
              </w:rPr>
              <w:t>34.0</w:t>
            </w:r>
          </w:p>
        </w:tc>
        <w:tc>
          <w:tcPr>
            <w:tcW w:w="1323"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vAlign w:val="bottom"/>
          </w:tcPr>
          <w:p w:rsidR="00C5788F" w:rsidRPr="00F55A23" w:rsidRDefault="00C5788F">
            <w:pPr>
              <w:pStyle w:val="Body"/>
              <w:jc w:val="center"/>
              <w:rPr>
                <w:rFonts w:ascii="Arial" w:hAnsi="Arial" w:cs="Arial"/>
                <w:w w:val="90"/>
              </w:rPr>
            </w:pPr>
            <w:r w:rsidRPr="00F55A23">
              <w:rPr>
                <w:rFonts w:ascii="Arial" w:hAnsi="Arial" w:cs="Arial"/>
                <w:w w:val="90"/>
              </w:rPr>
              <w:t>10.1 [-1.7,21.9]</w:t>
            </w:r>
          </w:p>
          <w:p w:rsidR="00C5788F" w:rsidRPr="00F55A23" w:rsidRDefault="00C5788F">
            <w:pPr>
              <w:pStyle w:val="Body"/>
              <w:jc w:val="center"/>
              <w:rPr>
                <w:rFonts w:ascii="Arial" w:hAnsi="Arial" w:cs="Arial"/>
                <w:w w:val="90"/>
              </w:rPr>
            </w:pPr>
            <w:r w:rsidRPr="00F55A23">
              <w:rPr>
                <w:rFonts w:ascii="Arial" w:hAnsi="Arial" w:cs="Arial"/>
                <w:w w:val="90"/>
              </w:rPr>
              <w:t>15.3 [3.4,27.1]</w:t>
            </w:r>
          </w:p>
          <w:p w:rsidR="00C5788F" w:rsidRPr="00F55A23" w:rsidRDefault="00C5788F">
            <w:pPr>
              <w:pStyle w:val="Body"/>
              <w:jc w:val="center"/>
              <w:rPr>
                <w:rFonts w:ascii="Arial" w:hAnsi="Arial" w:cs="Arial"/>
              </w:rPr>
            </w:pPr>
            <w:r w:rsidRPr="00F55A23">
              <w:rPr>
                <w:rFonts w:ascii="Arial" w:hAnsi="Arial" w:cs="Arial"/>
                <w:w w:val="90"/>
              </w:rPr>
              <w:t>12.0 [0.3,23.7]</w:t>
            </w:r>
          </w:p>
        </w:tc>
      </w:tr>
      <w:tr w:rsidR="00C5788F" w:rsidRPr="00F55A23">
        <w:trPr>
          <w:trHeight w:val="60"/>
        </w:trPr>
        <w:tc>
          <w:tcPr>
            <w:tcW w:w="1323"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vAlign w:val="bottom"/>
          </w:tcPr>
          <w:p w:rsidR="00C5788F" w:rsidRPr="00F55A23" w:rsidRDefault="00C5788F">
            <w:pPr>
              <w:pStyle w:val="Body"/>
              <w:rPr>
                <w:rFonts w:ascii="Arial" w:hAnsi="Arial" w:cs="Arial"/>
                <w:w w:val="90"/>
              </w:rPr>
            </w:pPr>
            <w:r w:rsidRPr="00F55A23">
              <w:rPr>
                <w:rFonts w:ascii="Arial" w:hAnsi="Arial" w:cs="Arial"/>
                <w:spacing w:val="-4"/>
                <w:w w:val="90"/>
              </w:rPr>
              <w:t>No Nausea (%)</w:t>
            </w:r>
          </w:p>
          <w:p w:rsidR="00C5788F" w:rsidRPr="00F55A23" w:rsidRDefault="00C5788F">
            <w:pPr>
              <w:pStyle w:val="Body"/>
              <w:rPr>
                <w:rFonts w:ascii="Arial" w:hAnsi="Arial" w:cs="Arial"/>
                <w:w w:val="90"/>
              </w:rPr>
            </w:pPr>
            <w:r w:rsidRPr="00F55A23">
              <w:rPr>
                <w:rFonts w:ascii="Arial" w:hAnsi="Arial" w:cs="Arial"/>
                <w:w w:val="90"/>
              </w:rPr>
              <w:t>0-24h</w:t>
            </w:r>
          </w:p>
          <w:p w:rsidR="00C5788F" w:rsidRPr="00F55A23" w:rsidRDefault="00C5788F">
            <w:pPr>
              <w:pStyle w:val="Body"/>
              <w:rPr>
                <w:rFonts w:ascii="Arial" w:hAnsi="Arial" w:cs="Arial"/>
                <w:w w:val="90"/>
              </w:rPr>
            </w:pPr>
            <w:r w:rsidRPr="00F55A23">
              <w:rPr>
                <w:rFonts w:ascii="Arial" w:hAnsi="Arial" w:cs="Arial"/>
                <w:w w:val="90"/>
              </w:rPr>
              <w:t>24-120h</w:t>
            </w:r>
          </w:p>
          <w:p w:rsidR="00C5788F" w:rsidRPr="00F55A23" w:rsidRDefault="00C5788F">
            <w:pPr>
              <w:pStyle w:val="Body"/>
              <w:rPr>
                <w:rFonts w:ascii="Arial" w:hAnsi="Arial" w:cs="Arial"/>
              </w:rPr>
            </w:pPr>
            <w:r w:rsidRPr="00F55A23">
              <w:rPr>
                <w:rFonts w:ascii="Arial" w:hAnsi="Arial" w:cs="Arial"/>
                <w:w w:val="90"/>
              </w:rPr>
              <w:t>0-120h</w:t>
            </w:r>
          </w:p>
        </w:tc>
        <w:tc>
          <w:tcPr>
            <w:tcW w:w="1322"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vAlign w:val="bottom"/>
          </w:tcPr>
          <w:p w:rsidR="00C5788F" w:rsidRPr="00F55A23" w:rsidRDefault="00C5788F">
            <w:pPr>
              <w:pStyle w:val="Body"/>
              <w:jc w:val="center"/>
              <w:rPr>
                <w:rFonts w:ascii="Arial" w:hAnsi="Arial" w:cs="Arial"/>
                <w:w w:val="90"/>
              </w:rPr>
            </w:pPr>
            <w:r w:rsidRPr="00F55A23">
              <w:rPr>
                <w:rFonts w:ascii="Arial" w:hAnsi="Arial" w:cs="Arial"/>
                <w:w w:val="90"/>
              </w:rPr>
              <w:t>48.7</w:t>
            </w:r>
          </w:p>
          <w:p w:rsidR="00C5788F" w:rsidRPr="00F55A23" w:rsidRDefault="00C5788F">
            <w:pPr>
              <w:pStyle w:val="Body"/>
              <w:jc w:val="center"/>
              <w:rPr>
                <w:rFonts w:ascii="Arial" w:hAnsi="Arial" w:cs="Arial"/>
                <w:w w:val="90"/>
              </w:rPr>
            </w:pPr>
            <w:r w:rsidRPr="00F55A23">
              <w:rPr>
                <w:rFonts w:ascii="Arial" w:hAnsi="Arial" w:cs="Arial"/>
                <w:w w:val="90"/>
              </w:rPr>
              <w:t>41.8</w:t>
            </w:r>
          </w:p>
          <w:p w:rsidR="00C5788F" w:rsidRPr="00F55A23" w:rsidRDefault="00C5788F">
            <w:pPr>
              <w:pStyle w:val="Body"/>
              <w:jc w:val="center"/>
              <w:rPr>
                <w:rFonts w:ascii="Arial" w:hAnsi="Arial" w:cs="Arial"/>
              </w:rPr>
            </w:pPr>
            <w:r w:rsidRPr="00F55A23">
              <w:rPr>
                <w:rFonts w:ascii="Arial" w:hAnsi="Arial" w:cs="Arial"/>
                <w:w w:val="90"/>
              </w:rPr>
              <w:t>33.9</w:t>
            </w:r>
          </w:p>
        </w:tc>
        <w:tc>
          <w:tcPr>
            <w:tcW w:w="1323"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vAlign w:val="bottom"/>
          </w:tcPr>
          <w:p w:rsidR="00C5788F" w:rsidRPr="00F55A23" w:rsidRDefault="00C5788F">
            <w:pPr>
              <w:pStyle w:val="Body"/>
              <w:jc w:val="center"/>
              <w:rPr>
                <w:rFonts w:ascii="Arial" w:hAnsi="Arial" w:cs="Arial"/>
                <w:w w:val="90"/>
              </w:rPr>
            </w:pPr>
            <w:r w:rsidRPr="00F55A23">
              <w:rPr>
                <w:rFonts w:ascii="Arial" w:hAnsi="Arial" w:cs="Arial"/>
                <w:w w:val="90"/>
              </w:rPr>
              <w:t>41.4</w:t>
            </w:r>
          </w:p>
          <w:p w:rsidR="00C5788F" w:rsidRPr="00F55A23" w:rsidRDefault="00C5788F">
            <w:pPr>
              <w:pStyle w:val="Body"/>
              <w:jc w:val="center"/>
              <w:rPr>
                <w:rFonts w:ascii="Arial" w:hAnsi="Arial" w:cs="Arial"/>
                <w:w w:val="90"/>
              </w:rPr>
            </w:pPr>
            <w:r w:rsidRPr="00F55A23">
              <w:rPr>
                <w:rFonts w:ascii="Arial" w:hAnsi="Arial" w:cs="Arial"/>
                <w:w w:val="90"/>
              </w:rPr>
              <w:t>26.2</w:t>
            </w:r>
          </w:p>
          <w:p w:rsidR="00C5788F" w:rsidRPr="00F55A23" w:rsidRDefault="00C5788F">
            <w:pPr>
              <w:pStyle w:val="Body"/>
              <w:jc w:val="center"/>
              <w:rPr>
                <w:rFonts w:ascii="Arial" w:hAnsi="Arial" w:cs="Arial"/>
              </w:rPr>
            </w:pPr>
            <w:r w:rsidRPr="00F55A23">
              <w:rPr>
                <w:rFonts w:ascii="Arial" w:hAnsi="Arial" w:cs="Arial"/>
                <w:w w:val="90"/>
              </w:rPr>
              <w:t>22.5</w:t>
            </w:r>
          </w:p>
        </w:tc>
        <w:tc>
          <w:tcPr>
            <w:tcW w:w="1323"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vAlign w:val="bottom"/>
          </w:tcPr>
          <w:p w:rsidR="00C5788F" w:rsidRPr="00F55A23" w:rsidRDefault="00C5788F">
            <w:pPr>
              <w:pStyle w:val="Body"/>
              <w:jc w:val="center"/>
              <w:rPr>
                <w:rFonts w:ascii="Arial" w:hAnsi="Arial" w:cs="Arial"/>
                <w:w w:val="90"/>
              </w:rPr>
            </w:pPr>
            <w:r w:rsidRPr="00F55A23">
              <w:rPr>
                <w:rFonts w:ascii="Arial" w:hAnsi="Arial" w:cs="Arial"/>
                <w:w w:val="90"/>
              </w:rPr>
              <w:t>7.3 [not sig]</w:t>
            </w:r>
          </w:p>
          <w:p w:rsidR="00C5788F" w:rsidRPr="00F55A23" w:rsidRDefault="00C5788F">
            <w:pPr>
              <w:pStyle w:val="Body"/>
              <w:jc w:val="center"/>
              <w:rPr>
                <w:rFonts w:ascii="Arial" w:hAnsi="Arial" w:cs="Arial"/>
                <w:w w:val="90"/>
              </w:rPr>
            </w:pPr>
            <w:r w:rsidRPr="00F55A23">
              <w:rPr>
                <w:rFonts w:ascii="Arial" w:hAnsi="Arial" w:cs="Arial"/>
                <w:w w:val="90"/>
              </w:rPr>
              <w:t>15.6 [</w:t>
            </w:r>
            <w:r w:rsidRPr="00F55A23">
              <w:rPr>
                <w:rFonts w:ascii="Arial" w:hAnsi="Arial" w:cs="Arial"/>
                <w:i/>
                <w:iCs/>
                <w:w w:val="90"/>
              </w:rPr>
              <w:t>p</w:t>
            </w:r>
            <w:r w:rsidRPr="00F55A23">
              <w:rPr>
                <w:rFonts w:ascii="Arial" w:hAnsi="Arial" w:cs="Arial"/>
                <w:w w:val="90"/>
              </w:rPr>
              <w:t>=0.001]</w:t>
            </w:r>
          </w:p>
          <w:p w:rsidR="00C5788F" w:rsidRPr="00F55A23" w:rsidRDefault="00C5788F">
            <w:pPr>
              <w:pStyle w:val="Body"/>
              <w:jc w:val="center"/>
              <w:rPr>
                <w:rFonts w:ascii="Arial" w:hAnsi="Arial" w:cs="Arial"/>
              </w:rPr>
            </w:pPr>
            <w:r w:rsidRPr="00F55A23">
              <w:rPr>
                <w:rFonts w:ascii="Arial" w:hAnsi="Arial" w:cs="Arial"/>
                <w:w w:val="90"/>
              </w:rPr>
              <w:t>11.4[</w:t>
            </w:r>
            <w:r w:rsidRPr="00F55A23">
              <w:rPr>
                <w:rFonts w:ascii="Arial" w:hAnsi="Arial" w:cs="Arial"/>
                <w:i/>
                <w:iCs/>
                <w:w w:val="90"/>
              </w:rPr>
              <w:t>p</w:t>
            </w:r>
            <w:r w:rsidRPr="00F55A23">
              <w:rPr>
                <w:rFonts w:ascii="Arial" w:hAnsi="Arial" w:cs="Arial"/>
                <w:w w:val="90"/>
              </w:rPr>
              <w:t>=0.01]</w:t>
            </w:r>
          </w:p>
        </w:tc>
      </w:tr>
    </w:tbl>
    <w:p w:rsidR="00C5788F" w:rsidRPr="00D312A2" w:rsidRDefault="00C5788F" w:rsidP="00C5788F">
      <w:pPr>
        <w:pStyle w:val="Body"/>
        <w:rPr>
          <w:rFonts w:ascii="Arial" w:hAnsi="Arial" w:cs="Arial"/>
          <w:spacing w:val="-4"/>
          <w:w w:val="95"/>
          <w:sz w:val="22"/>
        </w:rPr>
      </w:pP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Table 3: Study 3 - Efficacy after Highly Emetogenic Chemotherapy</w:t>
      </w:r>
    </w:p>
    <w:tbl>
      <w:tblPr>
        <w:tblW w:w="0" w:type="auto"/>
        <w:tblInd w:w="28" w:type="dxa"/>
        <w:tblLayout w:type="fixed"/>
        <w:tblCellMar>
          <w:left w:w="0" w:type="dxa"/>
          <w:right w:w="0" w:type="dxa"/>
        </w:tblCellMar>
        <w:tblLook w:val="0000" w:firstRow="0" w:lastRow="0" w:firstColumn="0" w:lastColumn="0" w:noHBand="0" w:noVBand="0"/>
      </w:tblPr>
      <w:tblGrid>
        <w:gridCol w:w="1323"/>
        <w:gridCol w:w="1322"/>
        <w:gridCol w:w="1323"/>
        <w:gridCol w:w="1323"/>
      </w:tblGrid>
      <w:tr w:rsidR="00C5788F" w:rsidRPr="00F55A23">
        <w:trPr>
          <w:trHeight w:val="60"/>
        </w:trPr>
        <w:tc>
          <w:tcPr>
            <w:tcW w:w="1323" w:type="dxa"/>
            <w:tcBorders>
              <w:top w:val="single" w:sz="4" w:space="0" w:color="000000"/>
              <w:left w:val="single" w:sz="4" w:space="0" w:color="000000"/>
              <w:bottom w:val="single" w:sz="4" w:space="0" w:color="000000"/>
              <w:right w:val="single" w:sz="4" w:space="0" w:color="000000"/>
            </w:tcBorders>
            <w:shd w:val="solid" w:color="FFFFFF" w:fill="auto"/>
            <w:tcMar>
              <w:top w:w="57" w:type="dxa"/>
              <w:left w:w="28" w:type="dxa"/>
              <w:bottom w:w="57" w:type="dxa"/>
              <w:right w:w="28" w:type="dxa"/>
            </w:tcMar>
          </w:tcPr>
          <w:p w:rsidR="00C5788F" w:rsidRPr="00F55A23" w:rsidRDefault="00C5788F">
            <w:pPr>
              <w:pStyle w:val="NoParagraphStyle"/>
              <w:spacing w:line="240" w:lineRule="auto"/>
              <w:textAlignment w:val="auto"/>
              <w:rPr>
                <w:rFonts w:ascii="Arial" w:hAnsi="Arial" w:cs="Arial"/>
                <w:color w:val="auto"/>
                <w:lang w:val="en-AU"/>
              </w:rPr>
            </w:pPr>
          </w:p>
        </w:tc>
        <w:tc>
          <w:tcPr>
            <w:tcW w:w="1322" w:type="dxa"/>
            <w:tcBorders>
              <w:top w:val="single" w:sz="4" w:space="0" w:color="000000"/>
              <w:left w:val="single" w:sz="4" w:space="0" w:color="000000"/>
              <w:bottom w:val="single" w:sz="4" w:space="0" w:color="000000"/>
              <w:right w:val="single" w:sz="4" w:space="0" w:color="000000"/>
            </w:tcBorders>
            <w:shd w:val="solid" w:color="FFFFFF" w:fill="auto"/>
            <w:tcMar>
              <w:top w:w="57" w:type="dxa"/>
              <w:left w:w="28" w:type="dxa"/>
              <w:bottom w:w="57" w:type="dxa"/>
              <w:right w:w="28" w:type="dxa"/>
            </w:tcMar>
          </w:tcPr>
          <w:p w:rsidR="00C5788F" w:rsidRPr="00F55A23" w:rsidRDefault="00C5788F">
            <w:pPr>
              <w:pStyle w:val="Body"/>
              <w:jc w:val="center"/>
              <w:rPr>
                <w:rFonts w:ascii="Arial" w:hAnsi="Arial" w:cs="Arial"/>
                <w:outline/>
                <w:spacing w:val="-7"/>
                <w:w w:val="90"/>
              </w:rPr>
            </w:pPr>
            <w:r w:rsidRPr="00F55A23">
              <w:rPr>
                <w:rFonts w:ascii="Arial" w:hAnsi="Arial" w:cs="Arial"/>
                <w:outline/>
                <w:spacing w:val="-7"/>
                <w:w w:val="90"/>
              </w:rPr>
              <w:t>Palonosetron 250 µg</w:t>
            </w:r>
          </w:p>
          <w:p w:rsidR="00C5788F" w:rsidRPr="00F55A23" w:rsidRDefault="00C5788F">
            <w:pPr>
              <w:pStyle w:val="Body"/>
              <w:jc w:val="center"/>
              <w:rPr>
                <w:rFonts w:ascii="Arial" w:hAnsi="Arial" w:cs="Arial"/>
              </w:rPr>
            </w:pPr>
            <w:r w:rsidRPr="00F55A23">
              <w:rPr>
                <w:rFonts w:ascii="Arial" w:hAnsi="Arial" w:cs="Arial"/>
                <w:outline/>
                <w:spacing w:val="-7"/>
                <w:w w:val="90"/>
              </w:rPr>
              <w:t>(n=223)</w:t>
            </w:r>
          </w:p>
        </w:tc>
        <w:tc>
          <w:tcPr>
            <w:tcW w:w="1323" w:type="dxa"/>
            <w:tcBorders>
              <w:top w:val="single" w:sz="4" w:space="0" w:color="000000"/>
              <w:left w:val="single" w:sz="4" w:space="0" w:color="000000"/>
              <w:bottom w:val="single" w:sz="4" w:space="0" w:color="000000"/>
              <w:right w:val="single" w:sz="4" w:space="0" w:color="000000"/>
            </w:tcBorders>
            <w:shd w:val="solid" w:color="FFFFFF" w:fill="auto"/>
            <w:tcMar>
              <w:top w:w="57" w:type="dxa"/>
              <w:left w:w="28" w:type="dxa"/>
              <w:bottom w:w="57" w:type="dxa"/>
              <w:right w:w="28" w:type="dxa"/>
            </w:tcMar>
          </w:tcPr>
          <w:p w:rsidR="00C5788F" w:rsidRPr="00F55A23" w:rsidRDefault="00C5788F">
            <w:pPr>
              <w:pStyle w:val="Body"/>
              <w:jc w:val="center"/>
              <w:rPr>
                <w:rFonts w:ascii="Arial" w:hAnsi="Arial" w:cs="Arial"/>
                <w:outline/>
                <w:spacing w:val="-7"/>
                <w:w w:val="90"/>
              </w:rPr>
            </w:pPr>
            <w:r w:rsidRPr="00F55A23">
              <w:rPr>
                <w:rFonts w:ascii="Arial" w:hAnsi="Arial" w:cs="Arial"/>
                <w:outline/>
                <w:spacing w:val="-7"/>
                <w:w w:val="90"/>
              </w:rPr>
              <w:t>Ondansetron 32 mg IV</w:t>
            </w:r>
          </w:p>
          <w:p w:rsidR="00C5788F" w:rsidRPr="00F55A23" w:rsidRDefault="00C5788F">
            <w:pPr>
              <w:pStyle w:val="Body"/>
              <w:jc w:val="center"/>
              <w:rPr>
                <w:rFonts w:ascii="Arial" w:hAnsi="Arial" w:cs="Arial"/>
              </w:rPr>
            </w:pPr>
            <w:r w:rsidRPr="00F55A23">
              <w:rPr>
                <w:rFonts w:ascii="Arial" w:hAnsi="Arial" w:cs="Arial"/>
                <w:outline/>
                <w:spacing w:val="-7"/>
                <w:w w:val="90"/>
              </w:rPr>
              <w:t>(n=221)</w:t>
            </w:r>
          </w:p>
        </w:tc>
        <w:tc>
          <w:tcPr>
            <w:tcW w:w="1323" w:type="dxa"/>
            <w:tcBorders>
              <w:top w:val="single" w:sz="4" w:space="0" w:color="000000"/>
              <w:left w:val="single" w:sz="4" w:space="0" w:color="000000"/>
              <w:bottom w:val="single" w:sz="4" w:space="0" w:color="000000"/>
              <w:right w:val="single" w:sz="4" w:space="0" w:color="000000"/>
            </w:tcBorders>
            <w:shd w:val="solid" w:color="FFFFFF" w:fill="auto"/>
            <w:tcMar>
              <w:top w:w="57" w:type="dxa"/>
              <w:left w:w="28" w:type="dxa"/>
              <w:bottom w:w="57" w:type="dxa"/>
              <w:right w:w="28" w:type="dxa"/>
            </w:tcMar>
          </w:tcPr>
          <w:p w:rsidR="00C5788F" w:rsidRPr="00F55A23" w:rsidRDefault="00C5788F">
            <w:pPr>
              <w:pStyle w:val="Body"/>
              <w:jc w:val="center"/>
              <w:rPr>
                <w:rFonts w:ascii="Arial" w:hAnsi="Arial" w:cs="Arial"/>
                <w:outline/>
                <w:spacing w:val="-7"/>
                <w:w w:val="90"/>
                <w:vertAlign w:val="superscript"/>
              </w:rPr>
            </w:pPr>
            <w:r w:rsidRPr="00F55A23">
              <w:rPr>
                <w:rFonts w:ascii="Arial" w:hAnsi="Arial" w:cs="Arial"/>
                <w:outline/>
                <w:spacing w:val="-7"/>
                <w:w w:val="90"/>
              </w:rPr>
              <w:t>Difference [97.5%CI]</w:t>
            </w:r>
            <w:r w:rsidRPr="00F55A23">
              <w:rPr>
                <w:rFonts w:ascii="Arial" w:hAnsi="Arial" w:cs="Arial"/>
                <w:outline/>
                <w:spacing w:val="-7"/>
                <w:w w:val="90"/>
                <w:vertAlign w:val="superscript"/>
              </w:rPr>
              <w:t>1</w:t>
            </w:r>
          </w:p>
          <w:p w:rsidR="00C5788F" w:rsidRPr="00F55A23" w:rsidRDefault="00C5788F">
            <w:pPr>
              <w:pStyle w:val="Body"/>
              <w:jc w:val="center"/>
              <w:rPr>
                <w:rFonts w:ascii="Arial" w:hAnsi="Arial" w:cs="Arial"/>
              </w:rPr>
            </w:pPr>
          </w:p>
        </w:tc>
      </w:tr>
      <w:tr w:rsidR="00C5788F" w:rsidRPr="00F55A23">
        <w:trPr>
          <w:trHeight w:val="60"/>
        </w:trPr>
        <w:tc>
          <w:tcPr>
            <w:tcW w:w="1323"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vAlign w:val="bottom"/>
          </w:tcPr>
          <w:p w:rsidR="00C5788F" w:rsidRPr="00F55A23" w:rsidRDefault="00C5788F">
            <w:pPr>
              <w:pStyle w:val="Body"/>
              <w:rPr>
                <w:rFonts w:ascii="Arial" w:hAnsi="Arial" w:cs="Arial"/>
                <w:w w:val="90"/>
              </w:rPr>
            </w:pPr>
            <w:r w:rsidRPr="00F55A23">
              <w:rPr>
                <w:rFonts w:ascii="Arial" w:hAnsi="Arial" w:cs="Arial"/>
                <w:w w:val="90"/>
              </w:rPr>
              <w:t>Complete Response (%)</w:t>
            </w:r>
          </w:p>
          <w:p w:rsidR="00C5788F" w:rsidRPr="00F55A23" w:rsidRDefault="00C5788F">
            <w:pPr>
              <w:pStyle w:val="Body"/>
              <w:rPr>
                <w:rFonts w:ascii="Arial" w:hAnsi="Arial" w:cs="Arial"/>
                <w:w w:val="90"/>
              </w:rPr>
            </w:pPr>
            <w:r w:rsidRPr="00F55A23">
              <w:rPr>
                <w:rFonts w:ascii="Arial" w:hAnsi="Arial" w:cs="Arial"/>
                <w:w w:val="90"/>
              </w:rPr>
              <w:t>0-24h</w:t>
            </w:r>
          </w:p>
          <w:p w:rsidR="00C5788F" w:rsidRPr="00F55A23" w:rsidRDefault="00C5788F">
            <w:pPr>
              <w:pStyle w:val="Body"/>
              <w:rPr>
                <w:rFonts w:ascii="Arial" w:hAnsi="Arial" w:cs="Arial"/>
                <w:w w:val="90"/>
              </w:rPr>
            </w:pPr>
            <w:r w:rsidRPr="00F55A23">
              <w:rPr>
                <w:rFonts w:ascii="Arial" w:hAnsi="Arial" w:cs="Arial"/>
                <w:w w:val="90"/>
              </w:rPr>
              <w:t>24-120h</w:t>
            </w:r>
          </w:p>
          <w:p w:rsidR="00C5788F" w:rsidRPr="00F55A23" w:rsidRDefault="00C5788F">
            <w:pPr>
              <w:pStyle w:val="Body"/>
              <w:rPr>
                <w:rFonts w:ascii="Arial" w:hAnsi="Arial" w:cs="Arial"/>
              </w:rPr>
            </w:pPr>
            <w:r w:rsidRPr="00F55A23">
              <w:rPr>
                <w:rFonts w:ascii="Arial" w:hAnsi="Arial" w:cs="Arial"/>
                <w:w w:val="90"/>
              </w:rPr>
              <w:t>0-120h</w:t>
            </w:r>
          </w:p>
        </w:tc>
        <w:tc>
          <w:tcPr>
            <w:tcW w:w="1322"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vAlign w:val="bottom"/>
          </w:tcPr>
          <w:p w:rsidR="00C5788F" w:rsidRPr="00F55A23" w:rsidRDefault="00C5788F">
            <w:pPr>
              <w:pStyle w:val="Body"/>
              <w:jc w:val="center"/>
              <w:rPr>
                <w:rFonts w:ascii="Arial" w:hAnsi="Arial" w:cs="Arial"/>
                <w:w w:val="90"/>
              </w:rPr>
            </w:pPr>
            <w:r w:rsidRPr="00F55A23">
              <w:rPr>
                <w:rFonts w:ascii="Arial" w:hAnsi="Arial" w:cs="Arial"/>
                <w:w w:val="90"/>
              </w:rPr>
              <w:t>59.2</w:t>
            </w:r>
          </w:p>
          <w:p w:rsidR="00C5788F" w:rsidRPr="00F55A23" w:rsidRDefault="00C5788F">
            <w:pPr>
              <w:pStyle w:val="Body"/>
              <w:jc w:val="center"/>
              <w:rPr>
                <w:rFonts w:ascii="Arial" w:hAnsi="Arial" w:cs="Arial"/>
                <w:w w:val="90"/>
              </w:rPr>
            </w:pPr>
            <w:r w:rsidRPr="00F55A23">
              <w:rPr>
                <w:rFonts w:ascii="Arial" w:hAnsi="Arial" w:cs="Arial"/>
                <w:w w:val="90"/>
              </w:rPr>
              <w:t>45.3</w:t>
            </w:r>
          </w:p>
          <w:p w:rsidR="00C5788F" w:rsidRPr="00F55A23" w:rsidRDefault="00C5788F">
            <w:pPr>
              <w:pStyle w:val="Body"/>
              <w:jc w:val="center"/>
              <w:rPr>
                <w:rFonts w:ascii="Arial" w:hAnsi="Arial" w:cs="Arial"/>
              </w:rPr>
            </w:pPr>
            <w:r w:rsidRPr="00F55A23">
              <w:rPr>
                <w:rFonts w:ascii="Arial" w:hAnsi="Arial" w:cs="Arial"/>
                <w:w w:val="90"/>
              </w:rPr>
              <w:t>40.8</w:t>
            </w:r>
          </w:p>
        </w:tc>
        <w:tc>
          <w:tcPr>
            <w:tcW w:w="1323"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vAlign w:val="bottom"/>
          </w:tcPr>
          <w:p w:rsidR="00C5788F" w:rsidRPr="00F55A23" w:rsidRDefault="00C5788F">
            <w:pPr>
              <w:pStyle w:val="Body"/>
              <w:jc w:val="center"/>
              <w:rPr>
                <w:rFonts w:ascii="Arial" w:hAnsi="Arial" w:cs="Arial"/>
                <w:w w:val="90"/>
              </w:rPr>
            </w:pPr>
            <w:r w:rsidRPr="00F55A23">
              <w:rPr>
                <w:rFonts w:ascii="Arial" w:hAnsi="Arial" w:cs="Arial"/>
                <w:w w:val="90"/>
              </w:rPr>
              <w:t>57.0</w:t>
            </w:r>
          </w:p>
          <w:p w:rsidR="00C5788F" w:rsidRPr="00F55A23" w:rsidRDefault="00C5788F">
            <w:pPr>
              <w:pStyle w:val="Body"/>
              <w:jc w:val="center"/>
              <w:rPr>
                <w:rFonts w:ascii="Arial" w:hAnsi="Arial" w:cs="Arial"/>
                <w:w w:val="90"/>
              </w:rPr>
            </w:pPr>
            <w:r w:rsidRPr="00F55A23">
              <w:rPr>
                <w:rFonts w:ascii="Arial" w:hAnsi="Arial" w:cs="Arial"/>
                <w:w w:val="90"/>
              </w:rPr>
              <w:t>38.9</w:t>
            </w:r>
          </w:p>
          <w:p w:rsidR="00C5788F" w:rsidRPr="00F55A23" w:rsidRDefault="00C5788F">
            <w:pPr>
              <w:pStyle w:val="Body"/>
              <w:jc w:val="center"/>
              <w:rPr>
                <w:rFonts w:ascii="Arial" w:hAnsi="Arial" w:cs="Arial"/>
              </w:rPr>
            </w:pPr>
            <w:r w:rsidRPr="00F55A23">
              <w:rPr>
                <w:rFonts w:ascii="Arial" w:hAnsi="Arial" w:cs="Arial"/>
                <w:w w:val="90"/>
              </w:rPr>
              <w:t>33.0</w:t>
            </w:r>
          </w:p>
        </w:tc>
        <w:tc>
          <w:tcPr>
            <w:tcW w:w="1323"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vAlign w:val="bottom"/>
          </w:tcPr>
          <w:p w:rsidR="00C5788F" w:rsidRPr="00F55A23" w:rsidRDefault="00C5788F">
            <w:pPr>
              <w:pStyle w:val="Body"/>
              <w:jc w:val="center"/>
              <w:rPr>
                <w:rFonts w:ascii="Arial" w:hAnsi="Arial" w:cs="Arial"/>
                <w:w w:val="90"/>
              </w:rPr>
            </w:pPr>
            <w:r w:rsidRPr="00F55A23">
              <w:rPr>
                <w:rFonts w:ascii="Arial" w:hAnsi="Arial" w:cs="Arial"/>
                <w:w w:val="90"/>
              </w:rPr>
              <w:t>2.2 [-8.8,13.1]</w:t>
            </w:r>
          </w:p>
          <w:p w:rsidR="00C5788F" w:rsidRPr="00F55A23" w:rsidRDefault="00C5788F">
            <w:pPr>
              <w:pStyle w:val="Body"/>
              <w:jc w:val="center"/>
              <w:rPr>
                <w:rFonts w:ascii="Arial" w:hAnsi="Arial" w:cs="Arial"/>
                <w:w w:val="90"/>
              </w:rPr>
            </w:pPr>
            <w:r w:rsidRPr="00F55A23">
              <w:rPr>
                <w:rFonts w:ascii="Arial" w:hAnsi="Arial" w:cs="Arial"/>
                <w:w w:val="90"/>
              </w:rPr>
              <w:t>6.4[-4.6,17.3]</w:t>
            </w:r>
          </w:p>
          <w:p w:rsidR="00C5788F" w:rsidRPr="00F55A23" w:rsidRDefault="00C5788F">
            <w:pPr>
              <w:pStyle w:val="Body"/>
              <w:jc w:val="center"/>
              <w:rPr>
                <w:rFonts w:ascii="Arial" w:hAnsi="Arial" w:cs="Arial"/>
              </w:rPr>
            </w:pPr>
            <w:r w:rsidRPr="00F55A23">
              <w:rPr>
                <w:rFonts w:ascii="Arial" w:hAnsi="Arial" w:cs="Arial"/>
                <w:w w:val="90"/>
              </w:rPr>
              <w:t>7.8[-2.9,18.5]</w:t>
            </w:r>
          </w:p>
        </w:tc>
      </w:tr>
      <w:tr w:rsidR="00C5788F" w:rsidRPr="00F55A23">
        <w:trPr>
          <w:trHeight w:val="60"/>
        </w:trPr>
        <w:tc>
          <w:tcPr>
            <w:tcW w:w="1323"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vAlign w:val="bottom"/>
          </w:tcPr>
          <w:p w:rsidR="00C5788F" w:rsidRPr="00F55A23" w:rsidRDefault="00C5788F">
            <w:pPr>
              <w:pStyle w:val="Body"/>
              <w:rPr>
                <w:rFonts w:ascii="Arial" w:hAnsi="Arial" w:cs="Arial"/>
                <w:w w:val="90"/>
              </w:rPr>
            </w:pPr>
            <w:r w:rsidRPr="00F55A23">
              <w:rPr>
                <w:rFonts w:ascii="Arial" w:hAnsi="Arial" w:cs="Arial"/>
                <w:spacing w:val="-4"/>
                <w:w w:val="90"/>
              </w:rPr>
              <w:t>No Nausea (%)</w:t>
            </w:r>
          </w:p>
          <w:p w:rsidR="00C5788F" w:rsidRPr="00F55A23" w:rsidRDefault="00C5788F">
            <w:pPr>
              <w:pStyle w:val="Body"/>
              <w:rPr>
                <w:rFonts w:ascii="Arial" w:hAnsi="Arial" w:cs="Arial"/>
                <w:w w:val="90"/>
              </w:rPr>
            </w:pPr>
            <w:r w:rsidRPr="00F55A23">
              <w:rPr>
                <w:rFonts w:ascii="Arial" w:hAnsi="Arial" w:cs="Arial"/>
                <w:w w:val="90"/>
              </w:rPr>
              <w:t>0-24h</w:t>
            </w:r>
          </w:p>
          <w:p w:rsidR="00C5788F" w:rsidRPr="00F55A23" w:rsidRDefault="00C5788F">
            <w:pPr>
              <w:pStyle w:val="Body"/>
              <w:rPr>
                <w:rFonts w:ascii="Arial" w:hAnsi="Arial" w:cs="Arial"/>
                <w:w w:val="90"/>
              </w:rPr>
            </w:pPr>
            <w:r w:rsidRPr="00F55A23">
              <w:rPr>
                <w:rFonts w:ascii="Arial" w:hAnsi="Arial" w:cs="Arial"/>
                <w:w w:val="90"/>
              </w:rPr>
              <w:t>24-120h</w:t>
            </w:r>
          </w:p>
          <w:p w:rsidR="00C5788F" w:rsidRPr="00F55A23" w:rsidRDefault="00C5788F">
            <w:pPr>
              <w:pStyle w:val="Body"/>
              <w:rPr>
                <w:rFonts w:ascii="Arial" w:hAnsi="Arial" w:cs="Arial"/>
              </w:rPr>
            </w:pPr>
            <w:r w:rsidRPr="00F55A23">
              <w:rPr>
                <w:rFonts w:ascii="Arial" w:hAnsi="Arial" w:cs="Arial"/>
                <w:w w:val="90"/>
              </w:rPr>
              <w:t>0-120h</w:t>
            </w:r>
          </w:p>
        </w:tc>
        <w:tc>
          <w:tcPr>
            <w:tcW w:w="1322"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vAlign w:val="bottom"/>
          </w:tcPr>
          <w:p w:rsidR="00C5788F" w:rsidRPr="00F55A23" w:rsidRDefault="00C5788F">
            <w:pPr>
              <w:pStyle w:val="Body"/>
              <w:jc w:val="center"/>
              <w:rPr>
                <w:rFonts w:ascii="Arial" w:hAnsi="Arial" w:cs="Arial"/>
                <w:w w:val="90"/>
              </w:rPr>
            </w:pPr>
            <w:r w:rsidRPr="00F55A23">
              <w:rPr>
                <w:rFonts w:ascii="Arial" w:hAnsi="Arial" w:cs="Arial"/>
                <w:w w:val="90"/>
              </w:rPr>
              <w:t>53.8</w:t>
            </w:r>
          </w:p>
          <w:p w:rsidR="00C5788F" w:rsidRPr="00F55A23" w:rsidRDefault="00C5788F">
            <w:pPr>
              <w:pStyle w:val="Body"/>
              <w:jc w:val="center"/>
              <w:rPr>
                <w:rFonts w:ascii="Arial" w:hAnsi="Arial" w:cs="Arial"/>
                <w:w w:val="90"/>
              </w:rPr>
            </w:pPr>
            <w:r w:rsidRPr="00F55A23">
              <w:rPr>
                <w:rFonts w:ascii="Arial" w:hAnsi="Arial" w:cs="Arial"/>
                <w:w w:val="90"/>
              </w:rPr>
              <w:t>35.4</w:t>
            </w:r>
          </w:p>
          <w:p w:rsidR="00C5788F" w:rsidRPr="00F55A23" w:rsidRDefault="00C5788F">
            <w:pPr>
              <w:pStyle w:val="Body"/>
              <w:jc w:val="center"/>
              <w:rPr>
                <w:rFonts w:ascii="Arial" w:hAnsi="Arial" w:cs="Arial"/>
              </w:rPr>
            </w:pPr>
            <w:r w:rsidRPr="00F55A23">
              <w:rPr>
                <w:rFonts w:ascii="Arial" w:hAnsi="Arial" w:cs="Arial"/>
                <w:w w:val="90"/>
              </w:rPr>
              <w:t>33.6</w:t>
            </w:r>
          </w:p>
        </w:tc>
        <w:tc>
          <w:tcPr>
            <w:tcW w:w="1323"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vAlign w:val="bottom"/>
          </w:tcPr>
          <w:p w:rsidR="00C5788F" w:rsidRPr="00F55A23" w:rsidRDefault="00C5788F">
            <w:pPr>
              <w:pStyle w:val="Body"/>
              <w:jc w:val="center"/>
              <w:rPr>
                <w:rFonts w:ascii="Arial" w:hAnsi="Arial" w:cs="Arial"/>
                <w:w w:val="90"/>
              </w:rPr>
            </w:pPr>
            <w:r w:rsidRPr="00F55A23">
              <w:rPr>
                <w:rFonts w:ascii="Arial" w:hAnsi="Arial" w:cs="Arial"/>
                <w:w w:val="90"/>
              </w:rPr>
              <w:t>49.3</w:t>
            </w:r>
          </w:p>
          <w:p w:rsidR="00C5788F" w:rsidRPr="00F55A23" w:rsidRDefault="00C5788F">
            <w:pPr>
              <w:pStyle w:val="Body"/>
              <w:jc w:val="center"/>
              <w:rPr>
                <w:rFonts w:ascii="Arial" w:hAnsi="Arial" w:cs="Arial"/>
                <w:w w:val="90"/>
              </w:rPr>
            </w:pPr>
            <w:r w:rsidRPr="00F55A23">
              <w:rPr>
                <w:rFonts w:ascii="Arial" w:hAnsi="Arial" w:cs="Arial"/>
                <w:w w:val="90"/>
              </w:rPr>
              <w:t>32.1</w:t>
            </w:r>
          </w:p>
          <w:p w:rsidR="00C5788F" w:rsidRPr="00F55A23" w:rsidRDefault="00C5788F">
            <w:pPr>
              <w:pStyle w:val="Body"/>
              <w:jc w:val="center"/>
              <w:rPr>
                <w:rFonts w:ascii="Arial" w:hAnsi="Arial" w:cs="Arial"/>
              </w:rPr>
            </w:pPr>
            <w:r w:rsidRPr="00F55A23">
              <w:rPr>
                <w:rFonts w:ascii="Arial" w:hAnsi="Arial" w:cs="Arial"/>
                <w:w w:val="90"/>
              </w:rPr>
              <w:t>32.1</w:t>
            </w:r>
          </w:p>
        </w:tc>
        <w:tc>
          <w:tcPr>
            <w:tcW w:w="1323"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vAlign w:val="bottom"/>
          </w:tcPr>
          <w:p w:rsidR="00C5788F" w:rsidRPr="00F55A23" w:rsidRDefault="00C5788F">
            <w:pPr>
              <w:pStyle w:val="Body"/>
              <w:jc w:val="center"/>
              <w:rPr>
                <w:rFonts w:ascii="Arial" w:hAnsi="Arial" w:cs="Arial"/>
                <w:w w:val="90"/>
              </w:rPr>
            </w:pPr>
            <w:r w:rsidRPr="00F55A23">
              <w:rPr>
                <w:rFonts w:ascii="Arial" w:hAnsi="Arial" w:cs="Arial"/>
                <w:w w:val="90"/>
              </w:rPr>
              <w:t>4.5[not sig]</w:t>
            </w:r>
          </w:p>
          <w:p w:rsidR="00C5788F" w:rsidRPr="00F55A23" w:rsidRDefault="00C5788F">
            <w:pPr>
              <w:pStyle w:val="Body"/>
              <w:jc w:val="center"/>
              <w:rPr>
                <w:rFonts w:ascii="Arial" w:hAnsi="Arial" w:cs="Arial"/>
                <w:w w:val="90"/>
              </w:rPr>
            </w:pPr>
            <w:r w:rsidRPr="00F55A23">
              <w:rPr>
                <w:rFonts w:ascii="Arial" w:hAnsi="Arial" w:cs="Arial"/>
                <w:w w:val="90"/>
              </w:rPr>
              <w:t>3.3[not sig]</w:t>
            </w:r>
          </w:p>
          <w:p w:rsidR="00C5788F" w:rsidRPr="00F55A23" w:rsidRDefault="00C5788F">
            <w:pPr>
              <w:pStyle w:val="Body"/>
              <w:jc w:val="center"/>
              <w:rPr>
                <w:rFonts w:ascii="Arial" w:hAnsi="Arial" w:cs="Arial"/>
              </w:rPr>
            </w:pPr>
            <w:r w:rsidRPr="00F55A23">
              <w:rPr>
                <w:rFonts w:ascii="Arial" w:hAnsi="Arial" w:cs="Arial"/>
                <w:w w:val="90"/>
              </w:rPr>
              <w:t>1.5[not sig]</w:t>
            </w:r>
          </w:p>
        </w:tc>
      </w:tr>
    </w:tbl>
    <w:p w:rsidR="00C5788F" w:rsidRPr="00F55A23" w:rsidRDefault="00C5788F" w:rsidP="00C5788F">
      <w:pPr>
        <w:pStyle w:val="Body"/>
        <w:rPr>
          <w:rFonts w:ascii="Arial" w:hAnsi="Arial" w:cs="Arial"/>
          <w:spacing w:val="-4"/>
          <w:w w:val="95"/>
        </w:rPr>
      </w:pPr>
    </w:p>
    <w:p w:rsidR="00C5788F" w:rsidRPr="00F55A23" w:rsidRDefault="00C5788F" w:rsidP="00C5788F">
      <w:pPr>
        <w:pStyle w:val="Body"/>
        <w:rPr>
          <w:rFonts w:ascii="Arial" w:hAnsi="Arial" w:cs="Arial"/>
          <w:spacing w:val="-4"/>
          <w:w w:val="95"/>
        </w:rPr>
      </w:pPr>
      <w:r w:rsidRPr="00F55A23">
        <w:rPr>
          <w:rFonts w:ascii="Arial" w:hAnsi="Arial" w:cs="Arial"/>
          <w:spacing w:val="-4"/>
          <w:w w:val="95"/>
          <w:vertAlign w:val="superscript"/>
        </w:rPr>
        <w:t>1</w:t>
      </w:r>
      <w:r w:rsidRPr="00F55A23">
        <w:rPr>
          <w:rFonts w:ascii="Arial" w:hAnsi="Arial" w:cs="Arial"/>
          <w:spacing w:val="-4"/>
          <w:w w:val="95"/>
        </w:rPr>
        <w:t xml:space="preserve"> The studies were designed to show non-inferiority in complete response. A lower bound &gt; -15% demonstrates non-inferiority between palonosetron and comparator. Absence of nausea (Likert Scale) was compared using a Chi-square test at </w:t>
      </w:r>
      <w:r w:rsidRPr="00F55A23">
        <w:rPr>
          <w:rFonts w:ascii="Arial" w:hAnsi="Arial" w:cs="Arial"/>
          <w:i/>
          <w:iCs/>
          <w:spacing w:val="-4"/>
          <w:w w:val="95"/>
        </w:rPr>
        <w:t>p</w:t>
      </w:r>
      <w:r w:rsidRPr="00F55A23">
        <w:rPr>
          <w:rFonts w:ascii="Arial" w:hAnsi="Arial" w:cs="Arial"/>
          <w:spacing w:val="-4"/>
          <w:w w:val="95"/>
        </w:rPr>
        <w:t>=0.05 significance level.</w:t>
      </w:r>
    </w:p>
    <w:p w:rsidR="00C5788F" w:rsidRPr="00F55A23" w:rsidRDefault="00C5788F" w:rsidP="00C5788F">
      <w:pPr>
        <w:pStyle w:val="Body"/>
        <w:rPr>
          <w:rFonts w:ascii="Arial" w:hAnsi="Arial" w:cs="Arial"/>
          <w:spacing w:val="-4"/>
          <w:w w:val="95"/>
        </w:rPr>
      </w:pPr>
    </w:p>
    <w:p w:rsidR="00C5788F" w:rsidRPr="00BF771F" w:rsidRDefault="00C5788F" w:rsidP="00C5788F">
      <w:pPr>
        <w:pStyle w:val="Body"/>
        <w:rPr>
          <w:rFonts w:ascii="Arial" w:hAnsi="Arial" w:cs="Arial"/>
          <w:b/>
          <w:spacing w:val="-4"/>
          <w:w w:val="95"/>
          <w:sz w:val="22"/>
        </w:rPr>
      </w:pPr>
      <w:r w:rsidRPr="00BF771F">
        <w:rPr>
          <w:rFonts w:ascii="Arial" w:hAnsi="Arial" w:cs="Arial"/>
          <w:b/>
          <w:spacing w:val="-4"/>
          <w:w w:val="95"/>
          <w:sz w:val="22"/>
        </w:rPr>
        <w:t>Multiple-dose palonosetron administration</w:t>
      </w:r>
    </w:p>
    <w:p w:rsidR="00C5788F" w:rsidRPr="00C91F50" w:rsidRDefault="00C5788F" w:rsidP="00C5788F">
      <w:pPr>
        <w:pStyle w:val="Body"/>
        <w:rPr>
          <w:rFonts w:ascii="Arial" w:hAnsi="Arial" w:cs="Arial"/>
          <w:spacing w:val="-4"/>
          <w:w w:val="95"/>
          <w:sz w:val="22"/>
        </w:rPr>
      </w:pPr>
      <w:r w:rsidRPr="00C91F50">
        <w:rPr>
          <w:rFonts w:ascii="Arial" w:hAnsi="Arial" w:cs="Arial"/>
          <w:spacing w:val="-4"/>
          <w:w w:val="95"/>
          <w:sz w:val="22"/>
        </w:rPr>
        <w:t>Published randomised, controlled studies have not been designed to show, or have not shown, improvement in primary efficacy endpoints related to nausea and vomiting in patient arms given ALOXI daily or on alternate days, relative to single dose use, in the context of multiple day chemotherapy.  It has not been clearly established that such repeated dosing provides significant additional benefit compared to a single dose.</w:t>
      </w:r>
    </w:p>
    <w:p w:rsidR="00C5788F" w:rsidRPr="00F55A23" w:rsidRDefault="00C5788F" w:rsidP="00C5788F">
      <w:pPr>
        <w:pStyle w:val="Body"/>
        <w:rPr>
          <w:rFonts w:ascii="Arial" w:hAnsi="Arial" w:cs="Arial"/>
          <w:spacing w:val="-4"/>
          <w:w w:val="95"/>
        </w:rPr>
      </w:pPr>
    </w:p>
    <w:p w:rsidR="00C5788F" w:rsidRPr="00D312A2" w:rsidRDefault="00C5788F" w:rsidP="00C5788F">
      <w:pPr>
        <w:pStyle w:val="h2"/>
        <w:rPr>
          <w:rFonts w:ascii="Arial" w:hAnsi="Arial" w:cs="Arial"/>
          <w:b/>
          <w:spacing w:val="-3"/>
          <w:w w:val="95"/>
          <w:sz w:val="22"/>
        </w:rPr>
      </w:pPr>
      <w:r w:rsidRPr="00D312A2">
        <w:rPr>
          <w:rFonts w:ascii="Arial" w:hAnsi="Arial" w:cs="Arial"/>
          <w:b/>
          <w:spacing w:val="-3"/>
          <w:w w:val="95"/>
          <w:sz w:val="22"/>
        </w:rPr>
        <w:t>INDICATIONS</w:t>
      </w: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ALOXI is indicated for prevention of nausea and vomiting induced by cytotoxic chemotherapy</w:t>
      </w:r>
    </w:p>
    <w:p w:rsidR="00C5788F" w:rsidRPr="00F55A23" w:rsidRDefault="00C5788F" w:rsidP="00C5788F">
      <w:pPr>
        <w:pStyle w:val="Body"/>
        <w:rPr>
          <w:rFonts w:ascii="Arial" w:hAnsi="Arial" w:cs="Arial"/>
          <w:spacing w:val="-4"/>
          <w:w w:val="95"/>
        </w:rPr>
      </w:pPr>
    </w:p>
    <w:p w:rsidR="00C5788F" w:rsidRPr="00D312A2" w:rsidRDefault="00C5788F" w:rsidP="00C5788F">
      <w:pPr>
        <w:pStyle w:val="h2"/>
        <w:rPr>
          <w:rFonts w:ascii="Arial" w:hAnsi="Arial" w:cs="Arial"/>
          <w:b/>
          <w:spacing w:val="-3"/>
          <w:w w:val="95"/>
          <w:sz w:val="22"/>
        </w:rPr>
      </w:pPr>
      <w:r w:rsidRPr="00D312A2">
        <w:rPr>
          <w:rFonts w:ascii="Arial" w:hAnsi="Arial" w:cs="Arial"/>
          <w:b/>
          <w:spacing w:val="-3"/>
          <w:w w:val="95"/>
          <w:sz w:val="22"/>
        </w:rPr>
        <w:t>CONTRAINDICATIONS</w:t>
      </w: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ALOXI is contraindicated in patients known to have hypersensitivity to the drug or any of its components.</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h2"/>
        <w:rPr>
          <w:rFonts w:ascii="Arial" w:hAnsi="Arial" w:cs="Arial"/>
          <w:b/>
          <w:spacing w:val="-3"/>
          <w:w w:val="95"/>
          <w:sz w:val="22"/>
        </w:rPr>
      </w:pPr>
      <w:r w:rsidRPr="00D312A2">
        <w:rPr>
          <w:rFonts w:ascii="Arial" w:hAnsi="Arial" w:cs="Arial"/>
          <w:b/>
          <w:spacing w:val="-3"/>
          <w:w w:val="95"/>
          <w:sz w:val="22"/>
        </w:rPr>
        <w:t>PRECAUTIONS</w:t>
      </w:r>
    </w:p>
    <w:p w:rsidR="00C5788F" w:rsidRPr="00D312A2" w:rsidRDefault="00C5788F" w:rsidP="00C5788F">
      <w:pPr>
        <w:pStyle w:val="h3"/>
        <w:rPr>
          <w:rFonts w:ascii="Arial" w:hAnsi="Arial" w:cs="Arial"/>
          <w:b/>
          <w:spacing w:val="-4"/>
          <w:w w:val="95"/>
          <w:sz w:val="22"/>
        </w:rPr>
      </w:pPr>
      <w:r w:rsidRPr="00D312A2">
        <w:rPr>
          <w:rFonts w:ascii="Arial" w:hAnsi="Arial" w:cs="Arial"/>
          <w:b/>
          <w:spacing w:val="-4"/>
          <w:w w:val="95"/>
          <w:sz w:val="22"/>
        </w:rPr>
        <w:t>General</w:t>
      </w: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Hypersensitivity reactions may occur in patients who have exhibited hypersensitivity to other selective 5-HT</w:t>
      </w:r>
      <w:r w:rsidRPr="00D312A2">
        <w:rPr>
          <w:rFonts w:ascii="Arial" w:hAnsi="Arial" w:cs="Arial"/>
          <w:spacing w:val="-4"/>
          <w:w w:val="95"/>
          <w:sz w:val="22"/>
          <w:vertAlign w:val="subscript"/>
        </w:rPr>
        <w:t>3</w:t>
      </w:r>
      <w:r w:rsidRPr="00D312A2">
        <w:rPr>
          <w:rFonts w:ascii="Arial" w:hAnsi="Arial" w:cs="Arial"/>
          <w:spacing w:val="-4"/>
          <w:w w:val="95"/>
          <w:sz w:val="22"/>
        </w:rPr>
        <w:t xml:space="preserve"> receptor antagonists. ALOXI should not be used to  prevent or treat nausea and vomiting in the days following chemotherapy if not associated with another chemotherapy admin</w:t>
      </w:r>
      <w:r>
        <w:rPr>
          <w:rFonts w:ascii="Arial" w:hAnsi="Arial" w:cs="Arial"/>
          <w:spacing w:val="-4"/>
          <w:w w:val="95"/>
          <w:sz w:val="22"/>
        </w:rPr>
        <w:t>i</w:t>
      </w:r>
      <w:r w:rsidRPr="00D312A2">
        <w:rPr>
          <w:rFonts w:ascii="Arial" w:hAnsi="Arial" w:cs="Arial"/>
          <w:spacing w:val="-4"/>
          <w:w w:val="95"/>
          <w:sz w:val="22"/>
        </w:rPr>
        <w:t>stration.</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h3"/>
        <w:rPr>
          <w:rFonts w:ascii="Arial" w:hAnsi="Arial" w:cs="Arial"/>
          <w:b/>
          <w:i w:val="0"/>
          <w:iCs w:val="0"/>
          <w:spacing w:val="0"/>
          <w:w w:val="95"/>
          <w:sz w:val="22"/>
        </w:rPr>
      </w:pPr>
      <w:r w:rsidRPr="00D312A2">
        <w:rPr>
          <w:rFonts w:ascii="Arial" w:hAnsi="Arial" w:cs="Arial"/>
          <w:b/>
          <w:spacing w:val="0"/>
          <w:w w:val="95"/>
          <w:sz w:val="22"/>
        </w:rPr>
        <w:lastRenderedPageBreak/>
        <w:t>Cardiac Conduction</w:t>
      </w:r>
    </w:p>
    <w:p w:rsidR="00C5788F" w:rsidRPr="00700B1D" w:rsidRDefault="00C5788F" w:rsidP="00C5788F">
      <w:pPr>
        <w:pStyle w:val="Body"/>
        <w:rPr>
          <w:rFonts w:ascii="Arial" w:hAnsi="Arial" w:cs="Arial"/>
          <w:spacing w:val="0"/>
          <w:w w:val="95"/>
          <w:sz w:val="22"/>
        </w:rPr>
      </w:pPr>
      <w:r>
        <w:rPr>
          <w:rFonts w:ascii="Arial" w:hAnsi="Arial" w:cs="Arial"/>
          <w:spacing w:val="0"/>
          <w:w w:val="95"/>
          <w:sz w:val="22"/>
        </w:rPr>
        <w:t xml:space="preserve">At all dose levels tested, palonosetron did not induce clinically relevant prolongation of the QTc interval.  A specific thorough QT/QTc study was conducted in healthy volunteers for definitive data demonstrating the effect of palonosetron on QT/QTc (see </w:t>
      </w:r>
      <w:r>
        <w:rPr>
          <w:rFonts w:ascii="Arial" w:hAnsi="Arial" w:cs="Arial"/>
          <w:i/>
          <w:spacing w:val="0"/>
          <w:w w:val="95"/>
          <w:sz w:val="22"/>
        </w:rPr>
        <w:t>Pharmacodynamics</w:t>
      </w:r>
      <w:r>
        <w:rPr>
          <w:rFonts w:ascii="Arial" w:hAnsi="Arial" w:cs="Arial"/>
          <w:spacing w:val="0"/>
          <w:w w:val="95"/>
          <w:sz w:val="22"/>
        </w:rPr>
        <w:t>).  However, as for the other 5-HT</w:t>
      </w:r>
      <w:r w:rsidRPr="00DF0439">
        <w:rPr>
          <w:rFonts w:ascii="Arial" w:hAnsi="Arial" w:cs="Arial"/>
          <w:spacing w:val="0"/>
          <w:w w:val="95"/>
          <w:sz w:val="22"/>
          <w:vertAlign w:val="subscript"/>
        </w:rPr>
        <w:t>3</w:t>
      </w:r>
      <w:r>
        <w:rPr>
          <w:rFonts w:ascii="Arial" w:hAnsi="Arial" w:cs="Arial"/>
          <w:spacing w:val="0"/>
          <w:w w:val="95"/>
          <w:sz w:val="22"/>
        </w:rPr>
        <w:t xml:space="preserve"> antagonists, caution should be exercised in the concomitant use of palonosetron with medicinal products that increase the QT interval or in patients who have or are likely to develop prolongation of the QT interval.</w:t>
      </w:r>
    </w:p>
    <w:p w:rsidR="00C5788F" w:rsidRDefault="00C5788F" w:rsidP="00C5788F">
      <w:pPr>
        <w:pStyle w:val="Body"/>
        <w:rPr>
          <w:rFonts w:ascii="Arial" w:hAnsi="Arial" w:cs="Arial"/>
          <w:spacing w:val="0"/>
          <w:w w:val="95"/>
          <w:sz w:val="22"/>
        </w:rPr>
      </w:pPr>
    </w:p>
    <w:p w:rsidR="00C5788F" w:rsidRPr="00D312A2" w:rsidRDefault="00C5788F" w:rsidP="00C5788F">
      <w:pPr>
        <w:pStyle w:val="Body"/>
        <w:rPr>
          <w:rFonts w:ascii="Arial" w:hAnsi="Arial" w:cs="Arial"/>
          <w:spacing w:val="0"/>
          <w:w w:val="95"/>
          <w:sz w:val="22"/>
        </w:rPr>
      </w:pPr>
      <w:r w:rsidRPr="00D312A2">
        <w:rPr>
          <w:rFonts w:ascii="Arial" w:hAnsi="Arial" w:cs="Arial"/>
          <w:spacing w:val="0"/>
          <w:w w:val="95"/>
          <w:sz w:val="22"/>
        </w:rPr>
        <w:t>Effects on ability to drive and use machines:  No studies on the effects on the ability to drive and use machines have been performed.</w:t>
      </w:r>
    </w:p>
    <w:p w:rsidR="00C5788F" w:rsidRPr="00D312A2" w:rsidRDefault="00C5788F" w:rsidP="00C5788F">
      <w:pPr>
        <w:pStyle w:val="h3"/>
        <w:rPr>
          <w:rFonts w:ascii="Arial" w:hAnsi="Arial" w:cs="Arial"/>
          <w:spacing w:val="0"/>
          <w:w w:val="95"/>
          <w:sz w:val="22"/>
        </w:rPr>
      </w:pPr>
    </w:p>
    <w:p w:rsidR="00C5788F" w:rsidRPr="00D312A2" w:rsidRDefault="00C5788F" w:rsidP="00C5788F">
      <w:pPr>
        <w:pStyle w:val="h3"/>
        <w:rPr>
          <w:rFonts w:ascii="Arial" w:hAnsi="Arial" w:cs="Arial"/>
          <w:b/>
          <w:spacing w:val="0"/>
          <w:w w:val="95"/>
          <w:sz w:val="22"/>
        </w:rPr>
      </w:pPr>
      <w:r w:rsidRPr="00D312A2">
        <w:rPr>
          <w:rFonts w:ascii="Arial" w:hAnsi="Arial" w:cs="Arial"/>
          <w:b/>
          <w:spacing w:val="0"/>
          <w:w w:val="95"/>
          <w:sz w:val="22"/>
        </w:rPr>
        <w:t>Carcinogenicity</w:t>
      </w:r>
    </w:p>
    <w:p w:rsidR="00C5788F" w:rsidRPr="00D312A2" w:rsidRDefault="00C5788F" w:rsidP="00C5788F">
      <w:pPr>
        <w:pStyle w:val="Body"/>
        <w:rPr>
          <w:rFonts w:ascii="Arial" w:hAnsi="Arial" w:cs="Arial"/>
          <w:spacing w:val="0"/>
          <w:w w:val="95"/>
          <w:sz w:val="22"/>
        </w:rPr>
      </w:pPr>
      <w:r w:rsidRPr="00D312A2">
        <w:rPr>
          <w:rFonts w:ascii="Arial" w:hAnsi="Arial" w:cs="Arial"/>
          <w:spacing w:val="0"/>
          <w:w w:val="95"/>
          <w:sz w:val="22"/>
        </w:rPr>
        <w:t xml:space="preserve">In a 104-week carcinogenicity study in CD-1 mice, animals were treated with oral doses of palonosetron at 10, 30 and 60 mg/kg/day.  Treatment with palonosetron was not tumorigenic.  The highest tested dose produced a systemic exposure to palonosetron (plasma AUC) of &gt; 600 times the human exposure at the recommended intravenous dose of 250 µg. </w:t>
      </w:r>
    </w:p>
    <w:p w:rsidR="00C5788F" w:rsidRPr="00D312A2" w:rsidRDefault="00C5788F" w:rsidP="00C5788F">
      <w:pPr>
        <w:pStyle w:val="Body"/>
        <w:rPr>
          <w:rFonts w:ascii="Arial" w:hAnsi="Arial" w:cs="Arial"/>
          <w:spacing w:val="0"/>
          <w:w w:val="95"/>
          <w:sz w:val="22"/>
        </w:rPr>
      </w:pPr>
    </w:p>
    <w:p w:rsidR="00C5788F" w:rsidRPr="00D312A2" w:rsidRDefault="00C5788F" w:rsidP="00C5788F">
      <w:pPr>
        <w:pStyle w:val="Body"/>
        <w:rPr>
          <w:rFonts w:ascii="Arial" w:hAnsi="Arial" w:cs="Arial"/>
          <w:spacing w:val="0"/>
          <w:w w:val="95"/>
          <w:sz w:val="22"/>
        </w:rPr>
      </w:pPr>
      <w:r w:rsidRPr="00D312A2">
        <w:rPr>
          <w:rFonts w:ascii="Arial" w:hAnsi="Arial" w:cs="Arial"/>
          <w:spacing w:val="0"/>
          <w:w w:val="95"/>
          <w:sz w:val="22"/>
        </w:rPr>
        <w:t xml:space="preserve">In a 104-week carcinogenicity study in Sprague-Dawley rats, male and female rats were treated with oral doses of 15, 30 and 60 mg/kg/day and 15, 45 and 90 mg/kg/day, respectively.  The lowest and highest doses, respectively, produced a systemic exposure to palonosetron (plasma AUC) of &gt; 25 times and &gt; 500 times the human exposure at the recommended dose.  </w:t>
      </w:r>
    </w:p>
    <w:p w:rsidR="00C5788F" w:rsidRPr="00D312A2" w:rsidRDefault="00C5788F" w:rsidP="00C5788F">
      <w:pPr>
        <w:pStyle w:val="Body"/>
        <w:rPr>
          <w:rFonts w:ascii="Arial" w:hAnsi="Arial" w:cs="Arial"/>
          <w:spacing w:val="0"/>
          <w:w w:val="95"/>
          <w:sz w:val="22"/>
        </w:rPr>
      </w:pPr>
    </w:p>
    <w:p w:rsidR="00C5788F" w:rsidRPr="00D312A2" w:rsidRDefault="00C5788F" w:rsidP="00C5788F">
      <w:pPr>
        <w:pStyle w:val="Body"/>
        <w:rPr>
          <w:rFonts w:ascii="Arial" w:hAnsi="Arial" w:cs="Arial"/>
          <w:spacing w:val="0"/>
          <w:w w:val="95"/>
          <w:sz w:val="22"/>
        </w:rPr>
      </w:pPr>
      <w:r w:rsidRPr="00D312A2">
        <w:rPr>
          <w:rFonts w:ascii="Arial" w:hAnsi="Arial" w:cs="Arial"/>
          <w:spacing w:val="0"/>
          <w:w w:val="95"/>
          <w:sz w:val="22"/>
        </w:rPr>
        <w:t>Treatment with palonosetron produced increased incidences of adrenal benign pheochromocytoma and combined benign and malignant pheochromocytoma in both male and female rats, of pancreatic Islet cell adenoma and combined adenoma and carcinoma of pancreatic acinar cell adenoma and combined adenoma and adenocarcinoma and of pituitary adenoma in male rats.  Increased incidences of skin keratocanthomas and tail squamous cell papillomas were also observed, mainly in males. In female rats, palonosetron produced hepatocellular adenoma and combined hepatocellular adenoma and carcinoma, and increased the incidences of thyroid C-cell adenoma and combined adenoma and carcinoma, and of mammary gland adrenocarcinoma.</w:t>
      </w:r>
    </w:p>
    <w:p w:rsidR="00C5788F" w:rsidRPr="00D312A2" w:rsidRDefault="00C5788F" w:rsidP="00C5788F">
      <w:pPr>
        <w:pStyle w:val="Body"/>
        <w:rPr>
          <w:rFonts w:ascii="Arial" w:hAnsi="Arial" w:cs="Arial"/>
          <w:spacing w:val="0"/>
          <w:w w:val="95"/>
          <w:sz w:val="22"/>
        </w:rPr>
      </w:pPr>
    </w:p>
    <w:p w:rsidR="00C5788F" w:rsidRPr="00D312A2" w:rsidRDefault="00C5788F" w:rsidP="00C5788F">
      <w:pPr>
        <w:pStyle w:val="h3"/>
        <w:rPr>
          <w:rFonts w:ascii="Arial" w:hAnsi="Arial" w:cs="Arial"/>
          <w:b/>
          <w:i w:val="0"/>
          <w:iCs w:val="0"/>
          <w:spacing w:val="0"/>
          <w:w w:val="95"/>
          <w:sz w:val="22"/>
        </w:rPr>
      </w:pPr>
      <w:r w:rsidRPr="00D312A2">
        <w:rPr>
          <w:rFonts w:ascii="Arial" w:hAnsi="Arial" w:cs="Arial"/>
          <w:b/>
          <w:spacing w:val="0"/>
          <w:w w:val="95"/>
          <w:sz w:val="22"/>
        </w:rPr>
        <w:t>Genotoxicity</w:t>
      </w:r>
    </w:p>
    <w:p w:rsidR="00C5788F" w:rsidRPr="00D312A2" w:rsidRDefault="00C5788F" w:rsidP="00C5788F">
      <w:pPr>
        <w:pStyle w:val="Body"/>
        <w:rPr>
          <w:rFonts w:ascii="Arial" w:hAnsi="Arial" w:cs="Arial"/>
          <w:spacing w:val="0"/>
          <w:w w:val="95"/>
          <w:sz w:val="22"/>
        </w:rPr>
      </w:pPr>
      <w:r w:rsidRPr="00D312A2">
        <w:rPr>
          <w:rFonts w:ascii="Arial" w:hAnsi="Arial" w:cs="Arial"/>
          <w:spacing w:val="0"/>
          <w:w w:val="95"/>
          <w:sz w:val="22"/>
        </w:rPr>
        <w:t xml:space="preserve">Palonosetron was not genotoxic in the Ames test, the Chinese hamster ovarian cell (CHO/HGPRT) forward mutation test, the </w:t>
      </w:r>
      <w:r w:rsidRPr="00D312A2">
        <w:rPr>
          <w:rFonts w:ascii="Arial" w:hAnsi="Arial" w:cs="Arial"/>
          <w:i/>
          <w:iCs/>
          <w:spacing w:val="0"/>
          <w:w w:val="95"/>
          <w:sz w:val="22"/>
        </w:rPr>
        <w:t>ex vivo</w:t>
      </w:r>
      <w:r w:rsidRPr="00D312A2">
        <w:rPr>
          <w:rFonts w:ascii="Arial" w:hAnsi="Arial" w:cs="Arial"/>
          <w:spacing w:val="0"/>
          <w:w w:val="95"/>
          <w:sz w:val="22"/>
        </w:rPr>
        <w:t xml:space="preserve"> hepatocyte unscheduled DNA synthesis test or the mouse micronucleus test.  It was, however, positive for clastogenic effects in the CHO cell chromosomal aberration test.</w:t>
      </w:r>
    </w:p>
    <w:p w:rsidR="00C5788F" w:rsidRPr="00D312A2" w:rsidRDefault="00C5788F" w:rsidP="00C5788F">
      <w:pPr>
        <w:pStyle w:val="Body"/>
        <w:rPr>
          <w:rFonts w:ascii="Arial" w:hAnsi="Arial" w:cs="Arial"/>
          <w:spacing w:val="0"/>
          <w:w w:val="95"/>
          <w:sz w:val="22"/>
        </w:rPr>
      </w:pPr>
    </w:p>
    <w:p w:rsidR="00C5788F" w:rsidRPr="00D312A2" w:rsidRDefault="00C5788F" w:rsidP="00C5788F">
      <w:pPr>
        <w:pStyle w:val="h3"/>
        <w:rPr>
          <w:rFonts w:ascii="Arial" w:hAnsi="Arial" w:cs="Arial"/>
          <w:b/>
          <w:i w:val="0"/>
          <w:iCs w:val="0"/>
          <w:spacing w:val="0"/>
          <w:w w:val="95"/>
          <w:sz w:val="22"/>
        </w:rPr>
      </w:pPr>
      <w:r w:rsidRPr="00D312A2">
        <w:rPr>
          <w:rFonts w:ascii="Arial" w:hAnsi="Arial" w:cs="Arial"/>
          <w:b/>
          <w:spacing w:val="0"/>
          <w:w w:val="95"/>
          <w:sz w:val="22"/>
        </w:rPr>
        <w:t>Effects on Fertility</w:t>
      </w:r>
    </w:p>
    <w:p w:rsidR="00C5788F" w:rsidRPr="00D312A2" w:rsidRDefault="00C5788F" w:rsidP="00C5788F">
      <w:pPr>
        <w:pStyle w:val="Body"/>
        <w:rPr>
          <w:rFonts w:ascii="Arial" w:hAnsi="Arial" w:cs="Arial"/>
          <w:spacing w:val="0"/>
          <w:w w:val="95"/>
          <w:sz w:val="22"/>
        </w:rPr>
      </w:pPr>
      <w:r w:rsidRPr="00D312A2">
        <w:rPr>
          <w:rFonts w:ascii="Arial" w:hAnsi="Arial" w:cs="Arial"/>
          <w:spacing w:val="0"/>
          <w:w w:val="95"/>
          <w:sz w:val="22"/>
        </w:rPr>
        <w:t>Palonosetron at oral doses of up to 60 mg/kg/day (&gt;170 times the recommended human intravenous dose based on estimated plasma AUC) was found to have no effect on fertility and reproductive performance of male and female rats. Oral doses of 60 and 120 mg/kg/day given to male rats for 2 months prior to mating associated with complete infertility at the 120 mg/kg/day dose. Testicular degeneration was confirmed in a 3 month general toxicity study at oral doses of 60 and 120 mg/kg/day.  An IV dose of up to 10 mg/kg/day (&gt;250 times the recommended human intravenous dose based on plasma AUC) had no effect on male fertility and reproductive performance.</w:t>
      </w:r>
    </w:p>
    <w:p w:rsidR="00C5788F" w:rsidRPr="00D312A2" w:rsidRDefault="00C5788F" w:rsidP="00C5788F">
      <w:pPr>
        <w:pStyle w:val="Body"/>
        <w:rPr>
          <w:rFonts w:ascii="Arial" w:hAnsi="Arial" w:cs="Arial"/>
          <w:spacing w:val="0"/>
          <w:w w:val="95"/>
          <w:sz w:val="22"/>
        </w:rPr>
      </w:pPr>
    </w:p>
    <w:p w:rsidR="00C5788F" w:rsidRPr="00D312A2" w:rsidRDefault="00C5788F" w:rsidP="00C5788F">
      <w:pPr>
        <w:pStyle w:val="Body"/>
        <w:rPr>
          <w:rFonts w:ascii="Arial" w:hAnsi="Arial" w:cs="Arial"/>
          <w:b/>
          <w:spacing w:val="0"/>
          <w:w w:val="95"/>
          <w:sz w:val="22"/>
        </w:rPr>
      </w:pPr>
      <w:r w:rsidRPr="00D312A2">
        <w:rPr>
          <w:rFonts w:ascii="Arial" w:hAnsi="Arial" w:cs="Arial"/>
          <w:b/>
          <w:spacing w:val="0"/>
          <w:w w:val="95"/>
          <w:sz w:val="22"/>
          <w:u w:val="thick"/>
        </w:rPr>
        <w:t>Special populations:</w:t>
      </w:r>
    </w:p>
    <w:p w:rsidR="00C5788F" w:rsidRPr="00D312A2" w:rsidRDefault="00C5788F" w:rsidP="00C5788F">
      <w:pPr>
        <w:pStyle w:val="Body"/>
        <w:rPr>
          <w:rFonts w:ascii="Arial" w:hAnsi="Arial" w:cs="Arial"/>
          <w:spacing w:val="0"/>
          <w:w w:val="95"/>
          <w:sz w:val="22"/>
        </w:rPr>
      </w:pPr>
    </w:p>
    <w:p w:rsidR="00C5788F" w:rsidRPr="00D312A2" w:rsidRDefault="00C5788F" w:rsidP="00C5788F">
      <w:pPr>
        <w:pStyle w:val="Body"/>
        <w:rPr>
          <w:rFonts w:ascii="Arial" w:hAnsi="Arial" w:cs="Arial"/>
          <w:spacing w:val="0"/>
          <w:w w:val="95"/>
          <w:sz w:val="22"/>
        </w:rPr>
      </w:pPr>
      <w:r w:rsidRPr="00D312A2">
        <w:rPr>
          <w:rFonts w:ascii="Arial" w:hAnsi="Arial" w:cs="Arial"/>
          <w:b/>
          <w:spacing w:val="0"/>
          <w:w w:val="95"/>
          <w:sz w:val="22"/>
        </w:rPr>
        <w:t>Geriatrics:</w:t>
      </w:r>
      <w:r w:rsidRPr="00D312A2">
        <w:rPr>
          <w:rFonts w:ascii="Arial" w:hAnsi="Arial" w:cs="Arial"/>
          <w:spacing w:val="0"/>
          <w:w w:val="95"/>
          <w:sz w:val="22"/>
        </w:rPr>
        <w:t xml:space="preserve"> Population pharmacokinetic analysis and clinical safety and efficacy data did not reveal any differences between cancer patients ≥ 65 years of age and younger patients (18 to 64 years).  No dose adjustment is required for these patients.</w:t>
      </w:r>
    </w:p>
    <w:p w:rsidR="00C5788F" w:rsidRPr="00D312A2" w:rsidRDefault="00C5788F" w:rsidP="00C5788F">
      <w:pPr>
        <w:pStyle w:val="Body"/>
        <w:rPr>
          <w:rFonts w:ascii="Arial" w:hAnsi="Arial" w:cs="Arial"/>
          <w:spacing w:val="0"/>
          <w:w w:val="95"/>
          <w:sz w:val="22"/>
        </w:rPr>
      </w:pPr>
    </w:p>
    <w:p w:rsidR="00C5788F" w:rsidRPr="00D312A2" w:rsidRDefault="00C5788F" w:rsidP="00C5788F">
      <w:pPr>
        <w:pStyle w:val="Body"/>
        <w:rPr>
          <w:rFonts w:ascii="Arial" w:hAnsi="Arial" w:cs="Arial"/>
          <w:spacing w:val="0"/>
          <w:w w:val="95"/>
          <w:sz w:val="22"/>
        </w:rPr>
      </w:pPr>
      <w:r w:rsidRPr="00D312A2">
        <w:rPr>
          <w:rFonts w:ascii="Arial" w:hAnsi="Arial" w:cs="Arial"/>
          <w:b/>
          <w:spacing w:val="0"/>
          <w:w w:val="95"/>
          <w:sz w:val="22"/>
        </w:rPr>
        <w:lastRenderedPageBreak/>
        <w:t>Race:</w:t>
      </w:r>
      <w:r w:rsidRPr="00D312A2">
        <w:rPr>
          <w:rFonts w:ascii="Arial" w:hAnsi="Arial" w:cs="Arial"/>
          <w:spacing w:val="0"/>
          <w:w w:val="95"/>
          <w:sz w:val="22"/>
        </w:rPr>
        <w:t xml:space="preserve"> Intravenous palonosetron pharmacokinetics was characterized in twenty-four healthy Japanese subjects over the dose range of 3 – 90 µg/kg. Total body clearance was 25% higher in Japanese subjects compared to Whites; however, no dose adjustment is required. The pharmacokinetics of palonosetron in Blacks has not been adequately characterized.</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Body"/>
        <w:rPr>
          <w:rFonts w:ascii="Arial" w:hAnsi="Arial" w:cs="Arial"/>
          <w:spacing w:val="-4"/>
          <w:w w:val="95"/>
          <w:sz w:val="22"/>
        </w:rPr>
      </w:pPr>
      <w:r w:rsidRPr="00D312A2">
        <w:rPr>
          <w:rFonts w:ascii="Arial" w:hAnsi="Arial" w:cs="Arial"/>
          <w:b/>
          <w:spacing w:val="-4"/>
          <w:w w:val="95"/>
          <w:sz w:val="22"/>
        </w:rPr>
        <w:t>Renal Impairment:</w:t>
      </w:r>
      <w:r w:rsidRPr="00D312A2">
        <w:rPr>
          <w:rFonts w:ascii="Arial" w:hAnsi="Arial" w:cs="Arial"/>
          <w:spacing w:val="-4"/>
          <w:w w:val="95"/>
          <w:sz w:val="22"/>
        </w:rPr>
        <w:t xml:space="preserve"> Mild to moderate renal impairment does not significantly affect palonosetron pharmacokinetic parameters.  Total systemic exposure increased by approximately 28% in severe renal impairment relative to healthy subjects. Dosage adjustment is not necessary in patients with any degree of renal impairment. </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Body"/>
        <w:rPr>
          <w:rFonts w:ascii="Arial" w:hAnsi="Arial" w:cs="Arial"/>
          <w:spacing w:val="-4"/>
          <w:w w:val="95"/>
          <w:sz w:val="22"/>
        </w:rPr>
      </w:pPr>
      <w:r w:rsidRPr="00D312A2">
        <w:rPr>
          <w:rFonts w:ascii="Arial" w:hAnsi="Arial" w:cs="Arial"/>
          <w:b/>
          <w:spacing w:val="-4"/>
          <w:w w:val="95"/>
          <w:sz w:val="22"/>
        </w:rPr>
        <w:t>Hepatic Impairment:</w:t>
      </w:r>
      <w:r w:rsidRPr="00D312A2">
        <w:rPr>
          <w:rFonts w:ascii="Arial" w:hAnsi="Arial" w:cs="Arial"/>
          <w:spacing w:val="-4"/>
          <w:w w:val="95"/>
          <w:sz w:val="22"/>
        </w:rPr>
        <w:t xml:space="preserve"> Hepatic impairment does not significantly affect total body clearance of palonosetron compared to the healthy subjects.   Dosage adjustment is not necessary in patients with any degree of hepatic impairment.</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Body"/>
        <w:rPr>
          <w:rFonts w:ascii="Arial" w:hAnsi="Arial" w:cs="Arial"/>
          <w:spacing w:val="-4"/>
          <w:w w:val="95"/>
          <w:sz w:val="22"/>
        </w:rPr>
      </w:pPr>
      <w:r w:rsidRPr="00D312A2">
        <w:rPr>
          <w:rFonts w:ascii="Arial" w:hAnsi="Arial" w:cs="Arial"/>
          <w:b/>
          <w:spacing w:val="-4"/>
          <w:w w:val="95"/>
          <w:sz w:val="22"/>
        </w:rPr>
        <w:t>Children:</w:t>
      </w:r>
      <w:r w:rsidRPr="00D312A2">
        <w:rPr>
          <w:rFonts w:ascii="Arial" w:hAnsi="Arial" w:cs="Arial"/>
          <w:spacing w:val="-4"/>
          <w:w w:val="95"/>
          <w:sz w:val="22"/>
        </w:rPr>
        <w:t xml:space="preserve"> There are no data on efficacy and safety in patients below 18 years.</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h3"/>
        <w:rPr>
          <w:rFonts w:ascii="Arial" w:hAnsi="Arial" w:cs="Arial"/>
          <w:b/>
          <w:spacing w:val="-4"/>
          <w:w w:val="95"/>
          <w:sz w:val="22"/>
        </w:rPr>
      </w:pPr>
      <w:r w:rsidRPr="00D312A2">
        <w:rPr>
          <w:rFonts w:ascii="Arial" w:hAnsi="Arial" w:cs="Arial"/>
          <w:b/>
          <w:spacing w:val="-4"/>
          <w:w w:val="95"/>
          <w:sz w:val="22"/>
        </w:rPr>
        <w:t>Use in Pregnancy (Category B1)</w:t>
      </w: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Palonosetron had no effect on foetal development at oral doses of up to 18 mg/kg/day in rats and 90 mg/kg/day in rabbits. At 60 and 120 mg/kg/day in rats, foetal weight was reduced.  Palonosetron did not cause foetal abnormalities at these dose levels. However, palonosetron had toxic effects on the dams at 120 mg/kg in rats and 90 mg/kg/day in rabbits.</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Because animal reproduction studies are not always predictive of human response, palonosetron should not be used during pregnancy unless it is considered essential.</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h3"/>
        <w:rPr>
          <w:rFonts w:ascii="Arial" w:hAnsi="Arial" w:cs="Arial"/>
          <w:b/>
          <w:spacing w:val="-4"/>
          <w:w w:val="95"/>
          <w:sz w:val="22"/>
        </w:rPr>
      </w:pPr>
      <w:r w:rsidRPr="00D312A2">
        <w:rPr>
          <w:rFonts w:ascii="Arial" w:hAnsi="Arial" w:cs="Arial"/>
          <w:b/>
          <w:spacing w:val="-4"/>
          <w:w w:val="95"/>
          <w:sz w:val="22"/>
        </w:rPr>
        <w:t>Use during Lactation</w:t>
      </w: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It is not known whether palonosetron is excreted in human milk, but some other drugs of the same class are known to be excreted in rat milk.  Because of the potential for serious adverse reactions in nursing infants, a decision should be made whether to discontinue breastfeeding or to discontinue the drug, taking into account the importance of the drug to the mother.</w:t>
      </w:r>
    </w:p>
    <w:p w:rsidR="00C5788F" w:rsidRPr="00D312A2" w:rsidRDefault="00C5788F" w:rsidP="00C5788F">
      <w:pPr>
        <w:pStyle w:val="Body"/>
        <w:rPr>
          <w:rFonts w:ascii="Arial" w:hAnsi="Arial" w:cs="Arial"/>
          <w:spacing w:val="-4"/>
          <w:w w:val="95"/>
          <w:sz w:val="22"/>
        </w:rPr>
      </w:pPr>
    </w:p>
    <w:p w:rsidR="00C5788F" w:rsidRPr="004E6E31" w:rsidRDefault="00C5788F" w:rsidP="00C5788F">
      <w:pPr>
        <w:pStyle w:val="h3"/>
        <w:rPr>
          <w:rFonts w:ascii="Arial" w:hAnsi="Arial" w:cs="Arial"/>
          <w:b/>
          <w:i w:val="0"/>
          <w:spacing w:val="-4"/>
          <w:w w:val="95"/>
          <w:sz w:val="22"/>
        </w:rPr>
      </w:pPr>
      <w:r w:rsidRPr="004E6E31">
        <w:rPr>
          <w:rFonts w:ascii="Arial" w:hAnsi="Arial" w:cs="Arial"/>
          <w:b/>
          <w:i w:val="0"/>
          <w:spacing w:val="-4"/>
          <w:w w:val="95"/>
          <w:sz w:val="22"/>
        </w:rPr>
        <w:t>INTERACTIONS WITH OTHER MEDICINES</w:t>
      </w:r>
    </w:p>
    <w:p w:rsidR="00C5788F" w:rsidRPr="004E6E31" w:rsidRDefault="00C5788F" w:rsidP="00C5788F">
      <w:pPr>
        <w:pStyle w:val="h3"/>
        <w:rPr>
          <w:rFonts w:ascii="Arial" w:hAnsi="Arial" w:cs="Arial"/>
          <w:b/>
          <w:i w:val="0"/>
          <w:spacing w:val="-4"/>
          <w:w w:val="95"/>
          <w:sz w:val="22"/>
        </w:rPr>
      </w:pP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 xml:space="preserve">Palonosetron is eliminated from the body through both renal excretion and metabolic pathways with the latter mediated via multiple CYP enzymes. Further </w:t>
      </w:r>
      <w:r w:rsidRPr="00D312A2">
        <w:rPr>
          <w:rFonts w:ascii="Arial" w:hAnsi="Arial" w:cs="Arial"/>
          <w:i/>
          <w:iCs/>
          <w:spacing w:val="-4"/>
          <w:w w:val="95"/>
          <w:sz w:val="22"/>
        </w:rPr>
        <w:t>in vitro</w:t>
      </w:r>
      <w:r w:rsidRPr="00D312A2">
        <w:rPr>
          <w:rFonts w:ascii="Arial" w:hAnsi="Arial" w:cs="Arial"/>
          <w:spacing w:val="-4"/>
          <w:w w:val="95"/>
          <w:sz w:val="22"/>
        </w:rPr>
        <w:t xml:space="preserve"> studies indicated that palonosetron is not an inhibitor of CYP1A2, CYP2A6, CYP2B6, CYP2C9, CPY2D6, CYP2E1 and CYP3A4/5 (CYP2C19 was not investigated) nor does it induce the activity of CYP1A2, CYP2D6, or CYP3A4/5. Therefore, the potential for clinically significant drug interactions with palonosetron appears to be low.</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A study in healthy volunteers involving single-dose IV palonosetron (0.75 mg) and steady state oral metoclopramide (10 mg four times daily) demonstrated no significant pharmacokinetic interaction.</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In controlled clinical trials, ALOXI injection has been safely administered with corticosteroids, analgesics, antiemetics/antinauseants, antispasmodics and anticholinergic agents.</w:t>
      </w: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Palonosetron did not inhibit the antitumor activity of the five chemotherapeutic agents tested (cisplatin, cyclophosphamide, cytarabi</w:t>
      </w:r>
      <w:r>
        <w:rPr>
          <w:rFonts w:ascii="Arial" w:hAnsi="Arial" w:cs="Arial"/>
          <w:spacing w:val="-4"/>
          <w:w w:val="95"/>
          <w:sz w:val="22"/>
        </w:rPr>
        <w:t>ne, doxorubicin and mitomycin C</w:t>
      </w:r>
      <w:r w:rsidRPr="00D312A2">
        <w:rPr>
          <w:rFonts w:ascii="Arial" w:hAnsi="Arial" w:cs="Arial"/>
          <w:spacing w:val="-4"/>
          <w:w w:val="95"/>
          <w:sz w:val="22"/>
        </w:rPr>
        <w:t>) in murine tumor models.</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h2"/>
        <w:rPr>
          <w:rFonts w:ascii="Arial" w:hAnsi="Arial" w:cs="Arial"/>
          <w:b/>
          <w:spacing w:val="-3"/>
          <w:w w:val="95"/>
          <w:sz w:val="22"/>
        </w:rPr>
      </w:pPr>
      <w:r w:rsidRPr="00D312A2">
        <w:rPr>
          <w:rFonts w:ascii="Arial" w:hAnsi="Arial" w:cs="Arial"/>
          <w:b/>
          <w:spacing w:val="-3"/>
          <w:w w:val="95"/>
          <w:sz w:val="22"/>
        </w:rPr>
        <w:t>ADVERSE EVENTS</w:t>
      </w: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In clinical trials for the prevention of nausea and vomiting induced by moderately or highly emetogenic chemotherapy, 1374 adult patients received palonosetron. Adverse reactions were similar in frequency and severity with ALOXI and ondansetron or dolasetron.  Following is a listing of all adverse reactions reported by ≥ 2% of patients in these trials (Table 4).</w:t>
      </w:r>
    </w:p>
    <w:p w:rsidR="00C5788F" w:rsidRPr="00D312A2" w:rsidRDefault="00C5788F" w:rsidP="00C5788F">
      <w:pPr>
        <w:pStyle w:val="Body"/>
        <w:rPr>
          <w:rFonts w:ascii="Arial" w:hAnsi="Arial" w:cs="Arial"/>
          <w:spacing w:val="-4"/>
          <w:w w:val="95"/>
          <w:sz w:val="22"/>
        </w:rPr>
      </w:pPr>
    </w:p>
    <w:p w:rsidR="00C5788F" w:rsidRPr="00D312A2" w:rsidRDefault="00C669AB" w:rsidP="00C5788F">
      <w:pPr>
        <w:pStyle w:val="Body"/>
        <w:rPr>
          <w:rFonts w:ascii="Arial" w:hAnsi="Arial" w:cs="Arial"/>
          <w:spacing w:val="-4"/>
          <w:w w:val="95"/>
          <w:sz w:val="22"/>
        </w:rPr>
      </w:pPr>
      <w:r>
        <w:rPr>
          <w:rFonts w:ascii="Arial" w:hAnsi="Arial" w:cs="Arial"/>
          <w:spacing w:val="-4"/>
          <w:w w:val="95"/>
          <w:sz w:val="22"/>
        </w:rPr>
        <w:br w:type="page"/>
      </w:r>
      <w:r w:rsidR="00C5788F" w:rsidRPr="00D312A2">
        <w:rPr>
          <w:rFonts w:ascii="Arial" w:hAnsi="Arial" w:cs="Arial"/>
          <w:spacing w:val="-4"/>
          <w:w w:val="95"/>
          <w:sz w:val="22"/>
        </w:rPr>
        <w:lastRenderedPageBreak/>
        <w:t>Table 4: Adverse Reactions from Chemotherapy-Induce</w:t>
      </w:r>
      <w:r w:rsidR="00C5788F">
        <w:rPr>
          <w:rFonts w:ascii="Arial" w:hAnsi="Arial" w:cs="Arial"/>
          <w:spacing w:val="-4"/>
          <w:w w:val="95"/>
          <w:sz w:val="22"/>
        </w:rPr>
        <w:t xml:space="preserve">d Nausea and Vomiting Studies, </w:t>
      </w:r>
      <w:r w:rsidR="00C5788F" w:rsidRPr="00D312A2">
        <w:rPr>
          <w:rFonts w:ascii="Arial" w:hAnsi="Arial" w:cs="Arial"/>
          <w:spacing w:val="-4"/>
          <w:w w:val="95"/>
          <w:sz w:val="22"/>
        </w:rPr>
        <w:t>≥ 2% in any Treatment Group</w:t>
      </w:r>
    </w:p>
    <w:tbl>
      <w:tblPr>
        <w:tblW w:w="0" w:type="auto"/>
        <w:tblInd w:w="80" w:type="dxa"/>
        <w:tblLayout w:type="fixed"/>
        <w:tblCellMar>
          <w:left w:w="0" w:type="dxa"/>
          <w:right w:w="0" w:type="dxa"/>
        </w:tblCellMar>
        <w:tblLook w:val="0000" w:firstRow="0" w:lastRow="0" w:firstColumn="0" w:lastColumn="0" w:noHBand="0" w:noVBand="0"/>
      </w:tblPr>
      <w:tblGrid>
        <w:gridCol w:w="1476"/>
        <w:gridCol w:w="1268"/>
        <w:gridCol w:w="1268"/>
        <w:gridCol w:w="1269"/>
      </w:tblGrid>
      <w:tr w:rsidR="00C5788F" w:rsidRPr="00F55A23">
        <w:trPr>
          <w:trHeight w:val="60"/>
        </w:trPr>
        <w:tc>
          <w:tcPr>
            <w:tcW w:w="1476" w:type="dxa"/>
            <w:tcBorders>
              <w:top w:val="single" w:sz="8" w:space="0" w:color="000000"/>
              <w:left w:val="single" w:sz="8" w:space="0" w:color="000000"/>
              <w:bottom w:val="single" w:sz="8" w:space="0" w:color="000000"/>
              <w:right w:val="single" w:sz="8" w:space="0" w:color="000000"/>
            </w:tcBorders>
            <w:shd w:val="solid" w:color="FFFFFF" w:fill="auto"/>
            <w:tcMar>
              <w:top w:w="57" w:type="dxa"/>
              <w:left w:w="80" w:type="dxa"/>
              <w:bottom w:w="57" w:type="dxa"/>
              <w:right w:w="80" w:type="dxa"/>
            </w:tcMar>
          </w:tcPr>
          <w:p w:rsidR="00C5788F" w:rsidRPr="00F55A23" w:rsidRDefault="00C5788F">
            <w:pPr>
              <w:pStyle w:val="Body"/>
              <w:jc w:val="center"/>
              <w:rPr>
                <w:rFonts w:ascii="Arial" w:hAnsi="Arial" w:cs="Arial"/>
                <w:outline/>
                <w:w w:val="90"/>
              </w:rPr>
            </w:pPr>
            <w:r w:rsidRPr="00F55A23">
              <w:rPr>
                <w:rFonts w:ascii="Arial" w:hAnsi="Arial" w:cs="Arial"/>
                <w:outline/>
                <w:w w:val="90"/>
              </w:rPr>
              <w:t>Event</w:t>
            </w:r>
          </w:p>
          <w:p w:rsidR="00C5788F" w:rsidRPr="00F55A23" w:rsidRDefault="00C5788F">
            <w:pPr>
              <w:pStyle w:val="Body"/>
              <w:jc w:val="center"/>
              <w:rPr>
                <w:rFonts w:ascii="Arial" w:hAnsi="Arial" w:cs="Arial"/>
              </w:rPr>
            </w:pPr>
          </w:p>
        </w:tc>
        <w:tc>
          <w:tcPr>
            <w:tcW w:w="1268" w:type="dxa"/>
            <w:tcBorders>
              <w:top w:val="single" w:sz="8" w:space="0" w:color="000000"/>
              <w:left w:val="single" w:sz="8" w:space="0" w:color="000000"/>
              <w:bottom w:val="single" w:sz="8" w:space="0" w:color="000000"/>
              <w:right w:val="single" w:sz="8" w:space="0" w:color="000000"/>
            </w:tcBorders>
            <w:shd w:val="solid" w:color="FFFFFF" w:fill="auto"/>
            <w:tcMar>
              <w:top w:w="57" w:type="dxa"/>
              <w:left w:w="80" w:type="dxa"/>
              <w:bottom w:w="57" w:type="dxa"/>
              <w:right w:w="80" w:type="dxa"/>
            </w:tcMar>
          </w:tcPr>
          <w:p w:rsidR="00C5788F" w:rsidRPr="00F55A23" w:rsidRDefault="00C5788F">
            <w:pPr>
              <w:pStyle w:val="Body"/>
              <w:jc w:val="center"/>
              <w:rPr>
                <w:rFonts w:ascii="Arial" w:hAnsi="Arial" w:cs="Arial"/>
                <w:outline/>
                <w:w w:val="90"/>
              </w:rPr>
            </w:pPr>
            <w:r w:rsidRPr="00F55A23">
              <w:rPr>
                <w:rFonts w:ascii="Arial" w:hAnsi="Arial" w:cs="Arial"/>
                <w:outline/>
                <w:w w:val="90"/>
              </w:rPr>
              <w:t xml:space="preserve">ALOXI </w:t>
            </w:r>
            <w:r w:rsidRPr="00F55A23">
              <w:rPr>
                <w:rFonts w:ascii="Arial" w:hAnsi="Arial" w:cs="Arial"/>
                <w:outline/>
                <w:w w:val="90"/>
              </w:rPr>
              <w:br/>
              <w:t xml:space="preserve">250 µg </w:t>
            </w:r>
          </w:p>
          <w:p w:rsidR="00C5788F" w:rsidRPr="00F55A23" w:rsidRDefault="00C5788F">
            <w:pPr>
              <w:pStyle w:val="Body"/>
              <w:jc w:val="center"/>
              <w:rPr>
                <w:rFonts w:ascii="Arial" w:hAnsi="Arial" w:cs="Arial"/>
              </w:rPr>
            </w:pPr>
            <w:r w:rsidRPr="00F55A23">
              <w:rPr>
                <w:rFonts w:ascii="Arial" w:hAnsi="Arial" w:cs="Arial"/>
                <w:outline/>
                <w:w w:val="90"/>
              </w:rPr>
              <w:t>(N=633)</w:t>
            </w:r>
          </w:p>
        </w:tc>
        <w:tc>
          <w:tcPr>
            <w:tcW w:w="1268" w:type="dxa"/>
            <w:tcBorders>
              <w:top w:val="single" w:sz="8" w:space="0" w:color="000000"/>
              <w:left w:val="single" w:sz="8" w:space="0" w:color="000000"/>
              <w:bottom w:val="single" w:sz="8" w:space="0" w:color="000000"/>
              <w:right w:val="single" w:sz="8" w:space="0" w:color="000000"/>
            </w:tcBorders>
            <w:shd w:val="solid" w:color="FFFFFF" w:fill="auto"/>
            <w:tcMar>
              <w:top w:w="57" w:type="dxa"/>
              <w:left w:w="80" w:type="dxa"/>
              <w:bottom w:w="57" w:type="dxa"/>
              <w:right w:w="80" w:type="dxa"/>
            </w:tcMar>
          </w:tcPr>
          <w:p w:rsidR="00C5788F" w:rsidRPr="00F55A23" w:rsidRDefault="00C5788F">
            <w:pPr>
              <w:pStyle w:val="Body"/>
              <w:jc w:val="center"/>
              <w:rPr>
                <w:rFonts w:ascii="Arial" w:hAnsi="Arial" w:cs="Arial"/>
                <w:outline/>
                <w:w w:val="90"/>
              </w:rPr>
            </w:pPr>
            <w:r w:rsidRPr="00F55A23">
              <w:rPr>
                <w:rFonts w:ascii="Arial" w:hAnsi="Arial" w:cs="Arial"/>
                <w:outline/>
                <w:w w:val="90"/>
              </w:rPr>
              <w:t>Ondansetron</w:t>
            </w:r>
          </w:p>
          <w:p w:rsidR="00C5788F" w:rsidRPr="00F55A23" w:rsidRDefault="00C5788F">
            <w:pPr>
              <w:pStyle w:val="Body"/>
              <w:jc w:val="center"/>
              <w:rPr>
                <w:rFonts w:ascii="Arial" w:hAnsi="Arial" w:cs="Arial"/>
                <w:outline/>
                <w:w w:val="90"/>
              </w:rPr>
            </w:pPr>
            <w:r w:rsidRPr="00F55A23">
              <w:rPr>
                <w:rFonts w:ascii="Arial" w:hAnsi="Arial" w:cs="Arial"/>
                <w:outline/>
                <w:w w:val="90"/>
              </w:rPr>
              <w:t>32 mg IV</w:t>
            </w:r>
          </w:p>
          <w:p w:rsidR="00C5788F" w:rsidRPr="00F55A23" w:rsidRDefault="00C5788F">
            <w:pPr>
              <w:pStyle w:val="Body"/>
              <w:jc w:val="center"/>
              <w:rPr>
                <w:rFonts w:ascii="Arial" w:hAnsi="Arial" w:cs="Arial"/>
              </w:rPr>
            </w:pPr>
            <w:r w:rsidRPr="00F55A23">
              <w:rPr>
                <w:rFonts w:ascii="Arial" w:hAnsi="Arial" w:cs="Arial"/>
                <w:outline/>
                <w:w w:val="90"/>
              </w:rPr>
              <w:t>(N=410)</w:t>
            </w:r>
          </w:p>
        </w:tc>
        <w:tc>
          <w:tcPr>
            <w:tcW w:w="1269" w:type="dxa"/>
            <w:tcBorders>
              <w:top w:val="single" w:sz="8" w:space="0" w:color="000000"/>
              <w:left w:val="single" w:sz="8" w:space="0" w:color="000000"/>
              <w:bottom w:val="single" w:sz="8" w:space="0" w:color="000000"/>
              <w:right w:val="single" w:sz="8" w:space="0" w:color="000000"/>
            </w:tcBorders>
            <w:shd w:val="solid" w:color="FFFFFF" w:fill="auto"/>
            <w:tcMar>
              <w:top w:w="57" w:type="dxa"/>
              <w:left w:w="80" w:type="dxa"/>
              <w:bottom w:w="57" w:type="dxa"/>
              <w:right w:w="80" w:type="dxa"/>
            </w:tcMar>
          </w:tcPr>
          <w:p w:rsidR="00C5788F" w:rsidRPr="00F55A23" w:rsidRDefault="00C5788F">
            <w:pPr>
              <w:pStyle w:val="Body"/>
              <w:jc w:val="center"/>
              <w:rPr>
                <w:rFonts w:ascii="Arial" w:hAnsi="Arial" w:cs="Arial"/>
                <w:outline/>
                <w:w w:val="90"/>
              </w:rPr>
            </w:pPr>
            <w:r w:rsidRPr="00F55A23">
              <w:rPr>
                <w:rFonts w:ascii="Arial" w:hAnsi="Arial" w:cs="Arial"/>
                <w:outline/>
                <w:w w:val="90"/>
              </w:rPr>
              <w:t>Dolasetron 100 mg IV</w:t>
            </w:r>
          </w:p>
          <w:p w:rsidR="00C5788F" w:rsidRPr="00F55A23" w:rsidRDefault="00C5788F">
            <w:pPr>
              <w:pStyle w:val="Body"/>
              <w:jc w:val="center"/>
              <w:rPr>
                <w:rFonts w:ascii="Arial" w:hAnsi="Arial" w:cs="Arial"/>
              </w:rPr>
            </w:pPr>
            <w:r w:rsidRPr="00F55A23">
              <w:rPr>
                <w:rFonts w:ascii="Arial" w:hAnsi="Arial" w:cs="Arial"/>
                <w:outline/>
                <w:w w:val="90"/>
              </w:rPr>
              <w:t xml:space="preserve"> (N=194)</w:t>
            </w:r>
          </w:p>
        </w:tc>
      </w:tr>
      <w:tr w:rsidR="00C5788F" w:rsidRPr="00F55A23">
        <w:trPr>
          <w:trHeight w:val="60"/>
        </w:trPr>
        <w:tc>
          <w:tcPr>
            <w:tcW w:w="1476"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C5788F" w:rsidRPr="008E6B59" w:rsidRDefault="00C5788F">
            <w:pPr>
              <w:pStyle w:val="Body"/>
              <w:rPr>
                <w:rFonts w:ascii="Arial" w:hAnsi="Arial" w:cs="Arial"/>
                <w:w w:val="90"/>
              </w:rPr>
            </w:pPr>
            <w:r w:rsidRPr="00F55A23">
              <w:rPr>
                <w:rFonts w:ascii="Arial" w:hAnsi="Arial" w:cs="Arial"/>
                <w:w w:val="90"/>
              </w:rPr>
              <w:t>Headache</w:t>
            </w:r>
          </w:p>
        </w:tc>
        <w:tc>
          <w:tcPr>
            <w:tcW w:w="1268"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C5788F" w:rsidRPr="008E6B59" w:rsidRDefault="00C5788F" w:rsidP="00C5788F">
            <w:pPr>
              <w:pStyle w:val="Body"/>
              <w:jc w:val="center"/>
              <w:rPr>
                <w:rFonts w:ascii="Arial" w:hAnsi="Arial" w:cs="Arial"/>
                <w:w w:val="90"/>
              </w:rPr>
            </w:pPr>
            <w:r w:rsidRPr="00F55A23">
              <w:rPr>
                <w:rFonts w:ascii="Arial" w:hAnsi="Arial" w:cs="Arial"/>
                <w:w w:val="90"/>
              </w:rPr>
              <w:t>60 (9%)</w:t>
            </w:r>
          </w:p>
        </w:tc>
        <w:tc>
          <w:tcPr>
            <w:tcW w:w="1268"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C5788F" w:rsidRPr="008E6B59" w:rsidRDefault="00C5788F" w:rsidP="00C5788F">
            <w:pPr>
              <w:pStyle w:val="Body"/>
              <w:jc w:val="center"/>
              <w:rPr>
                <w:rFonts w:ascii="Arial" w:hAnsi="Arial" w:cs="Arial"/>
                <w:w w:val="90"/>
              </w:rPr>
            </w:pPr>
            <w:r w:rsidRPr="00F55A23">
              <w:rPr>
                <w:rFonts w:ascii="Arial" w:hAnsi="Arial" w:cs="Arial"/>
                <w:w w:val="90"/>
              </w:rPr>
              <w:t>34 (8%)</w:t>
            </w:r>
          </w:p>
        </w:tc>
        <w:tc>
          <w:tcPr>
            <w:tcW w:w="1269"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C5788F" w:rsidRPr="008E6B59" w:rsidRDefault="00C5788F" w:rsidP="00C5788F">
            <w:pPr>
              <w:pStyle w:val="Body"/>
              <w:jc w:val="center"/>
              <w:rPr>
                <w:rFonts w:ascii="Arial" w:hAnsi="Arial" w:cs="Arial"/>
                <w:w w:val="90"/>
              </w:rPr>
            </w:pPr>
            <w:r w:rsidRPr="00F55A23">
              <w:rPr>
                <w:rFonts w:ascii="Arial" w:hAnsi="Arial" w:cs="Arial"/>
                <w:w w:val="90"/>
              </w:rPr>
              <w:t>32 (16%)</w:t>
            </w:r>
          </w:p>
        </w:tc>
      </w:tr>
      <w:tr w:rsidR="00C5788F" w:rsidRPr="00F55A23">
        <w:trPr>
          <w:trHeight w:val="60"/>
        </w:trPr>
        <w:tc>
          <w:tcPr>
            <w:tcW w:w="1476"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C5788F" w:rsidRPr="008E6B59" w:rsidRDefault="00C5788F">
            <w:pPr>
              <w:pStyle w:val="Body"/>
              <w:rPr>
                <w:rFonts w:ascii="Arial" w:hAnsi="Arial" w:cs="Arial"/>
                <w:w w:val="90"/>
              </w:rPr>
            </w:pPr>
            <w:r w:rsidRPr="00F55A23">
              <w:rPr>
                <w:rFonts w:ascii="Arial" w:hAnsi="Arial" w:cs="Arial"/>
                <w:w w:val="90"/>
              </w:rPr>
              <w:t>Constipation</w:t>
            </w:r>
          </w:p>
        </w:tc>
        <w:tc>
          <w:tcPr>
            <w:tcW w:w="1268"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C5788F" w:rsidRPr="008E6B59" w:rsidRDefault="00C5788F" w:rsidP="00C5788F">
            <w:pPr>
              <w:pStyle w:val="Body"/>
              <w:jc w:val="center"/>
              <w:rPr>
                <w:rFonts w:ascii="Arial" w:hAnsi="Arial" w:cs="Arial"/>
                <w:w w:val="90"/>
              </w:rPr>
            </w:pPr>
            <w:r w:rsidRPr="00F55A23">
              <w:rPr>
                <w:rFonts w:ascii="Arial" w:hAnsi="Arial" w:cs="Arial"/>
                <w:w w:val="90"/>
              </w:rPr>
              <w:t>29 (5%)</w:t>
            </w:r>
          </w:p>
        </w:tc>
        <w:tc>
          <w:tcPr>
            <w:tcW w:w="1268"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C5788F" w:rsidRPr="008E6B59" w:rsidRDefault="00C5788F" w:rsidP="00C5788F">
            <w:pPr>
              <w:pStyle w:val="Body"/>
              <w:jc w:val="center"/>
              <w:rPr>
                <w:rFonts w:ascii="Arial" w:hAnsi="Arial" w:cs="Arial"/>
                <w:w w:val="90"/>
              </w:rPr>
            </w:pPr>
            <w:r w:rsidRPr="00F55A23">
              <w:rPr>
                <w:rFonts w:ascii="Arial" w:hAnsi="Arial" w:cs="Arial"/>
                <w:w w:val="90"/>
              </w:rPr>
              <w:t>8 (2%)</w:t>
            </w:r>
          </w:p>
        </w:tc>
        <w:tc>
          <w:tcPr>
            <w:tcW w:w="1269"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C5788F" w:rsidRPr="008E6B59" w:rsidRDefault="00C5788F" w:rsidP="00C5788F">
            <w:pPr>
              <w:pStyle w:val="Body"/>
              <w:jc w:val="center"/>
              <w:rPr>
                <w:rFonts w:ascii="Arial" w:hAnsi="Arial" w:cs="Arial"/>
                <w:w w:val="90"/>
              </w:rPr>
            </w:pPr>
            <w:r w:rsidRPr="00F55A23">
              <w:rPr>
                <w:rFonts w:ascii="Arial" w:hAnsi="Arial" w:cs="Arial"/>
                <w:w w:val="90"/>
              </w:rPr>
              <w:t>12 (6%)</w:t>
            </w:r>
          </w:p>
        </w:tc>
      </w:tr>
      <w:tr w:rsidR="00C5788F" w:rsidRPr="00F55A23">
        <w:trPr>
          <w:trHeight w:val="60"/>
        </w:trPr>
        <w:tc>
          <w:tcPr>
            <w:tcW w:w="1476"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C5788F" w:rsidRPr="008E6B59" w:rsidRDefault="00C5788F">
            <w:pPr>
              <w:pStyle w:val="Body"/>
              <w:rPr>
                <w:rFonts w:ascii="Arial" w:hAnsi="Arial" w:cs="Arial"/>
                <w:w w:val="90"/>
              </w:rPr>
            </w:pPr>
            <w:r w:rsidRPr="00F55A23">
              <w:rPr>
                <w:rFonts w:ascii="Arial" w:hAnsi="Arial" w:cs="Arial"/>
                <w:w w:val="90"/>
              </w:rPr>
              <w:t>Diarrhoea</w:t>
            </w:r>
          </w:p>
        </w:tc>
        <w:tc>
          <w:tcPr>
            <w:tcW w:w="1268"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C5788F" w:rsidRPr="008E6B59" w:rsidRDefault="00C5788F" w:rsidP="00C5788F">
            <w:pPr>
              <w:pStyle w:val="Body"/>
              <w:jc w:val="center"/>
              <w:rPr>
                <w:rFonts w:ascii="Arial" w:hAnsi="Arial" w:cs="Arial"/>
                <w:w w:val="90"/>
              </w:rPr>
            </w:pPr>
            <w:r w:rsidRPr="00F55A23">
              <w:rPr>
                <w:rFonts w:ascii="Arial" w:hAnsi="Arial" w:cs="Arial"/>
                <w:w w:val="90"/>
              </w:rPr>
              <w:t>8 (1%)</w:t>
            </w:r>
          </w:p>
        </w:tc>
        <w:tc>
          <w:tcPr>
            <w:tcW w:w="1268"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C5788F" w:rsidRPr="008E6B59" w:rsidRDefault="00C5788F" w:rsidP="00C5788F">
            <w:pPr>
              <w:pStyle w:val="Body"/>
              <w:jc w:val="center"/>
              <w:rPr>
                <w:rFonts w:ascii="Arial" w:hAnsi="Arial" w:cs="Arial"/>
                <w:w w:val="90"/>
              </w:rPr>
            </w:pPr>
            <w:r w:rsidRPr="00F55A23">
              <w:rPr>
                <w:rFonts w:ascii="Arial" w:hAnsi="Arial" w:cs="Arial"/>
                <w:w w:val="90"/>
              </w:rPr>
              <w:t>7 (2%)</w:t>
            </w:r>
          </w:p>
        </w:tc>
        <w:tc>
          <w:tcPr>
            <w:tcW w:w="1269"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C5788F" w:rsidRPr="008E6B59" w:rsidRDefault="00C5788F" w:rsidP="00C5788F">
            <w:pPr>
              <w:pStyle w:val="Body"/>
              <w:jc w:val="center"/>
              <w:rPr>
                <w:rFonts w:ascii="Arial" w:hAnsi="Arial" w:cs="Arial"/>
                <w:w w:val="90"/>
              </w:rPr>
            </w:pPr>
            <w:r w:rsidRPr="00F55A23">
              <w:rPr>
                <w:rFonts w:ascii="Arial" w:hAnsi="Arial" w:cs="Arial"/>
                <w:w w:val="90"/>
              </w:rPr>
              <w:t>4 (2%)</w:t>
            </w:r>
          </w:p>
        </w:tc>
      </w:tr>
      <w:tr w:rsidR="00C5788F" w:rsidRPr="00F55A23">
        <w:trPr>
          <w:trHeight w:val="60"/>
        </w:trPr>
        <w:tc>
          <w:tcPr>
            <w:tcW w:w="1476"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C5788F" w:rsidRPr="008E6B59" w:rsidRDefault="00C5788F">
            <w:pPr>
              <w:pStyle w:val="Body"/>
              <w:rPr>
                <w:rFonts w:ascii="Arial" w:hAnsi="Arial" w:cs="Arial"/>
                <w:w w:val="90"/>
              </w:rPr>
            </w:pPr>
            <w:r w:rsidRPr="00F55A23">
              <w:rPr>
                <w:rFonts w:ascii="Arial" w:hAnsi="Arial" w:cs="Arial"/>
                <w:w w:val="90"/>
              </w:rPr>
              <w:t>Dizziness</w:t>
            </w:r>
          </w:p>
        </w:tc>
        <w:tc>
          <w:tcPr>
            <w:tcW w:w="1268"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C5788F" w:rsidRPr="008E6B59" w:rsidRDefault="00C5788F" w:rsidP="00C5788F">
            <w:pPr>
              <w:pStyle w:val="Body"/>
              <w:jc w:val="center"/>
              <w:rPr>
                <w:rFonts w:ascii="Arial" w:hAnsi="Arial" w:cs="Arial"/>
                <w:w w:val="90"/>
              </w:rPr>
            </w:pPr>
            <w:r w:rsidRPr="00F55A23">
              <w:rPr>
                <w:rFonts w:ascii="Arial" w:hAnsi="Arial" w:cs="Arial"/>
                <w:w w:val="90"/>
              </w:rPr>
              <w:t>8 (1%)</w:t>
            </w:r>
          </w:p>
        </w:tc>
        <w:tc>
          <w:tcPr>
            <w:tcW w:w="1268"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C5788F" w:rsidRPr="008E6B59" w:rsidRDefault="00C5788F" w:rsidP="00C5788F">
            <w:pPr>
              <w:pStyle w:val="Body"/>
              <w:jc w:val="center"/>
              <w:rPr>
                <w:rFonts w:ascii="Arial" w:hAnsi="Arial" w:cs="Arial"/>
                <w:w w:val="90"/>
              </w:rPr>
            </w:pPr>
            <w:r w:rsidRPr="00F55A23">
              <w:rPr>
                <w:rFonts w:ascii="Arial" w:hAnsi="Arial" w:cs="Arial"/>
                <w:w w:val="90"/>
              </w:rPr>
              <w:t>9 (2%)</w:t>
            </w:r>
          </w:p>
        </w:tc>
        <w:tc>
          <w:tcPr>
            <w:tcW w:w="1269"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C5788F" w:rsidRPr="008E6B59" w:rsidRDefault="00C5788F" w:rsidP="00C5788F">
            <w:pPr>
              <w:pStyle w:val="Body"/>
              <w:jc w:val="center"/>
              <w:rPr>
                <w:rFonts w:ascii="Arial" w:hAnsi="Arial" w:cs="Arial"/>
                <w:w w:val="90"/>
              </w:rPr>
            </w:pPr>
            <w:r w:rsidRPr="00F55A23">
              <w:rPr>
                <w:rFonts w:ascii="Arial" w:hAnsi="Arial" w:cs="Arial"/>
                <w:w w:val="90"/>
              </w:rPr>
              <w:t>4 (2%)</w:t>
            </w:r>
          </w:p>
        </w:tc>
      </w:tr>
      <w:tr w:rsidR="00C5788F" w:rsidRPr="00F55A23">
        <w:trPr>
          <w:trHeight w:val="60"/>
        </w:trPr>
        <w:tc>
          <w:tcPr>
            <w:tcW w:w="1476"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C5788F" w:rsidRPr="008E6B59" w:rsidRDefault="00C5788F">
            <w:pPr>
              <w:pStyle w:val="Body"/>
              <w:rPr>
                <w:rFonts w:ascii="Arial" w:hAnsi="Arial" w:cs="Arial"/>
                <w:w w:val="90"/>
              </w:rPr>
            </w:pPr>
            <w:r w:rsidRPr="00F55A23">
              <w:rPr>
                <w:rFonts w:ascii="Arial" w:hAnsi="Arial" w:cs="Arial"/>
                <w:w w:val="90"/>
              </w:rPr>
              <w:t>Fatigue</w:t>
            </w:r>
          </w:p>
        </w:tc>
        <w:tc>
          <w:tcPr>
            <w:tcW w:w="1268"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C5788F" w:rsidRPr="008E6B59" w:rsidRDefault="00C5788F" w:rsidP="00C5788F">
            <w:pPr>
              <w:pStyle w:val="Body"/>
              <w:jc w:val="center"/>
              <w:rPr>
                <w:rFonts w:ascii="Arial" w:hAnsi="Arial" w:cs="Arial"/>
                <w:w w:val="90"/>
              </w:rPr>
            </w:pPr>
            <w:r w:rsidRPr="00F55A23">
              <w:rPr>
                <w:rFonts w:ascii="Arial" w:hAnsi="Arial" w:cs="Arial"/>
                <w:w w:val="90"/>
              </w:rPr>
              <w:t>3 (&lt; 1%)</w:t>
            </w:r>
          </w:p>
        </w:tc>
        <w:tc>
          <w:tcPr>
            <w:tcW w:w="1268"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C5788F" w:rsidRPr="008E6B59" w:rsidRDefault="00C5788F" w:rsidP="00C5788F">
            <w:pPr>
              <w:pStyle w:val="Body"/>
              <w:jc w:val="center"/>
              <w:rPr>
                <w:rFonts w:ascii="Arial" w:hAnsi="Arial" w:cs="Arial"/>
                <w:w w:val="90"/>
              </w:rPr>
            </w:pPr>
            <w:r w:rsidRPr="00F55A23">
              <w:rPr>
                <w:rFonts w:ascii="Arial" w:hAnsi="Arial" w:cs="Arial"/>
                <w:w w:val="90"/>
              </w:rPr>
              <w:t>4 (1%)</w:t>
            </w:r>
          </w:p>
        </w:tc>
        <w:tc>
          <w:tcPr>
            <w:tcW w:w="1269"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C5788F" w:rsidRPr="008E6B59" w:rsidRDefault="00C5788F" w:rsidP="00C5788F">
            <w:pPr>
              <w:pStyle w:val="Body"/>
              <w:jc w:val="center"/>
              <w:rPr>
                <w:rFonts w:ascii="Arial" w:hAnsi="Arial" w:cs="Arial"/>
                <w:w w:val="90"/>
              </w:rPr>
            </w:pPr>
            <w:r w:rsidRPr="00F55A23">
              <w:rPr>
                <w:rFonts w:ascii="Arial" w:hAnsi="Arial" w:cs="Arial"/>
                <w:w w:val="90"/>
              </w:rPr>
              <w:t>4 (2%)</w:t>
            </w:r>
          </w:p>
        </w:tc>
      </w:tr>
      <w:tr w:rsidR="00C5788F" w:rsidRPr="00F55A23">
        <w:trPr>
          <w:trHeight w:val="60"/>
        </w:trPr>
        <w:tc>
          <w:tcPr>
            <w:tcW w:w="1476"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C5788F" w:rsidRPr="008E6B59" w:rsidRDefault="00C5788F">
            <w:pPr>
              <w:pStyle w:val="Body"/>
              <w:rPr>
                <w:rFonts w:ascii="Arial" w:hAnsi="Arial" w:cs="Arial"/>
                <w:w w:val="90"/>
              </w:rPr>
            </w:pPr>
            <w:r w:rsidRPr="00F55A23">
              <w:rPr>
                <w:rFonts w:ascii="Arial" w:hAnsi="Arial" w:cs="Arial"/>
                <w:w w:val="90"/>
              </w:rPr>
              <w:t>Abdominal Pain</w:t>
            </w:r>
          </w:p>
        </w:tc>
        <w:tc>
          <w:tcPr>
            <w:tcW w:w="1268"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C5788F" w:rsidRPr="008E6B59" w:rsidRDefault="00C5788F" w:rsidP="00C5788F">
            <w:pPr>
              <w:pStyle w:val="Body"/>
              <w:jc w:val="center"/>
              <w:rPr>
                <w:rFonts w:ascii="Arial" w:hAnsi="Arial" w:cs="Arial"/>
                <w:w w:val="90"/>
              </w:rPr>
            </w:pPr>
            <w:r w:rsidRPr="00F55A23">
              <w:rPr>
                <w:rFonts w:ascii="Arial" w:hAnsi="Arial" w:cs="Arial"/>
                <w:w w:val="90"/>
              </w:rPr>
              <w:t>1 (&lt; 1%)</w:t>
            </w:r>
          </w:p>
        </w:tc>
        <w:tc>
          <w:tcPr>
            <w:tcW w:w="1268"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C5788F" w:rsidRPr="008E6B59" w:rsidRDefault="00C5788F" w:rsidP="00C5788F">
            <w:pPr>
              <w:pStyle w:val="Body"/>
              <w:jc w:val="center"/>
              <w:rPr>
                <w:rFonts w:ascii="Arial" w:hAnsi="Arial" w:cs="Arial"/>
                <w:w w:val="90"/>
              </w:rPr>
            </w:pPr>
            <w:r w:rsidRPr="00F55A23">
              <w:rPr>
                <w:rFonts w:ascii="Arial" w:hAnsi="Arial" w:cs="Arial"/>
                <w:w w:val="90"/>
              </w:rPr>
              <w:t>2 (&lt; 1%)</w:t>
            </w:r>
          </w:p>
        </w:tc>
        <w:tc>
          <w:tcPr>
            <w:tcW w:w="1269"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C5788F" w:rsidRPr="008E6B59" w:rsidRDefault="00C5788F" w:rsidP="00C5788F">
            <w:pPr>
              <w:pStyle w:val="Body"/>
              <w:jc w:val="center"/>
              <w:rPr>
                <w:rFonts w:ascii="Arial" w:hAnsi="Arial" w:cs="Arial"/>
                <w:w w:val="90"/>
              </w:rPr>
            </w:pPr>
            <w:r w:rsidRPr="00F55A23">
              <w:rPr>
                <w:rFonts w:ascii="Arial" w:hAnsi="Arial" w:cs="Arial"/>
                <w:w w:val="90"/>
              </w:rPr>
              <w:t>3 (2%)</w:t>
            </w:r>
          </w:p>
        </w:tc>
      </w:tr>
      <w:tr w:rsidR="00C5788F" w:rsidRPr="00F55A23">
        <w:trPr>
          <w:trHeight w:val="280"/>
        </w:trPr>
        <w:tc>
          <w:tcPr>
            <w:tcW w:w="1476"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C5788F" w:rsidRPr="008E6B59" w:rsidRDefault="00C5788F">
            <w:pPr>
              <w:pStyle w:val="Body"/>
              <w:rPr>
                <w:rFonts w:ascii="Arial" w:hAnsi="Arial" w:cs="Arial"/>
                <w:w w:val="90"/>
              </w:rPr>
            </w:pPr>
            <w:r w:rsidRPr="00F55A23">
              <w:rPr>
                <w:rFonts w:ascii="Arial" w:hAnsi="Arial" w:cs="Arial"/>
                <w:w w:val="90"/>
              </w:rPr>
              <w:t>Insomnia</w:t>
            </w:r>
          </w:p>
        </w:tc>
        <w:tc>
          <w:tcPr>
            <w:tcW w:w="1268"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C5788F" w:rsidRPr="008E6B59" w:rsidRDefault="00C5788F" w:rsidP="00C5788F">
            <w:pPr>
              <w:pStyle w:val="Body"/>
              <w:jc w:val="center"/>
              <w:rPr>
                <w:rFonts w:ascii="Arial" w:hAnsi="Arial" w:cs="Arial"/>
                <w:w w:val="90"/>
              </w:rPr>
            </w:pPr>
            <w:r w:rsidRPr="00F55A23">
              <w:rPr>
                <w:rFonts w:ascii="Arial" w:hAnsi="Arial" w:cs="Arial"/>
                <w:w w:val="90"/>
              </w:rPr>
              <w:t>1 (&lt; 1%)</w:t>
            </w:r>
          </w:p>
        </w:tc>
        <w:tc>
          <w:tcPr>
            <w:tcW w:w="1268"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C5788F" w:rsidRPr="008E6B59" w:rsidRDefault="00C5788F" w:rsidP="00C5788F">
            <w:pPr>
              <w:pStyle w:val="Body"/>
              <w:jc w:val="center"/>
              <w:rPr>
                <w:rFonts w:ascii="Arial" w:hAnsi="Arial" w:cs="Arial"/>
                <w:w w:val="90"/>
              </w:rPr>
            </w:pPr>
            <w:r w:rsidRPr="00F55A23">
              <w:rPr>
                <w:rFonts w:ascii="Arial" w:hAnsi="Arial" w:cs="Arial"/>
                <w:w w:val="90"/>
              </w:rPr>
              <w:t>3 (1%)</w:t>
            </w:r>
          </w:p>
        </w:tc>
        <w:tc>
          <w:tcPr>
            <w:tcW w:w="1269"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C5788F" w:rsidRPr="008E6B59" w:rsidRDefault="00C5788F" w:rsidP="00C5788F">
            <w:pPr>
              <w:pStyle w:val="Body"/>
              <w:jc w:val="center"/>
              <w:rPr>
                <w:rFonts w:ascii="Arial" w:hAnsi="Arial" w:cs="Arial"/>
                <w:w w:val="90"/>
              </w:rPr>
            </w:pPr>
            <w:r w:rsidRPr="00F55A23">
              <w:rPr>
                <w:rFonts w:ascii="Arial" w:hAnsi="Arial" w:cs="Arial"/>
                <w:w w:val="90"/>
              </w:rPr>
              <w:t>3 (2%)</w:t>
            </w:r>
          </w:p>
        </w:tc>
      </w:tr>
    </w:tbl>
    <w:p w:rsidR="00C5788F" w:rsidRPr="00F55A23" w:rsidRDefault="00C5788F" w:rsidP="00C5788F">
      <w:pPr>
        <w:pStyle w:val="Body"/>
        <w:rPr>
          <w:rFonts w:ascii="Arial" w:hAnsi="Arial" w:cs="Arial"/>
          <w:spacing w:val="-4"/>
          <w:w w:val="95"/>
        </w:rPr>
      </w:pP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 xml:space="preserve">In other studies, 2 subjects experienced severe constipation following a single palonosetron dose of approximately 0.75 mg, three times the recommended dose. One patient received a 10 µg/kg oral dose in a post-operative nausea and vomiting study and one healthy subject received a 0.75 mg IV dose in a pharmacokinetic study. </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In clinical trials, the following infrequently reported adverse reactions, assessed by investigators as treatment-related or causality unknown, occurred following administration of ALOXI to adult patients receiving concomitant cancer chemotherapy:</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Body"/>
        <w:rPr>
          <w:rFonts w:ascii="Arial" w:hAnsi="Arial" w:cs="Arial"/>
          <w:spacing w:val="-4"/>
          <w:w w:val="95"/>
          <w:sz w:val="22"/>
        </w:rPr>
      </w:pPr>
      <w:r w:rsidRPr="00D312A2">
        <w:rPr>
          <w:rFonts w:ascii="Arial" w:hAnsi="Arial" w:cs="Arial"/>
          <w:b/>
          <w:spacing w:val="-4"/>
          <w:w w:val="95"/>
          <w:sz w:val="22"/>
        </w:rPr>
        <w:t>Cardiovascular:</w:t>
      </w:r>
      <w:r w:rsidRPr="00D312A2">
        <w:rPr>
          <w:rFonts w:ascii="Arial" w:hAnsi="Arial" w:cs="Arial"/>
          <w:spacing w:val="-4"/>
          <w:w w:val="95"/>
          <w:sz w:val="22"/>
        </w:rPr>
        <w:t xml:space="preserve"> 1%: non-sustained tachycardia, bradycardia, hypotension, &lt; 1%: hypertension, myocardial ischemia, extrasystoles, sinus tachycardia, sinus arrhythmia, supraventricular extrasystoles and QT prolongation.  In many cases, the relationship to ALOXI was unclear.</w:t>
      </w:r>
    </w:p>
    <w:p w:rsidR="00C5788F" w:rsidRPr="004E6E31" w:rsidRDefault="00C5788F" w:rsidP="00C5788F">
      <w:pPr>
        <w:pStyle w:val="Body"/>
        <w:rPr>
          <w:rFonts w:ascii="Arial" w:hAnsi="Arial" w:cs="Arial"/>
          <w:spacing w:val="-4"/>
          <w:w w:val="95"/>
          <w:sz w:val="16"/>
        </w:rPr>
      </w:pPr>
      <w:r w:rsidRPr="004E6E31">
        <w:rPr>
          <w:rFonts w:ascii="Arial" w:hAnsi="Arial" w:cs="Arial"/>
          <w:spacing w:val="-4"/>
          <w:w w:val="95"/>
          <w:sz w:val="16"/>
        </w:rPr>
        <w:t xml:space="preserve"> </w:t>
      </w:r>
    </w:p>
    <w:p w:rsidR="00C5788F" w:rsidRPr="00D312A2" w:rsidRDefault="00C5788F" w:rsidP="00C5788F">
      <w:pPr>
        <w:pStyle w:val="Body"/>
        <w:rPr>
          <w:rFonts w:ascii="Arial" w:hAnsi="Arial" w:cs="Arial"/>
          <w:spacing w:val="-4"/>
          <w:w w:val="95"/>
          <w:sz w:val="22"/>
        </w:rPr>
      </w:pPr>
      <w:r w:rsidRPr="00D312A2">
        <w:rPr>
          <w:rFonts w:ascii="Arial" w:hAnsi="Arial" w:cs="Arial"/>
          <w:b/>
          <w:spacing w:val="-4"/>
          <w:w w:val="95"/>
          <w:sz w:val="22"/>
        </w:rPr>
        <w:t>Dermatological:</w:t>
      </w:r>
      <w:r w:rsidRPr="00D312A2">
        <w:rPr>
          <w:rFonts w:ascii="Arial" w:hAnsi="Arial" w:cs="Arial"/>
          <w:spacing w:val="-4"/>
          <w:w w:val="95"/>
          <w:sz w:val="22"/>
        </w:rPr>
        <w:t xml:space="preserve"> &lt; 1%: allergic dermatitis, pruritic rash.</w:t>
      </w:r>
    </w:p>
    <w:p w:rsidR="00C5788F" w:rsidRPr="004E6E31" w:rsidRDefault="00C5788F" w:rsidP="00C5788F">
      <w:pPr>
        <w:pStyle w:val="Body"/>
        <w:rPr>
          <w:rFonts w:ascii="Arial" w:hAnsi="Arial" w:cs="Arial"/>
          <w:spacing w:val="-4"/>
          <w:w w:val="95"/>
          <w:sz w:val="16"/>
        </w:rPr>
      </w:pPr>
    </w:p>
    <w:p w:rsidR="00C5788F" w:rsidRPr="00D312A2" w:rsidRDefault="00C5788F" w:rsidP="00C5788F">
      <w:pPr>
        <w:pStyle w:val="Body"/>
        <w:rPr>
          <w:rFonts w:ascii="Arial" w:hAnsi="Arial" w:cs="Arial"/>
          <w:spacing w:val="-4"/>
          <w:w w:val="95"/>
          <w:sz w:val="22"/>
        </w:rPr>
      </w:pPr>
      <w:r w:rsidRPr="00D312A2">
        <w:rPr>
          <w:rFonts w:ascii="Arial" w:hAnsi="Arial" w:cs="Arial"/>
          <w:b/>
          <w:spacing w:val="-4"/>
          <w:w w:val="95"/>
          <w:sz w:val="22"/>
        </w:rPr>
        <w:t>Hearing and Vision:</w:t>
      </w:r>
      <w:r w:rsidRPr="00D312A2">
        <w:rPr>
          <w:rFonts w:ascii="Arial" w:hAnsi="Arial" w:cs="Arial"/>
          <w:spacing w:val="-4"/>
          <w:w w:val="95"/>
          <w:sz w:val="22"/>
        </w:rPr>
        <w:t xml:space="preserve"> &lt; 1% motion sickness, tinnitus, eye irritation and amblyopia.</w:t>
      </w:r>
    </w:p>
    <w:p w:rsidR="00C5788F" w:rsidRPr="004E6E31" w:rsidRDefault="00C5788F" w:rsidP="00C5788F">
      <w:pPr>
        <w:pStyle w:val="Body"/>
        <w:rPr>
          <w:rFonts w:ascii="Arial" w:hAnsi="Arial" w:cs="Arial"/>
          <w:spacing w:val="-4"/>
          <w:w w:val="95"/>
          <w:sz w:val="16"/>
        </w:rPr>
      </w:pPr>
    </w:p>
    <w:p w:rsidR="00C5788F" w:rsidRPr="00D312A2" w:rsidRDefault="00C5788F" w:rsidP="00C5788F">
      <w:pPr>
        <w:pStyle w:val="Body"/>
        <w:rPr>
          <w:rFonts w:ascii="Arial" w:hAnsi="Arial" w:cs="Arial"/>
          <w:spacing w:val="-4"/>
          <w:w w:val="95"/>
          <w:sz w:val="22"/>
        </w:rPr>
      </w:pPr>
      <w:r w:rsidRPr="00D312A2">
        <w:rPr>
          <w:rFonts w:ascii="Arial" w:hAnsi="Arial" w:cs="Arial"/>
          <w:b/>
          <w:spacing w:val="-4"/>
          <w:w w:val="95"/>
          <w:sz w:val="22"/>
        </w:rPr>
        <w:t>Gastrointestinal system:</w:t>
      </w:r>
      <w:r w:rsidRPr="00D312A2">
        <w:rPr>
          <w:rFonts w:ascii="Arial" w:hAnsi="Arial" w:cs="Arial"/>
          <w:spacing w:val="-4"/>
          <w:w w:val="95"/>
          <w:sz w:val="22"/>
        </w:rPr>
        <w:t xml:space="preserve"> 1%: diarrhoea, &lt; 1%: dyspepsia, upper abdominal pain, dry mouth, hiccups and flatulence.</w:t>
      </w:r>
    </w:p>
    <w:p w:rsidR="00C5788F" w:rsidRPr="004E6E31" w:rsidRDefault="00C5788F" w:rsidP="00C5788F">
      <w:pPr>
        <w:pStyle w:val="Body"/>
        <w:rPr>
          <w:rFonts w:ascii="Arial" w:hAnsi="Arial" w:cs="Arial"/>
          <w:spacing w:val="-4"/>
          <w:w w:val="95"/>
          <w:sz w:val="16"/>
        </w:rPr>
      </w:pPr>
    </w:p>
    <w:p w:rsidR="00C5788F" w:rsidRPr="00D312A2" w:rsidRDefault="00C5788F" w:rsidP="00C5788F">
      <w:pPr>
        <w:pStyle w:val="Body"/>
        <w:rPr>
          <w:rFonts w:ascii="Arial" w:hAnsi="Arial" w:cs="Arial"/>
          <w:spacing w:val="-4"/>
          <w:w w:val="95"/>
          <w:sz w:val="22"/>
        </w:rPr>
      </w:pPr>
      <w:r w:rsidRPr="00D312A2">
        <w:rPr>
          <w:rFonts w:ascii="Arial" w:hAnsi="Arial" w:cs="Arial"/>
          <w:b/>
          <w:spacing w:val="-4"/>
          <w:w w:val="95"/>
          <w:sz w:val="22"/>
        </w:rPr>
        <w:t>General:</w:t>
      </w:r>
      <w:r w:rsidRPr="00D312A2">
        <w:rPr>
          <w:rFonts w:ascii="Arial" w:hAnsi="Arial" w:cs="Arial"/>
          <w:spacing w:val="-4"/>
          <w:w w:val="95"/>
          <w:sz w:val="22"/>
        </w:rPr>
        <w:t xml:space="preserve"> 1%: weakness, asthenia &lt; 1%: fatigue, fever, hot flash, flu-like syndrome.</w:t>
      </w:r>
    </w:p>
    <w:p w:rsidR="00C5788F" w:rsidRPr="004E6E31" w:rsidRDefault="00C5788F" w:rsidP="00C5788F">
      <w:pPr>
        <w:pStyle w:val="Body"/>
        <w:rPr>
          <w:rFonts w:ascii="Arial" w:hAnsi="Arial" w:cs="Arial"/>
          <w:spacing w:val="-4"/>
          <w:w w:val="95"/>
          <w:sz w:val="16"/>
        </w:rPr>
      </w:pPr>
    </w:p>
    <w:p w:rsidR="00C5788F" w:rsidRPr="00D312A2" w:rsidRDefault="00C5788F" w:rsidP="00C5788F">
      <w:pPr>
        <w:pStyle w:val="Body"/>
        <w:rPr>
          <w:rFonts w:ascii="Arial" w:hAnsi="Arial" w:cs="Arial"/>
          <w:spacing w:val="-4"/>
          <w:w w:val="95"/>
          <w:sz w:val="22"/>
        </w:rPr>
      </w:pPr>
      <w:r w:rsidRPr="00D312A2">
        <w:rPr>
          <w:rFonts w:ascii="Arial" w:hAnsi="Arial" w:cs="Arial"/>
          <w:b/>
          <w:spacing w:val="-4"/>
          <w:w w:val="95"/>
          <w:sz w:val="22"/>
        </w:rPr>
        <w:t>Liver:</w:t>
      </w:r>
      <w:r w:rsidRPr="00D312A2">
        <w:rPr>
          <w:rFonts w:ascii="Arial" w:hAnsi="Arial" w:cs="Arial"/>
          <w:spacing w:val="-4"/>
          <w:w w:val="95"/>
          <w:sz w:val="22"/>
        </w:rPr>
        <w:t xml:space="preserve"> &lt; 1%: transient, asymptomatic increases in AST and/or ALT and bilirubin. These changes occurred predominantly in patients receiving highly emetogenic chemotherapy.</w:t>
      </w:r>
    </w:p>
    <w:p w:rsidR="00C5788F" w:rsidRPr="004E6E31" w:rsidRDefault="00C5788F" w:rsidP="00C5788F">
      <w:pPr>
        <w:pStyle w:val="Body"/>
        <w:rPr>
          <w:rFonts w:ascii="Arial" w:hAnsi="Arial" w:cs="Arial"/>
          <w:spacing w:val="-4"/>
          <w:w w:val="95"/>
          <w:sz w:val="16"/>
        </w:rPr>
      </w:pPr>
    </w:p>
    <w:p w:rsidR="00C5788F" w:rsidRPr="00D312A2" w:rsidRDefault="00C5788F" w:rsidP="00C5788F">
      <w:pPr>
        <w:pStyle w:val="Body"/>
        <w:rPr>
          <w:rFonts w:ascii="Arial" w:hAnsi="Arial" w:cs="Arial"/>
          <w:spacing w:val="-4"/>
          <w:w w:val="95"/>
          <w:sz w:val="22"/>
        </w:rPr>
      </w:pPr>
      <w:r w:rsidRPr="00D312A2">
        <w:rPr>
          <w:rFonts w:ascii="Arial" w:hAnsi="Arial" w:cs="Arial"/>
          <w:b/>
          <w:spacing w:val="-4"/>
          <w:w w:val="95"/>
          <w:sz w:val="22"/>
        </w:rPr>
        <w:t>Metabolic:</w:t>
      </w:r>
      <w:r w:rsidRPr="00D312A2">
        <w:rPr>
          <w:rFonts w:ascii="Arial" w:hAnsi="Arial" w:cs="Arial"/>
          <w:spacing w:val="-4"/>
          <w:w w:val="95"/>
          <w:sz w:val="22"/>
        </w:rPr>
        <w:t xml:space="preserve"> 1%: hyperkalemia, &lt; 1%: electrolyte fluctuations, hypocalcemia, hyperglycemia, metabolic acidosis, glycosuria, appetite decrease, anorexia.</w:t>
      </w:r>
    </w:p>
    <w:p w:rsidR="00C5788F" w:rsidRPr="004E6E31" w:rsidRDefault="00C5788F" w:rsidP="00C5788F">
      <w:pPr>
        <w:pStyle w:val="Body"/>
        <w:rPr>
          <w:rFonts w:ascii="Arial" w:hAnsi="Arial" w:cs="Arial"/>
          <w:spacing w:val="-4"/>
          <w:w w:val="95"/>
          <w:sz w:val="16"/>
        </w:rPr>
      </w:pPr>
    </w:p>
    <w:p w:rsidR="00C5788F" w:rsidRPr="00D312A2" w:rsidRDefault="00C5788F" w:rsidP="00C5788F">
      <w:pPr>
        <w:pStyle w:val="Body"/>
        <w:rPr>
          <w:rFonts w:ascii="Arial" w:hAnsi="Arial" w:cs="Arial"/>
          <w:spacing w:val="-4"/>
          <w:w w:val="95"/>
          <w:sz w:val="22"/>
        </w:rPr>
      </w:pPr>
      <w:r w:rsidRPr="00D312A2">
        <w:rPr>
          <w:rFonts w:ascii="Arial" w:hAnsi="Arial" w:cs="Arial"/>
          <w:b/>
          <w:spacing w:val="-4"/>
          <w:w w:val="95"/>
          <w:sz w:val="22"/>
        </w:rPr>
        <w:t>Musculoskeletal:</w:t>
      </w:r>
      <w:r w:rsidRPr="00D312A2">
        <w:rPr>
          <w:rFonts w:ascii="Arial" w:hAnsi="Arial" w:cs="Arial"/>
          <w:spacing w:val="-4"/>
          <w:w w:val="95"/>
          <w:sz w:val="22"/>
        </w:rPr>
        <w:t xml:space="preserve"> &lt; 1%: arthralgia.</w:t>
      </w:r>
    </w:p>
    <w:p w:rsidR="00C5788F" w:rsidRPr="004E6E31" w:rsidRDefault="00C5788F" w:rsidP="00C5788F">
      <w:pPr>
        <w:pStyle w:val="Body"/>
        <w:rPr>
          <w:rFonts w:ascii="Arial" w:hAnsi="Arial" w:cs="Arial"/>
          <w:spacing w:val="-4"/>
          <w:w w:val="95"/>
          <w:sz w:val="16"/>
        </w:rPr>
      </w:pPr>
    </w:p>
    <w:p w:rsidR="00C5788F" w:rsidRPr="00D312A2" w:rsidRDefault="00C5788F" w:rsidP="00C5788F">
      <w:pPr>
        <w:pStyle w:val="Body"/>
        <w:rPr>
          <w:rFonts w:ascii="Arial" w:hAnsi="Arial" w:cs="Arial"/>
          <w:spacing w:val="-4"/>
          <w:w w:val="95"/>
          <w:sz w:val="22"/>
        </w:rPr>
      </w:pPr>
      <w:r w:rsidRPr="00D312A2">
        <w:rPr>
          <w:rFonts w:ascii="Arial" w:hAnsi="Arial" w:cs="Arial"/>
          <w:b/>
          <w:spacing w:val="-4"/>
          <w:w w:val="95"/>
          <w:sz w:val="22"/>
        </w:rPr>
        <w:t>Nervous System:</w:t>
      </w:r>
      <w:r w:rsidRPr="00D312A2">
        <w:rPr>
          <w:rFonts w:ascii="Arial" w:hAnsi="Arial" w:cs="Arial"/>
          <w:spacing w:val="-4"/>
          <w:w w:val="95"/>
          <w:sz w:val="22"/>
        </w:rPr>
        <w:t xml:space="preserve"> 1%: dizziness, &lt; 1%: somnolence, insomnia, hypersomnia, paresthesia, and peripheral sensory neuropathy.</w:t>
      </w:r>
    </w:p>
    <w:p w:rsidR="00C5788F" w:rsidRPr="004E6E31" w:rsidRDefault="00C5788F" w:rsidP="00C5788F">
      <w:pPr>
        <w:pStyle w:val="Body"/>
        <w:rPr>
          <w:rFonts w:ascii="Arial" w:hAnsi="Arial" w:cs="Arial"/>
          <w:spacing w:val="-4"/>
          <w:w w:val="95"/>
          <w:sz w:val="16"/>
        </w:rPr>
      </w:pPr>
    </w:p>
    <w:p w:rsidR="00C5788F" w:rsidRPr="00D312A2" w:rsidRDefault="00C5788F" w:rsidP="00C5788F">
      <w:pPr>
        <w:pStyle w:val="Body"/>
        <w:rPr>
          <w:rFonts w:ascii="Arial" w:hAnsi="Arial" w:cs="Arial"/>
          <w:spacing w:val="-4"/>
          <w:w w:val="95"/>
          <w:sz w:val="22"/>
        </w:rPr>
      </w:pPr>
      <w:r w:rsidRPr="00D312A2">
        <w:rPr>
          <w:rFonts w:ascii="Arial" w:hAnsi="Arial" w:cs="Arial"/>
          <w:b/>
          <w:spacing w:val="-4"/>
          <w:w w:val="95"/>
          <w:sz w:val="22"/>
        </w:rPr>
        <w:t>Psychiatric:</w:t>
      </w:r>
      <w:r w:rsidRPr="00D312A2">
        <w:rPr>
          <w:rFonts w:ascii="Arial" w:hAnsi="Arial" w:cs="Arial"/>
          <w:spacing w:val="-4"/>
          <w:w w:val="95"/>
          <w:sz w:val="22"/>
        </w:rPr>
        <w:t xml:space="preserve"> 1%: anxiety, &lt; 1%: euphoric mood.</w:t>
      </w:r>
    </w:p>
    <w:p w:rsidR="00C5788F" w:rsidRPr="004E6E31" w:rsidRDefault="00C5788F" w:rsidP="00C5788F">
      <w:pPr>
        <w:pStyle w:val="Body"/>
        <w:rPr>
          <w:rFonts w:ascii="Arial" w:hAnsi="Arial" w:cs="Arial"/>
          <w:spacing w:val="-4"/>
          <w:w w:val="95"/>
          <w:sz w:val="16"/>
        </w:rPr>
      </w:pPr>
    </w:p>
    <w:p w:rsidR="00C5788F" w:rsidRPr="00D312A2" w:rsidRDefault="00C5788F" w:rsidP="00C5788F">
      <w:pPr>
        <w:pStyle w:val="Body"/>
        <w:rPr>
          <w:rFonts w:ascii="Arial" w:hAnsi="Arial" w:cs="Arial"/>
          <w:spacing w:val="-4"/>
          <w:w w:val="95"/>
          <w:sz w:val="22"/>
        </w:rPr>
      </w:pPr>
      <w:r w:rsidRPr="00D312A2">
        <w:rPr>
          <w:rFonts w:ascii="Arial" w:hAnsi="Arial" w:cs="Arial"/>
          <w:b/>
          <w:spacing w:val="-4"/>
          <w:w w:val="95"/>
          <w:sz w:val="22"/>
        </w:rPr>
        <w:t>Urinary System:</w:t>
      </w:r>
      <w:r w:rsidRPr="00D312A2">
        <w:rPr>
          <w:rFonts w:ascii="Arial" w:hAnsi="Arial" w:cs="Arial"/>
          <w:spacing w:val="-4"/>
          <w:w w:val="95"/>
          <w:sz w:val="22"/>
        </w:rPr>
        <w:t xml:space="preserve"> &lt; 1%: urinary retention.</w:t>
      </w:r>
    </w:p>
    <w:p w:rsidR="00C5788F" w:rsidRPr="004E6E31" w:rsidRDefault="00C5788F" w:rsidP="00C5788F">
      <w:pPr>
        <w:pStyle w:val="Body"/>
        <w:rPr>
          <w:rFonts w:ascii="Arial" w:hAnsi="Arial" w:cs="Arial"/>
          <w:spacing w:val="-4"/>
          <w:w w:val="95"/>
          <w:sz w:val="16"/>
        </w:rPr>
      </w:pPr>
    </w:p>
    <w:p w:rsidR="00C5788F" w:rsidRPr="00644B9B" w:rsidRDefault="00C5788F" w:rsidP="00C5788F">
      <w:pPr>
        <w:pStyle w:val="Body"/>
        <w:rPr>
          <w:rFonts w:ascii="Arial" w:hAnsi="Arial" w:cs="Arial"/>
          <w:spacing w:val="-4"/>
          <w:w w:val="95"/>
          <w:sz w:val="22"/>
          <w:lang w:val="fr-CH"/>
        </w:rPr>
      </w:pPr>
      <w:r w:rsidRPr="00644B9B">
        <w:rPr>
          <w:rFonts w:ascii="Arial" w:hAnsi="Arial" w:cs="Arial"/>
          <w:b/>
          <w:spacing w:val="-4"/>
          <w:w w:val="95"/>
          <w:sz w:val="22"/>
          <w:lang w:val="fr-CH"/>
        </w:rPr>
        <w:t>Vascular:</w:t>
      </w:r>
      <w:r w:rsidRPr="00644B9B">
        <w:rPr>
          <w:rFonts w:ascii="Arial" w:hAnsi="Arial" w:cs="Arial"/>
          <w:spacing w:val="-4"/>
          <w:w w:val="95"/>
          <w:sz w:val="22"/>
          <w:lang w:val="fr-CH"/>
        </w:rPr>
        <w:t xml:space="preserve"> &lt; 1%: vein discoloration, vein distention.</w:t>
      </w:r>
    </w:p>
    <w:p w:rsidR="00C5788F" w:rsidRPr="00644B9B" w:rsidRDefault="00C5788F" w:rsidP="00C5788F">
      <w:pPr>
        <w:pStyle w:val="Body"/>
        <w:rPr>
          <w:rFonts w:ascii="Arial" w:hAnsi="Arial" w:cs="Arial"/>
          <w:spacing w:val="-4"/>
          <w:w w:val="95"/>
          <w:sz w:val="22"/>
          <w:lang w:val="fr-CH"/>
        </w:rPr>
      </w:pPr>
    </w:p>
    <w:p w:rsidR="00C5788F" w:rsidRPr="004E6E31" w:rsidRDefault="00C5788F" w:rsidP="00C5788F">
      <w:pPr>
        <w:pStyle w:val="Body"/>
        <w:rPr>
          <w:rFonts w:ascii="Arial" w:hAnsi="Arial" w:cs="Arial"/>
          <w:b/>
          <w:spacing w:val="-4"/>
          <w:w w:val="95"/>
          <w:sz w:val="22"/>
          <w:lang w:val="fr-CH"/>
        </w:rPr>
      </w:pPr>
      <w:r w:rsidRPr="004E6E31">
        <w:rPr>
          <w:rFonts w:ascii="Arial" w:hAnsi="Arial" w:cs="Arial"/>
          <w:b/>
          <w:spacing w:val="-4"/>
          <w:w w:val="95"/>
          <w:sz w:val="22"/>
          <w:lang w:val="fr-CH"/>
        </w:rPr>
        <w:lastRenderedPageBreak/>
        <w:t>Post-marketing experience</w:t>
      </w:r>
    </w:p>
    <w:p w:rsidR="00C5788F" w:rsidRPr="00644B9B" w:rsidRDefault="00C5788F" w:rsidP="00C5788F">
      <w:pPr>
        <w:pStyle w:val="Body"/>
        <w:rPr>
          <w:rFonts w:ascii="Arial" w:hAnsi="Arial" w:cs="Arial"/>
          <w:spacing w:val="-4"/>
          <w:w w:val="95"/>
          <w:sz w:val="22"/>
          <w:lang w:val="fr-CH"/>
        </w:rPr>
      </w:pPr>
      <w:r w:rsidRPr="00644B9B">
        <w:rPr>
          <w:rFonts w:ascii="Arial" w:hAnsi="Arial" w:cs="Arial"/>
          <w:spacing w:val="-4"/>
          <w:w w:val="95"/>
          <w:sz w:val="22"/>
          <w:lang w:val="fr-CH"/>
        </w:rPr>
        <w:t>In post-marketing reports there have been very rare cases of :</w:t>
      </w:r>
    </w:p>
    <w:p w:rsidR="00C5788F" w:rsidRPr="00644B9B" w:rsidRDefault="00C5788F" w:rsidP="00C5788F">
      <w:pPr>
        <w:pStyle w:val="Body"/>
        <w:numPr>
          <w:ilvl w:val="0"/>
          <w:numId w:val="3"/>
        </w:numPr>
        <w:rPr>
          <w:rFonts w:ascii="Arial" w:hAnsi="Arial" w:cs="Arial"/>
          <w:spacing w:val="-4"/>
          <w:w w:val="95"/>
          <w:sz w:val="22"/>
          <w:lang w:val="fr-CH"/>
        </w:rPr>
      </w:pPr>
      <w:r w:rsidRPr="00644B9B">
        <w:rPr>
          <w:rFonts w:ascii="Arial" w:hAnsi="Arial" w:cs="Arial"/>
          <w:spacing w:val="-4"/>
          <w:w w:val="95"/>
          <w:sz w:val="22"/>
          <w:lang w:val="fr-CH"/>
        </w:rPr>
        <w:t>Hypersensitivity reactions including anaphylaxis and shock, and</w:t>
      </w:r>
    </w:p>
    <w:p w:rsidR="00C5788F" w:rsidRPr="00644B9B" w:rsidRDefault="00C5788F" w:rsidP="00C5788F">
      <w:pPr>
        <w:pStyle w:val="Body"/>
        <w:numPr>
          <w:ilvl w:val="0"/>
          <w:numId w:val="3"/>
        </w:numPr>
        <w:rPr>
          <w:rFonts w:ascii="Arial" w:hAnsi="Arial" w:cs="Arial"/>
          <w:spacing w:val="-4"/>
          <w:w w:val="95"/>
          <w:sz w:val="22"/>
          <w:lang w:val="fr-CH"/>
        </w:rPr>
      </w:pPr>
      <w:r w:rsidRPr="00644B9B">
        <w:rPr>
          <w:rFonts w:ascii="Arial" w:hAnsi="Arial" w:cs="Arial"/>
          <w:spacing w:val="-4"/>
          <w:w w:val="95"/>
          <w:sz w:val="22"/>
          <w:lang w:val="fr-CH"/>
        </w:rPr>
        <w:t>Injection site reactions such as burning, induration, discomfort and pain</w:t>
      </w:r>
    </w:p>
    <w:p w:rsidR="00C669AB" w:rsidRDefault="00C669AB" w:rsidP="00C5788F">
      <w:pPr>
        <w:pStyle w:val="h2"/>
        <w:rPr>
          <w:rFonts w:ascii="Arial" w:hAnsi="Arial" w:cs="Arial"/>
          <w:b/>
          <w:spacing w:val="-3"/>
          <w:w w:val="95"/>
          <w:sz w:val="22"/>
        </w:rPr>
      </w:pPr>
    </w:p>
    <w:p w:rsidR="00C5788F" w:rsidRPr="00D312A2" w:rsidRDefault="00C5788F" w:rsidP="00C5788F">
      <w:pPr>
        <w:pStyle w:val="h2"/>
        <w:rPr>
          <w:rFonts w:ascii="Arial" w:hAnsi="Arial" w:cs="Arial"/>
          <w:b/>
          <w:spacing w:val="-3"/>
          <w:w w:val="95"/>
          <w:sz w:val="22"/>
        </w:rPr>
      </w:pPr>
      <w:r w:rsidRPr="00D312A2">
        <w:rPr>
          <w:rFonts w:ascii="Arial" w:hAnsi="Arial" w:cs="Arial"/>
          <w:b/>
          <w:spacing w:val="-3"/>
          <w:w w:val="95"/>
          <w:sz w:val="22"/>
        </w:rPr>
        <w:t>DOSAGE AND ADMINISTRATION</w:t>
      </w:r>
    </w:p>
    <w:p w:rsidR="00C5788F" w:rsidRPr="00D312A2" w:rsidRDefault="00C5788F" w:rsidP="00C5788F">
      <w:pPr>
        <w:pStyle w:val="h3"/>
        <w:rPr>
          <w:rFonts w:ascii="Arial" w:hAnsi="Arial" w:cs="Arial"/>
          <w:b/>
          <w:spacing w:val="-4"/>
          <w:w w:val="95"/>
          <w:sz w:val="22"/>
        </w:rPr>
      </w:pPr>
      <w:r w:rsidRPr="00D312A2">
        <w:rPr>
          <w:rFonts w:ascii="Arial" w:hAnsi="Arial" w:cs="Arial"/>
          <w:b/>
          <w:spacing w:val="-4"/>
          <w:w w:val="95"/>
          <w:sz w:val="22"/>
        </w:rPr>
        <w:t>Dosage for Adults</w:t>
      </w: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The recommended dosage of ALOXI is 250 µg administered as a single dose approximately 30 minutes before the start of chemotherapy.</w:t>
      </w:r>
    </w:p>
    <w:p w:rsidR="00C5788F" w:rsidRPr="00D312A2" w:rsidRDefault="00C5788F" w:rsidP="00C5788F">
      <w:pPr>
        <w:pStyle w:val="Body"/>
        <w:rPr>
          <w:rFonts w:ascii="Arial" w:hAnsi="Arial" w:cs="Arial"/>
          <w:spacing w:val="-4"/>
          <w:w w:val="95"/>
          <w:sz w:val="22"/>
        </w:rPr>
      </w:pPr>
    </w:p>
    <w:p w:rsidR="00C5788F" w:rsidRPr="00D312A2" w:rsidDel="004E6E31" w:rsidRDefault="00C5788F" w:rsidP="00C5788F">
      <w:pPr>
        <w:pStyle w:val="Body"/>
        <w:rPr>
          <w:rFonts w:ascii="Arial" w:hAnsi="Arial" w:cs="Arial"/>
          <w:i/>
          <w:iCs/>
          <w:spacing w:val="-4"/>
          <w:w w:val="95"/>
          <w:sz w:val="22"/>
        </w:rPr>
      </w:pPr>
      <w:r w:rsidRPr="00D35662">
        <w:rPr>
          <w:rFonts w:ascii="Arial" w:hAnsi="Arial" w:cs="Arial"/>
          <w:spacing w:val="-4"/>
          <w:w w:val="95"/>
          <w:sz w:val="22"/>
        </w:rPr>
        <w:t>Drug accumulation was observed in subjects administered ALOXI on consecutive days or once every two days for three doses (</w:t>
      </w:r>
      <w:r w:rsidRPr="004E6E31">
        <w:rPr>
          <w:rFonts w:ascii="Arial" w:hAnsi="Arial" w:cs="Arial"/>
          <w:spacing w:val="-4"/>
          <w:w w:val="95"/>
          <w:sz w:val="22"/>
        </w:rPr>
        <w:t>see</w:t>
      </w:r>
      <w:r w:rsidRPr="00D35662">
        <w:rPr>
          <w:rFonts w:ascii="Arial" w:hAnsi="Arial" w:cs="Arial"/>
          <w:spacing w:val="-4"/>
          <w:w w:val="95"/>
          <w:sz w:val="22"/>
        </w:rPr>
        <w:t xml:space="preserve"> </w:t>
      </w:r>
      <w:r w:rsidRPr="004E6E31">
        <w:rPr>
          <w:rFonts w:ascii="Arial" w:hAnsi="Arial" w:cs="Arial"/>
          <w:i/>
          <w:spacing w:val="-4"/>
          <w:w w:val="95"/>
          <w:sz w:val="22"/>
        </w:rPr>
        <w:t>Pharmacokinetics</w:t>
      </w:r>
      <w:r w:rsidRPr="00D35662">
        <w:rPr>
          <w:rFonts w:ascii="Arial" w:hAnsi="Arial" w:cs="Arial"/>
          <w:spacing w:val="-4"/>
          <w:w w:val="95"/>
          <w:sz w:val="22"/>
        </w:rPr>
        <w:t>). Safety and efficacy data available regarding repeated dosing of ALOXI</w:t>
      </w:r>
      <w:r w:rsidRPr="00D312A2" w:rsidDel="004E6E31">
        <w:rPr>
          <w:rFonts w:ascii="Arial" w:hAnsi="Arial" w:cs="Arial"/>
          <w:spacing w:val="-4"/>
          <w:w w:val="95"/>
          <w:sz w:val="22"/>
        </w:rPr>
        <w:t xml:space="preserve"> within a course of multi-day chemotherapy are limited (</w:t>
      </w:r>
      <w:r w:rsidRPr="004E6E31" w:rsidDel="004E6E31">
        <w:rPr>
          <w:rFonts w:ascii="Arial" w:hAnsi="Arial" w:cs="Arial"/>
          <w:spacing w:val="-4"/>
          <w:w w:val="95"/>
          <w:sz w:val="22"/>
        </w:rPr>
        <w:t>see</w:t>
      </w:r>
      <w:r w:rsidRPr="00D312A2" w:rsidDel="004E6E31">
        <w:rPr>
          <w:rFonts w:ascii="Arial" w:hAnsi="Arial" w:cs="Arial"/>
          <w:spacing w:val="-4"/>
          <w:w w:val="95"/>
          <w:sz w:val="22"/>
        </w:rPr>
        <w:t xml:space="preserve"> </w:t>
      </w:r>
      <w:r w:rsidRPr="004E6E31" w:rsidDel="004E6E31">
        <w:rPr>
          <w:rFonts w:ascii="Arial" w:hAnsi="Arial" w:cs="Arial"/>
          <w:i/>
          <w:spacing w:val="-4"/>
          <w:w w:val="95"/>
          <w:sz w:val="22"/>
        </w:rPr>
        <w:t>Clinical Tria</w:t>
      </w:r>
      <w:r w:rsidRPr="00D312A2" w:rsidDel="004E6E31">
        <w:rPr>
          <w:rFonts w:ascii="Arial" w:hAnsi="Arial" w:cs="Arial"/>
          <w:spacing w:val="-4"/>
          <w:w w:val="95"/>
          <w:sz w:val="22"/>
        </w:rPr>
        <w:t>ls)</w:t>
      </w:r>
      <w:r>
        <w:rPr>
          <w:rFonts w:ascii="Arial" w:hAnsi="Arial" w:cs="Arial"/>
          <w:spacing w:val="-4"/>
          <w:w w:val="95"/>
          <w:sz w:val="22"/>
        </w:rPr>
        <w:t>.</w:t>
      </w:r>
    </w:p>
    <w:p w:rsidR="00C5788F" w:rsidRPr="00D312A2" w:rsidDel="004E6E31" w:rsidRDefault="00C5788F" w:rsidP="00C5788F">
      <w:pPr>
        <w:pStyle w:val="Body"/>
        <w:rPr>
          <w:rFonts w:ascii="Arial" w:hAnsi="Arial" w:cs="Arial"/>
          <w:i/>
          <w:iCs/>
          <w:spacing w:val="-4"/>
          <w:w w:val="95"/>
          <w:sz w:val="22"/>
        </w:rPr>
      </w:pPr>
    </w:p>
    <w:p w:rsidR="00C5788F" w:rsidRPr="00D312A2" w:rsidRDefault="00C5788F" w:rsidP="00C5788F">
      <w:pPr>
        <w:pStyle w:val="h3"/>
        <w:rPr>
          <w:rFonts w:ascii="Arial" w:hAnsi="Arial" w:cs="Arial"/>
          <w:b/>
          <w:spacing w:val="-4"/>
          <w:w w:val="95"/>
          <w:sz w:val="22"/>
        </w:rPr>
      </w:pPr>
      <w:r w:rsidRPr="00D312A2">
        <w:rPr>
          <w:rFonts w:ascii="Arial" w:hAnsi="Arial" w:cs="Arial"/>
          <w:b/>
          <w:spacing w:val="-4"/>
          <w:w w:val="95"/>
          <w:sz w:val="22"/>
        </w:rPr>
        <w:t>Use in Geriatric Patients and in Patients with Impaired Renal or Hepatic Function</w:t>
      </w: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No dosage adjustment is recommended.</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h3"/>
        <w:rPr>
          <w:rFonts w:ascii="Arial" w:hAnsi="Arial" w:cs="Arial"/>
          <w:b/>
          <w:spacing w:val="-4"/>
          <w:w w:val="95"/>
          <w:sz w:val="22"/>
        </w:rPr>
      </w:pPr>
      <w:r w:rsidRPr="00D312A2">
        <w:rPr>
          <w:rFonts w:ascii="Arial" w:hAnsi="Arial" w:cs="Arial"/>
          <w:b/>
          <w:spacing w:val="-4"/>
          <w:w w:val="95"/>
          <w:sz w:val="22"/>
        </w:rPr>
        <w:t>Dosage for Paediatric Patients</w:t>
      </w: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 xml:space="preserve">A recommended intravenous dosage has not been established for paediatric patients. </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h3"/>
        <w:rPr>
          <w:rFonts w:ascii="Arial" w:hAnsi="Arial" w:cs="Arial"/>
          <w:b/>
          <w:spacing w:val="-4"/>
          <w:w w:val="95"/>
          <w:sz w:val="22"/>
        </w:rPr>
      </w:pPr>
      <w:r w:rsidRPr="00D312A2">
        <w:rPr>
          <w:rFonts w:ascii="Arial" w:hAnsi="Arial" w:cs="Arial"/>
          <w:b/>
          <w:spacing w:val="-4"/>
          <w:w w:val="95"/>
          <w:sz w:val="22"/>
        </w:rPr>
        <w:t>Administration</w:t>
      </w: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 xml:space="preserve">ALOXI should only be used before chemotherapy administration. ALOXI is to be infused intravenously over 30 seconds. </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Body"/>
        <w:rPr>
          <w:rFonts w:ascii="Arial" w:hAnsi="Arial" w:cs="Arial"/>
          <w:b/>
          <w:spacing w:val="-4"/>
          <w:w w:val="95"/>
          <w:sz w:val="22"/>
        </w:rPr>
      </w:pPr>
      <w:r w:rsidRPr="00D312A2">
        <w:rPr>
          <w:rFonts w:ascii="Arial" w:hAnsi="Arial" w:cs="Arial"/>
          <w:b/>
          <w:spacing w:val="-4"/>
          <w:w w:val="95"/>
          <w:sz w:val="22"/>
          <w:u w:val="thick"/>
        </w:rPr>
        <w:t>Instructions for use/handling</w:t>
      </w: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Flush the infusion line with normal saline before and after administration of ALOXI.</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Contains no antimicrobial agent. ALOXI is for single use in one patient only. Discard any residue.</w:t>
      </w:r>
    </w:p>
    <w:p w:rsidR="009B21B1" w:rsidRDefault="009B21B1" w:rsidP="00C5788F">
      <w:pPr>
        <w:pStyle w:val="h2"/>
        <w:rPr>
          <w:rFonts w:ascii="Arial" w:hAnsi="Arial" w:cs="Arial"/>
          <w:b/>
          <w:spacing w:val="-3"/>
          <w:w w:val="95"/>
          <w:sz w:val="22"/>
        </w:rPr>
      </w:pPr>
    </w:p>
    <w:p w:rsidR="00C5788F" w:rsidRPr="00D312A2" w:rsidRDefault="00C5788F" w:rsidP="00C5788F">
      <w:pPr>
        <w:pStyle w:val="h2"/>
        <w:rPr>
          <w:rFonts w:ascii="Arial" w:hAnsi="Arial" w:cs="Arial"/>
          <w:b/>
          <w:spacing w:val="-3"/>
          <w:w w:val="95"/>
          <w:sz w:val="22"/>
        </w:rPr>
      </w:pPr>
      <w:r w:rsidRPr="00D312A2">
        <w:rPr>
          <w:rFonts w:ascii="Arial" w:hAnsi="Arial" w:cs="Arial"/>
          <w:b/>
          <w:spacing w:val="-3"/>
          <w:w w:val="95"/>
          <w:sz w:val="22"/>
        </w:rPr>
        <w:t>OVERDOSAGE</w:t>
      </w: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There is no known antidote to ALOXI. Overdose should be managed with supportive care.  Fifty adult cancer patients were administered palonosetron at a dose of 90 µg/kg (equivalent to 6 mg fixed dose) as part of a dose ranging study.  This is approximately 25 times the recommended dose of 250 µg.  This dose group had a similar incidence of adverse events compared to the other dose groups and no dose response effects were observed.  Dialysis studies have not been performed; however, due to the large volume of distribution, dialysis is unlikely to be an effective treatment for palonosetron overdose. A single intravenous dose of palonosetron at 30 mg/kg (947 and 474 times the human dose for rats and mice, respectively, based on body surface area) was lethal to rats and mice.  The major signs of toxicity were convulsions, gasping, pallor, cyanosis and collapse.</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h2"/>
        <w:rPr>
          <w:rFonts w:ascii="Arial" w:hAnsi="Arial" w:cs="Arial"/>
          <w:b/>
          <w:spacing w:val="-3"/>
          <w:w w:val="95"/>
          <w:sz w:val="22"/>
        </w:rPr>
      </w:pPr>
      <w:r w:rsidRPr="00D312A2">
        <w:rPr>
          <w:rFonts w:ascii="Arial" w:hAnsi="Arial" w:cs="Arial"/>
          <w:b/>
          <w:spacing w:val="-3"/>
          <w:w w:val="95"/>
          <w:sz w:val="22"/>
        </w:rPr>
        <w:t>PRESENTATION AND STORAGE CONDITIONS</w:t>
      </w: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 xml:space="preserve">ALOXI  250 µg / 5 mL solution for injection is sold as a single pack of 1 vial. </w:t>
      </w: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Store below 25°C. Protect from light.</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h2"/>
        <w:rPr>
          <w:rFonts w:ascii="Arial" w:hAnsi="Arial" w:cs="Arial"/>
          <w:b/>
          <w:spacing w:val="-3"/>
          <w:w w:val="95"/>
          <w:sz w:val="22"/>
        </w:rPr>
      </w:pPr>
      <w:r w:rsidRPr="00D312A2">
        <w:rPr>
          <w:rFonts w:ascii="Arial" w:hAnsi="Arial" w:cs="Arial"/>
          <w:b/>
          <w:spacing w:val="-3"/>
          <w:w w:val="95"/>
          <w:sz w:val="22"/>
        </w:rPr>
        <w:t>NAME AND ADDRESS OF THE SPONSOR</w:t>
      </w:r>
    </w:p>
    <w:tbl>
      <w:tblPr>
        <w:tblW w:w="9360" w:type="dxa"/>
        <w:tblInd w:w="8" w:type="dxa"/>
        <w:tblLayout w:type="fixed"/>
        <w:tblCellMar>
          <w:left w:w="0" w:type="dxa"/>
          <w:right w:w="0" w:type="dxa"/>
        </w:tblCellMar>
        <w:tblLook w:val="0000" w:firstRow="0" w:lastRow="0" w:firstColumn="0" w:lastColumn="0" w:noHBand="0" w:noVBand="0"/>
      </w:tblPr>
      <w:tblGrid>
        <w:gridCol w:w="5940"/>
        <w:gridCol w:w="3420"/>
      </w:tblGrid>
      <w:tr w:rsidR="00C5788F" w:rsidRPr="00D312A2">
        <w:trPr>
          <w:trHeight w:val="60"/>
        </w:trPr>
        <w:tc>
          <w:tcPr>
            <w:tcW w:w="5940" w:type="dxa"/>
            <w:tcMar>
              <w:top w:w="0" w:type="dxa"/>
              <w:left w:w="0" w:type="dxa"/>
              <w:bottom w:w="0" w:type="dxa"/>
              <w:right w:w="0" w:type="dxa"/>
            </w:tcMar>
          </w:tcPr>
          <w:p w:rsidR="00C5788F" w:rsidRPr="00D312A2" w:rsidRDefault="00C5788F">
            <w:pPr>
              <w:pStyle w:val="Body"/>
              <w:rPr>
                <w:rFonts w:ascii="Arial" w:hAnsi="Arial" w:cs="Arial"/>
                <w:spacing w:val="-4"/>
                <w:w w:val="95"/>
                <w:sz w:val="22"/>
              </w:rPr>
            </w:pPr>
            <w:r w:rsidRPr="00D312A2">
              <w:rPr>
                <w:rFonts w:ascii="Arial" w:hAnsi="Arial" w:cs="Arial"/>
                <w:spacing w:val="-4"/>
                <w:w w:val="95"/>
                <w:sz w:val="22"/>
              </w:rPr>
              <w:t>Specialised Therapeutics Australia</w:t>
            </w:r>
          </w:p>
          <w:p w:rsidR="00C5788F" w:rsidRPr="00D312A2" w:rsidRDefault="00C5788F">
            <w:pPr>
              <w:pStyle w:val="Body"/>
              <w:rPr>
                <w:rFonts w:ascii="Arial" w:hAnsi="Arial" w:cs="Arial"/>
                <w:spacing w:val="-4"/>
                <w:w w:val="95"/>
                <w:sz w:val="22"/>
              </w:rPr>
            </w:pPr>
            <w:r>
              <w:rPr>
                <w:rFonts w:ascii="Arial" w:hAnsi="Arial" w:cs="Arial"/>
                <w:spacing w:val="-4"/>
                <w:w w:val="95"/>
                <w:sz w:val="22"/>
              </w:rPr>
              <w:t>Level 1, 711 High Street</w:t>
            </w:r>
          </w:p>
          <w:p w:rsidR="00C5788F" w:rsidRPr="00D312A2" w:rsidRDefault="00C5788F">
            <w:pPr>
              <w:pStyle w:val="Body"/>
              <w:rPr>
                <w:rFonts w:ascii="Arial" w:hAnsi="Arial" w:cs="Arial"/>
                <w:spacing w:val="-4"/>
                <w:w w:val="95"/>
                <w:sz w:val="22"/>
              </w:rPr>
            </w:pPr>
            <w:r w:rsidRPr="00D312A2">
              <w:rPr>
                <w:rFonts w:ascii="Arial" w:hAnsi="Arial" w:cs="Arial"/>
                <w:spacing w:val="-4"/>
                <w:w w:val="95"/>
                <w:sz w:val="22"/>
              </w:rPr>
              <w:t>Kew</w:t>
            </w:r>
            <w:r>
              <w:rPr>
                <w:rFonts w:ascii="Arial" w:hAnsi="Arial" w:cs="Arial"/>
                <w:spacing w:val="-4"/>
                <w:w w:val="95"/>
                <w:sz w:val="22"/>
              </w:rPr>
              <w:t xml:space="preserve"> East </w:t>
            </w:r>
            <w:r w:rsidRPr="00D312A2">
              <w:rPr>
                <w:rFonts w:ascii="Arial" w:hAnsi="Arial" w:cs="Arial"/>
                <w:spacing w:val="-4"/>
                <w:w w:val="95"/>
                <w:sz w:val="22"/>
              </w:rPr>
              <w:t>VIC 3102 Australia</w:t>
            </w:r>
          </w:p>
          <w:p w:rsidR="00C5788F" w:rsidRPr="00644B9B" w:rsidRDefault="00C5788F">
            <w:pPr>
              <w:pStyle w:val="Body"/>
              <w:rPr>
                <w:rFonts w:ascii="Arial" w:hAnsi="Arial" w:cs="Arial"/>
                <w:spacing w:val="-4"/>
                <w:w w:val="95"/>
                <w:sz w:val="22"/>
                <w:lang w:val="fr-CH"/>
              </w:rPr>
            </w:pPr>
            <w:r w:rsidRPr="00D312A2">
              <w:rPr>
                <w:rFonts w:ascii="Arial" w:hAnsi="Arial" w:cs="Arial"/>
                <w:spacing w:val="-4"/>
                <w:w w:val="95"/>
                <w:sz w:val="22"/>
              </w:rPr>
              <w:t>Tel: 1300 798 820</w:t>
            </w:r>
            <w:r w:rsidRPr="00D312A2">
              <w:rPr>
                <w:rFonts w:ascii="Arial" w:hAnsi="Arial" w:cs="Arial"/>
                <w:spacing w:val="-4"/>
                <w:w w:val="95"/>
                <w:sz w:val="22"/>
                <w:lang w:val="fr-CH"/>
              </w:rPr>
              <w:t xml:space="preserve"> </w:t>
            </w:r>
            <w:r w:rsidRPr="00644B9B">
              <w:rPr>
                <w:rFonts w:ascii="Arial" w:hAnsi="Arial" w:cs="Arial"/>
                <w:spacing w:val="-4"/>
                <w:w w:val="95"/>
                <w:sz w:val="22"/>
                <w:lang w:val="fr-CH"/>
              </w:rPr>
              <w:t>Fax: 1800 798 829</w:t>
            </w:r>
          </w:p>
          <w:p w:rsidR="00C5788F" w:rsidRPr="00644B9B" w:rsidRDefault="00C5788F">
            <w:pPr>
              <w:pStyle w:val="Body"/>
              <w:rPr>
                <w:rFonts w:ascii="Arial" w:hAnsi="Arial" w:cs="Arial"/>
                <w:sz w:val="22"/>
                <w:lang w:val="fr-CH"/>
              </w:rPr>
            </w:pPr>
            <w:r w:rsidRPr="00644B9B">
              <w:rPr>
                <w:rFonts w:ascii="Arial" w:hAnsi="Arial" w:cs="Arial"/>
                <w:spacing w:val="-4"/>
                <w:w w:val="95"/>
                <w:sz w:val="22"/>
                <w:lang w:val="fr-CH"/>
              </w:rPr>
              <w:t>www.specialisedtherapeutics.com.au</w:t>
            </w:r>
          </w:p>
        </w:tc>
        <w:tc>
          <w:tcPr>
            <w:tcW w:w="3420" w:type="dxa"/>
            <w:tcMar>
              <w:top w:w="0" w:type="dxa"/>
              <w:left w:w="0" w:type="dxa"/>
              <w:bottom w:w="0" w:type="dxa"/>
              <w:right w:w="0" w:type="dxa"/>
            </w:tcMar>
          </w:tcPr>
          <w:p w:rsidR="00C5788F" w:rsidRPr="00D312A2" w:rsidRDefault="00C5788F">
            <w:pPr>
              <w:pStyle w:val="Body"/>
              <w:rPr>
                <w:rFonts w:ascii="Arial" w:hAnsi="Arial" w:cs="Arial"/>
                <w:spacing w:val="-4"/>
                <w:w w:val="95"/>
                <w:sz w:val="22"/>
              </w:rPr>
            </w:pPr>
            <w:r w:rsidRPr="00D312A2">
              <w:rPr>
                <w:rFonts w:ascii="Arial" w:hAnsi="Arial" w:cs="Arial"/>
                <w:spacing w:val="-4"/>
                <w:w w:val="95"/>
                <w:sz w:val="22"/>
              </w:rPr>
              <w:t>Specialised Therapeutics</w:t>
            </w:r>
          </w:p>
          <w:p w:rsidR="00C5788F" w:rsidRPr="00D312A2" w:rsidRDefault="00C5788F">
            <w:pPr>
              <w:pStyle w:val="Body"/>
              <w:rPr>
                <w:rFonts w:ascii="Arial" w:hAnsi="Arial" w:cs="Arial"/>
                <w:spacing w:val="-4"/>
                <w:w w:val="95"/>
                <w:sz w:val="22"/>
              </w:rPr>
            </w:pPr>
            <w:r w:rsidRPr="00D312A2">
              <w:rPr>
                <w:rFonts w:ascii="Arial" w:hAnsi="Arial" w:cs="Arial"/>
                <w:spacing w:val="-4"/>
                <w:w w:val="95"/>
                <w:sz w:val="22"/>
              </w:rPr>
              <w:t>23 Albert Street</w:t>
            </w:r>
          </w:p>
          <w:p w:rsidR="00C5788F" w:rsidRDefault="00C5788F">
            <w:pPr>
              <w:pStyle w:val="Body"/>
              <w:rPr>
                <w:rFonts w:ascii="Arial" w:hAnsi="Arial" w:cs="Arial"/>
                <w:spacing w:val="-4"/>
                <w:w w:val="95"/>
                <w:sz w:val="22"/>
              </w:rPr>
            </w:pPr>
            <w:r w:rsidRPr="00D312A2">
              <w:rPr>
                <w:rFonts w:ascii="Arial" w:hAnsi="Arial" w:cs="Arial"/>
                <w:spacing w:val="-4"/>
                <w:w w:val="95"/>
                <w:sz w:val="22"/>
              </w:rPr>
              <w:t xml:space="preserve">Auckland 1140 </w:t>
            </w:r>
          </w:p>
          <w:p w:rsidR="00C5788F" w:rsidRPr="00D312A2" w:rsidRDefault="00C5788F">
            <w:pPr>
              <w:pStyle w:val="Body"/>
              <w:rPr>
                <w:rFonts w:ascii="Arial" w:hAnsi="Arial" w:cs="Arial"/>
                <w:sz w:val="22"/>
              </w:rPr>
            </w:pPr>
            <w:r w:rsidRPr="00D312A2">
              <w:rPr>
                <w:rFonts w:ascii="Arial" w:hAnsi="Arial" w:cs="Arial"/>
                <w:spacing w:val="-4"/>
                <w:w w:val="95"/>
                <w:sz w:val="22"/>
              </w:rPr>
              <w:t>New Zealand</w:t>
            </w:r>
          </w:p>
        </w:tc>
      </w:tr>
    </w:tbl>
    <w:p w:rsidR="00C5788F" w:rsidRPr="00D312A2" w:rsidRDefault="00C5788F" w:rsidP="00C5788F">
      <w:pPr>
        <w:pStyle w:val="Body"/>
        <w:rPr>
          <w:rFonts w:ascii="Arial" w:hAnsi="Arial" w:cs="Arial"/>
          <w:b/>
          <w:spacing w:val="-3"/>
          <w:w w:val="95"/>
          <w:sz w:val="22"/>
          <w:szCs w:val="16"/>
        </w:rPr>
      </w:pPr>
    </w:p>
    <w:p w:rsidR="009B21B1" w:rsidRDefault="009B21B1" w:rsidP="00C5788F">
      <w:pPr>
        <w:pStyle w:val="h2"/>
        <w:spacing w:after="0"/>
        <w:rPr>
          <w:rFonts w:ascii="Arial" w:hAnsi="Arial" w:cs="Arial"/>
          <w:b/>
          <w:spacing w:val="-3"/>
          <w:w w:val="95"/>
          <w:sz w:val="22"/>
        </w:rPr>
      </w:pPr>
    </w:p>
    <w:p w:rsidR="00C5788F" w:rsidRPr="00D312A2" w:rsidRDefault="00C5788F" w:rsidP="00C5788F">
      <w:pPr>
        <w:pStyle w:val="h2"/>
        <w:spacing w:after="0"/>
        <w:rPr>
          <w:rFonts w:ascii="Arial" w:hAnsi="Arial" w:cs="Arial"/>
          <w:b/>
          <w:spacing w:val="-3"/>
          <w:w w:val="95"/>
          <w:sz w:val="22"/>
        </w:rPr>
      </w:pPr>
      <w:r w:rsidRPr="00D312A2">
        <w:rPr>
          <w:rFonts w:ascii="Arial" w:hAnsi="Arial" w:cs="Arial"/>
          <w:b/>
          <w:spacing w:val="-3"/>
          <w:w w:val="95"/>
          <w:sz w:val="22"/>
        </w:rPr>
        <w:t>POISON SCHEDULE / MEDICINE SCHEDULE</w:t>
      </w: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S4 / Prescription Medicine</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h2"/>
        <w:spacing w:after="0"/>
        <w:rPr>
          <w:rFonts w:ascii="Arial" w:hAnsi="Arial" w:cs="Arial"/>
          <w:b/>
          <w:spacing w:val="-3"/>
          <w:w w:val="95"/>
          <w:sz w:val="22"/>
        </w:rPr>
      </w:pPr>
      <w:r w:rsidRPr="00D312A2">
        <w:rPr>
          <w:rFonts w:ascii="Arial" w:hAnsi="Arial" w:cs="Arial"/>
          <w:b/>
          <w:spacing w:val="-3"/>
          <w:w w:val="95"/>
          <w:sz w:val="22"/>
        </w:rPr>
        <w:t>Date of first inclusion in the Australian register of Therapeutic Goods (ARTG): 26 June 2006</w:t>
      </w:r>
    </w:p>
    <w:p w:rsidR="00C5788F" w:rsidRPr="004E6E31" w:rsidRDefault="00C5788F" w:rsidP="00C5788F">
      <w:pPr>
        <w:pStyle w:val="Body"/>
        <w:rPr>
          <w:rFonts w:ascii="Arial" w:hAnsi="Arial" w:cs="Arial"/>
          <w:b/>
          <w:spacing w:val="-4"/>
          <w:w w:val="95"/>
          <w:sz w:val="22"/>
        </w:rPr>
      </w:pPr>
      <w:r w:rsidRPr="004E6E31">
        <w:rPr>
          <w:rFonts w:ascii="Arial" w:hAnsi="Arial" w:cs="Arial"/>
          <w:b/>
          <w:spacing w:val="-4"/>
          <w:w w:val="95"/>
          <w:sz w:val="22"/>
        </w:rPr>
        <w:t xml:space="preserve">Date of most recent amendment: </w:t>
      </w:r>
      <w:r>
        <w:rPr>
          <w:rFonts w:ascii="Arial" w:hAnsi="Arial" w:cs="Arial"/>
          <w:b/>
          <w:spacing w:val="-4"/>
          <w:w w:val="95"/>
          <w:sz w:val="22"/>
        </w:rPr>
        <w:t>20 August 2013</w:t>
      </w:r>
    </w:p>
    <w:p w:rsidR="00C5788F" w:rsidRPr="00D312A2" w:rsidRDefault="00C5788F" w:rsidP="00C5788F">
      <w:pPr>
        <w:pStyle w:val="Body"/>
        <w:rPr>
          <w:rFonts w:ascii="Arial" w:hAnsi="Arial" w:cs="Arial"/>
          <w:spacing w:val="-4"/>
          <w:w w:val="95"/>
          <w:sz w:val="22"/>
        </w:rPr>
      </w:pPr>
    </w:p>
    <w:p w:rsidR="00C5788F" w:rsidRPr="00D312A2" w:rsidRDefault="00C5788F" w:rsidP="00C5788F">
      <w:pPr>
        <w:pStyle w:val="Body"/>
        <w:rPr>
          <w:rFonts w:ascii="Arial" w:hAnsi="Arial" w:cs="Arial"/>
          <w:spacing w:val="-4"/>
          <w:w w:val="95"/>
          <w:sz w:val="22"/>
        </w:rPr>
      </w:pPr>
      <w:r w:rsidRPr="00D312A2">
        <w:rPr>
          <w:rFonts w:ascii="Arial" w:hAnsi="Arial" w:cs="Arial"/>
          <w:spacing w:val="-4"/>
          <w:w w:val="95"/>
          <w:sz w:val="22"/>
        </w:rPr>
        <w:t>Under licence of Helsinn Healthcare SA, Lugano, Switzerland.</w:t>
      </w:r>
    </w:p>
    <w:p w:rsidR="00C5788F" w:rsidRPr="004E6E31" w:rsidRDefault="00C5788F" w:rsidP="00C5788F">
      <w:pPr>
        <w:pStyle w:val="Body"/>
        <w:rPr>
          <w:rFonts w:ascii="Arial" w:hAnsi="Arial" w:cs="Arial"/>
        </w:rPr>
      </w:pPr>
      <w:r w:rsidRPr="004E6E31">
        <w:rPr>
          <w:rFonts w:ascii="Arial" w:hAnsi="Arial" w:cs="Arial"/>
        </w:rPr>
        <w:t>ALO1020510</w:t>
      </w:r>
    </w:p>
    <w:sectPr w:rsidR="00C5788F" w:rsidRPr="004E6E31" w:rsidSect="00C5788F">
      <w:headerReference w:type="default" r:id="rId10"/>
      <w:footerReference w:type="default" r:id="rId11"/>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325" w:rsidRDefault="003A5325">
      <w:pPr>
        <w:spacing w:after="0" w:line="240" w:lineRule="auto"/>
      </w:pPr>
      <w:r>
        <w:separator/>
      </w:r>
    </w:p>
  </w:endnote>
  <w:endnote w:type="continuationSeparator" w:id="0">
    <w:p w:rsidR="003A5325" w:rsidRDefault="003A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Roman">
    <w:altName w:val="Times"/>
    <w:panose1 w:val="00000000000000000000"/>
    <w:charset w:val="00"/>
    <w:family w:val="swiss"/>
    <w:notTrueType/>
    <w:pitch w:val="variable"/>
    <w:sig w:usb0="00000003" w:usb1="00000000" w:usb2="00000000" w:usb3="00000000" w:csb0="00000001"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88F" w:rsidRPr="00822DFD" w:rsidRDefault="00C5788F" w:rsidP="00C5788F">
    <w:pPr>
      <w:pStyle w:val="Footer"/>
      <w:rPr>
        <w:rFonts w:ascii="Arial" w:hAnsi="Arial"/>
        <w:sz w:val="18"/>
      </w:rPr>
    </w:pPr>
    <w:r w:rsidRPr="00822DFD">
      <w:rPr>
        <w:rFonts w:ascii="Arial" w:hAnsi="Arial"/>
        <w:color w:val="000000"/>
        <w:sz w:val="18"/>
      </w:rPr>
      <w:t>ALX_PI_AU_Cat1-Dose Variation_Final_20Aug</w:t>
    </w:r>
    <w:r>
      <w:rPr>
        <w:rFonts w:ascii="Arial" w:hAnsi="Arial"/>
        <w:color w:val="000000"/>
        <w:sz w:val="18"/>
      </w:rPr>
      <w:t>13</w:t>
    </w:r>
    <w:r>
      <w:rPr>
        <w:rFonts w:ascii="Arial" w:hAnsi="Arial"/>
        <w:color w:val="000000"/>
        <w:sz w:val="18"/>
      </w:rPr>
      <w:tab/>
    </w:r>
    <w:r>
      <w:rPr>
        <w:rFonts w:ascii="Arial" w:hAnsi="Arial"/>
        <w:color w:val="000000"/>
        <w:sz w:val="18"/>
      </w:rPr>
      <w:tab/>
    </w:r>
    <w:r w:rsidRPr="00822DFD">
      <w:rPr>
        <w:rFonts w:ascii="Arial" w:hAnsi="Arial"/>
        <w:sz w:val="18"/>
        <w:szCs w:val="24"/>
      </w:rPr>
      <w:t xml:space="preserve">Page </w:t>
    </w:r>
    <w:r w:rsidRPr="00822DFD">
      <w:rPr>
        <w:rFonts w:ascii="Arial" w:hAnsi="Arial"/>
        <w:sz w:val="18"/>
        <w:szCs w:val="24"/>
      </w:rPr>
      <w:fldChar w:fldCharType="begin"/>
    </w:r>
    <w:r w:rsidRPr="00822DFD">
      <w:rPr>
        <w:rFonts w:ascii="Arial" w:hAnsi="Arial"/>
        <w:sz w:val="18"/>
        <w:szCs w:val="24"/>
      </w:rPr>
      <w:instrText xml:space="preserve"> PAGE </w:instrText>
    </w:r>
    <w:r w:rsidRPr="00822DFD">
      <w:rPr>
        <w:rFonts w:ascii="Arial" w:hAnsi="Arial"/>
        <w:sz w:val="18"/>
        <w:szCs w:val="24"/>
      </w:rPr>
      <w:fldChar w:fldCharType="separate"/>
    </w:r>
    <w:r w:rsidR="00456BE8">
      <w:rPr>
        <w:rFonts w:ascii="Arial" w:hAnsi="Arial"/>
        <w:noProof/>
        <w:sz w:val="18"/>
        <w:szCs w:val="24"/>
      </w:rPr>
      <w:t>1</w:t>
    </w:r>
    <w:r w:rsidRPr="00822DFD">
      <w:rPr>
        <w:rFonts w:ascii="Arial" w:hAnsi="Arial"/>
        <w:sz w:val="18"/>
        <w:szCs w:val="24"/>
      </w:rPr>
      <w:fldChar w:fldCharType="end"/>
    </w:r>
    <w:r w:rsidRPr="00822DFD">
      <w:rPr>
        <w:rFonts w:ascii="Arial" w:hAnsi="Arial"/>
        <w:sz w:val="18"/>
        <w:szCs w:val="24"/>
      </w:rPr>
      <w:t xml:space="preserve"> of </w:t>
    </w:r>
    <w:r w:rsidRPr="00822DFD">
      <w:rPr>
        <w:rFonts w:ascii="Arial" w:hAnsi="Arial"/>
        <w:sz w:val="18"/>
        <w:szCs w:val="24"/>
      </w:rPr>
      <w:fldChar w:fldCharType="begin"/>
    </w:r>
    <w:r w:rsidRPr="00822DFD">
      <w:rPr>
        <w:rFonts w:ascii="Arial" w:hAnsi="Arial"/>
        <w:sz w:val="18"/>
        <w:szCs w:val="24"/>
      </w:rPr>
      <w:instrText xml:space="preserve"> NUMPAGES </w:instrText>
    </w:r>
    <w:r w:rsidRPr="00822DFD">
      <w:rPr>
        <w:rFonts w:ascii="Arial" w:hAnsi="Arial"/>
        <w:sz w:val="18"/>
        <w:szCs w:val="24"/>
      </w:rPr>
      <w:fldChar w:fldCharType="separate"/>
    </w:r>
    <w:r w:rsidR="00456BE8">
      <w:rPr>
        <w:rFonts w:ascii="Arial" w:hAnsi="Arial"/>
        <w:noProof/>
        <w:sz w:val="18"/>
        <w:szCs w:val="24"/>
      </w:rPr>
      <w:t>9</w:t>
    </w:r>
    <w:r w:rsidRPr="00822DFD">
      <w:rPr>
        <w:rFonts w:ascii="Arial" w:hAnsi="Arial"/>
        <w:sz w:val="18"/>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325" w:rsidRDefault="003A5325">
      <w:pPr>
        <w:spacing w:after="0" w:line="240" w:lineRule="auto"/>
      </w:pPr>
      <w:r>
        <w:separator/>
      </w:r>
    </w:p>
  </w:footnote>
  <w:footnote w:type="continuationSeparator" w:id="0">
    <w:p w:rsidR="003A5325" w:rsidRDefault="003A5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03" w:rsidRPr="00E26203" w:rsidRDefault="00E26203" w:rsidP="00E26203">
    <w:pPr>
      <w:pBdr>
        <w:top w:val="single" w:sz="4" w:space="1" w:color="auto"/>
        <w:left w:val="single" w:sz="4" w:space="4" w:color="auto"/>
        <w:bottom w:val="single" w:sz="4" w:space="1" w:color="auto"/>
        <w:right w:val="single" w:sz="4" w:space="4" w:color="auto"/>
      </w:pBdr>
      <w:shd w:val="clear" w:color="auto" w:fill="E4F2E0"/>
      <w:spacing w:before="40" w:after="40"/>
      <w:rPr>
        <w:rFonts w:ascii="Cambria" w:hAnsi="Cambria"/>
        <w:b/>
        <w:sz w:val="20"/>
        <w:szCs w:val="20"/>
      </w:rPr>
    </w:pPr>
    <w:r w:rsidRPr="00E26203">
      <w:rPr>
        <w:rFonts w:ascii="Cambria" w:hAnsi="Cambria"/>
        <w:b/>
        <w:sz w:val="20"/>
        <w:szCs w:val="20"/>
      </w:rPr>
      <w:t>Attachment 1: Product information for AusPAR Aloxi Specialised Therapeutics Australia Pty Ltd PM-2012-02735-3-4 Final 7 January 2014. This Product Information was approved at the time this AusPAR was published.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300D9"/>
    <w:multiLevelType w:val="hybridMultilevel"/>
    <w:tmpl w:val="7B06264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2B19174F"/>
    <w:multiLevelType w:val="hybridMultilevel"/>
    <w:tmpl w:val="DCF8D4D6"/>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5B61674E"/>
    <w:multiLevelType w:val="hybridMultilevel"/>
    <w:tmpl w:val="AE36F9A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5A23"/>
    <w:rsid w:val="00087883"/>
    <w:rsid w:val="003A5325"/>
    <w:rsid w:val="00456BE8"/>
    <w:rsid w:val="00505A4F"/>
    <w:rsid w:val="005E1A0D"/>
    <w:rsid w:val="00614DE1"/>
    <w:rsid w:val="006E20D3"/>
    <w:rsid w:val="0094504A"/>
    <w:rsid w:val="009B21B1"/>
    <w:rsid w:val="00A22BEC"/>
    <w:rsid w:val="00C5788F"/>
    <w:rsid w:val="00C669AB"/>
    <w:rsid w:val="00C91F99"/>
    <w:rsid w:val="00DB206A"/>
    <w:rsid w:val="00E26203"/>
    <w:rsid w:val="00F0518F"/>
    <w:rsid w:val="00F14057"/>
    <w:rsid w:val="00F55A23"/>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92CB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F55A23"/>
    <w:pPr>
      <w:autoSpaceDE w:val="0"/>
      <w:autoSpaceDN w:val="0"/>
      <w:adjustRightInd w:val="0"/>
      <w:spacing w:line="288" w:lineRule="auto"/>
      <w:textAlignment w:val="center"/>
    </w:pPr>
    <w:rPr>
      <w:rFonts w:ascii="Times-Roman" w:hAnsi="Times-Roman" w:cs="Times-Roman"/>
      <w:color w:val="000000"/>
      <w:sz w:val="24"/>
      <w:szCs w:val="24"/>
      <w:lang w:val="en-US" w:eastAsia="en-US"/>
    </w:rPr>
  </w:style>
  <w:style w:type="paragraph" w:customStyle="1" w:styleId="h2">
    <w:name w:val="h2"/>
    <w:basedOn w:val="NoParagraphStyle"/>
    <w:uiPriority w:val="99"/>
    <w:rsid w:val="00F55A23"/>
    <w:pPr>
      <w:spacing w:after="113"/>
    </w:pPr>
    <w:rPr>
      <w:rFonts w:ascii="Frutiger 55 Roman" w:hAnsi="Frutiger 55 Roman" w:cs="Frutiger 55 Roman"/>
      <w:sz w:val="16"/>
      <w:szCs w:val="16"/>
    </w:rPr>
  </w:style>
  <w:style w:type="paragraph" w:customStyle="1" w:styleId="Body">
    <w:name w:val="Body"/>
    <w:basedOn w:val="NoParagraphStyle"/>
    <w:uiPriority w:val="99"/>
    <w:rsid w:val="00F55A23"/>
    <w:pPr>
      <w:suppressAutoHyphens/>
      <w:spacing w:line="240" w:lineRule="atLeast"/>
    </w:pPr>
    <w:rPr>
      <w:rFonts w:ascii="Frutiger 55 Roman" w:hAnsi="Frutiger 55 Roman" w:cs="Frutiger 55 Roman"/>
      <w:spacing w:val="-2"/>
      <w:sz w:val="18"/>
      <w:szCs w:val="18"/>
    </w:rPr>
  </w:style>
  <w:style w:type="paragraph" w:customStyle="1" w:styleId="h3">
    <w:name w:val="h3"/>
    <w:basedOn w:val="Body"/>
    <w:uiPriority w:val="99"/>
    <w:rsid w:val="00F55A23"/>
    <w:rPr>
      <w:i/>
      <w:iCs/>
    </w:rPr>
  </w:style>
  <w:style w:type="paragraph" w:styleId="BalloonText">
    <w:name w:val="Balloon Text"/>
    <w:basedOn w:val="Normal"/>
    <w:link w:val="BalloonTextChar"/>
    <w:uiPriority w:val="99"/>
    <w:semiHidden/>
    <w:unhideWhenUsed/>
    <w:rsid w:val="009468CB"/>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9468CB"/>
    <w:rPr>
      <w:rFonts w:ascii="Lucida Grande" w:hAnsi="Lucida Grande"/>
      <w:sz w:val="18"/>
      <w:szCs w:val="18"/>
    </w:rPr>
  </w:style>
  <w:style w:type="paragraph" w:styleId="Header">
    <w:name w:val="header"/>
    <w:basedOn w:val="Normal"/>
    <w:link w:val="HeaderChar"/>
    <w:uiPriority w:val="99"/>
    <w:rsid w:val="00D6331D"/>
    <w:pPr>
      <w:tabs>
        <w:tab w:val="center" w:pos="4320"/>
        <w:tab w:val="right" w:pos="8640"/>
      </w:tabs>
    </w:pPr>
    <w:rPr>
      <w:lang w:val="x-none" w:eastAsia="x-none"/>
    </w:rPr>
  </w:style>
  <w:style w:type="character" w:customStyle="1" w:styleId="HeaderChar">
    <w:name w:val="Header Char"/>
    <w:link w:val="Header"/>
    <w:uiPriority w:val="99"/>
    <w:rsid w:val="00D6331D"/>
    <w:rPr>
      <w:sz w:val="22"/>
      <w:szCs w:val="22"/>
    </w:rPr>
  </w:style>
  <w:style w:type="paragraph" w:styleId="Footer">
    <w:name w:val="footer"/>
    <w:basedOn w:val="Normal"/>
    <w:link w:val="FooterChar"/>
    <w:rsid w:val="00D6331D"/>
    <w:pPr>
      <w:tabs>
        <w:tab w:val="center" w:pos="4320"/>
        <w:tab w:val="right" w:pos="8640"/>
      </w:tabs>
    </w:pPr>
    <w:rPr>
      <w:lang w:val="x-none" w:eastAsia="x-none"/>
    </w:rPr>
  </w:style>
  <w:style w:type="character" w:customStyle="1" w:styleId="FooterChar">
    <w:name w:val="Footer Char"/>
    <w:link w:val="Footer"/>
    <w:rsid w:val="00D6331D"/>
    <w:rPr>
      <w:sz w:val="22"/>
      <w:szCs w:val="22"/>
    </w:rPr>
  </w:style>
  <w:style w:type="character" w:customStyle="1" w:styleId="BodyTextChar">
    <w:name w:val="Body Text Char"/>
    <w:rsid w:val="00C3643F"/>
    <w:rPr>
      <w:sz w:val="24"/>
      <w:szCs w:val="24"/>
      <w:lang w:val="en-GB" w:eastAsia="en-US" w:bidi="ar-SA"/>
    </w:rPr>
  </w:style>
  <w:style w:type="character" w:styleId="CommentReference">
    <w:name w:val="annotation reference"/>
    <w:semiHidden/>
    <w:rsid w:val="003F0799"/>
    <w:rPr>
      <w:sz w:val="18"/>
    </w:rPr>
  </w:style>
  <w:style w:type="paragraph" w:styleId="CommentText">
    <w:name w:val="annotation text"/>
    <w:basedOn w:val="Normal"/>
    <w:semiHidden/>
    <w:rsid w:val="003F0799"/>
    <w:rPr>
      <w:sz w:val="24"/>
      <w:szCs w:val="24"/>
    </w:rPr>
  </w:style>
  <w:style w:type="paragraph" w:styleId="CommentSubject">
    <w:name w:val="annotation subject"/>
    <w:basedOn w:val="CommentText"/>
    <w:next w:val="CommentText"/>
    <w:semiHidden/>
    <w:rsid w:val="003F0799"/>
    <w:rPr>
      <w:sz w:val="22"/>
      <w:szCs w:val="22"/>
    </w:rPr>
  </w:style>
  <w:style w:type="table" w:styleId="TableGrid">
    <w:name w:val="Table Grid"/>
    <w:basedOn w:val="TableNormal"/>
    <w:uiPriority w:val="59"/>
    <w:rsid w:val="00E26203"/>
    <w:rPr>
      <w:rFonts w:ascii="Cambria" w:eastAsia="Cambria" w:hAnsi="Cambria"/>
      <w:sz w:val="22"/>
      <w:szCs w:val="22"/>
      <w:lang w:eastAsia="en-US"/>
    </w:rPr>
    <w:tblPr>
      <w:tblInd w:w="0"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30A07C96-6872-4EE1-A14B-147BBCAA5032}">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3331</Words>
  <Characters>19424</Characters>
  <Application>Microsoft Office Word</Application>
  <DocSecurity>0</DocSecurity>
  <Lines>539</Lines>
  <Paragraphs>311</Paragraphs>
  <ScaleCrop>false</ScaleCrop>
  <HeadingPairs>
    <vt:vector size="2" baseType="variant">
      <vt:variant>
        <vt:lpstr>Title</vt:lpstr>
      </vt:variant>
      <vt:variant>
        <vt:i4>1</vt:i4>
      </vt:variant>
    </vt:vector>
  </HeadingPairs>
  <TitlesOfParts>
    <vt:vector size="1" baseType="lpstr">
      <vt:lpstr>PRODUCT INFORMATION</vt:lpstr>
    </vt:vector>
  </TitlesOfParts>
  <Company>Therapeutic Goods Administration</Company>
  <LinksUpToDate>false</LinksUpToDate>
  <CharactersWithSpaces>22444</CharactersWithSpaces>
  <SharedDoc>false</SharedDoc>
  <HLinks>
    <vt:vector size="6" baseType="variant">
      <vt:variant>
        <vt:i4>7864440</vt:i4>
      </vt:variant>
      <vt:variant>
        <vt:i4>2185</vt:i4>
      </vt:variant>
      <vt:variant>
        <vt:i4>1025</vt:i4>
      </vt:variant>
      <vt:variant>
        <vt:i4>1</vt:i4>
      </vt:variant>
      <vt:variant>
        <vt:lpwstr>palo hcl structure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Aloxi (palonosetron HCl injection)</dc:title>
  <dc:subject>prescription medicine regulation</dc:subject>
  <dc:creator>Specialised Therapeutics Australia</dc:creator>
  <cp:keywords>aloxi, palonosetron HCl injection, medicine, prescription, australia</cp:keywords>
  <cp:lastModifiedBy>Bird, Gail</cp:lastModifiedBy>
  <cp:revision>4</cp:revision>
  <cp:lastPrinted>2013-09-09T01:55:00Z</cp:lastPrinted>
  <dcterms:created xsi:type="dcterms:W3CDTF">2014-05-31T00:11:00Z</dcterms:created>
  <dcterms:modified xsi:type="dcterms:W3CDTF">2014-05-31T00:16:00Z</dcterms:modified>
</cp:coreProperties>
</file>