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Pr>
      <w:tblGrid>
        <w:gridCol w:w="9180"/>
      </w:tblGrid>
      <w:tr w:rsidR="0032583B" w:rsidRPr="007D66D9" w14:paraId="594A23BB" w14:textId="77777777" w:rsidTr="004B3C07">
        <w:trPr>
          <w:trHeight w:val="1548"/>
        </w:trPr>
        <w:tc>
          <w:tcPr>
            <w:tcW w:w="9180" w:type="dxa"/>
          </w:tcPr>
          <w:p w14:paraId="2AFD7A50"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7D66D9" w14:paraId="7F9FAAC9" w14:textId="77777777" w:rsidTr="004B3C07">
        <w:trPr>
          <w:trHeight w:val="1154"/>
        </w:trPr>
        <w:tc>
          <w:tcPr>
            <w:tcW w:w="9180" w:type="dxa"/>
          </w:tcPr>
          <w:p w14:paraId="0C49A084" w14:textId="77777777" w:rsidR="00E07F15" w:rsidRPr="00A964D1" w:rsidRDefault="00E07F15" w:rsidP="00A4521E">
            <w:pPr>
              <w:pStyle w:val="Title"/>
              <w:rPr>
                <w:color w:val="FFFFFF" w:themeColor="background1"/>
              </w:rPr>
            </w:pPr>
            <w:r>
              <w:rPr>
                <w:color w:val="FFFFFF" w:themeColor="background1"/>
              </w:rPr>
              <w:t>Extract from the Clinical Evaluation Report</w:t>
            </w:r>
            <w:r w:rsidR="004D00E8">
              <w:rPr>
                <w:color w:val="FFFFFF" w:themeColor="background1"/>
              </w:rPr>
              <w:t xml:space="preserve"> for</w:t>
            </w:r>
            <w:r w:rsidR="007D66D9" w:rsidRPr="007D66D9">
              <w:rPr>
                <w:rFonts w:cs="Arial"/>
                <w:color w:val="FFFFFF"/>
                <w:szCs w:val="28"/>
              </w:rPr>
              <w:t xml:space="preserve"> Paliperidone (as palmitate)</w:t>
            </w:r>
          </w:p>
        </w:tc>
      </w:tr>
      <w:tr w:rsidR="00E07F15" w:rsidRPr="007D66D9" w14:paraId="4B5A97E7" w14:textId="77777777" w:rsidTr="004B3C07">
        <w:tc>
          <w:tcPr>
            <w:tcW w:w="9180" w:type="dxa"/>
          </w:tcPr>
          <w:p w14:paraId="2B67E21F" w14:textId="64290549" w:rsidR="00E07F15" w:rsidRPr="008E7846" w:rsidRDefault="00E07F15" w:rsidP="0085068D">
            <w:pPr>
              <w:pStyle w:val="Subtitle"/>
              <w:rPr>
                <w:color w:val="FFFFFF" w:themeColor="background1"/>
              </w:rPr>
            </w:pPr>
            <w:r w:rsidRPr="008E7846">
              <w:rPr>
                <w:color w:val="FFFFFF" w:themeColor="background1"/>
              </w:rPr>
              <w:t>Proprietary Product Name</w:t>
            </w:r>
            <w:r w:rsidR="00152CCE">
              <w:rPr>
                <w:color w:val="FFFFFF" w:themeColor="background1"/>
              </w:rPr>
              <w:t>s</w:t>
            </w:r>
            <w:r w:rsidRPr="008E7846">
              <w:rPr>
                <w:color w:val="FFFFFF" w:themeColor="background1"/>
              </w:rPr>
              <w:t>:</w:t>
            </w:r>
            <w:r w:rsidR="00E85493">
              <w:rPr>
                <w:rFonts w:cs="Arial"/>
                <w:color w:val="FFFFFF"/>
                <w:szCs w:val="28"/>
              </w:rPr>
              <w:t xml:space="preserve"> Invega Trinza </w:t>
            </w:r>
            <w:r w:rsidR="00152CCE">
              <w:rPr>
                <w:rFonts w:cs="Arial"/>
                <w:color w:val="FFFFFF"/>
                <w:szCs w:val="28"/>
              </w:rPr>
              <w:t>and</w:t>
            </w:r>
            <w:r w:rsidR="00E85493">
              <w:rPr>
                <w:rFonts w:cs="Arial"/>
                <w:color w:val="FFFFFF"/>
                <w:szCs w:val="28"/>
              </w:rPr>
              <w:t xml:space="preserve"> Trevicta</w:t>
            </w:r>
          </w:p>
        </w:tc>
      </w:tr>
      <w:tr w:rsidR="00E07F15" w:rsidRPr="007D66D9" w14:paraId="3AFE560A" w14:textId="77777777" w:rsidTr="004B3C07">
        <w:trPr>
          <w:trHeight w:val="486"/>
        </w:trPr>
        <w:tc>
          <w:tcPr>
            <w:tcW w:w="9180" w:type="dxa"/>
          </w:tcPr>
          <w:p w14:paraId="6D824E2F" w14:textId="77777777" w:rsidR="00E07F15" w:rsidRPr="008E7846" w:rsidRDefault="00E07F15" w:rsidP="00E6609C">
            <w:pPr>
              <w:pStyle w:val="Subtitle"/>
              <w:rPr>
                <w:color w:val="FFFFFF" w:themeColor="background1"/>
              </w:rPr>
            </w:pPr>
            <w:r w:rsidRPr="008E7846">
              <w:rPr>
                <w:color w:val="FFFFFF" w:themeColor="background1"/>
              </w:rPr>
              <w:t>Sponsor:</w:t>
            </w:r>
            <w:r w:rsidR="007D66D9" w:rsidRPr="007D66D9">
              <w:rPr>
                <w:rFonts w:cs="Arial"/>
                <w:color w:val="FFFFFF"/>
                <w:szCs w:val="28"/>
              </w:rPr>
              <w:t xml:space="preserve"> Janssen-</w:t>
            </w:r>
            <w:proofErr w:type="spellStart"/>
            <w:r w:rsidR="007D66D9" w:rsidRPr="007D66D9">
              <w:rPr>
                <w:rFonts w:cs="Arial"/>
                <w:color w:val="FFFFFF"/>
                <w:szCs w:val="28"/>
              </w:rPr>
              <w:t>Cilag</w:t>
            </w:r>
            <w:proofErr w:type="spellEnd"/>
            <w:r w:rsidR="002F28A2">
              <w:rPr>
                <w:rFonts w:cs="Arial"/>
                <w:color w:val="FFFFFF"/>
                <w:szCs w:val="28"/>
              </w:rPr>
              <w:t xml:space="preserve"> Pty Ltd</w:t>
            </w: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7"/>
      </w:tblGrid>
      <w:tr w:rsidR="000B3AB3" w:rsidRPr="007D66D9" w14:paraId="3A390577" w14:textId="77777777" w:rsidTr="0041712E">
        <w:trPr>
          <w:trHeight w:val="1620"/>
        </w:trPr>
        <w:tc>
          <w:tcPr>
            <w:tcW w:w="9497" w:type="dxa"/>
            <w:tcBorders>
              <w:top w:val="nil"/>
              <w:left w:val="nil"/>
              <w:bottom w:val="nil"/>
              <w:right w:val="nil"/>
            </w:tcBorders>
          </w:tcPr>
          <w:p w14:paraId="4A3785F0" w14:textId="77777777" w:rsidR="000B3AB3" w:rsidRPr="008C220A" w:rsidRDefault="000B3AB3" w:rsidP="001C0996">
            <w:pPr>
              <w:pStyle w:val="Style1"/>
              <w:numPr>
                <w:ilvl w:val="0"/>
                <w:numId w:val="0"/>
              </w:numPr>
              <w:ind w:left="360" w:hanging="360"/>
              <w:rPr>
                <w:rFonts w:ascii="Arial" w:hAnsi="Arial" w:cs="Arial"/>
                <w:b/>
                <w:color w:val="002C47"/>
                <w:sz w:val="36"/>
                <w:highlight w:val="yellow"/>
              </w:rPr>
            </w:pPr>
            <w:r w:rsidRPr="008C220A">
              <w:rPr>
                <w:rFonts w:ascii="Arial" w:hAnsi="Arial" w:cs="Arial"/>
                <w:b/>
                <w:color w:val="002C47"/>
                <w:sz w:val="36"/>
              </w:rPr>
              <w:t>Date of first round report:</w:t>
            </w:r>
            <w:r w:rsidR="002F28A2">
              <w:rPr>
                <w:rFonts w:ascii="Arial" w:hAnsi="Arial" w:cs="Arial"/>
                <w:b/>
                <w:color w:val="002C47"/>
                <w:sz w:val="36"/>
              </w:rPr>
              <w:t xml:space="preserve"> </w:t>
            </w:r>
            <w:sdt>
              <w:sdtPr>
                <w:rPr>
                  <w:rFonts w:ascii="Arial" w:hAnsi="Arial" w:cs="Arial"/>
                  <w:b/>
                  <w:color w:val="002C47"/>
                  <w:sz w:val="36"/>
                </w:rPr>
                <w:id w:val="-727925523"/>
                <w:placeholder>
                  <w:docPart w:val="E46D3D8A3284483EA7D7D150AAF27E26"/>
                </w:placeholder>
              </w:sdtPr>
              <w:sdtEndPr/>
              <w:sdtContent>
                <w:r w:rsidR="002F28A2">
                  <w:rPr>
                    <w:rFonts w:ascii="Arial" w:hAnsi="Arial" w:cs="Arial"/>
                    <w:b/>
                    <w:color w:val="002C47"/>
                    <w:sz w:val="36"/>
                  </w:rPr>
                  <w:t>1</w:t>
                </w:r>
                <w:r w:rsidR="007D66D9" w:rsidRPr="007D66D9">
                  <w:rPr>
                    <w:rFonts w:ascii="Arial" w:hAnsi="Arial" w:cs="Arial"/>
                    <w:b/>
                    <w:color w:val="002C47"/>
                    <w:sz w:val="36"/>
                    <w:szCs w:val="28"/>
                  </w:rPr>
                  <w:t>7th November 2015</w:t>
                </w:r>
              </w:sdtContent>
            </w:sdt>
          </w:p>
          <w:p w14:paraId="4F1A2CE4" w14:textId="77777777" w:rsidR="000B3AB3" w:rsidRPr="008C220A" w:rsidRDefault="000B3AB3" w:rsidP="002F28A2">
            <w:pPr>
              <w:pStyle w:val="Style1"/>
              <w:numPr>
                <w:ilvl w:val="0"/>
                <w:numId w:val="0"/>
              </w:numPr>
              <w:ind w:left="360" w:hanging="360"/>
              <w:rPr>
                <w:rFonts w:ascii="Arial" w:hAnsi="Arial" w:cs="Arial"/>
                <w:b/>
                <w:color w:val="002C47"/>
                <w:sz w:val="36"/>
              </w:rPr>
            </w:pPr>
            <w:bookmarkStart w:id="0" w:name="_Toc460584701"/>
            <w:r w:rsidRPr="008C220A">
              <w:rPr>
                <w:rFonts w:ascii="Arial" w:hAnsi="Arial" w:cs="Arial"/>
                <w:b/>
                <w:color w:val="002C47"/>
                <w:sz w:val="36"/>
              </w:rPr>
              <w:t>Date of second round report:</w:t>
            </w:r>
            <w:sdt>
              <w:sdtPr>
                <w:rPr>
                  <w:rFonts w:ascii="Arial" w:hAnsi="Arial" w:cs="Arial"/>
                  <w:b/>
                  <w:color w:val="002C47"/>
                  <w:sz w:val="36"/>
                </w:rPr>
                <w:id w:val="-658535744"/>
                <w:placeholder>
                  <w:docPart w:val="DefaultPlaceholder_1082065158"/>
                </w:placeholder>
              </w:sdtPr>
              <w:sdtEndPr/>
              <w:sdtContent>
                <w:r w:rsidR="007D66D9" w:rsidRPr="007D66D9">
                  <w:rPr>
                    <w:rFonts w:ascii="Arial" w:hAnsi="Arial" w:cs="Arial"/>
                    <w:b/>
                    <w:color w:val="002C47"/>
                    <w:sz w:val="36"/>
                    <w:szCs w:val="28"/>
                  </w:rPr>
                  <w:t xml:space="preserve"> 7th June 2016</w:t>
                </w:r>
              </w:sdtContent>
            </w:sdt>
            <w:bookmarkEnd w:id="0"/>
          </w:p>
        </w:tc>
      </w:tr>
      <w:tr w:rsidR="000B3AB3" w:rsidRPr="007D66D9" w14:paraId="0A43CB24" w14:textId="77777777" w:rsidTr="0041712E">
        <w:trPr>
          <w:trHeight w:val="1620"/>
        </w:trPr>
        <w:tc>
          <w:tcPr>
            <w:tcW w:w="9497" w:type="dxa"/>
            <w:tcBorders>
              <w:top w:val="nil"/>
              <w:left w:val="nil"/>
              <w:bottom w:val="nil"/>
              <w:right w:val="nil"/>
            </w:tcBorders>
          </w:tcPr>
          <w:p w14:paraId="38936984" w14:textId="77777777" w:rsidR="000B3AB3" w:rsidRPr="007D66D9" w:rsidRDefault="000B3AB3" w:rsidP="000B3AB3">
            <w:pPr>
              <w:rPr>
                <w:rFonts w:cs="Arial"/>
                <w:b/>
                <w:color w:val="002C47"/>
                <w:szCs w:val="36"/>
              </w:rPr>
            </w:pPr>
          </w:p>
        </w:tc>
      </w:tr>
    </w:tbl>
    <w:p w14:paraId="65D4E3EA" w14:textId="77777777" w:rsidR="008E7846" w:rsidRDefault="008E7846" w:rsidP="008E7846">
      <w:pPr>
        <w:pStyle w:val="NonTOCHeading2"/>
      </w:pPr>
      <w:r>
        <w:br w:type="page"/>
      </w:r>
    </w:p>
    <w:p w14:paraId="33387EEC" w14:textId="77777777" w:rsidR="008E7846" w:rsidRPr="001F6CBA" w:rsidRDefault="008E7846" w:rsidP="008E7846">
      <w:pPr>
        <w:pStyle w:val="NonTOCHeading2"/>
      </w:pPr>
      <w:r w:rsidRPr="001F6CBA">
        <w:lastRenderedPageBreak/>
        <w:t>About the Therapeutic Goods Administration (TGA)</w:t>
      </w:r>
    </w:p>
    <w:p w14:paraId="1969E154" w14:textId="77777777" w:rsidR="008E7846" w:rsidRDefault="008E7846" w:rsidP="00BF39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w:t>
      </w:r>
      <w:r w:rsidR="003673F6">
        <w:t>ng</w:t>
      </w:r>
      <w:r>
        <w:t xml:space="preserve"> medicines and medical devices.</w:t>
      </w:r>
    </w:p>
    <w:p w14:paraId="0DF612D5" w14:textId="77777777" w:rsidR="008E7846" w:rsidRDefault="00C811C0" w:rsidP="007D66D9">
      <w:pPr>
        <w:pStyle w:val="ListBullet"/>
      </w:pPr>
      <w:r>
        <w:t xml:space="preserve">The </w:t>
      </w:r>
      <w:r w:rsidR="008E7846">
        <w:t xml:space="preserve">TGA administers the </w:t>
      </w:r>
      <w:r w:rsidR="008E7846" w:rsidRPr="00F640B6">
        <w:rPr>
          <w:i/>
        </w:rPr>
        <w:t>Therapeutic Goods Act 1989</w:t>
      </w:r>
      <w:r w:rsidR="008E7846">
        <w:t xml:space="preserve"> (the Act), applyi</w:t>
      </w:r>
      <w:r w:rsidR="003673F6">
        <w:t>ng</w:t>
      </w:r>
      <w:r w:rsidR="008E7846">
        <w:t xml:space="preserve"> a risk management approach designed to ensure therapeutic goods supplied in Australia meet acceptable standards of quality, safety and efficacy (performance), when necessary.</w:t>
      </w:r>
    </w:p>
    <w:p w14:paraId="343D3B83" w14:textId="77777777" w:rsidR="008E7846" w:rsidRDefault="008E7846" w:rsidP="007D66D9">
      <w:pPr>
        <w:pStyle w:val="ListBullet"/>
      </w:pPr>
      <w:r>
        <w:t>The work of the TGA is based on applyi</w:t>
      </w:r>
      <w:r w:rsidR="003673F6">
        <w:t>ng</w:t>
      </w:r>
      <w:r>
        <w:t xml:space="preserve"> scientific and clinical expertise to decision-maki</w:t>
      </w:r>
      <w:r w:rsidR="003673F6">
        <w:t>ng</w:t>
      </w:r>
      <w:r>
        <w:t>, to ensure that the benefits to consumers outweigh any risks associated with the use of medicines and medical devices.</w:t>
      </w:r>
    </w:p>
    <w:p w14:paraId="2C20EB08" w14:textId="77777777" w:rsidR="008E7846" w:rsidRDefault="008E7846" w:rsidP="007D66D9">
      <w:pPr>
        <w:pStyle w:val="ListBullet"/>
      </w:pPr>
      <w:r>
        <w:t>The TGA relies on the public, healthcare professionals and industry to report problems with medicines or medical devices. TGA investigates reports received by it to determine any necessary regulatory action.</w:t>
      </w:r>
    </w:p>
    <w:p w14:paraId="05E54E9A" w14:textId="77777777" w:rsidR="008E7846" w:rsidRPr="00233D5D" w:rsidRDefault="008E7846" w:rsidP="007D66D9">
      <w:pPr>
        <w:pStyle w:val="ListBullet"/>
      </w:pPr>
      <w:r>
        <w:t>To report a problem with a medicine or medical device, please see the information on the TGA website</w:t>
      </w:r>
      <w:r w:rsidR="00112F56">
        <w:t xml:space="preserve"> </w:t>
      </w:r>
      <w:r w:rsidR="00112F56" w:rsidRPr="00233D5D">
        <w:t>&lt;</w:t>
      </w:r>
      <w:hyperlink r:id="rId9" w:history="1">
        <w:r w:rsidR="00E979F4" w:rsidRPr="00233D5D">
          <w:rPr>
            <w:rStyle w:val="Hyperlink"/>
          </w:rPr>
          <w:t>https://www.tga.gov.au</w:t>
        </w:r>
      </w:hyperlink>
      <w:r w:rsidR="00112F56" w:rsidRPr="00233D5D">
        <w:t>&gt;</w:t>
      </w:r>
      <w:r w:rsidRPr="00233D5D">
        <w:t>.</w:t>
      </w:r>
    </w:p>
    <w:p w14:paraId="4905225E"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6504415E" w14:textId="77777777" w:rsidR="0017078F" w:rsidRDefault="003D0A3B" w:rsidP="0017078F">
      <w:pPr>
        <w:pStyle w:val="ListBullet"/>
      </w:pPr>
      <w:r w:rsidRPr="003D0A3B">
        <w:t>This document provides a more detailed evaluation of the clinical findi</w:t>
      </w:r>
      <w:r w:rsidR="003673F6">
        <w:t>ng</w:t>
      </w:r>
      <w:r w:rsidRPr="003D0A3B">
        <w:t>s, extracted from the Clinical Evaluation Report (CER) prepared by the TGA. This extract does not include sections from the CER regardi</w:t>
      </w:r>
      <w:r w:rsidR="003673F6">
        <w:t>ng</w:t>
      </w:r>
      <w:r w:rsidRPr="003D0A3B">
        <w:t xml:space="preserve"> product documentation or post market activities.</w:t>
      </w:r>
    </w:p>
    <w:p w14:paraId="6F4CAF74" w14:textId="77777777" w:rsidR="003D0A3B" w:rsidRDefault="003D0A3B" w:rsidP="003D0A3B">
      <w:pPr>
        <w:pStyle w:val="ListBullet"/>
      </w:pPr>
      <w:r w:rsidRPr="003D0A3B">
        <w:t>The words [Information redacted], where they appear in this document, indicate that confidential information has been deleted.</w:t>
      </w:r>
    </w:p>
    <w:p w14:paraId="6BF3DC17" w14:textId="77777777" w:rsidR="0017078F" w:rsidRDefault="003D0A3B" w:rsidP="008911A1">
      <w:pPr>
        <w:pStyle w:val="ListBullet"/>
      </w:pPr>
      <w:r w:rsidRPr="003D0A3B">
        <w:t>For the most</w:t>
      </w:r>
      <w:r w:rsidR="000771AD">
        <w:t xml:space="preserve"> </w:t>
      </w:r>
      <w:r w:rsidRPr="003D0A3B">
        <w:t>recent Product Information (PI), please refer to the TGA website</w:t>
      </w:r>
      <w:r>
        <w:t xml:space="preserve"> </w:t>
      </w:r>
      <w:r w:rsidR="00B1425E" w:rsidRPr="00233D5D">
        <w:t>&lt;</w:t>
      </w:r>
      <w:hyperlink r:id="rId10" w:history="1">
        <w:r w:rsidR="0010193C" w:rsidRPr="00233D5D">
          <w:rPr>
            <w:rStyle w:val="Hyperlink"/>
          </w:rPr>
          <w:t>https://www.tga.gov.au/product-information-pi</w:t>
        </w:r>
      </w:hyperlink>
      <w:r w:rsidR="0017078F" w:rsidRPr="003A26A8">
        <w:t>&gt;.</w:t>
      </w:r>
    </w:p>
    <w:p w14:paraId="054F4E61" w14:textId="77777777" w:rsidR="00924482" w:rsidRPr="00DF1D7F" w:rsidRDefault="00924482" w:rsidP="002F28A2">
      <w:pPr>
        <w:pStyle w:val="LegalSubheading"/>
        <w:spacing w:before="3600"/>
      </w:pPr>
      <w:r w:rsidRPr="00DF1D7F">
        <w:t>Copyright</w:t>
      </w:r>
    </w:p>
    <w:p w14:paraId="4E7E81A1" w14:textId="77777777" w:rsidR="00924482" w:rsidRDefault="00924482" w:rsidP="00924482">
      <w:pPr>
        <w:pStyle w:val="LegalCopy"/>
      </w:pPr>
      <w:r w:rsidRPr="00191B3B">
        <w:rPr>
          <w:lang w:val="en-GB"/>
        </w:rPr>
        <w:t>© Comm</w:t>
      </w:r>
      <w:r>
        <w:rPr>
          <w:lang w:val="en-GB"/>
        </w:rPr>
        <w:t>onwealth of Australia 201</w:t>
      </w:r>
      <w:r w:rsidR="00E85493">
        <w:rPr>
          <w:lang w:val="en-GB"/>
        </w:rPr>
        <w:t>7</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w:t>
      </w:r>
      <w:r w:rsidR="003673F6">
        <w:rPr>
          <w:lang w:val="en-GB"/>
        </w:rPr>
        <w:t>ng</w:t>
      </w:r>
      <w:r w:rsidRPr="00191B3B">
        <w:rPr>
          <w:lang w:val="en-GB"/>
        </w:rPr>
        <w:t xml:space="preserve"> given specific written permission from the Commonwealth to do so. Requests and inquiries concerni</w:t>
      </w:r>
      <w:r w:rsidR="003673F6">
        <w:rPr>
          <w:lang w:val="en-GB"/>
        </w:rPr>
        <w:t>ng</w:t>
      </w:r>
      <w:r w:rsidRPr="00191B3B">
        <w:rPr>
          <w:lang w:val="en-GB"/>
        </w:rPr>
        <w:t xml:space="preserve"> reproduction and rights are to be sent to the TGA Copyright Officer, Therapeutic Goods Administration, PO Box 100, </w:t>
      </w:r>
      <w:proofErr w:type="spellStart"/>
      <w:r w:rsidRPr="00191B3B">
        <w:rPr>
          <w:lang w:val="en-GB"/>
        </w:rPr>
        <w:t>Woden</w:t>
      </w:r>
      <w:proofErr w:type="spellEnd"/>
      <w:r w:rsidRPr="00191B3B">
        <w:rPr>
          <w:lang w:val="en-GB"/>
        </w:rPr>
        <w:t xml:space="preserve"> ACT 2606 or emailed to &lt;</w:t>
      </w:r>
      <w:hyperlink r:id="rId11" w:history="1">
        <w:r w:rsidRPr="00233D5D">
          <w:rPr>
            <w:rStyle w:val="Hyperlink"/>
            <w:lang w:val="en-GB"/>
          </w:rPr>
          <w:t>tga.copyright@tga.gov.au</w:t>
        </w:r>
      </w:hyperlink>
      <w:r w:rsidRPr="00233D5D">
        <w:t>&gt;.</w:t>
      </w:r>
    </w:p>
    <w:p w14:paraId="663FE5A3" w14:textId="77777777" w:rsidR="00924482" w:rsidRDefault="00924482" w:rsidP="00924482">
      <w:pPr>
        <w:pStyle w:val="LegalCopy"/>
        <w:sectPr w:rsidR="00924482" w:rsidSect="00264F16">
          <w:headerReference w:type="default" r:id="rId12"/>
          <w:footerReference w:type="even" r:id="rId13"/>
          <w:footerReference w:type="default" r:id="rId14"/>
          <w:headerReference w:type="first" r:id="rId15"/>
          <w:footerReference w:type="first" r:id="rId16"/>
          <w:endnotePr>
            <w:numFmt w:val="decimal"/>
          </w:endnotePr>
          <w:pgSz w:w="11906" w:h="16838" w:code="9"/>
          <w:pgMar w:top="426" w:right="1701" w:bottom="0" w:left="1701" w:header="907" w:footer="142" w:gutter="0"/>
          <w:pgNumType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921AFBB" w14:textId="77777777" w:rsidR="00B06D8A" w:rsidRDefault="0089635C" w:rsidP="00FB0FC4">
          <w:pPr>
            <w:pStyle w:val="Contents"/>
            <w:pageBreakBefore/>
            <w:rPr>
              <w:noProof/>
            </w:rPr>
          </w:pPr>
          <w:r w:rsidRPr="0010788A">
            <w:t>Contents</w:t>
          </w:r>
          <w:r w:rsidR="004F4AF5">
            <w:rPr>
              <w:b w:val="0"/>
              <w:sz w:val="22"/>
            </w:rPr>
            <w:fldChar w:fldCharType="begin"/>
          </w:r>
          <w:r>
            <w:instrText xml:space="preserve"> TOC \o "1-3" \h \z \u </w:instrText>
          </w:r>
          <w:r w:rsidR="004F4AF5">
            <w:rPr>
              <w:b w:val="0"/>
              <w:sz w:val="22"/>
            </w:rPr>
            <w:fldChar w:fldCharType="separate"/>
          </w:r>
        </w:p>
        <w:p w14:paraId="2C5F7DCA" w14:textId="77777777" w:rsidR="00B06D8A" w:rsidRDefault="00F82740">
          <w:pPr>
            <w:pStyle w:val="TOC2"/>
            <w:rPr>
              <w:rFonts w:asciiTheme="minorHAnsi" w:eastAsiaTheme="minorEastAsia" w:hAnsiTheme="minorHAnsi" w:cstheme="minorBidi"/>
              <w:b w:val="0"/>
              <w:noProof/>
              <w:sz w:val="22"/>
              <w:lang w:eastAsia="en-AU"/>
            </w:rPr>
          </w:pPr>
          <w:hyperlink w:anchor="_Toc495583924" w:history="1">
            <w:r w:rsidR="00B06D8A" w:rsidRPr="008E4235">
              <w:rPr>
                <w:rStyle w:val="Hyperlink"/>
                <w:noProof/>
              </w:rPr>
              <w:t>List of abbreviations</w:t>
            </w:r>
            <w:r w:rsidR="00B06D8A">
              <w:rPr>
                <w:noProof/>
                <w:webHidden/>
              </w:rPr>
              <w:tab/>
            </w:r>
            <w:r w:rsidR="00B06D8A">
              <w:rPr>
                <w:noProof/>
                <w:webHidden/>
              </w:rPr>
              <w:fldChar w:fldCharType="begin"/>
            </w:r>
            <w:r w:rsidR="00B06D8A">
              <w:rPr>
                <w:noProof/>
                <w:webHidden/>
              </w:rPr>
              <w:instrText xml:space="preserve"> PAGEREF _Toc495583924 \h </w:instrText>
            </w:r>
            <w:r w:rsidR="00B06D8A">
              <w:rPr>
                <w:noProof/>
                <w:webHidden/>
              </w:rPr>
            </w:r>
            <w:r w:rsidR="00B06D8A">
              <w:rPr>
                <w:noProof/>
                <w:webHidden/>
              </w:rPr>
              <w:fldChar w:fldCharType="separate"/>
            </w:r>
            <w:r w:rsidR="00B06D8A">
              <w:rPr>
                <w:noProof/>
                <w:webHidden/>
              </w:rPr>
              <w:t>5</w:t>
            </w:r>
            <w:r w:rsidR="00B06D8A">
              <w:rPr>
                <w:noProof/>
                <w:webHidden/>
              </w:rPr>
              <w:fldChar w:fldCharType="end"/>
            </w:r>
          </w:hyperlink>
        </w:p>
        <w:p w14:paraId="66697497"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25" w:history="1">
            <w:r w:rsidR="00B06D8A" w:rsidRPr="008E4235">
              <w:rPr>
                <w:rStyle w:val="Hyperlink"/>
                <w:noProof/>
                <w:lang w:eastAsia="en-AU"/>
              </w:rPr>
              <w:t>1.</w:t>
            </w:r>
            <w:r w:rsidR="00B06D8A">
              <w:rPr>
                <w:rFonts w:asciiTheme="minorHAnsi" w:eastAsiaTheme="minorEastAsia" w:hAnsiTheme="minorHAnsi" w:cstheme="minorBidi"/>
                <w:b w:val="0"/>
                <w:noProof/>
                <w:sz w:val="22"/>
                <w:lang w:eastAsia="en-AU"/>
              </w:rPr>
              <w:tab/>
            </w:r>
            <w:r w:rsidR="00B06D8A" w:rsidRPr="008E4235">
              <w:rPr>
                <w:rStyle w:val="Hyperlink"/>
                <w:noProof/>
                <w:lang w:eastAsia="en-AU"/>
              </w:rPr>
              <w:t>Introduction</w:t>
            </w:r>
            <w:r w:rsidR="00B06D8A">
              <w:rPr>
                <w:noProof/>
                <w:webHidden/>
              </w:rPr>
              <w:tab/>
            </w:r>
            <w:r w:rsidR="00B06D8A">
              <w:rPr>
                <w:noProof/>
                <w:webHidden/>
              </w:rPr>
              <w:fldChar w:fldCharType="begin"/>
            </w:r>
            <w:r w:rsidR="00B06D8A">
              <w:rPr>
                <w:noProof/>
                <w:webHidden/>
              </w:rPr>
              <w:instrText xml:space="preserve"> PAGEREF _Toc495583925 \h </w:instrText>
            </w:r>
            <w:r w:rsidR="00B06D8A">
              <w:rPr>
                <w:noProof/>
                <w:webHidden/>
              </w:rPr>
            </w:r>
            <w:r w:rsidR="00B06D8A">
              <w:rPr>
                <w:noProof/>
                <w:webHidden/>
              </w:rPr>
              <w:fldChar w:fldCharType="separate"/>
            </w:r>
            <w:r w:rsidR="00B06D8A">
              <w:rPr>
                <w:noProof/>
                <w:webHidden/>
              </w:rPr>
              <w:t>8</w:t>
            </w:r>
            <w:r w:rsidR="00B06D8A">
              <w:rPr>
                <w:noProof/>
                <w:webHidden/>
              </w:rPr>
              <w:fldChar w:fldCharType="end"/>
            </w:r>
          </w:hyperlink>
        </w:p>
        <w:p w14:paraId="76AAA642"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26" w:history="1">
            <w:r w:rsidR="00B06D8A" w:rsidRPr="008E4235">
              <w:rPr>
                <w:rStyle w:val="Hyperlink"/>
                <w:noProof/>
              </w:rPr>
              <w:t>1.1.</w:t>
            </w:r>
            <w:r w:rsidR="00B06D8A">
              <w:rPr>
                <w:rFonts w:asciiTheme="minorHAnsi" w:eastAsiaTheme="minorEastAsia" w:hAnsiTheme="minorHAnsi" w:cstheme="minorBidi"/>
                <w:noProof/>
                <w:lang w:eastAsia="en-AU"/>
              </w:rPr>
              <w:tab/>
            </w:r>
            <w:r w:rsidR="00B06D8A" w:rsidRPr="008E4235">
              <w:rPr>
                <w:rStyle w:val="Hyperlink"/>
                <w:noProof/>
              </w:rPr>
              <w:t>Drug class and therapeutic indication</w:t>
            </w:r>
            <w:r w:rsidR="00B06D8A">
              <w:rPr>
                <w:noProof/>
                <w:webHidden/>
              </w:rPr>
              <w:tab/>
            </w:r>
            <w:r w:rsidR="00B06D8A">
              <w:rPr>
                <w:noProof/>
                <w:webHidden/>
              </w:rPr>
              <w:fldChar w:fldCharType="begin"/>
            </w:r>
            <w:r w:rsidR="00B06D8A">
              <w:rPr>
                <w:noProof/>
                <w:webHidden/>
              </w:rPr>
              <w:instrText xml:space="preserve"> PAGEREF _Toc495583926 \h </w:instrText>
            </w:r>
            <w:r w:rsidR="00B06D8A">
              <w:rPr>
                <w:noProof/>
                <w:webHidden/>
              </w:rPr>
            </w:r>
            <w:r w:rsidR="00B06D8A">
              <w:rPr>
                <w:noProof/>
                <w:webHidden/>
              </w:rPr>
              <w:fldChar w:fldCharType="separate"/>
            </w:r>
            <w:r w:rsidR="00B06D8A">
              <w:rPr>
                <w:noProof/>
                <w:webHidden/>
              </w:rPr>
              <w:t>8</w:t>
            </w:r>
            <w:r w:rsidR="00B06D8A">
              <w:rPr>
                <w:noProof/>
                <w:webHidden/>
              </w:rPr>
              <w:fldChar w:fldCharType="end"/>
            </w:r>
          </w:hyperlink>
        </w:p>
        <w:p w14:paraId="0BB93747"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27" w:history="1">
            <w:r w:rsidR="00B06D8A" w:rsidRPr="008E4235">
              <w:rPr>
                <w:rStyle w:val="Hyperlink"/>
                <w:noProof/>
              </w:rPr>
              <w:t>1.2.</w:t>
            </w:r>
            <w:r w:rsidR="00B06D8A">
              <w:rPr>
                <w:rFonts w:asciiTheme="minorHAnsi" w:eastAsiaTheme="minorEastAsia" w:hAnsiTheme="minorHAnsi" w:cstheme="minorBidi"/>
                <w:noProof/>
                <w:lang w:eastAsia="en-AU"/>
              </w:rPr>
              <w:tab/>
            </w:r>
            <w:r w:rsidR="00B06D8A" w:rsidRPr="008E4235">
              <w:rPr>
                <w:rStyle w:val="Hyperlink"/>
                <w:noProof/>
              </w:rPr>
              <w:t>Dosage forms and strengths</w:t>
            </w:r>
            <w:r w:rsidR="00B06D8A">
              <w:rPr>
                <w:noProof/>
                <w:webHidden/>
              </w:rPr>
              <w:tab/>
            </w:r>
            <w:r w:rsidR="00B06D8A">
              <w:rPr>
                <w:noProof/>
                <w:webHidden/>
              </w:rPr>
              <w:fldChar w:fldCharType="begin"/>
            </w:r>
            <w:r w:rsidR="00B06D8A">
              <w:rPr>
                <w:noProof/>
                <w:webHidden/>
              </w:rPr>
              <w:instrText xml:space="preserve"> PAGEREF _Toc495583927 \h </w:instrText>
            </w:r>
            <w:r w:rsidR="00B06D8A">
              <w:rPr>
                <w:noProof/>
                <w:webHidden/>
              </w:rPr>
            </w:r>
            <w:r w:rsidR="00B06D8A">
              <w:rPr>
                <w:noProof/>
                <w:webHidden/>
              </w:rPr>
              <w:fldChar w:fldCharType="separate"/>
            </w:r>
            <w:r w:rsidR="00B06D8A">
              <w:rPr>
                <w:noProof/>
                <w:webHidden/>
              </w:rPr>
              <w:t>8</w:t>
            </w:r>
            <w:r w:rsidR="00B06D8A">
              <w:rPr>
                <w:noProof/>
                <w:webHidden/>
              </w:rPr>
              <w:fldChar w:fldCharType="end"/>
            </w:r>
          </w:hyperlink>
        </w:p>
        <w:p w14:paraId="5B8A57AA"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28" w:history="1">
            <w:r w:rsidR="00B06D8A" w:rsidRPr="008E4235">
              <w:rPr>
                <w:rStyle w:val="Hyperlink"/>
                <w:noProof/>
              </w:rPr>
              <w:t>1.3.</w:t>
            </w:r>
            <w:r w:rsidR="00B06D8A">
              <w:rPr>
                <w:rFonts w:asciiTheme="minorHAnsi" w:eastAsiaTheme="minorEastAsia" w:hAnsiTheme="minorHAnsi" w:cstheme="minorBidi"/>
                <w:noProof/>
                <w:lang w:eastAsia="en-AU"/>
              </w:rPr>
              <w:tab/>
            </w:r>
            <w:r w:rsidR="00B06D8A" w:rsidRPr="008E4235">
              <w:rPr>
                <w:rStyle w:val="Hyperlink"/>
                <w:noProof/>
              </w:rPr>
              <w:t>Dosage and administration</w:t>
            </w:r>
            <w:r w:rsidR="00B06D8A">
              <w:rPr>
                <w:noProof/>
                <w:webHidden/>
              </w:rPr>
              <w:tab/>
            </w:r>
            <w:r w:rsidR="00B06D8A">
              <w:rPr>
                <w:noProof/>
                <w:webHidden/>
              </w:rPr>
              <w:fldChar w:fldCharType="begin"/>
            </w:r>
            <w:r w:rsidR="00B06D8A">
              <w:rPr>
                <w:noProof/>
                <w:webHidden/>
              </w:rPr>
              <w:instrText xml:space="preserve"> PAGEREF _Toc495583928 \h </w:instrText>
            </w:r>
            <w:r w:rsidR="00B06D8A">
              <w:rPr>
                <w:noProof/>
                <w:webHidden/>
              </w:rPr>
            </w:r>
            <w:r w:rsidR="00B06D8A">
              <w:rPr>
                <w:noProof/>
                <w:webHidden/>
              </w:rPr>
              <w:fldChar w:fldCharType="separate"/>
            </w:r>
            <w:r w:rsidR="00B06D8A">
              <w:rPr>
                <w:noProof/>
                <w:webHidden/>
              </w:rPr>
              <w:t>9</w:t>
            </w:r>
            <w:r w:rsidR="00B06D8A">
              <w:rPr>
                <w:noProof/>
                <w:webHidden/>
              </w:rPr>
              <w:fldChar w:fldCharType="end"/>
            </w:r>
          </w:hyperlink>
        </w:p>
        <w:p w14:paraId="6551E96D"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29" w:history="1">
            <w:r w:rsidR="00B06D8A" w:rsidRPr="008E4235">
              <w:rPr>
                <w:rStyle w:val="Hyperlink"/>
                <w:noProof/>
              </w:rPr>
              <w:t>1.4.</w:t>
            </w:r>
            <w:r w:rsidR="00B06D8A">
              <w:rPr>
                <w:rFonts w:asciiTheme="minorHAnsi" w:eastAsiaTheme="minorEastAsia" w:hAnsiTheme="minorHAnsi" w:cstheme="minorBidi"/>
                <w:noProof/>
                <w:lang w:eastAsia="en-AU"/>
              </w:rPr>
              <w:tab/>
            </w:r>
            <w:r w:rsidR="00B06D8A" w:rsidRPr="008E4235">
              <w:rPr>
                <w:rStyle w:val="Hyperlink"/>
                <w:noProof/>
              </w:rPr>
              <w:t>Other proposed changes to the PI</w:t>
            </w:r>
            <w:r w:rsidR="00B06D8A">
              <w:rPr>
                <w:noProof/>
                <w:webHidden/>
              </w:rPr>
              <w:tab/>
            </w:r>
            <w:r w:rsidR="00B06D8A">
              <w:rPr>
                <w:noProof/>
                <w:webHidden/>
              </w:rPr>
              <w:fldChar w:fldCharType="begin"/>
            </w:r>
            <w:r w:rsidR="00B06D8A">
              <w:rPr>
                <w:noProof/>
                <w:webHidden/>
              </w:rPr>
              <w:instrText xml:space="preserve"> PAGEREF _Toc495583929 \h </w:instrText>
            </w:r>
            <w:r w:rsidR="00B06D8A">
              <w:rPr>
                <w:noProof/>
                <w:webHidden/>
              </w:rPr>
            </w:r>
            <w:r w:rsidR="00B06D8A">
              <w:rPr>
                <w:noProof/>
                <w:webHidden/>
              </w:rPr>
              <w:fldChar w:fldCharType="separate"/>
            </w:r>
            <w:r w:rsidR="00B06D8A">
              <w:rPr>
                <w:noProof/>
                <w:webHidden/>
              </w:rPr>
              <w:t>13</w:t>
            </w:r>
            <w:r w:rsidR="00B06D8A">
              <w:rPr>
                <w:noProof/>
                <w:webHidden/>
              </w:rPr>
              <w:fldChar w:fldCharType="end"/>
            </w:r>
          </w:hyperlink>
        </w:p>
        <w:p w14:paraId="1274DE2E"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30" w:history="1">
            <w:r w:rsidR="00B06D8A" w:rsidRPr="008E4235">
              <w:rPr>
                <w:rStyle w:val="Hyperlink"/>
                <w:noProof/>
              </w:rPr>
              <w:t>2.</w:t>
            </w:r>
            <w:r w:rsidR="00B06D8A">
              <w:rPr>
                <w:rFonts w:asciiTheme="minorHAnsi" w:eastAsiaTheme="minorEastAsia" w:hAnsiTheme="minorHAnsi" w:cstheme="minorBidi"/>
                <w:b w:val="0"/>
                <w:noProof/>
                <w:sz w:val="22"/>
                <w:lang w:eastAsia="en-AU"/>
              </w:rPr>
              <w:tab/>
            </w:r>
            <w:r w:rsidR="00B06D8A" w:rsidRPr="008E4235">
              <w:rPr>
                <w:rStyle w:val="Hyperlink"/>
                <w:noProof/>
              </w:rPr>
              <w:t>Clinical rationale</w:t>
            </w:r>
            <w:r w:rsidR="00B06D8A">
              <w:rPr>
                <w:noProof/>
                <w:webHidden/>
              </w:rPr>
              <w:tab/>
            </w:r>
            <w:r w:rsidR="00B06D8A">
              <w:rPr>
                <w:noProof/>
                <w:webHidden/>
              </w:rPr>
              <w:fldChar w:fldCharType="begin"/>
            </w:r>
            <w:r w:rsidR="00B06D8A">
              <w:rPr>
                <w:noProof/>
                <w:webHidden/>
              </w:rPr>
              <w:instrText xml:space="preserve"> PAGEREF _Toc495583930 \h </w:instrText>
            </w:r>
            <w:r w:rsidR="00B06D8A">
              <w:rPr>
                <w:noProof/>
                <w:webHidden/>
              </w:rPr>
            </w:r>
            <w:r w:rsidR="00B06D8A">
              <w:rPr>
                <w:noProof/>
                <w:webHidden/>
              </w:rPr>
              <w:fldChar w:fldCharType="separate"/>
            </w:r>
            <w:r w:rsidR="00B06D8A">
              <w:rPr>
                <w:noProof/>
                <w:webHidden/>
              </w:rPr>
              <w:t>13</w:t>
            </w:r>
            <w:r w:rsidR="00B06D8A">
              <w:rPr>
                <w:noProof/>
                <w:webHidden/>
              </w:rPr>
              <w:fldChar w:fldCharType="end"/>
            </w:r>
          </w:hyperlink>
        </w:p>
        <w:p w14:paraId="287C4D8C"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31" w:history="1">
            <w:r w:rsidR="00B06D8A" w:rsidRPr="008E4235">
              <w:rPr>
                <w:rStyle w:val="Hyperlink"/>
                <w:noProof/>
                <w:lang w:eastAsia="en-AU"/>
              </w:rPr>
              <w:t>3.</w:t>
            </w:r>
            <w:r w:rsidR="00B06D8A">
              <w:rPr>
                <w:rFonts w:asciiTheme="minorHAnsi" w:eastAsiaTheme="minorEastAsia" w:hAnsiTheme="minorHAnsi" w:cstheme="minorBidi"/>
                <w:b w:val="0"/>
                <w:noProof/>
                <w:sz w:val="22"/>
                <w:lang w:eastAsia="en-AU"/>
              </w:rPr>
              <w:tab/>
            </w:r>
            <w:r w:rsidR="00B06D8A" w:rsidRPr="008E4235">
              <w:rPr>
                <w:rStyle w:val="Hyperlink"/>
                <w:noProof/>
                <w:lang w:eastAsia="en-AU"/>
              </w:rPr>
              <w:t>Contents of the clinical dossier</w:t>
            </w:r>
            <w:r w:rsidR="00B06D8A">
              <w:rPr>
                <w:noProof/>
                <w:webHidden/>
              </w:rPr>
              <w:tab/>
            </w:r>
            <w:r w:rsidR="00B06D8A">
              <w:rPr>
                <w:noProof/>
                <w:webHidden/>
              </w:rPr>
              <w:fldChar w:fldCharType="begin"/>
            </w:r>
            <w:r w:rsidR="00B06D8A">
              <w:rPr>
                <w:noProof/>
                <w:webHidden/>
              </w:rPr>
              <w:instrText xml:space="preserve"> PAGEREF _Toc495583931 \h </w:instrText>
            </w:r>
            <w:r w:rsidR="00B06D8A">
              <w:rPr>
                <w:noProof/>
                <w:webHidden/>
              </w:rPr>
            </w:r>
            <w:r w:rsidR="00B06D8A">
              <w:rPr>
                <w:noProof/>
                <w:webHidden/>
              </w:rPr>
              <w:fldChar w:fldCharType="separate"/>
            </w:r>
            <w:r w:rsidR="00B06D8A">
              <w:rPr>
                <w:noProof/>
                <w:webHidden/>
              </w:rPr>
              <w:t>13</w:t>
            </w:r>
            <w:r w:rsidR="00B06D8A">
              <w:rPr>
                <w:noProof/>
                <w:webHidden/>
              </w:rPr>
              <w:fldChar w:fldCharType="end"/>
            </w:r>
          </w:hyperlink>
        </w:p>
        <w:p w14:paraId="43B7CE99"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32" w:history="1">
            <w:r w:rsidR="00B06D8A" w:rsidRPr="008E4235">
              <w:rPr>
                <w:rStyle w:val="Hyperlink"/>
                <w:noProof/>
              </w:rPr>
              <w:t>3.1.</w:t>
            </w:r>
            <w:r w:rsidR="00B06D8A">
              <w:rPr>
                <w:rFonts w:asciiTheme="minorHAnsi" w:eastAsiaTheme="minorEastAsia" w:hAnsiTheme="minorHAnsi" w:cstheme="minorBidi"/>
                <w:noProof/>
                <w:lang w:eastAsia="en-AU"/>
              </w:rPr>
              <w:tab/>
            </w:r>
            <w:r w:rsidR="00B06D8A" w:rsidRPr="008E4235">
              <w:rPr>
                <w:rStyle w:val="Hyperlink"/>
                <w:noProof/>
              </w:rPr>
              <w:t>Scope of the clinical dossier</w:t>
            </w:r>
            <w:r w:rsidR="00B06D8A">
              <w:rPr>
                <w:noProof/>
                <w:webHidden/>
              </w:rPr>
              <w:tab/>
            </w:r>
            <w:r w:rsidR="00B06D8A">
              <w:rPr>
                <w:noProof/>
                <w:webHidden/>
              </w:rPr>
              <w:fldChar w:fldCharType="begin"/>
            </w:r>
            <w:r w:rsidR="00B06D8A">
              <w:rPr>
                <w:noProof/>
                <w:webHidden/>
              </w:rPr>
              <w:instrText xml:space="preserve"> PAGEREF _Toc495583932 \h </w:instrText>
            </w:r>
            <w:r w:rsidR="00B06D8A">
              <w:rPr>
                <w:noProof/>
                <w:webHidden/>
              </w:rPr>
            </w:r>
            <w:r w:rsidR="00B06D8A">
              <w:rPr>
                <w:noProof/>
                <w:webHidden/>
              </w:rPr>
              <w:fldChar w:fldCharType="separate"/>
            </w:r>
            <w:r w:rsidR="00B06D8A">
              <w:rPr>
                <w:noProof/>
                <w:webHidden/>
              </w:rPr>
              <w:t>13</w:t>
            </w:r>
            <w:r w:rsidR="00B06D8A">
              <w:rPr>
                <w:noProof/>
                <w:webHidden/>
              </w:rPr>
              <w:fldChar w:fldCharType="end"/>
            </w:r>
          </w:hyperlink>
        </w:p>
        <w:p w14:paraId="7D7D9C25"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33" w:history="1">
            <w:r w:rsidR="00B06D8A" w:rsidRPr="008E4235">
              <w:rPr>
                <w:rStyle w:val="Hyperlink"/>
                <w:noProof/>
              </w:rPr>
              <w:t>3.2.</w:t>
            </w:r>
            <w:r w:rsidR="00B06D8A">
              <w:rPr>
                <w:rFonts w:asciiTheme="minorHAnsi" w:eastAsiaTheme="minorEastAsia" w:hAnsiTheme="minorHAnsi" w:cstheme="minorBidi"/>
                <w:noProof/>
                <w:lang w:eastAsia="en-AU"/>
              </w:rPr>
              <w:tab/>
            </w:r>
            <w:r w:rsidR="00B06D8A" w:rsidRPr="008E4235">
              <w:rPr>
                <w:rStyle w:val="Hyperlink"/>
                <w:noProof/>
              </w:rPr>
              <w:t>Paediatric data</w:t>
            </w:r>
            <w:r w:rsidR="00B06D8A">
              <w:rPr>
                <w:noProof/>
                <w:webHidden/>
              </w:rPr>
              <w:tab/>
            </w:r>
            <w:r w:rsidR="00B06D8A">
              <w:rPr>
                <w:noProof/>
                <w:webHidden/>
              </w:rPr>
              <w:fldChar w:fldCharType="begin"/>
            </w:r>
            <w:r w:rsidR="00B06D8A">
              <w:rPr>
                <w:noProof/>
                <w:webHidden/>
              </w:rPr>
              <w:instrText xml:space="preserve"> PAGEREF _Toc495583933 \h </w:instrText>
            </w:r>
            <w:r w:rsidR="00B06D8A">
              <w:rPr>
                <w:noProof/>
                <w:webHidden/>
              </w:rPr>
            </w:r>
            <w:r w:rsidR="00B06D8A">
              <w:rPr>
                <w:noProof/>
                <w:webHidden/>
              </w:rPr>
              <w:fldChar w:fldCharType="separate"/>
            </w:r>
            <w:r w:rsidR="00B06D8A">
              <w:rPr>
                <w:noProof/>
                <w:webHidden/>
              </w:rPr>
              <w:t>14</w:t>
            </w:r>
            <w:r w:rsidR="00B06D8A">
              <w:rPr>
                <w:noProof/>
                <w:webHidden/>
              </w:rPr>
              <w:fldChar w:fldCharType="end"/>
            </w:r>
          </w:hyperlink>
        </w:p>
        <w:p w14:paraId="56DC2C1B"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34" w:history="1">
            <w:r w:rsidR="00B06D8A" w:rsidRPr="008E4235">
              <w:rPr>
                <w:rStyle w:val="Hyperlink"/>
                <w:noProof/>
              </w:rPr>
              <w:t>3.3.</w:t>
            </w:r>
            <w:r w:rsidR="00B06D8A">
              <w:rPr>
                <w:rFonts w:asciiTheme="minorHAnsi" w:eastAsiaTheme="minorEastAsia" w:hAnsiTheme="minorHAnsi" w:cstheme="minorBidi"/>
                <w:noProof/>
                <w:lang w:eastAsia="en-AU"/>
              </w:rPr>
              <w:tab/>
            </w:r>
            <w:r w:rsidR="00B06D8A" w:rsidRPr="008E4235">
              <w:rPr>
                <w:rStyle w:val="Hyperlink"/>
                <w:noProof/>
              </w:rPr>
              <w:t>Good clinical practice</w:t>
            </w:r>
            <w:r w:rsidR="00B06D8A">
              <w:rPr>
                <w:noProof/>
                <w:webHidden/>
              </w:rPr>
              <w:tab/>
            </w:r>
            <w:r w:rsidR="00B06D8A">
              <w:rPr>
                <w:noProof/>
                <w:webHidden/>
              </w:rPr>
              <w:fldChar w:fldCharType="begin"/>
            </w:r>
            <w:r w:rsidR="00B06D8A">
              <w:rPr>
                <w:noProof/>
                <w:webHidden/>
              </w:rPr>
              <w:instrText xml:space="preserve"> PAGEREF _Toc495583934 \h </w:instrText>
            </w:r>
            <w:r w:rsidR="00B06D8A">
              <w:rPr>
                <w:noProof/>
                <w:webHidden/>
              </w:rPr>
            </w:r>
            <w:r w:rsidR="00B06D8A">
              <w:rPr>
                <w:noProof/>
                <w:webHidden/>
              </w:rPr>
              <w:fldChar w:fldCharType="separate"/>
            </w:r>
            <w:r w:rsidR="00B06D8A">
              <w:rPr>
                <w:noProof/>
                <w:webHidden/>
              </w:rPr>
              <w:t>14</w:t>
            </w:r>
            <w:r w:rsidR="00B06D8A">
              <w:rPr>
                <w:noProof/>
                <w:webHidden/>
              </w:rPr>
              <w:fldChar w:fldCharType="end"/>
            </w:r>
          </w:hyperlink>
        </w:p>
        <w:p w14:paraId="5794DA9A"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35" w:history="1">
            <w:r w:rsidR="00B06D8A" w:rsidRPr="008E4235">
              <w:rPr>
                <w:rStyle w:val="Hyperlink"/>
                <w:noProof/>
              </w:rPr>
              <w:t>4.</w:t>
            </w:r>
            <w:r w:rsidR="00B06D8A">
              <w:rPr>
                <w:rFonts w:asciiTheme="minorHAnsi" w:eastAsiaTheme="minorEastAsia" w:hAnsiTheme="minorHAnsi" w:cstheme="minorBidi"/>
                <w:b w:val="0"/>
                <w:noProof/>
                <w:sz w:val="22"/>
                <w:lang w:eastAsia="en-AU"/>
              </w:rPr>
              <w:tab/>
            </w:r>
            <w:r w:rsidR="00B06D8A" w:rsidRPr="008E4235">
              <w:rPr>
                <w:rStyle w:val="Hyperlink"/>
                <w:noProof/>
              </w:rPr>
              <w:t>Pharmacokinetics</w:t>
            </w:r>
            <w:r w:rsidR="00B06D8A">
              <w:rPr>
                <w:noProof/>
                <w:webHidden/>
              </w:rPr>
              <w:tab/>
            </w:r>
            <w:r w:rsidR="00B06D8A">
              <w:rPr>
                <w:noProof/>
                <w:webHidden/>
              </w:rPr>
              <w:fldChar w:fldCharType="begin"/>
            </w:r>
            <w:r w:rsidR="00B06D8A">
              <w:rPr>
                <w:noProof/>
                <w:webHidden/>
              </w:rPr>
              <w:instrText xml:space="preserve"> PAGEREF _Toc495583935 \h </w:instrText>
            </w:r>
            <w:r w:rsidR="00B06D8A">
              <w:rPr>
                <w:noProof/>
                <w:webHidden/>
              </w:rPr>
            </w:r>
            <w:r w:rsidR="00B06D8A">
              <w:rPr>
                <w:noProof/>
                <w:webHidden/>
              </w:rPr>
              <w:fldChar w:fldCharType="separate"/>
            </w:r>
            <w:r w:rsidR="00B06D8A">
              <w:rPr>
                <w:noProof/>
                <w:webHidden/>
              </w:rPr>
              <w:t>14</w:t>
            </w:r>
            <w:r w:rsidR="00B06D8A">
              <w:rPr>
                <w:noProof/>
                <w:webHidden/>
              </w:rPr>
              <w:fldChar w:fldCharType="end"/>
            </w:r>
          </w:hyperlink>
        </w:p>
        <w:p w14:paraId="04933B23"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36" w:history="1">
            <w:r w:rsidR="00B06D8A" w:rsidRPr="008E4235">
              <w:rPr>
                <w:rStyle w:val="Hyperlink"/>
                <w:noProof/>
              </w:rPr>
              <w:t>4.1.</w:t>
            </w:r>
            <w:r w:rsidR="00B06D8A">
              <w:rPr>
                <w:rFonts w:asciiTheme="minorHAnsi" w:eastAsiaTheme="minorEastAsia" w:hAnsiTheme="minorHAnsi" w:cstheme="minorBidi"/>
                <w:noProof/>
                <w:lang w:eastAsia="en-AU"/>
              </w:rPr>
              <w:tab/>
            </w:r>
            <w:r w:rsidR="00B06D8A" w:rsidRPr="008E4235">
              <w:rPr>
                <w:rStyle w:val="Hyperlink"/>
                <w:noProof/>
              </w:rPr>
              <w:t>Studies providing pharmacokinetic data</w:t>
            </w:r>
            <w:r w:rsidR="00B06D8A">
              <w:rPr>
                <w:noProof/>
                <w:webHidden/>
              </w:rPr>
              <w:tab/>
            </w:r>
            <w:r w:rsidR="00B06D8A">
              <w:rPr>
                <w:noProof/>
                <w:webHidden/>
              </w:rPr>
              <w:fldChar w:fldCharType="begin"/>
            </w:r>
            <w:r w:rsidR="00B06D8A">
              <w:rPr>
                <w:noProof/>
                <w:webHidden/>
              </w:rPr>
              <w:instrText xml:space="preserve"> PAGEREF _Toc495583936 \h </w:instrText>
            </w:r>
            <w:r w:rsidR="00B06D8A">
              <w:rPr>
                <w:noProof/>
                <w:webHidden/>
              </w:rPr>
            </w:r>
            <w:r w:rsidR="00B06D8A">
              <w:rPr>
                <w:noProof/>
                <w:webHidden/>
              </w:rPr>
              <w:fldChar w:fldCharType="separate"/>
            </w:r>
            <w:r w:rsidR="00B06D8A">
              <w:rPr>
                <w:noProof/>
                <w:webHidden/>
              </w:rPr>
              <w:t>14</w:t>
            </w:r>
            <w:r w:rsidR="00B06D8A">
              <w:rPr>
                <w:noProof/>
                <w:webHidden/>
              </w:rPr>
              <w:fldChar w:fldCharType="end"/>
            </w:r>
          </w:hyperlink>
        </w:p>
        <w:p w14:paraId="1F50647D"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37" w:history="1">
            <w:r w:rsidR="00B06D8A" w:rsidRPr="008E4235">
              <w:rPr>
                <w:rStyle w:val="Hyperlink"/>
                <w:noProof/>
              </w:rPr>
              <w:t>4.2.</w:t>
            </w:r>
            <w:r w:rsidR="00B06D8A">
              <w:rPr>
                <w:rFonts w:asciiTheme="minorHAnsi" w:eastAsiaTheme="minorEastAsia" w:hAnsiTheme="minorHAnsi" w:cstheme="minorBidi"/>
                <w:noProof/>
                <w:lang w:eastAsia="en-AU"/>
              </w:rPr>
              <w:tab/>
            </w:r>
            <w:r w:rsidR="00B06D8A" w:rsidRPr="008E4235">
              <w:rPr>
                <w:rStyle w:val="Hyperlink"/>
                <w:noProof/>
              </w:rPr>
              <w:t>Pivotal studies for other than 3 monthly dosage following initial once a month dosage</w:t>
            </w:r>
            <w:r w:rsidR="00B06D8A">
              <w:rPr>
                <w:noProof/>
                <w:webHidden/>
              </w:rPr>
              <w:tab/>
            </w:r>
            <w:r w:rsidR="00B06D8A">
              <w:rPr>
                <w:noProof/>
                <w:webHidden/>
              </w:rPr>
              <w:fldChar w:fldCharType="begin"/>
            </w:r>
            <w:r w:rsidR="00B06D8A">
              <w:rPr>
                <w:noProof/>
                <w:webHidden/>
              </w:rPr>
              <w:instrText xml:space="preserve"> PAGEREF _Toc495583937 \h </w:instrText>
            </w:r>
            <w:r w:rsidR="00B06D8A">
              <w:rPr>
                <w:noProof/>
                <w:webHidden/>
              </w:rPr>
            </w:r>
            <w:r w:rsidR="00B06D8A">
              <w:rPr>
                <w:noProof/>
                <w:webHidden/>
              </w:rPr>
              <w:fldChar w:fldCharType="separate"/>
            </w:r>
            <w:r w:rsidR="00B06D8A">
              <w:rPr>
                <w:noProof/>
                <w:webHidden/>
              </w:rPr>
              <w:t>30</w:t>
            </w:r>
            <w:r w:rsidR="00B06D8A">
              <w:rPr>
                <w:noProof/>
                <w:webHidden/>
              </w:rPr>
              <w:fldChar w:fldCharType="end"/>
            </w:r>
          </w:hyperlink>
        </w:p>
        <w:p w14:paraId="6A2BE0C8"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38" w:history="1">
            <w:r w:rsidR="00B06D8A" w:rsidRPr="008E4235">
              <w:rPr>
                <w:rStyle w:val="Hyperlink"/>
                <w:noProof/>
              </w:rPr>
              <w:t>4.3.</w:t>
            </w:r>
            <w:r w:rsidR="00B06D8A">
              <w:rPr>
                <w:rFonts w:asciiTheme="minorHAnsi" w:eastAsiaTheme="minorEastAsia" w:hAnsiTheme="minorHAnsi" w:cstheme="minorBidi"/>
                <w:noProof/>
                <w:lang w:eastAsia="en-AU"/>
              </w:rPr>
              <w:tab/>
            </w:r>
            <w:r w:rsidR="00B06D8A" w:rsidRPr="008E4235">
              <w:rPr>
                <w:rStyle w:val="Hyperlink"/>
                <w:noProof/>
              </w:rPr>
              <w:t>Evaluator’s overall conclusions on pharmacokinetics</w:t>
            </w:r>
            <w:r w:rsidR="00B06D8A">
              <w:rPr>
                <w:noProof/>
                <w:webHidden/>
              </w:rPr>
              <w:tab/>
            </w:r>
            <w:r w:rsidR="00B06D8A">
              <w:rPr>
                <w:noProof/>
                <w:webHidden/>
              </w:rPr>
              <w:fldChar w:fldCharType="begin"/>
            </w:r>
            <w:r w:rsidR="00B06D8A">
              <w:rPr>
                <w:noProof/>
                <w:webHidden/>
              </w:rPr>
              <w:instrText xml:space="preserve"> PAGEREF _Toc495583938 \h </w:instrText>
            </w:r>
            <w:r w:rsidR="00B06D8A">
              <w:rPr>
                <w:noProof/>
                <w:webHidden/>
              </w:rPr>
            </w:r>
            <w:r w:rsidR="00B06D8A">
              <w:rPr>
                <w:noProof/>
                <w:webHidden/>
              </w:rPr>
              <w:fldChar w:fldCharType="separate"/>
            </w:r>
            <w:r w:rsidR="00B06D8A">
              <w:rPr>
                <w:noProof/>
                <w:webHidden/>
              </w:rPr>
              <w:t>47</w:t>
            </w:r>
            <w:r w:rsidR="00B06D8A">
              <w:rPr>
                <w:noProof/>
                <w:webHidden/>
              </w:rPr>
              <w:fldChar w:fldCharType="end"/>
            </w:r>
          </w:hyperlink>
        </w:p>
        <w:p w14:paraId="305B3C89"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39" w:history="1">
            <w:r w:rsidR="00B06D8A" w:rsidRPr="008E4235">
              <w:rPr>
                <w:rStyle w:val="Hyperlink"/>
                <w:noProof/>
              </w:rPr>
              <w:t>5.</w:t>
            </w:r>
            <w:r w:rsidR="00B06D8A">
              <w:rPr>
                <w:rFonts w:asciiTheme="minorHAnsi" w:eastAsiaTheme="minorEastAsia" w:hAnsiTheme="minorHAnsi" w:cstheme="minorBidi"/>
                <w:b w:val="0"/>
                <w:noProof/>
                <w:sz w:val="22"/>
                <w:lang w:eastAsia="en-AU"/>
              </w:rPr>
              <w:tab/>
            </w:r>
            <w:r w:rsidR="00B06D8A" w:rsidRPr="008E4235">
              <w:rPr>
                <w:rStyle w:val="Hyperlink"/>
                <w:noProof/>
              </w:rPr>
              <w:t>Pharmacodynamics</w:t>
            </w:r>
            <w:r w:rsidR="00B06D8A">
              <w:rPr>
                <w:noProof/>
                <w:webHidden/>
              </w:rPr>
              <w:tab/>
            </w:r>
            <w:r w:rsidR="00B06D8A">
              <w:rPr>
                <w:noProof/>
                <w:webHidden/>
              </w:rPr>
              <w:fldChar w:fldCharType="begin"/>
            </w:r>
            <w:r w:rsidR="00B06D8A">
              <w:rPr>
                <w:noProof/>
                <w:webHidden/>
              </w:rPr>
              <w:instrText xml:space="preserve"> PAGEREF _Toc495583939 \h </w:instrText>
            </w:r>
            <w:r w:rsidR="00B06D8A">
              <w:rPr>
                <w:noProof/>
                <w:webHidden/>
              </w:rPr>
            </w:r>
            <w:r w:rsidR="00B06D8A">
              <w:rPr>
                <w:noProof/>
                <w:webHidden/>
              </w:rPr>
              <w:fldChar w:fldCharType="separate"/>
            </w:r>
            <w:r w:rsidR="00B06D8A">
              <w:rPr>
                <w:noProof/>
                <w:webHidden/>
              </w:rPr>
              <w:t>48</w:t>
            </w:r>
            <w:r w:rsidR="00B06D8A">
              <w:rPr>
                <w:noProof/>
                <w:webHidden/>
              </w:rPr>
              <w:fldChar w:fldCharType="end"/>
            </w:r>
          </w:hyperlink>
        </w:p>
        <w:p w14:paraId="372E327B"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40" w:history="1">
            <w:r w:rsidR="00B06D8A" w:rsidRPr="008E4235">
              <w:rPr>
                <w:rStyle w:val="Hyperlink"/>
                <w:noProof/>
              </w:rPr>
              <w:t>5.1.</w:t>
            </w:r>
            <w:r w:rsidR="00B06D8A">
              <w:rPr>
                <w:rFonts w:asciiTheme="minorHAnsi" w:eastAsiaTheme="minorEastAsia" w:hAnsiTheme="minorHAnsi" w:cstheme="minorBidi"/>
                <w:noProof/>
                <w:lang w:eastAsia="en-AU"/>
              </w:rPr>
              <w:tab/>
            </w:r>
            <w:r w:rsidR="00B06D8A" w:rsidRPr="008E4235">
              <w:rPr>
                <w:rStyle w:val="Hyperlink"/>
                <w:noProof/>
              </w:rPr>
              <w:t>Summary of pharmacodynamics</w:t>
            </w:r>
            <w:r w:rsidR="00B06D8A">
              <w:rPr>
                <w:noProof/>
                <w:webHidden/>
              </w:rPr>
              <w:tab/>
            </w:r>
            <w:r w:rsidR="00B06D8A">
              <w:rPr>
                <w:noProof/>
                <w:webHidden/>
              </w:rPr>
              <w:fldChar w:fldCharType="begin"/>
            </w:r>
            <w:r w:rsidR="00B06D8A">
              <w:rPr>
                <w:noProof/>
                <w:webHidden/>
              </w:rPr>
              <w:instrText xml:space="preserve"> PAGEREF _Toc495583940 \h </w:instrText>
            </w:r>
            <w:r w:rsidR="00B06D8A">
              <w:rPr>
                <w:noProof/>
                <w:webHidden/>
              </w:rPr>
            </w:r>
            <w:r w:rsidR="00B06D8A">
              <w:rPr>
                <w:noProof/>
                <w:webHidden/>
              </w:rPr>
              <w:fldChar w:fldCharType="separate"/>
            </w:r>
            <w:r w:rsidR="00B06D8A">
              <w:rPr>
                <w:noProof/>
                <w:webHidden/>
              </w:rPr>
              <w:t>48</w:t>
            </w:r>
            <w:r w:rsidR="00B06D8A">
              <w:rPr>
                <w:noProof/>
                <w:webHidden/>
              </w:rPr>
              <w:fldChar w:fldCharType="end"/>
            </w:r>
          </w:hyperlink>
        </w:p>
        <w:p w14:paraId="025362F1"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41" w:history="1">
            <w:r w:rsidR="00B06D8A" w:rsidRPr="008E4235">
              <w:rPr>
                <w:rStyle w:val="Hyperlink"/>
                <w:noProof/>
              </w:rPr>
              <w:t>5.2.</w:t>
            </w:r>
            <w:r w:rsidR="00B06D8A">
              <w:rPr>
                <w:rFonts w:asciiTheme="minorHAnsi" w:eastAsiaTheme="minorEastAsia" w:hAnsiTheme="minorHAnsi" w:cstheme="minorBidi"/>
                <w:noProof/>
                <w:lang w:eastAsia="en-AU"/>
              </w:rPr>
              <w:tab/>
            </w:r>
            <w:r w:rsidR="00B06D8A" w:rsidRPr="008E4235">
              <w:rPr>
                <w:rStyle w:val="Hyperlink"/>
                <w:noProof/>
              </w:rPr>
              <w:t>Evaluator’s overall conclusions on pharmacodynamics</w:t>
            </w:r>
            <w:r w:rsidR="00B06D8A">
              <w:rPr>
                <w:noProof/>
                <w:webHidden/>
              </w:rPr>
              <w:tab/>
            </w:r>
            <w:r w:rsidR="00B06D8A">
              <w:rPr>
                <w:noProof/>
                <w:webHidden/>
              </w:rPr>
              <w:fldChar w:fldCharType="begin"/>
            </w:r>
            <w:r w:rsidR="00B06D8A">
              <w:rPr>
                <w:noProof/>
                <w:webHidden/>
              </w:rPr>
              <w:instrText xml:space="preserve"> PAGEREF _Toc495583941 \h </w:instrText>
            </w:r>
            <w:r w:rsidR="00B06D8A">
              <w:rPr>
                <w:noProof/>
                <w:webHidden/>
              </w:rPr>
            </w:r>
            <w:r w:rsidR="00B06D8A">
              <w:rPr>
                <w:noProof/>
                <w:webHidden/>
              </w:rPr>
              <w:fldChar w:fldCharType="separate"/>
            </w:r>
            <w:r w:rsidR="00B06D8A">
              <w:rPr>
                <w:noProof/>
                <w:webHidden/>
              </w:rPr>
              <w:t>57</w:t>
            </w:r>
            <w:r w:rsidR="00B06D8A">
              <w:rPr>
                <w:noProof/>
                <w:webHidden/>
              </w:rPr>
              <w:fldChar w:fldCharType="end"/>
            </w:r>
          </w:hyperlink>
        </w:p>
        <w:p w14:paraId="54076B40"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42" w:history="1">
            <w:r w:rsidR="00B06D8A" w:rsidRPr="008E4235">
              <w:rPr>
                <w:rStyle w:val="Hyperlink"/>
                <w:noProof/>
              </w:rPr>
              <w:t>6.</w:t>
            </w:r>
            <w:r w:rsidR="00B06D8A">
              <w:rPr>
                <w:rFonts w:asciiTheme="minorHAnsi" w:eastAsiaTheme="minorEastAsia" w:hAnsiTheme="minorHAnsi" w:cstheme="minorBidi"/>
                <w:b w:val="0"/>
                <w:noProof/>
                <w:sz w:val="22"/>
                <w:lang w:eastAsia="en-AU"/>
              </w:rPr>
              <w:tab/>
            </w:r>
            <w:r w:rsidR="00B06D8A" w:rsidRPr="008E4235">
              <w:rPr>
                <w:rStyle w:val="Hyperlink"/>
                <w:noProof/>
              </w:rPr>
              <w:t>Dosage selection for the pivotal studies</w:t>
            </w:r>
            <w:r w:rsidR="00B06D8A">
              <w:rPr>
                <w:noProof/>
                <w:webHidden/>
              </w:rPr>
              <w:tab/>
            </w:r>
            <w:r w:rsidR="00B06D8A">
              <w:rPr>
                <w:noProof/>
                <w:webHidden/>
              </w:rPr>
              <w:fldChar w:fldCharType="begin"/>
            </w:r>
            <w:r w:rsidR="00B06D8A">
              <w:rPr>
                <w:noProof/>
                <w:webHidden/>
              </w:rPr>
              <w:instrText xml:space="preserve"> PAGEREF _Toc495583942 \h </w:instrText>
            </w:r>
            <w:r w:rsidR="00B06D8A">
              <w:rPr>
                <w:noProof/>
                <w:webHidden/>
              </w:rPr>
            </w:r>
            <w:r w:rsidR="00B06D8A">
              <w:rPr>
                <w:noProof/>
                <w:webHidden/>
              </w:rPr>
              <w:fldChar w:fldCharType="separate"/>
            </w:r>
            <w:r w:rsidR="00B06D8A">
              <w:rPr>
                <w:noProof/>
                <w:webHidden/>
              </w:rPr>
              <w:t>57</w:t>
            </w:r>
            <w:r w:rsidR="00B06D8A">
              <w:rPr>
                <w:noProof/>
                <w:webHidden/>
              </w:rPr>
              <w:fldChar w:fldCharType="end"/>
            </w:r>
          </w:hyperlink>
        </w:p>
        <w:p w14:paraId="3BAA5CD4"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43" w:history="1">
            <w:r w:rsidR="00B06D8A" w:rsidRPr="008E4235">
              <w:rPr>
                <w:rStyle w:val="Hyperlink"/>
                <w:noProof/>
              </w:rPr>
              <w:t>7.</w:t>
            </w:r>
            <w:r w:rsidR="00B06D8A">
              <w:rPr>
                <w:rFonts w:asciiTheme="minorHAnsi" w:eastAsiaTheme="minorEastAsia" w:hAnsiTheme="minorHAnsi" w:cstheme="minorBidi"/>
                <w:b w:val="0"/>
                <w:noProof/>
                <w:sz w:val="22"/>
                <w:lang w:eastAsia="en-AU"/>
              </w:rPr>
              <w:tab/>
            </w:r>
            <w:r w:rsidR="00B06D8A" w:rsidRPr="008E4235">
              <w:rPr>
                <w:rStyle w:val="Hyperlink"/>
                <w:noProof/>
              </w:rPr>
              <w:t>Clinical efficacy</w:t>
            </w:r>
            <w:r w:rsidR="00B06D8A">
              <w:rPr>
                <w:noProof/>
                <w:webHidden/>
              </w:rPr>
              <w:tab/>
            </w:r>
            <w:r w:rsidR="00B06D8A">
              <w:rPr>
                <w:noProof/>
                <w:webHidden/>
              </w:rPr>
              <w:fldChar w:fldCharType="begin"/>
            </w:r>
            <w:r w:rsidR="00B06D8A">
              <w:rPr>
                <w:noProof/>
                <w:webHidden/>
              </w:rPr>
              <w:instrText xml:space="preserve"> PAGEREF _Toc495583943 \h </w:instrText>
            </w:r>
            <w:r w:rsidR="00B06D8A">
              <w:rPr>
                <w:noProof/>
                <w:webHidden/>
              </w:rPr>
            </w:r>
            <w:r w:rsidR="00B06D8A">
              <w:rPr>
                <w:noProof/>
                <w:webHidden/>
              </w:rPr>
              <w:fldChar w:fldCharType="separate"/>
            </w:r>
            <w:r w:rsidR="00B06D8A">
              <w:rPr>
                <w:noProof/>
                <w:webHidden/>
              </w:rPr>
              <w:t>58</w:t>
            </w:r>
            <w:r w:rsidR="00B06D8A">
              <w:rPr>
                <w:noProof/>
                <w:webHidden/>
              </w:rPr>
              <w:fldChar w:fldCharType="end"/>
            </w:r>
          </w:hyperlink>
        </w:p>
        <w:p w14:paraId="11B8150C"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44" w:history="1">
            <w:r w:rsidR="00B06D8A" w:rsidRPr="008E4235">
              <w:rPr>
                <w:rStyle w:val="Hyperlink"/>
                <w:noProof/>
              </w:rPr>
              <w:t>7.1.</w:t>
            </w:r>
            <w:r w:rsidR="00B06D8A">
              <w:rPr>
                <w:rFonts w:asciiTheme="minorHAnsi" w:eastAsiaTheme="minorEastAsia" w:hAnsiTheme="minorHAnsi" w:cstheme="minorBidi"/>
                <w:noProof/>
                <w:lang w:eastAsia="en-AU"/>
              </w:rPr>
              <w:tab/>
            </w:r>
            <w:r w:rsidR="00B06D8A" w:rsidRPr="008E4235">
              <w:rPr>
                <w:rStyle w:val="Hyperlink"/>
                <w:noProof/>
              </w:rPr>
              <w:t>Pivotal efficacy studies for 3 monthly dosage following initial once a month dosage</w:t>
            </w:r>
            <w:r w:rsidR="00B06D8A">
              <w:rPr>
                <w:noProof/>
                <w:webHidden/>
              </w:rPr>
              <w:tab/>
            </w:r>
            <w:r w:rsidR="00B06D8A">
              <w:rPr>
                <w:noProof/>
                <w:webHidden/>
              </w:rPr>
              <w:fldChar w:fldCharType="begin"/>
            </w:r>
            <w:r w:rsidR="00B06D8A">
              <w:rPr>
                <w:noProof/>
                <w:webHidden/>
              </w:rPr>
              <w:instrText xml:space="preserve"> PAGEREF _Toc495583944 \h </w:instrText>
            </w:r>
            <w:r w:rsidR="00B06D8A">
              <w:rPr>
                <w:noProof/>
                <w:webHidden/>
              </w:rPr>
            </w:r>
            <w:r w:rsidR="00B06D8A">
              <w:rPr>
                <w:noProof/>
                <w:webHidden/>
              </w:rPr>
              <w:fldChar w:fldCharType="separate"/>
            </w:r>
            <w:r w:rsidR="00B06D8A">
              <w:rPr>
                <w:noProof/>
                <w:webHidden/>
              </w:rPr>
              <w:t>58</w:t>
            </w:r>
            <w:r w:rsidR="00B06D8A">
              <w:rPr>
                <w:noProof/>
                <w:webHidden/>
              </w:rPr>
              <w:fldChar w:fldCharType="end"/>
            </w:r>
          </w:hyperlink>
        </w:p>
        <w:p w14:paraId="5E0C33A4"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45" w:history="1">
            <w:r w:rsidR="00B06D8A" w:rsidRPr="008E4235">
              <w:rPr>
                <w:rStyle w:val="Hyperlink"/>
                <w:noProof/>
              </w:rPr>
              <w:t>8.</w:t>
            </w:r>
            <w:r w:rsidR="00B06D8A">
              <w:rPr>
                <w:rFonts w:asciiTheme="minorHAnsi" w:eastAsiaTheme="minorEastAsia" w:hAnsiTheme="minorHAnsi" w:cstheme="minorBidi"/>
                <w:b w:val="0"/>
                <w:noProof/>
                <w:sz w:val="22"/>
                <w:lang w:eastAsia="en-AU"/>
              </w:rPr>
              <w:tab/>
            </w:r>
            <w:r w:rsidR="00B06D8A" w:rsidRPr="008E4235">
              <w:rPr>
                <w:rStyle w:val="Hyperlink"/>
                <w:noProof/>
              </w:rPr>
              <w:t>Clinical safety</w:t>
            </w:r>
            <w:r w:rsidR="00B06D8A">
              <w:rPr>
                <w:noProof/>
                <w:webHidden/>
              </w:rPr>
              <w:tab/>
            </w:r>
            <w:r w:rsidR="00B06D8A">
              <w:rPr>
                <w:noProof/>
                <w:webHidden/>
              </w:rPr>
              <w:fldChar w:fldCharType="begin"/>
            </w:r>
            <w:r w:rsidR="00B06D8A">
              <w:rPr>
                <w:noProof/>
                <w:webHidden/>
              </w:rPr>
              <w:instrText xml:space="preserve"> PAGEREF _Toc495583945 \h </w:instrText>
            </w:r>
            <w:r w:rsidR="00B06D8A">
              <w:rPr>
                <w:noProof/>
                <w:webHidden/>
              </w:rPr>
            </w:r>
            <w:r w:rsidR="00B06D8A">
              <w:rPr>
                <w:noProof/>
                <w:webHidden/>
              </w:rPr>
              <w:fldChar w:fldCharType="separate"/>
            </w:r>
            <w:r w:rsidR="00B06D8A">
              <w:rPr>
                <w:noProof/>
                <w:webHidden/>
              </w:rPr>
              <w:t>80</w:t>
            </w:r>
            <w:r w:rsidR="00B06D8A">
              <w:rPr>
                <w:noProof/>
                <w:webHidden/>
              </w:rPr>
              <w:fldChar w:fldCharType="end"/>
            </w:r>
          </w:hyperlink>
        </w:p>
        <w:p w14:paraId="152602F5"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46" w:history="1">
            <w:r w:rsidR="00B06D8A" w:rsidRPr="008E4235">
              <w:rPr>
                <w:rStyle w:val="Hyperlink"/>
                <w:noProof/>
              </w:rPr>
              <w:t>8.1.</w:t>
            </w:r>
            <w:r w:rsidR="00B06D8A">
              <w:rPr>
                <w:rFonts w:asciiTheme="minorHAnsi" w:eastAsiaTheme="minorEastAsia" w:hAnsiTheme="minorHAnsi" w:cstheme="minorBidi"/>
                <w:noProof/>
                <w:lang w:eastAsia="en-AU"/>
              </w:rPr>
              <w:tab/>
            </w:r>
            <w:r w:rsidR="00B06D8A" w:rsidRPr="008E4235">
              <w:rPr>
                <w:rStyle w:val="Hyperlink"/>
                <w:noProof/>
              </w:rPr>
              <w:t>Patient exposure</w:t>
            </w:r>
            <w:r w:rsidR="00B06D8A">
              <w:rPr>
                <w:noProof/>
                <w:webHidden/>
              </w:rPr>
              <w:tab/>
            </w:r>
            <w:r w:rsidR="00B06D8A">
              <w:rPr>
                <w:noProof/>
                <w:webHidden/>
              </w:rPr>
              <w:fldChar w:fldCharType="begin"/>
            </w:r>
            <w:r w:rsidR="00B06D8A">
              <w:rPr>
                <w:noProof/>
                <w:webHidden/>
              </w:rPr>
              <w:instrText xml:space="preserve"> PAGEREF _Toc495583946 \h </w:instrText>
            </w:r>
            <w:r w:rsidR="00B06D8A">
              <w:rPr>
                <w:noProof/>
                <w:webHidden/>
              </w:rPr>
            </w:r>
            <w:r w:rsidR="00B06D8A">
              <w:rPr>
                <w:noProof/>
                <w:webHidden/>
              </w:rPr>
              <w:fldChar w:fldCharType="separate"/>
            </w:r>
            <w:r w:rsidR="00B06D8A">
              <w:rPr>
                <w:noProof/>
                <w:webHidden/>
              </w:rPr>
              <w:t>80</w:t>
            </w:r>
            <w:r w:rsidR="00B06D8A">
              <w:rPr>
                <w:noProof/>
                <w:webHidden/>
              </w:rPr>
              <w:fldChar w:fldCharType="end"/>
            </w:r>
          </w:hyperlink>
        </w:p>
        <w:p w14:paraId="6E4C2574"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47" w:history="1">
            <w:r w:rsidR="00B06D8A" w:rsidRPr="008E4235">
              <w:rPr>
                <w:rStyle w:val="Hyperlink"/>
                <w:noProof/>
              </w:rPr>
              <w:t>8.2.</w:t>
            </w:r>
            <w:r w:rsidR="00B06D8A">
              <w:rPr>
                <w:rFonts w:asciiTheme="minorHAnsi" w:eastAsiaTheme="minorEastAsia" w:hAnsiTheme="minorHAnsi" w:cstheme="minorBidi"/>
                <w:noProof/>
                <w:lang w:eastAsia="en-AU"/>
              </w:rPr>
              <w:tab/>
            </w:r>
            <w:r w:rsidR="00B06D8A" w:rsidRPr="008E4235">
              <w:rPr>
                <w:rStyle w:val="Hyperlink"/>
                <w:noProof/>
              </w:rPr>
              <w:t>Pivotal studies that assessed safety as a primary outcome</w:t>
            </w:r>
            <w:r w:rsidR="00B06D8A">
              <w:rPr>
                <w:noProof/>
                <w:webHidden/>
              </w:rPr>
              <w:tab/>
            </w:r>
            <w:r w:rsidR="00B06D8A">
              <w:rPr>
                <w:noProof/>
                <w:webHidden/>
              </w:rPr>
              <w:fldChar w:fldCharType="begin"/>
            </w:r>
            <w:r w:rsidR="00B06D8A">
              <w:rPr>
                <w:noProof/>
                <w:webHidden/>
              </w:rPr>
              <w:instrText xml:space="preserve"> PAGEREF _Toc495583947 \h </w:instrText>
            </w:r>
            <w:r w:rsidR="00B06D8A">
              <w:rPr>
                <w:noProof/>
                <w:webHidden/>
              </w:rPr>
            </w:r>
            <w:r w:rsidR="00B06D8A">
              <w:rPr>
                <w:noProof/>
                <w:webHidden/>
              </w:rPr>
              <w:fldChar w:fldCharType="separate"/>
            </w:r>
            <w:r w:rsidR="00B06D8A">
              <w:rPr>
                <w:noProof/>
                <w:webHidden/>
              </w:rPr>
              <w:t>80</w:t>
            </w:r>
            <w:r w:rsidR="00B06D8A">
              <w:rPr>
                <w:noProof/>
                <w:webHidden/>
              </w:rPr>
              <w:fldChar w:fldCharType="end"/>
            </w:r>
          </w:hyperlink>
        </w:p>
        <w:p w14:paraId="7A45B2AC"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48" w:history="1">
            <w:r w:rsidR="00B06D8A" w:rsidRPr="008E4235">
              <w:rPr>
                <w:rStyle w:val="Hyperlink"/>
                <w:noProof/>
              </w:rPr>
              <w:t>8.3.</w:t>
            </w:r>
            <w:r w:rsidR="00B06D8A">
              <w:rPr>
                <w:rFonts w:asciiTheme="minorHAnsi" w:eastAsiaTheme="minorEastAsia" w:hAnsiTheme="minorHAnsi" w:cstheme="minorBidi"/>
                <w:noProof/>
                <w:lang w:eastAsia="en-AU"/>
              </w:rPr>
              <w:tab/>
            </w:r>
            <w:r w:rsidR="00B06D8A" w:rsidRPr="008E4235">
              <w:rPr>
                <w:rStyle w:val="Hyperlink"/>
                <w:noProof/>
              </w:rPr>
              <w:t>Adverse drug reactions</w:t>
            </w:r>
            <w:r w:rsidR="00B06D8A">
              <w:rPr>
                <w:noProof/>
                <w:webHidden/>
              </w:rPr>
              <w:tab/>
            </w:r>
            <w:r w:rsidR="00B06D8A">
              <w:rPr>
                <w:noProof/>
                <w:webHidden/>
              </w:rPr>
              <w:fldChar w:fldCharType="begin"/>
            </w:r>
            <w:r w:rsidR="00B06D8A">
              <w:rPr>
                <w:noProof/>
                <w:webHidden/>
              </w:rPr>
              <w:instrText xml:space="preserve"> PAGEREF _Toc495583948 \h </w:instrText>
            </w:r>
            <w:r w:rsidR="00B06D8A">
              <w:rPr>
                <w:noProof/>
                <w:webHidden/>
              </w:rPr>
            </w:r>
            <w:r w:rsidR="00B06D8A">
              <w:rPr>
                <w:noProof/>
                <w:webHidden/>
              </w:rPr>
              <w:fldChar w:fldCharType="separate"/>
            </w:r>
            <w:r w:rsidR="00B06D8A">
              <w:rPr>
                <w:noProof/>
                <w:webHidden/>
              </w:rPr>
              <w:t>106</w:t>
            </w:r>
            <w:r w:rsidR="00B06D8A">
              <w:rPr>
                <w:noProof/>
                <w:webHidden/>
              </w:rPr>
              <w:fldChar w:fldCharType="end"/>
            </w:r>
          </w:hyperlink>
        </w:p>
        <w:p w14:paraId="5EE4611A"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49" w:history="1">
            <w:r w:rsidR="00B06D8A" w:rsidRPr="008E4235">
              <w:rPr>
                <w:rStyle w:val="Hyperlink"/>
                <w:noProof/>
              </w:rPr>
              <w:t>8.4.</w:t>
            </w:r>
            <w:r w:rsidR="00B06D8A">
              <w:rPr>
                <w:rFonts w:asciiTheme="minorHAnsi" w:eastAsiaTheme="minorEastAsia" w:hAnsiTheme="minorHAnsi" w:cstheme="minorBidi"/>
                <w:noProof/>
                <w:lang w:eastAsia="en-AU"/>
              </w:rPr>
              <w:tab/>
            </w:r>
            <w:r w:rsidR="00B06D8A" w:rsidRPr="008E4235">
              <w:rPr>
                <w:rStyle w:val="Hyperlink"/>
                <w:noProof/>
              </w:rPr>
              <w:t>All adverse events (irrespective of relationship to study treatment)</w:t>
            </w:r>
            <w:r w:rsidR="00B06D8A">
              <w:rPr>
                <w:noProof/>
                <w:webHidden/>
              </w:rPr>
              <w:tab/>
            </w:r>
            <w:r w:rsidR="00B06D8A">
              <w:rPr>
                <w:noProof/>
                <w:webHidden/>
              </w:rPr>
              <w:fldChar w:fldCharType="begin"/>
            </w:r>
            <w:r w:rsidR="00B06D8A">
              <w:rPr>
                <w:noProof/>
                <w:webHidden/>
              </w:rPr>
              <w:instrText xml:space="preserve"> PAGEREF _Toc495583949 \h </w:instrText>
            </w:r>
            <w:r w:rsidR="00B06D8A">
              <w:rPr>
                <w:noProof/>
                <w:webHidden/>
              </w:rPr>
            </w:r>
            <w:r w:rsidR="00B06D8A">
              <w:rPr>
                <w:noProof/>
                <w:webHidden/>
              </w:rPr>
              <w:fldChar w:fldCharType="separate"/>
            </w:r>
            <w:r w:rsidR="00B06D8A">
              <w:rPr>
                <w:noProof/>
                <w:webHidden/>
              </w:rPr>
              <w:t>107</w:t>
            </w:r>
            <w:r w:rsidR="00B06D8A">
              <w:rPr>
                <w:noProof/>
                <w:webHidden/>
              </w:rPr>
              <w:fldChar w:fldCharType="end"/>
            </w:r>
          </w:hyperlink>
        </w:p>
        <w:p w14:paraId="7A6DFC95"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50" w:history="1">
            <w:r w:rsidR="00B06D8A" w:rsidRPr="008E4235">
              <w:rPr>
                <w:rStyle w:val="Hyperlink"/>
                <w:noProof/>
              </w:rPr>
              <w:t>8.5.</w:t>
            </w:r>
            <w:r w:rsidR="00B06D8A">
              <w:rPr>
                <w:rFonts w:asciiTheme="minorHAnsi" w:eastAsiaTheme="minorEastAsia" w:hAnsiTheme="minorHAnsi" w:cstheme="minorBidi"/>
                <w:noProof/>
                <w:lang w:eastAsia="en-AU"/>
              </w:rPr>
              <w:tab/>
            </w:r>
            <w:r w:rsidR="00B06D8A" w:rsidRPr="008E4235">
              <w:rPr>
                <w:rStyle w:val="Hyperlink"/>
                <w:noProof/>
              </w:rPr>
              <w:t>Other safety issues</w:t>
            </w:r>
            <w:r w:rsidR="00B06D8A">
              <w:rPr>
                <w:noProof/>
                <w:webHidden/>
              </w:rPr>
              <w:tab/>
            </w:r>
            <w:r w:rsidR="00B06D8A">
              <w:rPr>
                <w:noProof/>
                <w:webHidden/>
              </w:rPr>
              <w:fldChar w:fldCharType="begin"/>
            </w:r>
            <w:r w:rsidR="00B06D8A">
              <w:rPr>
                <w:noProof/>
                <w:webHidden/>
              </w:rPr>
              <w:instrText xml:space="preserve"> PAGEREF _Toc495583950 \h </w:instrText>
            </w:r>
            <w:r w:rsidR="00B06D8A">
              <w:rPr>
                <w:noProof/>
                <w:webHidden/>
              </w:rPr>
            </w:r>
            <w:r w:rsidR="00B06D8A">
              <w:rPr>
                <w:noProof/>
                <w:webHidden/>
              </w:rPr>
              <w:fldChar w:fldCharType="separate"/>
            </w:r>
            <w:r w:rsidR="00B06D8A">
              <w:rPr>
                <w:noProof/>
                <w:webHidden/>
              </w:rPr>
              <w:t>108</w:t>
            </w:r>
            <w:r w:rsidR="00B06D8A">
              <w:rPr>
                <w:noProof/>
                <w:webHidden/>
              </w:rPr>
              <w:fldChar w:fldCharType="end"/>
            </w:r>
          </w:hyperlink>
        </w:p>
        <w:p w14:paraId="687FCDAC"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51" w:history="1">
            <w:r w:rsidR="00B06D8A" w:rsidRPr="008E4235">
              <w:rPr>
                <w:rStyle w:val="Hyperlink"/>
                <w:noProof/>
              </w:rPr>
              <w:t>8.6.</w:t>
            </w:r>
            <w:r w:rsidR="00B06D8A">
              <w:rPr>
                <w:rFonts w:asciiTheme="minorHAnsi" w:eastAsiaTheme="minorEastAsia" w:hAnsiTheme="minorHAnsi" w:cstheme="minorBidi"/>
                <w:noProof/>
                <w:lang w:eastAsia="en-AU"/>
              </w:rPr>
              <w:tab/>
            </w:r>
            <w:r w:rsidR="00B06D8A" w:rsidRPr="008E4235">
              <w:rPr>
                <w:rStyle w:val="Hyperlink"/>
                <w:noProof/>
              </w:rPr>
              <w:t>Evaluator’s overall conclusions on clinical safety</w:t>
            </w:r>
            <w:r w:rsidR="00B06D8A">
              <w:rPr>
                <w:noProof/>
                <w:webHidden/>
              </w:rPr>
              <w:tab/>
            </w:r>
            <w:r w:rsidR="00B06D8A">
              <w:rPr>
                <w:noProof/>
                <w:webHidden/>
              </w:rPr>
              <w:fldChar w:fldCharType="begin"/>
            </w:r>
            <w:r w:rsidR="00B06D8A">
              <w:rPr>
                <w:noProof/>
                <w:webHidden/>
              </w:rPr>
              <w:instrText xml:space="preserve"> PAGEREF _Toc495583951 \h </w:instrText>
            </w:r>
            <w:r w:rsidR="00B06D8A">
              <w:rPr>
                <w:noProof/>
                <w:webHidden/>
              </w:rPr>
            </w:r>
            <w:r w:rsidR="00B06D8A">
              <w:rPr>
                <w:noProof/>
                <w:webHidden/>
              </w:rPr>
              <w:fldChar w:fldCharType="separate"/>
            </w:r>
            <w:r w:rsidR="00B06D8A">
              <w:rPr>
                <w:noProof/>
                <w:webHidden/>
              </w:rPr>
              <w:t>109</w:t>
            </w:r>
            <w:r w:rsidR="00B06D8A">
              <w:rPr>
                <w:noProof/>
                <w:webHidden/>
              </w:rPr>
              <w:fldChar w:fldCharType="end"/>
            </w:r>
          </w:hyperlink>
        </w:p>
        <w:p w14:paraId="0A022EC2"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52" w:history="1">
            <w:r w:rsidR="00B06D8A" w:rsidRPr="008E4235">
              <w:rPr>
                <w:rStyle w:val="Hyperlink"/>
                <w:noProof/>
              </w:rPr>
              <w:t>9.</w:t>
            </w:r>
            <w:r w:rsidR="00B06D8A">
              <w:rPr>
                <w:rFonts w:asciiTheme="minorHAnsi" w:eastAsiaTheme="minorEastAsia" w:hAnsiTheme="minorHAnsi" w:cstheme="minorBidi"/>
                <w:b w:val="0"/>
                <w:noProof/>
                <w:sz w:val="22"/>
                <w:lang w:eastAsia="en-AU"/>
              </w:rPr>
              <w:tab/>
            </w:r>
            <w:r w:rsidR="00B06D8A" w:rsidRPr="008E4235">
              <w:rPr>
                <w:rStyle w:val="Hyperlink"/>
                <w:noProof/>
              </w:rPr>
              <w:t>First round benefit-risk assessment</w:t>
            </w:r>
            <w:r w:rsidR="00B06D8A">
              <w:rPr>
                <w:noProof/>
                <w:webHidden/>
              </w:rPr>
              <w:tab/>
            </w:r>
            <w:r w:rsidR="00B06D8A">
              <w:rPr>
                <w:noProof/>
                <w:webHidden/>
              </w:rPr>
              <w:fldChar w:fldCharType="begin"/>
            </w:r>
            <w:r w:rsidR="00B06D8A">
              <w:rPr>
                <w:noProof/>
                <w:webHidden/>
              </w:rPr>
              <w:instrText xml:space="preserve"> PAGEREF _Toc495583952 \h </w:instrText>
            </w:r>
            <w:r w:rsidR="00B06D8A">
              <w:rPr>
                <w:noProof/>
                <w:webHidden/>
              </w:rPr>
            </w:r>
            <w:r w:rsidR="00B06D8A">
              <w:rPr>
                <w:noProof/>
                <w:webHidden/>
              </w:rPr>
              <w:fldChar w:fldCharType="separate"/>
            </w:r>
            <w:r w:rsidR="00B06D8A">
              <w:rPr>
                <w:noProof/>
                <w:webHidden/>
              </w:rPr>
              <w:t>111</w:t>
            </w:r>
            <w:r w:rsidR="00B06D8A">
              <w:rPr>
                <w:noProof/>
                <w:webHidden/>
              </w:rPr>
              <w:fldChar w:fldCharType="end"/>
            </w:r>
          </w:hyperlink>
        </w:p>
        <w:p w14:paraId="10C871D7"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53" w:history="1">
            <w:r w:rsidR="00B06D8A" w:rsidRPr="008E4235">
              <w:rPr>
                <w:rStyle w:val="Hyperlink"/>
                <w:noProof/>
              </w:rPr>
              <w:t>9.1.</w:t>
            </w:r>
            <w:r w:rsidR="00B06D8A">
              <w:rPr>
                <w:rFonts w:asciiTheme="minorHAnsi" w:eastAsiaTheme="minorEastAsia" w:hAnsiTheme="minorHAnsi" w:cstheme="minorBidi"/>
                <w:noProof/>
                <w:lang w:eastAsia="en-AU"/>
              </w:rPr>
              <w:tab/>
            </w:r>
            <w:r w:rsidR="00B06D8A" w:rsidRPr="008E4235">
              <w:rPr>
                <w:rStyle w:val="Hyperlink"/>
                <w:noProof/>
              </w:rPr>
              <w:t>First round assessment of benefits</w:t>
            </w:r>
            <w:r w:rsidR="00B06D8A">
              <w:rPr>
                <w:noProof/>
                <w:webHidden/>
              </w:rPr>
              <w:tab/>
            </w:r>
            <w:r w:rsidR="00B06D8A">
              <w:rPr>
                <w:noProof/>
                <w:webHidden/>
              </w:rPr>
              <w:fldChar w:fldCharType="begin"/>
            </w:r>
            <w:r w:rsidR="00B06D8A">
              <w:rPr>
                <w:noProof/>
                <w:webHidden/>
              </w:rPr>
              <w:instrText xml:space="preserve"> PAGEREF _Toc495583953 \h </w:instrText>
            </w:r>
            <w:r w:rsidR="00B06D8A">
              <w:rPr>
                <w:noProof/>
                <w:webHidden/>
              </w:rPr>
            </w:r>
            <w:r w:rsidR="00B06D8A">
              <w:rPr>
                <w:noProof/>
                <w:webHidden/>
              </w:rPr>
              <w:fldChar w:fldCharType="separate"/>
            </w:r>
            <w:r w:rsidR="00B06D8A">
              <w:rPr>
                <w:noProof/>
                <w:webHidden/>
              </w:rPr>
              <w:t>111</w:t>
            </w:r>
            <w:r w:rsidR="00B06D8A">
              <w:rPr>
                <w:noProof/>
                <w:webHidden/>
              </w:rPr>
              <w:fldChar w:fldCharType="end"/>
            </w:r>
          </w:hyperlink>
        </w:p>
        <w:p w14:paraId="74C402C5"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54" w:history="1">
            <w:r w:rsidR="00B06D8A" w:rsidRPr="008E4235">
              <w:rPr>
                <w:rStyle w:val="Hyperlink"/>
                <w:noProof/>
              </w:rPr>
              <w:t>9.2.</w:t>
            </w:r>
            <w:r w:rsidR="00B06D8A">
              <w:rPr>
                <w:rFonts w:asciiTheme="minorHAnsi" w:eastAsiaTheme="minorEastAsia" w:hAnsiTheme="minorHAnsi" w:cstheme="minorBidi"/>
                <w:noProof/>
                <w:lang w:eastAsia="en-AU"/>
              </w:rPr>
              <w:tab/>
            </w:r>
            <w:r w:rsidR="00B06D8A" w:rsidRPr="008E4235">
              <w:rPr>
                <w:rStyle w:val="Hyperlink"/>
                <w:noProof/>
              </w:rPr>
              <w:t>First round assessment of risks</w:t>
            </w:r>
            <w:r w:rsidR="00B06D8A">
              <w:rPr>
                <w:noProof/>
                <w:webHidden/>
              </w:rPr>
              <w:tab/>
            </w:r>
            <w:r w:rsidR="00B06D8A">
              <w:rPr>
                <w:noProof/>
                <w:webHidden/>
              </w:rPr>
              <w:fldChar w:fldCharType="begin"/>
            </w:r>
            <w:r w:rsidR="00B06D8A">
              <w:rPr>
                <w:noProof/>
                <w:webHidden/>
              </w:rPr>
              <w:instrText xml:space="preserve"> PAGEREF _Toc495583954 \h </w:instrText>
            </w:r>
            <w:r w:rsidR="00B06D8A">
              <w:rPr>
                <w:noProof/>
                <w:webHidden/>
              </w:rPr>
            </w:r>
            <w:r w:rsidR="00B06D8A">
              <w:rPr>
                <w:noProof/>
                <w:webHidden/>
              </w:rPr>
              <w:fldChar w:fldCharType="separate"/>
            </w:r>
            <w:r w:rsidR="00B06D8A">
              <w:rPr>
                <w:noProof/>
                <w:webHidden/>
              </w:rPr>
              <w:t>111</w:t>
            </w:r>
            <w:r w:rsidR="00B06D8A">
              <w:rPr>
                <w:noProof/>
                <w:webHidden/>
              </w:rPr>
              <w:fldChar w:fldCharType="end"/>
            </w:r>
          </w:hyperlink>
        </w:p>
        <w:p w14:paraId="1EAB2C37" w14:textId="77777777" w:rsidR="00B06D8A" w:rsidRDefault="00F82740">
          <w:pPr>
            <w:pStyle w:val="TOC3"/>
            <w:tabs>
              <w:tab w:val="left" w:pos="1575"/>
            </w:tabs>
            <w:rPr>
              <w:rFonts w:asciiTheme="minorHAnsi" w:eastAsiaTheme="minorEastAsia" w:hAnsiTheme="minorHAnsi" w:cstheme="minorBidi"/>
              <w:noProof/>
              <w:lang w:eastAsia="en-AU"/>
            </w:rPr>
          </w:pPr>
          <w:hyperlink w:anchor="_Toc495583955" w:history="1">
            <w:r w:rsidR="00B06D8A" w:rsidRPr="008E4235">
              <w:rPr>
                <w:rStyle w:val="Hyperlink"/>
                <w:noProof/>
              </w:rPr>
              <w:t>9.3.</w:t>
            </w:r>
            <w:r w:rsidR="00B06D8A">
              <w:rPr>
                <w:rFonts w:asciiTheme="minorHAnsi" w:eastAsiaTheme="minorEastAsia" w:hAnsiTheme="minorHAnsi" w:cstheme="minorBidi"/>
                <w:noProof/>
                <w:lang w:eastAsia="en-AU"/>
              </w:rPr>
              <w:tab/>
            </w:r>
            <w:r w:rsidR="00B06D8A" w:rsidRPr="008E4235">
              <w:rPr>
                <w:rStyle w:val="Hyperlink"/>
                <w:noProof/>
              </w:rPr>
              <w:t>First round assessment of benefit-risk balance</w:t>
            </w:r>
            <w:r w:rsidR="00B06D8A">
              <w:rPr>
                <w:noProof/>
                <w:webHidden/>
              </w:rPr>
              <w:tab/>
            </w:r>
            <w:r w:rsidR="00B06D8A">
              <w:rPr>
                <w:noProof/>
                <w:webHidden/>
              </w:rPr>
              <w:fldChar w:fldCharType="begin"/>
            </w:r>
            <w:r w:rsidR="00B06D8A">
              <w:rPr>
                <w:noProof/>
                <w:webHidden/>
              </w:rPr>
              <w:instrText xml:space="preserve"> PAGEREF _Toc495583955 \h </w:instrText>
            </w:r>
            <w:r w:rsidR="00B06D8A">
              <w:rPr>
                <w:noProof/>
                <w:webHidden/>
              </w:rPr>
            </w:r>
            <w:r w:rsidR="00B06D8A">
              <w:rPr>
                <w:noProof/>
                <w:webHidden/>
              </w:rPr>
              <w:fldChar w:fldCharType="separate"/>
            </w:r>
            <w:r w:rsidR="00B06D8A">
              <w:rPr>
                <w:noProof/>
                <w:webHidden/>
              </w:rPr>
              <w:t>112</w:t>
            </w:r>
            <w:r w:rsidR="00B06D8A">
              <w:rPr>
                <w:noProof/>
                <w:webHidden/>
              </w:rPr>
              <w:fldChar w:fldCharType="end"/>
            </w:r>
          </w:hyperlink>
        </w:p>
        <w:p w14:paraId="27CBFBFE"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56" w:history="1">
            <w:r w:rsidR="00B06D8A" w:rsidRPr="008E4235">
              <w:rPr>
                <w:rStyle w:val="Hyperlink"/>
                <w:noProof/>
              </w:rPr>
              <w:t>10.</w:t>
            </w:r>
            <w:r w:rsidR="00B06D8A">
              <w:rPr>
                <w:rFonts w:asciiTheme="minorHAnsi" w:eastAsiaTheme="minorEastAsia" w:hAnsiTheme="minorHAnsi" w:cstheme="minorBidi"/>
                <w:b w:val="0"/>
                <w:noProof/>
                <w:sz w:val="22"/>
                <w:lang w:eastAsia="en-AU"/>
              </w:rPr>
              <w:tab/>
            </w:r>
            <w:r w:rsidR="00B06D8A" w:rsidRPr="008E4235">
              <w:rPr>
                <w:rStyle w:val="Hyperlink"/>
                <w:noProof/>
              </w:rPr>
              <w:t>First round recommendation regarding authorisation</w:t>
            </w:r>
            <w:r w:rsidR="00B06D8A">
              <w:rPr>
                <w:noProof/>
                <w:webHidden/>
              </w:rPr>
              <w:tab/>
            </w:r>
            <w:r w:rsidR="00B06D8A">
              <w:rPr>
                <w:noProof/>
                <w:webHidden/>
              </w:rPr>
              <w:fldChar w:fldCharType="begin"/>
            </w:r>
            <w:r w:rsidR="00B06D8A">
              <w:rPr>
                <w:noProof/>
                <w:webHidden/>
              </w:rPr>
              <w:instrText xml:space="preserve"> PAGEREF _Toc495583956 \h </w:instrText>
            </w:r>
            <w:r w:rsidR="00B06D8A">
              <w:rPr>
                <w:noProof/>
                <w:webHidden/>
              </w:rPr>
            </w:r>
            <w:r w:rsidR="00B06D8A">
              <w:rPr>
                <w:noProof/>
                <w:webHidden/>
              </w:rPr>
              <w:fldChar w:fldCharType="separate"/>
            </w:r>
            <w:r w:rsidR="00B06D8A">
              <w:rPr>
                <w:noProof/>
                <w:webHidden/>
              </w:rPr>
              <w:t>113</w:t>
            </w:r>
            <w:r w:rsidR="00B06D8A">
              <w:rPr>
                <w:noProof/>
                <w:webHidden/>
              </w:rPr>
              <w:fldChar w:fldCharType="end"/>
            </w:r>
          </w:hyperlink>
        </w:p>
        <w:p w14:paraId="578F1A16"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57" w:history="1">
            <w:r w:rsidR="00B06D8A" w:rsidRPr="008E4235">
              <w:rPr>
                <w:rStyle w:val="Hyperlink"/>
                <w:noProof/>
              </w:rPr>
              <w:t>11.</w:t>
            </w:r>
            <w:r w:rsidR="00B06D8A">
              <w:rPr>
                <w:rFonts w:asciiTheme="minorHAnsi" w:eastAsiaTheme="minorEastAsia" w:hAnsiTheme="minorHAnsi" w:cstheme="minorBidi"/>
                <w:b w:val="0"/>
                <w:noProof/>
                <w:sz w:val="22"/>
                <w:lang w:eastAsia="en-AU"/>
              </w:rPr>
              <w:tab/>
            </w:r>
            <w:r w:rsidR="00B06D8A" w:rsidRPr="008E4235">
              <w:rPr>
                <w:rStyle w:val="Hyperlink"/>
                <w:noProof/>
              </w:rPr>
              <w:t>Clinical questions</w:t>
            </w:r>
            <w:r w:rsidR="00B06D8A">
              <w:rPr>
                <w:noProof/>
                <w:webHidden/>
              </w:rPr>
              <w:tab/>
            </w:r>
            <w:r w:rsidR="00B06D8A">
              <w:rPr>
                <w:noProof/>
                <w:webHidden/>
              </w:rPr>
              <w:fldChar w:fldCharType="begin"/>
            </w:r>
            <w:r w:rsidR="00B06D8A">
              <w:rPr>
                <w:noProof/>
                <w:webHidden/>
              </w:rPr>
              <w:instrText xml:space="preserve"> PAGEREF _Toc495583957 \h </w:instrText>
            </w:r>
            <w:r w:rsidR="00B06D8A">
              <w:rPr>
                <w:noProof/>
                <w:webHidden/>
              </w:rPr>
            </w:r>
            <w:r w:rsidR="00B06D8A">
              <w:rPr>
                <w:noProof/>
                <w:webHidden/>
              </w:rPr>
              <w:fldChar w:fldCharType="separate"/>
            </w:r>
            <w:r w:rsidR="00B06D8A">
              <w:rPr>
                <w:noProof/>
                <w:webHidden/>
              </w:rPr>
              <w:t>113</w:t>
            </w:r>
            <w:r w:rsidR="00B06D8A">
              <w:rPr>
                <w:noProof/>
                <w:webHidden/>
              </w:rPr>
              <w:fldChar w:fldCharType="end"/>
            </w:r>
          </w:hyperlink>
        </w:p>
        <w:p w14:paraId="27E89D87" w14:textId="77777777" w:rsidR="00B06D8A" w:rsidRDefault="00F82740">
          <w:pPr>
            <w:pStyle w:val="TOC3"/>
            <w:tabs>
              <w:tab w:val="left" w:pos="1697"/>
            </w:tabs>
            <w:rPr>
              <w:rFonts w:asciiTheme="minorHAnsi" w:eastAsiaTheme="minorEastAsia" w:hAnsiTheme="minorHAnsi" w:cstheme="minorBidi"/>
              <w:noProof/>
              <w:lang w:eastAsia="en-AU"/>
            </w:rPr>
          </w:pPr>
          <w:hyperlink w:anchor="_Toc495583958" w:history="1">
            <w:r w:rsidR="00B06D8A" w:rsidRPr="008E4235">
              <w:rPr>
                <w:rStyle w:val="Hyperlink"/>
                <w:noProof/>
              </w:rPr>
              <w:t>11.1.</w:t>
            </w:r>
            <w:r w:rsidR="00B06D8A">
              <w:rPr>
                <w:rFonts w:asciiTheme="minorHAnsi" w:eastAsiaTheme="minorEastAsia" w:hAnsiTheme="minorHAnsi" w:cstheme="minorBidi"/>
                <w:noProof/>
                <w:lang w:eastAsia="en-AU"/>
              </w:rPr>
              <w:tab/>
            </w:r>
            <w:r w:rsidR="00B06D8A" w:rsidRPr="008E4235">
              <w:rPr>
                <w:rStyle w:val="Hyperlink"/>
                <w:noProof/>
              </w:rPr>
              <w:t>Clinical questions</w:t>
            </w:r>
            <w:r w:rsidR="00B06D8A">
              <w:rPr>
                <w:noProof/>
                <w:webHidden/>
              </w:rPr>
              <w:tab/>
            </w:r>
            <w:r w:rsidR="00B06D8A">
              <w:rPr>
                <w:noProof/>
                <w:webHidden/>
              </w:rPr>
              <w:fldChar w:fldCharType="begin"/>
            </w:r>
            <w:r w:rsidR="00B06D8A">
              <w:rPr>
                <w:noProof/>
                <w:webHidden/>
              </w:rPr>
              <w:instrText xml:space="preserve"> PAGEREF _Toc495583958 \h </w:instrText>
            </w:r>
            <w:r w:rsidR="00B06D8A">
              <w:rPr>
                <w:noProof/>
                <w:webHidden/>
              </w:rPr>
            </w:r>
            <w:r w:rsidR="00B06D8A">
              <w:rPr>
                <w:noProof/>
                <w:webHidden/>
              </w:rPr>
              <w:fldChar w:fldCharType="separate"/>
            </w:r>
            <w:r w:rsidR="00B06D8A">
              <w:rPr>
                <w:noProof/>
                <w:webHidden/>
              </w:rPr>
              <w:t>113</w:t>
            </w:r>
            <w:r w:rsidR="00B06D8A">
              <w:rPr>
                <w:noProof/>
                <w:webHidden/>
              </w:rPr>
              <w:fldChar w:fldCharType="end"/>
            </w:r>
          </w:hyperlink>
        </w:p>
        <w:p w14:paraId="21F00E39"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59" w:history="1">
            <w:r w:rsidR="00B06D8A" w:rsidRPr="008E4235">
              <w:rPr>
                <w:rStyle w:val="Hyperlink"/>
                <w:noProof/>
              </w:rPr>
              <w:t>12.</w:t>
            </w:r>
            <w:r w:rsidR="00B06D8A">
              <w:rPr>
                <w:rFonts w:asciiTheme="minorHAnsi" w:eastAsiaTheme="minorEastAsia" w:hAnsiTheme="minorHAnsi" w:cstheme="minorBidi"/>
                <w:b w:val="0"/>
                <w:noProof/>
                <w:sz w:val="22"/>
                <w:lang w:eastAsia="en-AU"/>
              </w:rPr>
              <w:tab/>
            </w:r>
            <w:r w:rsidR="00B06D8A" w:rsidRPr="008E4235">
              <w:rPr>
                <w:rStyle w:val="Hyperlink"/>
                <w:noProof/>
              </w:rPr>
              <w:t>Second round evaluation of clinical data submitted in response to questions</w:t>
            </w:r>
            <w:r w:rsidR="00B06D8A">
              <w:rPr>
                <w:noProof/>
                <w:webHidden/>
              </w:rPr>
              <w:tab/>
            </w:r>
            <w:r w:rsidR="00B06D8A">
              <w:rPr>
                <w:noProof/>
                <w:webHidden/>
              </w:rPr>
              <w:fldChar w:fldCharType="begin"/>
            </w:r>
            <w:r w:rsidR="00B06D8A">
              <w:rPr>
                <w:noProof/>
                <w:webHidden/>
              </w:rPr>
              <w:instrText xml:space="preserve"> PAGEREF _Toc495583959 \h </w:instrText>
            </w:r>
            <w:r w:rsidR="00B06D8A">
              <w:rPr>
                <w:noProof/>
                <w:webHidden/>
              </w:rPr>
            </w:r>
            <w:r w:rsidR="00B06D8A">
              <w:rPr>
                <w:noProof/>
                <w:webHidden/>
              </w:rPr>
              <w:fldChar w:fldCharType="separate"/>
            </w:r>
            <w:r w:rsidR="00B06D8A">
              <w:rPr>
                <w:noProof/>
                <w:webHidden/>
              </w:rPr>
              <w:t>114</w:t>
            </w:r>
            <w:r w:rsidR="00B06D8A">
              <w:rPr>
                <w:noProof/>
                <w:webHidden/>
              </w:rPr>
              <w:fldChar w:fldCharType="end"/>
            </w:r>
          </w:hyperlink>
        </w:p>
        <w:p w14:paraId="115E73CE"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60" w:history="1">
            <w:r w:rsidR="00B06D8A" w:rsidRPr="008E4235">
              <w:rPr>
                <w:rStyle w:val="Hyperlink"/>
                <w:noProof/>
              </w:rPr>
              <w:t>13.</w:t>
            </w:r>
            <w:r w:rsidR="00B06D8A">
              <w:rPr>
                <w:rFonts w:asciiTheme="minorHAnsi" w:eastAsiaTheme="minorEastAsia" w:hAnsiTheme="minorHAnsi" w:cstheme="minorBidi"/>
                <w:b w:val="0"/>
                <w:noProof/>
                <w:sz w:val="22"/>
                <w:lang w:eastAsia="en-AU"/>
              </w:rPr>
              <w:tab/>
            </w:r>
            <w:r w:rsidR="00B06D8A" w:rsidRPr="008E4235">
              <w:rPr>
                <w:rStyle w:val="Hyperlink"/>
                <w:noProof/>
              </w:rPr>
              <w:t>Second round benefit-risk assessment</w:t>
            </w:r>
            <w:r w:rsidR="00B06D8A">
              <w:rPr>
                <w:noProof/>
                <w:webHidden/>
              </w:rPr>
              <w:tab/>
            </w:r>
            <w:r w:rsidR="00B06D8A">
              <w:rPr>
                <w:noProof/>
                <w:webHidden/>
              </w:rPr>
              <w:fldChar w:fldCharType="begin"/>
            </w:r>
            <w:r w:rsidR="00B06D8A">
              <w:rPr>
                <w:noProof/>
                <w:webHidden/>
              </w:rPr>
              <w:instrText xml:space="preserve"> PAGEREF _Toc495583960 \h </w:instrText>
            </w:r>
            <w:r w:rsidR="00B06D8A">
              <w:rPr>
                <w:noProof/>
                <w:webHidden/>
              </w:rPr>
            </w:r>
            <w:r w:rsidR="00B06D8A">
              <w:rPr>
                <w:noProof/>
                <w:webHidden/>
              </w:rPr>
              <w:fldChar w:fldCharType="separate"/>
            </w:r>
            <w:r w:rsidR="00B06D8A">
              <w:rPr>
                <w:noProof/>
                <w:webHidden/>
              </w:rPr>
              <w:t>114</w:t>
            </w:r>
            <w:r w:rsidR="00B06D8A">
              <w:rPr>
                <w:noProof/>
                <w:webHidden/>
              </w:rPr>
              <w:fldChar w:fldCharType="end"/>
            </w:r>
          </w:hyperlink>
        </w:p>
        <w:p w14:paraId="6F8D6A2B" w14:textId="77777777" w:rsidR="00B06D8A" w:rsidRDefault="00F82740">
          <w:pPr>
            <w:pStyle w:val="TOC3"/>
            <w:tabs>
              <w:tab w:val="left" w:pos="1697"/>
            </w:tabs>
            <w:rPr>
              <w:rFonts w:asciiTheme="minorHAnsi" w:eastAsiaTheme="minorEastAsia" w:hAnsiTheme="minorHAnsi" w:cstheme="minorBidi"/>
              <w:noProof/>
              <w:lang w:eastAsia="en-AU"/>
            </w:rPr>
          </w:pPr>
          <w:hyperlink w:anchor="_Toc495583961" w:history="1">
            <w:r w:rsidR="00B06D8A" w:rsidRPr="008E4235">
              <w:rPr>
                <w:rStyle w:val="Hyperlink"/>
                <w:noProof/>
              </w:rPr>
              <w:t>13.1.</w:t>
            </w:r>
            <w:r w:rsidR="00B06D8A">
              <w:rPr>
                <w:rFonts w:asciiTheme="minorHAnsi" w:eastAsiaTheme="minorEastAsia" w:hAnsiTheme="minorHAnsi" w:cstheme="minorBidi"/>
                <w:noProof/>
                <w:lang w:eastAsia="en-AU"/>
              </w:rPr>
              <w:tab/>
            </w:r>
            <w:r w:rsidR="00B06D8A" w:rsidRPr="008E4235">
              <w:rPr>
                <w:rStyle w:val="Hyperlink"/>
                <w:noProof/>
              </w:rPr>
              <w:t>Second round assessment of benefits</w:t>
            </w:r>
            <w:r w:rsidR="00B06D8A">
              <w:rPr>
                <w:noProof/>
                <w:webHidden/>
              </w:rPr>
              <w:tab/>
            </w:r>
            <w:r w:rsidR="00B06D8A">
              <w:rPr>
                <w:noProof/>
                <w:webHidden/>
              </w:rPr>
              <w:fldChar w:fldCharType="begin"/>
            </w:r>
            <w:r w:rsidR="00B06D8A">
              <w:rPr>
                <w:noProof/>
                <w:webHidden/>
              </w:rPr>
              <w:instrText xml:space="preserve"> PAGEREF _Toc495583961 \h </w:instrText>
            </w:r>
            <w:r w:rsidR="00B06D8A">
              <w:rPr>
                <w:noProof/>
                <w:webHidden/>
              </w:rPr>
            </w:r>
            <w:r w:rsidR="00B06D8A">
              <w:rPr>
                <w:noProof/>
                <w:webHidden/>
              </w:rPr>
              <w:fldChar w:fldCharType="separate"/>
            </w:r>
            <w:r w:rsidR="00B06D8A">
              <w:rPr>
                <w:noProof/>
                <w:webHidden/>
              </w:rPr>
              <w:t>114</w:t>
            </w:r>
            <w:r w:rsidR="00B06D8A">
              <w:rPr>
                <w:noProof/>
                <w:webHidden/>
              </w:rPr>
              <w:fldChar w:fldCharType="end"/>
            </w:r>
          </w:hyperlink>
        </w:p>
        <w:p w14:paraId="1F2EE6A3" w14:textId="77777777" w:rsidR="00B06D8A" w:rsidRDefault="00F82740">
          <w:pPr>
            <w:pStyle w:val="TOC3"/>
            <w:tabs>
              <w:tab w:val="left" w:pos="1697"/>
            </w:tabs>
            <w:rPr>
              <w:rFonts w:asciiTheme="minorHAnsi" w:eastAsiaTheme="minorEastAsia" w:hAnsiTheme="minorHAnsi" w:cstheme="minorBidi"/>
              <w:noProof/>
              <w:lang w:eastAsia="en-AU"/>
            </w:rPr>
          </w:pPr>
          <w:hyperlink w:anchor="_Toc495583962" w:history="1">
            <w:r w:rsidR="00B06D8A" w:rsidRPr="008E4235">
              <w:rPr>
                <w:rStyle w:val="Hyperlink"/>
                <w:noProof/>
              </w:rPr>
              <w:t>13.2.</w:t>
            </w:r>
            <w:r w:rsidR="00B06D8A">
              <w:rPr>
                <w:rFonts w:asciiTheme="minorHAnsi" w:eastAsiaTheme="minorEastAsia" w:hAnsiTheme="minorHAnsi" w:cstheme="minorBidi"/>
                <w:noProof/>
                <w:lang w:eastAsia="en-AU"/>
              </w:rPr>
              <w:tab/>
            </w:r>
            <w:r w:rsidR="00B06D8A" w:rsidRPr="008E4235">
              <w:rPr>
                <w:rStyle w:val="Hyperlink"/>
                <w:noProof/>
              </w:rPr>
              <w:t>Second round assessment of risks</w:t>
            </w:r>
            <w:r w:rsidR="00B06D8A">
              <w:rPr>
                <w:noProof/>
                <w:webHidden/>
              </w:rPr>
              <w:tab/>
            </w:r>
            <w:r w:rsidR="00B06D8A">
              <w:rPr>
                <w:noProof/>
                <w:webHidden/>
              </w:rPr>
              <w:fldChar w:fldCharType="begin"/>
            </w:r>
            <w:r w:rsidR="00B06D8A">
              <w:rPr>
                <w:noProof/>
                <w:webHidden/>
              </w:rPr>
              <w:instrText xml:space="preserve"> PAGEREF _Toc495583962 \h </w:instrText>
            </w:r>
            <w:r w:rsidR="00B06D8A">
              <w:rPr>
                <w:noProof/>
                <w:webHidden/>
              </w:rPr>
            </w:r>
            <w:r w:rsidR="00B06D8A">
              <w:rPr>
                <w:noProof/>
                <w:webHidden/>
              </w:rPr>
              <w:fldChar w:fldCharType="separate"/>
            </w:r>
            <w:r w:rsidR="00B06D8A">
              <w:rPr>
                <w:noProof/>
                <w:webHidden/>
              </w:rPr>
              <w:t>115</w:t>
            </w:r>
            <w:r w:rsidR="00B06D8A">
              <w:rPr>
                <w:noProof/>
                <w:webHidden/>
              </w:rPr>
              <w:fldChar w:fldCharType="end"/>
            </w:r>
          </w:hyperlink>
        </w:p>
        <w:p w14:paraId="6552CE29" w14:textId="77777777" w:rsidR="00B06D8A" w:rsidRDefault="00F82740">
          <w:pPr>
            <w:pStyle w:val="TOC3"/>
            <w:tabs>
              <w:tab w:val="left" w:pos="1697"/>
            </w:tabs>
            <w:rPr>
              <w:rFonts w:asciiTheme="minorHAnsi" w:eastAsiaTheme="minorEastAsia" w:hAnsiTheme="minorHAnsi" w:cstheme="minorBidi"/>
              <w:noProof/>
              <w:lang w:eastAsia="en-AU"/>
            </w:rPr>
          </w:pPr>
          <w:hyperlink w:anchor="_Toc495583963" w:history="1">
            <w:r w:rsidR="00B06D8A" w:rsidRPr="008E4235">
              <w:rPr>
                <w:rStyle w:val="Hyperlink"/>
                <w:noProof/>
              </w:rPr>
              <w:t>13.3.</w:t>
            </w:r>
            <w:r w:rsidR="00B06D8A">
              <w:rPr>
                <w:rFonts w:asciiTheme="minorHAnsi" w:eastAsiaTheme="minorEastAsia" w:hAnsiTheme="minorHAnsi" w:cstheme="minorBidi"/>
                <w:noProof/>
                <w:lang w:eastAsia="en-AU"/>
              </w:rPr>
              <w:tab/>
            </w:r>
            <w:r w:rsidR="00B06D8A" w:rsidRPr="008E4235">
              <w:rPr>
                <w:rStyle w:val="Hyperlink"/>
                <w:noProof/>
              </w:rPr>
              <w:t>Second round assessment of benefit-risk balance</w:t>
            </w:r>
            <w:r w:rsidR="00B06D8A">
              <w:rPr>
                <w:noProof/>
                <w:webHidden/>
              </w:rPr>
              <w:tab/>
            </w:r>
            <w:r w:rsidR="00B06D8A">
              <w:rPr>
                <w:noProof/>
                <w:webHidden/>
              </w:rPr>
              <w:fldChar w:fldCharType="begin"/>
            </w:r>
            <w:r w:rsidR="00B06D8A">
              <w:rPr>
                <w:noProof/>
                <w:webHidden/>
              </w:rPr>
              <w:instrText xml:space="preserve"> PAGEREF _Toc495583963 \h </w:instrText>
            </w:r>
            <w:r w:rsidR="00B06D8A">
              <w:rPr>
                <w:noProof/>
                <w:webHidden/>
              </w:rPr>
            </w:r>
            <w:r w:rsidR="00B06D8A">
              <w:rPr>
                <w:noProof/>
                <w:webHidden/>
              </w:rPr>
              <w:fldChar w:fldCharType="separate"/>
            </w:r>
            <w:r w:rsidR="00B06D8A">
              <w:rPr>
                <w:noProof/>
                <w:webHidden/>
              </w:rPr>
              <w:t>115</w:t>
            </w:r>
            <w:r w:rsidR="00B06D8A">
              <w:rPr>
                <w:noProof/>
                <w:webHidden/>
              </w:rPr>
              <w:fldChar w:fldCharType="end"/>
            </w:r>
          </w:hyperlink>
        </w:p>
        <w:p w14:paraId="34BBD7A8" w14:textId="77777777" w:rsidR="00B06D8A" w:rsidRDefault="00F82740">
          <w:pPr>
            <w:pStyle w:val="TOC2"/>
            <w:tabs>
              <w:tab w:val="left" w:pos="1247"/>
            </w:tabs>
            <w:rPr>
              <w:rFonts w:asciiTheme="minorHAnsi" w:eastAsiaTheme="minorEastAsia" w:hAnsiTheme="minorHAnsi" w:cstheme="minorBidi"/>
              <w:b w:val="0"/>
              <w:noProof/>
              <w:sz w:val="22"/>
              <w:lang w:eastAsia="en-AU"/>
            </w:rPr>
          </w:pPr>
          <w:hyperlink w:anchor="_Toc495583964" w:history="1">
            <w:r w:rsidR="00B06D8A" w:rsidRPr="008E4235">
              <w:rPr>
                <w:rStyle w:val="Hyperlink"/>
                <w:noProof/>
              </w:rPr>
              <w:t>14.</w:t>
            </w:r>
            <w:r w:rsidR="00B06D8A">
              <w:rPr>
                <w:rFonts w:asciiTheme="minorHAnsi" w:eastAsiaTheme="minorEastAsia" w:hAnsiTheme="minorHAnsi" w:cstheme="minorBidi"/>
                <w:b w:val="0"/>
                <w:noProof/>
                <w:sz w:val="22"/>
                <w:lang w:eastAsia="en-AU"/>
              </w:rPr>
              <w:tab/>
            </w:r>
            <w:r w:rsidR="00B06D8A" w:rsidRPr="008E4235">
              <w:rPr>
                <w:rStyle w:val="Hyperlink"/>
                <w:noProof/>
              </w:rPr>
              <w:t>Second round recommendation regarding authorisation</w:t>
            </w:r>
            <w:r w:rsidR="00B06D8A">
              <w:rPr>
                <w:noProof/>
                <w:webHidden/>
              </w:rPr>
              <w:tab/>
            </w:r>
            <w:r w:rsidR="00B06D8A">
              <w:rPr>
                <w:noProof/>
                <w:webHidden/>
              </w:rPr>
              <w:fldChar w:fldCharType="begin"/>
            </w:r>
            <w:r w:rsidR="00B06D8A">
              <w:rPr>
                <w:noProof/>
                <w:webHidden/>
              </w:rPr>
              <w:instrText xml:space="preserve"> PAGEREF _Toc495583964 \h </w:instrText>
            </w:r>
            <w:r w:rsidR="00B06D8A">
              <w:rPr>
                <w:noProof/>
                <w:webHidden/>
              </w:rPr>
            </w:r>
            <w:r w:rsidR="00B06D8A">
              <w:rPr>
                <w:noProof/>
                <w:webHidden/>
              </w:rPr>
              <w:fldChar w:fldCharType="separate"/>
            </w:r>
            <w:r w:rsidR="00B06D8A">
              <w:rPr>
                <w:noProof/>
                <w:webHidden/>
              </w:rPr>
              <w:t>115</w:t>
            </w:r>
            <w:r w:rsidR="00B06D8A">
              <w:rPr>
                <w:noProof/>
                <w:webHidden/>
              </w:rPr>
              <w:fldChar w:fldCharType="end"/>
            </w:r>
          </w:hyperlink>
        </w:p>
        <w:p w14:paraId="1313A78A" w14:textId="77777777" w:rsidR="003A7F6C" w:rsidRPr="00B811C6" w:rsidRDefault="004F4AF5" w:rsidP="003A26A8">
          <w:pPr>
            <w:pStyle w:val="TOC2"/>
            <w:ind w:left="0"/>
          </w:pPr>
          <w:r>
            <w:fldChar w:fldCharType="end"/>
          </w:r>
        </w:p>
      </w:sdtContent>
    </w:sdt>
    <w:bookmarkStart w:id="3" w:name="_Toc314842482" w:displacedByCustomXml="prev"/>
    <w:p w14:paraId="740F1705" w14:textId="77777777" w:rsidR="007D66D9" w:rsidRPr="002F28A2" w:rsidRDefault="00586F98" w:rsidP="002F28A2">
      <w:pPr>
        <w:pStyle w:val="Heading2"/>
        <w:pageBreakBefore/>
        <w:numPr>
          <w:ilvl w:val="0"/>
          <w:numId w:val="0"/>
        </w:numPr>
      </w:pPr>
      <w:bookmarkStart w:id="4" w:name="_Toc351716269"/>
      <w:bookmarkStart w:id="5" w:name="_Toc351718881"/>
      <w:bookmarkStart w:id="6" w:name="_Toc355338616"/>
      <w:bookmarkStart w:id="7" w:name="_Toc495583924"/>
      <w:r>
        <w:lastRenderedPageBreak/>
        <w:t>List of abbreviations</w:t>
      </w:r>
      <w:bookmarkEnd w:id="4"/>
      <w:bookmarkEnd w:id="5"/>
      <w:bookmarkEnd w:id="6"/>
      <w:bookmarkEnd w:id="7"/>
    </w:p>
    <w:tbl>
      <w:tblPr>
        <w:tblStyle w:val="TableTGAblue"/>
        <w:tblW w:w="0" w:type="auto"/>
        <w:tblLayout w:type="fixed"/>
        <w:tblLook w:val="04A0" w:firstRow="1" w:lastRow="0" w:firstColumn="1" w:lastColumn="0" w:noHBand="0" w:noVBand="1"/>
      </w:tblPr>
      <w:tblGrid>
        <w:gridCol w:w="2093"/>
        <w:gridCol w:w="7229"/>
      </w:tblGrid>
      <w:tr w:rsidR="007D66D9" w:rsidRPr="007D66D9" w14:paraId="5B58C6B4" w14:textId="77777777" w:rsidTr="00674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1F31C5F" w14:textId="77777777" w:rsidR="007D66D9" w:rsidRPr="007D66D9" w:rsidRDefault="007D66D9" w:rsidP="002F28A2">
            <w:pPr>
              <w:rPr>
                <w:rFonts w:eastAsia="Times New Roman"/>
                <w:kern w:val="16"/>
                <w:szCs w:val="24"/>
              </w:rPr>
            </w:pPr>
            <w:r w:rsidRPr="007D66D9">
              <w:rPr>
                <w:rFonts w:eastAsia="Times New Roman"/>
                <w:kern w:val="16"/>
                <w:szCs w:val="24"/>
              </w:rPr>
              <w:t>Abbreviations</w:t>
            </w:r>
          </w:p>
        </w:tc>
        <w:tc>
          <w:tcPr>
            <w:tcW w:w="7229" w:type="dxa"/>
          </w:tcPr>
          <w:p w14:paraId="66941E3C" w14:textId="77777777" w:rsidR="007D66D9" w:rsidRPr="007D66D9" w:rsidRDefault="007D66D9" w:rsidP="002F28A2">
            <w:pPr>
              <w:cnfStyle w:val="100000000000" w:firstRow="1" w:lastRow="0" w:firstColumn="0" w:lastColumn="0" w:oddVBand="0" w:evenVBand="0" w:oddHBand="0" w:evenHBand="0" w:firstRowFirstColumn="0" w:firstRowLastColumn="0" w:lastRowFirstColumn="0" w:lastRowLastColumn="0"/>
              <w:rPr>
                <w:rFonts w:eastAsia="Times New Roman"/>
                <w:kern w:val="16"/>
                <w:szCs w:val="24"/>
              </w:rPr>
            </w:pPr>
            <w:r w:rsidRPr="007D66D9">
              <w:rPr>
                <w:rFonts w:eastAsia="Times New Roman"/>
                <w:kern w:val="16"/>
                <w:szCs w:val="24"/>
              </w:rPr>
              <w:t>Meani</w:t>
            </w:r>
            <w:r w:rsidR="003673F6">
              <w:rPr>
                <w:rFonts w:eastAsia="Times New Roman"/>
                <w:kern w:val="16"/>
                <w:szCs w:val="24"/>
              </w:rPr>
              <w:t>ng</w:t>
            </w:r>
          </w:p>
        </w:tc>
      </w:tr>
      <w:tr w:rsidR="006745B7" w:rsidRPr="007D66D9" w14:paraId="31EC2CD4"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77CBCF3D" w14:textId="77777777" w:rsidR="006745B7" w:rsidRPr="00F61FA8" w:rsidRDefault="006745B7" w:rsidP="006745B7">
            <w:r w:rsidRPr="00F61FA8">
              <w:t>AE</w:t>
            </w:r>
          </w:p>
        </w:tc>
        <w:tc>
          <w:tcPr>
            <w:tcW w:w="7229" w:type="dxa"/>
          </w:tcPr>
          <w:p w14:paraId="60DA4DEB"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adverse event</w:t>
            </w:r>
          </w:p>
        </w:tc>
      </w:tr>
      <w:tr w:rsidR="006745B7" w:rsidRPr="007D66D9" w14:paraId="1DFE5C56"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4C808F8A" w14:textId="77777777" w:rsidR="006745B7" w:rsidRPr="00F61FA8" w:rsidRDefault="006745B7" w:rsidP="006745B7">
            <w:r w:rsidRPr="00F61FA8">
              <w:t>ADR</w:t>
            </w:r>
          </w:p>
        </w:tc>
        <w:tc>
          <w:tcPr>
            <w:tcW w:w="7229" w:type="dxa"/>
          </w:tcPr>
          <w:p w14:paraId="7B0F88C1"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adverse drug reaction</w:t>
            </w:r>
          </w:p>
        </w:tc>
      </w:tr>
      <w:tr w:rsidR="006745B7" w:rsidRPr="007D66D9" w14:paraId="263982A9"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42290B69" w14:textId="77777777" w:rsidR="006745B7" w:rsidRPr="00F61FA8" w:rsidRDefault="006745B7" w:rsidP="006745B7">
            <w:r w:rsidRPr="00F61FA8">
              <w:t>AIMS</w:t>
            </w:r>
          </w:p>
        </w:tc>
        <w:tc>
          <w:tcPr>
            <w:tcW w:w="7229" w:type="dxa"/>
          </w:tcPr>
          <w:p w14:paraId="3BA78F84"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Abnormal Involuntary Movement Scale</w:t>
            </w:r>
          </w:p>
        </w:tc>
      </w:tr>
      <w:tr w:rsidR="006745B7" w:rsidRPr="007D66D9" w14:paraId="1AB8EA80"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075660B8" w14:textId="77777777" w:rsidR="006745B7" w:rsidRPr="00F61FA8" w:rsidRDefault="006745B7" w:rsidP="006745B7">
            <w:r w:rsidRPr="00F61FA8">
              <w:t>AUC</w:t>
            </w:r>
          </w:p>
        </w:tc>
        <w:tc>
          <w:tcPr>
            <w:tcW w:w="7229" w:type="dxa"/>
          </w:tcPr>
          <w:p w14:paraId="17C925B9"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area under the curve</w:t>
            </w:r>
          </w:p>
        </w:tc>
      </w:tr>
      <w:tr w:rsidR="006745B7" w:rsidRPr="007D66D9" w14:paraId="6830DAB0"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4308DE22" w14:textId="77777777" w:rsidR="006745B7" w:rsidRPr="00F61FA8" w:rsidRDefault="006745B7" w:rsidP="006745B7">
            <w:r w:rsidRPr="00F61FA8">
              <w:t>BARS</w:t>
            </w:r>
          </w:p>
        </w:tc>
        <w:tc>
          <w:tcPr>
            <w:tcW w:w="7229" w:type="dxa"/>
          </w:tcPr>
          <w:p w14:paraId="463E8994"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Barnes akathisia rating scale</w:t>
            </w:r>
          </w:p>
        </w:tc>
      </w:tr>
      <w:tr w:rsidR="006745B7" w:rsidRPr="007D66D9" w14:paraId="52C638BF"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35428FAB" w14:textId="77777777" w:rsidR="006745B7" w:rsidRPr="00F61FA8" w:rsidRDefault="006745B7" w:rsidP="006745B7">
            <w:r w:rsidRPr="00F61FA8">
              <w:t>BMI</w:t>
            </w:r>
          </w:p>
        </w:tc>
        <w:tc>
          <w:tcPr>
            <w:tcW w:w="7229" w:type="dxa"/>
          </w:tcPr>
          <w:p w14:paraId="558E6504"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body mass index</w:t>
            </w:r>
          </w:p>
        </w:tc>
      </w:tr>
      <w:tr w:rsidR="006745B7" w:rsidRPr="007D66D9" w14:paraId="3299106C"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197BDF9D" w14:textId="77777777" w:rsidR="006745B7" w:rsidRPr="00F61FA8" w:rsidRDefault="006745B7" w:rsidP="006745B7">
            <w:proofErr w:type="spellStart"/>
            <w:r w:rsidRPr="00F61FA8">
              <w:t>C</w:t>
            </w:r>
            <w:r w:rsidRPr="00F61FA8">
              <w:rPr>
                <w:vertAlign w:val="subscript"/>
              </w:rPr>
              <w:t>max</w:t>
            </w:r>
            <w:proofErr w:type="spellEnd"/>
          </w:p>
        </w:tc>
        <w:tc>
          <w:tcPr>
            <w:tcW w:w="7229" w:type="dxa"/>
          </w:tcPr>
          <w:p w14:paraId="403E56E9"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Maximum plasma concentration</w:t>
            </w:r>
          </w:p>
        </w:tc>
      </w:tr>
      <w:tr w:rsidR="006745B7" w:rsidRPr="007D66D9" w14:paraId="1EC16DBD"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3517C8AA" w14:textId="77777777" w:rsidR="006745B7" w:rsidRPr="00F61FA8" w:rsidRDefault="006745B7" w:rsidP="006745B7">
            <w:r w:rsidRPr="00F61FA8">
              <w:t>C-SSRS</w:t>
            </w:r>
          </w:p>
        </w:tc>
        <w:tc>
          <w:tcPr>
            <w:tcW w:w="7229" w:type="dxa"/>
          </w:tcPr>
          <w:p w14:paraId="6C79FBE5"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Columbia-suicide severity rating scale</w:t>
            </w:r>
          </w:p>
        </w:tc>
      </w:tr>
      <w:tr w:rsidR="006745B7" w:rsidRPr="007D66D9" w14:paraId="52D57704"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7D9BB4B6" w14:textId="77777777" w:rsidR="006745B7" w:rsidRPr="00F61FA8" w:rsidRDefault="006745B7" w:rsidP="006745B7">
            <w:r w:rsidRPr="00F61FA8">
              <w:t>CGI-S</w:t>
            </w:r>
          </w:p>
        </w:tc>
        <w:tc>
          <w:tcPr>
            <w:tcW w:w="7229" w:type="dxa"/>
          </w:tcPr>
          <w:p w14:paraId="5970AE24" w14:textId="77777777" w:rsidR="006745B7" w:rsidRPr="00F61FA8" w:rsidRDefault="00FB0FC4" w:rsidP="006745B7">
            <w:pPr>
              <w:cnfStyle w:val="000000000000" w:firstRow="0" w:lastRow="0" w:firstColumn="0" w:lastColumn="0" w:oddVBand="0" w:evenVBand="0" w:oddHBand="0" w:evenHBand="0" w:firstRowFirstColumn="0" w:firstRowLastColumn="0" w:lastRowFirstColumn="0" w:lastRowLastColumn="0"/>
            </w:pPr>
            <w:r>
              <w:t>clinical global impression-</w:t>
            </w:r>
            <w:r w:rsidR="006745B7" w:rsidRPr="00F61FA8">
              <w:t>severity</w:t>
            </w:r>
          </w:p>
        </w:tc>
      </w:tr>
      <w:tr w:rsidR="006745B7" w:rsidRPr="007D66D9" w14:paraId="75B9E1DD"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6243A96C" w14:textId="77777777" w:rsidR="006745B7" w:rsidRPr="00F61FA8" w:rsidRDefault="006745B7" w:rsidP="006745B7">
            <w:r w:rsidRPr="00F61FA8">
              <w:t>CIOMS</w:t>
            </w:r>
          </w:p>
        </w:tc>
        <w:tc>
          <w:tcPr>
            <w:tcW w:w="7229" w:type="dxa"/>
          </w:tcPr>
          <w:p w14:paraId="58C76D53"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Council for International Organizations of Medical Sciences</w:t>
            </w:r>
          </w:p>
        </w:tc>
      </w:tr>
      <w:tr w:rsidR="006745B7" w:rsidRPr="007D66D9" w14:paraId="2A094778"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771ADDE2" w14:textId="77777777" w:rsidR="006745B7" w:rsidRPr="00F61FA8" w:rsidRDefault="006745B7" w:rsidP="006745B7">
            <w:r w:rsidRPr="00F61FA8">
              <w:t>CPK</w:t>
            </w:r>
          </w:p>
        </w:tc>
        <w:tc>
          <w:tcPr>
            <w:tcW w:w="7229" w:type="dxa"/>
          </w:tcPr>
          <w:p w14:paraId="5CBF1804"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proofErr w:type="spellStart"/>
            <w:r w:rsidRPr="00F61FA8">
              <w:t>creatine</w:t>
            </w:r>
            <w:proofErr w:type="spellEnd"/>
            <w:r w:rsidRPr="00F61FA8">
              <w:t xml:space="preserve"> phosphokinase</w:t>
            </w:r>
          </w:p>
        </w:tc>
      </w:tr>
      <w:tr w:rsidR="006745B7" w:rsidRPr="007D66D9" w14:paraId="5D14784E"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41077D4B" w14:textId="77777777" w:rsidR="006745B7" w:rsidRPr="00F61FA8" w:rsidRDefault="006745B7" w:rsidP="006745B7">
            <w:r w:rsidRPr="00F61FA8">
              <w:t>CSR</w:t>
            </w:r>
          </w:p>
        </w:tc>
        <w:tc>
          <w:tcPr>
            <w:tcW w:w="7229" w:type="dxa"/>
          </w:tcPr>
          <w:p w14:paraId="575E70A6"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clinical study report</w:t>
            </w:r>
          </w:p>
        </w:tc>
      </w:tr>
      <w:tr w:rsidR="006745B7" w:rsidRPr="007D66D9" w14:paraId="42566CCC"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755826AB" w14:textId="77777777" w:rsidR="006745B7" w:rsidRPr="00F61FA8" w:rsidRDefault="006745B7" w:rsidP="006745B7">
            <w:r w:rsidRPr="00F61FA8">
              <w:t>CYP</w:t>
            </w:r>
          </w:p>
        </w:tc>
        <w:tc>
          <w:tcPr>
            <w:tcW w:w="7229" w:type="dxa"/>
          </w:tcPr>
          <w:p w14:paraId="51D06242"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cytochrome P450</w:t>
            </w:r>
          </w:p>
        </w:tc>
      </w:tr>
      <w:tr w:rsidR="006745B7" w:rsidRPr="007D66D9" w14:paraId="5F32F375"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08989A64" w14:textId="77777777" w:rsidR="006745B7" w:rsidRPr="00F61FA8" w:rsidRDefault="006745B7" w:rsidP="006745B7">
            <w:r w:rsidRPr="00F61FA8">
              <w:t>DB</w:t>
            </w:r>
          </w:p>
        </w:tc>
        <w:tc>
          <w:tcPr>
            <w:tcW w:w="7229" w:type="dxa"/>
          </w:tcPr>
          <w:p w14:paraId="61679E5B"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double blind</w:t>
            </w:r>
          </w:p>
        </w:tc>
      </w:tr>
      <w:tr w:rsidR="006745B7" w:rsidRPr="007D66D9" w14:paraId="17E296E8"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40B2A6A5" w14:textId="77777777" w:rsidR="006745B7" w:rsidRPr="00F61FA8" w:rsidRDefault="006745B7" w:rsidP="006745B7">
            <w:r w:rsidRPr="00F61FA8">
              <w:t>DBP</w:t>
            </w:r>
          </w:p>
        </w:tc>
        <w:tc>
          <w:tcPr>
            <w:tcW w:w="7229" w:type="dxa"/>
          </w:tcPr>
          <w:p w14:paraId="20AFEB4C"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diastolic blood pressure</w:t>
            </w:r>
          </w:p>
        </w:tc>
      </w:tr>
      <w:tr w:rsidR="006745B7" w:rsidRPr="007D66D9" w14:paraId="3A8DF2D8"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6AC40304" w14:textId="77777777" w:rsidR="006745B7" w:rsidRPr="00F61FA8" w:rsidRDefault="006745B7" w:rsidP="006745B7">
            <w:r w:rsidRPr="00F61FA8">
              <w:t>DSM-IV-TR</w:t>
            </w:r>
          </w:p>
        </w:tc>
        <w:tc>
          <w:tcPr>
            <w:tcW w:w="7229" w:type="dxa"/>
          </w:tcPr>
          <w:p w14:paraId="7CB4AE41"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Diagnostic and Statistical Manual of Mental Disorders, Fourth Edition, Text revision</w:t>
            </w:r>
          </w:p>
        </w:tc>
      </w:tr>
      <w:tr w:rsidR="006745B7" w:rsidRPr="007D66D9" w14:paraId="545E07FA"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72AA0C6D" w14:textId="77777777" w:rsidR="006745B7" w:rsidRPr="00F61FA8" w:rsidRDefault="006745B7" w:rsidP="006745B7">
            <w:r w:rsidRPr="00F61FA8">
              <w:t>ECG</w:t>
            </w:r>
          </w:p>
        </w:tc>
        <w:tc>
          <w:tcPr>
            <w:tcW w:w="7229" w:type="dxa"/>
          </w:tcPr>
          <w:p w14:paraId="00ABA823"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electrocardiogram</w:t>
            </w:r>
          </w:p>
        </w:tc>
      </w:tr>
      <w:tr w:rsidR="006745B7" w:rsidRPr="007D66D9" w14:paraId="4A6DD814"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3664E3AE" w14:textId="77777777" w:rsidR="006745B7" w:rsidRPr="00F61FA8" w:rsidRDefault="006745B7" w:rsidP="006745B7">
            <w:r w:rsidRPr="00F61FA8">
              <w:t>EOS</w:t>
            </w:r>
          </w:p>
        </w:tc>
        <w:tc>
          <w:tcPr>
            <w:tcW w:w="7229" w:type="dxa"/>
          </w:tcPr>
          <w:p w14:paraId="577F51B1"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end of study</w:t>
            </w:r>
          </w:p>
        </w:tc>
      </w:tr>
      <w:tr w:rsidR="006745B7" w:rsidRPr="007D66D9" w14:paraId="38C81AFC"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73075CDE" w14:textId="77777777" w:rsidR="006745B7" w:rsidRPr="00F61FA8" w:rsidRDefault="006745B7" w:rsidP="006745B7">
            <w:r w:rsidRPr="00F61FA8">
              <w:t>EPS</w:t>
            </w:r>
          </w:p>
        </w:tc>
        <w:tc>
          <w:tcPr>
            <w:tcW w:w="7229" w:type="dxa"/>
          </w:tcPr>
          <w:p w14:paraId="7C82962C"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extrapyramidal symptom(s)</w:t>
            </w:r>
          </w:p>
        </w:tc>
      </w:tr>
      <w:tr w:rsidR="006745B7" w:rsidRPr="007D66D9" w14:paraId="0E55A18F"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6FBFF8E8" w14:textId="77777777" w:rsidR="006745B7" w:rsidRPr="00F61FA8" w:rsidRDefault="006745B7" w:rsidP="006745B7">
            <w:r w:rsidRPr="00F61FA8">
              <w:t>ER</w:t>
            </w:r>
          </w:p>
        </w:tc>
        <w:tc>
          <w:tcPr>
            <w:tcW w:w="7229" w:type="dxa"/>
          </w:tcPr>
          <w:p w14:paraId="32BCC170"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extended-release</w:t>
            </w:r>
          </w:p>
        </w:tc>
      </w:tr>
      <w:tr w:rsidR="006745B7" w:rsidRPr="007D66D9" w14:paraId="24832022"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0623A373" w14:textId="77777777" w:rsidR="006745B7" w:rsidRPr="00F61FA8" w:rsidRDefault="006745B7" w:rsidP="006745B7">
            <w:r w:rsidRPr="00F61FA8">
              <w:t>EU</w:t>
            </w:r>
          </w:p>
        </w:tc>
        <w:tc>
          <w:tcPr>
            <w:tcW w:w="7229" w:type="dxa"/>
          </w:tcPr>
          <w:p w14:paraId="2042249B"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European Union</w:t>
            </w:r>
          </w:p>
        </w:tc>
      </w:tr>
      <w:tr w:rsidR="006745B7" w:rsidRPr="007D66D9" w14:paraId="02872EA7"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55747950" w14:textId="77777777" w:rsidR="006745B7" w:rsidRPr="00F61FA8" w:rsidRDefault="006745B7" w:rsidP="006745B7">
            <w:r w:rsidRPr="00F61FA8">
              <w:t>HDL</w:t>
            </w:r>
          </w:p>
        </w:tc>
        <w:tc>
          <w:tcPr>
            <w:tcW w:w="7229" w:type="dxa"/>
          </w:tcPr>
          <w:p w14:paraId="705EDE68"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high-density lipoprotein</w:t>
            </w:r>
          </w:p>
        </w:tc>
      </w:tr>
      <w:tr w:rsidR="006745B7" w:rsidRPr="007D66D9" w14:paraId="6D990452"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17155B51" w14:textId="77777777" w:rsidR="006745B7" w:rsidRPr="00F61FA8" w:rsidRDefault="006745B7" w:rsidP="006745B7">
            <w:r w:rsidRPr="00F61FA8">
              <w:t>HOMA</w:t>
            </w:r>
          </w:p>
        </w:tc>
        <w:tc>
          <w:tcPr>
            <w:tcW w:w="7229" w:type="dxa"/>
          </w:tcPr>
          <w:p w14:paraId="295CF112"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homeostatic model assessment</w:t>
            </w:r>
          </w:p>
        </w:tc>
      </w:tr>
      <w:tr w:rsidR="006745B7" w:rsidRPr="007D66D9" w14:paraId="6E305963"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2247B441" w14:textId="77777777" w:rsidR="006745B7" w:rsidRPr="00F61FA8" w:rsidRDefault="006745B7" w:rsidP="006745B7">
            <w:r w:rsidRPr="00F61FA8">
              <w:lastRenderedPageBreak/>
              <w:t>HOMA-IR</w:t>
            </w:r>
          </w:p>
        </w:tc>
        <w:tc>
          <w:tcPr>
            <w:tcW w:w="7229" w:type="dxa"/>
          </w:tcPr>
          <w:p w14:paraId="33DADBD5"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normalized measure of insulin resistance</w:t>
            </w:r>
          </w:p>
        </w:tc>
      </w:tr>
      <w:tr w:rsidR="006745B7" w:rsidRPr="007D66D9" w14:paraId="2CA71E8F"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4FE21117" w14:textId="77777777" w:rsidR="006745B7" w:rsidRPr="00F61FA8" w:rsidRDefault="006745B7" w:rsidP="006745B7">
            <w:r w:rsidRPr="00F61FA8">
              <w:t>HOMA-%B</w:t>
            </w:r>
          </w:p>
        </w:tc>
        <w:tc>
          <w:tcPr>
            <w:tcW w:w="7229" w:type="dxa"/>
          </w:tcPr>
          <w:p w14:paraId="2EB68F60"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normalized measure of beta-cell function</w:t>
            </w:r>
          </w:p>
        </w:tc>
      </w:tr>
      <w:tr w:rsidR="006745B7" w:rsidRPr="007D66D9" w14:paraId="474963BE"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224C0EC5" w14:textId="77777777" w:rsidR="006745B7" w:rsidRPr="00F61FA8" w:rsidRDefault="006745B7" w:rsidP="006745B7">
            <w:r w:rsidRPr="00F61FA8">
              <w:t>IDMC</w:t>
            </w:r>
          </w:p>
        </w:tc>
        <w:tc>
          <w:tcPr>
            <w:tcW w:w="7229" w:type="dxa"/>
          </w:tcPr>
          <w:p w14:paraId="5ADF6598"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Independent Data Monitoring Committee</w:t>
            </w:r>
          </w:p>
        </w:tc>
      </w:tr>
      <w:tr w:rsidR="006745B7" w:rsidRPr="007D66D9" w14:paraId="636E7DBF"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65843C99" w14:textId="77777777" w:rsidR="006745B7" w:rsidRPr="00F61FA8" w:rsidRDefault="006745B7" w:rsidP="006745B7">
            <w:r w:rsidRPr="00F61FA8">
              <w:t>IR</w:t>
            </w:r>
          </w:p>
        </w:tc>
        <w:tc>
          <w:tcPr>
            <w:tcW w:w="7229" w:type="dxa"/>
          </w:tcPr>
          <w:p w14:paraId="1D15ABDA"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immediate-release</w:t>
            </w:r>
          </w:p>
        </w:tc>
      </w:tr>
      <w:tr w:rsidR="006745B7" w:rsidRPr="007D66D9" w14:paraId="4194602A"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20DAE107" w14:textId="77777777" w:rsidR="006745B7" w:rsidRPr="00F61FA8" w:rsidRDefault="006745B7" w:rsidP="006745B7">
            <w:r w:rsidRPr="00F61FA8">
              <w:t>ITT</w:t>
            </w:r>
          </w:p>
        </w:tc>
        <w:tc>
          <w:tcPr>
            <w:tcW w:w="7229" w:type="dxa"/>
          </w:tcPr>
          <w:p w14:paraId="07F79ED1"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intent-to-treat</w:t>
            </w:r>
          </w:p>
        </w:tc>
      </w:tr>
      <w:tr w:rsidR="006745B7" w:rsidRPr="007D66D9" w14:paraId="7D29CE45"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7439F37C" w14:textId="77777777" w:rsidR="006745B7" w:rsidRPr="00F61FA8" w:rsidRDefault="006745B7" w:rsidP="006745B7">
            <w:r w:rsidRPr="00F61FA8">
              <w:t>LAI</w:t>
            </w:r>
          </w:p>
        </w:tc>
        <w:tc>
          <w:tcPr>
            <w:tcW w:w="7229" w:type="dxa"/>
          </w:tcPr>
          <w:p w14:paraId="6E3EE025"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long-acting injectable</w:t>
            </w:r>
          </w:p>
        </w:tc>
      </w:tr>
      <w:tr w:rsidR="006745B7" w:rsidRPr="007D66D9" w14:paraId="5E853819"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47DB1D62" w14:textId="77777777" w:rsidR="006745B7" w:rsidRPr="00F61FA8" w:rsidRDefault="006745B7" w:rsidP="006745B7">
            <w:r w:rsidRPr="00F61FA8">
              <w:t>LDL</w:t>
            </w:r>
          </w:p>
        </w:tc>
        <w:tc>
          <w:tcPr>
            <w:tcW w:w="7229" w:type="dxa"/>
          </w:tcPr>
          <w:p w14:paraId="3C031D3B"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low-density lipoprotein</w:t>
            </w:r>
          </w:p>
        </w:tc>
      </w:tr>
      <w:tr w:rsidR="006745B7" w:rsidRPr="007D66D9" w14:paraId="345AF917"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37C604DA" w14:textId="77777777" w:rsidR="006745B7" w:rsidRPr="00F61FA8" w:rsidRDefault="006745B7" w:rsidP="006745B7">
            <w:r w:rsidRPr="00F61FA8">
              <w:t>MA</w:t>
            </w:r>
          </w:p>
        </w:tc>
        <w:tc>
          <w:tcPr>
            <w:tcW w:w="7229" w:type="dxa"/>
          </w:tcPr>
          <w:p w14:paraId="42B4FD01"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maintenance</w:t>
            </w:r>
          </w:p>
        </w:tc>
      </w:tr>
      <w:tr w:rsidR="006745B7" w:rsidRPr="007D66D9" w14:paraId="4332D49A"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2112A626" w14:textId="77777777" w:rsidR="006745B7" w:rsidRPr="00F61FA8" w:rsidRDefault="006745B7" w:rsidP="006745B7">
            <w:proofErr w:type="spellStart"/>
            <w:r>
              <w:t>MedDRA</w:t>
            </w:r>
            <w:proofErr w:type="spellEnd"/>
          </w:p>
        </w:tc>
        <w:tc>
          <w:tcPr>
            <w:tcW w:w="7229" w:type="dxa"/>
          </w:tcPr>
          <w:p w14:paraId="637CBB85"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Medical Dictionary for Regulatory Activities</w:t>
            </w:r>
          </w:p>
        </w:tc>
      </w:tr>
      <w:tr w:rsidR="006745B7" w:rsidRPr="007D66D9" w14:paraId="2B612F12"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1012F862" w14:textId="77777777" w:rsidR="006745B7" w:rsidRPr="00F61FA8" w:rsidRDefault="006745B7" w:rsidP="006745B7">
            <w:r w:rsidRPr="00F61FA8">
              <w:t>mg eq.</w:t>
            </w:r>
          </w:p>
        </w:tc>
        <w:tc>
          <w:tcPr>
            <w:tcW w:w="7229" w:type="dxa"/>
          </w:tcPr>
          <w:p w14:paraId="42CF7250"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milligram equivalents</w:t>
            </w:r>
          </w:p>
        </w:tc>
      </w:tr>
      <w:tr w:rsidR="006745B7" w:rsidRPr="007D66D9" w14:paraId="6B3A67DA"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4A578E5E" w14:textId="77777777" w:rsidR="006745B7" w:rsidRPr="00F61FA8" w:rsidRDefault="006745B7" w:rsidP="006745B7">
            <w:proofErr w:type="spellStart"/>
            <w:r w:rsidRPr="00F61FA8">
              <w:t>mITT</w:t>
            </w:r>
            <w:proofErr w:type="spellEnd"/>
          </w:p>
        </w:tc>
        <w:tc>
          <w:tcPr>
            <w:tcW w:w="7229" w:type="dxa"/>
          </w:tcPr>
          <w:p w14:paraId="1BFD9B45"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Modified intent-to-treat</w:t>
            </w:r>
          </w:p>
        </w:tc>
      </w:tr>
      <w:tr w:rsidR="006745B7" w:rsidRPr="007D66D9" w14:paraId="4BC949EA"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3AAF0278" w14:textId="77777777" w:rsidR="006745B7" w:rsidRPr="00F61FA8" w:rsidRDefault="006745B7" w:rsidP="006745B7">
            <w:r w:rsidRPr="00F61FA8">
              <w:t>NMS</w:t>
            </w:r>
          </w:p>
        </w:tc>
        <w:tc>
          <w:tcPr>
            <w:tcW w:w="7229" w:type="dxa"/>
          </w:tcPr>
          <w:p w14:paraId="66FE7B33"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neuroleptic malignant syndrome</w:t>
            </w:r>
          </w:p>
        </w:tc>
      </w:tr>
      <w:tr w:rsidR="006745B7" w:rsidRPr="007D66D9" w14:paraId="3199EBB1"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04256F8D" w14:textId="77777777" w:rsidR="006745B7" w:rsidRPr="00F61FA8" w:rsidRDefault="006745B7" w:rsidP="006745B7">
            <w:r>
              <w:t>OL</w:t>
            </w:r>
          </w:p>
        </w:tc>
        <w:tc>
          <w:tcPr>
            <w:tcW w:w="7229" w:type="dxa"/>
          </w:tcPr>
          <w:p w14:paraId="2B352A06"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open-label</w:t>
            </w:r>
          </w:p>
        </w:tc>
      </w:tr>
      <w:tr w:rsidR="006745B7" w:rsidRPr="007D66D9" w14:paraId="2F0CD15A"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78F3B206" w14:textId="77777777" w:rsidR="006745B7" w:rsidRPr="00F61FA8" w:rsidRDefault="006745B7" w:rsidP="006745B7">
            <w:r w:rsidRPr="00F61FA8">
              <w:t>P-</w:t>
            </w:r>
            <w:proofErr w:type="spellStart"/>
            <w:r w:rsidRPr="00F61FA8">
              <w:t>gp</w:t>
            </w:r>
            <w:proofErr w:type="spellEnd"/>
          </w:p>
        </w:tc>
        <w:tc>
          <w:tcPr>
            <w:tcW w:w="7229" w:type="dxa"/>
          </w:tcPr>
          <w:p w14:paraId="38019062"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P-glycoprotein</w:t>
            </w:r>
          </w:p>
        </w:tc>
      </w:tr>
      <w:tr w:rsidR="006745B7" w:rsidRPr="007D66D9" w14:paraId="6B3EECE8"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19C823B1" w14:textId="77777777" w:rsidR="006745B7" w:rsidRPr="00F61FA8" w:rsidRDefault="006745B7" w:rsidP="006745B7">
            <w:r w:rsidRPr="00F61FA8">
              <w:t>PANSS</w:t>
            </w:r>
          </w:p>
        </w:tc>
        <w:tc>
          <w:tcPr>
            <w:tcW w:w="7229" w:type="dxa"/>
          </w:tcPr>
          <w:p w14:paraId="2E0E0768"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positive and negative syndrome scale</w:t>
            </w:r>
          </w:p>
        </w:tc>
      </w:tr>
      <w:tr w:rsidR="006745B7" w:rsidRPr="007D66D9" w14:paraId="4BB6E378"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68136F19" w14:textId="77777777" w:rsidR="006745B7" w:rsidRPr="00F61FA8" w:rsidRDefault="006745B7" w:rsidP="006745B7">
            <w:r w:rsidRPr="00F61FA8">
              <w:t>PK</w:t>
            </w:r>
          </w:p>
        </w:tc>
        <w:tc>
          <w:tcPr>
            <w:tcW w:w="7229" w:type="dxa"/>
          </w:tcPr>
          <w:p w14:paraId="4C9A04CC"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pharmacokinetic(s)</w:t>
            </w:r>
          </w:p>
        </w:tc>
      </w:tr>
      <w:tr w:rsidR="006745B7" w:rsidRPr="007D66D9" w14:paraId="44012CE0"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424158DF" w14:textId="77777777" w:rsidR="006745B7" w:rsidRPr="00F61FA8" w:rsidRDefault="006745B7" w:rsidP="006745B7">
            <w:r w:rsidRPr="00F61FA8">
              <w:t>PP1M</w:t>
            </w:r>
          </w:p>
        </w:tc>
        <w:tc>
          <w:tcPr>
            <w:tcW w:w="7229" w:type="dxa"/>
          </w:tcPr>
          <w:p w14:paraId="5FFB3A87"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paliperidone palmitate 1-month formulation</w:t>
            </w:r>
          </w:p>
        </w:tc>
      </w:tr>
      <w:tr w:rsidR="006745B7" w:rsidRPr="007D66D9" w14:paraId="3CB29E50"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7C23736D" w14:textId="77777777" w:rsidR="006745B7" w:rsidRPr="00F61FA8" w:rsidRDefault="006745B7" w:rsidP="006745B7">
            <w:r w:rsidRPr="00F61FA8">
              <w:t>PP3M</w:t>
            </w:r>
          </w:p>
        </w:tc>
        <w:tc>
          <w:tcPr>
            <w:tcW w:w="7229" w:type="dxa"/>
          </w:tcPr>
          <w:p w14:paraId="77100592"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paliperidone palmitate 3-month formulation</w:t>
            </w:r>
          </w:p>
        </w:tc>
      </w:tr>
      <w:tr w:rsidR="006745B7" w:rsidRPr="007D66D9" w14:paraId="73003AC3"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2B7028AC" w14:textId="77777777" w:rsidR="006745B7" w:rsidRPr="00F61FA8" w:rsidRDefault="006745B7" w:rsidP="006745B7">
            <w:proofErr w:type="spellStart"/>
            <w:r w:rsidRPr="00F61FA8">
              <w:t>QTcLD</w:t>
            </w:r>
            <w:proofErr w:type="spellEnd"/>
          </w:p>
        </w:tc>
        <w:tc>
          <w:tcPr>
            <w:tcW w:w="7229" w:type="dxa"/>
          </w:tcPr>
          <w:p w14:paraId="08D51E83"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linear derived method for calculation of heart rate-corrected QT interval</w:t>
            </w:r>
          </w:p>
        </w:tc>
      </w:tr>
      <w:tr w:rsidR="006745B7" w:rsidRPr="007D66D9" w14:paraId="312B29F0"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6ADB4D5D" w14:textId="77777777" w:rsidR="006745B7" w:rsidRPr="00F61FA8" w:rsidRDefault="006745B7" w:rsidP="006745B7">
            <w:r w:rsidRPr="00F61FA8">
              <w:t>QTcB</w:t>
            </w:r>
          </w:p>
        </w:tc>
        <w:tc>
          <w:tcPr>
            <w:tcW w:w="7229" w:type="dxa"/>
          </w:tcPr>
          <w:p w14:paraId="7A33D2CE"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proofErr w:type="spellStart"/>
            <w:r w:rsidRPr="00F61FA8">
              <w:t>Bazett</w:t>
            </w:r>
            <w:proofErr w:type="spellEnd"/>
            <w:r w:rsidRPr="00F61FA8">
              <w:t xml:space="preserve"> method for calculation of corrected QT interval</w:t>
            </w:r>
          </w:p>
        </w:tc>
      </w:tr>
      <w:tr w:rsidR="006745B7" w:rsidRPr="007D66D9" w14:paraId="652D051E"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5FF4B4D3" w14:textId="77777777" w:rsidR="006745B7" w:rsidRPr="00F61FA8" w:rsidRDefault="006745B7" w:rsidP="006745B7">
            <w:proofErr w:type="spellStart"/>
            <w:r w:rsidRPr="00F61FA8">
              <w:t>QTcF</w:t>
            </w:r>
            <w:proofErr w:type="spellEnd"/>
          </w:p>
        </w:tc>
        <w:tc>
          <w:tcPr>
            <w:tcW w:w="7229" w:type="dxa"/>
          </w:tcPr>
          <w:p w14:paraId="49C9FE49"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proofErr w:type="spellStart"/>
            <w:r w:rsidRPr="00F61FA8">
              <w:t>Fridericia</w:t>
            </w:r>
            <w:proofErr w:type="spellEnd"/>
            <w:r w:rsidRPr="00F61FA8">
              <w:t xml:space="preserve"> method for calculation of corrected QT interval</w:t>
            </w:r>
          </w:p>
        </w:tc>
      </w:tr>
      <w:tr w:rsidR="006745B7" w:rsidRPr="007D66D9" w14:paraId="61F36EFB"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0B2A3E7F" w14:textId="77777777" w:rsidR="006745B7" w:rsidRPr="00F61FA8" w:rsidRDefault="006745B7" w:rsidP="006745B7">
            <w:r w:rsidRPr="00F61FA8">
              <w:t>SAE</w:t>
            </w:r>
          </w:p>
        </w:tc>
        <w:tc>
          <w:tcPr>
            <w:tcW w:w="7229" w:type="dxa"/>
          </w:tcPr>
          <w:p w14:paraId="6EAC4582"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serious adverse event</w:t>
            </w:r>
          </w:p>
        </w:tc>
      </w:tr>
      <w:tr w:rsidR="006745B7" w:rsidRPr="007D66D9" w14:paraId="38B49DD8"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52F57C9B" w14:textId="77777777" w:rsidR="006745B7" w:rsidRPr="00F61FA8" w:rsidRDefault="006745B7" w:rsidP="006745B7">
            <w:r w:rsidRPr="00F61FA8">
              <w:t>SAS</w:t>
            </w:r>
          </w:p>
        </w:tc>
        <w:tc>
          <w:tcPr>
            <w:tcW w:w="7229" w:type="dxa"/>
          </w:tcPr>
          <w:p w14:paraId="2EBA35F4"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Simpson Angus rating scale</w:t>
            </w:r>
          </w:p>
        </w:tc>
      </w:tr>
      <w:tr w:rsidR="006745B7" w:rsidRPr="007D66D9" w14:paraId="59CCA819"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041836E6" w14:textId="77777777" w:rsidR="006745B7" w:rsidRPr="00F61FA8" w:rsidRDefault="006745B7" w:rsidP="006745B7">
            <w:r w:rsidRPr="00F61FA8">
              <w:t>SBP</w:t>
            </w:r>
          </w:p>
        </w:tc>
        <w:tc>
          <w:tcPr>
            <w:tcW w:w="7229" w:type="dxa"/>
          </w:tcPr>
          <w:p w14:paraId="2FFEB759"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systolic blood pressure</w:t>
            </w:r>
          </w:p>
        </w:tc>
      </w:tr>
      <w:tr w:rsidR="006745B7" w:rsidRPr="007D66D9" w14:paraId="1AF21B26"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1B59ADF6" w14:textId="77777777" w:rsidR="006745B7" w:rsidRPr="00F61FA8" w:rsidRDefault="006745B7" w:rsidP="006745B7">
            <w:r w:rsidRPr="00F61FA8">
              <w:t>SCS</w:t>
            </w:r>
          </w:p>
        </w:tc>
        <w:tc>
          <w:tcPr>
            <w:tcW w:w="7229" w:type="dxa"/>
          </w:tcPr>
          <w:p w14:paraId="5A7378E7"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summary of clinical safety</w:t>
            </w:r>
          </w:p>
        </w:tc>
      </w:tr>
      <w:tr w:rsidR="006745B7" w:rsidRPr="007D66D9" w14:paraId="036CB937"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5508437D" w14:textId="77777777" w:rsidR="006745B7" w:rsidRPr="00F61FA8" w:rsidRDefault="006745B7" w:rsidP="006745B7">
            <w:r w:rsidRPr="00F61FA8">
              <w:t>SOC</w:t>
            </w:r>
          </w:p>
        </w:tc>
        <w:tc>
          <w:tcPr>
            <w:tcW w:w="7229" w:type="dxa"/>
          </w:tcPr>
          <w:p w14:paraId="39120593"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system organ class</w:t>
            </w:r>
          </w:p>
        </w:tc>
      </w:tr>
      <w:tr w:rsidR="006745B7" w:rsidRPr="007D66D9" w14:paraId="566049D1"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7D0A1A2A" w14:textId="77777777" w:rsidR="006745B7" w:rsidRPr="00F61FA8" w:rsidRDefault="006745B7" w:rsidP="006745B7">
            <w:r w:rsidRPr="00F61FA8">
              <w:lastRenderedPageBreak/>
              <w:t>SD</w:t>
            </w:r>
          </w:p>
        </w:tc>
        <w:tc>
          <w:tcPr>
            <w:tcW w:w="7229" w:type="dxa"/>
          </w:tcPr>
          <w:p w14:paraId="079ABD64"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standard deviation</w:t>
            </w:r>
          </w:p>
        </w:tc>
      </w:tr>
      <w:tr w:rsidR="006745B7" w:rsidRPr="007D66D9" w14:paraId="119B3F13"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46FCC25F" w14:textId="77777777" w:rsidR="006745B7" w:rsidRPr="00F61FA8" w:rsidRDefault="006745B7" w:rsidP="006745B7">
            <w:r w:rsidRPr="00F61FA8">
              <w:t>TEAE</w:t>
            </w:r>
          </w:p>
        </w:tc>
        <w:tc>
          <w:tcPr>
            <w:tcW w:w="7229" w:type="dxa"/>
          </w:tcPr>
          <w:p w14:paraId="69B9A27B"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treatment-emergent adverse event</w:t>
            </w:r>
          </w:p>
        </w:tc>
      </w:tr>
      <w:tr w:rsidR="006745B7" w:rsidRPr="007D66D9" w14:paraId="0632F57A"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0BCF6F15" w14:textId="77777777" w:rsidR="006745B7" w:rsidRPr="00F61FA8" w:rsidRDefault="006745B7" w:rsidP="006745B7">
            <w:r w:rsidRPr="00F61FA8">
              <w:t>US</w:t>
            </w:r>
          </w:p>
        </w:tc>
        <w:tc>
          <w:tcPr>
            <w:tcW w:w="7229" w:type="dxa"/>
          </w:tcPr>
          <w:p w14:paraId="2FE52E6E"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United States</w:t>
            </w:r>
          </w:p>
        </w:tc>
      </w:tr>
      <w:tr w:rsidR="006745B7" w:rsidRPr="007D66D9" w14:paraId="55864241" w14:textId="77777777" w:rsidTr="006745B7">
        <w:tc>
          <w:tcPr>
            <w:cnfStyle w:val="001000000000" w:firstRow="0" w:lastRow="0" w:firstColumn="1" w:lastColumn="0" w:oddVBand="0" w:evenVBand="0" w:oddHBand="0" w:evenHBand="0" w:firstRowFirstColumn="0" w:firstRowLastColumn="0" w:lastRowFirstColumn="0" w:lastRowLastColumn="0"/>
            <w:tcW w:w="2093" w:type="dxa"/>
          </w:tcPr>
          <w:p w14:paraId="6BFFEFAE" w14:textId="77777777" w:rsidR="006745B7" w:rsidRPr="00F61FA8" w:rsidRDefault="006745B7" w:rsidP="006745B7">
            <w:r w:rsidRPr="00F61FA8">
              <w:t>VAS</w:t>
            </w:r>
          </w:p>
        </w:tc>
        <w:tc>
          <w:tcPr>
            <w:tcW w:w="7229" w:type="dxa"/>
          </w:tcPr>
          <w:p w14:paraId="549AE66A" w14:textId="77777777" w:rsidR="006745B7" w:rsidRPr="00F61FA8" w:rsidRDefault="006745B7" w:rsidP="006745B7">
            <w:pPr>
              <w:cnfStyle w:val="000000000000" w:firstRow="0" w:lastRow="0" w:firstColumn="0" w:lastColumn="0" w:oddVBand="0" w:evenVBand="0" w:oddHBand="0" w:evenHBand="0" w:firstRowFirstColumn="0" w:firstRowLastColumn="0" w:lastRowFirstColumn="0" w:lastRowLastColumn="0"/>
            </w:pPr>
            <w:r w:rsidRPr="00F61FA8">
              <w:t>visual analogue scale</w:t>
            </w:r>
          </w:p>
        </w:tc>
      </w:tr>
    </w:tbl>
    <w:p w14:paraId="1AA897F9" w14:textId="77777777" w:rsidR="0094614A" w:rsidRDefault="0094614A" w:rsidP="0043797D">
      <w:pPr>
        <w:pStyle w:val="Heading2"/>
        <w:pageBreakBefore/>
        <w:rPr>
          <w:lang w:eastAsia="en-AU"/>
        </w:rPr>
      </w:pPr>
      <w:bookmarkStart w:id="8" w:name="_Toc495583925"/>
      <w:bookmarkStart w:id="9" w:name="_Toc351718900"/>
      <w:bookmarkStart w:id="10" w:name="_Toc355338635"/>
      <w:r>
        <w:rPr>
          <w:lang w:eastAsia="en-AU"/>
        </w:rPr>
        <w:lastRenderedPageBreak/>
        <w:t>Introduction</w:t>
      </w:r>
      <w:bookmarkEnd w:id="8"/>
    </w:p>
    <w:p w14:paraId="50DAF58F" w14:textId="77777777" w:rsidR="007D66D9" w:rsidRPr="00E85493" w:rsidRDefault="007D66D9" w:rsidP="00E85493">
      <w:r w:rsidRPr="00E85493">
        <w:t>This is accepted as a submission to exten</w:t>
      </w:r>
      <w:r w:rsidR="00E85493">
        <w:t xml:space="preserve">d the indications and </w:t>
      </w:r>
      <w:r w:rsidRPr="00E85493">
        <w:t>to register new stre</w:t>
      </w:r>
      <w:r w:rsidR="003673F6">
        <w:t>ng</w:t>
      </w:r>
      <w:r w:rsidRPr="00E85493">
        <w:t>ths. The excipients have some differences and there is a new needle.</w:t>
      </w:r>
    </w:p>
    <w:p w14:paraId="7B0B6170" w14:textId="77777777" w:rsidR="007D66D9" w:rsidRPr="00E85493" w:rsidRDefault="007D66D9" w:rsidP="00E85493">
      <w:r w:rsidRPr="00E85493">
        <w:t>The submission comprises 2 components:</w:t>
      </w:r>
    </w:p>
    <w:p w14:paraId="7EA5F481" w14:textId="77777777" w:rsidR="007D66D9" w:rsidRPr="007D66D9" w:rsidRDefault="007D66D9" w:rsidP="00E85493">
      <w:pPr>
        <w:pStyle w:val="ListBullet"/>
      </w:pPr>
      <w:r w:rsidRPr="007D66D9">
        <w:t>Evidence of Efficacy and Safety in the (recommended) dosage in the studied (3011 and 30120) population.</w:t>
      </w:r>
    </w:p>
    <w:p w14:paraId="3FA1EB94" w14:textId="77777777" w:rsidR="007D66D9" w:rsidRDefault="007D66D9" w:rsidP="00E85493">
      <w:pPr>
        <w:pStyle w:val="ListBullet"/>
      </w:pPr>
      <w:r w:rsidRPr="007D66D9">
        <w:t>Evidence for use outside the (recommended) dosage used in the studied population. This part of the submission is in PopPK study REP-1-JAN-PAL-PMX-1</w:t>
      </w:r>
      <w:r w:rsidR="00E85493">
        <w:t>.</w:t>
      </w:r>
    </w:p>
    <w:p w14:paraId="41D76A34" w14:textId="77777777" w:rsidR="002F28A2" w:rsidRPr="007D66D9" w:rsidRDefault="00CD4733" w:rsidP="00CD4733">
      <w:pPr>
        <w:pStyle w:val="Comment"/>
        <w:rPr>
          <w:lang w:eastAsia="ja-JP"/>
        </w:rPr>
      </w:pPr>
      <w:r w:rsidRPr="00CD4733">
        <w:rPr>
          <w:b/>
        </w:rPr>
        <w:t>Comment</w:t>
      </w:r>
      <w:r w:rsidR="002F28A2" w:rsidRPr="00CD4733">
        <w:rPr>
          <w:b/>
        </w:rPr>
        <w:t>:</w:t>
      </w:r>
      <w:r w:rsidR="002F28A2" w:rsidRPr="00CD4733">
        <w:t xml:space="preserve"> This submission relates to a new therapeutic good that has a slight difference in one of the excipients, otherwise the differences are physical – particle size and concentration (plus a different needle in the kit). However the PopPK models submitted differ between the existi</w:t>
      </w:r>
      <w:r w:rsidR="003673F6" w:rsidRPr="00CD4733">
        <w:t>ng</w:t>
      </w:r>
      <w:r w:rsidR="002F28A2" w:rsidRPr="00CD4733">
        <w:t xml:space="preserve"> registered PP1M (Invega Sustenna) and this proposed PP3M good (Invega Trinza) </w:t>
      </w:r>
      <w:r w:rsidR="00785F6E" w:rsidRPr="00CD4733">
        <w:t>that is</w:t>
      </w:r>
      <w:r w:rsidR="002F28A2" w:rsidRPr="00CD4733">
        <w:t xml:space="preserve"> they show an in vivo difference in absorption and covariates between the two.</w:t>
      </w:r>
    </w:p>
    <w:p w14:paraId="001213C7" w14:textId="77777777" w:rsidR="007D66D9" w:rsidRPr="007D66D9" w:rsidRDefault="007D66D9" w:rsidP="00E85493">
      <w:pPr>
        <w:pStyle w:val="Heading3"/>
      </w:pPr>
      <w:bookmarkStart w:id="11" w:name="_Toc272414596"/>
      <w:bookmarkStart w:id="12" w:name="_Toc290846218"/>
      <w:bookmarkStart w:id="13" w:name="_Toc290888755"/>
      <w:bookmarkStart w:id="14" w:name="_Toc453054850"/>
      <w:bookmarkStart w:id="15" w:name="_Toc495583926"/>
      <w:r w:rsidRPr="007D66D9">
        <w:t>Drug class and therapeutic indication</w:t>
      </w:r>
      <w:bookmarkEnd w:id="11"/>
      <w:bookmarkEnd w:id="12"/>
      <w:bookmarkEnd w:id="13"/>
      <w:bookmarkEnd w:id="14"/>
      <w:bookmarkEnd w:id="15"/>
    </w:p>
    <w:p w14:paraId="508D6653" w14:textId="77777777" w:rsidR="007D66D9" w:rsidRPr="00E85493" w:rsidRDefault="007D66D9" w:rsidP="00E85493">
      <w:r w:rsidRPr="00E85493">
        <w:t>Paliperidone is a monoaminergic antagonist that exhibits the characteristic effects of antipsychotics on dopamine Type 2 (D2) receptors combined wi</w:t>
      </w:r>
      <w:r w:rsidR="00E85493" w:rsidRPr="00E85493">
        <w:t>th the predominant serotonin (5 </w:t>
      </w:r>
      <w:proofErr w:type="spellStart"/>
      <w:r w:rsidRPr="00E85493">
        <w:t>hydroxytryptamin</w:t>
      </w:r>
      <w:r w:rsidR="00F82F7B">
        <w:t>e</w:t>
      </w:r>
      <w:proofErr w:type="spellEnd"/>
      <w:r w:rsidR="00F82F7B">
        <w:t xml:space="preserve"> Type 2A) antagonism of second </w:t>
      </w:r>
      <w:r w:rsidRPr="00E85493">
        <w:t>generation antipsychotic drugs.</w:t>
      </w:r>
    </w:p>
    <w:p w14:paraId="5B9B5E5C" w14:textId="77777777" w:rsidR="007D66D9" w:rsidRPr="00E85493" w:rsidRDefault="007D66D9" w:rsidP="00E85493">
      <w:r w:rsidRPr="00E85493">
        <w:t>The approved indication for Invega Sustenna is:</w:t>
      </w:r>
    </w:p>
    <w:p w14:paraId="727FDF96" w14:textId="77777777" w:rsidR="007D66D9" w:rsidRPr="002F28A2" w:rsidRDefault="007D66D9" w:rsidP="00E85493">
      <w:pPr>
        <w:ind w:left="720"/>
        <w:rPr>
          <w:rFonts w:cs="Arial"/>
          <w:i/>
          <w:color w:val="000000"/>
        </w:rPr>
      </w:pPr>
      <w:proofErr w:type="gramStart"/>
      <w:r w:rsidRPr="002F28A2">
        <w:rPr>
          <w:rFonts w:cs="Arial"/>
          <w:i/>
          <w:color w:val="000000"/>
        </w:rPr>
        <w:t>for</w:t>
      </w:r>
      <w:proofErr w:type="gramEnd"/>
      <w:r w:rsidRPr="002F28A2">
        <w:rPr>
          <w:rFonts w:cs="Arial"/>
          <w:i/>
          <w:color w:val="000000"/>
        </w:rPr>
        <w:t xml:space="preserve"> the acute and maintenance treatment of schizophrenia in adults.</w:t>
      </w:r>
    </w:p>
    <w:p w14:paraId="2EB17A79" w14:textId="77777777" w:rsidR="002F28A2" w:rsidRDefault="007D66D9" w:rsidP="002F28A2">
      <w:pPr>
        <w:rPr>
          <w:color w:val="000000"/>
        </w:rPr>
      </w:pPr>
      <w:r w:rsidRPr="007D66D9">
        <w:rPr>
          <w:color w:val="000000"/>
        </w:rPr>
        <w:t>The proposed indication for Invega Trinza is:</w:t>
      </w:r>
    </w:p>
    <w:p w14:paraId="69B44CE5" w14:textId="77777777" w:rsidR="007D66D9" w:rsidRPr="002F28A2" w:rsidRDefault="00522AED" w:rsidP="00522AED">
      <w:pPr>
        <w:ind w:left="720"/>
        <w:rPr>
          <w:color w:val="000000"/>
        </w:rPr>
      </w:pPr>
      <w:r>
        <w:rPr>
          <w:rFonts w:cs="Arial"/>
          <w:i/>
          <w:color w:val="000000"/>
        </w:rPr>
        <w:t xml:space="preserve">Invega Trinza, a 3 </w:t>
      </w:r>
      <w:r w:rsidR="007D66D9" w:rsidRPr="002F28A2">
        <w:rPr>
          <w:rFonts w:cs="Arial"/>
          <w:i/>
          <w:color w:val="000000"/>
        </w:rPr>
        <w:t>month injection, is indicated for the treatment of schizophrenia in adult patients who have been adequately treated with the 1</w:t>
      </w:r>
      <w:r>
        <w:rPr>
          <w:rFonts w:cs="Arial"/>
          <w:i/>
          <w:color w:val="000000"/>
        </w:rPr>
        <w:t xml:space="preserve"> </w:t>
      </w:r>
      <w:r w:rsidR="007D66D9" w:rsidRPr="002F28A2">
        <w:rPr>
          <w:rFonts w:cs="Arial"/>
          <w:i/>
          <w:color w:val="000000"/>
        </w:rPr>
        <w:t>month paliperidone palmitate injectable product for at least four months.</w:t>
      </w:r>
    </w:p>
    <w:p w14:paraId="44F6DE55" w14:textId="77777777" w:rsidR="007D66D9" w:rsidRPr="007D66D9" w:rsidRDefault="007D66D9" w:rsidP="007D66D9">
      <w:pPr>
        <w:pStyle w:val="Heading3"/>
      </w:pPr>
      <w:bookmarkStart w:id="16" w:name="_Toc272414597"/>
      <w:bookmarkStart w:id="17" w:name="_Toc290846219"/>
      <w:bookmarkStart w:id="18" w:name="_Toc290888756"/>
      <w:bookmarkStart w:id="19" w:name="_Toc453054851"/>
      <w:bookmarkStart w:id="20" w:name="_Toc495583927"/>
      <w:r w:rsidRPr="007D66D9">
        <w:t>Dosage forms and stre</w:t>
      </w:r>
      <w:r w:rsidR="003673F6">
        <w:t>ng</w:t>
      </w:r>
      <w:r w:rsidRPr="007D66D9">
        <w:t>ths</w:t>
      </w:r>
      <w:bookmarkEnd w:id="16"/>
      <w:bookmarkEnd w:id="17"/>
      <w:bookmarkEnd w:id="18"/>
      <w:bookmarkEnd w:id="19"/>
      <w:bookmarkEnd w:id="20"/>
    </w:p>
    <w:p w14:paraId="4DBC475B" w14:textId="77777777" w:rsidR="007D66D9" w:rsidRDefault="007D66D9" w:rsidP="007D66D9">
      <w:pPr>
        <w:rPr>
          <w:color w:val="000000"/>
        </w:rPr>
      </w:pPr>
      <w:r w:rsidRPr="007D66D9">
        <w:rPr>
          <w:color w:val="000000"/>
        </w:rPr>
        <w:t>The followi</w:t>
      </w:r>
      <w:r w:rsidR="003673F6">
        <w:rPr>
          <w:color w:val="000000"/>
        </w:rPr>
        <w:t>ng</w:t>
      </w:r>
      <w:r w:rsidRPr="007D66D9">
        <w:rPr>
          <w:color w:val="000000"/>
        </w:rPr>
        <w:t xml:space="preserve"> dosage forms and stre</w:t>
      </w:r>
      <w:r w:rsidR="003673F6">
        <w:rPr>
          <w:color w:val="000000"/>
        </w:rPr>
        <w:t>ng</w:t>
      </w:r>
      <w:r w:rsidR="00522AED">
        <w:rPr>
          <w:color w:val="000000"/>
        </w:rPr>
        <w:t>ths are currently registered as outlined in Table 1.</w:t>
      </w:r>
    </w:p>
    <w:p w14:paraId="4B0A5E27" w14:textId="77777777" w:rsidR="00522AED" w:rsidRPr="007D66D9" w:rsidRDefault="00522AED" w:rsidP="00F82F7B">
      <w:pPr>
        <w:pStyle w:val="Tabletitle"/>
        <w:pageBreakBefore/>
      </w:pPr>
      <w:r>
        <w:lastRenderedPageBreak/>
        <w:t>Table 1</w:t>
      </w:r>
      <w:r w:rsidR="00F82F7B">
        <w:t>:</w:t>
      </w:r>
      <w:r>
        <w:t xml:space="preserve"> Currently </w:t>
      </w:r>
      <w:r w:rsidR="0058163A">
        <w:t>registered</w:t>
      </w:r>
      <w:r>
        <w:t xml:space="preserve"> forms and stre</w:t>
      </w:r>
      <w:r w:rsidR="003673F6">
        <w:t>ng</w:t>
      </w:r>
      <w:r>
        <w:t xml:space="preserve">ths of </w:t>
      </w:r>
      <w:r w:rsidRPr="007D66D9">
        <w:t>Paliperidone (as palmitate</w:t>
      </w:r>
      <w:r>
        <w:t>)</w:t>
      </w:r>
    </w:p>
    <w:tbl>
      <w:tblPr>
        <w:tblStyle w:val="TableTGAblue"/>
        <w:tblW w:w="0" w:type="auto"/>
        <w:tblLook w:val="04A0" w:firstRow="1" w:lastRow="0" w:firstColumn="1" w:lastColumn="0" w:noHBand="0" w:noVBand="1"/>
      </w:tblPr>
      <w:tblGrid>
        <w:gridCol w:w="5410"/>
        <w:gridCol w:w="1362"/>
        <w:gridCol w:w="1642"/>
      </w:tblGrid>
      <w:tr w:rsidR="007D66D9" w:rsidRPr="00522AED" w14:paraId="33A75F51" w14:textId="77777777" w:rsidTr="006745B7">
        <w:trPr>
          <w:cnfStyle w:val="100000000000" w:firstRow="1" w:lastRow="0" w:firstColumn="0" w:lastColumn="0" w:oddVBand="0" w:evenVBand="0" w:oddHBand="0" w:evenHBand="0" w:firstRowFirstColumn="0" w:firstRowLastColumn="0" w:lastRowFirstColumn="0" w:lastRowLastColumn="0"/>
          <w:cantSplit/>
          <w:trHeight w:val="441"/>
          <w:tblHeader/>
        </w:trPr>
        <w:tc>
          <w:tcPr>
            <w:cnfStyle w:val="001000000000" w:firstRow="0" w:lastRow="0" w:firstColumn="1" w:lastColumn="0" w:oddVBand="0" w:evenVBand="0" w:oddHBand="0" w:evenHBand="0" w:firstRowFirstColumn="0" w:firstRowLastColumn="0" w:lastRowFirstColumn="0" w:lastRowLastColumn="0"/>
            <w:tcW w:w="6772" w:type="dxa"/>
            <w:gridSpan w:val="2"/>
          </w:tcPr>
          <w:p w14:paraId="67CACDD1" w14:textId="77777777" w:rsidR="007D66D9" w:rsidRPr="00522AED" w:rsidRDefault="00F82F7B" w:rsidP="00522AED">
            <w:pPr>
              <w:rPr>
                <w:sz w:val="20"/>
                <w:szCs w:val="20"/>
              </w:rPr>
            </w:pPr>
            <w:r>
              <w:rPr>
                <w:sz w:val="20"/>
                <w:szCs w:val="20"/>
              </w:rPr>
              <w:t>Invega Sustenna</w:t>
            </w:r>
          </w:p>
        </w:tc>
        <w:tc>
          <w:tcPr>
            <w:tcW w:w="1642" w:type="dxa"/>
            <w:hideMark/>
          </w:tcPr>
          <w:p w14:paraId="6A46A7FC" w14:textId="77777777" w:rsidR="007D66D9" w:rsidRPr="00522AED" w:rsidRDefault="007D66D9" w:rsidP="00522AED">
            <w:pPr>
              <w:cnfStyle w:val="100000000000" w:firstRow="1" w:lastRow="0" w:firstColumn="0" w:lastColumn="0" w:oddVBand="0" w:evenVBand="0" w:oddHBand="0" w:evenHBand="0" w:firstRowFirstColumn="0" w:firstRowLastColumn="0" w:lastRowFirstColumn="0" w:lastRowLastColumn="0"/>
              <w:rPr>
                <w:sz w:val="20"/>
                <w:szCs w:val="20"/>
              </w:rPr>
            </w:pPr>
            <w:r w:rsidRPr="00522AED">
              <w:rPr>
                <w:sz w:val="20"/>
                <w:szCs w:val="20"/>
              </w:rPr>
              <w:t>AUST R</w:t>
            </w:r>
          </w:p>
        </w:tc>
      </w:tr>
      <w:tr w:rsidR="007D66D9" w:rsidRPr="00522AED" w14:paraId="0C27AB70" w14:textId="77777777" w:rsidTr="006745B7">
        <w:trPr>
          <w:trHeight w:val="441"/>
        </w:trPr>
        <w:tc>
          <w:tcPr>
            <w:cnfStyle w:val="001000000000" w:firstRow="0" w:lastRow="0" w:firstColumn="1" w:lastColumn="0" w:oddVBand="0" w:evenVBand="0" w:oddHBand="0" w:evenHBand="0" w:firstRowFirstColumn="0" w:firstRowLastColumn="0" w:lastRowFirstColumn="0" w:lastRowLastColumn="0"/>
            <w:tcW w:w="5410" w:type="dxa"/>
            <w:vMerge w:val="restart"/>
            <w:hideMark/>
          </w:tcPr>
          <w:p w14:paraId="37006810" w14:textId="77777777" w:rsidR="007D66D9" w:rsidRPr="00522AED" w:rsidRDefault="007D66D9" w:rsidP="00522AED">
            <w:pPr>
              <w:rPr>
                <w:sz w:val="20"/>
                <w:szCs w:val="20"/>
              </w:rPr>
            </w:pPr>
            <w:r w:rsidRPr="00522AED">
              <w:rPr>
                <w:sz w:val="20"/>
                <w:szCs w:val="20"/>
              </w:rPr>
              <w:t>Paliperidone (as palmitate) modified release injection pre-filled syri</w:t>
            </w:r>
            <w:r w:rsidR="003673F6">
              <w:rPr>
                <w:sz w:val="20"/>
                <w:szCs w:val="20"/>
              </w:rPr>
              <w:t>ng</w:t>
            </w:r>
            <w:r w:rsidR="00FB0FC4">
              <w:rPr>
                <w:sz w:val="20"/>
                <w:szCs w:val="20"/>
              </w:rPr>
              <w:t xml:space="preserve">e and 2 safety needles (a 1½ </w:t>
            </w:r>
            <w:r w:rsidRPr="00522AED">
              <w:rPr>
                <w:sz w:val="20"/>
                <w:szCs w:val="20"/>
              </w:rPr>
              <w:t>inch 22 gauge safety needle and a 1-inch 23 gauge s</w:t>
            </w:r>
            <w:r w:rsidR="00522AED">
              <w:rPr>
                <w:sz w:val="20"/>
                <w:szCs w:val="20"/>
              </w:rPr>
              <w:t>afety needle).</w:t>
            </w:r>
            <w:r w:rsidR="0058163A">
              <w:rPr>
                <w:sz w:val="20"/>
                <w:szCs w:val="20"/>
              </w:rPr>
              <w:t xml:space="preserve"> Trade name;</w:t>
            </w:r>
            <w:r w:rsidR="00522AED">
              <w:rPr>
                <w:sz w:val="20"/>
                <w:szCs w:val="20"/>
              </w:rPr>
              <w:t xml:space="preserve"> Invega Sustenna</w:t>
            </w:r>
          </w:p>
        </w:tc>
        <w:tc>
          <w:tcPr>
            <w:tcW w:w="1362" w:type="dxa"/>
            <w:hideMark/>
          </w:tcPr>
          <w:p w14:paraId="25A50C26" w14:textId="77777777" w:rsidR="007D66D9" w:rsidRPr="00522AED" w:rsidRDefault="007D66D9" w:rsidP="00522AED">
            <w:pPr>
              <w:cnfStyle w:val="000000000000" w:firstRow="0" w:lastRow="0" w:firstColumn="0" w:lastColumn="0" w:oddVBand="0" w:evenVBand="0" w:oddHBand="0" w:evenHBand="0" w:firstRowFirstColumn="0" w:firstRowLastColumn="0" w:lastRowFirstColumn="0" w:lastRowLastColumn="0"/>
              <w:rPr>
                <w:sz w:val="20"/>
                <w:szCs w:val="20"/>
              </w:rPr>
            </w:pPr>
            <w:r w:rsidRPr="00522AED">
              <w:rPr>
                <w:sz w:val="20"/>
                <w:szCs w:val="20"/>
              </w:rPr>
              <w:t>25</w:t>
            </w:r>
            <w:r w:rsidR="004A676D">
              <w:rPr>
                <w:sz w:val="20"/>
                <w:szCs w:val="20"/>
              </w:rPr>
              <w:t xml:space="preserve"> mg</w:t>
            </w:r>
          </w:p>
        </w:tc>
        <w:tc>
          <w:tcPr>
            <w:tcW w:w="1642" w:type="dxa"/>
            <w:hideMark/>
          </w:tcPr>
          <w:p w14:paraId="47CFDB95" w14:textId="77777777" w:rsidR="007D66D9" w:rsidRPr="00522AED" w:rsidRDefault="007D66D9" w:rsidP="00522AED">
            <w:pPr>
              <w:cnfStyle w:val="000000000000" w:firstRow="0" w:lastRow="0" w:firstColumn="0" w:lastColumn="0" w:oddVBand="0" w:evenVBand="0" w:oddHBand="0" w:evenHBand="0" w:firstRowFirstColumn="0" w:firstRowLastColumn="0" w:lastRowFirstColumn="0" w:lastRowLastColumn="0"/>
              <w:rPr>
                <w:sz w:val="20"/>
                <w:szCs w:val="20"/>
              </w:rPr>
            </w:pPr>
            <w:r w:rsidRPr="00522AED">
              <w:rPr>
                <w:sz w:val="20"/>
                <w:szCs w:val="20"/>
              </w:rPr>
              <w:t>160858</w:t>
            </w:r>
          </w:p>
        </w:tc>
      </w:tr>
      <w:tr w:rsidR="007D66D9" w:rsidRPr="00522AED" w14:paraId="55C880D2" w14:textId="77777777" w:rsidTr="006745B7">
        <w:trPr>
          <w:trHeight w:val="134"/>
        </w:trPr>
        <w:tc>
          <w:tcPr>
            <w:cnfStyle w:val="001000000000" w:firstRow="0" w:lastRow="0" w:firstColumn="1" w:lastColumn="0" w:oddVBand="0" w:evenVBand="0" w:oddHBand="0" w:evenHBand="0" w:firstRowFirstColumn="0" w:firstRowLastColumn="0" w:lastRowFirstColumn="0" w:lastRowLastColumn="0"/>
            <w:tcW w:w="5410" w:type="dxa"/>
            <w:vMerge/>
            <w:hideMark/>
          </w:tcPr>
          <w:p w14:paraId="68E8A607" w14:textId="77777777" w:rsidR="007D66D9" w:rsidRPr="00522AED" w:rsidRDefault="007D66D9" w:rsidP="00522AED">
            <w:pPr>
              <w:rPr>
                <w:sz w:val="20"/>
                <w:szCs w:val="20"/>
              </w:rPr>
            </w:pPr>
          </w:p>
        </w:tc>
        <w:tc>
          <w:tcPr>
            <w:tcW w:w="1362" w:type="dxa"/>
            <w:hideMark/>
          </w:tcPr>
          <w:p w14:paraId="4036392D" w14:textId="77777777" w:rsidR="007D66D9" w:rsidRPr="00522AED" w:rsidRDefault="007D66D9" w:rsidP="00522AED">
            <w:pPr>
              <w:cnfStyle w:val="000000000000" w:firstRow="0" w:lastRow="0" w:firstColumn="0" w:lastColumn="0" w:oddVBand="0" w:evenVBand="0" w:oddHBand="0" w:evenHBand="0" w:firstRowFirstColumn="0" w:firstRowLastColumn="0" w:lastRowFirstColumn="0" w:lastRowLastColumn="0"/>
              <w:rPr>
                <w:sz w:val="20"/>
                <w:szCs w:val="20"/>
              </w:rPr>
            </w:pPr>
            <w:r w:rsidRPr="00522AED">
              <w:rPr>
                <w:sz w:val="20"/>
                <w:szCs w:val="20"/>
              </w:rPr>
              <w:t>50</w:t>
            </w:r>
            <w:r w:rsidR="004A676D">
              <w:rPr>
                <w:sz w:val="20"/>
                <w:szCs w:val="20"/>
              </w:rPr>
              <w:t xml:space="preserve"> mg</w:t>
            </w:r>
          </w:p>
        </w:tc>
        <w:tc>
          <w:tcPr>
            <w:tcW w:w="1642" w:type="dxa"/>
            <w:hideMark/>
          </w:tcPr>
          <w:p w14:paraId="7B3C5CFE" w14:textId="77777777" w:rsidR="007D66D9" w:rsidRPr="00522AED" w:rsidRDefault="007D66D9" w:rsidP="00522AED">
            <w:pPr>
              <w:cnfStyle w:val="000000000000" w:firstRow="0" w:lastRow="0" w:firstColumn="0" w:lastColumn="0" w:oddVBand="0" w:evenVBand="0" w:oddHBand="0" w:evenHBand="0" w:firstRowFirstColumn="0" w:firstRowLastColumn="0" w:lastRowFirstColumn="0" w:lastRowLastColumn="0"/>
              <w:rPr>
                <w:sz w:val="20"/>
                <w:szCs w:val="20"/>
              </w:rPr>
            </w:pPr>
            <w:r w:rsidRPr="00522AED">
              <w:rPr>
                <w:sz w:val="20"/>
                <w:szCs w:val="20"/>
              </w:rPr>
              <w:t>160856</w:t>
            </w:r>
          </w:p>
        </w:tc>
      </w:tr>
      <w:tr w:rsidR="007D66D9" w:rsidRPr="00522AED" w14:paraId="13141FFB" w14:textId="77777777" w:rsidTr="006745B7">
        <w:trPr>
          <w:trHeight w:val="134"/>
        </w:trPr>
        <w:tc>
          <w:tcPr>
            <w:cnfStyle w:val="001000000000" w:firstRow="0" w:lastRow="0" w:firstColumn="1" w:lastColumn="0" w:oddVBand="0" w:evenVBand="0" w:oddHBand="0" w:evenHBand="0" w:firstRowFirstColumn="0" w:firstRowLastColumn="0" w:lastRowFirstColumn="0" w:lastRowLastColumn="0"/>
            <w:tcW w:w="5410" w:type="dxa"/>
            <w:vMerge/>
            <w:hideMark/>
          </w:tcPr>
          <w:p w14:paraId="0802DE92" w14:textId="77777777" w:rsidR="007D66D9" w:rsidRPr="00522AED" w:rsidRDefault="007D66D9" w:rsidP="00522AED">
            <w:pPr>
              <w:rPr>
                <w:sz w:val="20"/>
                <w:szCs w:val="20"/>
              </w:rPr>
            </w:pPr>
          </w:p>
        </w:tc>
        <w:tc>
          <w:tcPr>
            <w:tcW w:w="1362" w:type="dxa"/>
            <w:hideMark/>
          </w:tcPr>
          <w:p w14:paraId="71213830" w14:textId="77777777" w:rsidR="007D66D9" w:rsidRPr="00522AED" w:rsidRDefault="007D66D9" w:rsidP="00522AED">
            <w:pPr>
              <w:cnfStyle w:val="000000000000" w:firstRow="0" w:lastRow="0" w:firstColumn="0" w:lastColumn="0" w:oddVBand="0" w:evenVBand="0" w:oddHBand="0" w:evenHBand="0" w:firstRowFirstColumn="0" w:firstRowLastColumn="0" w:lastRowFirstColumn="0" w:lastRowLastColumn="0"/>
              <w:rPr>
                <w:sz w:val="20"/>
                <w:szCs w:val="20"/>
              </w:rPr>
            </w:pPr>
            <w:r w:rsidRPr="00522AED">
              <w:rPr>
                <w:sz w:val="20"/>
                <w:szCs w:val="20"/>
              </w:rPr>
              <w:t>75</w:t>
            </w:r>
            <w:r w:rsidR="004A676D">
              <w:rPr>
                <w:sz w:val="20"/>
                <w:szCs w:val="20"/>
              </w:rPr>
              <w:t xml:space="preserve"> mg</w:t>
            </w:r>
          </w:p>
        </w:tc>
        <w:tc>
          <w:tcPr>
            <w:tcW w:w="1642" w:type="dxa"/>
            <w:hideMark/>
          </w:tcPr>
          <w:p w14:paraId="22758FA3" w14:textId="77777777" w:rsidR="007D66D9" w:rsidRPr="00522AED" w:rsidRDefault="007D66D9" w:rsidP="00522AED">
            <w:pPr>
              <w:cnfStyle w:val="000000000000" w:firstRow="0" w:lastRow="0" w:firstColumn="0" w:lastColumn="0" w:oddVBand="0" w:evenVBand="0" w:oddHBand="0" w:evenHBand="0" w:firstRowFirstColumn="0" w:firstRowLastColumn="0" w:lastRowFirstColumn="0" w:lastRowLastColumn="0"/>
              <w:rPr>
                <w:sz w:val="20"/>
                <w:szCs w:val="20"/>
              </w:rPr>
            </w:pPr>
            <w:r w:rsidRPr="00522AED">
              <w:rPr>
                <w:sz w:val="20"/>
                <w:szCs w:val="20"/>
              </w:rPr>
              <w:t>160859</w:t>
            </w:r>
          </w:p>
        </w:tc>
      </w:tr>
      <w:tr w:rsidR="007D66D9" w:rsidRPr="00522AED" w14:paraId="6D4E91B7" w14:textId="77777777" w:rsidTr="006745B7">
        <w:trPr>
          <w:trHeight w:val="134"/>
        </w:trPr>
        <w:tc>
          <w:tcPr>
            <w:cnfStyle w:val="001000000000" w:firstRow="0" w:lastRow="0" w:firstColumn="1" w:lastColumn="0" w:oddVBand="0" w:evenVBand="0" w:oddHBand="0" w:evenHBand="0" w:firstRowFirstColumn="0" w:firstRowLastColumn="0" w:lastRowFirstColumn="0" w:lastRowLastColumn="0"/>
            <w:tcW w:w="5410" w:type="dxa"/>
            <w:vMerge/>
            <w:hideMark/>
          </w:tcPr>
          <w:p w14:paraId="061BA9C4" w14:textId="77777777" w:rsidR="007D66D9" w:rsidRPr="00522AED" w:rsidRDefault="007D66D9" w:rsidP="00522AED">
            <w:pPr>
              <w:rPr>
                <w:sz w:val="20"/>
                <w:szCs w:val="20"/>
              </w:rPr>
            </w:pPr>
          </w:p>
        </w:tc>
        <w:tc>
          <w:tcPr>
            <w:tcW w:w="1362" w:type="dxa"/>
            <w:hideMark/>
          </w:tcPr>
          <w:p w14:paraId="6E4C85EA" w14:textId="77777777" w:rsidR="007D66D9" w:rsidRPr="00522AED" w:rsidRDefault="007D66D9" w:rsidP="00522AED">
            <w:pPr>
              <w:cnfStyle w:val="000000000000" w:firstRow="0" w:lastRow="0" w:firstColumn="0" w:lastColumn="0" w:oddVBand="0" w:evenVBand="0" w:oddHBand="0" w:evenHBand="0" w:firstRowFirstColumn="0" w:firstRowLastColumn="0" w:lastRowFirstColumn="0" w:lastRowLastColumn="0"/>
              <w:rPr>
                <w:sz w:val="20"/>
                <w:szCs w:val="20"/>
              </w:rPr>
            </w:pPr>
            <w:r w:rsidRPr="00522AED">
              <w:rPr>
                <w:sz w:val="20"/>
                <w:szCs w:val="20"/>
              </w:rPr>
              <w:t>100</w:t>
            </w:r>
            <w:r w:rsidR="004A676D">
              <w:rPr>
                <w:sz w:val="20"/>
                <w:szCs w:val="20"/>
              </w:rPr>
              <w:t xml:space="preserve"> mg</w:t>
            </w:r>
          </w:p>
        </w:tc>
        <w:tc>
          <w:tcPr>
            <w:tcW w:w="1642" w:type="dxa"/>
            <w:hideMark/>
          </w:tcPr>
          <w:p w14:paraId="08BA4751" w14:textId="77777777" w:rsidR="007D66D9" w:rsidRPr="00522AED" w:rsidRDefault="007D66D9" w:rsidP="00522AED">
            <w:pPr>
              <w:cnfStyle w:val="000000000000" w:firstRow="0" w:lastRow="0" w:firstColumn="0" w:lastColumn="0" w:oddVBand="0" w:evenVBand="0" w:oddHBand="0" w:evenHBand="0" w:firstRowFirstColumn="0" w:firstRowLastColumn="0" w:lastRowFirstColumn="0" w:lastRowLastColumn="0"/>
              <w:rPr>
                <w:sz w:val="20"/>
                <w:szCs w:val="20"/>
              </w:rPr>
            </w:pPr>
            <w:r w:rsidRPr="00522AED">
              <w:rPr>
                <w:sz w:val="20"/>
                <w:szCs w:val="20"/>
              </w:rPr>
              <w:t>160860</w:t>
            </w:r>
          </w:p>
        </w:tc>
      </w:tr>
      <w:tr w:rsidR="007D66D9" w:rsidRPr="00522AED" w14:paraId="1DE46950" w14:textId="77777777" w:rsidTr="006745B7">
        <w:trPr>
          <w:trHeight w:val="134"/>
        </w:trPr>
        <w:tc>
          <w:tcPr>
            <w:cnfStyle w:val="001000000000" w:firstRow="0" w:lastRow="0" w:firstColumn="1" w:lastColumn="0" w:oddVBand="0" w:evenVBand="0" w:oddHBand="0" w:evenHBand="0" w:firstRowFirstColumn="0" w:firstRowLastColumn="0" w:lastRowFirstColumn="0" w:lastRowLastColumn="0"/>
            <w:tcW w:w="5410" w:type="dxa"/>
            <w:vMerge/>
            <w:hideMark/>
          </w:tcPr>
          <w:p w14:paraId="7A390885" w14:textId="77777777" w:rsidR="007D66D9" w:rsidRPr="00522AED" w:rsidRDefault="007D66D9" w:rsidP="00522AED">
            <w:pPr>
              <w:rPr>
                <w:sz w:val="20"/>
                <w:szCs w:val="20"/>
              </w:rPr>
            </w:pPr>
          </w:p>
        </w:tc>
        <w:tc>
          <w:tcPr>
            <w:tcW w:w="1362" w:type="dxa"/>
            <w:hideMark/>
          </w:tcPr>
          <w:p w14:paraId="7908DE02" w14:textId="77777777" w:rsidR="007D66D9" w:rsidRPr="00522AED" w:rsidRDefault="007D66D9" w:rsidP="00522AED">
            <w:pPr>
              <w:cnfStyle w:val="000000000000" w:firstRow="0" w:lastRow="0" w:firstColumn="0" w:lastColumn="0" w:oddVBand="0" w:evenVBand="0" w:oddHBand="0" w:evenHBand="0" w:firstRowFirstColumn="0" w:firstRowLastColumn="0" w:lastRowFirstColumn="0" w:lastRowLastColumn="0"/>
              <w:rPr>
                <w:sz w:val="20"/>
                <w:szCs w:val="20"/>
              </w:rPr>
            </w:pPr>
            <w:r w:rsidRPr="00522AED">
              <w:rPr>
                <w:sz w:val="20"/>
                <w:szCs w:val="20"/>
              </w:rPr>
              <w:t>150</w:t>
            </w:r>
            <w:r w:rsidR="004A676D">
              <w:rPr>
                <w:sz w:val="20"/>
                <w:szCs w:val="20"/>
              </w:rPr>
              <w:t xml:space="preserve"> mg</w:t>
            </w:r>
          </w:p>
        </w:tc>
        <w:tc>
          <w:tcPr>
            <w:tcW w:w="1642" w:type="dxa"/>
            <w:hideMark/>
          </w:tcPr>
          <w:p w14:paraId="6439F121" w14:textId="77777777" w:rsidR="007D66D9" w:rsidRPr="00522AED" w:rsidRDefault="007D66D9" w:rsidP="00522AED">
            <w:pPr>
              <w:cnfStyle w:val="000000000000" w:firstRow="0" w:lastRow="0" w:firstColumn="0" w:lastColumn="0" w:oddVBand="0" w:evenVBand="0" w:oddHBand="0" w:evenHBand="0" w:firstRowFirstColumn="0" w:firstRowLastColumn="0" w:lastRowFirstColumn="0" w:lastRowLastColumn="0"/>
              <w:rPr>
                <w:sz w:val="20"/>
                <w:szCs w:val="20"/>
              </w:rPr>
            </w:pPr>
            <w:r w:rsidRPr="00522AED">
              <w:rPr>
                <w:sz w:val="20"/>
                <w:szCs w:val="20"/>
              </w:rPr>
              <w:t>160857</w:t>
            </w:r>
          </w:p>
        </w:tc>
      </w:tr>
    </w:tbl>
    <w:p w14:paraId="5EA8F23C" w14:textId="77777777" w:rsidR="007D66D9" w:rsidRDefault="007D66D9" w:rsidP="00522AED">
      <w:r w:rsidRPr="00522AED">
        <w:t>The submission proposes registration of the followi</w:t>
      </w:r>
      <w:r w:rsidR="003673F6">
        <w:t>ng</w:t>
      </w:r>
      <w:r w:rsidRPr="00522AED">
        <w:t xml:space="preserve"> </w:t>
      </w:r>
      <w:r w:rsidR="00522AED">
        <w:t>kit dosage forms and stre</w:t>
      </w:r>
      <w:r w:rsidR="003673F6">
        <w:t>ng</w:t>
      </w:r>
      <w:r w:rsidR="00522AED">
        <w:t>ths as shown in Table 2.</w:t>
      </w:r>
    </w:p>
    <w:p w14:paraId="1261CF47" w14:textId="77777777" w:rsidR="00522AED" w:rsidRDefault="00522AED" w:rsidP="00522AED">
      <w:pPr>
        <w:pStyle w:val="Tabletitle"/>
      </w:pPr>
      <w:r>
        <w:t>Table 2</w:t>
      </w:r>
      <w:r w:rsidR="00CD4733">
        <w:t>:</w:t>
      </w:r>
      <w:r>
        <w:t xml:space="preserve"> proposed dosage forms and stre</w:t>
      </w:r>
      <w:r w:rsidR="003673F6">
        <w:t>ng</w:t>
      </w:r>
      <w:r w:rsidR="00CD4733">
        <w:t>ths</w:t>
      </w:r>
    </w:p>
    <w:tbl>
      <w:tblPr>
        <w:tblStyle w:val="TableTGAblue"/>
        <w:tblW w:w="0" w:type="auto"/>
        <w:tblLook w:val="04A0" w:firstRow="1" w:lastRow="0" w:firstColumn="1" w:lastColumn="0" w:noHBand="0" w:noVBand="1"/>
      </w:tblPr>
      <w:tblGrid>
        <w:gridCol w:w="4601"/>
        <w:gridCol w:w="2114"/>
        <w:gridCol w:w="1923"/>
      </w:tblGrid>
      <w:tr w:rsidR="00522AED" w:rsidRPr="00FB0FC4" w14:paraId="7B451713" w14:textId="77777777" w:rsidTr="00D37CB6">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4601" w:type="dxa"/>
          </w:tcPr>
          <w:p w14:paraId="4D598459" w14:textId="77777777" w:rsidR="00522AED" w:rsidRPr="00FB0FC4" w:rsidRDefault="00522AED" w:rsidP="00522AED">
            <w:pPr>
              <w:rPr>
                <w:sz w:val="20"/>
                <w:szCs w:val="20"/>
              </w:rPr>
            </w:pPr>
            <w:r w:rsidRPr="00FB0FC4">
              <w:rPr>
                <w:sz w:val="20"/>
                <w:szCs w:val="20"/>
              </w:rPr>
              <w:t>Components</w:t>
            </w:r>
          </w:p>
        </w:tc>
        <w:tc>
          <w:tcPr>
            <w:tcW w:w="2114" w:type="dxa"/>
          </w:tcPr>
          <w:p w14:paraId="7E3734F4" w14:textId="77777777" w:rsidR="00522AED" w:rsidRPr="00FB0FC4" w:rsidRDefault="00522AED" w:rsidP="00522AED">
            <w:pPr>
              <w:cnfStyle w:val="100000000000" w:firstRow="1" w:lastRow="0" w:firstColumn="0" w:lastColumn="0" w:oddVBand="0" w:evenVBand="0" w:oddHBand="0" w:evenHBand="0" w:firstRowFirstColumn="0" w:firstRowLastColumn="0" w:lastRowFirstColumn="0" w:lastRowLastColumn="0"/>
              <w:rPr>
                <w:sz w:val="20"/>
                <w:szCs w:val="20"/>
              </w:rPr>
            </w:pPr>
            <w:r w:rsidRPr="00FB0FC4">
              <w:rPr>
                <w:sz w:val="20"/>
                <w:szCs w:val="20"/>
              </w:rPr>
              <w:t>Trade name</w:t>
            </w:r>
          </w:p>
        </w:tc>
        <w:tc>
          <w:tcPr>
            <w:tcW w:w="1923" w:type="dxa"/>
          </w:tcPr>
          <w:p w14:paraId="26F760B0" w14:textId="77777777" w:rsidR="00522AED" w:rsidRPr="00FB0FC4" w:rsidRDefault="00522AED" w:rsidP="00522AED">
            <w:pPr>
              <w:cnfStyle w:val="100000000000" w:firstRow="1" w:lastRow="0" w:firstColumn="0" w:lastColumn="0" w:oddVBand="0" w:evenVBand="0" w:oddHBand="0" w:evenHBand="0" w:firstRowFirstColumn="0" w:firstRowLastColumn="0" w:lastRowFirstColumn="0" w:lastRowLastColumn="0"/>
              <w:rPr>
                <w:sz w:val="20"/>
                <w:szCs w:val="20"/>
              </w:rPr>
            </w:pPr>
            <w:r w:rsidRPr="00FB0FC4">
              <w:rPr>
                <w:sz w:val="20"/>
                <w:szCs w:val="20"/>
              </w:rPr>
              <w:t>Stre</w:t>
            </w:r>
            <w:r w:rsidR="003673F6" w:rsidRPr="00FB0FC4">
              <w:rPr>
                <w:sz w:val="20"/>
                <w:szCs w:val="20"/>
              </w:rPr>
              <w:t>ng</w:t>
            </w:r>
            <w:r w:rsidRPr="00FB0FC4">
              <w:rPr>
                <w:sz w:val="20"/>
                <w:szCs w:val="20"/>
              </w:rPr>
              <w:t>ths</w:t>
            </w:r>
          </w:p>
        </w:tc>
      </w:tr>
      <w:tr w:rsidR="00522AED" w:rsidRPr="00FB0FC4" w14:paraId="436BF5A9" w14:textId="77777777" w:rsidTr="006745B7">
        <w:trPr>
          <w:trHeight w:val="466"/>
        </w:trPr>
        <w:tc>
          <w:tcPr>
            <w:cnfStyle w:val="001000000000" w:firstRow="0" w:lastRow="0" w:firstColumn="1" w:lastColumn="0" w:oddVBand="0" w:evenVBand="0" w:oddHBand="0" w:evenHBand="0" w:firstRowFirstColumn="0" w:firstRowLastColumn="0" w:lastRowFirstColumn="0" w:lastRowLastColumn="0"/>
            <w:tcW w:w="4601" w:type="dxa"/>
            <w:vMerge w:val="restart"/>
          </w:tcPr>
          <w:p w14:paraId="24933D9F" w14:textId="77777777" w:rsidR="00522AED" w:rsidRPr="00FB0FC4" w:rsidRDefault="00522AED" w:rsidP="00522AED">
            <w:pPr>
              <w:rPr>
                <w:sz w:val="20"/>
                <w:szCs w:val="20"/>
              </w:rPr>
            </w:pPr>
            <w:r w:rsidRPr="00FB0FC4">
              <w:rPr>
                <w:sz w:val="20"/>
                <w:szCs w:val="20"/>
              </w:rPr>
              <w:t>Paliperidone (as palmitate) modified release injection pre-filled syri</w:t>
            </w:r>
            <w:r w:rsidR="003673F6" w:rsidRPr="00FB0FC4">
              <w:rPr>
                <w:sz w:val="20"/>
                <w:szCs w:val="20"/>
              </w:rPr>
              <w:t>ng</w:t>
            </w:r>
            <w:r w:rsidRPr="00FB0FC4">
              <w:rPr>
                <w:sz w:val="20"/>
                <w:szCs w:val="20"/>
              </w:rPr>
              <w:t>e and 2 safety needles (a 1½ inch 22 gauge safety needle and a 1-inch 22 gauge safety needle)</w:t>
            </w:r>
          </w:p>
        </w:tc>
        <w:tc>
          <w:tcPr>
            <w:tcW w:w="2114" w:type="dxa"/>
            <w:vMerge w:val="restart"/>
          </w:tcPr>
          <w:p w14:paraId="3FAFD135" w14:textId="77777777" w:rsidR="00522AED" w:rsidRPr="00FB0FC4" w:rsidRDefault="00522AED" w:rsidP="00522AED">
            <w:pPr>
              <w:cnfStyle w:val="000000000000" w:firstRow="0" w:lastRow="0" w:firstColumn="0" w:lastColumn="0" w:oddVBand="0" w:evenVBand="0" w:oddHBand="0" w:evenHBand="0" w:firstRowFirstColumn="0" w:firstRowLastColumn="0" w:lastRowFirstColumn="0" w:lastRowLastColumn="0"/>
              <w:rPr>
                <w:sz w:val="20"/>
                <w:szCs w:val="20"/>
              </w:rPr>
            </w:pPr>
            <w:r w:rsidRPr="00FB0FC4">
              <w:rPr>
                <w:sz w:val="20"/>
                <w:szCs w:val="20"/>
              </w:rPr>
              <w:t>Invega Trinza</w:t>
            </w:r>
          </w:p>
        </w:tc>
        <w:tc>
          <w:tcPr>
            <w:tcW w:w="1923" w:type="dxa"/>
          </w:tcPr>
          <w:p w14:paraId="56F9ACED" w14:textId="77777777" w:rsidR="00522AED" w:rsidRPr="00FB0FC4" w:rsidRDefault="0058163A" w:rsidP="00522AED">
            <w:pPr>
              <w:cnfStyle w:val="000000000000" w:firstRow="0" w:lastRow="0" w:firstColumn="0" w:lastColumn="0" w:oddVBand="0" w:evenVBand="0" w:oddHBand="0" w:evenHBand="0" w:firstRowFirstColumn="0" w:firstRowLastColumn="0" w:lastRowFirstColumn="0" w:lastRowLastColumn="0"/>
              <w:rPr>
                <w:sz w:val="20"/>
                <w:szCs w:val="20"/>
              </w:rPr>
            </w:pPr>
            <w:r w:rsidRPr="00FB0FC4">
              <w:rPr>
                <w:sz w:val="20"/>
                <w:szCs w:val="20"/>
              </w:rPr>
              <w:t>175</w:t>
            </w:r>
            <w:r w:rsidR="004A676D" w:rsidRPr="00FB0FC4">
              <w:rPr>
                <w:sz w:val="20"/>
                <w:szCs w:val="20"/>
              </w:rPr>
              <w:t xml:space="preserve"> mg</w:t>
            </w:r>
          </w:p>
        </w:tc>
      </w:tr>
      <w:tr w:rsidR="00522AED" w:rsidRPr="00FB0FC4" w14:paraId="5A88122A" w14:textId="77777777" w:rsidTr="006745B7">
        <w:trPr>
          <w:trHeight w:val="135"/>
        </w:trPr>
        <w:tc>
          <w:tcPr>
            <w:cnfStyle w:val="001000000000" w:firstRow="0" w:lastRow="0" w:firstColumn="1" w:lastColumn="0" w:oddVBand="0" w:evenVBand="0" w:oddHBand="0" w:evenHBand="0" w:firstRowFirstColumn="0" w:firstRowLastColumn="0" w:lastRowFirstColumn="0" w:lastRowLastColumn="0"/>
            <w:tcW w:w="4601" w:type="dxa"/>
            <w:vMerge/>
          </w:tcPr>
          <w:p w14:paraId="1FBC2E03" w14:textId="77777777" w:rsidR="00522AED" w:rsidRPr="00FB0FC4" w:rsidRDefault="00522AED" w:rsidP="00522AED">
            <w:pPr>
              <w:rPr>
                <w:sz w:val="20"/>
                <w:szCs w:val="20"/>
              </w:rPr>
            </w:pPr>
          </w:p>
        </w:tc>
        <w:tc>
          <w:tcPr>
            <w:tcW w:w="2114" w:type="dxa"/>
            <w:vMerge/>
          </w:tcPr>
          <w:p w14:paraId="113DE5DC" w14:textId="77777777" w:rsidR="00522AED" w:rsidRPr="00FB0FC4" w:rsidRDefault="00522AED" w:rsidP="00522AED">
            <w:pPr>
              <w:cnfStyle w:val="000000000000" w:firstRow="0" w:lastRow="0" w:firstColumn="0" w:lastColumn="0" w:oddVBand="0" w:evenVBand="0" w:oddHBand="0" w:evenHBand="0" w:firstRowFirstColumn="0" w:firstRowLastColumn="0" w:lastRowFirstColumn="0" w:lastRowLastColumn="0"/>
              <w:rPr>
                <w:sz w:val="20"/>
                <w:szCs w:val="20"/>
              </w:rPr>
            </w:pPr>
          </w:p>
        </w:tc>
        <w:tc>
          <w:tcPr>
            <w:tcW w:w="1923" w:type="dxa"/>
          </w:tcPr>
          <w:p w14:paraId="0EA7E851" w14:textId="77777777" w:rsidR="00522AED" w:rsidRPr="00FB0FC4" w:rsidRDefault="00522AED" w:rsidP="00522AED">
            <w:pPr>
              <w:cnfStyle w:val="000000000000" w:firstRow="0" w:lastRow="0" w:firstColumn="0" w:lastColumn="0" w:oddVBand="0" w:evenVBand="0" w:oddHBand="0" w:evenHBand="0" w:firstRowFirstColumn="0" w:firstRowLastColumn="0" w:lastRowFirstColumn="0" w:lastRowLastColumn="0"/>
              <w:rPr>
                <w:sz w:val="20"/>
                <w:szCs w:val="20"/>
              </w:rPr>
            </w:pPr>
            <w:r w:rsidRPr="00FB0FC4">
              <w:rPr>
                <w:color w:val="000000"/>
                <w:sz w:val="20"/>
                <w:szCs w:val="20"/>
              </w:rPr>
              <w:t>263</w:t>
            </w:r>
            <w:r w:rsidR="004A676D" w:rsidRPr="00FB0FC4">
              <w:rPr>
                <w:color w:val="000000"/>
                <w:sz w:val="20"/>
                <w:szCs w:val="20"/>
              </w:rPr>
              <w:t xml:space="preserve"> mg</w:t>
            </w:r>
          </w:p>
        </w:tc>
      </w:tr>
      <w:tr w:rsidR="00522AED" w:rsidRPr="00FB0FC4" w14:paraId="5F75758F" w14:textId="77777777" w:rsidTr="006745B7">
        <w:trPr>
          <w:trHeight w:val="135"/>
        </w:trPr>
        <w:tc>
          <w:tcPr>
            <w:cnfStyle w:val="001000000000" w:firstRow="0" w:lastRow="0" w:firstColumn="1" w:lastColumn="0" w:oddVBand="0" w:evenVBand="0" w:oddHBand="0" w:evenHBand="0" w:firstRowFirstColumn="0" w:firstRowLastColumn="0" w:lastRowFirstColumn="0" w:lastRowLastColumn="0"/>
            <w:tcW w:w="4601" w:type="dxa"/>
            <w:vMerge/>
          </w:tcPr>
          <w:p w14:paraId="312DAB94" w14:textId="77777777" w:rsidR="00522AED" w:rsidRPr="00FB0FC4" w:rsidRDefault="00522AED" w:rsidP="00522AED">
            <w:pPr>
              <w:rPr>
                <w:sz w:val="20"/>
                <w:szCs w:val="20"/>
              </w:rPr>
            </w:pPr>
          </w:p>
        </w:tc>
        <w:tc>
          <w:tcPr>
            <w:tcW w:w="2114" w:type="dxa"/>
            <w:vMerge/>
          </w:tcPr>
          <w:p w14:paraId="401C09D5" w14:textId="77777777" w:rsidR="00522AED" w:rsidRPr="00FB0FC4" w:rsidRDefault="00522AED" w:rsidP="00522AED">
            <w:pPr>
              <w:cnfStyle w:val="000000000000" w:firstRow="0" w:lastRow="0" w:firstColumn="0" w:lastColumn="0" w:oddVBand="0" w:evenVBand="0" w:oddHBand="0" w:evenHBand="0" w:firstRowFirstColumn="0" w:firstRowLastColumn="0" w:lastRowFirstColumn="0" w:lastRowLastColumn="0"/>
              <w:rPr>
                <w:sz w:val="20"/>
                <w:szCs w:val="20"/>
              </w:rPr>
            </w:pPr>
          </w:p>
        </w:tc>
        <w:tc>
          <w:tcPr>
            <w:tcW w:w="1923" w:type="dxa"/>
          </w:tcPr>
          <w:p w14:paraId="0EB20BA5" w14:textId="77777777" w:rsidR="00522AED" w:rsidRPr="00FB0FC4" w:rsidRDefault="0058163A" w:rsidP="00522AED">
            <w:pPr>
              <w:cnfStyle w:val="000000000000" w:firstRow="0" w:lastRow="0" w:firstColumn="0" w:lastColumn="0" w:oddVBand="0" w:evenVBand="0" w:oddHBand="0" w:evenHBand="0" w:firstRowFirstColumn="0" w:firstRowLastColumn="0" w:lastRowFirstColumn="0" w:lastRowLastColumn="0"/>
              <w:rPr>
                <w:sz w:val="20"/>
                <w:szCs w:val="20"/>
              </w:rPr>
            </w:pPr>
            <w:r w:rsidRPr="00FB0FC4">
              <w:rPr>
                <w:color w:val="000000"/>
                <w:sz w:val="20"/>
                <w:szCs w:val="20"/>
              </w:rPr>
              <w:t>350</w:t>
            </w:r>
            <w:r w:rsidR="004A676D" w:rsidRPr="00FB0FC4">
              <w:rPr>
                <w:color w:val="000000"/>
                <w:sz w:val="20"/>
                <w:szCs w:val="20"/>
              </w:rPr>
              <w:t xml:space="preserve"> mg</w:t>
            </w:r>
          </w:p>
        </w:tc>
      </w:tr>
      <w:tr w:rsidR="00522AED" w:rsidRPr="00FB0FC4" w14:paraId="41578213" w14:textId="77777777" w:rsidTr="006745B7">
        <w:trPr>
          <w:trHeight w:val="135"/>
        </w:trPr>
        <w:tc>
          <w:tcPr>
            <w:cnfStyle w:val="001000000000" w:firstRow="0" w:lastRow="0" w:firstColumn="1" w:lastColumn="0" w:oddVBand="0" w:evenVBand="0" w:oddHBand="0" w:evenHBand="0" w:firstRowFirstColumn="0" w:firstRowLastColumn="0" w:lastRowFirstColumn="0" w:lastRowLastColumn="0"/>
            <w:tcW w:w="4601" w:type="dxa"/>
            <w:vMerge/>
          </w:tcPr>
          <w:p w14:paraId="382BC6C4" w14:textId="77777777" w:rsidR="00522AED" w:rsidRPr="00FB0FC4" w:rsidRDefault="00522AED" w:rsidP="00522AED">
            <w:pPr>
              <w:rPr>
                <w:sz w:val="20"/>
                <w:szCs w:val="20"/>
              </w:rPr>
            </w:pPr>
          </w:p>
        </w:tc>
        <w:tc>
          <w:tcPr>
            <w:tcW w:w="2114" w:type="dxa"/>
            <w:vMerge/>
          </w:tcPr>
          <w:p w14:paraId="0275228D" w14:textId="77777777" w:rsidR="00522AED" w:rsidRPr="00FB0FC4" w:rsidRDefault="00522AED" w:rsidP="00522AED">
            <w:pPr>
              <w:cnfStyle w:val="000000000000" w:firstRow="0" w:lastRow="0" w:firstColumn="0" w:lastColumn="0" w:oddVBand="0" w:evenVBand="0" w:oddHBand="0" w:evenHBand="0" w:firstRowFirstColumn="0" w:firstRowLastColumn="0" w:lastRowFirstColumn="0" w:lastRowLastColumn="0"/>
              <w:rPr>
                <w:sz w:val="20"/>
                <w:szCs w:val="20"/>
              </w:rPr>
            </w:pPr>
          </w:p>
        </w:tc>
        <w:tc>
          <w:tcPr>
            <w:tcW w:w="1923" w:type="dxa"/>
          </w:tcPr>
          <w:p w14:paraId="62BB2A6D" w14:textId="77777777" w:rsidR="00522AED" w:rsidRPr="00FB0FC4" w:rsidRDefault="0058163A" w:rsidP="00522AED">
            <w:pPr>
              <w:cnfStyle w:val="000000000000" w:firstRow="0" w:lastRow="0" w:firstColumn="0" w:lastColumn="0" w:oddVBand="0" w:evenVBand="0" w:oddHBand="0" w:evenHBand="0" w:firstRowFirstColumn="0" w:firstRowLastColumn="0" w:lastRowFirstColumn="0" w:lastRowLastColumn="0"/>
              <w:rPr>
                <w:sz w:val="20"/>
                <w:szCs w:val="20"/>
              </w:rPr>
            </w:pPr>
            <w:r w:rsidRPr="00FB0FC4">
              <w:rPr>
                <w:color w:val="000000"/>
                <w:sz w:val="20"/>
                <w:szCs w:val="20"/>
              </w:rPr>
              <w:t>525</w:t>
            </w:r>
            <w:r w:rsidR="004A676D" w:rsidRPr="00FB0FC4">
              <w:rPr>
                <w:color w:val="000000"/>
                <w:sz w:val="20"/>
                <w:szCs w:val="20"/>
              </w:rPr>
              <w:t xml:space="preserve"> mg</w:t>
            </w:r>
          </w:p>
        </w:tc>
      </w:tr>
      <w:tr w:rsidR="0058163A" w:rsidRPr="00FB0FC4" w14:paraId="415AED4D" w14:textId="77777777" w:rsidTr="006745B7">
        <w:trPr>
          <w:trHeight w:val="466"/>
        </w:trPr>
        <w:tc>
          <w:tcPr>
            <w:cnfStyle w:val="001000000000" w:firstRow="0" w:lastRow="0" w:firstColumn="1" w:lastColumn="0" w:oddVBand="0" w:evenVBand="0" w:oddHBand="0" w:evenHBand="0" w:firstRowFirstColumn="0" w:firstRowLastColumn="0" w:lastRowFirstColumn="0" w:lastRowLastColumn="0"/>
            <w:tcW w:w="4601" w:type="dxa"/>
            <w:vMerge w:val="restart"/>
          </w:tcPr>
          <w:p w14:paraId="5525E1A7" w14:textId="77777777" w:rsidR="0058163A" w:rsidRPr="00FB0FC4" w:rsidRDefault="0058163A" w:rsidP="00522AED">
            <w:pPr>
              <w:rPr>
                <w:sz w:val="20"/>
                <w:szCs w:val="20"/>
              </w:rPr>
            </w:pPr>
            <w:r w:rsidRPr="00FB0FC4">
              <w:rPr>
                <w:sz w:val="20"/>
                <w:szCs w:val="20"/>
              </w:rPr>
              <w:t>Paliperidone (as palmitate) modified release injection pre-filled syri</w:t>
            </w:r>
            <w:r w:rsidR="003673F6" w:rsidRPr="00FB0FC4">
              <w:rPr>
                <w:sz w:val="20"/>
                <w:szCs w:val="20"/>
              </w:rPr>
              <w:t>ng</w:t>
            </w:r>
            <w:r w:rsidRPr="00FB0FC4">
              <w:rPr>
                <w:sz w:val="20"/>
                <w:szCs w:val="20"/>
              </w:rPr>
              <w:t>e and 2 safety needles (a 1½ inch 22 gauge safety needle and a 1-inch 22 gauge safety needle)</w:t>
            </w:r>
          </w:p>
        </w:tc>
        <w:tc>
          <w:tcPr>
            <w:tcW w:w="2114" w:type="dxa"/>
            <w:vMerge w:val="restart"/>
          </w:tcPr>
          <w:p w14:paraId="294E99D6" w14:textId="77777777" w:rsidR="0058163A" w:rsidRPr="00FB0FC4" w:rsidRDefault="0058163A" w:rsidP="00522AED">
            <w:pPr>
              <w:cnfStyle w:val="000000000000" w:firstRow="0" w:lastRow="0" w:firstColumn="0" w:lastColumn="0" w:oddVBand="0" w:evenVBand="0" w:oddHBand="0" w:evenHBand="0" w:firstRowFirstColumn="0" w:firstRowLastColumn="0" w:lastRowFirstColumn="0" w:lastRowLastColumn="0"/>
              <w:rPr>
                <w:sz w:val="20"/>
                <w:szCs w:val="20"/>
              </w:rPr>
            </w:pPr>
            <w:r w:rsidRPr="00FB0FC4">
              <w:rPr>
                <w:color w:val="000000"/>
                <w:sz w:val="20"/>
                <w:szCs w:val="20"/>
              </w:rPr>
              <w:t>Trevicta</w:t>
            </w:r>
          </w:p>
        </w:tc>
        <w:tc>
          <w:tcPr>
            <w:tcW w:w="1923" w:type="dxa"/>
          </w:tcPr>
          <w:p w14:paraId="47707C3C" w14:textId="77777777" w:rsidR="0058163A" w:rsidRPr="00FB0FC4" w:rsidRDefault="0058163A" w:rsidP="00522AED">
            <w:pPr>
              <w:cnfStyle w:val="000000000000" w:firstRow="0" w:lastRow="0" w:firstColumn="0" w:lastColumn="0" w:oddVBand="0" w:evenVBand="0" w:oddHBand="0" w:evenHBand="0" w:firstRowFirstColumn="0" w:firstRowLastColumn="0" w:lastRowFirstColumn="0" w:lastRowLastColumn="0"/>
              <w:rPr>
                <w:sz w:val="20"/>
                <w:szCs w:val="20"/>
              </w:rPr>
            </w:pPr>
            <w:r w:rsidRPr="00FB0FC4">
              <w:rPr>
                <w:sz w:val="20"/>
                <w:szCs w:val="20"/>
              </w:rPr>
              <w:t>175</w:t>
            </w:r>
            <w:r w:rsidR="004A676D" w:rsidRPr="00FB0FC4">
              <w:rPr>
                <w:sz w:val="20"/>
                <w:szCs w:val="20"/>
              </w:rPr>
              <w:t xml:space="preserve"> mg</w:t>
            </w:r>
          </w:p>
        </w:tc>
      </w:tr>
      <w:tr w:rsidR="0058163A" w:rsidRPr="00FB0FC4" w14:paraId="720B425F" w14:textId="77777777" w:rsidTr="006745B7">
        <w:trPr>
          <w:trHeight w:val="135"/>
        </w:trPr>
        <w:tc>
          <w:tcPr>
            <w:cnfStyle w:val="001000000000" w:firstRow="0" w:lastRow="0" w:firstColumn="1" w:lastColumn="0" w:oddVBand="0" w:evenVBand="0" w:oddHBand="0" w:evenHBand="0" w:firstRowFirstColumn="0" w:firstRowLastColumn="0" w:lastRowFirstColumn="0" w:lastRowLastColumn="0"/>
            <w:tcW w:w="4601" w:type="dxa"/>
            <w:vMerge/>
          </w:tcPr>
          <w:p w14:paraId="584E8534" w14:textId="77777777" w:rsidR="0058163A" w:rsidRPr="00FB0FC4" w:rsidRDefault="0058163A" w:rsidP="00522AED">
            <w:pPr>
              <w:rPr>
                <w:sz w:val="20"/>
                <w:szCs w:val="20"/>
              </w:rPr>
            </w:pPr>
          </w:p>
        </w:tc>
        <w:tc>
          <w:tcPr>
            <w:tcW w:w="2114" w:type="dxa"/>
            <w:vMerge/>
          </w:tcPr>
          <w:p w14:paraId="5758FAC0" w14:textId="77777777" w:rsidR="0058163A" w:rsidRPr="00FB0FC4" w:rsidRDefault="0058163A" w:rsidP="00522AED">
            <w:pPr>
              <w:cnfStyle w:val="000000000000" w:firstRow="0" w:lastRow="0" w:firstColumn="0" w:lastColumn="0" w:oddVBand="0" w:evenVBand="0" w:oddHBand="0" w:evenHBand="0" w:firstRowFirstColumn="0" w:firstRowLastColumn="0" w:lastRowFirstColumn="0" w:lastRowLastColumn="0"/>
              <w:rPr>
                <w:sz w:val="20"/>
                <w:szCs w:val="20"/>
              </w:rPr>
            </w:pPr>
          </w:p>
        </w:tc>
        <w:tc>
          <w:tcPr>
            <w:tcW w:w="1923" w:type="dxa"/>
          </w:tcPr>
          <w:p w14:paraId="0B986FF2" w14:textId="77777777" w:rsidR="0058163A" w:rsidRPr="00FB0FC4" w:rsidRDefault="0058163A" w:rsidP="00522AED">
            <w:pPr>
              <w:cnfStyle w:val="000000000000" w:firstRow="0" w:lastRow="0" w:firstColumn="0" w:lastColumn="0" w:oddVBand="0" w:evenVBand="0" w:oddHBand="0" w:evenHBand="0" w:firstRowFirstColumn="0" w:firstRowLastColumn="0" w:lastRowFirstColumn="0" w:lastRowLastColumn="0"/>
              <w:rPr>
                <w:sz w:val="20"/>
                <w:szCs w:val="20"/>
              </w:rPr>
            </w:pPr>
            <w:r w:rsidRPr="00FB0FC4">
              <w:rPr>
                <w:color w:val="000000"/>
                <w:sz w:val="20"/>
                <w:szCs w:val="20"/>
              </w:rPr>
              <w:t>263</w:t>
            </w:r>
            <w:r w:rsidR="004A676D" w:rsidRPr="00FB0FC4">
              <w:rPr>
                <w:color w:val="000000"/>
                <w:sz w:val="20"/>
                <w:szCs w:val="20"/>
              </w:rPr>
              <w:t xml:space="preserve"> mg</w:t>
            </w:r>
          </w:p>
        </w:tc>
      </w:tr>
      <w:tr w:rsidR="0058163A" w:rsidRPr="00FB0FC4" w14:paraId="4E06ABBF" w14:textId="77777777" w:rsidTr="006745B7">
        <w:trPr>
          <w:trHeight w:val="135"/>
        </w:trPr>
        <w:tc>
          <w:tcPr>
            <w:cnfStyle w:val="001000000000" w:firstRow="0" w:lastRow="0" w:firstColumn="1" w:lastColumn="0" w:oddVBand="0" w:evenVBand="0" w:oddHBand="0" w:evenHBand="0" w:firstRowFirstColumn="0" w:firstRowLastColumn="0" w:lastRowFirstColumn="0" w:lastRowLastColumn="0"/>
            <w:tcW w:w="4601" w:type="dxa"/>
            <w:vMerge/>
          </w:tcPr>
          <w:p w14:paraId="34FE1DD7" w14:textId="77777777" w:rsidR="0058163A" w:rsidRPr="00FB0FC4" w:rsidRDefault="0058163A" w:rsidP="00522AED">
            <w:pPr>
              <w:rPr>
                <w:sz w:val="20"/>
                <w:szCs w:val="20"/>
              </w:rPr>
            </w:pPr>
          </w:p>
        </w:tc>
        <w:tc>
          <w:tcPr>
            <w:tcW w:w="2114" w:type="dxa"/>
            <w:vMerge/>
          </w:tcPr>
          <w:p w14:paraId="13CB872B" w14:textId="77777777" w:rsidR="0058163A" w:rsidRPr="00FB0FC4" w:rsidRDefault="0058163A" w:rsidP="00522AED">
            <w:pPr>
              <w:cnfStyle w:val="000000000000" w:firstRow="0" w:lastRow="0" w:firstColumn="0" w:lastColumn="0" w:oddVBand="0" w:evenVBand="0" w:oddHBand="0" w:evenHBand="0" w:firstRowFirstColumn="0" w:firstRowLastColumn="0" w:lastRowFirstColumn="0" w:lastRowLastColumn="0"/>
              <w:rPr>
                <w:sz w:val="20"/>
                <w:szCs w:val="20"/>
              </w:rPr>
            </w:pPr>
          </w:p>
        </w:tc>
        <w:tc>
          <w:tcPr>
            <w:tcW w:w="1923" w:type="dxa"/>
          </w:tcPr>
          <w:p w14:paraId="020D29BB" w14:textId="77777777" w:rsidR="0058163A" w:rsidRPr="00FB0FC4" w:rsidRDefault="0058163A" w:rsidP="00522AED">
            <w:pPr>
              <w:cnfStyle w:val="000000000000" w:firstRow="0" w:lastRow="0" w:firstColumn="0" w:lastColumn="0" w:oddVBand="0" w:evenVBand="0" w:oddHBand="0" w:evenHBand="0" w:firstRowFirstColumn="0" w:firstRowLastColumn="0" w:lastRowFirstColumn="0" w:lastRowLastColumn="0"/>
              <w:rPr>
                <w:sz w:val="20"/>
                <w:szCs w:val="20"/>
              </w:rPr>
            </w:pPr>
            <w:r w:rsidRPr="00FB0FC4">
              <w:rPr>
                <w:color w:val="000000"/>
                <w:sz w:val="20"/>
                <w:szCs w:val="20"/>
              </w:rPr>
              <w:t>350</w:t>
            </w:r>
            <w:r w:rsidR="004A676D" w:rsidRPr="00FB0FC4">
              <w:rPr>
                <w:color w:val="000000"/>
                <w:sz w:val="20"/>
                <w:szCs w:val="20"/>
              </w:rPr>
              <w:t xml:space="preserve"> mg</w:t>
            </w:r>
          </w:p>
        </w:tc>
      </w:tr>
      <w:tr w:rsidR="0058163A" w:rsidRPr="00FB0FC4" w14:paraId="31645D47" w14:textId="77777777" w:rsidTr="006745B7">
        <w:trPr>
          <w:trHeight w:val="421"/>
        </w:trPr>
        <w:tc>
          <w:tcPr>
            <w:cnfStyle w:val="001000000000" w:firstRow="0" w:lastRow="0" w:firstColumn="1" w:lastColumn="0" w:oddVBand="0" w:evenVBand="0" w:oddHBand="0" w:evenHBand="0" w:firstRowFirstColumn="0" w:firstRowLastColumn="0" w:lastRowFirstColumn="0" w:lastRowLastColumn="0"/>
            <w:tcW w:w="4601" w:type="dxa"/>
            <w:vMerge/>
          </w:tcPr>
          <w:p w14:paraId="70F79CCC" w14:textId="77777777" w:rsidR="0058163A" w:rsidRPr="00FB0FC4" w:rsidRDefault="0058163A" w:rsidP="00522AED">
            <w:pPr>
              <w:rPr>
                <w:sz w:val="20"/>
                <w:szCs w:val="20"/>
              </w:rPr>
            </w:pPr>
          </w:p>
        </w:tc>
        <w:tc>
          <w:tcPr>
            <w:tcW w:w="2114" w:type="dxa"/>
            <w:vMerge/>
          </w:tcPr>
          <w:p w14:paraId="664729DB" w14:textId="77777777" w:rsidR="0058163A" w:rsidRPr="00FB0FC4" w:rsidRDefault="0058163A" w:rsidP="00522AED">
            <w:pPr>
              <w:cnfStyle w:val="000000000000" w:firstRow="0" w:lastRow="0" w:firstColumn="0" w:lastColumn="0" w:oddVBand="0" w:evenVBand="0" w:oddHBand="0" w:evenHBand="0" w:firstRowFirstColumn="0" w:firstRowLastColumn="0" w:lastRowFirstColumn="0" w:lastRowLastColumn="0"/>
              <w:rPr>
                <w:sz w:val="20"/>
                <w:szCs w:val="20"/>
              </w:rPr>
            </w:pPr>
          </w:p>
        </w:tc>
        <w:tc>
          <w:tcPr>
            <w:tcW w:w="1923" w:type="dxa"/>
          </w:tcPr>
          <w:p w14:paraId="531D9830" w14:textId="77777777" w:rsidR="0058163A" w:rsidRPr="00FB0FC4" w:rsidRDefault="0058163A" w:rsidP="00522AED">
            <w:pPr>
              <w:cnfStyle w:val="000000000000" w:firstRow="0" w:lastRow="0" w:firstColumn="0" w:lastColumn="0" w:oddVBand="0" w:evenVBand="0" w:oddHBand="0" w:evenHBand="0" w:firstRowFirstColumn="0" w:firstRowLastColumn="0" w:lastRowFirstColumn="0" w:lastRowLastColumn="0"/>
              <w:rPr>
                <w:sz w:val="20"/>
                <w:szCs w:val="20"/>
              </w:rPr>
            </w:pPr>
            <w:r w:rsidRPr="00FB0FC4">
              <w:rPr>
                <w:color w:val="000000"/>
                <w:sz w:val="20"/>
                <w:szCs w:val="20"/>
              </w:rPr>
              <w:t>525</w:t>
            </w:r>
            <w:r w:rsidR="004A676D" w:rsidRPr="00FB0FC4">
              <w:rPr>
                <w:color w:val="000000"/>
                <w:sz w:val="20"/>
                <w:szCs w:val="20"/>
              </w:rPr>
              <w:t xml:space="preserve"> mg</w:t>
            </w:r>
          </w:p>
        </w:tc>
      </w:tr>
    </w:tbl>
    <w:p w14:paraId="725B3F96" w14:textId="77777777" w:rsidR="00522AED" w:rsidRPr="00522AED" w:rsidRDefault="00522AED" w:rsidP="00522AED"/>
    <w:p w14:paraId="31A352AE" w14:textId="77777777" w:rsidR="007D66D9" w:rsidRPr="007D66D9" w:rsidRDefault="007D66D9" w:rsidP="002F28A2">
      <w:pPr>
        <w:pStyle w:val="Comment"/>
      </w:pPr>
      <w:r w:rsidRPr="007D66D9">
        <w:rPr>
          <w:b/>
          <w:color w:val="000000"/>
        </w:rPr>
        <w:t>Comment:</w:t>
      </w:r>
      <w:r w:rsidRPr="007D66D9">
        <w:rPr>
          <w:color w:val="000000"/>
        </w:rPr>
        <w:t xml:space="preserve"> Accordi</w:t>
      </w:r>
      <w:r w:rsidR="003673F6">
        <w:rPr>
          <w:color w:val="000000"/>
        </w:rPr>
        <w:t>ng</w:t>
      </w:r>
      <w:r w:rsidRPr="007D66D9">
        <w:rPr>
          <w:color w:val="000000"/>
        </w:rPr>
        <w:t xml:space="preserve"> to the proposed and existi</w:t>
      </w:r>
      <w:r w:rsidR="003673F6">
        <w:rPr>
          <w:color w:val="000000"/>
        </w:rPr>
        <w:t>ng</w:t>
      </w:r>
      <w:r w:rsidRPr="007D66D9">
        <w:rPr>
          <w:color w:val="000000"/>
        </w:rPr>
        <w:t xml:space="preserve"> PIs there are differences between the Kits in one of the needles supplied and in the excipients.</w:t>
      </w:r>
    </w:p>
    <w:p w14:paraId="61A7BA58" w14:textId="77777777" w:rsidR="007D66D9" w:rsidRPr="007D66D9" w:rsidRDefault="007D66D9" w:rsidP="007D66D9">
      <w:pPr>
        <w:pStyle w:val="Heading3"/>
      </w:pPr>
      <w:bookmarkStart w:id="21" w:name="_Toc272414598"/>
      <w:bookmarkStart w:id="22" w:name="_Toc290846220"/>
      <w:bookmarkStart w:id="23" w:name="_Toc290888757"/>
      <w:bookmarkStart w:id="24" w:name="_Toc453054852"/>
      <w:bookmarkStart w:id="25" w:name="_Toc495583928"/>
      <w:r w:rsidRPr="007D66D9">
        <w:t>Dosage and administration</w:t>
      </w:r>
      <w:bookmarkEnd w:id="21"/>
      <w:bookmarkEnd w:id="22"/>
      <w:bookmarkEnd w:id="23"/>
      <w:bookmarkEnd w:id="24"/>
      <w:bookmarkEnd w:id="25"/>
    </w:p>
    <w:p w14:paraId="7AA4B9B3" w14:textId="77777777" w:rsidR="007D66D9" w:rsidRPr="006745B7" w:rsidRDefault="007D66D9" w:rsidP="006745B7">
      <w:r w:rsidRPr="006745B7">
        <w:t xml:space="preserve">The </w:t>
      </w:r>
      <w:r w:rsidR="0058163A" w:rsidRPr="006745B7">
        <w:t xml:space="preserve">dosage and administration </w:t>
      </w:r>
      <w:r w:rsidRPr="006745B7">
        <w:t>section shows considerable variation from that of Invega Sustenna, as does the Administration Instructions.</w:t>
      </w:r>
    </w:p>
    <w:p w14:paraId="1C751246" w14:textId="77777777" w:rsidR="007D66D9" w:rsidRPr="006745B7" w:rsidRDefault="007D66D9" w:rsidP="006745B7">
      <w:r w:rsidRPr="006745B7">
        <w:t>The evidence for efficacy and repeat exposure was based on Study 3012 (almost all participants had a si</w:t>
      </w:r>
      <w:r w:rsidR="003673F6" w:rsidRPr="006745B7">
        <w:t>ng</w:t>
      </w:r>
      <w:r w:rsidRPr="006745B7">
        <w:t>le 3 month dose) and Study 3011 (most participants had 4 doses of the 3month formulation).</w:t>
      </w:r>
    </w:p>
    <w:p w14:paraId="524ABFDA" w14:textId="77777777" w:rsidR="007D66D9" w:rsidRPr="006745B7" w:rsidRDefault="007D66D9" w:rsidP="006745B7">
      <w:r w:rsidRPr="006745B7">
        <w:t xml:space="preserve">Invega Trinza is to be used only after the </w:t>
      </w:r>
      <w:r w:rsidR="0058163A" w:rsidRPr="006745B7">
        <w:t>1 month</w:t>
      </w:r>
      <w:r w:rsidRPr="006745B7">
        <w:t xml:space="preserve"> paliperidone palmitate injectable product has been established as adequate treatment for at least four months. In order to establish a consistent maintenance dose, it is recommended that the last two doses of the </w:t>
      </w:r>
      <w:r w:rsidR="0058163A" w:rsidRPr="006745B7">
        <w:t>1 month</w:t>
      </w:r>
      <w:r w:rsidRPr="006745B7">
        <w:t xml:space="preserve"> injection be the same dosage stre</w:t>
      </w:r>
      <w:r w:rsidR="003673F6" w:rsidRPr="006745B7">
        <w:t>ng</w:t>
      </w:r>
      <w:r w:rsidRPr="006745B7">
        <w:t>th before starti</w:t>
      </w:r>
      <w:r w:rsidR="003673F6" w:rsidRPr="006745B7">
        <w:t>ng</w:t>
      </w:r>
      <w:r w:rsidRPr="006745B7">
        <w:t xml:space="preserve"> Invega Trinza.</w:t>
      </w:r>
    </w:p>
    <w:p w14:paraId="18AEDF6C" w14:textId="77777777" w:rsidR="007D66D9" w:rsidRPr="007D66D9" w:rsidRDefault="007D66D9" w:rsidP="002F28A2">
      <w:pPr>
        <w:rPr>
          <w:rFonts w:cs="Arial"/>
          <w:color w:val="000000"/>
        </w:rPr>
      </w:pPr>
      <w:r w:rsidRPr="007D66D9">
        <w:rPr>
          <w:rFonts w:cs="Arial"/>
          <w:color w:val="000000"/>
        </w:rPr>
        <w:lastRenderedPageBreak/>
        <w:t xml:space="preserve">Initiate Invega Trinza at the time when the next </w:t>
      </w:r>
      <w:r w:rsidR="0058163A">
        <w:rPr>
          <w:rFonts w:cs="Arial"/>
          <w:color w:val="000000"/>
        </w:rPr>
        <w:t>1 month</w:t>
      </w:r>
      <w:r w:rsidRPr="007D66D9">
        <w:rPr>
          <w:rFonts w:cs="Arial"/>
          <w:color w:val="000000"/>
        </w:rPr>
        <w:t xml:space="preserve"> paliperidone palmitate dose was to be scheduled with a</w:t>
      </w:r>
      <w:r w:rsidR="00F82F7B">
        <w:rPr>
          <w:rFonts w:cs="Arial"/>
          <w:color w:val="000000"/>
        </w:rPr>
        <w:t>n</w:t>
      </w:r>
      <w:r w:rsidRPr="007D66D9">
        <w:rPr>
          <w:rFonts w:cs="Arial"/>
          <w:color w:val="000000"/>
        </w:rPr>
        <w:t xml:space="preserve"> Invega Trinza dose based on the previous </w:t>
      </w:r>
      <w:r w:rsidR="0058163A">
        <w:rPr>
          <w:rFonts w:cs="Arial"/>
          <w:color w:val="000000"/>
        </w:rPr>
        <w:t>1 month</w:t>
      </w:r>
      <w:r w:rsidRPr="007D66D9">
        <w:rPr>
          <w:rFonts w:cs="Arial"/>
          <w:color w:val="000000"/>
        </w:rPr>
        <w:t xml:space="preserve"> injection dose as shown in </w:t>
      </w:r>
      <w:r w:rsidR="00F82F7B">
        <w:rPr>
          <w:rFonts w:cs="Arial"/>
          <w:color w:val="000000"/>
        </w:rPr>
        <w:t>Table 3.</w:t>
      </w:r>
    </w:p>
    <w:p w14:paraId="07BDE1D1" w14:textId="77777777" w:rsidR="007D66D9" w:rsidRPr="007D66D9" w:rsidRDefault="007D66D9" w:rsidP="002F28A2">
      <w:pPr>
        <w:rPr>
          <w:rFonts w:cs="Arial"/>
          <w:color w:val="000000"/>
        </w:rPr>
      </w:pPr>
      <w:r w:rsidRPr="007D66D9">
        <w:rPr>
          <w:rFonts w:cs="Arial"/>
          <w:color w:val="000000"/>
        </w:rPr>
        <w:t xml:space="preserve">Invega Trinza may be administered up to </w:t>
      </w:r>
      <w:r w:rsidRPr="002F28A2">
        <w:rPr>
          <w:rFonts w:cs="Arial"/>
          <w:color w:val="000000"/>
        </w:rPr>
        <w:t>7 days before or after the monthly time point</w:t>
      </w:r>
      <w:r w:rsidRPr="007D66D9">
        <w:rPr>
          <w:rFonts w:cs="Arial"/>
          <w:color w:val="000000"/>
        </w:rPr>
        <w:t xml:space="preserve"> of the next scheduled paliperidone palmitate </w:t>
      </w:r>
      <w:r w:rsidR="0058163A">
        <w:rPr>
          <w:rFonts w:cs="Arial"/>
          <w:color w:val="000000"/>
        </w:rPr>
        <w:t>1 month</w:t>
      </w:r>
      <w:r w:rsidRPr="007D66D9">
        <w:rPr>
          <w:rFonts w:cs="Arial"/>
          <w:color w:val="000000"/>
        </w:rPr>
        <w:t xml:space="preserve"> </w:t>
      </w:r>
      <w:r w:rsidRPr="0058163A">
        <w:rPr>
          <w:rFonts w:cs="Arial"/>
          <w:color w:val="000000"/>
        </w:rPr>
        <w:t>dose.</w:t>
      </w:r>
      <w:r w:rsidRPr="0058163A">
        <w:rPr>
          <w:rStyle w:val="FootnoteReference"/>
          <w:rFonts w:cs="Arial"/>
          <w:color w:val="000000"/>
        </w:rPr>
        <w:footnoteReference w:id="1"/>
      </w:r>
    </w:p>
    <w:p w14:paraId="1A8CCF84" w14:textId="77777777" w:rsidR="007D66D9" w:rsidRPr="002F28A2" w:rsidRDefault="00F82F7B" w:rsidP="0058163A">
      <w:pPr>
        <w:pStyle w:val="Tabletitle"/>
      </w:pPr>
      <w:r w:rsidRPr="00F82F7B">
        <w:t>Table</w:t>
      </w:r>
      <w:r w:rsidR="00CD4733">
        <w:t>:</w:t>
      </w:r>
      <w:r w:rsidRPr="00F82F7B">
        <w:t xml:space="preserve"> 3</w:t>
      </w:r>
      <w:r w:rsidR="0058163A" w:rsidRPr="00F82F7B">
        <w:t>:</w:t>
      </w:r>
      <w:r w:rsidR="007D66D9" w:rsidRPr="002F28A2">
        <w:t xml:space="preserve"> Conversion </w:t>
      </w:r>
      <w:r w:rsidR="00935764" w:rsidRPr="002F28A2">
        <w:t xml:space="preserve">from the last paliperidone palmitate </w:t>
      </w:r>
      <w:r w:rsidR="00935764">
        <w:t>1 month</w:t>
      </w:r>
      <w:r w:rsidR="00935764" w:rsidRPr="002F28A2">
        <w:t xml:space="preserve"> injectable product dose to the paliperidone palmitate </w:t>
      </w:r>
      <w:r w:rsidR="00935764">
        <w:t>3 month</w:t>
      </w:r>
      <w:r w:rsidR="00935764" w:rsidRPr="002F28A2">
        <w:t xml:space="preserve"> injectable prod</w:t>
      </w:r>
      <w:r w:rsidR="007D66D9" w:rsidRPr="002F28A2">
        <w:t>uct (</w:t>
      </w:r>
      <w:r w:rsidR="0058163A">
        <w:t>Invega Trinza</w:t>
      </w:r>
      <w:r w:rsidR="007D66D9" w:rsidRPr="002F28A2">
        <w:t xml:space="preserve">) </w:t>
      </w:r>
      <w:r w:rsidR="00935764" w:rsidRPr="002F28A2">
        <w:t>dose usi</w:t>
      </w:r>
      <w:r w:rsidR="003673F6">
        <w:t>ng</w:t>
      </w:r>
      <w:r w:rsidR="00935764" w:rsidRPr="002F28A2">
        <w:t xml:space="preserve"> 3.5 as a multiplier</w:t>
      </w:r>
    </w:p>
    <w:p w14:paraId="2701C476" w14:textId="77777777" w:rsidR="007D66D9" w:rsidRPr="007D66D9" w:rsidRDefault="007D66D9" w:rsidP="007D66D9">
      <w:pPr>
        <w:rPr>
          <w:color w:val="000000"/>
        </w:rPr>
      </w:pPr>
      <w:r w:rsidRPr="007D66D9">
        <w:rPr>
          <w:noProof/>
          <w:color w:val="000000"/>
          <w:lang w:eastAsia="en-AU"/>
        </w:rPr>
        <w:drawing>
          <wp:inline distT="0" distB="0" distL="0" distR="0" wp14:anchorId="58D918F7" wp14:editId="1B9F9F76">
            <wp:extent cx="3043123" cy="1563363"/>
            <wp:effectExtent l="0" t="0" r="5080" b="0"/>
            <wp:docPr id="44" name="Picture 44" descr="Table 3: Conversion from the last paliperidone palmitate 1 month injectable product dose to the paliperidone palmitate 3 month injectable product (Invega Trinza) dose using 3.5 as a multi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2855" cy="1563225"/>
                    </a:xfrm>
                    <a:prstGeom prst="rect">
                      <a:avLst/>
                    </a:prstGeom>
                  </pic:spPr>
                </pic:pic>
              </a:graphicData>
            </a:graphic>
          </wp:inline>
        </w:drawing>
      </w:r>
    </w:p>
    <w:p w14:paraId="09DA9D9D" w14:textId="77777777" w:rsidR="007D66D9" w:rsidRPr="007D66D9" w:rsidRDefault="007D66D9" w:rsidP="002F28A2">
      <w:pPr>
        <w:rPr>
          <w:rFonts w:cs="Arial"/>
          <w:color w:val="000000"/>
        </w:rPr>
      </w:pPr>
      <w:r w:rsidRPr="007D66D9">
        <w:rPr>
          <w:rFonts w:cs="Arial"/>
          <w:color w:val="000000"/>
        </w:rPr>
        <w:t>Followi</w:t>
      </w:r>
      <w:r w:rsidR="003673F6">
        <w:rPr>
          <w:rFonts w:cs="Arial"/>
          <w:color w:val="000000"/>
        </w:rPr>
        <w:t>ng</w:t>
      </w:r>
      <w:r w:rsidRPr="007D66D9">
        <w:rPr>
          <w:rFonts w:cs="Arial"/>
          <w:color w:val="000000"/>
        </w:rPr>
        <w:t xml:space="preserve"> the initial Invega Trinza dose, Invega Trinza should be administered every 3 months. If needed, dose adjustment can be made every 3 months in increments within the ra</w:t>
      </w:r>
      <w:r w:rsidR="003673F6">
        <w:rPr>
          <w:rFonts w:cs="Arial"/>
          <w:color w:val="000000"/>
        </w:rPr>
        <w:t>ng</w:t>
      </w:r>
      <w:r w:rsidRPr="007D66D9">
        <w:rPr>
          <w:rFonts w:cs="Arial"/>
          <w:color w:val="000000"/>
        </w:rPr>
        <w:t xml:space="preserve">e of </w:t>
      </w:r>
      <w:r w:rsidR="0058163A">
        <w:rPr>
          <w:rFonts w:cs="Arial"/>
          <w:color w:val="000000"/>
        </w:rPr>
        <w:t>175</w:t>
      </w:r>
      <w:r w:rsidR="004A676D">
        <w:rPr>
          <w:rFonts w:cs="Arial"/>
          <w:color w:val="000000"/>
        </w:rPr>
        <w:t xml:space="preserve"> mg</w:t>
      </w:r>
      <w:r w:rsidRPr="007D66D9">
        <w:rPr>
          <w:rFonts w:cs="Arial"/>
          <w:color w:val="000000"/>
        </w:rPr>
        <w:t xml:space="preserve"> to </w:t>
      </w:r>
      <w:r w:rsidR="0058163A">
        <w:rPr>
          <w:rFonts w:cs="Arial"/>
          <w:color w:val="000000"/>
        </w:rPr>
        <w:t>525</w:t>
      </w:r>
      <w:r w:rsidR="004A676D">
        <w:rPr>
          <w:rFonts w:cs="Arial"/>
          <w:color w:val="000000"/>
        </w:rPr>
        <w:t xml:space="preserve"> mg</w:t>
      </w:r>
      <w:r w:rsidRPr="007D66D9">
        <w:rPr>
          <w:rFonts w:cs="Arial"/>
          <w:color w:val="000000"/>
        </w:rPr>
        <w:t xml:space="preserve"> based on individual patient tolerability a</w:t>
      </w:r>
      <w:r w:rsidR="00F82F7B">
        <w:rPr>
          <w:rFonts w:cs="Arial"/>
          <w:color w:val="000000"/>
        </w:rPr>
        <w:t>nd/or efficacy. Due to the lo</w:t>
      </w:r>
      <w:r w:rsidR="003673F6">
        <w:rPr>
          <w:rFonts w:cs="Arial"/>
          <w:color w:val="000000"/>
        </w:rPr>
        <w:t>ng</w:t>
      </w:r>
      <w:r w:rsidR="00F82F7B">
        <w:rPr>
          <w:rFonts w:cs="Arial"/>
          <w:color w:val="000000"/>
        </w:rPr>
        <w:t xml:space="preserve"> </w:t>
      </w:r>
      <w:r w:rsidRPr="007D66D9">
        <w:rPr>
          <w:rFonts w:cs="Arial"/>
          <w:color w:val="000000"/>
        </w:rPr>
        <w:t>acti</w:t>
      </w:r>
      <w:r w:rsidR="003673F6">
        <w:rPr>
          <w:rFonts w:cs="Arial"/>
          <w:color w:val="000000"/>
        </w:rPr>
        <w:t>ng</w:t>
      </w:r>
      <w:r w:rsidRPr="007D66D9">
        <w:rPr>
          <w:rFonts w:cs="Arial"/>
          <w:color w:val="000000"/>
        </w:rPr>
        <w:t xml:space="preserve"> nature of </w:t>
      </w:r>
      <w:r w:rsidR="0058163A">
        <w:rPr>
          <w:rFonts w:cs="Arial"/>
          <w:color w:val="000000"/>
        </w:rPr>
        <w:t>Invega Trinza</w:t>
      </w:r>
      <w:r w:rsidRPr="007D66D9">
        <w:rPr>
          <w:rFonts w:cs="Arial"/>
          <w:color w:val="000000"/>
        </w:rPr>
        <w:t>, the patient’s response to an adjusted dose may not be apparent for several months (see Pharmacokinetics).</w:t>
      </w:r>
    </w:p>
    <w:p w14:paraId="22DD5319" w14:textId="77777777" w:rsidR="007D66D9" w:rsidRPr="007D66D9" w:rsidRDefault="007D66D9" w:rsidP="002F28A2">
      <w:pPr>
        <w:pStyle w:val="Heading4"/>
      </w:pPr>
      <w:r w:rsidRPr="007D66D9">
        <w:t>Switchi</w:t>
      </w:r>
      <w:r w:rsidR="003673F6">
        <w:t>ng</w:t>
      </w:r>
      <w:r w:rsidRPr="007D66D9">
        <w:t xml:space="preserve"> from </w:t>
      </w:r>
      <w:r w:rsidR="00F82F7B" w:rsidRPr="007D66D9">
        <w:t>other antipsychotics</w:t>
      </w:r>
    </w:p>
    <w:p w14:paraId="1FC9AF5D" w14:textId="77777777" w:rsidR="007D66D9" w:rsidRPr="007D66D9" w:rsidRDefault="007D66D9" w:rsidP="002F28A2">
      <w:pPr>
        <w:rPr>
          <w:rFonts w:cs="Arial"/>
          <w:color w:val="000000"/>
        </w:rPr>
      </w:pPr>
      <w:r w:rsidRPr="007D66D9">
        <w:rPr>
          <w:rFonts w:cs="Arial"/>
          <w:color w:val="000000"/>
        </w:rPr>
        <w:t xml:space="preserve">Invega Trinza is to be used only after the patient has been adequately treated with the </w:t>
      </w:r>
      <w:r w:rsidR="0058163A">
        <w:rPr>
          <w:rFonts w:cs="Arial"/>
          <w:color w:val="000000"/>
        </w:rPr>
        <w:t>1 month</w:t>
      </w:r>
      <w:r w:rsidRPr="007D66D9">
        <w:rPr>
          <w:rFonts w:cs="Arial"/>
          <w:color w:val="000000"/>
        </w:rPr>
        <w:t xml:space="preserve"> paliperidone palmitate injectable product for at least 4 months (see </w:t>
      </w:r>
      <w:r w:rsidR="0058163A" w:rsidRPr="007D66D9">
        <w:rPr>
          <w:rFonts w:cs="Arial"/>
          <w:color w:val="000000"/>
        </w:rPr>
        <w:t>indications and dosage and administration</w:t>
      </w:r>
      <w:r w:rsidRPr="007D66D9">
        <w:rPr>
          <w:rFonts w:cs="Arial"/>
          <w:color w:val="000000"/>
        </w:rPr>
        <w:t>).</w:t>
      </w:r>
    </w:p>
    <w:p w14:paraId="17594EFD" w14:textId="77777777" w:rsidR="007D66D9" w:rsidRPr="007D66D9" w:rsidRDefault="007D66D9" w:rsidP="002F28A2">
      <w:pPr>
        <w:rPr>
          <w:rFonts w:cs="Arial"/>
          <w:color w:val="000000"/>
        </w:rPr>
      </w:pPr>
      <w:r w:rsidRPr="007D66D9">
        <w:rPr>
          <w:rFonts w:cs="Arial"/>
          <w:color w:val="000000"/>
        </w:rPr>
        <w:t xml:space="preserve">If Invega Trinza is discontinued, its </w:t>
      </w:r>
      <w:r w:rsidR="0058163A">
        <w:rPr>
          <w:rFonts w:cs="Arial"/>
          <w:color w:val="000000"/>
        </w:rPr>
        <w:t>prolo</w:t>
      </w:r>
      <w:r w:rsidR="003673F6">
        <w:rPr>
          <w:rFonts w:cs="Arial"/>
          <w:color w:val="000000"/>
        </w:rPr>
        <w:t>ng</w:t>
      </w:r>
      <w:r w:rsidR="0058163A">
        <w:rPr>
          <w:rFonts w:cs="Arial"/>
          <w:color w:val="000000"/>
        </w:rPr>
        <w:t>ed release</w:t>
      </w:r>
      <w:r w:rsidRPr="007D66D9">
        <w:rPr>
          <w:rFonts w:cs="Arial"/>
          <w:color w:val="000000"/>
        </w:rPr>
        <w:t xml:space="preserve"> characteristics must be considered. As recommended with other antipsychotic medications, the need for continui</w:t>
      </w:r>
      <w:r w:rsidR="003673F6">
        <w:rPr>
          <w:rFonts w:cs="Arial"/>
          <w:color w:val="000000"/>
        </w:rPr>
        <w:t>ng</w:t>
      </w:r>
      <w:r w:rsidRPr="007D66D9">
        <w:rPr>
          <w:rFonts w:cs="Arial"/>
          <w:color w:val="000000"/>
        </w:rPr>
        <w:t xml:space="preserve"> existi</w:t>
      </w:r>
      <w:r w:rsidR="003673F6">
        <w:rPr>
          <w:rFonts w:cs="Arial"/>
          <w:color w:val="000000"/>
        </w:rPr>
        <w:t>ng</w:t>
      </w:r>
      <w:r w:rsidRPr="007D66D9">
        <w:rPr>
          <w:rFonts w:cs="Arial"/>
          <w:color w:val="000000"/>
        </w:rPr>
        <w:t xml:space="preserve"> extrapyramidal symptoms (EPS) medication should be re-evaluated periodically.</w:t>
      </w:r>
    </w:p>
    <w:p w14:paraId="58380F55" w14:textId="77777777" w:rsidR="007D66D9" w:rsidRPr="007D66D9" w:rsidRDefault="007D66D9" w:rsidP="007D66D9">
      <w:pPr>
        <w:rPr>
          <w:color w:val="000000"/>
        </w:rPr>
      </w:pPr>
      <w:r w:rsidRPr="007D66D9">
        <w:rPr>
          <w:color w:val="000000"/>
        </w:rPr>
        <w:t xml:space="preserve">Subsequent recommendations relied on the PopPK </w:t>
      </w:r>
      <w:r w:rsidRPr="0058163A">
        <w:rPr>
          <w:color w:val="000000"/>
        </w:rPr>
        <w:t>report</w:t>
      </w:r>
      <w:r w:rsidRPr="0058163A">
        <w:rPr>
          <w:rStyle w:val="FootnoteReference"/>
          <w:color w:val="000000"/>
        </w:rPr>
        <w:footnoteReference w:id="2"/>
      </w:r>
      <w:r w:rsidRPr="0058163A">
        <w:rPr>
          <w:color w:val="000000"/>
        </w:rPr>
        <w:t xml:space="preserve"> for</w:t>
      </w:r>
      <w:r w:rsidRPr="007D66D9">
        <w:rPr>
          <w:color w:val="000000"/>
        </w:rPr>
        <w:t xml:space="preserve"> supporti</w:t>
      </w:r>
      <w:r w:rsidR="003673F6">
        <w:rPr>
          <w:color w:val="000000"/>
        </w:rPr>
        <w:t>ng</w:t>
      </w:r>
      <w:r w:rsidRPr="007D66D9">
        <w:rPr>
          <w:color w:val="000000"/>
        </w:rPr>
        <w:t xml:space="preserve"> evidence</w:t>
      </w:r>
    </w:p>
    <w:p w14:paraId="79B11E65" w14:textId="77777777" w:rsidR="007D66D9" w:rsidRPr="002F28A2" w:rsidRDefault="007D66D9" w:rsidP="002F28A2">
      <w:pPr>
        <w:pStyle w:val="Heading4"/>
      </w:pPr>
      <w:r w:rsidRPr="002F28A2">
        <w:t>Switchi</w:t>
      </w:r>
      <w:r w:rsidR="003673F6">
        <w:t>ng</w:t>
      </w:r>
      <w:r w:rsidRPr="002F28A2">
        <w:t xml:space="preserve"> from Invega Trinza to the </w:t>
      </w:r>
      <w:r w:rsidR="0058163A">
        <w:t xml:space="preserve">1 </w:t>
      </w:r>
      <w:r w:rsidR="00DA6480">
        <w:t>month</w:t>
      </w:r>
      <w:r w:rsidR="00DA6480" w:rsidRPr="002F28A2">
        <w:t xml:space="preserve"> paliperidone palmitate injectable prod</w:t>
      </w:r>
      <w:r w:rsidRPr="002F28A2">
        <w:t>uct</w:t>
      </w:r>
    </w:p>
    <w:p w14:paraId="1AE805D3" w14:textId="77777777" w:rsidR="007D66D9" w:rsidRPr="007D66D9" w:rsidRDefault="007D66D9" w:rsidP="002F28A2">
      <w:pPr>
        <w:rPr>
          <w:rFonts w:cs="Arial"/>
          <w:color w:val="000000"/>
        </w:rPr>
      </w:pPr>
      <w:r w:rsidRPr="007D66D9">
        <w:rPr>
          <w:rFonts w:cs="Arial"/>
          <w:color w:val="000000"/>
        </w:rPr>
        <w:t>For switchi</w:t>
      </w:r>
      <w:r w:rsidR="003673F6">
        <w:rPr>
          <w:rFonts w:cs="Arial"/>
          <w:color w:val="000000"/>
        </w:rPr>
        <w:t>ng</w:t>
      </w:r>
      <w:r w:rsidRPr="007D66D9">
        <w:rPr>
          <w:rFonts w:cs="Arial"/>
          <w:color w:val="000000"/>
        </w:rPr>
        <w:t xml:space="preserve"> from Invega Trinza to the </w:t>
      </w:r>
      <w:r w:rsidR="0058163A">
        <w:rPr>
          <w:rFonts w:cs="Arial"/>
          <w:color w:val="000000"/>
        </w:rPr>
        <w:t>1 month</w:t>
      </w:r>
      <w:r w:rsidRPr="007D66D9">
        <w:rPr>
          <w:rFonts w:cs="Arial"/>
          <w:color w:val="000000"/>
        </w:rPr>
        <w:t xml:space="preserve"> paliperidone palmitate injectable product, the </w:t>
      </w:r>
      <w:r w:rsidR="0058163A">
        <w:rPr>
          <w:rFonts w:cs="Arial"/>
          <w:color w:val="000000"/>
        </w:rPr>
        <w:t>1 month</w:t>
      </w:r>
      <w:r w:rsidRPr="007D66D9">
        <w:rPr>
          <w:rFonts w:cs="Arial"/>
          <w:color w:val="000000"/>
        </w:rPr>
        <w:t xml:space="preserve"> paliperidone palmitate injectable product should be administered at the time the next Invega Trinza dose was to be administered usi</w:t>
      </w:r>
      <w:r w:rsidR="003673F6">
        <w:rPr>
          <w:rFonts w:cs="Arial"/>
          <w:color w:val="000000"/>
        </w:rPr>
        <w:t>ng</w:t>
      </w:r>
      <w:r w:rsidRPr="007D66D9">
        <w:rPr>
          <w:rFonts w:cs="Arial"/>
          <w:color w:val="000000"/>
        </w:rPr>
        <w:t xml:space="preserve"> the equivalent </w:t>
      </w:r>
      <w:r w:rsidR="0058163A">
        <w:rPr>
          <w:rFonts w:cs="Arial"/>
          <w:color w:val="000000"/>
        </w:rPr>
        <w:t>3.5 fold</w:t>
      </w:r>
      <w:r w:rsidRPr="007D66D9">
        <w:rPr>
          <w:rFonts w:cs="Arial"/>
          <w:color w:val="000000"/>
        </w:rPr>
        <w:t xml:space="preserve"> lower dose as shown in </w:t>
      </w:r>
      <w:r w:rsidRPr="00935764">
        <w:rPr>
          <w:rFonts w:cs="Arial"/>
          <w:color w:val="000000"/>
        </w:rPr>
        <w:t>Ta</w:t>
      </w:r>
      <w:r w:rsidR="00935764" w:rsidRPr="00935764">
        <w:rPr>
          <w:rFonts w:cs="Arial"/>
          <w:color w:val="000000"/>
        </w:rPr>
        <w:t>ble 4</w:t>
      </w:r>
      <w:r w:rsidRPr="00935764">
        <w:rPr>
          <w:rFonts w:cs="Arial"/>
          <w:color w:val="000000"/>
        </w:rPr>
        <w:t xml:space="preserve">. The </w:t>
      </w:r>
      <w:r w:rsidR="0058163A" w:rsidRPr="00935764">
        <w:rPr>
          <w:rFonts w:cs="Arial"/>
          <w:color w:val="000000"/>
        </w:rPr>
        <w:t>1 month</w:t>
      </w:r>
      <w:r w:rsidRPr="00935764">
        <w:rPr>
          <w:rFonts w:cs="Arial"/>
          <w:color w:val="000000"/>
        </w:rPr>
        <w:t xml:space="preserve"> paliperidone palmitate injectable product should then continue dosed at</w:t>
      </w:r>
      <w:r w:rsidRPr="007D66D9">
        <w:rPr>
          <w:rFonts w:cs="Arial"/>
          <w:color w:val="000000"/>
        </w:rPr>
        <w:t xml:space="preserve"> monthly intervals.</w:t>
      </w:r>
    </w:p>
    <w:p w14:paraId="52343051" w14:textId="77777777" w:rsidR="007D66D9" w:rsidRPr="002F28A2" w:rsidRDefault="00935764" w:rsidP="0058163A">
      <w:pPr>
        <w:pStyle w:val="Tabletitle"/>
      </w:pPr>
      <w:r>
        <w:lastRenderedPageBreak/>
        <w:t>Table 4</w:t>
      </w:r>
      <w:r w:rsidR="0058163A">
        <w:t>:</w:t>
      </w:r>
      <w:r w:rsidR="007D66D9" w:rsidRPr="002F28A2">
        <w:t xml:space="preserve"> Conversion </w:t>
      </w:r>
      <w:r w:rsidRPr="002F28A2">
        <w:t xml:space="preserve">from the last paliperidone palmitate </w:t>
      </w:r>
      <w:r>
        <w:t>3 month</w:t>
      </w:r>
      <w:r w:rsidRPr="002F28A2">
        <w:t xml:space="preserve"> injectable product </w:t>
      </w:r>
      <w:r w:rsidR="007D66D9" w:rsidRPr="002F28A2">
        <w:t>(</w:t>
      </w:r>
      <w:r w:rsidR="0058163A">
        <w:t>Invega Trinza</w:t>
      </w:r>
      <w:r>
        <w:t>) dose t</w:t>
      </w:r>
      <w:r w:rsidRPr="002F28A2">
        <w:t xml:space="preserve">o the paliperidone palmitate </w:t>
      </w:r>
      <w:r>
        <w:t>1 month</w:t>
      </w:r>
      <w:r w:rsidRPr="002F28A2">
        <w:t xml:space="preserve"> injectable product dose usi</w:t>
      </w:r>
      <w:r w:rsidR="003673F6">
        <w:t>ng</w:t>
      </w:r>
      <w:r w:rsidRPr="002F28A2">
        <w:t xml:space="preserve"> 3.5 as a multiplier</w:t>
      </w:r>
    </w:p>
    <w:p w14:paraId="372E63E6" w14:textId="77777777" w:rsidR="007D66D9" w:rsidRPr="007D66D9" w:rsidRDefault="007D66D9" w:rsidP="007D66D9">
      <w:pPr>
        <w:rPr>
          <w:color w:val="000000"/>
        </w:rPr>
      </w:pPr>
      <w:r w:rsidRPr="007D66D9">
        <w:rPr>
          <w:noProof/>
          <w:color w:val="000000"/>
          <w:lang w:eastAsia="en-AU"/>
        </w:rPr>
        <w:drawing>
          <wp:inline distT="0" distB="0" distL="0" distR="0" wp14:anchorId="55B542A4" wp14:editId="25CA6013">
            <wp:extent cx="3666963" cy="1141171"/>
            <wp:effectExtent l="0" t="0" r="0" b="1905"/>
            <wp:docPr id="45" name="Picture 45" descr="Table 4: Conversion from the last paliperidone palmitate 3 month injectable product (Invega Trinza) dose to the paliperidone palmitate 1 month injectable product dose using 3.5 as a multi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72840" cy="1143000"/>
                    </a:xfrm>
                    <a:prstGeom prst="rect">
                      <a:avLst/>
                    </a:prstGeom>
                  </pic:spPr>
                </pic:pic>
              </a:graphicData>
            </a:graphic>
          </wp:inline>
        </w:drawing>
      </w:r>
    </w:p>
    <w:p w14:paraId="09BB4B8B" w14:textId="77777777" w:rsidR="007D66D9" w:rsidRPr="007D66D9" w:rsidRDefault="007D66D9" w:rsidP="002F28A2">
      <w:pPr>
        <w:rPr>
          <w:rFonts w:cs="Arial"/>
          <w:color w:val="000000"/>
        </w:rPr>
      </w:pPr>
      <w:r w:rsidRPr="007D66D9">
        <w:rPr>
          <w:rFonts w:cs="Arial"/>
          <w:color w:val="000000"/>
        </w:rPr>
        <w:t>The initiation dosi</w:t>
      </w:r>
      <w:r w:rsidR="003673F6">
        <w:rPr>
          <w:rFonts w:cs="Arial"/>
          <w:color w:val="000000"/>
        </w:rPr>
        <w:t>ng</w:t>
      </w:r>
      <w:r w:rsidRPr="007D66D9">
        <w:rPr>
          <w:rFonts w:cs="Arial"/>
          <w:color w:val="000000"/>
        </w:rPr>
        <w:t xml:space="preserve"> as described in the prescribi</w:t>
      </w:r>
      <w:r w:rsidR="003673F6">
        <w:rPr>
          <w:rFonts w:cs="Arial"/>
          <w:color w:val="000000"/>
        </w:rPr>
        <w:t>ng</w:t>
      </w:r>
      <w:r w:rsidRPr="007D66D9">
        <w:rPr>
          <w:rFonts w:cs="Arial"/>
          <w:color w:val="000000"/>
        </w:rPr>
        <w:t xml:space="preserve"> information for the </w:t>
      </w:r>
      <w:r w:rsidR="0058163A">
        <w:rPr>
          <w:rFonts w:cs="Arial"/>
          <w:color w:val="000000"/>
        </w:rPr>
        <w:t>1 month</w:t>
      </w:r>
      <w:r w:rsidRPr="007D66D9">
        <w:rPr>
          <w:rFonts w:cs="Arial"/>
          <w:color w:val="000000"/>
        </w:rPr>
        <w:t xml:space="preserve"> paliperidone palmitate injectable product is not required</w:t>
      </w:r>
    </w:p>
    <w:p w14:paraId="714DD6EE" w14:textId="77777777" w:rsidR="007D66D9" w:rsidRPr="007D66D9" w:rsidRDefault="007D66D9" w:rsidP="002F28A2">
      <w:pPr>
        <w:pStyle w:val="Heading4"/>
      </w:pPr>
      <w:r w:rsidRPr="007D66D9">
        <w:t>Switchi</w:t>
      </w:r>
      <w:r w:rsidR="003673F6">
        <w:t>ng</w:t>
      </w:r>
      <w:r w:rsidRPr="007D66D9">
        <w:t xml:space="preserve"> from Invega Trinza to </w:t>
      </w:r>
      <w:r w:rsidR="00DA6480">
        <w:t xml:space="preserve">oral paliperidone extended </w:t>
      </w:r>
      <w:r w:rsidR="00935764" w:rsidRPr="007D66D9">
        <w:t xml:space="preserve">release </w:t>
      </w:r>
      <w:r w:rsidR="00935764" w:rsidRPr="002F28A2">
        <w:t>table</w:t>
      </w:r>
      <w:r w:rsidR="00935764" w:rsidRPr="007D66D9">
        <w:t>ts</w:t>
      </w:r>
    </w:p>
    <w:p w14:paraId="523B5495" w14:textId="77777777" w:rsidR="007D66D9" w:rsidRPr="007D66D9" w:rsidRDefault="007D66D9" w:rsidP="002F28A2">
      <w:pPr>
        <w:rPr>
          <w:rFonts w:cs="Arial"/>
          <w:color w:val="000000"/>
        </w:rPr>
      </w:pPr>
      <w:r w:rsidRPr="007D66D9">
        <w:rPr>
          <w:rFonts w:cs="Arial"/>
          <w:color w:val="000000"/>
        </w:rPr>
        <w:t>For switchi</w:t>
      </w:r>
      <w:r w:rsidR="003673F6">
        <w:rPr>
          <w:rFonts w:cs="Arial"/>
          <w:color w:val="000000"/>
        </w:rPr>
        <w:t>ng</w:t>
      </w:r>
      <w:r w:rsidRPr="007D66D9">
        <w:rPr>
          <w:rFonts w:cs="Arial"/>
          <w:color w:val="000000"/>
        </w:rPr>
        <w:t xml:space="preserve"> from Invega Trinz</w:t>
      </w:r>
      <w:r w:rsidR="0058163A">
        <w:rPr>
          <w:rFonts w:cs="Arial"/>
          <w:color w:val="000000"/>
        </w:rPr>
        <w:t xml:space="preserve">a to oral paliperidone extended </w:t>
      </w:r>
      <w:r w:rsidRPr="007D66D9">
        <w:rPr>
          <w:rFonts w:cs="Arial"/>
          <w:color w:val="000000"/>
        </w:rPr>
        <w:t>release tablets, the daily dosi</w:t>
      </w:r>
      <w:r w:rsidR="003673F6">
        <w:rPr>
          <w:rFonts w:cs="Arial"/>
          <w:color w:val="000000"/>
        </w:rPr>
        <w:t>ng</w:t>
      </w:r>
      <w:r w:rsidR="0058163A">
        <w:rPr>
          <w:rFonts w:cs="Arial"/>
          <w:color w:val="000000"/>
        </w:rPr>
        <w:t xml:space="preserve"> of the paliperidone extended </w:t>
      </w:r>
      <w:r w:rsidRPr="007D66D9">
        <w:rPr>
          <w:rFonts w:cs="Arial"/>
          <w:color w:val="000000"/>
        </w:rPr>
        <w:t>release tablets should be started 3 months after the last Invega Trinza dose and transitioned over the next several months followi</w:t>
      </w:r>
      <w:r w:rsidR="003673F6">
        <w:rPr>
          <w:rFonts w:cs="Arial"/>
          <w:color w:val="000000"/>
        </w:rPr>
        <w:t>ng</w:t>
      </w:r>
      <w:r w:rsidRPr="007D66D9">
        <w:rPr>
          <w:rFonts w:cs="Arial"/>
          <w:color w:val="000000"/>
        </w:rPr>
        <w:t xml:space="preserve"> the last Invega Trinza dose as described </w:t>
      </w:r>
      <w:r w:rsidRPr="00935764">
        <w:rPr>
          <w:rFonts w:cs="Arial"/>
          <w:color w:val="000000"/>
        </w:rPr>
        <w:t xml:space="preserve">in </w:t>
      </w:r>
      <w:r w:rsidR="00935764" w:rsidRPr="00935764">
        <w:rPr>
          <w:rFonts w:cs="Arial"/>
          <w:color w:val="000000"/>
        </w:rPr>
        <w:t>Table 5. Table 5</w:t>
      </w:r>
      <w:r w:rsidRPr="00935764">
        <w:rPr>
          <w:rFonts w:cs="Arial"/>
          <w:color w:val="000000"/>
        </w:rPr>
        <w:t>provides</w:t>
      </w:r>
      <w:r w:rsidRPr="007D66D9">
        <w:rPr>
          <w:rFonts w:cs="Arial"/>
          <w:color w:val="000000"/>
        </w:rPr>
        <w:t xml:space="preserve"> dose conversion regimens to allow patients previously stabilized on different doses of Invega Trinza to attain similar paliperidone exposure with o</w:t>
      </w:r>
      <w:r w:rsidR="0058163A">
        <w:rPr>
          <w:rFonts w:cs="Arial"/>
          <w:color w:val="000000"/>
        </w:rPr>
        <w:t xml:space="preserve">nce daily paliperidone extended </w:t>
      </w:r>
      <w:r w:rsidRPr="007D66D9">
        <w:rPr>
          <w:rFonts w:cs="Arial"/>
          <w:color w:val="000000"/>
        </w:rPr>
        <w:t>release tablets.</w:t>
      </w:r>
    </w:p>
    <w:p w14:paraId="4928B62A" w14:textId="77777777" w:rsidR="007D66D9" w:rsidRPr="002F28A2" w:rsidRDefault="00935764" w:rsidP="0058163A">
      <w:pPr>
        <w:pStyle w:val="Tabletitle"/>
      </w:pPr>
      <w:r>
        <w:t>Table 5</w:t>
      </w:r>
      <w:r w:rsidR="0058163A">
        <w:t>:</w:t>
      </w:r>
      <w:r w:rsidR="007D66D9" w:rsidRPr="002F28A2">
        <w:t xml:space="preserve"> Invega Trinza doses and once-daily paliperidone extended-release conversion regimens needed to attain similar paliperidone exposures</w:t>
      </w:r>
    </w:p>
    <w:p w14:paraId="39E14186" w14:textId="77777777" w:rsidR="007D66D9" w:rsidRPr="007D66D9" w:rsidRDefault="007D66D9" w:rsidP="007D66D9">
      <w:pPr>
        <w:rPr>
          <w:color w:val="000000"/>
        </w:rPr>
      </w:pPr>
      <w:r w:rsidRPr="007D66D9">
        <w:rPr>
          <w:noProof/>
          <w:color w:val="000000"/>
          <w:lang w:eastAsia="en-AU"/>
        </w:rPr>
        <w:drawing>
          <wp:inline distT="0" distB="0" distL="0" distR="0" wp14:anchorId="5FD49237" wp14:editId="78FA3599">
            <wp:extent cx="4405836" cy="1748333"/>
            <wp:effectExtent l="0" t="0" r="0" b="4445"/>
            <wp:docPr id="46" name="Picture 46" descr="Table 5: Invega Trinza doses and once-daily paliperidone extended-release conversion regimens needed to attain similar paliperidone exp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153"/>
                    <a:stretch/>
                  </pic:blipFill>
                  <pic:spPr bwMode="auto">
                    <a:xfrm>
                      <a:off x="0" y="0"/>
                      <a:ext cx="4412060" cy="1750803"/>
                    </a:xfrm>
                    <a:prstGeom prst="rect">
                      <a:avLst/>
                    </a:prstGeom>
                    <a:ln>
                      <a:noFill/>
                    </a:ln>
                    <a:extLst>
                      <a:ext uri="{53640926-AAD7-44D8-BBD7-CCE9431645EC}">
                        <a14:shadowObscured xmlns:a14="http://schemas.microsoft.com/office/drawing/2010/main"/>
                      </a:ext>
                    </a:extLst>
                  </pic:spPr>
                </pic:pic>
              </a:graphicData>
            </a:graphic>
          </wp:inline>
        </w:drawing>
      </w:r>
    </w:p>
    <w:p w14:paraId="119B8A79" w14:textId="77777777" w:rsidR="007D66D9" w:rsidRPr="007D66D9" w:rsidRDefault="007D66D9" w:rsidP="002F28A2">
      <w:pPr>
        <w:pStyle w:val="Heading4"/>
      </w:pPr>
      <w:r w:rsidRPr="007D66D9">
        <w:t xml:space="preserve">Dosage </w:t>
      </w:r>
      <w:r w:rsidR="00DA6480" w:rsidRPr="007D66D9">
        <w:t>in special populations</w:t>
      </w:r>
    </w:p>
    <w:p w14:paraId="171C00CD" w14:textId="77777777" w:rsidR="007D66D9" w:rsidRPr="007D66D9" w:rsidRDefault="007D66D9" w:rsidP="002F28A2">
      <w:pPr>
        <w:pStyle w:val="Heading5"/>
      </w:pPr>
      <w:r w:rsidRPr="007D66D9">
        <w:t xml:space="preserve">Renal </w:t>
      </w:r>
      <w:r w:rsidR="00DA6480" w:rsidRPr="007D66D9">
        <w:t>i</w:t>
      </w:r>
      <w:r w:rsidRPr="007D66D9">
        <w:t>mpairment</w:t>
      </w:r>
    </w:p>
    <w:p w14:paraId="28577ED5" w14:textId="77777777" w:rsidR="007D66D9" w:rsidRPr="007D66D9" w:rsidRDefault="007D66D9" w:rsidP="002F28A2">
      <w:pPr>
        <w:rPr>
          <w:rFonts w:cs="Arial"/>
          <w:color w:val="000000"/>
        </w:rPr>
      </w:pPr>
      <w:r w:rsidRPr="007D66D9">
        <w:rPr>
          <w:rFonts w:cs="Arial"/>
          <w:color w:val="000000"/>
        </w:rPr>
        <w:t>Invega Trinza has not been systematically studied in patients with renal impairment (see Pharmacokinetics). For patients with mild renal impairment (cr</w:t>
      </w:r>
      <w:r w:rsidR="00935764">
        <w:rPr>
          <w:rFonts w:cs="Arial"/>
          <w:color w:val="000000"/>
        </w:rPr>
        <w:t>eatinine clearance ≥ 50 to &lt; </w:t>
      </w:r>
      <w:r w:rsidR="0058163A">
        <w:rPr>
          <w:rFonts w:cs="Arial"/>
          <w:color w:val="000000"/>
        </w:rPr>
        <w:t>80</w:t>
      </w:r>
      <w:r w:rsidR="006745B7">
        <w:rPr>
          <w:rFonts w:cs="Arial"/>
          <w:color w:val="000000"/>
        </w:rPr>
        <w:t> </w:t>
      </w:r>
      <w:r w:rsidR="004A676D">
        <w:rPr>
          <w:rFonts w:cs="Arial"/>
          <w:color w:val="000000"/>
        </w:rPr>
        <w:t>mL</w:t>
      </w:r>
      <w:r w:rsidRPr="007D66D9">
        <w:rPr>
          <w:rFonts w:cs="Arial"/>
          <w:color w:val="000000"/>
        </w:rPr>
        <w:t>/min), dose adjustment is done when initiati</w:t>
      </w:r>
      <w:r w:rsidR="003673F6">
        <w:rPr>
          <w:rFonts w:cs="Arial"/>
          <w:color w:val="000000"/>
        </w:rPr>
        <w:t>ng</w:t>
      </w:r>
      <w:r w:rsidRPr="007D66D9">
        <w:rPr>
          <w:rFonts w:cs="Arial"/>
          <w:color w:val="000000"/>
        </w:rPr>
        <w:t xml:space="preserve"> treatment with the </w:t>
      </w:r>
      <w:r w:rsidR="0058163A">
        <w:rPr>
          <w:rFonts w:cs="Arial"/>
          <w:color w:val="000000"/>
        </w:rPr>
        <w:t>1 month</w:t>
      </w:r>
      <w:r w:rsidRPr="007D66D9">
        <w:rPr>
          <w:rFonts w:cs="Arial"/>
          <w:color w:val="000000"/>
        </w:rPr>
        <w:t xml:space="preserve"> paliperidone palmitate injectable product; no dose adjustment of Invega Trinza is required. Transition to Invega Trinza is with a dose in a 3.5 to 1 ratio to the previous stabilized </w:t>
      </w:r>
      <w:r w:rsidR="0058163A">
        <w:rPr>
          <w:rFonts w:cs="Arial"/>
          <w:color w:val="000000"/>
        </w:rPr>
        <w:t>1 month</w:t>
      </w:r>
      <w:r w:rsidRPr="007D66D9">
        <w:rPr>
          <w:rFonts w:cs="Arial"/>
          <w:color w:val="000000"/>
        </w:rPr>
        <w:t xml:space="preserve"> paliperidone palmitate injectable product as described in Dosage above. The maximum recommended dose of Invega Trinza in patients with mild renal impairment is </w:t>
      </w:r>
      <w:r w:rsidR="0058163A">
        <w:rPr>
          <w:rFonts w:cs="Arial"/>
          <w:color w:val="000000"/>
        </w:rPr>
        <w:t>350</w:t>
      </w:r>
      <w:r w:rsidR="004A676D">
        <w:rPr>
          <w:rFonts w:cs="Arial"/>
          <w:color w:val="000000"/>
        </w:rPr>
        <w:t xml:space="preserve"> mg</w:t>
      </w:r>
      <w:r w:rsidRPr="007D66D9">
        <w:rPr>
          <w:rFonts w:cs="Arial"/>
          <w:color w:val="000000"/>
        </w:rPr>
        <w:t>.</w:t>
      </w:r>
    </w:p>
    <w:p w14:paraId="3FA97A5C" w14:textId="77777777" w:rsidR="007D66D9" w:rsidRPr="007D66D9" w:rsidRDefault="007D66D9" w:rsidP="002F28A2">
      <w:pPr>
        <w:rPr>
          <w:rFonts w:cs="Arial"/>
          <w:color w:val="000000"/>
        </w:rPr>
      </w:pPr>
      <w:r w:rsidRPr="007D66D9">
        <w:rPr>
          <w:rFonts w:cs="Arial"/>
          <w:color w:val="000000"/>
        </w:rPr>
        <w:t>Invega Trinza is not recommended in patients with moderate or severe renal impairment (creatinine clearance &lt; 50</w:t>
      </w:r>
      <w:r w:rsidR="004A676D">
        <w:rPr>
          <w:rFonts w:cs="Arial"/>
          <w:color w:val="000000"/>
        </w:rPr>
        <w:t xml:space="preserve"> mL</w:t>
      </w:r>
      <w:r w:rsidRPr="007D66D9">
        <w:rPr>
          <w:rFonts w:cs="Arial"/>
          <w:color w:val="000000"/>
        </w:rPr>
        <w:t>/min).</w:t>
      </w:r>
    </w:p>
    <w:p w14:paraId="63C7F21D" w14:textId="77777777" w:rsidR="007D66D9" w:rsidRPr="007D66D9" w:rsidRDefault="007D66D9" w:rsidP="002F28A2">
      <w:pPr>
        <w:pStyle w:val="Heading5"/>
      </w:pPr>
      <w:r w:rsidRPr="007D66D9">
        <w:t xml:space="preserve">Hepatic </w:t>
      </w:r>
      <w:r w:rsidR="00DA6480">
        <w:t>i</w:t>
      </w:r>
      <w:r w:rsidRPr="007D66D9">
        <w:t>mpairment</w:t>
      </w:r>
    </w:p>
    <w:p w14:paraId="08A02272" w14:textId="77777777" w:rsidR="007D66D9" w:rsidRPr="007D66D9" w:rsidRDefault="007D66D9" w:rsidP="002F28A2">
      <w:pPr>
        <w:rPr>
          <w:rFonts w:cs="Arial"/>
          <w:color w:val="000000"/>
        </w:rPr>
      </w:pPr>
      <w:r w:rsidRPr="007D66D9">
        <w:rPr>
          <w:rFonts w:cs="Arial"/>
          <w:color w:val="000000"/>
        </w:rPr>
        <w:t>Invega Trinza has not been studied in patients with hepatic impairment. Based on a study with oral paliperidone, no dose adjustment is required in patients with mild or moderate hepatic impairment. Paliperidone has not been studied in patients</w:t>
      </w:r>
      <w:r w:rsidR="00FB0FC4">
        <w:rPr>
          <w:rFonts w:cs="Arial"/>
          <w:color w:val="000000"/>
        </w:rPr>
        <w:t xml:space="preserve"> with severe hepatic impairment</w:t>
      </w:r>
      <w:r w:rsidR="002F28A2">
        <w:rPr>
          <w:rFonts w:cs="Arial"/>
          <w:color w:val="000000"/>
        </w:rPr>
        <w:t xml:space="preserve"> </w:t>
      </w:r>
      <w:r w:rsidRPr="007D66D9">
        <w:rPr>
          <w:rFonts w:cs="Arial"/>
          <w:color w:val="000000"/>
        </w:rPr>
        <w:t>(see Pharmacokinetics).</w:t>
      </w:r>
    </w:p>
    <w:p w14:paraId="02563613" w14:textId="77777777" w:rsidR="007D66D9" w:rsidRPr="002F28A2" w:rsidRDefault="007D66D9" w:rsidP="002F28A2">
      <w:pPr>
        <w:pStyle w:val="Heading5"/>
      </w:pPr>
      <w:r w:rsidRPr="002F28A2">
        <w:lastRenderedPageBreak/>
        <w:t xml:space="preserve">Paediatric </w:t>
      </w:r>
      <w:r w:rsidR="00DA6480">
        <w:t>u</w:t>
      </w:r>
      <w:r w:rsidRPr="002F28A2">
        <w:t>se</w:t>
      </w:r>
    </w:p>
    <w:p w14:paraId="40653565" w14:textId="77777777" w:rsidR="007D66D9" w:rsidRPr="007D66D9" w:rsidRDefault="007D66D9" w:rsidP="007D66D9">
      <w:pPr>
        <w:rPr>
          <w:rFonts w:cs="Arial"/>
          <w:color w:val="000000"/>
        </w:rPr>
      </w:pPr>
      <w:r w:rsidRPr="007D66D9">
        <w:rPr>
          <w:rFonts w:cs="Arial"/>
          <w:color w:val="000000"/>
        </w:rPr>
        <w:t>Safety and effectiveness of Invega Trinza in patients &lt; 18 years of age have not been studied.</w:t>
      </w:r>
    </w:p>
    <w:p w14:paraId="05BE29E8" w14:textId="77777777" w:rsidR="007D66D9" w:rsidRPr="007D66D9" w:rsidRDefault="007D66D9" w:rsidP="002F28A2">
      <w:pPr>
        <w:pStyle w:val="Heading5"/>
      </w:pPr>
      <w:r w:rsidRPr="007D66D9">
        <w:t xml:space="preserve">Use in the </w:t>
      </w:r>
      <w:r w:rsidR="00DA6480">
        <w:t>e</w:t>
      </w:r>
      <w:r w:rsidRPr="007D66D9">
        <w:t>lderly</w:t>
      </w:r>
    </w:p>
    <w:p w14:paraId="6B5A54F6" w14:textId="77777777" w:rsidR="007D66D9" w:rsidRPr="007D66D9" w:rsidRDefault="007D66D9" w:rsidP="007D66D9">
      <w:pPr>
        <w:rPr>
          <w:rFonts w:cs="Arial"/>
          <w:color w:val="000000"/>
        </w:rPr>
      </w:pPr>
      <w:r w:rsidRPr="007D66D9">
        <w:rPr>
          <w:rFonts w:cs="Arial"/>
          <w:color w:val="000000"/>
        </w:rPr>
        <w:t>In general, recommended dosi</w:t>
      </w:r>
      <w:r w:rsidR="003673F6">
        <w:rPr>
          <w:rFonts w:cs="Arial"/>
          <w:color w:val="000000"/>
        </w:rPr>
        <w:t>ng</w:t>
      </w:r>
      <w:r w:rsidRPr="007D66D9">
        <w:rPr>
          <w:rFonts w:cs="Arial"/>
          <w:color w:val="000000"/>
        </w:rPr>
        <w:t xml:space="preserve"> of Invega Trinza for elderly patients with normal renal function is the same as for you</w:t>
      </w:r>
      <w:r w:rsidR="003673F6">
        <w:rPr>
          <w:rFonts w:cs="Arial"/>
          <w:color w:val="000000"/>
        </w:rPr>
        <w:t>ng</w:t>
      </w:r>
      <w:r w:rsidRPr="007D66D9">
        <w:rPr>
          <w:rFonts w:cs="Arial"/>
          <w:color w:val="000000"/>
        </w:rPr>
        <w:t xml:space="preserve">er adult patients with normal renal function. As elderly patients may have reduced renal function, see </w:t>
      </w:r>
      <w:r w:rsidR="00DA6480" w:rsidRPr="007D66D9">
        <w:rPr>
          <w:rFonts w:cs="Arial"/>
          <w:color w:val="000000"/>
        </w:rPr>
        <w:t>renal</w:t>
      </w:r>
      <w:r w:rsidRPr="007D66D9">
        <w:rPr>
          <w:rFonts w:cs="Arial"/>
          <w:color w:val="000000"/>
        </w:rPr>
        <w:t xml:space="preserve"> impairment below for dosi</w:t>
      </w:r>
      <w:r w:rsidR="003673F6">
        <w:rPr>
          <w:rFonts w:cs="Arial"/>
          <w:color w:val="000000"/>
        </w:rPr>
        <w:t>ng</w:t>
      </w:r>
      <w:r w:rsidRPr="007D66D9">
        <w:rPr>
          <w:rFonts w:cs="Arial"/>
          <w:color w:val="000000"/>
        </w:rPr>
        <w:t xml:space="preserve"> recommendations in patients with renal impairment.</w:t>
      </w:r>
    </w:p>
    <w:p w14:paraId="037A5D9A" w14:textId="77777777" w:rsidR="007D66D9" w:rsidRPr="007D66D9" w:rsidRDefault="007D66D9" w:rsidP="002F28A2">
      <w:pPr>
        <w:pStyle w:val="Heading5"/>
      </w:pPr>
      <w:r w:rsidRPr="007D66D9">
        <w:t>Other populations</w:t>
      </w:r>
    </w:p>
    <w:p w14:paraId="086596B8" w14:textId="77777777" w:rsidR="007D66D9" w:rsidRPr="007D66D9" w:rsidRDefault="007D66D9" w:rsidP="007D66D9">
      <w:pPr>
        <w:rPr>
          <w:rFonts w:cs="Arial"/>
          <w:color w:val="000000"/>
        </w:rPr>
      </w:pPr>
      <w:r w:rsidRPr="007D66D9">
        <w:rPr>
          <w:rFonts w:cs="Arial"/>
          <w:color w:val="000000"/>
        </w:rPr>
        <w:t>No dose adjustment for Invega Trinza is recommended based on gender, race, or smoki</w:t>
      </w:r>
      <w:r w:rsidR="003673F6">
        <w:rPr>
          <w:rFonts w:cs="Arial"/>
          <w:color w:val="000000"/>
        </w:rPr>
        <w:t>ng</w:t>
      </w:r>
      <w:r w:rsidRPr="007D66D9">
        <w:rPr>
          <w:rFonts w:cs="Arial"/>
          <w:color w:val="000000"/>
        </w:rPr>
        <w:t xml:space="preserve"> status. (For pregnant women and nursi</w:t>
      </w:r>
      <w:r w:rsidR="003673F6">
        <w:rPr>
          <w:rFonts w:cs="Arial"/>
          <w:color w:val="000000"/>
        </w:rPr>
        <w:t>ng</w:t>
      </w:r>
      <w:r w:rsidRPr="007D66D9">
        <w:rPr>
          <w:rFonts w:cs="Arial"/>
          <w:color w:val="000000"/>
        </w:rPr>
        <w:t xml:space="preserve"> mothers, see Use in Pregnancy)</w:t>
      </w:r>
    </w:p>
    <w:p w14:paraId="3C53C60B" w14:textId="77777777" w:rsidR="007D66D9" w:rsidRPr="007D66D9" w:rsidRDefault="007D66D9" w:rsidP="002F28A2">
      <w:pPr>
        <w:pStyle w:val="Heading4"/>
      </w:pPr>
      <w:r w:rsidRPr="007D66D9">
        <w:t xml:space="preserve">Missed </w:t>
      </w:r>
      <w:r w:rsidR="00DA6480">
        <w:t>d</w:t>
      </w:r>
      <w:r w:rsidRPr="007D66D9">
        <w:t>oses</w:t>
      </w:r>
    </w:p>
    <w:p w14:paraId="74E16C7C" w14:textId="77777777" w:rsidR="007D66D9" w:rsidRPr="007D66D9" w:rsidRDefault="0058163A" w:rsidP="007D66D9">
      <w:pPr>
        <w:rPr>
          <w:rFonts w:cs="Arial"/>
          <w:color w:val="000000"/>
        </w:rPr>
      </w:pPr>
      <w:r>
        <w:rPr>
          <w:rFonts w:cs="Arial"/>
          <w:color w:val="000000"/>
        </w:rPr>
        <w:t>Dosi</w:t>
      </w:r>
      <w:r w:rsidR="003673F6">
        <w:rPr>
          <w:rFonts w:cs="Arial"/>
          <w:color w:val="000000"/>
        </w:rPr>
        <w:t>ng</w:t>
      </w:r>
      <w:r>
        <w:rPr>
          <w:rFonts w:cs="Arial"/>
          <w:color w:val="000000"/>
        </w:rPr>
        <w:t xml:space="preserve"> Window; m</w:t>
      </w:r>
      <w:r w:rsidR="007D66D9" w:rsidRPr="007D66D9">
        <w:rPr>
          <w:rFonts w:cs="Arial"/>
          <w:color w:val="000000"/>
        </w:rPr>
        <w:t>issi</w:t>
      </w:r>
      <w:r w:rsidR="003673F6">
        <w:rPr>
          <w:rFonts w:cs="Arial"/>
          <w:color w:val="000000"/>
        </w:rPr>
        <w:t>ng</w:t>
      </w:r>
      <w:r w:rsidR="007D66D9" w:rsidRPr="007D66D9">
        <w:rPr>
          <w:rFonts w:cs="Arial"/>
          <w:color w:val="000000"/>
        </w:rPr>
        <w:t xml:space="preserve"> doses of Invega Trinza should be avoided. However, on exceptional occasions, patients may be given the injection up to 2 weeks before or after the </w:t>
      </w:r>
      <w:r>
        <w:rPr>
          <w:rFonts w:cs="Arial"/>
          <w:color w:val="000000"/>
        </w:rPr>
        <w:t>3 Month</w:t>
      </w:r>
      <w:r w:rsidR="007D66D9" w:rsidRPr="007D66D9">
        <w:rPr>
          <w:rFonts w:cs="Arial"/>
          <w:color w:val="000000"/>
        </w:rPr>
        <w:t xml:space="preserve"> time point.</w:t>
      </w:r>
    </w:p>
    <w:p w14:paraId="070BBEBF" w14:textId="77777777" w:rsidR="007D66D9" w:rsidRPr="007D66D9" w:rsidRDefault="007D66D9" w:rsidP="0074521B">
      <w:pPr>
        <w:pStyle w:val="Heading5"/>
      </w:pPr>
      <w:r w:rsidRPr="007D66D9">
        <w:t xml:space="preserve">Missed </w:t>
      </w:r>
      <w:r w:rsidR="00DA6480">
        <w:t>d</w:t>
      </w:r>
      <w:r w:rsidRPr="007D66D9">
        <w:t>ose &gt; 3½ Months up to 4 Months</w:t>
      </w:r>
    </w:p>
    <w:p w14:paraId="68A155DD" w14:textId="77777777" w:rsidR="007D66D9" w:rsidRPr="007D66D9" w:rsidRDefault="007D66D9" w:rsidP="0074521B">
      <w:pPr>
        <w:rPr>
          <w:rFonts w:cs="Arial"/>
          <w:color w:val="000000"/>
        </w:rPr>
      </w:pPr>
      <w:r w:rsidRPr="007D66D9">
        <w:rPr>
          <w:rFonts w:cs="Arial"/>
          <w:color w:val="000000"/>
        </w:rPr>
        <w:t xml:space="preserve">If more than 3½ months (up to 4 months) have elapsed since the last injection of </w:t>
      </w:r>
      <w:r w:rsidR="0058163A">
        <w:rPr>
          <w:rFonts w:cs="Arial"/>
          <w:color w:val="000000"/>
        </w:rPr>
        <w:t>Invega Trinza</w:t>
      </w:r>
      <w:r w:rsidRPr="007D66D9">
        <w:rPr>
          <w:rFonts w:cs="Arial"/>
          <w:color w:val="000000"/>
        </w:rPr>
        <w:t>, the previously administered Invega Trinza dose should be administered as soon as possible, then</w:t>
      </w:r>
      <w:r w:rsidRPr="007D66D9">
        <w:rPr>
          <w:color w:val="000000"/>
        </w:rPr>
        <w:t xml:space="preserve"> </w:t>
      </w:r>
      <w:r w:rsidRPr="007D66D9">
        <w:rPr>
          <w:rFonts w:cs="Arial"/>
          <w:color w:val="000000"/>
        </w:rPr>
        <w:t xml:space="preserve">continue with the </w:t>
      </w:r>
      <w:r w:rsidR="0058163A">
        <w:rPr>
          <w:rFonts w:cs="Arial"/>
          <w:color w:val="000000"/>
        </w:rPr>
        <w:t>3 Month</w:t>
      </w:r>
      <w:r w:rsidRPr="007D66D9">
        <w:rPr>
          <w:rFonts w:cs="Arial"/>
          <w:color w:val="000000"/>
        </w:rPr>
        <w:t xml:space="preserve"> injections followi</w:t>
      </w:r>
      <w:r w:rsidR="003673F6">
        <w:rPr>
          <w:rFonts w:cs="Arial"/>
          <w:color w:val="000000"/>
        </w:rPr>
        <w:t>ng</w:t>
      </w:r>
      <w:r w:rsidRPr="007D66D9">
        <w:rPr>
          <w:rFonts w:cs="Arial"/>
          <w:color w:val="000000"/>
        </w:rPr>
        <w:t xml:space="preserve"> this dose.</w:t>
      </w:r>
    </w:p>
    <w:p w14:paraId="1067ED22" w14:textId="77777777" w:rsidR="007D66D9" w:rsidRPr="007D66D9" w:rsidRDefault="007D66D9" w:rsidP="0074521B">
      <w:pPr>
        <w:pStyle w:val="Heading5"/>
      </w:pPr>
      <w:r w:rsidRPr="007D66D9">
        <w:t>Missed Dose &gt; 4 Months up to 9 Months</w:t>
      </w:r>
    </w:p>
    <w:p w14:paraId="7E00EFC3" w14:textId="77777777" w:rsidR="007D66D9" w:rsidRPr="007D66D9" w:rsidRDefault="007D66D9" w:rsidP="0074521B">
      <w:pPr>
        <w:rPr>
          <w:rFonts w:cs="Arial"/>
          <w:color w:val="000000"/>
        </w:rPr>
      </w:pPr>
      <w:r w:rsidRPr="007D66D9">
        <w:rPr>
          <w:rFonts w:cs="Arial"/>
          <w:color w:val="000000"/>
        </w:rPr>
        <w:t xml:space="preserve">If more than 4 months (up to 9 months) have elapsed since the last injection of </w:t>
      </w:r>
      <w:r w:rsidR="0058163A">
        <w:rPr>
          <w:rFonts w:cs="Arial"/>
          <w:color w:val="000000"/>
        </w:rPr>
        <w:t>Invega Trinza</w:t>
      </w:r>
      <w:r w:rsidRPr="007D66D9">
        <w:rPr>
          <w:rFonts w:cs="Arial"/>
          <w:color w:val="000000"/>
        </w:rPr>
        <w:t xml:space="preserve">, do NOT administer the next dose of </w:t>
      </w:r>
      <w:r w:rsidR="0058163A">
        <w:rPr>
          <w:rFonts w:cs="Arial"/>
          <w:color w:val="000000"/>
        </w:rPr>
        <w:t>Invega Trinza</w:t>
      </w:r>
      <w:r w:rsidRPr="007D66D9">
        <w:rPr>
          <w:rFonts w:cs="Arial"/>
          <w:color w:val="000000"/>
        </w:rPr>
        <w:t>. Instead, use the re-ini</w:t>
      </w:r>
      <w:r w:rsidR="00DA6480">
        <w:rPr>
          <w:rFonts w:cs="Arial"/>
          <w:color w:val="000000"/>
        </w:rPr>
        <w:t>tiation regimen shown in Table 6</w:t>
      </w:r>
      <w:r w:rsidRPr="007D66D9">
        <w:rPr>
          <w:rFonts w:cs="Arial"/>
          <w:color w:val="000000"/>
        </w:rPr>
        <w:t>.</w:t>
      </w:r>
    </w:p>
    <w:p w14:paraId="04FB17CF" w14:textId="77777777" w:rsidR="007D66D9" w:rsidRPr="0074521B" w:rsidRDefault="00DA6480" w:rsidP="0058163A">
      <w:pPr>
        <w:pStyle w:val="Tabletitle"/>
      </w:pPr>
      <w:r>
        <w:t>Table 6</w:t>
      </w:r>
      <w:r w:rsidR="0058163A">
        <w:t>:</w:t>
      </w:r>
      <w:r w:rsidR="007D66D9" w:rsidRPr="0074521B">
        <w:t xml:space="preserve"> Re-initiation regimen after missi</w:t>
      </w:r>
      <w:r w:rsidR="003673F6">
        <w:t>ng</w:t>
      </w:r>
      <w:r w:rsidR="007D66D9" w:rsidRPr="0074521B">
        <w:t xml:space="preserve"> &gt;</w:t>
      </w:r>
      <w:r w:rsidR="006745B7">
        <w:t xml:space="preserve"> </w:t>
      </w:r>
      <w:r w:rsidR="007D66D9" w:rsidRPr="0074521B">
        <w:t xml:space="preserve">4 months up to 9 months of </w:t>
      </w:r>
      <w:r w:rsidR="0058163A">
        <w:t>Invega Trinza</w:t>
      </w:r>
    </w:p>
    <w:p w14:paraId="2FCD1F5D" w14:textId="77777777" w:rsidR="007D66D9" w:rsidRPr="007D66D9" w:rsidRDefault="007D66D9" w:rsidP="006745B7">
      <w:pPr>
        <w:keepNext/>
        <w:rPr>
          <w:color w:val="000000"/>
        </w:rPr>
      </w:pPr>
      <w:r w:rsidRPr="007D66D9">
        <w:rPr>
          <w:noProof/>
          <w:color w:val="000000"/>
          <w:lang w:eastAsia="en-AU"/>
        </w:rPr>
        <w:drawing>
          <wp:inline distT="0" distB="0" distL="0" distR="0" wp14:anchorId="31E724D2" wp14:editId="0B7C580C">
            <wp:extent cx="4543679" cy="1967789"/>
            <wp:effectExtent l="0" t="0" r="0" b="0"/>
            <wp:docPr id="47" name="Picture 47" descr="Table 6: Re-initiation regimen after missing &gt; 4 months up to 9 months of Invega Tri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617"/>
                    <a:stretch/>
                  </pic:blipFill>
                  <pic:spPr bwMode="auto">
                    <a:xfrm>
                      <a:off x="0" y="0"/>
                      <a:ext cx="4542834" cy="1967423"/>
                    </a:xfrm>
                    <a:prstGeom prst="rect">
                      <a:avLst/>
                    </a:prstGeom>
                    <a:ln>
                      <a:noFill/>
                    </a:ln>
                    <a:extLst>
                      <a:ext uri="{53640926-AAD7-44D8-BBD7-CCE9431645EC}">
                        <a14:shadowObscured xmlns:a14="http://schemas.microsoft.com/office/drawing/2010/main"/>
                      </a:ext>
                    </a:extLst>
                  </pic:spPr>
                </pic:pic>
              </a:graphicData>
            </a:graphic>
          </wp:inline>
        </w:drawing>
      </w:r>
    </w:p>
    <w:p w14:paraId="6B391158" w14:textId="77777777" w:rsidR="007D66D9" w:rsidRPr="0074521B" w:rsidRDefault="007D66D9" w:rsidP="0058163A">
      <w:pPr>
        <w:pStyle w:val="TableDescription"/>
      </w:pPr>
      <w:proofErr w:type="gramStart"/>
      <w:r w:rsidRPr="007D66D9">
        <w:rPr>
          <w:vertAlign w:val="superscript"/>
        </w:rPr>
        <w:t>a</w:t>
      </w:r>
      <w:proofErr w:type="gramEnd"/>
      <w:r w:rsidRPr="007D66D9">
        <w:t xml:space="preserve"> See Instructions for Use for deltoid injection needle </w:t>
      </w:r>
      <w:r w:rsidR="0074521B">
        <w:t>selection based on body weight.</w:t>
      </w:r>
    </w:p>
    <w:p w14:paraId="075B3FA7" w14:textId="77777777" w:rsidR="007D66D9" w:rsidRPr="007D66D9" w:rsidRDefault="007D66D9" w:rsidP="0074521B">
      <w:pPr>
        <w:pStyle w:val="Heading5"/>
      </w:pPr>
      <w:r w:rsidRPr="007D66D9">
        <w:t xml:space="preserve">Missed </w:t>
      </w:r>
      <w:r w:rsidR="00DA6480">
        <w:t>d</w:t>
      </w:r>
      <w:r w:rsidRPr="007D66D9">
        <w:t xml:space="preserve">ose &gt; 9 </w:t>
      </w:r>
      <w:r w:rsidR="004A676D">
        <w:t>m</w:t>
      </w:r>
      <w:r w:rsidRPr="007D66D9">
        <w:t>onths</w:t>
      </w:r>
    </w:p>
    <w:p w14:paraId="52A5A5AF" w14:textId="77777777" w:rsidR="007D66D9" w:rsidRPr="007D66D9" w:rsidRDefault="007D66D9" w:rsidP="0074521B">
      <w:pPr>
        <w:rPr>
          <w:rFonts w:cs="Arial"/>
          <w:color w:val="000000"/>
        </w:rPr>
      </w:pPr>
      <w:r w:rsidRPr="007D66D9">
        <w:rPr>
          <w:rFonts w:cs="Arial"/>
          <w:color w:val="000000"/>
        </w:rPr>
        <w:t xml:space="preserve">If more than 9 months have elapsed since the last injection of </w:t>
      </w:r>
      <w:r w:rsidR="0058163A">
        <w:rPr>
          <w:rFonts w:cs="Arial"/>
          <w:color w:val="000000"/>
        </w:rPr>
        <w:t>Invega Trinza</w:t>
      </w:r>
      <w:r w:rsidRPr="007D66D9">
        <w:rPr>
          <w:rFonts w:cs="Arial"/>
          <w:color w:val="000000"/>
        </w:rPr>
        <w:t xml:space="preserve">, re-initiate treatment with the </w:t>
      </w:r>
      <w:r w:rsidR="0058163A">
        <w:rPr>
          <w:rFonts w:cs="Arial"/>
          <w:color w:val="000000"/>
        </w:rPr>
        <w:t>1 month</w:t>
      </w:r>
      <w:r w:rsidRPr="007D66D9">
        <w:rPr>
          <w:rFonts w:cs="Arial"/>
          <w:color w:val="000000"/>
        </w:rPr>
        <w:t xml:space="preserve"> paliperidone palmitate injectable product as described in the prescribi</w:t>
      </w:r>
      <w:r w:rsidR="003673F6">
        <w:rPr>
          <w:rFonts w:cs="Arial"/>
          <w:color w:val="000000"/>
        </w:rPr>
        <w:t>ng</w:t>
      </w:r>
      <w:r w:rsidRPr="007D66D9">
        <w:rPr>
          <w:rFonts w:cs="Arial"/>
          <w:color w:val="000000"/>
        </w:rPr>
        <w:t xml:space="preserve"> information for that product. Invega Trinza can then be resumed after the patient has been adequately treated with the </w:t>
      </w:r>
      <w:r w:rsidR="0058163A">
        <w:rPr>
          <w:rFonts w:cs="Arial"/>
          <w:color w:val="000000"/>
        </w:rPr>
        <w:t>1 month</w:t>
      </w:r>
      <w:r w:rsidRPr="007D66D9">
        <w:rPr>
          <w:rFonts w:cs="Arial"/>
          <w:color w:val="000000"/>
        </w:rPr>
        <w:t xml:space="preserve"> paliperidone palmitate in</w:t>
      </w:r>
      <w:r w:rsidR="0058163A">
        <w:rPr>
          <w:rFonts w:cs="Arial"/>
          <w:color w:val="000000"/>
        </w:rPr>
        <w:t>jectable product for at least 4 </w:t>
      </w:r>
      <w:r w:rsidRPr="007D66D9">
        <w:rPr>
          <w:rFonts w:cs="Arial"/>
          <w:color w:val="000000"/>
        </w:rPr>
        <w:t>months.</w:t>
      </w:r>
    </w:p>
    <w:p w14:paraId="37D2175F" w14:textId="77777777" w:rsidR="007D66D9" w:rsidRPr="0058163A" w:rsidRDefault="007D66D9" w:rsidP="0058163A">
      <w:pPr>
        <w:pStyle w:val="Comment"/>
      </w:pPr>
      <w:r w:rsidRPr="007D66D9">
        <w:rPr>
          <w:b/>
          <w:color w:val="000000"/>
        </w:rPr>
        <w:t>Comment</w:t>
      </w:r>
      <w:r w:rsidRPr="007D66D9">
        <w:rPr>
          <w:color w:val="000000"/>
        </w:rPr>
        <w:t>: The sponsor in Summary of Clinical Efficacy page 69 says:</w:t>
      </w:r>
      <w:r w:rsidR="0058163A">
        <w:rPr>
          <w:color w:val="000000"/>
        </w:rPr>
        <w:t xml:space="preserve"> </w:t>
      </w:r>
      <w:r w:rsidRPr="007D66D9">
        <w:rPr>
          <w:rFonts w:cs="Arial"/>
          <w:color w:val="000000"/>
        </w:rPr>
        <w:t>Dosi</w:t>
      </w:r>
      <w:r w:rsidR="003673F6">
        <w:rPr>
          <w:rFonts w:cs="Arial"/>
          <w:color w:val="000000"/>
        </w:rPr>
        <w:t>ng</w:t>
      </w:r>
      <w:r w:rsidRPr="007D66D9">
        <w:rPr>
          <w:rFonts w:cs="Arial"/>
          <w:color w:val="000000"/>
        </w:rPr>
        <w:t xml:space="preserve"> recomme</w:t>
      </w:r>
      <w:r w:rsidR="0058163A">
        <w:rPr>
          <w:rFonts w:cs="Arial"/>
          <w:color w:val="000000"/>
        </w:rPr>
        <w:t xml:space="preserve">ndations were not based on dose </w:t>
      </w:r>
      <w:r w:rsidRPr="007D66D9">
        <w:rPr>
          <w:rFonts w:cs="Arial"/>
          <w:color w:val="000000"/>
        </w:rPr>
        <w:t>response relationships in Study PSY-3011 or Study PSY-3012 because neither study was designed to evaluate efficacy of individual dose levels of PP3M.</w:t>
      </w:r>
    </w:p>
    <w:p w14:paraId="11D76777" w14:textId="77777777" w:rsidR="007D66D9" w:rsidRPr="007D66D9" w:rsidRDefault="007D66D9" w:rsidP="007D66D9">
      <w:pPr>
        <w:pStyle w:val="Heading3"/>
      </w:pPr>
      <w:bookmarkStart w:id="26" w:name="_Toc272414599"/>
      <w:bookmarkStart w:id="27" w:name="_Toc290846221"/>
      <w:bookmarkStart w:id="28" w:name="_Toc290888758"/>
      <w:bookmarkStart w:id="29" w:name="_Toc453054853"/>
      <w:bookmarkStart w:id="30" w:name="_Toc495583929"/>
      <w:r w:rsidRPr="007D66D9">
        <w:lastRenderedPageBreak/>
        <w:t>Other proposed cha</w:t>
      </w:r>
      <w:r w:rsidR="003673F6">
        <w:t>ng</w:t>
      </w:r>
      <w:r w:rsidRPr="007D66D9">
        <w:t xml:space="preserve">es to the </w:t>
      </w:r>
      <w:bookmarkEnd w:id="26"/>
      <w:r w:rsidRPr="007D66D9">
        <w:t>PI</w:t>
      </w:r>
      <w:bookmarkEnd w:id="27"/>
      <w:bookmarkEnd w:id="28"/>
      <w:bookmarkEnd w:id="29"/>
      <w:bookmarkEnd w:id="30"/>
    </w:p>
    <w:p w14:paraId="0FA8EC71" w14:textId="017F1BE0" w:rsidR="00DB4914" w:rsidRPr="0074521B" w:rsidRDefault="007D66D9" w:rsidP="00DB4914">
      <w:pPr>
        <w:rPr>
          <w:color w:val="000000"/>
        </w:rPr>
      </w:pPr>
      <w:r w:rsidRPr="007D66D9">
        <w:rPr>
          <w:color w:val="000000"/>
        </w:rPr>
        <w:t>This is essentially a new product with cha</w:t>
      </w:r>
      <w:r w:rsidR="003673F6">
        <w:rPr>
          <w:color w:val="000000"/>
        </w:rPr>
        <w:t>ng</w:t>
      </w:r>
      <w:r w:rsidRPr="007D66D9">
        <w:rPr>
          <w:color w:val="000000"/>
        </w:rPr>
        <w:t xml:space="preserve">es to the Description, Pharmacology, Clinical trials, </w:t>
      </w:r>
      <w:proofErr w:type="gramStart"/>
      <w:r w:rsidRPr="007D66D9">
        <w:rPr>
          <w:color w:val="000000"/>
        </w:rPr>
        <w:t>Contraindications</w:t>
      </w:r>
      <w:proofErr w:type="gramEnd"/>
      <w:r w:rsidRPr="007D66D9">
        <w:rPr>
          <w:color w:val="000000"/>
        </w:rPr>
        <w:t>, Precautions and Adverse Ef</w:t>
      </w:r>
      <w:r w:rsidR="0074521B">
        <w:rPr>
          <w:color w:val="000000"/>
        </w:rPr>
        <w:t>fects sections</w:t>
      </w:r>
      <w:r w:rsidR="001147F1">
        <w:rPr>
          <w:color w:val="000000"/>
        </w:rPr>
        <w:t>.</w:t>
      </w:r>
    </w:p>
    <w:p w14:paraId="5E8364F8" w14:textId="77777777" w:rsidR="00295C34" w:rsidRDefault="00586F98" w:rsidP="00295C34">
      <w:pPr>
        <w:pStyle w:val="Heading2"/>
      </w:pPr>
      <w:bookmarkStart w:id="31" w:name="_Toc495583930"/>
      <w:r w:rsidRPr="0094614A">
        <w:t>Clinical rationale</w:t>
      </w:r>
      <w:bookmarkEnd w:id="31"/>
    </w:p>
    <w:p w14:paraId="71C56797" w14:textId="77777777" w:rsidR="0085068D" w:rsidRPr="0074521B" w:rsidRDefault="007D66D9" w:rsidP="00DA6480">
      <w:r w:rsidRPr="007D66D9">
        <w:t>Adherence to antipsychotic therapy is essential for the continuous effective drug exposure needed for optimizi</w:t>
      </w:r>
      <w:r w:rsidR="003673F6">
        <w:t>ng</w:t>
      </w:r>
      <w:r w:rsidRPr="007D66D9">
        <w:t xml:space="preserve"> therapeutic benefit with respect to preventi</w:t>
      </w:r>
      <w:r w:rsidR="003673F6">
        <w:t>ng</w:t>
      </w:r>
      <w:r w:rsidRPr="007D66D9">
        <w:t xml:space="preserve"> or delayi</w:t>
      </w:r>
      <w:r w:rsidR="003673F6">
        <w:t>ng</w:t>
      </w:r>
      <w:r w:rsidR="004D2F2B">
        <w:t xml:space="preserve"> relapse and/or re</w:t>
      </w:r>
      <w:r w:rsidR="004D2F2B">
        <w:noBreakHyphen/>
      </w:r>
      <w:r w:rsidRPr="007D66D9">
        <w:t>hospitalization; however, patients with schizophrenia exhibit various levels of m</w:t>
      </w:r>
      <w:r w:rsidR="0074521B">
        <w:t>edication compliance behaviour.</w:t>
      </w:r>
    </w:p>
    <w:p w14:paraId="3D240278" w14:textId="77777777" w:rsidR="00586F98" w:rsidRDefault="00586F98" w:rsidP="00586F98">
      <w:pPr>
        <w:pStyle w:val="Heading2"/>
        <w:rPr>
          <w:lang w:eastAsia="en-AU"/>
        </w:rPr>
      </w:pPr>
      <w:bookmarkStart w:id="32" w:name="_Toc495583931"/>
      <w:r>
        <w:rPr>
          <w:lang w:eastAsia="en-AU"/>
        </w:rPr>
        <w:t>Contents of the clinical dossier</w:t>
      </w:r>
      <w:bookmarkEnd w:id="9"/>
      <w:bookmarkEnd w:id="10"/>
      <w:bookmarkEnd w:id="32"/>
    </w:p>
    <w:p w14:paraId="297F7DC0" w14:textId="77777777" w:rsidR="00586F98" w:rsidRDefault="00586F98" w:rsidP="007D66D9">
      <w:pPr>
        <w:pStyle w:val="Heading3"/>
      </w:pPr>
      <w:bookmarkStart w:id="33" w:name="_Toc495583932"/>
      <w:r>
        <w:t>Scope of the clinical dossier</w:t>
      </w:r>
      <w:bookmarkEnd w:id="33"/>
    </w:p>
    <w:p w14:paraId="1B080585" w14:textId="77777777" w:rsidR="007D66D9" w:rsidRPr="007D66D9" w:rsidRDefault="007D66D9" w:rsidP="007D66D9">
      <w:pPr>
        <w:rPr>
          <w:color w:val="000000"/>
        </w:rPr>
      </w:pPr>
      <w:r w:rsidRPr="007D66D9">
        <w:rPr>
          <w:color w:val="000000"/>
        </w:rPr>
        <w:t>The submission contained the followi</w:t>
      </w:r>
      <w:r w:rsidR="003673F6">
        <w:rPr>
          <w:color w:val="000000"/>
        </w:rPr>
        <w:t>ng</w:t>
      </w:r>
      <w:r w:rsidRPr="007D66D9">
        <w:rPr>
          <w:color w:val="000000"/>
        </w:rPr>
        <w:t xml:space="preserve"> clinical information:</w:t>
      </w:r>
    </w:p>
    <w:p w14:paraId="1DC87FD5" w14:textId="77777777" w:rsidR="0058163A" w:rsidRPr="007D66D9" w:rsidRDefault="0058163A" w:rsidP="00D37CB6">
      <w:pPr>
        <w:pStyle w:val="ListBullet"/>
      </w:pPr>
      <w:r w:rsidRPr="007D66D9">
        <w:t>Evidence proposed to support the Efficacy, Safety and Tolerability of 3 monthly injections of the formulation:</w:t>
      </w:r>
    </w:p>
    <w:p w14:paraId="2FDCD0EB" w14:textId="77777777" w:rsidR="004A676D" w:rsidRDefault="0058163A" w:rsidP="0058163A">
      <w:pPr>
        <w:pStyle w:val="Numberbullet2"/>
      </w:pPr>
      <w:r w:rsidRPr="007D66D9">
        <w:t>Clinical pharma</w:t>
      </w:r>
      <w:r w:rsidR="00DA6480">
        <w:t xml:space="preserve">cology study R092670-PSY-1005; A </w:t>
      </w:r>
      <w:r w:rsidR="004A676D">
        <w:t>Si</w:t>
      </w:r>
      <w:r w:rsidR="003673F6">
        <w:t>ng</w:t>
      </w:r>
      <w:r w:rsidR="004A676D">
        <w:t>le dose</w:t>
      </w:r>
      <w:r w:rsidR="004D2F2B">
        <w:t xml:space="preserve">, open label, randomized, parallel </w:t>
      </w:r>
      <w:r w:rsidR="004D2F2B" w:rsidRPr="007D66D9">
        <w:t>group study to assess the pharmacokinetics, safety, and toler</w:t>
      </w:r>
      <w:r w:rsidRPr="007D66D9">
        <w:t>ability of Invega Trinza in</w:t>
      </w:r>
      <w:r w:rsidR="004D2F2B" w:rsidRPr="007D66D9">
        <w:t xml:space="preserve"> subjects </w:t>
      </w:r>
      <w:r w:rsidR="004D2F2B">
        <w:t>w</w:t>
      </w:r>
      <w:r w:rsidR="004D2F2B" w:rsidRPr="007D66D9">
        <w:t>ith s</w:t>
      </w:r>
      <w:r w:rsidRPr="007D66D9">
        <w:t>chizophrenia</w:t>
      </w:r>
      <w:r w:rsidR="004A676D">
        <w:t>.</w:t>
      </w:r>
    </w:p>
    <w:p w14:paraId="4547863C" w14:textId="77777777" w:rsidR="0058163A" w:rsidRPr="007D66D9" w:rsidRDefault="0058163A" w:rsidP="0058163A">
      <w:pPr>
        <w:pStyle w:val="Numberbullet2"/>
      </w:pPr>
      <w:r w:rsidRPr="007D66D9">
        <w:t xml:space="preserve">PK reports for studies R092670-PSY-3011 </w:t>
      </w:r>
      <w:r w:rsidR="00E60DFA">
        <w:t>and</w:t>
      </w:r>
      <w:r w:rsidRPr="007D66D9">
        <w:t xml:space="preserve"> 3012.</w:t>
      </w:r>
    </w:p>
    <w:p w14:paraId="63F594D8" w14:textId="77777777" w:rsidR="0058163A" w:rsidRPr="007D66D9" w:rsidRDefault="0058163A" w:rsidP="0058163A">
      <w:pPr>
        <w:pStyle w:val="Numberbullet2"/>
      </w:pPr>
      <w:r w:rsidRPr="007D66D9">
        <w:t>Efficacy/Safety studies:</w:t>
      </w:r>
    </w:p>
    <w:p w14:paraId="5F5C15A2" w14:textId="77777777" w:rsidR="0058163A" w:rsidRPr="007D66D9" w:rsidRDefault="00DA6480" w:rsidP="0058163A">
      <w:pPr>
        <w:pStyle w:val="Numberbullet3"/>
      </w:pPr>
      <w:r>
        <w:t xml:space="preserve">R092670-PSY-3011; </w:t>
      </w:r>
      <w:r w:rsidR="0058163A" w:rsidRPr="007D66D9">
        <w:t xml:space="preserve">A </w:t>
      </w:r>
      <w:r w:rsidR="004D2F2B">
        <w:t xml:space="preserve">randomized, multicentre, double </w:t>
      </w:r>
      <w:r w:rsidR="004D2F2B" w:rsidRPr="007D66D9">
        <w:t xml:space="preserve">blind, non-inferiority study </w:t>
      </w:r>
      <w:r w:rsidR="0058163A" w:rsidRPr="007D66D9">
        <w:t xml:space="preserve">of </w:t>
      </w:r>
      <w:r w:rsidR="004D2F2B" w:rsidRPr="007D66D9">
        <w:t xml:space="preserve">paliperidone palmitate </w:t>
      </w:r>
      <w:r w:rsidR="0058163A" w:rsidRPr="007D66D9">
        <w:t xml:space="preserve">3 </w:t>
      </w:r>
      <w:r w:rsidR="004D2F2B" w:rsidRPr="007D66D9">
        <w:t>month and 1 month formulations for the treatment of subjects with schizophrenia.</w:t>
      </w:r>
    </w:p>
    <w:p w14:paraId="6AB6C8A8" w14:textId="77777777" w:rsidR="0058163A" w:rsidRPr="007D66D9" w:rsidRDefault="00DA6480" w:rsidP="0058163A">
      <w:pPr>
        <w:pStyle w:val="Numberbullet3"/>
      </w:pPr>
      <w:r>
        <w:t xml:space="preserve">R092670-PSY-3012; </w:t>
      </w:r>
      <w:r w:rsidR="0058163A" w:rsidRPr="007D66D9">
        <w:t xml:space="preserve">A </w:t>
      </w:r>
      <w:r w:rsidR="004D2F2B">
        <w:t xml:space="preserve">randomized, multicentre, double </w:t>
      </w:r>
      <w:r w:rsidR="004D2F2B" w:rsidRPr="007D66D9">
        <w:t xml:space="preserve">blind, relapse prevention study of </w:t>
      </w:r>
      <w:r w:rsidR="0058163A" w:rsidRPr="007D66D9">
        <w:t xml:space="preserve">Invega Trinza for the </w:t>
      </w:r>
      <w:r w:rsidR="004D2F2B" w:rsidRPr="007D66D9">
        <w:t>treatment of subjects with schizophrenia</w:t>
      </w:r>
      <w:r w:rsidR="0058163A" w:rsidRPr="007D66D9">
        <w:t>.</w:t>
      </w:r>
    </w:p>
    <w:p w14:paraId="013CC8F3" w14:textId="77777777" w:rsidR="0058163A" w:rsidRPr="007D66D9" w:rsidRDefault="0058163A" w:rsidP="00D37CB6">
      <w:pPr>
        <w:pStyle w:val="ListBullet"/>
      </w:pPr>
      <w:r w:rsidRPr="007D66D9">
        <w:t xml:space="preserve">Evidence proposed to support the use of 3 monthly injections of the formulation outside the dosage (frequency) used in the clinical </w:t>
      </w:r>
      <w:r w:rsidR="00FB0FC4">
        <w:t>trials (3 population analyses):</w:t>
      </w:r>
    </w:p>
    <w:p w14:paraId="13F5C5AE" w14:textId="77777777" w:rsidR="0058163A" w:rsidRPr="007D66D9" w:rsidRDefault="0058163A" w:rsidP="0058163A">
      <w:pPr>
        <w:pStyle w:val="Numberbullet2"/>
        <w:numPr>
          <w:ilvl w:val="1"/>
          <w:numId w:val="18"/>
        </w:numPr>
      </w:pPr>
      <w:r w:rsidRPr="007D66D9">
        <w:t xml:space="preserve">A </w:t>
      </w:r>
      <w:r w:rsidR="004D2F2B" w:rsidRPr="007D66D9">
        <w:t>po</w:t>
      </w:r>
      <w:r w:rsidRPr="007D66D9">
        <w:t xml:space="preserve">pulation PK </w:t>
      </w:r>
      <w:r w:rsidR="004D2F2B" w:rsidRPr="007D66D9">
        <w:t>re</w:t>
      </w:r>
      <w:r w:rsidRPr="007D66D9">
        <w:t>port REP-1-JAN-PAL-PMX-1.</w:t>
      </w:r>
    </w:p>
    <w:p w14:paraId="56AD6EEA" w14:textId="77777777" w:rsidR="0058163A" w:rsidRPr="007D66D9" w:rsidRDefault="00DA6480" w:rsidP="0058163A">
      <w:pPr>
        <w:pStyle w:val="Numberbullet2"/>
      </w:pPr>
      <w:r>
        <w:t xml:space="preserve">Population </w:t>
      </w:r>
      <w:r w:rsidR="004D2F2B">
        <w:t>p</w:t>
      </w:r>
      <w:r>
        <w:t xml:space="preserve">harmacokinetic / </w:t>
      </w:r>
      <w:r w:rsidR="004D2F2B" w:rsidRPr="007D66D9">
        <w:t>pharmacodynamic modelli</w:t>
      </w:r>
      <w:r w:rsidR="004D2F2B">
        <w:t>ng</w:t>
      </w:r>
      <w:r w:rsidR="004D2F2B" w:rsidRPr="007D66D9">
        <w:t xml:space="preserve"> of two intramuscular formulations</w:t>
      </w:r>
      <w:r w:rsidR="0058163A" w:rsidRPr="007D66D9">
        <w:t xml:space="preserve"> of </w:t>
      </w:r>
      <w:r w:rsidR="004D2F2B" w:rsidRPr="007D66D9">
        <w:t xml:space="preserve">paliperidone palmitate </w:t>
      </w:r>
      <w:r w:rsidR="0058163A" w:rsidRPr="007D66D9">
        <w:t>in Study R092670-PSY-3011.</w:t>
      </w:r>
    </w:p>
    <w:p w14:paraId="5684F005" w14:textId="77777777" w:rsidR="0058163A" w:rsidRPr="007D66D9" w:rsidRDefault="0058163A" w:rsidP="0058163A">
      <w:pPr>
        <w:pStyle w:val="Numberbullet2"/>
      </w:pPr>
      <w:r w:rsidRPr="007D66D9">
        <w:t>Pharmacokinetic</w:t>
      </w:r>
      <w:r w:rsidR="004D2F2B" w:rsidRPr="007D66D9">
        <w:t>-pharmacodynamic modelli</w:t>
      </w:r>
      <w:r w:rsidR="004D2F2B">
        <w:t>ng</w:t>
      </w:r>
      <w:r w:rsidR="004D2F2B" w:rsidRPr="007D66D9">
        <w:t xml:space="preserve"> of two intramuscular formulations of paliperidone palmitate </w:t>
      </w:r>
      <w:r w:rsidRPr="007D66D9">
        <w:t>in Study R092670-PSY-3012.</w:t>
      </w:r>
    </w:p>
    <w:p w14:paraId="44F8CC47" w14:textId="77777777" w:rsidR="0058163A" w:rsidRPr="007D66D9" w:rsidRDefault="0058163A" w:rsidP="00D37CB6">
      <w:pPr>
        <w:pStyle w:val="ListBullet"/>
      </w:pPr>
      <w:r w:rsidRPr="007D66D9">
        <w:t xml:space="preserve">Invega Trinza </w:t>
      </w:r>
      <w:r w:rsidR="004D2F2B" w:rsidRPr="007D66D9">
        <w:t>patient and physician preference surveys summary report</w:t>
      </w:r>
      <w:r w:rsidRPr="007D66D9">
        <w:t>.</w:t>
      </w:r>
    </w:p>
    <w:p w14:paraId="17C19F2E" w14:textId="77777777" w:rsidR="0058163A" w:rsidRPr="007D66D9" w:rsidRDefault="0058163A" w:rsidP="00D37CB6">
      <w:pPr>
        <w:pStyle w:val="ListBullet"/>
      </w:pPr>
      <w:r w:rsidRPr="007D66D9">
        <w:t xml:space="preserve">Literature </w:t>
      </w:r>
      <w:r w:rsidR="004D2F2B" w:rsidRPr="007D66D9">
        <w:t>su</w:t>
      </w:r>
      <w:r w:rsidRPr="007D66D9">
        <w:t>mmaries 01 January 2014 to16 February 2015.</w:t>
      </w:r>
    </w:p>
    <w:p w14:paraId="0F4E88DD" w14:textId="26D98F3C" w:rsidR="003B3D73" w:rsidRPr="00F51B3D" w:rsidRDefault="007D66D9" w:rsidP="00D37CB6">
      <w:pPr>
        <w:pStyle w:val="ListBullet"/>
      </w:pPr>
      <w:r w:rsidRPr="007D66D9">
        <w:t xml:space="preserve">Clinical </w:t>
      </w:r>
      <w:r w:rsidR="004D2F2B" w:rsidRPr="007D66D9">
        <w:t xml:space="preserve">overview, summary of clinical pharmacology studies, summary of clinical efficacy, summary of clinical safety and literature </w:t>
      </w:r>
      <w:r w:rsidRPr="007D66D9">
        <w:t>references.</w:t>
      </w:r>
    </w:p>
    <w:p w14:paraId="2556E126" w14:textId="6FDA1553" w:rsidR="003B3D73" w:rsidRPr="00B06D8A" w:rsidRDefault="007D66D9" w:rsidP="00B06D8A">
      <w:pPr>
        <w:ind w:left="1134" w:hanging="1134"/>
      </w:pPr>
      <w:r w:rsidRPr="00B06D8A">
        <w:rPr>
          <w:b/>
        </w:rPr>
        <w:t>Comment:</w:t>
      </w:r>
      <w:r w:rsidR="0074521B" w:rsidRPr="00B06D8A">
        <w:t xml:space="preserve"> </w:t>
      </w:r>
      <w:r w:rsidRPr="00F51B3D">
        <w:t xml:space="preserve">The sponsor did not initially submit the PK report for study PSY-3011 and </w:t>
      </w:r>
      <w:proofErr w:type="spellStart"/>
      <w:r w:rsidRPr="00F51B3D">
        <w:t>addenda</w:t>
      </w:r>
      <w:r w:rsidR="003453BF">
        <w:t>.</w:t>
      </w:r>
      <w:r w:rsidR="003B3D73" w:rsidRPr="00B06D8A">
        <w:t>These</w:t>
      </w:r>
      <w:proofErr w:type="spellEnd"/>
      <w:r w:rsidR="003B3D73" w:rsidRPr="00B06D8A">
        <w:t xml:space="preserve"> had to be separately requested</w:t>
      </w:r>
      <w:r w:rsidR="003B3D73" w:rsidRPr="00F51B3D">
        <w:t>.</w:t>
      </w:r>
    </w:p>
    <w:p w14:paraId="3990FAD8" w14:textId="77777777" w:rsidR="007D66D9" w:rsidRPr="00DA6480" w:rsidRDefault="007D66D9" w:rsidP="00DA6480">
      <w:pPr>
        <w:rPr>
          <w:color w:val="000000"/>
        </w:rPr>
      </w:pPr>
      <w:r w:rsidRPr="007D66D9">
        <w:rPr>
          <w:color w:val="000000"/>
        </w:rPr>
        <w:t>The sponsors provided a justification for not providi</w:t>
      </w:r>
      <w:r w:rsidR="003673F6">
        <w:rPr>
          <w:color w:val="000000"/>
        </w:rPr>
        <w:t>ng</w:t>
      </w:r>
      <w:r w:rsidRPr="007D66D9">
        <w:rPr>
          <w:color w:val="000000"/>
        </w:rPr>
        <w:t xml:space="preserve"> biopharmaceutica</w:t>
      </w:r>
      <w:r w:rsidR="00DA6480">
        <w:rPr>
          <w:color w:val="000000"/>
        </w:rPr>
        <w:t>l studies. They argued: ‘</w:t>
      </w:r>
      <w:r w:rsidRPr="00DA6480">
        <w:rPr>
          <w:i/>
        </w:rPr>
        <w:t xml:space="preserve">In Study 1005, a comparison of paliperidone exposure, after injection of PP3M versus an injection of </w:t>
      </w:r>
      <w:r w:rsidRPr="00DA6480">
        <w:rPr>
          <w:i/>
        </w:rPr>
        <w:lastRenderedPageBreak/>
        <w:t>immediate release paliperidone formulation showed complete relative bioavailability of PP3M, irrespective of dose and injection site.</w:t>
      </w:r>
      <w:r w:rsidR="00DA6480">
        <w:rPr>
          <w:i/>
        </w:rPr>
        <w:t>’</w:t>
      </w:r>
    </w:p>
    <w:p w14:paraId="09F40B23" w14:textId="77777777" w:rsidR="007D66D9" w:rsidRPr="007D66D9" w:rsidRDefault="007D66D9" w:rsidP="007D66D9">
      <w:pPr>
        <w:rPr>
          <w:color w:val="000000"/>
        </w:rPr>
      </w:pPr>
      <w:r w:rsidRPr="007D66D9">
        <w:rPr>
          <w:color w:val="000000"/>
        </w:rPr>
        <w:t>The relevance of the other proposed supporti</w:t>
      </w:r>
      <w:r w:rsidR="003673F6">
        <w:rPr>
          <w:color w:val="000000"/>
        </w:rPr>
        <w:t>ng</w:t>
      </w:r>
      <w:r w:rsidRPr="007D66D9">
        <w:rPr>
          <w:color w:val="000000"/>
        </w:rPr>
        <w:t xml:space="preserve"> sta</w:t>
      </w:r>
      <w:r w:rsidR="00DA6480">
        <w:rPr>
          <w:color w:val="000000"/>
        </w:rPr>
        <w:t>tements is difficult to follow:</w:t>
      </w:r>
    </w:p>
    <w:p w14:paraId="725BE8F2" w14:textId="77777777" w:rsidR="007D66D9" w:rsidRPr="007D66D9" w:rsidRDefault="007D66D9" w:rsidP="007D66D9">
      <w:pPr>
        <w:rPr>
          <w:color w:val="000000"/>
        </w:rPr>
      </w:pPr>
      <w:r w:rsidRPr="007D66D9">
        <w:rPr>
          <w:color w:val="000000"/>
        </w:rPr>
        <w:t xml:space="preserve">The first points to the similarity of the (PopPK) apparent clearance of Invega Sustenna and of IV paliperidone and states </w:t>
      </w:r>
      <w:r w:rsidR="00DA6480">
        <w:rPr>
          <w:color w:val="000000"/>
        </w:rPr>
        <w:t>‘</w:t>
      </w:r>
      <w:r w:rsidRPr="00DA6480">
        <w:rPr>
          <w:rFonts w:cs="Arial"/>
          <w:i/>
          <w:color w:val="000000"/>
        </w:rPr>
        <w:t>The absolute bioavailability of paliperidone palmitate followi</w:t>
      </w:r>
      <w:r w:rsidR="003673F6">
        <w:rPr>
          <w:rFonts w:cs="Arial"/>
          <w:i/>
          <w:color w:val="000000"/>
        </w:rPr>
        <w:t>ng</w:t>
      </w:r>
      <w:r w:rsidRPr="00DA6480">
        <w:rPr>
          <w:rFonts w:cs="Arial"/>
          <w:i/>
          <w:color w:val="000000"/>
        </w:rPr>
        <w:t xml:space="preserve"> Invega Sustenna administration is 100%</w:t>
      </w:r>
      <w:r w:rsidR="00DA6480">
        <w:rPr>
          <w:rFonts w:cs="Arial"/>
          <w:i/>
          <w:color w:val="000000"/>
        </w:rPr>
        <w:t>’</w:t>
      </w:r>
      <w:r w:rsidRPr="00DA6480">
        <w:rPr>
          <w:rFonts w:cs="Arial"/>
          <w:i/>
          <w:color w:val="000000"/>
        </w:rPr>
        <w:t>.</w:t>
      </w:r>
    </w:p>
    <w:p w14:paraId="4B0484B3" w14:textId="77777777" w:rsidR="004D2F2B" w:rsidRDefault="007D66D9" w:rsidP="000142FD">
      <w:pPr>
        <w:rPr>
          <w:rFonts w:cs="Arial"/>
          <w:color w:val="000000"/>
        </w:rPr>
      </w:pPr>
      <w:r w:rsidRPr="007D66D9">
        <w:rPr>
          <w:color w:val="000000"/>
        </w:rPr>
        <w:t>The last statement points out the result of a study compari</w:t>
      </w:r>
      <w:r w:rsidR="003673F6">
        <w:rPr>
          <w:color w:val="000000"/>
        </w:rPr>
        <w:t>ng</w:t>
      </w:r>
      <w:r w:rsidRPr="007D66D9">
        <w:rPr>
          <w:color w:val="000000"/>
        </w:rPr>
        <w:t xml:space="preserve"> the AUC after oral administration of paliperidone compared to that of IV paliperidone and states </w:t>
      </w:r>
      <w:r w:rsidRPr="007D66D9">
        <w:rPr>
          <w:rFonts w:cs="Arial"/>
          <w:color w:val="000000"/>
        </w:rPr>
        <w:t xml:space="preserve">The mean </w:t>
      </w:r>
      <w:r w:rsidR="00E60DFA">
        <w:rPr>
          <w:rFonts w:cs="Arial"/>
          <w:color w:val="000000"/>
        </w:rPr>
        <w:t>dose normalized</w:t>
      </w:r>
      <w:r w:rsidRPr="007D66D9">
        <w:rPr>
          <w:rFonts w:cs="Arial"/>
          <w:color w:val="000000"/>
        </w:rPr>
        <w:t xml:space="preserve"> (to 50</w:t>
      </w:r>
      <w:r w:rsidR="004A676D">
        <w:rPr>
          <w:rFonts w:cs="Arial"/>
          <w:color w:val="000000"/>
        </w:rPr>
        <w:t xml:space="preserve"> mg</w:t>
      </w:r>
      <w:r w:rsidRPr="007D66D9">
        <w:rPr>
          <w:rFonts w:cs="Arial"/>
          <w:color w:val="000000"/>
        </w:rPr>
        <w:t xml:space="preserve"> </w:t>
      </w:r>
      <w:r w:rsidR="004A676D">
        <w:rPr>
          <w:rFonts w:cs="Arial"/>
          <w:color w:val="000000"/>
        </w:rPr>
        <w:t>equivalent</w:t>
      </w:r>
      <w:r w:rsidR="004D2F2B">
        <w:rPr>
          <w:rFonts w:cs="Arial"/>
          <w:color w:val="000000"/>
        </w:rPr>
        <w:t>) drug exposure;</w:t>
      </w:r>
      <w:r w:rsidRPr="007D66D9">
        <w:rPr>
          <w:rFonts w:cs="Arial"/>
          <w:color w:val="000000"/>
        </w:rPr>
        <w:t xml:space="preserve"> was in line with the predicted intravenous exposure</w:t>
      </w:r>
      <w:r w:rsidR="004D2F2B">
        <w:rPr>
          <w:rFonts w:cs="Arial"/>
          <w:color w:val="000000"/>
        </w:rPr>
        <w:t>.</w:t>
      </w:r>
    </w:p>
    <w:p w14:paraId="07639961" w14:textId="77777777" w:rsidR="00586F98" w:rsidRDefault="00586F98" w:rsidP="007D66D9">
      <w:pPr>
        <w:pStyle w:val="Heading3"/>
      </w:pPr>
      <w:bookmarkStart w:id="34" w:name="_Toc495583933"/>
      <w:r>
        <w:t>Paediatric data</w:t>
      </w:r>
      <w:bookmarkEnd w:id="34"/>
    </w:p>
    <w:p w14:paraId="12FFC342" w14:textId="77777777" w:rsidR="004A676D" w:rsidRDefault="007D66D9" w:rsidP="0085068D">
      <w:pPr>
        <w:rPr>
          <w:color w:val="000000"/>
        </w:rPr>
      </w:pPr>
      <w:r w:rsidRPr="007D66D9">
        <w:rPr>
          <w:color w:val="000000"/>
        </w:rPr>
        <w:t>The submission di</w:t>
      </w:r>
      <w:r w:rsidR="0074521B">
        <w:rPr>
          <w:color w:val="000000"/>
        </w:rPr>
        <w:t>d not include paediatric data</w:t>
      </w:r>
      <w:r w:rsidR="004A676D">
        <w:rPr>
          <w:color w:val="000000"/>
        </w:rPr>
        <w:t>.</w:t>
      </w:r>
    </w:p>
    <w:p w14:paraId="78F2641C" w14:textId="77777777" w:rsidR="00586F98" w:rsidRDefault="00586F98" w:rsidP="007D66D9">
      <w:pPr>
        <w:pStyle w:val="Heading3"/>
      </w:pPr>
      <w:bookmarkStart w:id="35" w:name="_Toc495583934"/>
      <w:r>
        <w:t>Good clinical practice</w:t>
      </w:r>
      <w:bookmarkEnd w:id="35"/>
    </w:p>
    <w:p w14:paraId="05F77BAA" w14:textId="77777777" w:rsidR="0085068D" w:rsidRPr="0074521B" w:rsidRDefault="007D66D9" w:rsidP="0085068D">
      <w:pPr>
        <w:rPr>
          <w:rFonts w:cs="Arial"/>
          <w:color w:val="000000"/>
        </w:rPr>
      </w:pPr>
      <w:r w:rsidRPr="007D66D9">
        <w:rPr>
          <w:rFonts w:cs="Arial"/>
          <w:color w:val="000000"/>
        </w:rPr>
        <w:t>All studies included in this application were conducted in accordance with the ethical principles originati</w:t>
      </w:r>
      <w:r w:rsidR="003673F6">
        <w:rPr>
          <w:rFonts w:cs="Arial"/>
          <w:color w:val="000000"/>
        </w:rPr>
        <w:t>ng</w:t>
      </w:r>
      <w:r w:rsidRPr="007D66D9">
        <w:rPr>
          <w:rFonts w:cs="Arial"/>
          <w:color w:val="000000"/>
        </w:rPr>
        <w:t xml:space="preserve"> in the Declaration of Helsinki and in accordance with International Conference on Harmonisation (ICH) Good Clinical Practice guidelines, applicable regulatory requirements, and in compliance with the respect</w:t>
      </w:r>
      <w:r w:rsidR="0074521B">
        <w:rPr>
          <w:rFonts w:cs="Arial"/>
          <w:color w:val="000000"/>
        </w:rPr>
        <w:t>ive protocols.</w:t>
      </w:r>
    </w:p>
    <w:p w14:paraId="024FD50B" w14:textId="77777777" w:rsidR="00166DA5" w:rsidRDefault="00586F98" w:rsidP="00F562B2">
      <w:pPr>
        <w:pStyle w:val="Heading2"/>
      </w:pPr>
      <w:bookmarkStart w:id="36" w:name="_Toc355338639"/>
      <w:bookmarkStart w:id="37" w:name="_Toc495583935"/>
      <w:r>
        <w:t>Pharmacokinetics</w:t>
      </w:r>
      <w:bookmarkEnd w:id="36"/>
      <w:bookmarkEnd w:id="37"/>
    </w:p>
    <w:p w14:paraId="4BACC7E2" w14:textId="77777777" w:rsidR="007D66D9" w:rsidRPr="007D66D9" w:rsidRDefault="007D66D9" w:rsidP="007D66D9">
      <w:pPr>
        <w:pStyle w:val="Heading3"/>
      </w:pPr>
      <w:bookmarkStart w:id="38" w:name="_Ref271017296"/>
      <w:bookmarkStart w:id="39" w:name="_Ref271018924"/>
      <w:bookmarkStart w:id="40" w:name="_Ref271018934"/>
      <w:bookmarkStart w:id="41" w:name="_Toc272414614"/>
      <w:bookmarkStart w:id="42" w:name="_Toc290846238"/>
      <w:bookmarkStart w:id="43" w:name="_Toc290888775"/>
      <w:bookmarkStart w:id="44" w:name="_Toc453054869"/>
      <w:bookmarkStart w:id="45" w:name="_Toc495583936"/>
      <w:r w:rsidRPr="007D66D9">
        <w:t>Studies</w:t>
      </w:r>
      <w:bookmarkEnd w:id="38"/>
      <w:bookmarkEnd w:id="39"/>
      <w:bookmarkEnd w:id="40"/>
      <w:r w:rsidRPr="007D66D9">
        <w:t xml:space="preserve"> providi</w:t>
      </w:r>
      <w:r w:rsidR="003673F6">
        <w:t>ng</w:t>
      </w:r>
      <w:r w:rsidRPr="007D66D9">
        <w:t xml:space="preserve"> pharmacokinetic data</w:t>
      </w:r>
      <w:bookmarkEnd w:id="41"/>
      <w:bookmarkEnd w:id="42"/>
      <w:bookmarkEnd w:id="43"/>
      <w:bookmarkEnd w:id="44"/>
      <w:bookmarkEnd w:id="45"/>
    </w:p>
    <w:p w14:paraId="3E7D0E7B" w14:textId="77777777" w:rsidR="007D66D9" w:rsidRPr="007D66D9" w:rsidRDefault="007D66D9" w:rsidP="0074521B">
      <w:pPr>
        <w:pStyle w:val="Heading4"/>
      </w:pPr>
      <w:bookmarkStart w:id="46" w:name="_Toc272414617"/>
      <w:bookmarkStart w:id="47" w:name="_Toc290846240"/>
      <w:bookmarkStart w:id="48" w:name="_Toc290888777"/>
      <w:bookmarkStart w:id="49" w:name="_Toc453054870"/>
      <w:r w:rsidRPr="007D66D9">
        <w:t>Physicochemical characteristics of the active substance</w:t>
      </w:r>
      <w:bookmarkEnd w:id="46"/>
      <w:bookmarkEnd w:id="47"/>
      <w:bookmarkEnd w:id="48"/>
      <w:bookmarkEnd w:id="49"/>
    </w:p>
    <w:p w14:paraId="5EA16C4F" w14:textId="21A7BA55"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The followi</w:t>
      </w:r>
      <w:r w:rsidR="003673F6">
        <w:rPr>
          <w:rFonts w:eastAsia="Times New Roman"/>
          <w:kern w:val="16"/>
          <w:lang w:eastAsia="en-AU"/>
        </w:rPr>
        <w:t>ng</w:t>
      </w:r>
      <w:r w:rsidRPr="007D66D9">
        <w:rPr>
          <w:rFonts w:eastAsia="Times New Roman"/>
          <w:kern w:val="16"/>
          <w:lang w:eastAsia="en-AU"/>
        </w:rPr>
        <w:t xml:space="preserve"> information is deriv</w:t>
      </w:r>
      <w:r w:rsidR="00DA6480">
        <w:rPr>
          <w:rFonts w:eastAsia="Times New Roman"/>
          <w:kern w:val="16"/>
          <w:lang w:eastAsia="en-AU"/>
        </w:rPr>
        <w:t xml:space="preserve">ed from the </w:t>
      </w:r>
      <w:r w:rsidR="004D2F2B">
        <w:rPr>
          <w:rFonts w:eastAsia="Times New Roman"/>
          <w:kern w:val="16"/>
          <w:lang w:eastAsia="en-AU"/>
        </w:rPr>
        <w:t>sponsor</w:t>
      </w:r>
      <w:r w:rsidR="00DA6480">
        <w:rPr>
          <w:rFonts w:eastAsia="Times New Roman"/>
          <w:kern w:val="16"/>
          <w:lang w:eastAsia="en-AU"/>
        </w:rPr>
        <w:t>’s summaries.</w:t>
      </w:r>
    </w:p>
    <w:p w14:paraId="71C4F48E" w14:textId="4C5E3F98" w:rsidR="007D66D9" w:rsidRPr="00F81496" w:rsidRDefault="00DA6480" w:rsidP="007452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cs="Arial"/>
          <w:i/>
          <w:kern w:val="16"/>
          <w:lang w:eastAsia="en-AU"/>
        </w:rPr>
      </w:pPr>
      <w:r w:rsidRPr="00645A13">
        <w:rPr>
          <w:rFonts w:eastAsia="Times New Roman" w:cs="Arial"/>
          <w:kern w:val="16"/>
          <w:lang w:eastAsia="en-AU"/>
        </w:rPr>
        <w:t>‘</w:t>
      </w:r>
      <w:r w:rsidR="007D66D9" w:rsidRPr="00645A13">
        <w:rPr>
          <w:rFonts w:eastAsia="Times New Roman" w:cs="Arial"/>
          <w:i/>
          <w:kern w:val="16"/>
          <w:lang w:eastAsia="en-AU"/>
        </w:rPr>
        <w:t>Duri</w:t>
      </w:r>
      <w:r w:rsidR="003673F6" w:rsidRPr="00645A13">
        <w:rPr>
          <w:rFonts w:eastAsia="Times New Roman" w:cs="Arial"/>
          <w:i/>
          <w:kern w:val="16"/>
          <w:lang w:eastAsia="en-AU"/>
        </w:rPr>
        <w:t>ng</w:t>
      </w:r>
      <w:r w:rsidR="007D66D9" w:rsidRPr="00645A13">
        <w:rPr>
          <w:rFonts w:eastAsia="Times New Roman" w:cs="Arial"/>
          <w:i/>
          <w:kern w:val="16"/>
          <w:lang w:eastAsia="en-AU"/>
        </w:rPr>
        <w:t xml:space="preserve"> development of PP1M, and based on evidence from the literature, </w:t>
      </w:r>
      <w:r w:rsidR="00F2255E">
        <w:rPr>
          <w:rFonts w:eastAsia="Times New Roman" w:cs="Arial"/>
          <w:i/>
          <w:kern w:val="16"/>
          <w:lang w:eastAsia="en-AU"/>
        </w:rPr>
        <w:t>-</w:t>
      </w:r>
      <w:r w:rsidR="007D66D9" w:rsidRPr="00645A13">
        <w:rPr>
          <w:rFonts w:eastAsia="Times New Roman" w:cs="Arial"/>
          <w:i/>
          <w:kern w:val="16"/>
          <w:lang w:eastAsia="en-AU"/>
        </w:rPr>
        <w:t xml:space="preserve">particle size and </w:t>
      </w:r>
      <w:r w:rsidR="00F2255E">
        <w:rPr>
          <w:rFonts w:eastAsia="Times New Roman" w:cs="Arial"/>
          <w:i/>
          <w:kern w:val="16"/>
          <w:lang w:eastAsia="en-AU"/>
        </w:rPr>
        <w:t>-</w:t>
      </w:r>
      <w:r w:rsidR="007D66D9" w:rsidRPr="00645A13">
        <w:rPr>
          <w:rFonts w:eastAsia="Times New Roman" w:cs="Arial"/>
          <w:i/>
          <w:kern w:val="16"/>
          <w:lang w:eastAsia="en-AU"/>
        </w:rPr>
        <w:t>injection volume and suspension stre</w:t>
      </w:r>
      <w:r w:rsidR="003673F6" w:rsidRPr="00645A13">
        <w:rPr>
          <w:rFonts w:eastAsia="Times New Roman" w:cs="Arial"/>
          <w:i/>
          <w:kern w:val="16"/>
          <w:lang w:eastAsia="en-AU"/>
        </w:rPr>
        <w:t>ng</w:t>
      </w:r>
      <w:r w:rsidR="007D66D9" w:rsidRPr="00645A13">
        <w:rPr>
          <w:rFonts w:eastAsia="Times New Roman" w:cs="Arial"/>
          <w:i/>
          <w:kern w:val="16"/>
          <w:lang w:eastAsia="en-AU"/>
        </w:rPr>
        <w:t>th</w:t>
      </w:r>
      <w:r w:rsidR="00F2255E">
        <w:rPr>
          <w:rFonts w:eastAsia="Times New Roman" w:cs="Arial"/>
          <w:i/>
          <w:kern w:val="16"/>
          <w:lang w:eastAsia="en-AU"/>
        </w:rPr>
        <w:t>-</w:t>
      </w:r>
      <w:r w:rsidR="00F2255E" w:rsidRPr="00645A13">
        <w:rPr>
          <w:rFonts w:eastAsia="Times New Roman" w:cs="Arial"/>
          <w:i/>
          <w:kern w:val="16"/>
          <w:lang w:eastAsia="en-AU"/>
        </w:rPr>
        <w:t xml:space="preserve"> </w:t>
      </w:r>
      <w:r w:rsidR="007D66D9" w:rsidRPr="00645A13">
        <w:rPr>
          <w:rFonts w:eastAsia="Times New Roman" w:cs="Arial"/>
          <w:i/>
          <w:kern w:val="16"/>
          <w:lang w:eastAsia="en-AU"/>
        </w:rPr>
        <w:t xml:space="preserve">were presumed to be key determinants of the release rate of paliperidone from the palmitate formulation. The PP3M formulation (F015) differs from the PP1M formulation (F013) in order to ensure a physically and chemically stable </w:t>
      </w:r>
      <w:r w:rsidR="0058163A" w:rsidRPr="00645A13">
        <w:rPr>
          <w:rFonts w:eastAsia="Times New Roman" w:cs="Arial"/>
          <w:i/>
          <w:kern w:val="16"/>
          <w:lang w:eastAsia="en-AU"/>
        </w:rPr>
        <w:t>3 Month</w:t>
      </w:r>
      <w:r w:rsidR="004A676D" w:rsidRPr="00645A13">
        <w:rPr>
          <w:rFonts w:eastAsia="Times New Roman" w:cs="Arial"/>
          <w:i/>
          <w:kern w:val="16"/>
          <w:lang w:eastAsia="en-AU"/>
        </w:rPr>
        <w:t xml:space="preserve"> formulation that is easily re</w:t>
      </w:r>
      <w:r w:rsidR="004A676D" w:rsidRPr="00645A13">
        <w:rPr>
          <w:rFonts w:eastAsia="Times New Roman" w:cs="Arial"/>
          <w:i/>
          <w:kern w:val="16"/>
          <w:lang w:eastAsia="en-AU"/>
        </w:rPr>
        <w:noBreakHyphen/>
      </w:r>
      <w:r w:rsidR="007D66D9" w:rsidRPr="00645A13">
        <w:rPr>
          <w:rFonts w:eastAsia="Times New Roman" w:cs="Arial"/>
          <w:i/>
          <w:kern w:val="16"/>
          <w:lang w:eastAsia="en-AU"/>
        </w:rPr>
        <w:t>suspendable and minimizes injection force.</w:t>
      </w:r>
      <w:r w:rsidRPr="00645A13">
        <w:rPr>
          <w:rFonts w:eastAsia="Times New Roman" w:cs="Arial"/>
          <w:i/>
          <w:kern w:val="16"/>
          <w:lang w:eastAsia="en-AU"/>
        </w:rPr>
        <w:t>’</w:t>
      </w:r>
    </w:p>
    <w:p w14:paraId="2BE6CDF8" w14:textId="77777777" w:rsidR="0074521B" w:rsidRDefault="007D66D9" w:rsidP="007452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The sponsor continues:</w:t>
      </w:r>
    </w:p>
    <w:p w14:paraId="5078699A" w14:textId="36F703CC" w:rsidR="007D66D9" w:rsidRPr="00F81496" w:rsidRDefault="00F81496" w:rsidP="007452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i/>
          <w:kern w:val="16"/>
          <w:lang w:eastAsia="en-AU"/>
        </w:rPr>
      </w:pPr>
      <w:r w:rsidRPr="00DE223E">
        <w:rPr>
          <w:rFonts w:eastAsia="Times New Roman" w:cs="Arial"/>
          <w:kern w:val="16"/>
          <w:lang w:eastAsia="en-AU"/>
        </w:rPr>
        <w:t>‘</w:t>
      </w:r>
      <w:r w:rsidR="007D66D9" w:rsidRPr="00DE223E">
        <w:rPr>
          <w:rFonts w:eastAsia="Times New Roman" w:cs="Arial"/>
          <w:i/>
          <w:kern w:val="16"/>
          <w:lang w:eastAsia="en-AU"/>
        </w:rPr>
        <w:t xml:space="preserve">The PP3M formulation contains the same drug substance and excipients as the PP1M formulation (with the minor exception of the removal of disodium hydrogen phosphate) </w:t>
      </w:r>
    </w:p>
    <w:p w14:paraId="36780FDD"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Paliperidone is a racemic mixture; individual paliperidone enantiomers include </w:t>
      </w:r>
      <w:proofErr w:type="gramStart"/>
      <w:r w:rsidRPr="007D66D9">
        <w:rPr>
          <w:rFonts w:eastAsia="Times New Roman"/>
          <w:kern w:val="16"/>
          <w:lang w:eastAsia="en-AU"/>
        </w:rPr>
        <w:t>R078543(</w:t>
      </w:r>
      <w:proofErr w:type="gramEnd"/>
      <w:r w:rsidRPr="007D66D9">
        <w:rPr>
          <w:rFonts w:eastAsia="Times New Roman"/>
          <w:kern w:val="16"/>
          <w:lang w:eastAsia="en-AU"/>
        </w:rPr>
        <w:t>+), R078544(-) and R078543(+)/R078544(-).</w:t>
      </w:r>
    </w:p>
    <w:p w14:paraId="37055FBC" w14:textId="77777777" w:rsidR="007D66D9" w:rsidRPr="007D66D9" w:rsidRDefault="007D66D9" w:rsidP="0074521B">
      <w:pPr>
        <w:pStyle w:val="Heading4"/>
      </w:pPr>
      <w:bookmarkStart w:id="50" w:name="_Toc241374292"/>
      <w:bookmarkStart w:id="51" w:name="_Ref271189131"/>
      <w:bookmarkStart w:id="52" w:name="_Ref271189136"/>
      <w:bookmarkStart w:id="53" w:name="_Toc272414625"/>
      <w:bookmarkStart w:id="54" w:name="_Toc290846248"/>
      <w:bookmarkStart w:id="55" w:name="_Toc290888785"/>
      <w:bookmarkStart w:id="56" w:name="_Toc453054871"/>
      <w:r w:rsidRPr="007D66D9">
        <w:t>Pharmacokinetics in the target population</w:t>
      </w:r>
      <w:bookmarkEnd w:id="50"/>
      <w:bookmarkEnd w:id="51"/>
      <w:bookmarkEnd w:id="52"/>
      <w:bookmarkEnd w:id="53"/>
      <w:bookmarkEnd w:id="54"/>
      <w:bookmarkEnd w:id="55"/>
      <w:bookmarkEnd w:id="56"/>
    </w:p>
    <w:p w14:paraId="64368FF4" w14:textId="77777777" w:rsidR="007D66D9" w:rsidRPr="007D66D9" w:rsidRDefault="007D66D9" w:rsidP="0074521B">
      <w:pPr>
        <w:pStyle w:val="Heading5"/>
        <w:rPr>
          <w:lang w:eastAsia="en-AU"/>
        </w:rPr>
      </w:pPr>
      <w:bookmarkStart w:id="57" w:name="_Toc453054872"/>
      <w:r w:rsidRPr="007D66D9">
        <w:rPr>
          <w:lang w:eastAsia="en-AU"/>
        </w:rPr>
        <w:t>Study 1005</w:t>
      </w:r>
      <w:bookmarkEnd w:id="57"/>
    </w:p>
    <w:p w14:paraId="1C3D699F"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This was a complex study in that it looked at 4 different sets o</w:t>
      </w:r>
      <w:r w:rsidR="00F81496">
        <w:rPr>
          <w:rFonts w:eastAsia="Times New Roman"/>
          <w:kern w:val="16"/>
          <w:lang w:eastAsia="en-AU"/>
        </w:rPr>
        <w:t>f patients for varyi</w:t>
      </w:r>
      <w:r w:rsidR="003673F6">
        <w:rPr>
          <w:rFonts w:eastAsia="Times New Roman"/>
          <w:kern w:val="16"/>
          <w:lang w:eastAsia="en-AU"/>
        </w:rPr>
        <w:t>ng</w:t>
      </w:r>
      <w:r w:rsidR="00F81496">
        <w:rPr>
          <w:rFonts w:eastAsia="Times New Roman"/>
          <w:kern w:val="16"/>
          <w:lang w:eastAsia="en-AU"/>
        </w:rPr>
        <w:t xml:space="preserve"> reasons.</w:t>
      </w:r>
    </w:p>
    <w:p w14:paraId="7B09B467"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The study was conducted in multiple sites in multiple countries between 29 February 2008 and 14 May 2014.</w:t>
      </w:r>
    </w:p>
    <w:p w14:paraId="3E5AC3BC" w14:textId="77777777" w:rsidR="007D66D9" w:rsidRPr="007D66D9" w:rsidRDefault="007D66D9" w:rsidP="0074521B">
      <w:pPr>
        <w:pStyle w:val="Heading6"/>
        <w:rPr>
          <w:lang w:eastAsia="en-AU"/>
        </w:rPr>
      </w:pPr>
      <w:r w:rsidRPr="007D66D9">
        <w:rPr>
          <w:lang w:eastAsia="en-AU"/>
        </w:rPr>
        <w:t>Objectives</w:t>
      </w:r>
    </w:p>
    <w:p w14:paraId="3B13E7ED"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The </w:t>
      </w:r>
      <w:r w:rsidRPr="0074521B">
        <w:rPr>
          <w:rFonts w:eastAsia="Times New Roman"/>
          <w:kern w:val="16"/>
          <w:lang w:eastAsia="en-AU"/>
        </w:rPr>
        <w:t>primary objectives</w:t>
      </w:r>
      <w:r w:rsidRPr="007D66D9">
        <w:rPr>
          <w:rFonts w:eastAsia="Times New Roman"/>
          <w:kern w:val="16"/>
          <w:lang w:eastAsia="en-AU"/>
        </w:rPr>
        <w:t xml:space="preserve"> of this study were:</w:t>
      </w:r>
    </w:p>
    <w:p w14:paraId="05B546C5" w14:textId="260F3EA7" w:rsidR="007D66D9" w:rsidRPr="007D66D9" w:rsidRDefault="004A676D" w:rsidP="004A676D">
      <w:pPr>
        <w:pStyle w:val="ListBullet"/>
      </w:pPr>
      <w:r>
        <w:lastRenderedPageBreak/>
        <w:t>t</w:t>
      </w:r>
      <w:r w:rsidR="007D66D9" w:rsidRPr="007D66D9">
        <w:t xml:space="preserve">o evaluate the pharmacokinetics (PK), safety, and tolerability of a </w:t>
      </w:r>
      <w:r w:rsidR="0058163A">
        <w:t>3 Month</w:t>
      </w:r>
      <w:r w:rsidR="007D66D9" w:rsidRPr="007D66D9">
        <w:t xml:space="preserve"> injection interval formulation of paliperidone palmitate (F015), </w:t>
      </w:r>
      <w:r w:rsidRPr="00645A13">
        <w:t>,</w:t>
      </w:r>
      <w:r>
        <w:t xml:space="preserve"> at a si</w:t>
      </w:r>
      <w:r w:rsidR="003673F6">
        <w:t>ng</w:t>
      </w:r>
      <w:r>
        <w:t>le dose of 300 mg equivalent</w:t>
      </w:r>
      <w:r w:rsidR="007D66D9" w:rsidRPr="007D66D9">
        <w:t xml:space="preserve"> administered in the gluteal muscle in subject</w:t>
      </w:r>
      <w:r>
        <w:t>s with schizophrenia (Panel A)</w:t>
      </w:r>
    </w:p>
    <w:p w14:paraId="1668949D" w14:textId="77777777" w:rsidR="007D66D9" w:rsidRPr="007D66D9" w:rsidRDefault="004A676D" w:rsidP="004A676D">
      <w:pPr>
        <w:pStyle w:val="ListBullet"/>
      </w:pPr>
      <w:proofErr w:type="gramStart"/>
      <w:r>
        <w:t>t</w:t>
      </w:r>
      <w:r w:rsidR="007D66D9" w:rsidRPr="007D66D9">
        <w:t>o</w:t>
      </w:r>
      <w:proofErr w:type="gramEnd"/>
      <w:r w:rsidR="007D66D9" w:rsidRPr="007D66D9">
        <w:t xml:space="preserve"> evaluate the PK, safety, and tolerability of si</w:t>
      </w:r>
      <w:r w:rsidR="003673F6">
        <w:t>ng</w:t>
      </w:r>
      <w:r w:rsidR="007D66D9" w:rsidRPr="007D66D9">
        <w:t>le escalati</w:t>
      </w:r>
      <w:r w:rsidR="003673F6">
        <w:t>ng</w:t>
      </w:r>
      <w:r w:rsidR="007D66D9" w:rsidRPr="007D66D9">
        <w:t xml:space="preserve"> doses of the </w:t>
      </w:r>
      <w:r w:rsidR="0058163A">
        <w:t>3 Month</w:t>
      </w:r>
      <w:r w:rsidR="007D66D9" w:rsidRPr="007D66D9">
        <w:t xml:space="preserve"> injection interval formulation of paliperidone palmitate administered in the gluteal and deltoid muscle in subjects with schizophrenia (Panels B and D).</w:t>
      </w:r>
    </w:p>
    <w:p w14:paraId="451A027B"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The </w:t>
      </w:r>
      <w:r w:rsidRPr="0074521B">
        <w:rPr>
          <w:rFonts w:eastAsia="Times New Roman"/>
          <w:kern w:val="16"/>
          <w:lang w:eastAsia="en-AU"/>
        </w:rPr>
        <w:t>secondary objectives</w:t>
      </w:r>
      <w:r w:rsidRPr="007D66D9">
        <w:rPr>
          <w:rFonts w:eastAsia="Times New Roman"/>
          <w:kern w:val="16"/>
          <w:lang w:eastAsia="en-AU"/>
        </w:rPr>
        <w:t xml:space="preserve"> were:</w:t>
      </w:r>
    </w:p>
    <w:p w14:paraId="11DE1269" w14:textId="77777777" w:rsidR="007D66D9" w:rsidRPr="007D66D9" w:rsidRDefault="004A676D" w:rsidP="004A676D">
      <w:pPr>
        <w:pStyle w:val="ListBullet"/>
      </w:pPr>
      <w:r>
        <w:t>t</w:t>
      </w:r>
      <w:r w:rsidR="007D66D9" w:rsidRPr="007D66D9">
        <w:t>o evaluate the relative bioavailability of the paliperidone palmitate formulations after deltoid and gluteal injection compared with a 1</w:t>
      </w:r>
      <w:r>
        <w:t xml:space="preserve"> mg</w:t>
      </w:r>
      <w:r w:rsidR="007D66D9" w:rsidRPr="007D66D9">
        <w:t xml:space="preserve"> immediate release (I</w:t>
      </w:r>
      <w:r>
        <w:t>R) formulation of paliperidone</w:t>
      </w:r>
    </w:p>
    <w:p w14:paraId="0F7504F0" w14:textId="77777777" w:rsidR="007D66D9" w:rsidRPr="007D66D9" w:rsidRDefault="004A676D" w:rsidP="004A676D">
      <w:pPr>
        <w:pStyle w:val="ListBullet"/>
      </w:pPr>
      <w:r>
        <w:t>t</w:t>
      </w:r>
      <w:r w:rsidR="007D66D9" w:rsidRPr="007D66D9">
        <w:t>o explore the dose-proportionality of paliperidone palmitate afte</w:t>
      </w:r>
      <w:r>
        <w:t>r gluteal and deltoid injection</w:t>
      </w:r>
    </w:p>
    <w:p w14:paraId="39206334" w14:textId="47CDFF68" w:rsidR="007D66D9" w:rsidRPr="007D66D9" w:rsidRDefault="004A676D" w:rsidP="007452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sidRPr="00645A13">
        <w:t>t</w:t>
      </w:r>
      <w:r w:rsidR="007D66D9" w:rsidRPr="00645A13">
        <w:t>o investigate the effect of the volume of injection, suspension stre</w:t>
      </w:r>
      <w:r w:rsidR="003673F6" w:rsidRPr="00645A13">
        <w:t>ng</w:t>
      </w:r>
      <w:r w:rsidR="007D66D9" w:rsidRPr="00645A13">
        <w:t>th</w:t>
      </w:r>
      <w:r w:rsidR="00A738FB">
        <w:t>[information redacted]</w:t>
      </w:r>
      <w:r w:rsidR="007D66D9" w:rsidRPr="007D66D9">
        <w:rPr>
          <w:rFonts w:eastAsia="Times New Roman"/>
          <w:kern w:val="16"/>
          <w:lang w:eastAsia="en-AU"/>
        </w:rPr>
        <w:t xml:space="preserve">This was a multicentre, randomized, </w:t>
      </w:r>
      <w:r>
        <w:rPr>
          <w:rFonts w:eastAsia="Times New Roman"/>
          <w:kern w:val="16"/>
          <w:lang w:eastAsia="en-AU"/>
        </w:rPr>
        <w:t>open label</w:t>
      </w:r>
      <w:r w:rsidR="007D66D9" w:rsidRPr="007D66D9">
        <w:rPr>
          <w:rFonts w:eastAsia="Times New Roman"/>
          <w:kern w:val="16"/>
          <w:lang w:eastAsia="en-AU"/>
        </w:rPr>
        <w:t xml:space="preserve">, </w:t>
      </w:r>
      <w:r w:rsidR="00E60DFA">
        <w:rPr>
          <w:rFonts w:eastAsia="Times New Roman"/>
          <w:kern w:val="16"/>
          <w:lang w:eastAsia="en-AU"/>
        </w:rPr>
        <w:t>parallel group</w:t>
      </w:r>
      <w:r w:rsidR="007D66D9" w:rsidRPr="007D66D9">
        <w:rPr>
          <w:rFonts w:eastAsia="Times New Roman"/>
          <w:kern w:val="16"/>
          <w:lang w:eastAsia="en-AU"/>
        </w:rPr>
        <w:t xml:space="preserve"> study in 4 panels (A, B, C, and D) to assess the pharmacokinetics, safety, and tolerability of a paliperidone palmitate </w:t>
      </w:r>
      <w:r w:rsidR="0058163A">
        <w:rPr>
          <w:rFonts w:eastAsia="Times New Roman"/>
          <w:kern w:val="16"/>
          <w:lang w:eastAsia="en-AU"/>
        </w:rPr>
        <w:t>3 Month</w:t>
      </w:r>
      <w:r w:rsidR="007D66D9" w:rsidRPr="007D66D9">
        <w:rPr>
          <w:rFonts w:eastAsia="Times New Roman"/>
          <w:kern w:val="16"/>
          <w:lang w:eastAsia="en-AU"/>
        </w:rPr>
        <w:t xml:space="preserve"> formulation in subjects with schizophrenia.</w:t>
      </w:r>
    </w:p>
    <w:p w14:paraId="2A8AA253" w14:textId="77777777" w:rsidR="007D66D9" w:rsidRPr="007D66D9" w:rsidRDefault="007D66D9" w:rsidP="007452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sidRPr="007D66D9">
        <w:rPr>
          <w:rFonts w:eastAsia="Times New Roman"/>
          <w:kern w:val="16"/>
          <w:lang w:eastAsia="en-AU"/>
        </w:rPr>
        <w:t xml:space="preserve">Each panel comprised of 2 sequential </w:t>
      </w:r>
      <w:r w:rsidR="004A676D">
        <w:rPr>
          <w:rFonts w:eastAsia="Times New Roman"/>
          <w:kern w:val="16"/>
          <w:lang w:eastAsia="en-AU"/>
        </w:rPr>
        <w:t>si</w:t>
      </w:r>
      <w:r w:rsidR="003673F6">
        <w:rPr>
          <w:rFonts w:eastAsia="Times New Roman"/>
          <w:kern w:val="16"/>
          <w:lang w:eastAsia="en-AU"/>
        </w:rPr>
        <w:t>ng</w:t>
      </w:r>
      <w:r w:rsidR="004A676D">
        <w:rPr>
          <w:rFonts w:eastAsia="Times New Roman"/>
          <w:kern w:val="16"/>
          <w:lang w:eastAsia="en-AU"/>
        </w:rPr>
        <w:t>le dose</w:t>
      </w:r>
      <w:r w:rsidRPr="007D66D9">
        <w:rPr>
          <w:rFonts w:eastAsia="Times New Roman"/>
          <w:kern w:val="16"/>
          <w:lang w:eastAsia="en-AU"/>
        </w:rPr>
        <w:t xml:space="preserve"> treatment periods (Period 1 [paliperidone immediate release] and Period 2 [paliperidone palmitate 3 month]), separated by a washout period of at least 7 and no more than 21 days.</w:t>
      </w:r>
    </w:p>
    <w:p w14:paraId="23821B3A" w14:textId="77777777" w:rsidR="007D66D9" w:rsidRPr="007D66D9" w:rsidRDefault="007D66D9" w:rsidP="007452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sidRPr="007D66D9">
        <w:rPr>
          <w:rFonts w:eastAsia="Times New Roman"/>
          <w:kern w:val="16"/>
          <w:lang w:eastAsia="en-AU"/>
        </w:rPr>
        <w:t>The study agent injection was followed by a 96</w:t>
      </w:r>
      <w:r w:rsidR="004A676D">
        <w:rPr>
          <w:rFonts w:eastAsia="Times New Roman"/>
          <w:kern w:val="16"/>
          <w:lang w:eastAsia="en-AU"/>
        </w:rPr>
        <w:t xml:space="preserve"> hour</w:t>
      </w:r>
      <w:r w:rsidRPr="007D66D9">
        <w:rPr>
          <w:rFonts w:eastAsia="Times New Roman"/>
          <w:kern w:val="16"/>
          <w:lang w:eastAsia="en-AU"/>
        </w:rPr>
        <w:t xml:space="preserve"> observation period in Period 1, and</w:t>
      </w:r>
      <w:r w:rsidR="004A676D">
        <w:rPr>
          <w:rFonts w:eastAsia="Times New Roman"/>
          <w:kern w:val="16"/>
          <w:lang w:eastAsia="en-AU"/>
        </w:rPr>
        <w:t xml:space="preserve"> a 364 </w:t>
      </w:r>
      <w:r w:rsidRPr="007D66D9">
        <w:rPr>
          <w:rFonts w:eastAsia="Times New Roman"/>
          <w:kern w:val="16"/>
          <w:lang w:eastAsia="en-AU"/>
        </w:rPr>
        <w:t>day observation period in Period 2 (544 days in Panel D and for those who consente</w:t>
      </w:r>
      <w:r w:rsidR="004A676D">
        <w:rPr>
          <w:rFonts w:eastAsia="Times New Roman"/>
          <w:kern w:val="16"/>
          <w:lang w:eastAsia="en-AU"/>
        </w:rPr>
        <w:t>d to the extension in Panel B).</w:t>
      </w:r>
    </w:p>
    <w:p w14:paraId="515B4813" w14:textId="77777777" w:rsidR="007D66D9" w:rsidRPr="007D66D9" w:rsidRDefault="007D66D9" w:rsidP="0074521B">
      <w:pPr>
        <w:pStyle w:val="Heading6"/>
        <w:rPr>
          <w:lang w:eastAsia="en-AU"/>
        </w:rPr>
      </w:pPr>
      <w:r w:rsidRPr="007D66D9">
        <w:rPr>
          <w:lang w:eastAsia="en-AU"/>
        </w:rPr>
        <w:t xml:space="preserve">Primary </w:t>
      </w:r>
      <w:r w:rsidR="004A676D">
        <w:rPr>
          <w:lang w:eastAsia="en-AU"/>
        </w:rPr>
        <w:t>o</w:t>
      </w:r>
      <w:r w:rsidRPr="007D66D9">
        <w:rPr>
          <w:lang w:eastAsia="en-AU"/>
        </w:rPr>
        <w:t>bjectives</w:t>
      </w:r>
    </w:p>
    <w:p w14:paraId="35E8F019" w14:textId="636CD34D"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For </w:t>
      </w:r>
      <w:r w:rsidRPr="0074521B">
        <w:rPr>
          <w:rFonts w:eastAsia="Times New Roman"/>
          <w:kern w:val="16"/>
          <w:lang w:eastAsia="en-AU"/>
        </w:rPr>
        <w:t>Panel A</w:t>
      </w:r>
      <w:r w:rsidRPr="007D66D9">
        <w:rPr>
          <w:rFonts w:eastAsia="Times New Roman"/>
          <w:kern w:val="16"/>
          <w:lang w:eastAsia="en-AU"/>
        </w:rPr>
        <w:t xml:space="preserve"> the primary objective of was to confirm whether </w:t>
      </w:r>
      <w:r w:rsidRPr="00711A1C">
        <w:rPr>
          <w:rFonts w:eastAsia="Times New Roman"/>
          <w:kern w:val="16"/>
          <w:lang w:eastAsia="en-AU"/>
        </w:rPr>
        <w:t xml:space="preserve"> formulation</w:t>
      </w:r>
      <w:r w:rsidRPr="007D66D9">
        <w:rPr>
          <w:rFonts w:eastAsia="Times New Roman"/>
          <w:kern w:val="16"/>
          <w:lang w:eastAsia="en-AU"/>
        </w:rPr>
        <w:t xml:space="preserve"> of paliperidone palmitate (F015) exhibited an appropriate release profile from a gluteal injection for a </w:t>
      </w:r>
      <w:r w:rsidR="0058163A">
        <w:rPr>
          <w:rFonts w:eastAsia="Times New Roman"/>
          <w:kern w:val="16"/>
          <w:lang w:eastAsia="en-AU"/>
        </w:rPr>
        <w:t>3 Month</w:t>
      </w:r>
      <w:r w:rsidRPr="007D66D9">
        <w:rPr>
          <w:rFonts w:eastAsia="Times New Roman"/>
          <w:kern w:val="16"/>
          <w:lang w:eastAsia="en-AU"/>
        </w:rPr>
        <w:t>ly dosi</w:t>
      </w:r>
      <w:r w:rsidR="003673F6">
        <w:rPr>
          <w:rFonts w:eastAsia="Times New Roman"/>
          <w:kern w:val="16"/>
          <w:lang w:eastAsia="en-AU"/>
        </w:rPr>
        <w:t>ng</w:t>
      </w:r>
      <w:r w:rsidRPr="007D66D9">
        <w:rPr>
          <w:rFonts w:eastAsia="Times New Roman"/>
          <w:kern w:val="16"/>
          <w:lang w:eastAsia="en-AU"/>
        </w:rPr>
        <w:t xml:space="preserve"> interval as well as an acceptable local tolerability and safety profile that was comparable to the </w:t>
      </w:r>
      <w:r w:rsidR="0058163A">
        <w:rPr>
          <w:rFonts w:eastAsia="Times New Roman"/>
          <w:kern w:val="16"/>
          <w:lang w:eastAsia="en-AU"/>
        </w:rPr>
        <w:t>1 month</w:t>
      </w:r>
      <w:r w:rsidRPr="007D66D9">
        <w:rPr>
          <w:rFonts w:eastAsia="Times New Roman"/>
          <w:kern w:val="16"/>
          <w:lang w:eastAsia="en-AU"/>
        </w:rPr>
        <w:t xml:space="preserve"> formulation.</w:t>
      </w:r>
    </w:p>
    <w:p w14:paraId="444FB7D6"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For </w:t>
      </w:r>
      <w:r w:rsidRPr="0074521B">
        <w:rPr>
          <w:rFonts w:eastAsia="Times New Roman"/>
          <w:kern w:val="16"/>
          <w:lang w:eastAsia="en-AU"/>
        </w:rPr>
        <w:t xml:space="preserve">Panel B </w:t>
      </w:r>
      <w:r w:rsidRPr="007D66D9">
        <w:rPr>
          <w:rFonts w:eastAsia="Times New Roman"/>
          <w:kern w:val="16"/>
          <w:lang w:eastAsia="en-AU"/>
        </w:rPr>
        <w:t xml:space="preserve">the primary objective was to evaluate the </w:t>
      </w:r>
      <w:r w:rsidR="004A676D">
        <w:rPr>
          <w:rFonts w:eastAsia="Times New Roman"/>
          <w:kern w:val="16"/>
          <w:lang w:eastAsia="en-AU"/>
        </w:rPr>
        <w:t>si</w:t>
      </w:r>
      <w:r w:rsidR="003673F6">
        <w:rPr>
          <w:rFonts w:eastAsia="Times New Roman"/>
          <w:kern w:val="16"/>
          <w:lang w:eastAsia="en-AU"/>
        </w:rPr>
        <w:t>ng</w:t>
      </w:r>
      <w:r w:rsidR="004A676D">
        <w:rPr>
          <w:rFonts w:eastAsia="Times New Roman"/>
          <w:kern w:val="16"/>
          <w:lang w:eastAsia="en-AU"/>
        </w:rPr>
        <w:t>le dose</w:t>
      </w:r>
      <w:r w:rsidRPr="007D66D9">
        <w:rPr>
          <w:rFonts w:eastAsia="Times New Roman"/>
          <w:kern w:val="16"/>
          <w:lang w:eastAsia="en-AU"/>
        </w:rPr>
        <w:t xml:space="preserve"> PK, safety, and tolerability over the entire expected therapeutic dose ra</w:t>
      </w:r>
      <w:r w:rsidR="003673F6">
        <w:rPr>
          <w:rFonts w:eastAsia="Times New Roman"/>
          <w:kern w:val="16"/>
          <w:lang w:eastAsia="en-AU"/>
        </w:rPr>
        <w:t>ng</w:t>
      </w:r>
      <w:r w:rsidRPr="007D66D9">
        <w:rPr>
          <w:rFonts w:eastAsia="Times New Roman"/>
          <w:kern w:val="16"/>
          <w:lang w:eastAsia="en-AU"/>
        </w:rPr>
        <w:t>e after gluteal administration. The PK and safety profile of paliperidone palmitate after injection in the deltoid muscle was also documented</w:t>
      </w:r>
    </w:p>
    <w:p w14:paraId="414C74E5" w14:textId="77777777" w:rsidR="004A676D"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4521B">
        <w:rPr>
          <w:rFonts w:eastAsia="Times New Roman"/>
          <w:kern w:val="16"/>
          <w:lang w:eastAsia="en-AU"/>
        </w:rPr>
        <w:t>After Panel B</w:t>
      </w:r>
      <w:r w:rsidRPr="007D66D9">
        <w:rPr>
          <w:rFonts w:eastAsia="Times New Roman"/>
          <w:kern w:val="16"/>
          <w:lang w:eastAsia="en-AU"/>
        </w:rPr>
        <w:t xml:space="preserve"> the subjects were asked to participate in an </w:t>
      </w:r>
      <w:r w:rsidR="004A676D">
        <w:rPr>
          <w:rFonts w:eastAsia="Times New Roman"/>
          <w:kern w:val="16"/>
          <w:lang w:eastAsia="en-AU"/>
        </w:rPr>
        <w:t>approximately</w:t>
      </w:r>
      <w:r w:rsidRPr="007D66D9">
        <w:rPr>
          <w:rFonts w:eastAsia="Times New Roman"/>
          <w:kern w:val="16"/>
          <w:lang w:eastAsia="en-AU"/>
        </w:rPr>
        <w:t xml:space="preserve"> 26 week to better characterise the PK profile</w:t>
      </w:r>
      <w:r w:rsidR="004A676D">
        <w:rPr>
          <w:rFonts w:eastAsia="Times New Roman"/>
          <w:kern w:val="16"/>
          <w:lang w:eastAsia="en-AU"/>
        </w:rPr>
        <w:t>.</w:t>
      </w:r>
    </w:p>
    <w:p w14:paraId="3B4119FB" w14:textId="35D07E1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For </w:t>
      </w:r>
      <w:r w:rsidRPr="0074521B">
        <w:rPr>
          <w:rFonts w:eastAsia="Times New Roman"/>
          <w:kern w:val="16"/>
          <w:lang w:eastAsia="en-AU"/>
        </w:rPr>
        <w:t>Panel D</w:t>
      </w:r>
      <w:r w:rsidRPr="007D66D9">
        <w:rPr>
          <w:rFonts w:eastAsia="Times New Roman"/>
          <w:kern w:val="16"/>
          <w:lang w:eastAsia="en-AU"/>
        </w:rPr>
        <w:t xml:space="preserve"> the primary objective was to evaluate the </w:t>
      </w:r>
      <w:r w:rsidR="004A676D">
        <w:rPr>
          <w:rFonts w:eastAsia="Times New Roman"/>
          <w:kern w:val="16"/>
          <w:lang w:eastAsia="en-AU"/>
        </w:rPr>
        <w:t>si</w:t>
      </w:r>
      <w:r w:rsidR="003673F6">
        <w:rPr>
          <w:rFonts w:eastAsia="Times New Roman"/>
          <w:kern w:val="16"/>
          <w:lang w:eastAsia="en-AU"/>
        </w:rPr>
        <w:t>ng</w:t>
      </w:r>
      <w:r w:rsidR="004A676D">
        <w:rPr>
          <w:rFonts w:eastAsia="Times New Roman"/>
          <w:kern w:val="16"/>
          <w:lang w:eastAsia="en-AU"/>
        </w:rPr>
        <w:t>le dose</w:t>
      </w:r>
      <w:r w:rsidRPr="007D66D9">
        <w:rPr>
          <w:rFonts w:eastAsia="Times New Roman"/>
          <w:kern w:val="16"/>
          <w:lang w:eastAsia="en-AU"/>
        </w:rPr>
        <w:t xml:space="preserve"> PK, safety and tolerability over the entire expected therapeutic dose ra</w:t>
      </w:r>
      <w:r w:rsidR="003673F6">
        <w:rPr>
          <w:rFonts w:eastAsia="Times New Roman"/>
          <w:kern w:val="16"/>
          <w:lang w:eastAsia="en-AU"/>
        </w:rPr>
        <w:t>ng</w:t>
      </w:r>
      <w:r w:rsidRPr="007D66D9">
        <w:rPr>
          <w:rFonts w:eastAsia="Times New Roman"/>
          <w:kern w:val="16"/>
          <w:lang w:eastAsia="en-AU"/>
        </w:rPr>
        <w:t xml:space="preserve">e after both gluteal and deltoid administration. This also included an </w:t>
      </w:r>
      <w:r w:rsidR="004A676D">
        <w:rPr>
          <w:rFonts w:eastAsia="Times New Roman"/>
          <w:kern w:val="16"/>
          <w:lang w:eastAsia="en-AU"/>
        </w:rPr>
        <w:t>approximately</w:t>
      </w:r>
      <w:r w:rsidRPr="007D66D9">
        <w:rPr>
          <w:rFonts w:eastAsia="Times New Roman"/>
          <w:kern w:val="16"/>
          <w:lang w:eastAsia="en-AU"/>
        </w:rPr>
        <w:t xml:space="preserve"> 26 week extension to better characterise the </w:t>
      </w:r>
      <w:r w:rsidRPr="004A676D">
        <w:rPr>
          <w:rFonts w:eastAsia="Times New Roman"/>
          <w:kern w:val="16"/>
          <w:lang w:eastAsia="en-AU"/>
        </w:rPr>
        <w:t>PK profile</w:t>
      </w:r>
      <w:r w:rsidR="004A676D" w:rsidRPr="004A676D">
        <w:rPr>
          <w:rFonts w:eastAsia="Times New Roman"/>
          <w:kern w:val="16"/>
          <w:lang w:eastAsia="en-AU"/>
        </w:rPr>
        <w:t>.</w:t>
      </w:r>
      <w:bookmarkStart w:id="58" w:name="_GoBack"/>
      <w:bookmarkEnd w:id="58"/>
    </w:p>
    <w:p w14:paraId="4B8E7B3D" w14:textId="77777777" w:rsidR="007D66D9" w:rsidRPr="007D66D9" w:rsidRDefault="0074521B" w:rsidP="0074521B">
      <w:pPr>
        <w:pStyle w:val="Heading6"/>
        <w:rPr>
          <w:lang w:eastAsia="en-AU"/>
        </w:rPr>
      </w:pPr>
      <w:r>
        <w:rPr>
          <w:lang w:eastAsia="en-AU"/>
        </w:rPr>
        <w:t>Treatments</w:t>
      </w:r>
    </w:p>
    <w:p w14:paraId="341AB0D2" w14:textId="77777777" w:rsidR="004A676D"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The initial 1</w:t>
      </w:r>
      <w:r w:rsidR="004A676D">
        <w:rPr>
          <w:rFonts w:eastAsia="Times New Roman"/>
          <w:kern w:val="16"/>
          <w:lang w:eastAsia="en-AU"/>
        </w:rPr>
        <w:t xml:space="preserve"> mL</w:t>
      </w:r>
      <w:r w:rsidRPr="007D66D9">
        <w:rPr>
          <w:rFonts w:eastAsia="Times New Roman"/>
          <w:kern w:val="16"/>
          <w:lang w:eastAsia="en-AU"/>
        </w:rPr>
        <w:t xml:space="preserve"> paliperidone immediate release formulation (F024) injection contained 1</w:t>
      </w:r>
      <w:r w:rsidR="004A676D">
        <w:rPr>
          <w:rFonts w:eastAsia="Times New Roman"/>
          <w:kern w:val="16"/>
          <w:lang w:eastAsia="en-AU"/>
        </w:rPr>
        <w:t xml:space="preserve"> mg</w:t>
      </w:r>
      <w:r w:rsidRPr="007D66D9">
        <w:rPr>
          <w:rFonts w:eastAsia="Times New Roman"/>
          <w:kern w:val="16"/>
          <w:lang w:eastAsia="en-AU"/>
        </w:rPr>
        <w:t xml:space="preserve"> paliperidone</w:t>
      </w:r>
      <w:r w:rsidR="004A676D">
        <w:rPr>
          <w:rFonts w:eastAsia="Times New Roman"/>
          <w:kern w:val="16"/>
          <w:lang w:eastAsia="en-AU"/>
        </w:rPr>
        <w:t>.</w:t>
      </w:r>
    </w:p>
    <w:p w14:paraId="7EFE4413"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Subsequent si</w:t>
      </w:r>
      <w:r w:rsidR="003673F6">
        <w:rPr>
          <w:rFonts w:eastAsia="Times New Roman"/>
          <w:kern w:val="16"/>
          <w:lang w:eastAsia="en-AU"/>
        </w:rPr>
        <w:t>ng</w:t>
      </w:r>
      <w:r w:rsidRPr="007D66D9">
        <w:rPr>
          <w:rFonts w:eastAsia="Times New Roman"/>
          <w:kern w:val="16"/>
          <w:lang w:eastAsia="en-AU"/>
        </w:rPr>
        <w:t>le dose of study agent followed after a washout period of at least 7 and no more than 21 days:</w:t>
      </w:r>
    </w:p>
    <w:p w14:paraId="710E96F0" w14:textId="76ACB327" w:rsidR="007D66D9" w:rsidRPr="003155C5" w:rsidRDefault="007D66D9" w:rsidP="003155C5">
      <w:pPr>
        <w:pStyle w:val="ListBullet"/>
        <w:rPr>
          <w:lang w:eastAsia="en-AU"/>
        </w:rPr>
      </w:pPr>
      <w:r w:rsidRPr="007D66D9">
        <w:t xml:space="preserve">In </w:t>
      </w:r>
      <w:r w:rsidRPr="0074521B">
        <w:t>panel A</w:t>
      </w:r>
      <w:r w:rsidRPr="007D66D9">
        <w:t xml:space="preserve"> subjects received in 300</w:t>
      </w:r>
      <w:r w:rsidR="004A676D">
        <w:t xml:space="preserve"> mg</w:t>
      </w:r>
      <w:r w:rsidRPr="007D66D9">
        <w:t xml:space="preserve"> </w:t>
      </w:r>
      <w:r w:rsidR="00886955">
        <w:t>equivalent (</w:t>
      </w:r>
      <w:proofErr w:type="spellStart"/>
      <w:r w:rsidR="00886955">
        <w:t>eq</w:t>
      </w:r>
      <w:proofErr w:type="spellEnd"/>
      <w:r w:rsidR="00886955">
        <w:t>)</w:t>
      </w:r>
      <w:r w:rsidRPr="007D66D9">
        <w:t xml:space="preserve"> </w:t>
      </w:r>
      <w:proofErr w:type="spellStart"/>
      <w:r w:rsidRPr="007D66D9">
        <w:t>paliperidone</w:t>
      </w:r>
      <w:proofErr w:type="spellEnd"/>
      <w:r w:rsidRPr="007D66D9">
        <w:t xml:space="preserve"> palmitate (1.5</w:t>
      </w:r>
      <w:r w:rsidR="004A676D">
        <w:t xml:space="preserve"> mL</w:t>
      </w:r>
      <w:r w:rsidRPr="007D66D9">
        <w:t xml:space="preserve"> of 200</w:t>
      </w:r>
      <w:r w:rsidR="004A676D">
        <w:t> mg</w:t>
      </w:r>
      <w:r w:rsidR="00607328">
        <w:t>/mL</w:t>
      </w:r>
      <w:r w:rsidRPr="007D66D9">
        <w:t xml:space="preserve"> paliperidone) of the </w:t>
      </w:r>
      <w:r w:rsidR="0058163A">
        <w:t>3 Month</w:t>
      </w:r>
      <w:r w:rsidRPr="007D66D9">
        <w:t xml:space="preserve"> formulation F015 </w:t>
      </w:r>
    </w:p>
    <w:p w14:paraId="57C17397" w14:textId="77777777" w:rsidR="007D66D9" w:rsidRPr="007D66D9" w:rsidRDefault="007D66D9" w:rsidP="004A676D">
      <w:pPr>
        <w:pStyle w:val="ListBullet"/>
      </w:pPr>
      <w:r w:rsidRPr="0074521B">
        <w:t>Panel B</w:t>
      </w:r>
      <w:r w:rsidRPr="007D66D9">
        <w:t xml:space="preserve"> subjects received formulation F015 doses of 75, 150, 300, or 450</w:t>
      </w:r>
      <w:r w:rsidR="004A676D">
        <w:t xml:space="preserve"> mg</w:t>
      </w:r>
      <w:r w:rsidRPr="007D66D9">
        <w:t xml:space="preserve"> </w:t>
      </w:r>
      <w:r w:rsidR="004A676D">
        <w:t>equivalent</w:t>
      </w:r>
    </w:p>
    <w:p w14:paraId="337C522E" w14:textId="2CBA1E02" w:rsidR="007D66D9" w:rsidRPr="007D66D9" w:rsidRDefault="007D66D9" w:rsidP="004A676D">
      <w:pPr>
        <w:pStyle w:val="ListBullet"/>
      </w:pPr>
      <w:r w:rsidRPr="0074521B">
        <w:t>Panel C</w:t>
      </w:r>
      <w:r w:rsidRPr="007D66D9">
        <w:t xml:space="preserve"> subjects received 150</w:t>
      </w:r>
      <w:r w:rsidR="004A676D">
        <w:t xml:space="preserve"> mg</w:t>
      </w:r>
      <w:r w:rsidRPr="007D66D9">
        <w:t xml:space="preserve"> </w:t>
      </w:r>
      <w:proofErr w:type="spellStart"/>
      <w:r w:rsidRPr="007D66D9">
        <w:t>eq</w:t>
      </w:r>
      <w:proofErr w:type="spellEnd"/>
      <w:r w:rsidRPr="007D66D9">
        <w:t xml:space="preserve"> of formulation F016 </w:t>
      </w:r>
      <w:r w:rsidR="009207AF">
        <w:t>[information redacted]</w:t>
      </w:r>
    </w:p>
    <w:p w14:paraId="43697EE2" w14:textId="77777777" w:rsidR="007D66D9" w:rsidRPr="007D66D9" w:rsidRDefault="007D66D9" w:rsidP="004A676D">
      <w:pPr>
        <w:pStyle w:val="ListBullet"/>
      </w:pPr>
      <w:r w:rsidRPr="0074521B">
        <w:t>Panel D</w:t>
      </w:r>
      <w:r w:rsidRPr="007D66D9">
        <w:t xml:space="preserve"> subjects received formulation F015 doses of 175, 350, or </w:t>
      </w:r>
      <w:r w:rsidR="0058163A">
        <w:t>525</w:t>
      </w:r>
      <w:r w:rsidR="004A676D">
        <w:t xml:space="preserve"> mg</w:t>
      </w:r>
      <w:r w:rsidRPr="007D66D9">
        <w:t xml:space="preserve"> </w:t>
      </w:r>
      <w:r w:rsidR="004A676D">
        <w:t>equivalent</w:t>
      </w:r>
      <w:r w:rsidR="00886955">
        <w:t>.</w:t>
      </w:r>
    </w:p>
    <w:p w14:paraId="41358B94" w14:textId="77777777" w:rsidR="007D66D9" w:rsidRPr="007D66D9" w:rsidRDefault="00FB0FC4" w:rsidP="004A676D">
      <w:pPr>
        <w:pStyle w:val="Heading6"/>
        <w:rPr>
          <w:lang w:eastAsia="en-AU"/>
        </w:rPr>
      </w:pPr>
      <w:r>
        <w:rPr>
          <w:lang w:eastAsia="en-AU"/>
        </w:rPr>
        <w:lastRenderedPageBreak/>
        <w:t>Design</w:t>
      </w:r>
    </w:p>
    <w:p w14:paraId="5880FE36" w14:textId="0786628D" w:rsidR="007D66D9" w:rsidRPr="007D66D9" w:rsidRDefault="009207AF" w:rsidP="0074521B">
      <w:pPr>
        <w:pStyle w:val="Heading6"/>
        <w:rPr>
          <w:lang w:eastAsia="en-AU"/>
        </w:rPr>
      </w:pPr>
      <w:proofErr w:type="gramStart"/>
      <w:r>
        <w:rPr>
          <w:lang w:eastAsia="en-AU"/>
        </w:rPr>
        <w:t>Figure 1.</w:t>
      </w:r>
      <w:proofErr w:type="gramEnd"/>
      <w:r>
        <w:rPr>
          <w:lang w:eastAsia="en-AU"/>
        </w:rPr>
        <w:t xml:space="preserve"> </w:t>
      </w:r>
      <w:r w:rsidR="0077657E">
        <w:rPr>
          <w:lang w:eastAsia="en-AU"/>
        </w:rPr>
        <w:t>[</w:t>
      </w:r>
      <w:proofErr w:type="gramStart"/>
      <w:r w:rsidR="0077657E">
        <w:rPr>
          <w:lang w:eastAsia="en-AU"/>
        </w:rPr>
        <w:t>information</w:t>
      </w:r>
      <w:proofErr w:type="gramEnd"/>
      <w:r w:rsidR="0077657E">
        <w:rPr>
          <w:lang w:eastAsia="en-AU"/>
        </w:rPr>
        <w:t xml:space="preserve"> redacted]</w:t>
      </w:r>
      <w:r w:rsidR="0074521B">
        <w:rPr>
          <w:lang w:eastAsia="en-AU"/>
        </w:rPr>
        <w:t>Entry criteria</w:t>
      </w:r>
    </w:p>
    <w:p w14:paraId="67A5349B" w14:textId="77777777" w:rsidR="007D66D9" w:rsidRPr="007D66D9" w:rsidRDefault="007D66D9" w:rsidP="004A676D">
      <w:pPr>
        <w:pStyle w:val="ListBullet"/>
      </w:pPr>
      <w:r w:rsidRPr="007D66D9">
        <w:t>Age 18 to 65 years with a (DSM-IV) diagnosis of schizophrenia or schizoaffective disorder for at least 1 year before screeni</w:t>
      </w:r>
      <w:r w:rsidR="003673F6">
        <w:t>ng</w:t>
      </w:r>
      <w:r w:rsidRPr="007D66D9">
        <w:t>.</w:t>
      </w:r>
    </w:p>
    <w:p w14:paraId="47E01A17" w14:textId="77777777" w:rsidR="007D66D9" w:rsidRPr="007D66D9" w:rsidRDefault="007D66D9" w:rsidP="004A676D">
      <w:pPr>
        <w:pStyle w:val="ListBullet"/>
      </w:pPr>
      <w:r w:rsidRPr="007D66D9">
        <w:t>Clinically stable with no hospitalizations for schizophrenia exacerbation or cha</w:t>
      </w:r>
      <w:r w:rsidR="003673F6">
        <w:t>ng</w:t>
      </w:r>
      <w:r w:rsidRPr="007D66D9">
        <w:t>e in current antipsychotic medications for 3 months prior to screeni</w:t>
      </w:r>
      <w:r w:rsidR="003673F6">
        <w:t>ng</w:t>
      </w:r>
      <w:r w:rsidRPr="007D66D9">
        <w:t>.</w:t>
      </w:r>
    </w:p>
    <w:p w14:paraId="7B55C0E3" w14:textId="77777777" w:rsidR="007D66D9" w:rsidRPr="007D66D9" w:rsidRDefault="007D66D9" w:rsidP="004A676D">
      <w:pPr>
        <w:pStyle w:val="ListBullet"/>
      </w:pPr>
      <w:r w:rsidRPr="007D66D9">
        <w:t>Has a total PANSS</w:t>
      </w:r>
      <w:r w:rsidR="00886955">
        <w:rPr>
          <w:rStyle w:val="FootnoteReference"/>
        </w:rPr>
        <w:footnoteReference w:id="3"/>
      </w:r>
      <w:r w:rsidRPr="007D66D9">
        <w:t xml:space="preserve"> score of 70 or less at both screeni</w:t>
      </w:r>
      <w:r w:rsidR="003673F6">
        <w:t>ng</w:t>
      </w:r>
      <w:r w:rsidRPr="007D66D9">
        <w:t xml:space="preserve"> and Day-1 (Period 1); and</w:t>
      </w:r>
    </w:p>
    <w:p w14:paraId="23D5D12F" w14:textId="77777777" w:rsidR="007D66D9" w:rsidRPr="007D66D9" w:rsidRDefault="007D66D9" w:rsidP="004A676D">
      <w:pPr>
        <w:pStyle w:val="ListBullet"/>
      </w:pPr>
      <w:r w:rsidRPr="007D66D9">
        <w:t>has a score of no more than 16 points on the sum of the conceptual disorganization, suspiciousness/persecution, hallucinatory behaviour, and unusual thought content items of the PANSS; and</w:t>
      </w:r>
    </w:p>
    <w:p w14:paraId="5CC6B058" w14:textId="77777777" w:rsidR="007D66D9" w:rsidRPr="007D66D9" w:rsidRDefault="007D66D9" w:rsidP="004A676D">
      <w:pPr>
        <w:pStyle w:val="ListBullet"/>
      </w:pPr>
      <w:r w:rsidRPr="007D66D9">
        <w:t>Has scores not greater than 5 on any of the individual items of the PANSS.</w:t>
      </w:r>
    </w:p>
    <w:p w14:paraId="4D68099E" w14:textId="77777777" w:rsidR="007D66D9" w:rsidRPr="007D66D9" w:rsidRDefault="004A676D" w:rsidP="007452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Pr>
          <w:rFonts w:eastAsia="Times New Roman"/>
          <w:kern w:val="16"/>
          <w:lang w:eastAsia="en-AU"/>
        </w:rPr>
        <w:t>Exclusion criteria included:</w:t>
      </w:r>
    </w:p>
    <w:p w14:paraId="2B45D096" w14:textId="77777777" w:rsidR="007D66D9" w:rsidRPr="007D66D9" w:rsidRDefault="007D66D9" w:rsidP="004A676D">
      <w:pPr>
        <w:pStyle w:val="ListBullet"/>
      </w:pPr>
      <w:r w:rsidRPr="007D66D9">
        <w:t>Attempted suicide within 12 months before screeni</w:t>
      </w:r>
      <w:r w:rsidR="003673F6">
        <w:t>ng</w:t>
      </w:r>
      <w:r w:rsidRPr="007D66D9">
        <w:t xml:space="preserve"> or is at imminent risk of suicide or violent behaviour.</w:t>
      </w:r>
    </w:p>
    <w:p w14:paraId="305FCA55" w14:textId="77777777" w:rsidR="007D66D9" w:rsidRPr="007D66D9" w:rsidRDefault="007D66D9" w:rsidP="004A676D">
      <w:pPr>
        <w:pStyle w:val="ListBullet"/>
      </w:pPr>
      <w:r w:rsidRPr="007D66D9">
        <w:t xml:space="preserve">Is in his/her first episode of </w:t>
      </w:r>
      <w:proofErr w:type="gramStart"/>
      <w:r w:rsidRPr="007D66D9">
        <w:t>psychosis.</w:t>
      </w:r>
      <w:proofErr w:type="gramEnd"/>
    </w:p>
    <w:p w14:paraId="65E1EF6D" w14:textId="77777777" w:rsidR="007D66D9" w:rsidRPr="007D66D9" w:rsidRDefault="007D66D9" w:rsidP="004A676D">
      <w:pPr>
        <w:pStyle w:val="ListBullet"/>
      </w:pPr>
      <w:r w:rsidRPr="007D66D9">
        <w:t>Has a history of neuroleptic malignant syndrome.</w:t>
      </w:r>
    </w:p>
    <w:p w14:paraId="27AB0C8E" w14:textId="77777777" w:rsidR="007D66D9" w:rsidRPr="007D66D9" w:rsidRDefault="007D66D9" w:rsidP="004A676D">
      <w:pPr>
        <w:pStyle w:val="ListBullet"/>
      </w:pPr>
      <w:r w:rsidRPr="007D66D9">
        <w:t>Has a diagnosis of tardive dyskinesia at the time of screeni</w:t>
      </w:r>
      <w:r w:rsidR="003673F6">
        <w:t>ng</w:t>
      </w:r>
      <w:r w:rsidRPr="007D66D9">
        <w:t>.</w:t>
      </w:r>
    </w:p>
    <w:p w14:paraId="680D62E6" w14:textId="77777777" w:rsidR="007D66D9" w:rsidRPr="007D66D9" w:rsidRDefault="007D66D9" w:rsidP="004A676D">
      <w:pPr>
        <w:pStyle w:val="ListBullet"/>
      </w:pPr>
      <w:r w:rsidRPr="007D66D9">
        <w:t>Concomitantly uses or used the followi</w:t>
      </w:r>
      <w:r w:rsidR="003673F6">
        <w:t>ng</w:t>
      </w:r>
      <w:r w:rsidRPr="007D66D9">
        <w:t xml:space="preserve"> medications prior to the start of the study or duri</w:t>
      </w:r>
      <w:r w:rsidR="003673F6">
        <w:t>ng</w:t>
      </w:r>
      <w:r w:rsidRPr="007D66D9">
        <w:t xml:space="preserve"> the </w:t>
      </w:r>
      <w:r w:rsidR="004A676D">
        <w:t>open label</w:t>
      </w:r>
      <w:r w:rsidRPr="007D66D9">
        <w:t xml:space="preserve"> treatment period:</w:t>
      </w:r>
    </w:p>
    <w:p w14:paraId="6497FE0D" w14:textId="77777777" w:rsidR="007D66D9" w:rsidRPr="007D66D9" w:rsidRDefault="007D66D9" w:rsidP="004A676D">
      <w:pPr>
        <w:pStyle w:val="ListBullet2"/>
      </w:pPr>
      <w:r w:rsidRPr="007D66D9">
        <w:t>oral risperidone, paliperidone (Invega), clozapine, zipras</w:t>
      </w:r>
      <w:r w:rsidR="004A676D">
        <w:t xml:space="preserve">idone, or </w:t>
      </w:r>
      <w:proofErr w:type="spellStart"/>
      <w:r w:rsidR="004A676D">
        <w:t>thioridazine</w:t>
      </w:r>
      <w:proofErr w:type="spellEnd"/>
      <w:r w:rsidR="004A676D">
        <w:t xml:space="preserve"> within 3 </w:t>
      </w:r>
      <w:r w:rsidRPr="007D66D9">
        <w:t>months of screeni</w:t>
      </w:r>
      <w:r w:rsidR="003673F6">
        <w:t>ng</w:t>
      </w:r>
      <w:r w:rsidRPr="007D66D9">
        <w:t xml:space="preserve"> visit</w:t>
      </w:r>
    </w:p>
    <w:p w14:paraId="35FA1329" w14:textId="77777777" w:rsidR="007D66D9" w:rsidRPr="007D66D9" w:rsidRDefault="007D66D9" w:rsidP="004A676D">
      <w:pPr>
        <w:pStyle w:val="ListBullet2"/>
      </w:pPr>
      <w:r w:rsidRPr="007D66D9">
        <w:t xml:space="preserve">Risperdal </w:t>
      </w:r>
      <w:proofErr w:type="spellStart"/>
      <w:r w:rsidRPr="007D66D9">
        <w:t>Consta</w:t>
      </w:r>
      <w:proofErr w:type="spellEnd"/>
      <w:r w:rsidRPr="007D66D9">
        <w:t xml:space="preserve"> or </w:t>
      </w:r>
      <w:proofErr w:type="spellStart"/>
      <w:r w:rsidRPr="007D66D9">
        <w:t>paliperidone</w:t>
      </w:r>
      <w:proofErr w:type="spellEnd"/>
      <w:r w:rsidRPr="007D66D9">
        <w:t xml:space="preserve"> palmitate injection within 100 days of screeni</w:t>
      </w:r>
      <w:r w:rsidR="003673F6">
        <w:t>ng</w:t>
      </w:r>
      <w:r w:rsidRPr="007D66D9">
        <w:t xml:space="preserve"> visit</w:t>
      </w:r>
    </w:p>
    <w:p w14:paraId="55BDEEF3" w14:textId="77777777" w:rsidR="007D66D9" w:rsidRPr="007D66D9" w:rsidRDefault="007D66D9" w:rsidP="004A676D">
      <w:pPr>
        <w:pStyle w:val="ListBullet2"/>
      </w:pPr>
      <w:r w:rsidRPr="007D66D9">
        <w:t>paliperidone palmitate lo</w:t>
      </w:r>
      <w:r w:rsidR="003673F6">
        <w:t>ng</w:t>
      </w:r>
      <w:r w:rsidRPr="007D66D9">
        <w:t>-acti</w:t>
      </w:r>
      <w:r w:rsidR="003673F6">
        <w:t>ng</w:t>
      </w:r>
      <w:r w:rsidRPr="007D66D9">
        <w:t xml:space="preserve"> injection within 10 months of screeni</w:t>
      </w:r>
      <w:r w:rsidR="003673F6">
        <w:t>ng</w:t>
      </w:r>
      <w:r w:rsidRPr="007D66D9">
        <w:t xml:space="preserve"> visit</w:t>
      </w:r>
    </w:p>
    <w:p w14:paraId="7284BF0F" w14:textId="77777777" w:rsidR="007D66D9" w:rsidRPr="007D66D9" w:rsidRDefault="007D66D9" w:rsidP="004A676D">
      <w:pPr>
        <w:pStyle w:val="ListBullet2"/>
      </w:pPr>
      <w:r w:rsidRPr="007D66D9">
        <w:t>lo</w:t>
      </w:r>
      <w:r w:rsidR="003673F6">
        <w:t>ng</w:t>
      </w:r>
      <w:r w:rsidRPr="007D66D9">
        <w:t>-acti</w:t>
      </w:r>
      <w:r w:rsidR="003673F6">
        <w:t>ng</w:t>
      </w:r>
      <w:r w:rsidRPr="007D66D9">
        <w:t xml:space="preserve"> formulations of other neuroleptic drugs within 3 months of screeni</w:t>
      </w:r>
      <w:r w:rsidR="003673F6">
        <w:t>ng</w:t>
      </w:r>
      <w:r w:rsidRPr="007D66D9">
        <w:t xml:space="preserve"> visit</w:t>
      </w:r>
    </w:p>
    <w:p w14:paraId="69A29A08" w14:textId="77777777" w:rsidR="007D66D9" w:rsidRPr="007D66D9" w:rsidRDefault="007D66D9" w:rsidP="004A676D">
      <w:pPr>
        <w:pStyle w:val="ListBullet2"/>
      </w:pPr>
      <w:r w:rsidRPr="007D66D9">
        <w:t>hepatic enzyme inducers within 14 days prior to screeni</w:t>
      </w:r>
      <w:r w:rsidR="003673F6">
        <w:t>ng</w:t>
      </w:r>
      <w:r w:rsidRPr="007D66D9">
        <w:t xml:space="preserve"> visit to avoid hepatic enzyme induction</w:t>
      </w:r>
    </w:p>
    <w:p w14:paraId="1DFC2137" w14:textId="77777777" w:rsidR="007D66D9" w:rsidRPr="007D66D9" w:rsidRDefault="007D66D9" w:rsidP="004A676D">
      <w:pPr>
        <w:pStyle w:val="ListBullet2"/>
      </w:pPr>
      <w:proofErr w:type="gramStart"/>
      <w:r w:rsidRPr="007D66D9">
        <w:t>the</w:t>
      </w:r>
      <w:proofErr w:type="gramEnd"/>
      <w:r w:rsidRPr="007D66D9">
        <w:t xml:space="preserve"> followi</w:t>
      </w:r>
      <w:r w:rsidR="003673F6">
        <w:t>ng</w:t>
      </w:r>
      <w:r w:rsidRPr="007D66D9">
        <w:t xml:space="preserve"> anticonvulsant medications: carbamazepine, oxcarbazepine, </w:t>
      </w:r>
      <w:proofErr w:type="spellStart"/>
      <w:r w:rsidRPr="007D66D9">
        <w:t>felbamate</w:t>
      </w:r>
      <w:proofErr w:type="spellEnd"/>
      <w:r w:rsidRPr="007D66D9">
        <w:t>, and phenytoin within 3 months of screeni</w:t>
      </w:r>
      <w:r w:rsidR="003673F6">
        <w:t>ng</w:t>
      </w:r>
      <w:r w:rsidRPr="007D66D9">
        <w:t xml:space="preserve"> visit.</w:t>
      </w:r>
    </w:p>
    <w:p w14:paraId="6C92FB91" w14:textId="77777777" w:rsidR="007D66D9" w:rsidRPr="007D66D9" w:rsidRDefault="0074521B" w:rsidP="0074521B">
      <w:pPr>
        <w:pStyle w:val="Heading6"/>
        <w:rPr>
          <w:lang w:eastAsia="en-AU"/>
        </w:rPr>
      </w:pPr>
      <w:r>
        <w:rPr>
          <w:lang w:eastAsia="en-AU"/>
        </w:rPr>
        <w:t>PK sampli</w:t>
      </w:r>
      <w:r w:rsidR="003673F6">
        <w:rPr>
          <w:lang w:eastAsia="en-AU"/>
        </w:rPr>
        <w:t>ng</w:t>
      </w:r>
      <w:r>
        <w:rPr>
          <w:lang w:eastAsia="en-AU"/>
        </w:rPr>
        <w:t xml:space="preserve"> and analysis</w:t>
      </w:r>
    </w:p>
    <w:p w14:paraId="5DC9D98B"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Plasma paliperidone was measured after +1h, +6h, +24h, and days 2, 4, 6, 10, 14, 18, 22, 26, 30, 34, 38, 42, 56, 84, 112, 140, 168, 196, 224, 252, 280, 308, 336 and end of study</w:t>
      </w:r>
      <w:r w:rsidR="0074521B">
        <w:rPr>
          <w:rFonts w:eastAsia="Times New Roman"/>
          <w:kern w:val="16"/>
          <w:lang w:eastAsia="en-AU"/>
        </w:rPr>
        <w:t>.</w:t>
      </w:r>
    </w:p>
    <w:p w14:paraId="23AB8AAE" w14:textId="484F16B8" w:rsidR="004A676D"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cs="Arial"/>
          <w:kern w:val="16"/>
          <w:lang w:eastAsia="en-AU"/>
        </w:rPr>
      </w:pPr>
      <w:r w:rsidRPr="007D66D9">
        <w:rPr>
          <w:rFonts w:eastAsia="Times New Roman" w:cs="Arial"/>
          <w:kern w:val="16"/>
          <w:lang w:eastAsia="en-AU"/>
        </w:rPr>
        <w:t>Plasma samples were analysed for paliperidone, paliperidone enantiomers and/or paliperidone palmitate concentrations usi</w:t>
      </w:r>
      <w:r w:rsidR="003673F6">
        <w:rPr>
          <w:rFonts w:eastAsia="Times New Roman" w:cs="Arial"/>
          <w:kern w:val="16"/>
          <w:lang w:eastAsia="en-AU"/>
        </w:rPr>
        <w:t>ng</w:t>
      </w:r>
      <w:r w:rsidRPr="007D66D9">
        <w:rPr>
          <w:rFonts w:eastAsia="Times New Roman" w:cs="Arial"/>
          <w:kern w:val="16"/>
          <w:lang w:eastAsia="en-AU"/>
        </w:rPr>
        <w:t xml:space="preserve"> validated liquid chromatography coupled to tandem mass spectroscopy (LC-MS/MS) methods under the supervision of the </w:t>
      </w:r>
      <w:r w:rsidR="009F485A" w:rsidRPr="007D66D9">
        <w:rPr>
          <w:rFonts w:eastAsia="Times New Roman" w:cs="Arial"/>
          <w:kern w:val="16"/>
          <w:lang w:eastAsia="en-AU"/>
        </w:rPr>
        <w:t>sponsor's bioanalytical labora</w:t>
      </w:r>
      <w:r w:rsidRPr="007D66D9">
        <w:rPr>
          <w:rFonts w:eastAsia="Times New Roman" w:cs="Arial"/>
          <w:kern w:val="16"/>
          <w:lang w:eastAsia="en-AU"/>
        </w:rPr>
        <w:t xml:space="preserve">tory. The target lower limit of quantification (LLOQ) for plasma paliperidone was </w:t>
      </w:r>
      <w:proofErr w:type="gramStart"/>
      <w:r w:rsidRPr="007D66D9">
        <w:rPr>
          <w:rFonts w:eastAsia="Times New Roman" w:cs="Arial"/>
          <w:kern w:val="16"/>
          <w:lang w:eastAsia="en-AU"/>
        </w:rPr>
        <w:t>0.100</w:t>
      </w:r>
      <w:r w:rsidR="00827D3C">
        <w:rPr>
          <w:rFonts w:eastAsia="Times New Roman" w:cs="Arial"/>
          <w:kern w:val="16"/>
          <w:lang w:eastAsia="en-AU"/>
        </w:rPr>
        <w:t> </w:t>
      </w:r>
      <w:r w:rsidR="003673F6">
        <w:rPr>
          <w:rFonts w:eastAsia="Times New Roman" w:cs="Arial"/>
          <w:kern w:val="16"/>
          <w:lang w:eastAsia="en-AU"/>
        </w:rPr>
        <w:t>ng</w:t>
      </w:r>
      <w:r w:rsidRPr="007D66D9">
        <w:rPr>
          <w:rFonts w:eastAsia="Times New Roman" w:cs="Arial"/>
          <w:kern w:val="16"/>
          <w:lang w:eastAsia="en-AU"/>
        </w:rPr>
        <w:t>/</w:t>
      </w:r>
      <w:r w:rsidR="004A676D">
        <w:rPr>
          <w:rFonts w:eastAsia="Times New Roman" w:cs="Arial"/>
          <w:kern w:val="16"/>
          <w:lang w:eastAsia="en-AU"/>
        </w:rPr>
        <w:t>mL</w:t>
      </w:r>
      <w:proofErr w:type="gramEnd"/>
      <w:r w:rsidRPr="007D66D9">
        <w:rPr>
          <w:rFonts w:eastAsia="Times New Roman" w:cs="Arial"/>
          <w:kern w:val="16"/>
          <w:lang w:eastAsia="en-AU"/>
        </w:rPr>
        <w:t xml:space="preserve"> and for paliperidone palmitate was 0.200 </w:t>
      </w:r>
      <w:r w:rsidR="003673F6">
        <w:rPr>
          <w:rFonts w:eastAsia="Times New Roman" w:cs="Arial"/>
          <w:kern w:val="16"/>
          <w:lang w:eastAsia="en-AU"/>
        </w:rPr>
        <w:t>ng</w:t>
      </w:r>
      <w:r w:rsidRPr="007D66D9">
        <w:rPr>
          <w:rFonts w:eastAsia="Times New Roman" w:cs="Arial"/>
          <w:kern w:val="16"/>
          <w:lang w:eastAsia="en-AU"/>
        </w:rPr>
        <w:t>/</w:t>
      </w:r>
      <w:proofErr w:type="spellStart"/>
      <w:r w:rsidR="004A676D">
        <w:rPr>
          <w:rFonts w:eastAsia="Times New Roman" w:cs="Arial"/>
          <w:kern w:val="16"/>
          <w:lang w:eastAsia="en-AU"/>
        </w:rPr>
        <w:t>mL</w:t>
      </w:r>
      <w:r w:rsidRPr="007D66D9">
        <w:rPr>
          <w:rFonts w:eastAsia="Times New Roman" w:cs="Arial"/>
          <w:kern w:val="16"/>
          <w:lang w:eastAsia="en-AU"/>
        </w:rPr>
        <w:t>.</w:t>
      </w:r>
      <w:proofErr w:type="spellEnd"/>
      <w:r w:rsidRPr="007D66D9">
        <w:rPr>
          <w:rFonts w:eastAsia="Times New Roman" w:cs="Arial"/>
          <w:kern w:val="16"/>
          <w:lang w:eastAsia="en-AU"/>
        </w:rPr>
        <w:t xml:space="preserve"> The target (LLOQ) for plasma paliperidone enantiomers was </w:t>
      </w:r>
      <w:proofErr w:type="gramStart"/>
      <w:r w:rsidRPr="007D66D9">
        <w:rPr>
          <w:rFonts w:eastAsia="Times New Roman" w:cs="Arial"/>
          <w:kern w:val="16"/>
          <w:lang w:eastAsia="en-AU"/>
        </w:rPr>
        <w:t>0.200</w:t>
      </w:r>
      <w:r w:rsidR="004A676D">
        <w:rPr>
          <w:rFonts w:eastAsia="Times New Roman" w:cs="Arial"/>
          <w:kern w:val="16"/>
          <w:lang w:eastAsia="en-AU"/>
        </w:rPr>
        <w:t xml:space="preserve"> </w:t>
      </w:r>
      <w:r w:rsidR="003673F6">
        <w:rPr>
          <w:rFonts w:eastAsia="Times New Roman" w:cs="Arial"/>
          <w:kern w:val="16"/>
          <w:lang w:eastAsia="en-AU"/>
        </w:rPr>
        <w:t>ng</w:t>
      </w:r>
      <w:r w:rsidRPr="007D66D9">
        <w:rPr>
          <w:rFonts w:eastAsia="Times New Roman" w:cs="Arial"/>
          <w:kern w:val="16"/>
          <w:lang w:eastAsia="en-AU"/>
        </w:rPr>
        <w:t>/</w:t>
      </w:r>
      <w:proofErr w:type="spellStart"/>
      <w:r w:rsidR="004A676D">
        <w:rPr>
          <w:rFonts w:eastAsia="Times New Roman" w:cs="Arial"/>
          <w:kern w:val="16"/>
          <w:lang w:eastAsia="en-AU"/>
        </w:rPr>
        <w:t>mL</w:t>
      </w:r>
      <w:proofErr w:type="gramEnd"/>
      <w:r w:rsidR="004A676D">
        <w:rPr>
          <w:rFonts w:eastAsia="Times New Roman" w:cs="Arial"/>
          <w:kern w:val="16"/>
          <w:lang w:eastAsia="en-AU"/>
        </w:rPr>
        <w:t>.</w:t>
      </w:r>
      <w:proofErr w:type="spellEnd"/>
    </w:p>
    <w:p w14:paraId="06F3FF3E" w14:textId="77777777" w:rsidR="007D66D9" w:rsidRPr="007D66D9" w:rsidRDefault="007D66D9" w:rsidP="004A676D">
      <w:pPr>
        <w:pStyle w:val="Tabletitle"/>
        <w:rPr>
          <w:lang w:eastAsia="en-AU"/>
        </w:rPr>
      </w:pPr>
      <w:bookmarkStart w:id="59" w:name="_Toc453054970"/>
      <w:r w:rsidRPr="0074521B">
        <w:rPr>
          <w:lang w:eastAsia="en-AU"/>
        </w:rPr>
        <w:lastRenderedPageBreak/>
        <w:t>Table</w:t>
      </w:r>
      <w:r w:rsidRPr="007D66D9">
        <w:rPr>
          <w:lang w:eastAsia="en-AU"/>
        </w:rPr>
        <w:t xml:space="preserve"> </w:t>
      </w:r>
      <w:r w:rsidR="009F485A">
        <w:rPr>
          <w:lang w:eastAsia="en-AU"/>
        </w:rPr>
        <w:t>7:</w:t>
      </w:r>
      <w:r w:rsidRPr="007D66D9">
        <w:rPr>
          <w:lang w:eastAsia="en-AU"/>
        </w:rPr>
        <w:t xml:space="preserve"> Study </w:t>
      </w:r>
      <w:r w:rsidR="004A676D" w:rsidRPr="007D66D9">
        <w:rPr>
          <w:lang w:eastAsia="en-AU"/>
        </w:rPr>
        <w:t>completio</w:t>
      </w:r>
      <w:r w:rsidR="009F485A">
        <w:rPr>
          <w:lang w:eastAsia="en-AU"/>
        </w:rPr>
        <w:t>n/ early withdrawal information;</w:t>
      </w:r>
      <w:r w:rsidRPr="007D66D9">
        <w:rPr>
          <w:lang w:eastAsia="en-AU"/>
        </w:rPr>
        <w:t xml:space="preserve"> Safety Analysis Set</w:t>
      </w:r>
      <w:bookmarkEnd w:id="59"/>
    </w:p>
    <w:p w14:paraId="5993B2AE" w14:textId="77777777" w:rsidR="007D66D9" w:rsidRPr="007D66D9" w:rsidRDefault="007D66D9" w:rsidP="00D37CB6">
      <w:pPr>
        <w:rPr>
          <w:vertAlign w:val="superscript"/>
          <w:lang w:eastAsia="en-AU"/>
        </w:rPr>
      </w:pPr>
      <w:r w:rsidRPr="007D66D9">
        <w:rPr>
          <w:noProof/>
          <w:lang w:eastAsia="en-AU"/>
        </w:rPr>
        <w:drawing>
          <wp:inline distT="0" distB="0" distL="0" distR="0" wp14:anchorId="0C8D1C21" wp14:editId="1C7CCD45">
            <wp:extent cx="5688334" cy="7520026"/>
            <wp:effectExtent l="0" t="0" r="7620" b="5080"/>
            <wp:docPr id="2" name="Picture 2" descr="Table 7: Study completion/ early withdrawal inform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98489" cy="7533451"/>
                    </a:xfrm>
                    <a:prstGeom prst="rect">
                      <a:avLst/>
                    </a:prstGeom>
                  </pic:spPr>
                </pic:pic>
              </a:graphicData>
            </a:graphic>
          </wp:inline>
        </w:drawing>
      </w:r>
    </w:p>
    <w:p w14:paraId="123AB027" w14:textId="77777777" w:rsidR="0074521B" w:rsidRDefault="004A676D" w:rsidP="00B06D8A">
      <w:pPr>
        <w:pStyle w:val="TableDescription"/>
        <w:keepLines/>
        <w:rPr>
          <w:lang w:eastAsia="en-AU"/>
        </w:rPr>
      </w:pPr>
      <w:r>
        <w:rPr>
          <w:lang w:eastAsia="en-AU"/>
        </w:rPr>
        <w:t xml:space="preserve">a. </w:t>
      </w:r>
      <w:r w:rsidR="007D66D9" w:rsidRPr="007D66D9">
        <w:rPr>
          <w:lang w:eastAsia="en-AU"/>
        </w:rPr>
        <w:t>Includi</w:t>
      </w:r>
      <w:r w:rsidR="003673F6">
        <w:rPr>
          <w:lang w:eastAsia="en-AU"/>
        </w:rPr>
        <w:t>ng</w:t>
      </w:r>
      <w:r w:rsidR="00FB0FC4">
        <w:rPr>
          <w:lang w:eastAsia="en-AU"/>
        </w:rPr>
        <w:t xml:space="preserve"> one subject [information redacted] </w:t>
      </w:r>
      <w:r w:rsidR="007D66D9" w:rsidRPr="007D66D9">
        <w:rPr>
          <w:lang w:eastAsia="en-AU"/>
        </w:rPr>
        <w:t>who was withdrawn due to a non</w:t>
      </w:r>
      <w:r w:rsidR="009F485A">
        <w:rPr>
          <w:lang w:eastAsia="en-AU"/>
        </w:rPr>
        <w:t>-</w:t>
      </w:r>
      <w:r w:rsidR="007D66D9" w:rsidRPr="007D66D9">
        <w:rPr>
          <w:lang w:eastAsia="en-AU"/>
        </w:rPr>
        <w:t>serious and non-treatment emergent adverse event of myocardial ischaemia on Day -1 of Period 1.</w:t>
      </w:r>
      <w:r>
        <w:rPr>
          <w:lang w:eastAsia="en-AU"/>
        </w:rPr>
        <w:t xml:space="preserve"> b. </w:t>
      </w:r>
      <w:r w:rsidR="007D66D9" w:rsidRPr="007D66D9">
        <w:rPr>
          <w:lang w:eastAsia="en-AU"/>
        </w:rPr>
        <w:t>120 subjects completed Period 1 of the trial. 94 trial completers entered the optional extension period</w:t>
      </w:r>
      <w:r>
        <w:rPr>
          <w:lang w:eastAsia="en-AU"/>
        </w:rPr>
        <w:t xml:space="preserve">. c. </w:t>
      </w:r>
      <w:r w:rsidR="007D66D9" w:rsidRPr="007D66D9">
        <w:rPr>
          <w:lang w:eastAsia="en-AU"/>
        </w:rPr>
        <w:t>98 subjects complet</w:t>
      </w:r>
      <w:r>
        <w:rPr>
          <w:lang w:eastAsia="en-AU"/>
        </w:rPr>
        <w:t>ed Period 1 of the trial. A</w:t>
      </w:r>
      <w:r w:rsidR="00D260FF" w:rsidRPr="007D66D9">
        <w:rPr>
          <w:lang w:eastAsia="en-AU"/>
        </w:rPr>
        <w:t>ll Subjects received Pali 1</w:t>
      </w:r>
      <w:r>
        <w:rPr>
          <w:lang w:eastAsia="en-AU"/>
        </w:rPr>
        <w:t xml:space="preserve"> mg</w:t>
      </w:r>
      <w:r w:rsidR="00D260FF" w:rsidRPr="007D66D9">
        <w:rPr>
          <w:lang w:eastAsia="en-AU"/>
        </w:rPr>
        <w:t xml:space="preserve"> I.R. in Period 1</w:t>
      </w:r>
      <w:r w:rsidR="009F485A">
        <w:rPr>
          <w:lang w:eastAsia="en-AU"/>
        </w:rPr>
        <w:t>.</w:t>
      </w:r>
    </w:p>
    <w:p w14:paraId="70849411" w14:textId="77777777" w:rsidR="007D66D9" w:rsidRPr="007D66D9" w:rsidRDefault="007D66D9" w:rsidP="004A676D">
      <w:pPr>
        <w:pStyle w:val="Heading6"/>
        <w:rPr>
          <w:lang w:eastAsia="en-AU"/>
        </w:rPr>
      </w:pPr>
      <w:r w:rsidRPr="007D66D9">
        <w:rPr>
          <w:lang w:eastAsia="en-AU"/>
        </w:rPr>
        <w:lastRenderedPageBreak/>
        <w:t>PK results paliperidone</w:t>
      </w:r>
    </w:p>
    <w:p w14:paraId="29315074" w14:textId="77777777" w:rsidR="007D66D9" w:rsidRPr="004A676D" w:rsidRDefault="007D66D9" w:rsidP="004A676D">
      <w:pPr>
        <w:pStyle w:val="Heading7"/>
        <w:rPr>
          <w:sz w:val="20"/>
          <w:lang w:eastAsia="en-AU"/>
        </w:rPr>
      </w:pPr>
      <w:r w:rsidRPr="004A676D">
        <w:rPr>
          <w:sz w:val="20"/>
          <w:lang w:eastAsia="en-AU"/>
        </w:rPr>
        <w:t>Panels A and C</w:t>
      </w:r>
    </w:p>
    <w:p w14:paraId="63E84AC7"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The results in Panels A and C were compromised by incomplete injections due to insufficient shaki</w:t>
      </w:r>
      <w:r w:rsidR="003673F6">
        <w:rPr>
          <w:rFonts w:eastAsia="Times New Roman"/>
          <w:kern w:val="16"/>
          <w:lang w:eastAsia="en-AU"/>
        </w:rPr>
        <w:t>ng</w:t>
      </w:r>
      <w:r w:rsidRPr="007D66D9">
        <w:rPr>
          <w:rFonts w:eastAsia="Times New Roman"/>
          <w:kern w:val="16"/>
          <w:lang w:eastAsia="en-AU"/>
        </w:rPr>
        <w:t xml:space="preserve"> prior to injection (Period 2) in </w:t>
      </w:r>
      <w:r w:rsidRPr="004A676D">
        <w:rPr>
          <w:rFonts w:eastAsia="Times New Roman"/>
          <w:kern w:val="16"/>
          <w:lang w:eastAsia="en-AU"/>
        </w:rPr>
        <w:t>some subjects.</w:t>
      </w:r>
    </w:p>
    <w:p w14:paraId="6189AFEC"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After 1</w:t>
      </w:r>
      <w:r w:rsidR="004A676D">
        <w:rPr>
          <w:rFonts w:eastAsia="Times New Roman"/>
          <w:kern w:val="16"/>
          <w:lang w:eastAsia="en-AU"/>
        </w:rPr>
        <w:t xml:space="preserve"> mg</w:t>
      </w:r>
      <w:r w:rsidRPr="007D66D9">
        <w:rPr>
          <w:rFonts w:eastAsia="Times New Roman"/>
          <w:kern w:val="16"/>
          <w:lang w:eastAsia="en-AU"/>
        </w:rPr>
        <w:t xml:space="preserve"> paliperidone Immediate Release, the median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ra</w:t>
      </w:r>
      <w:r w:rsidR="003673F6">
        <w:rPr>
          <w:rFonts w:eastAsia="Times New Roman"/>
          <w:kern w:val="16"/>
          <w:lang w:eastAsia="en-AU"/>
        </w:rPr>
        <w:t>ng</w:t>
      </w:r>
      <w:r w:rsidRPr="007D66D9">
        <w:rPr>
          <w:rFonts w:eastAsia="Times New Roman"/>
          <w:kern w:val="16"/>
          <w:lang w:eastAsia="en-AU"/>
        </w:rPr>
        <w:t>ed from 7.60 to 10.9</w:t>
      </w:r>
      <w:r w:rsidR="004A676D">
        <w:rPr>
          <w:rFonts w:eastAsia="Times New Roman"/>
          <w:kern w:val="16"/>
          <w:lang w:eastAsia="en-AU"/>
        </w:rPr>
        <w:t xml:space="preserve"> </w:t>
      </w:r>
      <w:proofErr w:type="gramStart"/>
      <w:r w:rsidR="003673F6">
        <w:rPr>
          <w:rFonts w:eastAsia="Times New Roman"/>
          <w:kern w:val="16"/>
          <w:lang w:eastAsia="en-AU"/>
        </w:rPr>
        <w:t>ng</w:t>
      </w:r>
      <w:r w:rsidRPr="007D66D9">
        <w:rPr>
          <w:rFonts w:eastAsia="Times New Roman"/>
          <w:kern w:val="16"/>
          <w:lang w:eastAsia="en-AU"/>
        </w:rPr>
        <w:t>/</w:t>
      </w:r>
      <w:r w:rsidR="004A676D">
        <w:rPr>
          <w:rFonts w:eastAsia="Times New Roman"/>
          <w:kern w:val="16"/>
          <w:lang w:eastAsia="en-AU"/>
        </w:rPr>
        <w:t>mL</w:t>
      </w:r>
      <w:r w:rsidRPr="007D66D9">
        <w:rPr>
          <w:rFonts w:eastAsia="Times New Roman"/>
          <w:kern w:val="16"/>
          <w:lang w:eastAsia="en-AU"/>
        </w:rPr>
        <w:t>,</w:t>
      </w:r>
      <w:proofErr w:type="gramEnd"/>
      <w:r w:rsidRPr="007D66D9">
        <w:rPr>
          <w:rFonts w:eastAsia="Times New Roman"/>
          <w:kern w:val="16"/>
          <w:lang w:eastAsia="en-AU"/>
        </w:rPr>
        <w:t xml:space="preserve"> and from 188 to 232</w:t>
      </w:r>
      <w:r w:rsidR="004A676D">
        <w:rPr>
          <w:rFonts w:eastAsia="Times New Roman"/>
          <w:kern w:val="16"/>
          <w:lang w:eastAsia="en-AU"/>
        </w:rPr>
        <w:t xml:space="preserve"> </w:t>
      </w:r>
      <w:r w:rsidR="003673F6">
        <w:rPr>
          <w:rFonts w:eastAsia="Times New Roman"/>
          <w:kern w:val="16"/>
          <w:lang w:eastAsia="en-AU"/>
        </w:rPr>
        <w:t>ng</w:t>
      </w:r>
      <w:r w:rsidRPr="007D66D9">
        <w:rPr>
          <w:rFonts w:eastAsia="Times New Roman"/>
          <w:kern w:val="16"/>
          <w:lang w:eastAsia="en-AU"/>
        </w:rPr>
        <w:t>.h/</w:t>
      </w:r>
      <w:r w:rsidR="004A676D">
        <w:rPr>
          <w:rFonts w:eastAsia="Times New Roman"/>
          <w:kern w:val="16"/>
          <w:lang w:eastAsia="en-AU"/>
        </w:rPr>
        <w:t>mL</w:t>
      </w:r>
      <w:r w:rsidRPr="007D66D9">
        <w:rPr>
          <w:rFonts w:eastAsia="Times New Roman"/>
          <w:kern w:val="16"/>
          <w:lang w:eastAsia="en-AU"/>
        </w:rPr>
        <w:t xml:space="preserve"> for AUC</w:t>
      </w:r>
      <w:r w:rsidRPr="007D66D9">
        <w:rPr>
          <w:rFonts w:eastAsia="Times New Roman"/>
          <w:kern w:val="16"/>
          <w:vertAlign w:val="subscript"/>
          <w:lang w:eastAsia="en-AU"/>
        </w:rPr>
        <w:t>∞</w:t>
      </w:r>
      <w:r w:rsidRPr="007D66D9">
        <w:rPr>
          <w:rFonts w:eastAsia="Times New Roman"/>
          <w:kern w:val="16"/>
          <w:lang w:eastAsia="en-AU"/>
        </w:rPr>
        <w:t xml:space="preserve"> in the different treatment groups. The inter-subject variability (%CV) for both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and AUC</w:t>
      </w:r>
      <w:r w:rsidRPr="007D66D9">
        <w:rPr>
          <w:rFonts w:eastAsia="Times New Roman"/>
          <w:kern w:val="16"/>
          <w:vertAlign w:val="subscript"/>
          <w:lang w:eastAsia="en-AU"/>
        </w:rPr>
        <w:t>∞</w:t>
      </w:r>
      <w:r w:rsidRPr="007D66D9">
        <w:rPr>
          <w:rFonts w:eastAsia="Times New Roman"/>
          <w:kern w:val="16"/>
          <w:lang w:eastAsia="en-AU"/>
        </w:rPr>
        <w:t xml:space="preserve"> in the different treatment groups was similar and ra</w:t>
      </w:r>
      <w:r w:rsidR="003673F6">
        <w:rPr>
          <w:rFonts w:eastAsia="Times New Roman"/>
          <w:kern w:val="16"/>
          <w:lang w:eastAsia="en-AU"/>
        </w:rPr>
        <w:t>ng</w:t>
      </w:r>
      <w:r w:rsidRPr="007D66D9">
        <w:rPr>
          <w:rFonts w:eastAsia="Times New Roman"/>
          <w:kern w:val="16"/>
          <w:lang w:eastAsia="en-AU"/>
        </w:rPr>
        <w:t xml:space="preserve">ed between 40.5% and 51.8%. The terminal half-life was </w:t>
      </w:r>
      <w:r w:rsidR="004A676D">
        <w:rPr>
          <w:rFonts w:eastAsia="Times New Roman"/>
          <w:kern w:val="16"/>
          <w:lang w:eastAsia="en-AU"/>
        </w:rPr>
        <w:t>approximately 1 day</w:t>
      </w:r>
      <w:r w:rsidRPr="007D66D9">
        <w:rPr>
          <w:rFonts w:eastAsia="Times New Roman"/>
          <w:kern w:val="16"/>
          <w:lang w:eastAsia="en-AU"/>
        </w:rPr>
        <w:t>.</w:t>
      </w:r>
    </w:p>
    <w:p w14:paraId="7A2EE5B2" w14:textId="77777777" w:rsidR="004A676D"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After administration of 300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paliperidone palmitate F015 or 150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paliperidone palmitate F016 median </w:t>
      </w:r>
      <w:proofErr w:type="spellStart"/>
      <w:r w:rsidR="009F485A">
        <w:rPr>
          <w:rFonts w:eastAsia="Times New Roman"/>
          <w:kern w:val="16"/>
          <w:lang w:eastAsia="en-AU"/>
        </w:rPr>
        <w:t>T</w:t>
      </w:r>
      <w:r w:rsidR="009F485A" w:rsidRPr="007D66D9">
        <w:rPr>
          <w:rFonts w:eastAsia="Times New Roman"/>
          <w:kern w:val="16"/>
          <w:vertAlign w:val="subscript"/>
          <w:lang w:eastAsia="en-AU"/>
        </w:rPr>
        <w:t>max</w:t>
      </w:r>
      <w:proofErr w:type="spellEnd"/>
      <w:r w:rsidRPr="007D66D9">
        <w:rPr>
          <w:rFonts w:eastAsia="Times New Roman"/>
          <w:kern w:val="16"/>
          <w:lang w:eastAsia="en-AU"/>
        </w:rPr>
        <w:t xml:space="preserve"> ra</w:t>
      </w:r>
      <w:r w:rsidR="003673F6">
        <w:rPr>
          <w:rFonts w:eastAsia="Times New Roman"/>
          <w:kern w:val="16"/>
          <w:lang w:eastAsia="en-AU"/>
        </w:rPr>
        <w:t>ng</w:t>
      </w:r>
      <w:r w:rsidRPr="007D66D9">
        <w:rPr>
          <w:rFonts w:eastAsia="Times New Roman"/>
          <w:kern w:val="16"/>
          <w:lang w:eastAsia="en-AU"/>
        </w:rPr>
        <w:t>ed from 21 days for F016 and 28 to 33 days for F015</w:t>
      </w:r>
      <w:r w:rsidR="004A676D">
        <w:rPr>
          <w:rFonts w:eastAsia="Times New Roman"/>
          <w:kern w:val="16"/>
          <w:lang w:eastAsia="en-AU"/>
        </w:rPr>
        <w:t>.</w:t>
      </w:r>
    </w:p>
    <w:p w14:paraId="1D479E40" w14:textId="63C10BC8" w:rsidR="00F03A87" w:rsidRDefault="009207AF" w:rsidP="00B06D8A">
      <w:pPr>
        <w:rPr>
          <w:lang w:eastAsia="en-AU"/>
        </w:rPr>
      </w:pPr>
      <w:r>
        <w:rPr>
          <w:lang w:eastAsia="en-AU"/>
        </w:rPr>
        <w:t>[</w:t>
      </w:r>
      <w:r w:rsidR="00F51B3D">
        <w:rPr>
          <w:lang w:eastAsia="en-AU"/>
        </w:rPr>
        <w:t>Information</w:t>
      </w:r>
      <w:r>
        <w:rPr>
          <w:lang w:eastAsia="en-AU"/>
        </w:rPr>
        <w:t xml:space="preserve"> redacted]</w:t>
      </w:r>
    </w:p>
    <w:p w14:paraId="5A29E48F" w14:textId="627C1275" w:rsidR="00F03A87" w:rsidRDefault="007D66D9" w:rsidP="00B06D8A">
      <w:pPr>
        <w:pStyle w:val="Tabletitle"/>
        <w:rPr>
          <w:lang w:eastAsia="en-AU"/>
        </w:rPr>
      </w:pPr>
      <w:bookmarkStart w:id="60" w:name="_Toc453054971"/>
      <w:r w:rsidRPr="008D7DFD">
        <w:rPr>
          <w:lang w:eastAsia="en-AU"/>
        </w:rPr>
        <w:t xml:space="preserve">Table </w:t>
      </w:r>
      <w:r w:rsidR="009F485A" w:rsidRPr="008D7DFD">
        <w:rPr>
          <w:lang w:eastAsia="en-AU"/>
        </w:rPr>
        <w:t xml:space="preserve">8: </w:t>
      </w:r>
      <w:r w:rsidR="009207AF">
        <w:rPr>
          <w:lang w:eastAsia="en-AU"/>
        </w:rPr>
        <w:t>[information redacted]</w:t>
      </w:r>
    </w:p>
    <w:bookmarkEnd w:id="60"/>
    <w:p w14:paraId="0FFF48CC" w14:textId="2E50940E" w:rsidR="007D66D9" w:rsidRPr="00F03A87" w:rsidRDefault="007D66D9">
      <w:pPr>
        <w:pStyle w:val="Heading7"/>
        <w:rPr>
          <w:sz w:val="20"/>
          <w:szCs w:val="20"/>
          <w:lang w:eastAsia="en-AU"/>
        </w:rPr>
      </w:pPr>
      <w:r w:rsidRPr="00F03A87">
        <w:rPr>
          <w:sz w:val="20"/>
          <w:szCs w:val="20"/>
          <w:lang w:eastAsia="en-AU"/>
        </w:rPr>
        <w:t>Panel B</w:t>
      </w:r>
    </w:p>
    <w:p w14:paraId="4F9865DE" w14:textId="77777777" w:rsidR="004A676D" w:rsidRDefault="007D66D9" w:rsidP="007452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sidRPr="007D66D9">
        <w:rPr>
          <w:rFonts w:eastAsia="Times New Roman"/>
          <w:kern w:val="16"/>
          <w:lang w:eastAsia="en-AU"/>
        </w:rPr>
        <w:t xml:space="preserve">The median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after 450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paliperidone palmitate in the deltoid muscle were slightly </w:t>
      </w:r>
      <w:r w:rsidR="0074521B" w:rsidRPr="007D66D9">
        <w:rPr>
          <w:rFonts w:eastAsia="Times New Roman"/>
          <w:kern w:val="16"/>
          <w:lang w:eastAsia="en-AU"/>
        </w:rPr>
        <w:t>higher than</w:t>
      </w:r>
      <w:r w:rsidRPr="007D66D9">
        <w:rPr>
          <w:rFonts w:eastAsia="Times New Roman"/>
          <w:kern w:val="16"/>
          <w:lang w:eastAsia="en-AU"/>
        </w:rPr>
        <w:t xml:space="preserve"> in the gluteal muscle. Except the 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gluteal group, quantifiable plasma paliperidone concentrations were seen at 544 days after dosi</w:t>
      </w:r>
      <w:r w:rsidR="003673F6">
        <w:rPr>
          <w:rFonts w:eastAsia="Times New Roman"/>
          <w:kern w:val="16"/>
          <w:lang w:eastAsia="en-AU"/>
        </w:rPr>
        <w:t>ng</w:t>
      </w:r>
      <w:r w:rsidRPr="007D66D9">
        <w:rPr>
          <w:rFonts w:eastAsia="Times New Roman"/>
          <w:kern w:val="16"/>
          <w:lang w:eastAsia="en-AU"/>
        </w:rPr>
        <w:t xml:space="preserve"> for the majority of the subjects</w:t>
      </w:r>
      <w:r w:rsidR="004A676D">
        <w:rPr>
          <w:rFonts w:eastAsia="Times New Roman"/>
          <w:kern w:val="16"/>
          <w:lang w:eastAsia="en-AU"/>
        </w:rPr>
        <w:t>.</w:t>
      </w:r>
    </w:p>
    <w:p w14:paraId="2488D27D"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Median values of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and AUC</w:t>
      </w:r>
      <w:r w:rsidRPr="007D66D9">
        <w:rPr>
          <w:rFonts w:eastAsia="Times New Roman"/>
          <w:kern w:val="16"/>
          <w:vertAlign w:val="subscript"/>
          <w:lang w:eastAsia="en-AU"/>
        </w:rPr>
        <w:t>∞</w:t>
      </w:r>
      <w:r w:rsidRPr="007D66D9">
        <w:rPr>
          <w:rFonts w:eastAsia="Times New Roman"/>
          <w:kern w:val="16"/>
          <w:lang w:eastAsia="en-AU"/>
        </w:rPr>
        <w:t xml:space="preserve"> for paliperidone in Period 2 increased proportionally with </w:t>
      </w:r>
      <w:r w:rsidR="000A7194" w:rsidRPr="007D66D9">
        <w:rPr>
          <w:rFonts w:eastAsia="Times New Roman"/>
          <w:kern w:val="16"/>
          <w:lang w:eastAsia="en-AU"/>
        </w:rPr>
        <w:t>dose;</w:t>
      </w:r>
      <w:r w:rsidRPr="007D66D9">
        <w:rPr>
          <w:rFonts w:eastAsia="Times New Roman"/>
          <w:kern w:val="16"/>
          <w:lang w:eastAsia="en-AU"/>
        </w:rPr>
        <w:t xml:space="preserve"> except for the 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gluteal dose group for which median dose normalized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(but not AUC</w:t>
      </w:r>
      <w:r w:rsidRPr="007D66D9">
        <w:rPr>
          <w:rFonts w:eastAsia="Times New Roman"/>
          <w:kern w:val="16"/>
          <w:vertAlign w:val="subscript"/>
          <w:lang w:eastAsia="en-AU"/>
        </w:rPr>
        <w:t>∞</w:t>
      </w:r>
      <w:r w:rsidRPr="007D66D9">
        <w:rPr>
          <w:rFonts w:eastAsia="Times New Roman"/>
          <w:kern w:val="16"/>
          <w:lang w:eastAsia="en-AU"/>
        </w:rPr>
        <w:t xml:space="preserve">) was higher compared to the other dose groups. The inter-subject %CV for </w:t>
      </w:r>
      <w:proofErr w:type="spellStart"/>
      <w:r w:rsidR="009F467D" w:rsidRPr="009F467D">
        <w:t>C</w:t>
      </w:r>
      <w:r w:rsidR="009F467D" w:rsidRPr="009F467D">
        <w:rPr>
          <w:vertAlign w:val="subscript"/>
        </w:rPr>
        <w:t>max</w:t>
      </w:r>
      <w:proofErr w:type="spellEnd"/>
      <w:r w:rsidRPr="007D66D9">
        <w:rPr>
          <w:rFonts w:eastAsia="Times New Roman"/>
          <w:kern w:val="16"/>
          <w:vertAlign w:val="subscript"/>
          <w:lang w:eastAsia="en-AU"/>
        </w:rPr>
        <w:t xml:space="preserve"> </w:t>
      </w:r>
      <w:r w:rsidRPr="007D66D9">
        <w:rPr>
          <w:rFonts w:eastAsia="Times New Roman"/>
          <w:kern w:val="16"/>
          <w:lang w:eastAsia="en-AU"/>
        </w:rPr>
        <w:t>ra</w:t>
      </w:r>
      <w:r w:rsidR="003673F6">
        <w:rPr>
          <w:rFonts w:eastAsia="Times New Roman"/>
          <w:kern w:val="16"/>
          <w:lang w:eastAsia="en-AU"/>
        </w:rPr>
        <w:t>ng</w:t>
      </w:r>
      <w:r w:rsidRPr="007D66D9">
        <w:rPr>
          <w:rFonts w:eastAsia="Times New Roman"/>
          <w:kern w:val="16"/>
          <w:lang w:eastAsia="en-AU"/>
        </w:rPr>
        <w:t>ed between 49.1% and 54.4% in those groups with deltoid muscle injection as compared to those with gluteal muscle injection (ra</w:t>
      </w:r>
      <w:r w:rsidR="003673F6">
        <w:rPr>
          <w:rFonts w:eastAsia="Times New Roman"/>
          <w:kern w:val="16"/>
          <w:lang w:eastAsia="en-AU"/>
        </w:rPr>
        <w:t>ng</w:t>
      </w:r>
      <w:r w:rsidRPr="007D66D9">
        <w:rPr>
          <w:rFonts w:eastAsia="Times New Roman"/>
          <w:kern w:val="16"/>
          <w:lang w:eastAsia="en-AU"/>
        </w:rPr>
        <w:t>e between 59.4% and 99.2%). The inter-subject %CV for AUC</w:t>
      </w:r>
      <w:r w:rsidRPr="007D66D9">
        <w:rPr>
          <w:rFonts w:eastAsia="Times New Roman"/>
          <w:kern w:val="16"/>
          <w:vertAlign w:val="subscript"/>
          <w:lang w:eastAsia="en-AU"/>
        </w:rPr>
        <w:t>∞</w:t>
      </w:r>
      <w:r w:rsidRPr="007D66D9">
        <w:rPr>
          <w:rFonts w:eastAsia="Times New Roman"/>
          <w:kern w:val="16"/>
          <w:lang w:eastAsia="en-AU"/>
        </w:rPr>
        <w:t xml:space="preserve"> across the dose groups and ra</w:t>
      </w:r>
      <w:r w:rsidR="003673F6">
        <w:rPr>
          <w:rFonts w:eastAsia="Times New Roman"/>
          <w:kern w:val="16"/>
          <w:lang w:eastAsia="en-AU"/>
        </w:rPr>
        <w:t>ng</w:t>
      </w:r>
      <w:r w:rsidRPr="007D66D9">
        <w:rPr>
          <w:rFonts w:eastAsia="Times New Roman"/>
          <w:kern w:val="16"/>
          <w:lang w:eastAsia="en-AU"/>
        </w:rPr>
        <w:t>ed between 22.0% and 31.7%.</w:t>
      </w:r>
    </w:p>
    <w:p w14:paraId="2FFFBAE9"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In Period 2, median </w:t>
      </w:r>
      <w:proofErr w:type="spellStart"/>
      <w:r w:rsidR="009F485A">
        <w:rPr>
          <w:rFonts w:eastAsia="Times New Roman"/>
          <w:kern w:val="16"/>
          <w:lang w:eastAsia="en-AU"/>
        </w:rPr>
        <w:t>T</w:t>
      </w:r>
      <w:r w:rsidR="009F485A" w:rsidRPr="007D66D9">
        <w:rPr>
          <w:rFonts w:eastAsia="Times New Roman"/>
          <w:kern w:val="16"/>
          <w:vertAlign w:val="subscript"/>
          <w:lang w:eastAsia="en-AU"/>
        </w:rPr>
        <w:t>max</w:t>
      </w:r>
      <w:proofErr w:type="spellEnd"/>
      <w:r w:rsidRPr="007D66D9">
        <w:rPr>
          <w:rFonts w:eastAsia="Times New Roman"/>
          <w:kern w:val="16"/>
          <w:lang w:eastAsia="en-AU"/>
        </w:rPr>
        <w:t xml:space="preserve"> ra</w:t>
      </w:r>
      <w:r w:rsidR="003673F6">
        <w:rPr>
          <w:rFonts w:eastAsia="Times New Roman"/>
          <w:kern w:val="16"/>
          <w:lang w:eastAsia="en-AU"/>
        </w:rPr>
        <w:t>ng</w:t>
      </w:r>
      <w:r w:rsidRPr="007D66D9">
        <w:rPr>
          <w:rFonts w:eastAsia="Times New Roman"/>
          <w:kern w:val="16"/>
          <w:lang w:eastAsia="en-AU"/>
        </w:rPr>
        <w:t xml:space="preserve">ed from 27.51 to 29.00 days with gluteal muscle injection. For the groups with the deltoid muscle injection, the </w:t>
      </w:r>
      <w:proofErr w:type="spellStart"/>
      <w:r w:rsidR="009F485A">
        <w:rPr>
          <w:rFonts w:eastAsia="Times New Roman"/>
          <w:kern w:val="16"/>
          <w:lang w:eastAsia="en-AU"/>
        </w:rPr>
        <w:t>T</w:t>
      </w:r>
      <w:r w:rsidR="009F485A" w:rsidRPr="007D66D9">
        <w:rPr>
          <w:rFonts w:eastAsia="Times New Roman"/>
          <w:kern w:val="16"/>
          <w:vertAlign w:val="subscript"/>
          <w:lang w:eastAsia="en-AU"/>
        </w:rPr>
        <w:t>max</w:t>
      </w:r>
      <w:proofErr w:type="spellEnd"/>
      <w:r w:rsidRPr="007D66D9">
        <w:rPr>
          <w:rFonts w:eastAsia="Times New Roman"/>
          <w:kern w:val="16"/>
          <w:lang w:eastAsia="en-AU"/>
        </w:rPr>
        <w:t xml:space="preserve"> ra</w:t>
      </w:r>
      <w:r w:rsidR="003673F6">
        <w:rPr>
          <w:rFonts w:eastAsia="Times New Roman"/>
          <w:kern w:val="16"/>
          <w:lang w:eastAsia="en-AU"/>
        </w:rPr>
        <w:t>ng</w:t>
      </w:r>
      <w:r w:rsidRPr="007D66D9">
        <w:rPr>
          <w:rFonts w:eastAsia="Times New Roman"/>
          <w:kern w:val="16"/>
          <w:lang w:eastAsia="en-AU"/>
        </w:rPr>
        <w:t>ed from 23.98 days (450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to 34.00 days (300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w:t>
      </w:r>
    </w:p>
    <w:p w14:paraId="00B24AA6" w14:textId="77777777" w:rsidR="004A676D"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The median relative bioavailability estimated as the AUC</w:t>
      </w:r>
      <w:r w:rsidRPr="007D66D9">
        <w:rPr>
          <w:rFonts w:eastAsia="Times New Roman"/>
          <w:kern w:val="16"/>
          <w:vertAlign w:val="subscript"/>
          <w:lang w:eastAsia="en-AU"/>
        </w:rPr>
        <w:t>∞</w:t>
      </w:r>
      <w:r w:rsidRPr="007D66D9">
        <w:rPr>
          <w:rFonts w:eastAsia="Times New Roman"/>
          <w:kern w:val="16"/>
          <w:lang w:eastAsia="en-AU"/>
        </w:rPr>
        <w:t xml:space="preserve"> ratios of Treatment Period 2/Treatment Period 1 (</w:t>
      </w:r>
      <w:proofErr w:type="spellStart"/>
      <w:r w:rsidRPr="007D66D9">
        <w:rPr>
          <w:rFonts w:eastAsia="Times New Roman"/>
          <w:kern w:val="16"/>
          <w:lang w:eastAsia="en-AU"/>
        </w:rPr>
        <w:t>F</w:t>
      </w:r>
      <w:r w:rsidRPr="007D66D9">
        <w:rPr>
          <w:rFonts w:eastAsia="Times New Roman"/>
          <w:kern w:val="16"/>
          <w:vertAlign w:val="subscript"/>
          <w:lang w:eastAsia="en-AU"/>
        </w:rPr>
        <w:t>rel</w:t>
      </w:r>
      <w:r w:rsidRPr="007D66D9">
        <w:rPr>
          <w:rFonts w:eastAsia="Times New Roman"/>
          <w:kern w:val="16"/>
          <w:lang w:eastAsia="en-AU"/>
        </w:rPr>
        <w:t>,AUC</w:t>
      </w:r>
      <w:proofErr w:type="spellEnd"/>
      <w:r w:rsidRPr="007D66D9">
        <w:rPr>
          <w:rFonts w:eastAsia="Times New Roman"/>
          <w:kern w:val="16"/>
          <w:vertAlign w:val="subscript"/>
          <w:lang w:eastAsia="en-AU"/>
        </w:rPr>
        <w:t>∞</w:t>
      </w:r>
      <w:r w:rsidRPr="007D66D9">
        <w:rPr>
          <w:rFonts w:eastAsia="Times New Roman"/>
          <w:kern w:val="16"/>
          <w:lang w:eastAsia="en-AU"/>
        </w:rPr>
        <w:t>) was comparable between the dose groups and ra</w:t>
      </w:r>
      <w:r w:rsidR="003673F6">
        <w:rPr>
          <w:rFonts w:eastAsia="Times New Roman"/>
          <w:kern w:val="16"/>
          <w:lang w:eastAsia="en-AU"/>
        </w:rPr>
        <w:t>ng</w:t>
      </w:r>
      <w:r w:rsidRPr="007D66D9">
        <w:rPr>
          <w:rFonts w:eastAsia="Times New Roman"/>
          <w:kern w:val="16"/>
          <w:lang w:eastAsia="en-AU"/>
        </w:rPr>
        <w:t>ed between 101.78% after administration of 450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in the deltoid muscle to 117.65% after 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in the gluteal muscle</w:t>
      </w:r>
      <w:r w:rsidR="004A676D">
        <w:rPr>
          <w:rFonts w:eastAsia="Times New Roman"/>
          <w:kern w:val="16"/>
          <w:lang w:eastAsia="en-AU"/>
        </w:rPr>
        <w:t>.</w:t>
      </w:r>
    </w:p>
    <w:p w14:paraId="52E67927" w14:textId="77777777" w:rsidR="007D66D9" w:rsidRPr="007D66D9" w:rsidRDefault="007D66D9" w:rsidP="00DA386F">
      <w:pPr>
        <w:pStyle w:val="Tabletitle"/>
        <w:rPr>
          <w:lang w:eastAsia="en-AU"/>
        </w:rPr>
      </w:pPr>
      <w:bookmarkStart w:id="61" w:name="_Toc453054972"/>
      <w:r w:rsidRPr="009F485A">
        <w:rPr>
          <w:lang w:eastAsia="en-AU"/>
        </w:rPr>
        <w:lastRenderedPageBreak/>
        <w:t xml:space="preserve">Table </w:t>
      </w:r>
      <w:r w:rsidR="009F485A" w:rsidRPr="009F485A">
        <w:rPr>
          <w:lang w:eastAsia="en-AU"/>
        </w:rPr>
        <w:t>9</w:t>
      </w:r>
      <w:r w:rsidR="00827D3C" w:rsidRPr="009F485A">
        <w:rPr>
          <w:noProof/>
          <w:lang w:eastAsia="en-AU"/>
        </w:rPr>
        <w:t>:</w:t>
      </w:r>
      <w:r w:rsidRPr="009F485A">
        <w:rPr>
          <w:lang w:eastAsia="en-AU"/>
        </w:rPr>
        <w:t xml:space="preserve"> Relative</w:t>
      </w:r>
      <w:r w:rsidRPr="007D66D9">
        <w:rPr>
          <w:lang w:eastAsia="en-AU"/>
        </w:rPr>
        <w:t xml:space="preserve"> </w:t>
      </w:r>
      <w:r w:rsidR="000A7194" w:rsidRPr="007D66D9">
        <w:rPr>
          <w:lang w:eastAsia="en-AU"/>
        </w:rPr>
        <w:t xml:space="preserve">bioavailability: summary of the statistical analysis </w:t>
      </w:r>
      <w:r w:rsidRPr="007D66D9">
        <w:rPr>
          <w:lang w:eastAsia="en-AU"/>
        </w:rPr>
        <w:t xml:space="preserve">of the PK </w:t>
      </w:r>
      <w:r w:rsidR="000A7194" w:rsidRPr="007D66D9">
        <w:rPr>
          <w:lang w:eastAsia="en-AU"/>
        </w:rPr>
        <w:t xml:space="preserve">parameters of paliperidone after administration of paliperidone palmitate treatment groups </w:t>
      </w:r>
      <w:r w:rsidRPr="007D66D9">
        <w:rPr>
          <w:lang w:eastAsia="en-AU"/>
        </w:rPr>
        <w:t xml:space="preserve">(Test) </w:t>
      </w:r>
      <w:r w:rsidR="000A7194" w:rsidRPr="007D66D9">
        <w:rPr>
          <w:lang w:eastAsia="en-AU"/>
        </w:rPr>
        <w:t>compared to 1</w:t>
      </w:r>
      <w:r w:rsidR="000A7194">
        <w:rPr>
          <w:lang w:eastAsia="en-AU"/>
        </w:rPr>
        <w:t xml:space="preserve"> mg</w:t>
      </w:r>
      <w:r w:rsidR="000A7194" w:rsidRPr="007D66D9">
        <w:rPr>
          <w:lang w:eastAsia="en-AU"/>
        </w:rPr>
        <w:t xml:space="preserve"> paliperidone </w:t>
      </w:r>
      <w:r w:rsidRPr="007D66D9">
        <w:rPr>
          <w:lang w:eastAsia="en-AU"/>
        </w:rPr>
        <w:t>IR (Reference) (Panel B)</w:t>
      </w:r>
      <w:bookmarkEnd w:id="61"/>
    </w:p>
    <w:p w14:paraId="6EC2A582" w14:textId="77777777" w:rsidR="007D66D9" w:rsidRPr="007D66D9" w:rsidRDefault="007D66D9" w:rsidP="00D37CB6">
      <w:pPr>
        <w:rPr>
          <w:lang w:eastAsia="en-AU"/>
        </w:rPr>
      </w:pPr>
      <w:r w:rsidRPr="007D66D9">
        <w:rPr>
          <w:noProof/>
          <w:lang w:eastAsia="en-AU"/>
        </w:rPr>
        <w:drawing>
          <wp:inline distT="0" distB="0" distL="0" distR="0" wp14:anchorId="68A5BFA4" wp14:editId="39B5F50F">
            <wp:extent cx="5654650" cy="3745524"/>
            <wp:effectExtent l="0" t="0" r="3810" b="7620"/>
            <wp:docPr id="4" name="Picture 4" descr="Table 9: Relative bioavailability: summary of the statistical analysis of the PK parameters of paliperidone after administration of paliperidone palmitate treatment groups (Test) compared to 1 mg paliperidone IR (Reference) (Pane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0698" cy="3749530"/>
                    </a:xfrm>
                    <a:prstGeom prst="rect">
                      <a:avLst/>
                    </a:prstGeom>
                  </pic:spPr>
                </pic:pic>
              </a:graphicData>
            </a:graphic>
          </wp:inline>
        </w:drawing>
      </w:r>
    </w:p>
    <w:p w14:paraId="3C545773" w14:textId="77777777" w:rsidR="0074521B" w:rsidRDefault="00D260FF" w:rsidP="000A7194">
      <w:pPr>
        <w:pStyle w:val="TableDescription"/>
        <w:rPr>
          <w:lang w:eastAsia="en-AU"/>
        </w:rPr>
      </w:pPr>
      <w:r>
        <w:rPr>
          <w:lang w:eastAsia="en-AU"/>
        </w:rPr>
        <w:t>DN=dose normalized to 1</w:t>
      </w:r>
      <w:r w:rsidR="00827D3C">
        <w:rPr>
          <w:lang w:eastAsia="en-AU"/>
        </w:rPr>
        <w:t xml:space="preserve"> m</w:t>
      </w:r>
      <w:r w:rsidR="000A7194">
        <w:rPr>
          <w:lang w:eastAsia="en-AU"/>
        </w:rPr>
        <w:t>.</w:t>
      </w:r>
    </w:p>
    <w:p w14:paraId="0AABADEC" w14:textId="77777777" w:rsidR="007D66D9" w:rsidRPr="000A7194" w:rsidRDefault="007D66D9" w:rsidP="000A7194">
      <w:pPr>
        <w:pStyle w:val="Heading7"/>
        <w:rPr>
          <w:sz w:val="20"/>
          <w:lang w:eastAsia="en-AU"/>
        </w:rPr>
      </w:pPr>
      <w:r w:rsidRPr="000A7194">
        <w:rPr>
          <w:sz w:val="20"/>
          <w:lang w:eastAsia="en-AU"/>
        </w:rPr>
        <w:t>Panel D</w:t>
      </w:r>
    </w:p>
    <w:p w14:paraId="773BF3B9" w14:textId="77777777" w:rsidR="007D66D9" w:rsidRPr="007D66D9" w:rsidRDefault="009F485A" w:rsidP="007452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Pr>
          <w:rFonts w:eastAsia="Times New Roman"/>
          <w:kern w:val="16"/>
          <w:lang w:eastAsia="en-AU"/>
        </w:rPr>
        <w:t xml:space="preserve">Median </w:t>
      </w:r>
      <w:proofErr w:type="spellStart"/>
      <w:r>
        <w:rPr>
          <w:rFonts w:eastAsia="Times New Roman"/>
          <w:kern w:val="16"/>
          <w:lang w:eastAsia="en-AU"/>
        </w:rPr>
        <w:t>T</w:t>
      </w:r>
      <w:r w:rsidRPr="007D66D9">
        <w:rPr>
          <w:rFonts w:eastAsia="Times New Roman"/>
          <w:kern w:val="16"/>
          <w:vertAlign w:val="subscript"/>
          <w:lang w:eastAsia="en-AU"/>
        </w:rPr>
        <w:t>max</w:t>
      </w:r>
      <w:proofErr w:type="spellEnd"/>
      <w:r w:rsidR="007D66D9" w:rsidRPr="007D66D9">
        <w:rPr>
          <w:rFonts w:eastAsia="Times New Roman"/>
          <w:kern w:val="16"/>
          <w:lang w:eastAsia="en-AU"/>
        </w:rPr>
        <w:t xml:space="preserve"> was 24 and 25 days for </w:t>
      </w:r>
      <w:r w:rsidR="0058163A">
        <w:rPr>
          <w:rFonts w:eastAsia="Times New Roman"/>
          <w:kern w:val="16"/>
          <w:lang w:eastAsia="en-AU"/>
        </w:rPr>
        <w:t>175</w:t>
      </w:r>
      <w:r w:rsidR="004A676D">
        <w:rPr>
          <w:rFonts w:eastAsia="Times New Roman"/>
          <w:kern w:val="16"/>
          <w:lang w:eastAsia="en-AU"/>
        </w:rPr>
        <w:t xml:space="preserve"> mg</w:t>
      </w:r>
      <w:r w:rsidR="007D66D9" w:rsidRPr="007D66D9">
        <w:rPr>
          <w:rFonts w:eastAsia="Times New Roman"/>
          <w:kern w:val="16"/>
          <w:lang w:eastAsia="en-AU"/>
        </w:rPr>
        <w:t xml:space="preserve"> </w:t>
      </w:r>
      <w:r w:rsidR="004A676D">
        <w:rPr>
          <w:rFonts w:eastAsia="Times New Roman"/>
          <w:kern w:val="16"/>
          <w:lang w:eastAsia="en-AU"/>
        </w:rPr>
        <w:t>equivalent</w:t>
      </w:r>
      <w:r w:rsidR="007D66D9" w:rsidRPr="007D66D9">
        <w:rPr>
          <w:rFonts w:eastAsia="Times New Roman"/>
          <w:kern w:val="16"/>
          <w:lang w:eastAsia="en-AU"/>
        </w:rPr>
        <w:t xml:space="preserve"> and </w:t>
      </w:r>
      <w:r w:rsidR="0058163A">
        <w:rPr>
          <w:rFonts w:eastAsia="Times New Roman"/>
          <w:kern w:val="16"/>
          <w:lang w:eastAsia="en-AU"/>
        </w:rPr>
        <w:t>525</w:t>
      </w:r>
      <w:r w:rsidR="004A676D">
        <w:rPr>
          <w:rFonts w:eastAsia="Times New Roman"/>
          <w:kern w:val="16"/>
          <w:lang w:eastAsia="en-AU"/>
        </w:rPr>
        <w:t xml:space="preserve"> mg</w:t>
      </w:r>
      <w:r w:rsidR="007D66D9" w:rsidRPr="007D66D9">
        <w:rPr>
          <w:rFonts w:eastAsia="Times New Roman"/>
          <w:kern w:val="16"/>
          <w:lang w:eastAsia="en-AU"/>
        </w:rPr>
        <w:t xml:space="preserve"> </w:t>
      </w:r>
      <w:r w:rsidR="004A676D">
        <w:rPr>
          <w:rFonts w:eastAsia="Times New Roman"/>
          <w:kern w:val="16"/>
          <w:lang w:eastAsia="en-AU"/>
        </w:rPr>
        <w:t>equivalent</w:t>
      </w:r>
      <w:r w:rsidR="007D66D9" w:rsidRPr="007D66D9">
        <w:rPr>
          <w:rFonts w:eastAsia="Times New Roman"/>
          <w:kern w:val="16"/>
          <w:lang w:eastAsia="en-AU"/>
        </w:rPr>
        <w:t xml:space="preserve"> doses in the deltoid muscle, respectively; and 31 and 23 days for </w:t>
      </w:r>
      <w:r w:rsidR="0058163A">
        <w:rPr>
          <w:rFonts w:eastAsia="Times New Roman"/>
          <w:kern w:val="16"/>
          <w:lang w:eastAsia="en-AU"/>
        </w:rPr>
        <w:t>350</w:t>
      </w:r>
      <w:r w:rsidR="004A676D">
        <w:rPr>
          <w:rFonts w:eastAsia="Times New Roman"/>
          <w:kern w:val="16"/>
          <w:lang w:eastAsia="en-AU"/>
        </w:rPr>
        <w:t xml:space="preserve"> mg</w:t>
      </w:r>
      <w:r w:rsidR="007D66D9" w:rsidRPr="007D66D9">
        <w:rPr>
          <w:rFonts w:eastAsia="Times New Roman"/>
          <w:kern w:val="16"/>
          <w:lang w:eastAsia="en-AU"/>
        </w:rPr>
        <w:t xml:space="preserve"> </w:t>
      </w:r>
      <w:r w:rsidR="004A676D">
        <w:rPr>
          <w:rFonts w:eastAsia="Times New Roman"/>
          <w:kern w:val="16"/>
          <w:lang w:eastAsia="en-AU"/>
        </w:rPr>
        <w:t>equivalent</w:t>
      </w:r>
      <w:r w:rsidR="007D66D9" w:rsidRPr="007D66D9">
        <w:rPr>
          <w:rFonts w:eastAsia="Times New Roman"/>
          <w:kern w:val="16"/>
          <w:lang w:eastAsia="en-AU"/>
        </w:rPr>
        <w:t xml:space="preserve"> and </w:t>
      </w:r>
      <w:r w:rsidR="0058163A">
        <w:rPr>
          <w:rFonts w:eastAsia="Times New Roman"/>
          <w:kern w:val="16"/>
          <w:lang w:eastAsia="en-AU"/>
        </w:rPr>
        <w:t>525</w:t>
      </w:r>
      <w:r w:rsidR="004A676D">
        <w:rPr>
          <w:rFonts w:eastAsia="Times New Roman"/>
          <w:kern w:val="16"/>
          <w:lang w:eastAsia="en-AU"/>
        </w:rPr>
        <w:t xml:space="preserve"> mg</w:t>
      </w:r>
      <w:r w:rsidR="007D66D9" w:rsidRPr="007D66D9">
        <w:rPr>
          <w:rFonts w:eastAsia="Times New Roman"/>
          <w:kern w:val="16"/>
          <w:lang w:eastAsia="en-AU"/>
        </w:rPr>
        <w:t xml:space="preserve"> </w:t>
      </w:r>
      <w:r w:rsidR="004A676D">
        <w:rPr>
          <w:rFonts w:eastAsia="Times New Roman"/>
          <w:kern w:val="16"/>
          <w:lang w:eastAsia="en-AU"/>
        </w:rPr>
        <w:t>equivalent</w:t>
      </w:r>
      <w:r w:rsidR="007D66D9" w:rsidRPr="007D66D9">
        <w:rPr>
          <w:rFonts w:eastAsia="Times New Roman"/>
          <w:kern w:val="16"/>
          <w:lang w:eastAsia="en-AU"/>
        </w:rPr>
        <w:t xml:space="preserve"> in the gluteal muscle, respectively.</w:t>
      </w:r>
    </w:p>
    <w:p w14:paraId="5201FADD" w14:textId="77777777" w:rsidR="007D66D9" w:rsidRPr="007D66D9" w:rsidRDefault="007D66D9" w:rsidP="007452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sidRPr="007D66D9">
        <w:rPr>
          <w:rFonts w:eastAsia="Times New Roman"/>
          <w:kern w:val="16"/>
          <w:lang w:eastAsia="en-AU"/>
        </w:rPr>
        <w:t xml:space="preserve">The median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w:t>
      </w:r>
      <w:proofErr w:type="spellStart"/>
      <w:r w:rsidRPr="007D66D9">
        <w:rPr>
          <w:rFonts w:eastAsia="Times New Roman"/>
          <w:kern w:val="16"/>
          <w:lang w:eastAsia="en-AU"/>
        </w:rPr>
        <w:t>paliperidone</w:t>
      </w:r>
      <w:proofErr w:type="spellEnd"/>
      <w:r w:rsidRPr="007D66D9">
        <w:rPr>
          <w:rFonts w:eastAsia="Times New Roman"/>
          <w:kern w:val="16"/>
          <w:lang w:eastAsia="en-AU"/>
        </w:rPr>
        <w:t xml:space="preserve"> after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in the deltoid muscle were slightly higher compared to that after administration of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paliperidone palmitate in the gluteal muscle. For both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dose groups, quantifiable plasma paliperidone concentrations were observed at 544 days after dosi</w:t>
      </w:r>
      <w:r w:rsidR="003673F6">
        <w:rPr>
          <w:rFonts w:eastAsia="Times New Roman"/>
          <w:kern w:val="16"/>
          <w:lang w:eastAsia="en-AU"/>
        </w:rPr>
        <w:t>ng</w:t>
      </w:r>
      <w:r w:rsidRPr="007D66D9">
        <w:rPr>
          <w:rFonts w:eastAsia="Times New Roman"/>
          <w:kern w:val="16"/>
          <w:lang w:eastAsia="en-AU"/>
        </w:rPr>
        <w:t xml:space="preserve"> for the majority of the subjects. For the </w:t>
      </w:r>
      <w:r w:rsidR="0058163A">
        <w:rPr>
          <w:rFonts w:eastAsia="Times New Roman"/>
          <w:kern w:val="16"/>
          <w:lang w:eastAsia="en-AU"/>
        </w:rPr>
        <w:t>350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dose group and the </w:t>
      </w:r>
      <w:r w:rsidR="0058163A">
        <w:rPr>
          <w:rFonts w:eastAsia="Times New Roman"/>
          <w:kern w:val="16"/>
          <w:lang w:eastAsia="en-AU"/>
        </w:rPr>
        <w:t>175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dose group, quantifiable plasma paliperidone concentrations were observed at 544 and 364 days, respectively, for the majority of the subjects.</w:t>
      </w:r>
    </w:p>
    <w:p w14:paraId="3101D776" w14:textId="77777777" w:rsidR="007D66D9" w:rsidRPr="007D66D9" w:rsidRDefault="007D66D9" w:rsidP="007452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sidRPr="007D66D9">
        <w:rPr>
          <w:rFonts w:eastAsia="Times New Roman"/>
          <w:kern w:val="16"/>
          <w:lang w:eastAsia="en-AU"/>
        </w:rPr>
        <w:t xml:space="preserve">Median values of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and AUC</w:t>
      </w:r>
      <w:r w:rsidRPr="007D66D9">
        <w:rPr>
          <w:rFonts w:eastAsia="Times New Roman"/>
          <w:kern w:val="16"/>
          <w:vertAlign w:val="subscript"/>
          <w:lang w:eastAsia="en-AU"/>
        </w:rPr>
        <w:t>∞</w:t>
      </w:r>
      <w:r w:rsidRPr="007D66D9">
        <w:rPr>
          <w:rFonts w:eastAsia="Times New Roman"/>
          <w:kern w:val="16"/>
          <w:lang w:eastAsia="en-AU"/>
        </w:rPr>
        <w:t xml:space="preserve"> for paliperidone in Period 2 increased proportionally with dose. The inter-subject %CV for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was 50.5% and 94.7% for the </w:t>
      </w:r>
      <w:r w:rsidR="0058163A">
        <w:rPr>
          <w:rFonts w:eastAsia="Times New Roman"/>
          <w:kern w:val="16"/>
          <w:lang w:eastAsia="en-AU"/>
        </w:rPr>
        <w:t>175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and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deltoid dose groups respectively and 87.5% and 59.7% for the </w:t>
      </w:r>
      <w:r w:rsidR="0058163A">
        <w:rPr>
          <w:rFonts w:eastAsia="Times New Roman"/>
          <w:kern w:val="16"/>
          <w:lang w:eastAsia="en-AU"/>
        </w:rPr>
        <w:t>350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and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gluteal dose groups respectively. The inter-subject %CV for AUC</w:t>
      </w:r>
      <w:r w:rsidRPr="007D66D9">
        <w:rPr>
          <w:rFonts w:eastAsia="Times New Roman"/>
          <w:kern w:val="16"/>
          <w:vertAlign w:val="subscript"/>
          <w:lang w:eastAsia="en-AU"/>
        </w:rPr>
        <w:t>∞</w:t>
      </w:r>
      <w:r w:rsidRPr="007D66D9">
        <w:rPr>
          <w:rFonts w:eastAsia="Times New Roman"/>
          <w:kern w:val="16"/>
          <w:lang w:eastAsia="en-AU"/>
        </w:rPr>
        <w:t xml:space="preserve"> was 32.5% and 26.4% for the </w:t>
      </w:r>
      <w:r w:rsidR="0058163A">
        <w:rPr>
          <w:rFonts w:eastAsia="Times New Roman"/>
          <w:kern w:val="16"/>
          <w:lang w:eastAsia="en-AU"/>
        </w:rPr>
        <w:t>175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and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deltoid dose groups respectively and 32.3% and 34.8% for the </w:t>
      </w:r>
      <w:r w:rsidR="0058163A">
        <w:rPr>
          <w:rFonts w:eastAsia="Times New Roman"/>
          <w:kern w:val="16"/>
          <w:lang w:eastAsia="en-AU"/>
        </w:rPr>
        <w:t>350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and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gluteal dose groups respectively.</w:t>
      </w:r>
    </w:p>
    <w:p w14:paraId="2EB3A847" w14:textId="77777777" w:rsidR="007D66D9" w:rsidRPr="007D66D9" w:rsidRDefault="007D66D9" w:rsidP="007452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sidRPr="007D66D9">
        <w:rPr>
          <w:rFonts w:eastAsia="Times New Roman"/>
          <w:kern w:val="16"/>
          <w:lang w:eastAsia="en-AU"/>
        </w:rPr>
        <w:t xml:space="preserve">Inter-subject variability for </w:t>
      </w:r>
      <w:proofErr w:type="spellStart"/>
      <w:r w:rsidR="009F467D" w:rsidRPr="009F467D">
        <w:t>C</w:t>
      </w:r>
      <w:r w:rsidR="009F467D" w:rsidRPr="009F467D">
        <w:rPr>
          <w:vertAlign w:val="subscript"/>
        </w:rPr>
        <w:t>max</w:t>
      </w:r>
      <w:proofErr w:type="spellEnd"/>
      <w:r w:rsidRPr="007D66D9">
        <w:rPr>
          <w:rFonts w:eastAsia="Times New Roman"/>
          <w:kern w:val="16"/>
          <w:vertAlign w:val="subscript"/>
          <w:lang w:eastAsia="en-AU"/>
        </w:rPr>
        <w:t xml:space="preserve"> </w:t>
      </w:r>
      <w:r w:rsidRPr="007D66D9">
        <w:rPr>
          <w:rFonts w:eastAsia="Times New Roman"/>
          <w:kern w:val="16"/>
          <w:lang w:eastAsia="en-AU"/>
        </w:rPr>
        <w:t xml:space="preserve">was 87.5% in the </w:t>
      </w:r>
      <w:r w:rsidR="0058163A">
        <w:rPr>
          <w:rFonts w:eastAsia="Times New Roman"/>
          <w:kern w:val="16"/>
          <w:lang w:eastAsia="en-AU"/>
        </w:rPr>
        <w:t>350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gluteal group and 94.7% in the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deltoid group due to some subjects with a relatively high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compared to the other subjects in these dose groups.</w:t>
      </w:r>
    </w:p>
    <w:p w14:paraId="3D4B808A" w14:textId="77777777" w:rsidR="004A676D" w:rsidRDefault="007D66D9" w:rsidP="0074521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sidRPr="007D66D9">
        <w:rPr>
          <w:rFonts w:eastAsia="Times New Roman"/>
          <w:kern w:val="16"/>
          <w:lang w:eastAsia="en-AU"/>
        </w:rPr>
        <w:t>The median relative bioavailability ra</w:t>
      </w:r>
      <w:r w:rsidR="003673F6">
        <w:rPr>
          <w:rFonts w:eastAsia="Times New Roman"/>
          <w:kern w:val="16"/>
          <w:lang w:eastAsia="en-AU"/>
        </w:rPr>
        <w:t>ng</w:t>
      </w:r>
      <w:r w:rsidRPr="007D66D9">
        <w:rPr>
          <w:rFonts w:eastAsia="Times New Roman"/>
          <w:kern w:val="16"/>
          <w:lang w:eastAsia="en-AU"/>
        </w:rPr>
        <w:t xml:space="preserve">ed between 107.41% after administration of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in the gluteal muscle to 115.91% after </w:t>
      </w:r>
      <w:r w:rsidR="0058163A">
        <w:rPr>
          <w:rFonts w:eastAsia="Times New Roman"/>
          <w:kern w:val="16"/>
          <w:lang w:eastAsia="en-AU"/>
        </w:rPr>
        <w:t>350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in the gluteal muscle</w:t>
      </w:r>
      <w:r w:rsidR="004A676D">
        <w:rPr>
          <w:rFonts w:eastAsia="Times New Roman"/>
          <w:kern w:val="16"/>
          <w:lang w:eastAsia="en-AU"/>
        </w:rPr>
        <w:t>.</w:t>
      </w:r>
    </w:p>
    <w:p w14:paraId="148EF252" w14:textId="77777777" w:rsidR="007D66D9" w:rsidRPr="007D66D9" w:rsidRDefault="007D66D9" w:rsidP="00DA386F">
      <w:pPr>
        <w:pStyle w:val="Tabletitle"/>
        <w:rPr>
          <w:lang w:eastAsia="en-AU"/>
        </w:rPr>
      </w:pPr>
      <w:bookmarkStart w:id="62" w:name="_Toc453054973"/>
      <w:r w:rsidRPr="009F485A">
        <w:rPr>
          <w:lang w:eastAsia="en-AU"/>
        </w:rPr>
        <w:lastRenderedPageBreak/>
        <w:t xml:space="preserve">Table </w:t>
      </w:r>
      <w:r w:rsidR="009F485A" w:rsidRPr="009F485A">
        <w:rPr>
          <w:lang w:eastAsia="en-AU"/>
        </w:rPr>
        <w:t>10</w:t>
      </w:r>
      <w:r w:rsidR="00827D3C" w:rsidRPr="009F485A">
        <w:rPr>
          <w:noProof/>
          <w:lang w:eastAsia="en-AU"/>
        </w:rPr>
        <w:t>:</w:t>
      </w:r>
      <w:r w:rsidRPr="009F485A">
        <w:rPr>
          <w:lang w:eastAsia="en-AU"/>
        </w:rPr>
        <w:t xml:space="preserve"> Relative</w:t>
      </w:r>
      <w:r w:rsidRPr="007D66D9">
        <w:rPr>
          <w:lang w:eastAsia="en-AU"/>
        </w:rPr>
        <w:t xml:space="preserve"> </w:t>
      </w:r>
      <w:r w:rsidR="000A7194" w:rsidRPr="007D66D9">
        <w:rPr>
          <w:lang w:eastAsia="en-AU"/>
        </w:rPr>
        <w:t xml:space="preserve">bioavailability: summary of the statistical analysis of the </w:t>
      </w:r>
      <w:r w:rsidRPr="007D66D9">
        <w:rPr>
          <w:lang w:eastAsia="en-AU"/>
        </w:rPr>
        <w:t xml:space="preserve">PK </w:t>
      </w:r>
      <w:r w:rsidR="000A7194" w:rsidRPr="007D66D9">
        <w:rPr>
          <w:lang w:eastAsia="en-AU"/>
        </w:rPr>
        <w:t xml:space="preserve">parameters of paliperidone after administration of paliperidone palmitate treatment groups </w:t>
      </w:r>
      <w:r w:rsidRPr="007D66D9">
        <w:rPr>
          <w:lang w:eastAsia="en-AU"/>
        </w:rPr>
        <w:t xml:space="preserve">(Test) </w:t>
      </w:r>
      <w:r w:rsidR="000A7194" w:rsidRPr="007D66D9">
        <w:rPr>
          <w:lang w:eastAsia="en-AU"/>
        </w:rPr>
        <w:t>compared to 1</w:t>
      </w:r>
      <w:r w:rsidR="000A7194">
        <w:rPr>
          <w:lang w:eastAsia="en-AU"/>
        </w:rPr>
        <w:t xml:space="preserve"> mg</w:t>
      </w:r>
      <w:r w:rsidR="000A7194" w:rsidRPr="007D66D9">
        <w:rPr>
          <w:lang w:eastAsia="en-AU"/>
        </w:rPr>
        <w:t xml:space="preserve"> paliperidone </w:t>
      </w:r>
      <w:r w:rsidRPr="007D66D9">
        <w:rPr>
          <w:lang w:eastAsia="en-AU"/>
        </w:rPr>
        <w:t>IR (Reference) (Panel D)</w:t>
      </w:r>
      <w:bookmarkEnd w:id="62"/>
    </w:p>
    <w:p w14:paraId="4AF2F281" w14:textId="77777777" w:rsidR="007D66D9" w:rsidRPr="007D66D9" w:rsidRDefault="007D66D9" w:rsidP="00D37CB6">
      <w:pPr>
        <w:rPr>
          <w:lang w:eastAsia="en-AU"/>
        </w:rPr>
      </w:pPr>
      <w:r w:rsidRPr="007D66D9">
        <w:rPr>
          <w:noProof/>
          <w:lang w:eastAsia="en-AU"/>
        </w:rPr>
        <w:drawing>
          <wp:inline distT="0" distB="0" distL="0" distR="0" wp14:anchorId="14870B4E" wp14:editId="1BC9746C">
            <wp:extent cx="5610009" cy="3174797"/>
            <wp:effectExtent l="0" t="0" r="0" b="6985"/>
            <wp:docPr id="5" name="Picture 5" descr="Table 10: Relative bioavailability: summary of the statistical analysis of the PK parameters of paliperidone after administration of paliperidone palmitate treatment groups (Test) compared to 1 mg paliperidone IR (Reference) (Panel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0490" cy="3175069"/>
                    </a:xfrm>
                    <a:prstGeom prst="rect">
                      <a:avLst/>
                    </a:prstGeom>
                  </pic:spPr>
                </pic:pic>
              </a:graphicData>
            </a:graphic>
          </wp:inline>
        </w:drawing>
      </w:r>
    </w:p>
    <w:p w14:paraId="654E19F9" w14:textId="77777777" w:rsidR="007D66D9" w:rsidRPr="007D66D9" w:rsidRDefault="007D66D9" w:rsidP="000A7194">
      <w:pPr>
        <w:pStyle w:val="TableDescription"/>
        <w:rPr>
          <w:lang w:eastAsia="en-AU"/>
        </w:rPr>
      </w:pPr>
      <w:r w:rsidRPr="007D66D9">
        <w:rPr>
          <w:lang w:eastAsia="en-AU"/>
        </w:rPr>
        <w:t>DN=dose norma</w:t>
      </w:r>
      <w:r w:rsidR="0074521B">
        <w:rPr>
          <w:lang w:eastAsia="en-AU"/>
        </w:rPr>
        <w:t>lized to 1</w:t>
      </w:r>
      <w:r w:rsidR="004A676D">
        <w:rPr>
          <w:lang w:eastAsia="en-AU"/>
        </w:rPr>
        <w:t xml:space="preserve"> mg</w:t>
      </w:r>
    </w:p>
    <w:p w14:paraId="004760DE" w14:textId="77777777" w:rsidR="007D66D9" w:rsidRPr="000A7194" w:rsidRDefault="007D66D9" w:rsidP="000A7194">
      <w:pPr>
        <w:pStyle w:val="Heading7"/>
        <w:rPr>
          <w:sz w:val="20"/>
          <w:lang w:eastAsia="en-AU"/>
        </w:rPr>
      </w:pPr>
      <w:r w:rsidRPr="000A7194">
        <w:rPr>
          <w:sz w:val="20"/>
          <w:lang w:eastAsia="en-AU"/>
        </w:rPr>
        <w:t>Panels B and D</w:t>
      </w:r>
    </w:p>
    <w:p w14:paraId="4D5BDE58" w14:textId="77777777" w:rsidR="007D66D9" w:rsidRPr="007D66D9" w:rsidRDefault="000A7194"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Pr>
          <w:rFonts w:eastAsia="Times New Roman"/>
          <w:kern w:val="16"/>
          <w:lang w:eastAsia="en-AU"/>
        </w:rPr>
        <w:t xml:space="preserve">For dose proportionality, log transformed dose </w:t>
      </w:r>
      <w:r w:rsidR="007D66D9" w:rsidRPr="007D66D9">
        <w:rPr>
          <w:rFonts w:eastAsia="Times New Roman"/>
          <w:kern w:val="16"/>
          <w:lang w:eastAsia="en-AU"/>
        </w:rPr>
        <w:t xml:space="preserve">normalized (to the </w:t>
      </w:r>
      <w:r w:rsidR="0058163A">
        <w:rPr>
          <w:rFonts w:eastAsia="Times New Roman"/>
          <w:kern w:val="16"/>
          <w:lang w:eastAsia="en-AU"/>
        </w:rPr>
        <w:t>350</w:t>
      </w:r>
      <w:r w:rsidR="004A676D">
        <w:rPr>
          <w:rFonts w:eastAsia="Times New Roman"/>
          <w:kern w:val="16"/>
          <w:lang w:eastAsia="en-AU"/>
        </w:rPr>
        <w:t xml:space="preserve"> mg</w:t>
      </w:r>
      <w:r w:rsidR="007D66D9" w:rsidRPr="007D66D9">
        <w:rPr>
          <w:rFonts w:eastAsia="Times New Roman"/>
          <w:kern w:val="16"/>
          <w:lang w:eastAsia="en-AU"/>
        </w:rPr>
        <w:t xml:space="preserve"> </w:t>
      </w:r>
      <w:r w:rsidR="004A676D">
        <w:rPr>
          <w:rFonts w:eastAsia="Times New Roman"/>
          <w:kern w:val="16"/>
          <w:lang w:eastAsia="en-AU"/>
        </w:rPr>
        <w:t>equivalent</w:t>
      </w:r>
      <w:r w:rsidR="007D66D9" w:rsidRPr="007D66D9">
        <w:rPr>
          <w:rFonts w:eastAsia="Times New Roman"/>
          <w:kern w:val="16"/>
          <w:lang w:eastAsia="en-AU"/>
        </w:rPr>
        <w:t xml:space="preserve"> dose) PK parameters (</w:t>
      </w:r>
      <w:proofErr w:type="spellStart"/>
      <w:r w:rsidR="009F467D" w:rsidRPr="009F467D">
        <w:t>C</w:t>
      </w:r>
      <w:r w:rsidR="009F467D" w:rsidRPr="009F467D">
        <w:rPr>
          <w:vertAlign w:val="subscript"/>
        </w:rPr>
        <w:t>max</w:t>
      </w:r>
      <w:proofErr w:type="spellEnd"/>
      <w:r w:rsidR="007D66D9" w:rsidRPr="007D66D9">
        <w:rPr>
          <w:rFonts w:eastAsia="Times New Roman"/>
          <w:kern w:val="16"/>
          <w:vertAlign w:val="subscript"/>
          <w:lang w:eastAsia="en-AU"/>
        </w:rPr>
        <w:t xml:space="preserve"> </w:t>
      </w:r>
      <w:r w:rsidR="007D66D9" w:rsidRPr="007D66D9">
        <w:rPr>
          <w:rFonts w:eastAsia="Times New Roman"/>
          <w:kern w:val="16"/>
          <w:lang w:eastAsia="en-AU"/>
        </w:rPr>
        <w:t>and AUC</w:t>
      </w:r>
      <w:r w:rsidR="007D66D9" w:rsidRPr="007D66D9">
        <w:rPr>
          <w:rFonts w:eastAsia="Times New Roman"/>
          <w:kern w:val="16"/>
          <w:vertAlign w:val="subscript"/>
          <w:lang w:eastAsia="en-AU"/>
        </w:rPr>
        <w:t>∞</w:t>
      </w:r>
      <w:r w:rsidR="007D66D9" w:rsidRPr="007D66D9">
        <w:rPr>
          <w:rFonts w:eastAsia="Times New Roman"/>
          <w:kern w:val="16"/>
          <w:lang w:eastAsia="en-AU"/>
        </w:rPr>
        <w:t>) were plotted versus the dose for each injection site separately, as well as combined. A l</w:t>
      </w:r>
      <w:r>
        <w:rPr>
          <w:rFonts w:eastAsia="Times New Roman"/>
          <w:kern w:val="16"/>
          <w:lang w:eastAsia="en-AU"/>
        </w:rPr>
        <w:t xml:space="preserve">inear regression model with log </w:t>
      </w:r>
      <w:r w:rsidR="007D66D9" w:rsidRPr="007D66D9">
        <w:rPr>
          <w:rFonts w:eastAsia="Times New Roman"/>
          <w:kern w:val="16"/>
          <w:lang w:eastAsia="en-AU"/>
        </w:rPr>
        <w:t xml:space="preserve">transformed </w:t>
      </w:r>
      <w:r w:rsidR="00E60DFA">
        <w:rPr>
          <w:rFonts w:eastAsia="Times New Roman"/>
          <w:kern w:val="16"/>
          <w:lang w:eastAsia="en-AU"/>
        </w:rPr>
        <w:t>dose normalized</w:t>
      </w:r>
      <w:r w:rsidR="007D66D9" w:rsidRPr="007D66D9">
        <w:rPr>
          <w:rFonts w:eastAsia="Times New Roman"/>
          <w:kern w:val="16"/>
          <w:lang w:eastAsia="en-AU"/>
        </w:rPr>
        <w:t xml:space="preserve"> (to the </w:t>
      </w:r>
      <w:r w:rsidR="0058163A">
        <w:rPr>
          <w:rFonts w:eastAsia="Times New Roman"/>
          <w:kern w:val="16"/>
          <w:lang w:eastAsia="en-AU"/>
        </w:rPr>
        <w:t>350</w:t>
      </w:r>
      <w:r w:rsidR="004A676D">
        <w:rPr>
          <w:rFonts w:eastAsia="Times New Roman"/>
          <w:kern w:val="16"/>
          <w:lang w:eastAsia="en-AU"/>
        </w:rPr>
        <w:t xml:space="preserve"> mg</w:t>
      </w:r>
      <w:r w:rsidR="007D66D9" w:rsidRPr="007D66D9">
        <w:rPr>
          <w:rFonts w:eastAsia="Times New Roman"/>
          <w:kern w:val="16"/>
          <w:lang w:eastAsia="en-AU"/>
        </w:rPr>
        <w:t xml:space="preserve"> </w:t>
      </w:r>
      <w:r w:rsidR="004A676D">
        <w:rPr>
          <w:rFonts w:eastAsia="Times New Roman"/>
          <w:kern w:val="16"/>
          <w:lang w:eastAsia="en-AU"/>
        </w:rPr>
        <w:t>equivalent</w:t>
      </w:r>
      <w:r w:rsidR="007D66D9" w:rsidRPr="007D66D9">
        <w:rPr>
          <w:rFonts w:eastAsia="Times New Roman"/>
          <w:kern w:val="16"/>
          <w:lang w:eastAsia="en-AU"/>
        </w:rPr>
        <w:t xml:space="preserve"> dose) PK parameters versus </w:t>
      </w:r>
      <w:r w:rsidR="00E60DFA">
        <w:rPr>
          <w:rFonts w:eastAsia="Times New Roman"/>
          <w:kern w:val="16"/>
          <w:lang w:eastAsia="en-AU"/>
        </w:rPr>
        <w:t>log transformed</w:t>
      </w:r>
      <w:r w:rsidR="007D66D9" w:rsidRPr="007D66D9">
        <w:rPr>
          <w:rFonts w:eastAsia="Times New Roman"/>
          <w:kern w:val="16"/>
          <w:lang w:eastAsia="en-AU"/>
        </w:rPr>
        <w:t xml:space="preserve"> dose as a predictor was fitted and used to estimate the correspondi</w:t>
      </w:r>
      <w:r w:rsidR="003673F6">
        <w:rPr>
          <w:rFonts w:eastAsia="Times New Roman"/>
          <w:kern w:val="16"/>
          <w:lang w:eastAsia="en-AU"/>
        </w:rPr>
        <w:t>ng</w:t>
      </w:r>
      <w:r w:rsidR="007D66D9" w:rsidRPr="007D66D9">
        <w:rPr>
          <w:rFonts w:eastAsia="Times New Roman"/>
          <w:kern w:val="16"/>
          <w:lang w:eastAsia="en-AU"/>
        </w:rPr>
        <w:t xml:space="preserve"> slope with a 95% CI, for each injection site separately.</w:t>
      </w:r>
    </w:p>
    <w:p w14:paraId="586DAA90" w14:textId="77777777" w:rsidR="004A676D"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This failed to show the slopes for AUC</w:t>
      </w:r>
      <w:r w:rsidRPr="007D66D9">
        <w:rPr>
          <w:rFonts w:eastAsia="Times New Roman"/>
          <w:kern w:val="16"/>
          <w:vertAlign w:val="subscript"/>
          <w:lang w:eastAsia="en-AU"/>
        </w:rPr>
        <w:t>∞</w:t>
      </w:r>
      <w:r w:rsidRPr="007D66D9">
        <w:rPr>
          <w:rFonts w:eastAsia="Times New Roman"/>
          <w:kern w:val="16"/>
          <w:lang w:eastAsia="en-AU"/>
        </w:rPr>
        <w:t xml:space="preserve"> were significantly different from zero for both the deltoid (slope -0.004, p = 0.95) and gluteal (slope -0.033, p = 0.52) injection sites as well as the deltoid and gluteal injection sites combined (slope -0.021, p = 0.58). Thus suggesti</w:t>
      </w:r>
      <w:r w:rsidR="003673F6">
        <w:rPr>
          <w:rFonts w:eastAsia="Times New Roman"/>
          <w:kern w:val="16"/>
          <w:lang w:eastAsia="en-AU"/>
        </w:rPr>
        <w:t>ng</w:t>
      </w:r>
      <w:r w:rsidRPr="007D66D9">
        <w:rPr>
          <w:rFonts w:eastAsia="Times New Roman"/>
          <w:kern w:val="16"/>
          <w:lang w:eastAsia="en-AU"/>
        </w:rPr>
        <w:t xml:space="preserve"> a proportional increase in AUC</w:t>
      </w:r>
      <w:r w:rsidRPr="007D66D9">
        <w:rPr>
          <w:rFonts w:eastAsia="Times New Roman"/>
          <w:kern w:val="16"/>
          <w:vertAlign w:val="subscript"/>
          <w:lang w:eastAsia="en-AU"/>
        </w:rPr>
        <w:t>∞</w:t>
      </w:r>
      <w:r w:rsidRPr="007D66D9">
        <w:rPr>
          <w:rFonts w:eastAsia="Times New Roman"/>
          <w:kern w:val="16"/>
          <w:lang w:eastAsia="en-AU"/>
        </w:rPr>
        <w:t xml:space="preserve"> with dose (hypothesis was not rejected at the 5% significance level)</w:t>
      </w:r>
      <w:r w:rsidR="004A676D">
        <w:rPr>
          <w:rFonts w:eastAsia="Times New Roman"/>
          <w:kern w:val="16"/>
          <w:lang w:eastAsia="en-AU"/>
        </w:rPr>
        <w:t>.</w:t>
      </w:r>
    </w:p>
    <w:p w14:paraId="02354150" w14:textId="214526E5" w:rsidR="007D66D9" w:rsidRPr="00D260FF" w:rsidRDefault="007D66D9" w:rsidP="00827D3C">
      <w:pPr>
        <w:rPr>
          <w:lang w:eastAsia="en-AU"/>
        </w:rPr>
      </w:pPr>
      <w:r w:rsidRPr="00D260FF">
        <w:rPr>
          <w:lang w:eastAsia="en-AU"/>
        </w:rPr>
        <w:t xml:space="preserve">Similarly, there was a failure to show for </w:t>
      </w:r>
      <w:proofErr w:type="spellStart"/>
      <w:r w:rsidR="009F467D" w:rsidRPr="009F467D">
        <w:t>C</w:t>
      </w:r>
      <w:r w:rsidR="009F467D" w:rsidRPr="009F467D">
        <w:rPr>
          <w:vertAlign w:val="subscript"/>
        </w:rPr>
        <w:t>max</w:t>
      </w:r>
      <w:proofErr w:type="spellEnd"/>
      <w:r w:rsidRPr="00D260FF">
        <w:rPr>
          <w:vertAlign w:val="subscript"/>
          <w:lang w:eastAsia="en-AU"/>
        </w:rPr>
        <w:t xml:space="preserve"> </w:t>
      </w:r>
      <w:r w:rsidRPr="00D260FF">
        <w:rPr>
          <w:lang w:eastAsia="en-AU"/>
        </w:rPr>
        <w:t xml:space="preserve">the slopes were significantly different from zero for both the deltoid (slope -0.177, p = 0.18) and gluteal (slope -0.081, p = 0.45) injection sites as well as the deltoid and gluteal injection sites combined (slope -0.064, p =0.43). Thus </w:t>
      </w:r>
      <w:r w:rsidR="00F03A87" w:rsidRPr="00D260FF">
        <w:rPr>
          <w:lang w:eastAsia="en-AU"/>
        </w:rPr>
        <w:t>suggest</w:t>
      </w:r>
      <w:r w:rsidR="00F03A87">
        <w:rPr>
          <w:lang w:eastAsia="en-AU"/>
        </w:rPr>
        <w:t>s</w:t>
      </w:r>
      <w:r w:rsidR="00F03A87" w:rsidRPr="00D260FF">
        <w:rPr>
          <w:lang w:eastAsia="en-AU"/>
        </w:rPr>
        <w:t xml:space="preserve"> </w:t>
      </w:r>
      <w:r w:rsidRPr="00D260FF">
        <w:rPr>
          <w:lang w:eastAsia="en-AU"/>
        </w:rPr>
        <w:t xml:space="preserve">a proportional increase in </w:t>
      </w:r>
      <w:proofErr w:type="spellStart"/>
      <w:r w:rsidR="009F467D" w:rsidRPr="009F467D">
        <w:t>C</w:t>
      </w:r>
      <w:r w:rsidR="009F467D" w:rsidRPr="009F467D">
        <w:rPr>
          <w:vertAlign w:val="subscript"/>
        </w:rPr>
        <w:t>max</w:t>
      </w:r>
      <w:proofErr w:type="spellEnd"/>
      <w:r w:rsidR="00E60DFA">
        <w:rPr>
          <w:lang w:eastAsia="en-AU"/>
        </w:rPr>
        <w:t xml:space="preserve"> with dose.</w:t>
      </w:r>
    </w:p>
    <w:p w14:paraId="50175C39"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Pairwise comparisons of </w:t>
      </w:r>
      <w:r w:rsidR="00E60DFA">
        <w:rPr>
          <w:rFonts w:eastAsia="Times New Roman"/>
          <w:kern w:val="16"/>
          <w:lang w:eastAsia="en-AU"/>
        </w:rPr>
        <w:t>log transformed</w:t>
      </w:r>
      <w:r w:rsidRPr="007D66D9">
        <w:rPr>
          <w:rFonts w:eastAsia="Times New Roman"/>
          <w:kern w:val="16"/>
          <w:lang w:eastAsia="en-AU"/>
        </w:rPr>
        <w:t xml:space="preserve"> </w:t>
      </w:r>
      <w:r w:rsidR="00E60DFA">
        <w:rPr>
          <w:rFonts w:eastAsia="Times New Roman"/>
          <w:kern w:val="16"/>
          <w:lang w:eastAsia="en-AU"/>
        </w:rPr>
        <w:t>dose normalized</w:t>
      </w:r>
      <w:r w:rsidRPr="007D66D9">
        <w:rPr>
          <w:rFonts w:eastAsia="Times New Roman"/>
          <w:kern w:val="16"/>
          <w:lang w:eastAsia="en-AU"/>
        </w:rPr>
        <w:t xml:space="preserve"> (to </w:t>
      </w:r>
      <w:r w:rsidR="0058163A">
        <w:rPr>
          <w:rFonts w:eastAsia="Times New Roman"/>
          <w:kern w:val="16"/>
          <w:lang w:eastAsia="en-AU"/>
        </w:rPr>
        <w:t>350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AUC</w:t>
      </w:r>
      <w:r w:rsidRPr="007D66D9">
        <w:rPr>
          <w:rFonts w:eastAsia="Times New Roman"/>
          <w:kern w:val="16"/>
          <w:vertAlign w:val="subscript"/>
          <w:lang w:eastAsia="en-AU"/>
        </w:rPr>
        <w:t>∞</w:t>
      </w:r>
      <w:r w:rsidRPr="007D66D9">
        <w:rPr>
          <w:rFonts w:eastAsia="Times New Roman"/>
          <w:kern w:val="16"/>
          <w:lang w:eastAsia="en-AU"/>
        </w:rPr>
        <w:t xml:space="preserve"> and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between all </w:t>
      </w:r>
      <w:proofErr w:type="gramStart"/>
      <w:r w:rsidRPr="007D66D9">
        <w:rPr>
          <w:rFonts w:eastAsia="Times New Roman"/>
          <w:kern w:val="16"/>
          <w:lang w:eastAsia="en-AU"/>
        </w:rPr>
        <w:t>dose</w:t>
      </w:r>
      <w:proofErr w:type="gramEnd"/>
      <w:r w:rsidRPr="007D66D9">
        <w:rPr>
          <w:rFonts w:eastAsia="Times New Roman"/>
          <w:kern w:val="16"/>
          <w:lang w:eastAsia="en-AU"/>
        </w:rPr>
        <w:t xml:space="preserve"> groups were made for each injection site separately. Estimated ratios of geometric means between all pairs of doses alo</w:t>
      </w:r>
      <w:r w:rsidR="003673F6">
        <w:rPr>
          <w:rFonts w:eastAsia="Times New Roman"/>
          <w:kern w:val="16"/>
          <w:lang w:eastAsia="en-AU"/>
        </w:rPr>
        <w:t>ng</w:t>
      </w:r>
      <w:r w:rsidRPr="007D66D9">
        <w:rPr>
          <w:rFonts w:eastAsia="Times New Roman"/>
          <w:kern w:val="16"/>
          <w:lang w:eastAsia="en-AU"/>
        </w:rPr>
        <w:t xml:space="preserve"> with associated 90% CI were given.</w:t>
      </w:r>
    </w:p>
    <w:p w14:paraId="2B39DF76"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The </w:t>
      </w:r>
      <w:r w:rsidR="00E60DFA">
        <w:rPr>
          <w:rFonts w:eastAsia="Times New Roman"/>
          <w:kern w:val="16"/>
          <w:lang w:eastAsia="en-AU"/>
        </w:rPr>
        <w:t>dose normalized</w:t>
      </w:r>
      <w:r w:rsidRPr="007D66D9">
        <w:rPr>
          <w:rFonts w:eastAsia="Times New Roman"/>
          <w:kern w:val="16"/>
          <w:lang w:eastAsia="en-AU"/>
        </w:rPr>
        <w:t xml:space="preserve"> (to </w:t>
      </w:r>
      <w:r w:rsidR="0058163A">
        <w:rPr>
          <w:rFonts w:eastAsia="Times New Roman"/>
          <w:kern w:val="16"/>
          <w:lang w:eastAsia="en-AU"/>
        </w:rPr>
        <w:t>350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LS means AUC</w:t>
      </w:r>
      <w:r w:rsidRPr="007D66D9">
        <w:rPr>
          <w:rFonts w:eastAsia="Times New Roman"/>
          <w:kern w:val="16"/>
          <w:vertAlign w:val="subscript"/>
          <w:lang w:eastAsia="en-AU"/>
        </w:rPr>
        <w:t>∞</w:t>
      </w:r>
      <w:r w:rsidRPr="007D66D9">
        <w:rPr>
          <w:rFonts w:eastAsia="Times New Roman"/>
          <w:kern w:val="16"/>
          <w:lang w:eastAsia="en-AU"/>
        </w:rPr>
        <w:t xml:space="preserve"> was estimated to be similar for the </w:t>
      </w:r>
      <w:r w:rsidR="0058163A">
        <w:rPr>
          <w:rFonts w:eastAsia="Times New Roman"/>
          <w:kern w:val="16"/>
          <w:lang w:eastAsia="en-AU"/>
        </w:rPr>
        <w:t>175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and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deltoid treatment group and for the 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gluteal treatment group compared to the reference treatment group (300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for the deltoid treatment group and </w:t>
      </w:r>
      <w:r w:rsidR="0058163A">
        <w:rPr>
          <w:rFonts w:eastAsia="Times New Roman"/>
          <w:kern w:val="16"/>
          <w:lang w:eastAsia="en-AU"/>
        </w:rPr>
        <w:t>350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for the gluteal treatment group). The </w:t>
      </w:r>
      <w:r w:rsidR="00E60DFA">
        <w:rPr>
          <w:rFonts w:eastAsia="Times New Roman"/>
          <w:kern w:val="16"/>
          <w:lang w:eastAsia="en-AU"/>
        </w:rPr>
        <w:t>dose normalized</w:t>
      </w:r>
      <w:r w:rsidRPr="007D66D9">
        <w:rPr>
          <w:rFonts w:eastAsia="Times New Roman"/>
          <w:kern w:val="16"/>
          <w:lang w:eastAsia="en-AU"/>
        </w:rPr>
        <w:t xml:space="preserve"> AUC</w:t>
      </w:r>
      <w:r w:rsidRPr="007D66D9">
        <w:rPr>
          <w:rFonts w:eastAsia="Times New Roman"/>
          <w:kern w:val="16"/>
          <w:vertAlign w:val="subscript"/>
          <w:lang w:eastAsia="en-AU"/>
        </w:rPr>
        <w:t>∞</w:t>
      </w:r>
      <w:r w:rsidRPr="007D66D9">
        <w:rPr>
          <w:rFonts w:eastAsia="Times New Roman"/>
          <w:kern w:val="16"/>
          <w:lang w:eastAsia="en-AU"/>
        </w:rPr>
        <w:t xml:space="preserve"> of the 150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450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and the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gluteal treatment group was decreased with 7%, 12% and 4% respectively. For the 450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deltoid treatment group, AUC</w:t>
      </w:r>
      <w:r w:rsidRPr="007D66D9">
        <w:rPr>
          <w:rFonts w:eastAsia="Times New Roman"/>
          <w:kern w:val="16"/>
          <w:vertAlign w:val="subscript"/>
          <w:lang w:eastAsia="en-AU"/>
        </w:rPr>
        <w:t>∞</w:t>
      </w:r>
      <w:r w:rsidRPr="007D66D9">
        <w:rPr>
          <w:rFonts w:eastAsia="Times New Roman"/>
          <w:kern w:val="16"/>
          <w:lang w:eastAsia="en-AU"/>
        </w:rPr>
        <w:t xml:space="preserve"> increased with 11% compared to the reference treatment group.</w:t>
      </w:r>
    </w:p>
    <w:p w14:paraId="663E79CC" w14:textId="77777777" w:rsidR="004A676D"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The </w:t>
      </w:r>
      <w:r w:rsidR="00E60DFA">
        <w:rPr>
          <w:rFonts w:eastAsia="Times New Roman"/>
          <w:kern w:val="16"/>
          <w:lang w:eastAsia="en-AU"/>
        </w:rPr>
        <w:t>dose normalized</w:t>
      </w:r>
      <w:r w:rsidRPr="007D66D9">
        <w:rPr>
          <w:rFonts w:eastAsia="Times New Roman"/>
          <w:kern w:val="16"/>
          <w:lang w:eastAsia="en-AU"/>
        </w:rPr>
        <w:t xml:space="preserve"> (to </w:t>
      </w:r>
      <w:r w:rsidR="0058163A">
        <w:rPr>
          <w:rFonts w:eastAsia="Times New Roman"/>
          <w:kern w:val="16"/>
          <w:lang w:eastAsia="en-AU"/>
        </w:rPr>
        <w:t>350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LS mean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of the </w:t>
      </w:r>
      <w:r w:rsidR="0058163A">
        <w:rPr>
          <w:rFonts w:eastAsia="Times New Roman"/>
          <w:kern w:val="16"/>
          <w:lang w:eastAsia="en-AU"/>
        </w:rPr>
        <w:t>175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and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deltoid treatment groups and the 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and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gluteal </w:t>
      </w:r>
      <w:r w:rsidRPr="007D66D9">
        <w:rPr>
          <w:rFonts w:eastAsia="Times New Roman"/>
          <w:kern w:val="16"/>
          <w:lang w:eastAsia="en-AU"/>
        </w:rPr>
        <w:lastRenderedPageBreak/>
        <w:t>treatment groups were increased with 38%, 30% and 35%, 15% respectively compared to the reference treatment group (300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for the deltoid treatment group and </w:t>
      </w:r>
      <w:r w:rsidR="0058163A">
        <w:rPr>
          <w:rFonts w:eastAsia="Times New Roman"/>
          <w:kern w:val="16"/>
          <w:lang w:eastAsia="en-AU"/>
        </w:rPr>
        <w:t>350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for the gluteal treatment group). A decrease was observed for the 450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deltoid and the 150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and 450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gluteal treatment group of 12% and 27%, 20%, respectively, compared to the reference treatment group</w:t>
      </w:r>
      <w:r w:rsidR="004A676D">
        <w:rPr>
          <w:rFonts w:eastAsia="Times New Roman"/>
          <w:kern w:val="16"/>
          <w:lang w:eastAsia="en-AU"/>
        </w:rPr>
        <w:t>.</w:t>
      </w:r>
    </w:p>
    <w:p w14:paraId="05D36F57"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Based on the LS means AUC</w:t>
      </w:r>
      <w:r w:rsidRPr="007D66D9">
        <w:rPr>
          <w:rFonts w:eastAsia="Times New Roman"/>
          <w:kern w:val="16"/>
          <w:vertAlign w:val="subscript"/>
          <w:lang w:eastAsia="en-AU"/>
        </w:rPr>
        <w:t>∞</w:t>
      </w:r>
      <w:r w:rsidRPr="007D66D9">
        <w:rPr>
          <w:rFonts w:eastAsia="Times New Roman"/>
          <w:kern w:val="16"/>
          <w:lang w:eastAsia="en-AU"/>
        </w:rPr>
        <w:t xml:space="preserve"> and </w:t>
      </w:r>
      <w:proofErr w:type="spellStart"/>
      <w:r w:rsidRPr="007D66D9">
        <w:rPr>
          <w:rFonts w:eastAsia="Times New Roman"/>
          <w:kern w:val="16"/>
          <w:lang w:eastAsia="en-AU"/>
        </w:rPr>
        <w:t>F</w:t>
      </w:r>
      <w:r w:rsidRPr="007D66D9">
        <w:rPr>
          <w:rFonts w:eastAsia="Times New Roman"/>
          <w:kern w:val="16"/>
          <w:vertAlign w:val="subscript"/>
          <w:lang w:eastAsia="en-AU"/>
        </w:rPr>
        <w:t>relAUC</w:t>
      </w:r>
      <w:proofErr w:type="spellEnd"/>
      <w:r w:rsidRPr="007D66D9">
        <w:rPr>
          <w:rFonts w:eastAsia="Times New Roman"/>
          <w:kern w:val="16"/>
          <w:vertAlign w:val="subscript"/>
          <w:lang w:eastAsia="en-AU"/>
        </w:rPr>
        <w:t>∞</w:t>
      </w:r>
      <w:r w:rsidRPr="007D66D9">
        <w:rPr>
          <w:rFonts w:eastAsia="Times New Roman"/>
          <w:kern w:val="16"/>
          <w:lang w:eastAsia="en-AU"/>
        </w:rPr>
        <w:t xml:space="preserve"> were similar after injection in the deltoid or gluteal muscle.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was estimated to be 27% higher after deltoid injection compared to gluteal injection.</w:t>
      </w:r>
    </w:p>
    <w:p w14:paraId="1B63031F" w14:textId="77777777" w:rsidR="007D66D9" w:rsidRPr="007D66D9" w:rsidRDefault="007D66D9" w:rsidP="00DA386F">
      <w:pPr>
        <w:pStyle w:val="Tabletitle"/>
        <w:rPr>
          <w:lang w:eastAsia="en-AU"/>
        </w:rPr>
      </w:pPr>
      <w:bookmarkStart w:id="63" w:name="_Toc453054974"/>
      <w:r w:rsidRPr="009F485A">
        <w:rPr>
          <w:lang w:eastAsia="en-AU"/>
        </w:rPr>
        <w:t xml:space="preserve">Table </w:t>
      </w:r>
      <w:r w:rsidR="009F485A" w:rsidRPr="009F485A">
        <w:rPr>
          <w:lang w:eastAsia="en-AU"/>
        </w:rPr>
        <w:t>11</w:t>
      </w:r>
      <w:r w:rsidR="00E60DFA" w:rsidRPr="009F485A">
        <w:rPr>
          <w:noProof/>
          <w:lang w:eastAsia="en-AU"/>
        </w:rPr>
        <w:t>:</w:t>
      </w:r>
      <w:r w:rsidRPr="007D66D9">
        <w:rPr>
          <w:lang w:eastAsia="en-AU"/>
        </w:rPr>
        <w:t xml:space="preserve"> Summarize</w:t>
      </w:r>
      <w:r w:rsidR="00E60DFA" w:rsidRPr="007D66D9">
        <w:rPr>
          <w:lang w:eastAsia="en-AU"/>
        </w:rPr>
        <w:t>d statistical results of pharmacokine</w:t>
      </w:r>
      <w:r w:rsidR="009F485A">
        <w:rPr>
          <w:lang w:eastAsia="en-AU"/>
        </w:rPr>
        <w:t xml:space="preserve">tic parameters of paliperidone; </w:t>
      </w:r>
      <w:r w:rsidR="00E60DFA" w:rsidRPr="007D66D9">
        <w:rPr>
          <w:lang w:eastAsia="en-AU"/>
        </w:rPr>
        <w:t>acros</w:t>
      </w:r>
      <w:r w:rsidRPr="007D66D9">
        <w:rPr>
          <w:lang w:eastAsia="en-AU"/>
        </w:rPr>
        <w:t xml:space="preserve">s Panels B and D, Period 2: </w:t>
      </w:r>
      <w:r w:rsidR="00E60DFA">
        <w:rPr>
          <w:lang w:eastAsia="en-AU"/>
        </w:rPr>
        <w:t>IM</w:t>
      </w:r>
      <w:r w:rsidRPr="007D66D9">
        <w:rPr>
          <w:lang w:eastAsia="en-AU"/>
        </w:rPr>
        <w:t xml:space="preserve"> injection with 75</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150</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xml:space="preserve">, </w:t>
      </w:r>
      <w:r w:rsidR="0058163A">
        <w:rPr>
          <w:lang w:eastAsia="en-AU"/>
        </w:rPr>
        <w:t>175</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300</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xml:space="preserve">, </w:t>
      </w:r>
      <w:r w:rsidR="0058163A">
        <w:rPr>
          <w:lang w:eastAsia="en-AU"/>
        </w:rPr>
        <w:t>350</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450</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xml:space="preserve"> or </w:t>
      </w:r>
      <w:r w:rsidR="0058163A">
        <w:rPr>
          <w:lang w:eastAsia="en-AU"/>
        </w:rPr>
        <w:t>525</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xml:space="preserve"> </w:t>
      </w:r>
      <w:proofErr w:type="spellStart"/>
      <w:r w:rsidRPr="007D66D9">
        <w:rPr>
          <w:lang w:eastAsia="en-AU"/>
        </w:rPr>
        <w:t>paliperidone</w:t>
      </w:r>
      <w:proofErr w:type="spellEnd"/>
      <w:r w:rsidRPr="007D66D9">
        <w:rPr>
          <w:lang w:eastAsia="en-AU"/>
        </w:rPr>
        <w:t xml:space="preserve"> palmitate F015 injected in the deltoid (test) or gluteal muscle (reference)</w:t>
      </w:r>
      <w:bookmarkEnd w:id="63"/>
    </w:p>
    <w:p w14:paraId="407B7DAD"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lang w:eastAsia="en-AU"/>
        </w:rPr>
      </w:pPr>
      <w:r w:rsidRPr="007D66D9">
        <w:rPr>
          <w:rFonts w:eastAsia="Times New Roman"/>
          <w:noProof/>
          <w:kern w:val="16"/>
          <w:lang w:eastAsia="en-AU"/>
        </w:rPr>
        <w:drawing>
          <wp:inline distT="0" distB="0" distL="0" distR="0" wp14:anchorId="1A8418D8" wp14:editId="58B9E67E">
            <wp:extent cx="5669280" cy="2151045"/>
            <wp:effectExtent l="0" t="0" r="7620" b="1905"/>
            <wp:docPr id="6" name="Picture 6" descr="Table 11: Summarized statistical results of pharmacokinetic parameters of paliperidone; across Panels B and D, Period 2: IM injection with 75 mg eq, 150 mg eq, 175 mg eq, 300 mg eq, 350 mg eq, 450 mg eq or 525 mg eq paliperidone palmitate F015 injected in the deltoid (test) or gluteal muscle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75884" cy="2153551"/>
                    </a:xfrm>
                    <a:prstGeom prst="rect">
                      <a:avLst/>
                    </a:prstGeom>
                  </pic:spPr>
                </pic:pic>
              </a:graphicData>
            </a:graphic>
          </wp:inline>
        </w:drawing>
      </w:r>
    </w:p>
    <w:p w14:paraId="5C911F47" w14:textId="77777777" w:rsidR="007D66D9" w:rsidRPr="00E60DFA" w:rsidRDefault="00E60DFA" w:rsidP="00E60DFA">
      <w:pPr>
        <w:pStyle w:val="TableDescription"/>
        <w:rPr>
          <w:lang w:eastAsia="en-AU"/>
        </w:rPr>
      </w:pPr>
      <w:r w:rsidRPr="00E60DFA">
        <w:rPr>
          <w:vertAlign w:val="superscript"/>
          <w:lang w:eastAsia="en-AU"/>
        </w:rPr>
        <w:t>a.</w:t>
      </w:r>
      <w:r>
        <w:rPr>
          <w:lang w:eastAsia="en-AU"/>
        </w:rPr>
        <w:t xml:space="preserve"> </w:t>
      </w:r>
      <w:r w:rsidR="007D66D9" w:rsidRPr="007D66D9">
        <w:rPr>
          <w:lang w:eastAsia="en-AU"/>
        </w:rPr>
        <w:t xml:space="preserve">N = 107 for reference and N = 91 for test </w:t>
      </w:r>
      <w:r w:rsidRPr="00E60DFA">
        <w:rPr>
          <w:vertAlign w:val="superscript"/>
          <w:lang w:eastAsia="en-AU"/>
        </w:rPr>
        <w:t>b.</w:t>
      </w:r>
      <w:r>
        <w:rPr>
          <w:lang w:eastAsia="en-AU"/>
        </w:rPr>
        <w:t xml:space="preserve"> </w:t>
      </w:r>
      <w:r w:rsidR="007D66D9" w:rsidRPr="007D66D9">
        <w:rPr>
          <w:lang w:eastAsia="en-AU"/>
        </w:rPr>
        <w:t>N = 73 for reference and N = 78 for te</w:t>
      </w:r>
      <w:r>
        <w:rPr>
          <w:lang w:eastAsia="en-AU"/>
        </w:rPr>
        <w:t xml:space="preserve">st </w:t>
      </w:r>
      <w:r w:rsidRPr="00E60DFA">
        <w:rPr>
          <w:vertAlign w:val="superscript"/>
          <w:lang w:eastAsia="en-AU"/>
        </w:rPr>
        <w:t>c.</w:t>
      </w:r>
      <w:r>
        <w:rPr>
          <w:lang w:eastAsia="en-AU"/>
        </w:rPr>
        <w:t xml:space="preserve"> </w:t>
      </w:r>
      <w:r w:rsidR="007D66D9" w:rsidRPr="007D66D9">
        <w:rPr>
          <w:lang w:eastAsia="en-AU"/>
        </w:rPr>
        <w:t>N = 68 for reference and N = 71 for test</w:t>
      </w:r>
      <w:r>
        <w:rPr>
          <w:lang w:eastAsia="en-AU"/>
        </w:rPr>
        <w:t xml:space="preserve"> </w:t>
      </w:r>
      <w:r w:rsidRPr="00E60DFA">
        <w:rPr>
          <w:vertAlign w:val="superscript"/>
          <w:lang w:eastAsia="en-AU"/>
        </w:rPr>
        <w:t>d.</w:t>
      </w:r>
      <w:r>
        <w:rPr>
          <w:lang w:eastAsia="en-AU"/>
        </w:rPr>
        <w:t xml:space="preserve"> 90% confidence intervals</w:t>
      </w:r>
    </w:p>
    <w:p w14:paraId="4669C0EE" w14:textId="77777777" w:rsidR="007D66D9" w:rsidRPr="007D66D9" w:rsidRDefault="007D66D9" w:rsidP="00827D3C">
      <w:pPr>
        <w:pStyle w:val="Heading6"/>
        <w:rPr>
          <w:lang w:eastAsia="en-AU"/>
        </w:rPr>
      </w:pPr>
      <w:r w:rsidRPr="007D66D9">
        <w:rPr>
          <w:lang w:eastAsia="en-AU"/>
        </w:rPr>
        <w:t xml:space="preserve">PK </w:t>
      </w:r>
      <w:r w:rsidR="00827D3C" w:rsidRPr="007D66D9">
        <w:rPr>
          <w:lang w:eastAsia="en-AU"/>
        </w:rPr>
        <w:t>results paliperidone palmitate</w:t>
      </w:r>
    </w:p>
    <w:p w14:paraId="621B5801"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Very few samples were quantifiable:</w:t>
      </w:r>
    </w:p>
    <w:p w14:paraId="4E0C0DA2" w14:textId="77777777" w:rsidR="007D66D9" w:rsidRPr="007D66D9" w:rsidRDefault="00E60DFA" w:rsidP="00E60DFA">
      <w:pPr>
        <w:pStyle w:val="ListBullet"/>
      </w:pPr>
      <w:r>
        <w:t>3 in Panel A</w:t>
      </w:r>
    </w:p>
    <w:p w14:paraId="3F73CF93" w14:textId="77777777" w:rsidR="007D66D9" w:rsidRPr="007D66D9" w:rsidRDefault="007D66D9" w:rsidP="00E60DFA">
      <w:pPr>
        <w:pStyle w:val="ListBullet"/>
      </w:pPr>
      <w:r w:rsidRPr="007D66D9">
        <w:t xml:space="preserve">None in Panels B </w:t>
      </w:r>
      <w:r w:rsidR="00E60DFA">
        <w:t>and C</w:t>
      </w:r>
    </w:p>
    <w:p w14:paraId="58EF1E6E" w14:textId="77777777" w:rsidR="007D66D9" w:rsidRPr="007D66D9" w:rsidRDefault="007D66D9" w:rsidP="00E60DFA">
      <w:pPr>
        <w:pStyle w:val="ListBullet"/>
      </w:pPr>
      <w:r w:rsidRPr="007D66D9">
        <w:t xml:space="preserve">22 samples in 7 subjects in Panel D in the </w:t>
      </w:r>
      <w:r w:rsidR="0058163A">
        <w:t>525</w:t>
      </w:r>
      <w:r w:rsidR="004A676D">
        <w:t xml:space="preserve"> mg</w:t>
      </w:r>
      <w:r w:rsidRPr="007D66D9">
        <w:t xml:space="preserve"> </w:t>
      </w:r>
      <w:r w:rsidR="004A676D">
        <w:t>equivalent</w:t>
      </w:r>
      <w:r w:rsidR="00E60DFA">
        <w:t xml:space="preserve"> groups and ra</w:t>
      </w:r>
      <w:r w:rsidR="003673F6">
        <w:t>ng</w:t>
      </w:r>
      <w:r w:rsidR="00E60DFA">
        <w:t xml:space="preserve">ed </w:t>
      </w:r>
      <w:proofErr w:type="gramStart"/>
      <w:r w:rsidR="00E60DFA">
        <w:t>from 0.270 </w:t>
      </w:r>
      <w:r w:rsidR="003673F6">
        <w:t>ng</w:t>
      </w:r>
      <w:r w:rsidRPr="007D66D9">
        <w:t>/</w:t>
      </w:r>
      <w:r w:rsidR="004A676D">
        <w:t>mL</w:t>
      </w:r>
      <w:proofErr w:type="gramEnd"/>
      <w:r w:rsidRPr="007D66D9">
        <w:t xml:space="preserve"> to 19.2 </w:t>
      </w:r>
      <w:r w:rsidR="003673F6">
        <w:t>ng</w:t>
      </w:r>
      <w:r w:rsidRPr="007D66D9">
        <w:t>/</w:t>
      </w:r>
      <w:r w:rsidR="004A676D">
        <w:t>mL</w:t>
      </w:r>
      <w:r w:rsidRPr="007D66D9">
        <w:t xml:space="preserve"> at between 1 hour and 120 hours.</w:t>
      </w:r>
    </w:p>
    <w:p w14:paraId="686F4E9B" w14:textId="77777777" w:rsidR="007D66D9" w:rsidRPr="007D66D9" w:rsidRDefault="007D66D9" w:rsidP="00827D3C">
      <w:pPr>
        <w:pStyle w:val="Heading6"/>
        <w:rPr>
          <w:lang w:eastAsia="en-AU"/>
        </w:rPr>
      </w:pPr>
      <w:r w:rsidRPr="007D66D9">
        <w:rPr>
          <w:lang w:eastAsia="en-AU"/>
        </w:rPr>
        <w:t xml:space="preserve">PK </w:t>
      </w:r>
      <w:r w:rsidR="00827D3C" w:rsidRPr="007D66D9">
        <w:rPr>
          <w:lang w:eastAsia="en-AU"/>
        </w:rPr>
        <w:t>results paliperidone enantiomers</w:t>
      </w:r>
    </w:p>
    <w:p w14:paraId="112778B0"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In Panel D the individual paliperidone enantiomers [R078543(+), R078544(-) and R078543(+)/R078544(-)] were quantified in pharmacokinetic samples obtained from a subgroup of 12 subjects in the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gluteal and 12 subjects in the </w:t>
      </w:r>
      <w:r w:rsidR="0058163A">
        <w:rPr>
          <w:rFonts w:eastAsia="Times New Roman"/>
          <w:kern w:val="16"/>
          <w:lang w:eastAsia="en-AU"/>
        </w:rPr>
        <w:t>175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deltoid treatment groups who completed the 1st 12 months in Period 2.</w:t>
      </w:r>
    </w:p>
    <w:p w14:paraId="324DAC63"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The plasma concentrations of the </w:t>
      </w:r>
      <w:proofErr w:type="gramStart"/>
      <w:r w:rsidRPr="007D66D9">
        <w:rPr>
          <w:rFonts w:eastAsia="Times New Roman"/>
          <w:kern w:val="16"/>
          <w:lang w:eastAsia="en-AU"/>
        </w:rPr>
        <w:t>R078543(</w:t>
      </w:r>
      <w:proofErr w:type="gramEnd"/>
      <w:r w:rsidRPr="007D66D9">
        <w:rPr>
          <w:rFonts w:eastAsia="Times New Roman"/>
          <w:kern w:val="16"/>
          <w:lang w:eastAsia="en-AU"/>
        </w:rPr>
        <w:t xml:space="preserve">+) enantiomer were consistently higher than those for the R078544(-) enantiomer. The median ratio of </w:t>
      </w:r>
      <w:proofErr w:type="gramStart"/>
      <w:r w:rsidRPr="007D66D9">
        <w:rPr>
          <w:rFonts w:eastAsia="Times New Roman"/>
          <w:kern w:val="16"/>
          <w:lang w:eastAsia="en-AU"/>
        </w:rPr>
        <w:t>R078543(</w:t>
      </w:r>
      <w:proofErr w:type="gramEnd"/>
      <w:r w:rsidRPr="007D66D9">
        <w:rPr>
          <w:rFonts w:eastAsia="Times New Roman"/>
          <w:kern w:val="16"/>
          <w:lang w:eastAsia="en-AU"/>
        </w:rPr>
        <w:t xml:space="preserve">+)/R078544(-) plasma concentrations was 2.50 and 2.38, two days after </w:t>
      </w:r>
      <w:r w:rsidR="00E60DFA">
        <w:rPr>
          <w:rFonts w:eastAsia="Times New Roman"/>
          <w:kern w:val="16"/>
          <w:lang w:eastAsia="en-AU"/>
        </w:rPr>
        <w:t>IM</w:t>
      </w:r>
      <w:r w:rsidRPr="007D66D9">
        <w:rPr>
          <w:rFonts w:eastAsia="Times New Roman"/>
          <w:kern w:val="16"/>
          <w:lang w:eastAsia="en-AU"/>
        </w:rPr>
        <w:t xml:space="preserve"> administration of </w:t>
      </w:r>
      <w:r w:rsidR="0058163A">
        <w:rPr>
          <w:rFonts w:eastAsia="Times New Roman"/>
          <w:kern w:val="16"/>
          <w:lang w:eastAsia="en-AU"/>
        </w:rPr>
        <w:t>175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in the deltoid muscle and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in the gluteal muscle respectively, decreasi</w:t>
      </w:r>
      <w:r w:rsidR="003673F6">
        <w:rPr>
          <w:rFonts w:eastAsia="Times New Roman"/>
          <w:kern w:val="16"/>
          <w:lang w:eastAsia="en-AU"/>
        </w:rPr>
        <w:t>ng</w:t>
      </w:r>
      <w:r w:rsidRPr="007D66D9">
        <w:rPr>
          <w:rFonts w:eastAsia="Times New Roman"/>
          <w:kern w:val="16"/>
          <w:lang w:eastAsia="en-AU"/>
        </w:rPr>
        <w:t xml:space="preserve"> to approximately a ra</w:t>
      </w:r>
      <w:r w:rsidR="003673F6">
        <w:rPr>
          <w:rFonts w:eastAsia="Times New Roman"/>
          <w:kern w:val="16"/>
          <w:lang w:eastAsia="en-AU"/>
        </w:rPr>
        <w:t>ng</w:t>
      </w:r>
      <w:r w:rsidRPr="007D66D9">
        <w:rPr>
          <w:rFonts w:eastAsia="Times New Roman"/>
          <w:kern w:val="16"/>
          <w:lang w:eastAsia="en-AU"/>
        </w:rPr>
        <w:t xml:space="preserve">e of 1.72 to 1.94 and 1.49 to 1.82 respectively from 4 days </w:t>
      </w:r>
      <w:r w:rsidR="00E60DFA">
        <w:rPr>
          <w:rFonts w:eastAsia="Times New Roman"/>
          <w:kern w:val="16"/>
          <w:lang w:eastAsia="en-AU"/>
        </w:rPr>
        <w:t>post dosi</w:t>
      </w:r>
      <w:r w:rsidR="003673F6">
        <w:rPr>
          <w:rFonts w:eastAsia="Times New Roman"/>
          <w:kern w:val="16"/>
          <w:lang w:eastAsia="en-AU"/>
        </w:rPr>
        <w:t>ng</w:t>
      </w:r>
      <w:r w:rsidRPr="007D66D9">
        <w:rPr>
          <w:rFonts w:eastAsia="Times New Roman"/>
          <w:kern w:val="16"/>
          <w:lang w:eastAsia="en-AU"/>
        </w:rPr>
        <w:t xml:space="preserve"> and onwards, for both injection sites and doses.</w:t>
      </w:r>
    </w:p>
    <w:p w14:paraId="68DB317F"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The mean and median </w:t>
      </w:r>
      <w:proofErr w:type="gramStart"/>
      <w:r w:rsidRPr="007D66D9">
        <w:rPr>
          <w:rFonts w:eastAsia="Times New Roman"/>
          <w:kern w:val="16"/>
          <w:lang w:eastAsia="en-AU"/>
        </w:rPr>
        <w:t>R078543(</w:t>
      </w:r>
      <w:proofErr w:type="gramEnd"/>
      <w:r w:rsidRPr="007D66D9">
        <w:rPr>
          <w:rFonts w:eastAsia="Times New Roman"/>
          <w:kern w:val="16"/>
          <w:lang w:eastAsia="en-AU"/>
        </w:rPr>
        <w:t xml:space="preserve">+)/R078544(-) PK parameter ratios after </w:t>
      </w:r>
      <w:r w:rsidR="00E60DFA">
        <w:rPr>
          <w:rFonts w:eastAsia="Times New Roman"/>
          <w:kern w:val="16"/>
          <w:lang w:eastAsia="en-AU"/>
        </w:rPr>
        <w:t>IM</w:t>
      </w:r>
      <w:r w:rsidRPr="007D66D9">
        <w:rPr>
          <w:rFonts w:eastAsia="Times New Roman"/>
          <w:kern w:val="16"/>
          <w:lang w:eastAsia="en-AU"/>
        </w:rPr>
        <w:t xml:space="preserve"> injections of paliperidone palmitate (F015) are 1.81 and 1.83 and 1.86 and 1.90, for AUC</w:t>
      </w:r>
      <w:r w:rsidRPr="007D66D9">
        <w:rPr>
          <w:rFonts w:eastAsia="Times New Roman"/>
          <w:kern w:val="16"/>
          <w:vertAlign w:val="subscript"/>
          <w:lang w:eastAsia="en-AU"/>
        </w:rPr>
        <w:t>∞</w:t>
      </w:r>
      <w:r w:rsidRPr="007D66D9">
        <w:rPr>
          <w:rFonts w:eastAsia="Times New Roman"/>
          <w:kern w:val="16"/>
          <w:lang w:eastAsia="en-AU"/>
        </w:rPr>
        <w:t xml:space="preserve"> and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respectively after injection of </w:t>
      </w:r>
      <w:r w:rsidR="0058163A">
        <w:rPr>
          <w:rFonts w:eastAsia="Times New Roman"/>
          <w:kern w:val="16"/>
          <w:lang w:eastAsia="en-AU"/>
        </w:rPr>
        <w:t>175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in the deltoid muscle. After injection of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in </w:t>
      </w:r>
      <w:r w:rsidRPr="007D66D9">
        <w:rPr>
          <w:rFonts w:eastAsia="Times New Roman"/>
          <w:kern w:val="16"/>
          <w:lang w:eastAsia="en-AU"/>
        </w:rPr>
        <w:lastRenderedPageBreak/>
        <w:t>the gluteal muscle mean and median ratios were 1.65 and 1.63 and 1.67 and 1.72 for AUC</w:t>
      </w:r>
      <w:r w:rsidRPr="007D66D9">
        <w:rPr>
          <w:rFonts w:eastAsia="Times New Roman"/>
          <w:kern w:val="16"/>
          <w:vertAlign w:val="subscript"/>
          <w:lang w:eastAsia="en-AU"/>
        </w:rPr>
        <w:t>∞</w:t>
      </w:r>
      <w:r w:rsidRPr="007D66D9">
        <w:rPr>
          <w:rFonts w:eastAsia="Times New Roman"/>
          <w:kern w:val="16"/>
          <w:lang w:eastAsia="en-AU"/>
        </w:rPr>
        <w:t xml:space="preserve"> and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respectively.</w:t>
      </w:r>
    </w:p>
    <w:p w14:paraId="3C06C5AE" w14:textId="77777777" w:rsidR="007D66D9" w:rsidRPr="007D66D9" w:rsidRDefault="00E60DFA" w:rsidP="00094D64">
      <w:pPr>
        <w:pStyle w:val="Heading5"/>
      </w:pPr>
      <w:r>
        <w:t>Summary</w:t>
      </w:r>
    </w:p>
    <w:p w14:paraId="6ADA774E"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After a si</w:t>
      </w:r>
      <w:r w:rsidR="003673F6">
        <w:rPr>
          <w:rFonts w:eastAsia="Times New Roman"/>
          <w:kern w:val="16"/>
          <w:lang w:eastAsia="en-AU"/>
        </w:rPr>
        <w:t>ng</w:t>
      </w:r>
      <w:r w:rsidRPr="007D66D9">
        <w:rPr>
          <w:rFonts w:eastAsia="Times New Roman"/>
          <w:kern w:val="16"/>
          <w:lang w:eastAsia="en-AU"/>
        </w:rPr>
        <w:t xml:space="preserve">le </w:t>
      </w:r>
      <w:r w:rsidR="00E60DFA">
        <w:rPr>
          <w:rFonts w:eastAsia="Times New Roman"/>
          <w:kern w:val="16"/>
          <w:lang w:eastAsia="en-AU"/>
        </w:rPr>
        <w:t>IM</w:t>
      </w:r>
      <w:r w:rsidRPr="007D66D9">
        <w:rPr>
          <w:rFonts w:eastAsia="Times New Roman"/>
          <w:kern w:val="16"/>
          <w:lang w:eastAsia="en-AU"/>
        </w:rPr>
        <w:t xml:space="preserve"> injection of paliperidone palmitate in the gluteal or deltoid muscle, the </w:t>
      </w:r>
      <w:proofErr w:type="spellStart"/>
      <w:r w:rsidRPr="007D66D9">
        <w:rPr>
          <w:rFonts w:eastAsia="Times New Roman"/>
          <w:kern w:val="16"/>
          <w:lang w:eastAsia="en-AU"/>
        </w:rPr>
        <w:t>paliperidone</w:t>
      </w:r>
      <w:proofErr w:type="spellEnd"/>
      <w:r w:rsidRPr="007D66D9">
        <w:rPr>
          <w:rFonts w:eastAsia="Times New Roman"/>
          <w:kern w:val="16"/>
          <w:lang w:eastAsia="en-AU"/>
        </w:rPr>
        <w:t xml:space="preserve"> AUC</w:t>
      </w:r>
      <w:r w:rsidRPr="007D66D9">
        <w:rPr>
          <w:rFonts w:eastAsia="Times New Roman"/>
          <w:kern w:val="16"/>
          <w:vertAlign w:val="subscript"/>
          <w:lang w:eastAsia="en-AU"/>
        </w:rPr>
        <w:t>∞</w:t>
      </w:r>
      <w:r w:rsidRPr="007D66D9">
        <w:rPr>
          <w:rFonts w:eastAsia="Times New Roman"/>
          <w:kern w:val="16"/>
          <w:lang w:eastAsia="en-AU"/>
        </w:rPr>
        <w:t xml:space="preserve"> and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increased approximatel</w:t>
      </w:r>
      <w:r w:rsidR="00E60DFA">
        <w:rPr>
          <w:rFonts w:eastAsia="Times New Roman"/>
          <w:kern w:val="16"/>
          <w:lang w:eastAsia="en-AU"/>
        </w:rPr>
        <w:t xml:space="preserve">y dose-proportionally in the 75 to </w:t>
      </w:r>
      <w:r w:rsidR="0058163A">
        <w:rPr>
          <w:rFonts w:eastAsia="Times New Roman"/>
          <w:kern w:val="16"/>
          <w:lang w:eastAsia="en-AU"/>
        </w:rPr>
        <w:t>525</w:t>
      </w:r>
      <w:r w:rsidR="004A676D">
        <w:rPr>
          <w:rFonts w:eastAsia="Times New Roman"/>
          <w:kern w:val="16"/>
          <w:lang w:eastAsia="en-AU"/>
        </w:rPr>
        <w:t xml:space="preserve"> mg</w:t>
      </w:r>
      <w:r w:rsidR="00E60DFA">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ra</w:t>
      </w:r>
      <w:r w:rsidR="003673F6">
        <w:rPr>
          <w:rFonts w:eastAsia="Times New Roman"/>
          <w:kern w:val="16"/>
          <w:lang w:eastAsia="en-AU"/>
        </w:rPr>
        <w:t>ng</w:t>
      </w:r>
      <w:r w:rsidRPr="007D66D9">
        <w:rPr>
          <w:rFonts w:eastAsia="Times New Roman"/>
          <w:kern w:val="16"/>
          <w:lang w:eastAsia="en-AU"/>
        </w:rPr>
        <w:t>e.</w:t>
      </w:r>
    </w:p>
    <w:p w14:paraId="5A1FD608"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The LS means of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of </w:t>
      </w:r>
      <w:proofErr w:type="spellStart"/>
      <w:r w:rsidRPr="007D66D9">
        <w:rPr>
          <w:rFonts w:eastAsia="Times New Roman"/>
          <w:kern w:val="16"/>
          <w:lang w:eastAsia="en-AU"/>
        </w:rPr>
        <w:t>paliperidone</w:t>
      </w:r>
      <w:proofErr w:type="spellEnd"/>
      <w:r w:rsidRPr="007D66D9">
        <w:rPr>
          <w:rFonts w:eastAsia="Times New Roman"/>
          <w:kern w:val="16"/>
          <w:lang w:eastAsia="en-AU"/>
        </w:rPr>
        <w:t xml:space="preserve"> was higher after injection of paliperidone palmitate in the deltoid muscle compared to the gluteal muscle (27% </w:t>
      </w:r>
      <w:proofErr w:type="gramStart"/>
      <w:r w:rsidRPr="007D66D9">
        <w:rPr>
          <w:rFonts w:eastAsia="Times New Roman"/>
          <w:kern w:val="16"/>
          <w:lang w:eastAsia="en-AU"/>
        </w:rPr>
        <w:t>increase</w:t>
      </w:r>
      <w:proofErr w:type="gramEnd"/>
      <w:r w:rsidRPr="007D66D9">
        <w:rPr>
          <w:rFonts w:eastAsia="Times New Roman"/>
          <w:kern w:val="16"/>
          <w:lang w:eastAsia="en-AU"/>
        </w:rPr>
        <w:t xml:space="preserve"> over all dose levels) whereas the AUC</w:t>
      </w:r>
      <w:r w:rsidRPr="007D66D9">
        <w:rPr>
          <w:rFonts w:eastAsia="Times New Roman"/>
          <w:kern w:val="16"/>
          <w:vertAlign w:val="subscript"/>
          <w:lang w:eastAsia="en-AU"/>
        </w:rPr>
        <w:t>∞</w:t>
      </w:r>
      <w:r w:rsidRPr="007D66D9">
        <w:rPr>
          <w:rFonts w:eastAsia="Times New Roman"/>
          <w:kern w:val="16"/>
          <w:lang w:eastAsia="en-AU"/>
        </w:rPr>
        <w:t xml:space="preserve"> was similar between injection sites.</w:t>
      </w:r>
    </w:p>
    <w:p w14:paraId="1262E3ED" w14:textId="77777777" w:rsidR="00E60DFA" w:rsidRDefault="00E60DFA" w:rsidP="00E60DFA">
      <w:pPr>
        <w:rPr>
          <w:b/>
          <w:lang w:eastAsia="en-AU"/>
        </w:rPr>
      </w:pPr>
      <w:r w:rsidRPr="00E60DFA">
        <w:rPr>
          <w:rStyle w:val="Heading6Char"/>
          <w:rFonts w:eastAsia="Cambria"/>
        </w:rPr>
        <w:t>Comments on the Study</w:t>
      </w:r>
    </w:p>
    <w:p w14:paraId="350C3990" w14:textId="1ADF795E" w:rsidR="004A676D" w:rsidRDefault="00F03A87"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cs="Arial"/>
          <w:kern w:val="16"/>
          <w:lang w:eastAsia="en-AU"/>
        </w:rPr>
      </w:pPr>
      <w:r>
        <w:rPr>
          <w:lang w:eastAsia="en-AU"/>
        </w:rPr>
        <w:t>[I</w:t>
      </w:r>
      <w:r w:rsidR="009207AF">
        <w:rPr>
          <w:lang w:eastAsia="en-AU"/>
        </w:rPr>
        <w:t>nformation redacted]</w:t>
      </w:r>
      <w:r>
        <w:rPr>
          <w:lang w:eastAsia="en-AU"/>
        </w:rPr>
        <w:t xml:space="preserve"> </w:t>
      </w:r>
      <w:r w:rsidR="007D66D9" w:rsidRPr="007D66D9">
        <w:rPr>
          <w:rFonts w:eastAsia="Times New Roman"/>
          <w:kern w:val="16"/>
          <w:lang w:eastAsia="en-AU"/>
        </w:rPr>
        <w:t xml:space="preserve">The statistical analysis plan of the data included an interim analysis after at least 20 subjects per treatment group in Panel A (40 subjects in total) had completed their Day 196 assessments in Period 2. This showed a greater than expected inter subject variability and low relative bioavailability compared to that seen with the 1 month formulation. It was hypothesized that </w:t>
      </w:r>
      <w:r w:rsidR="007D66D9" w:rsidRPr="007D66D9">
        <w:rPr>
          <w:rFonts w:eastAsia="Times New Roman" w:cs="Arial"/>
          <w:kern w:val="16"/>
          <w:lang w:eastAsia="en-AU"/>
        </w:rPr>
        <w:t xml:space="preserve">the results in </w:t>
      </w:r>
      <w:r w:rsidR="00E60DFA">
        <w:rPr>
          <w:rFonts w:eastAsia="Times New Roman" w:cs="Arial"/>
          <w:kern w:val="16"/>
          <w:lang w:eastAsia="en-AU"/>
        </w:rPr>
        <w:t>‘</w:t>
      </w:r>
      <w:r w:rsidR="007D66D9" w:rsidRPr="00E60DFA">
        <w:rPr>
          <w:rFonts w:eastAsia="Times New Roman" w:cs="Arial"/>
          <w:i/>
          <w:kern w:val="16"/>
          <w:lang w:eastAsia="en-AU"/>
        </w:rPr>
        <w:t>Panels A and C were likely compromised by incomplete injections in some subjects at some sites due to inadequate shaki</w:t>
      </w:r>
      <w:r w:rsidR="003673F6">
        <w:rPr>
          <w:rFonts w:eastAsia="Times New Roman" w:cs="Arial"/>
          <w:i/>
          <w:kern w:val="16"/>
          <w:lang w:eastAsia="en-AU"/>
        </w:rPr>
        <w:t>ng</w:t>
      </w:r>
      <w:r w:rsidR="007D66D9" w:rsidRPr="00E60DFA">
        <w:rPr>
          <w:rFonts w:eastAsia="Times New Roman" w:cs="Arial"/>
          <w:i/>
          <w:kern w:val="16"/>
          <w:lang w:eastAsia="en-AU"/>
        </w:rPr>
        <w:t xml:space="preserve"> prior to injection which led to significant quantities of medication bei</w:t>
      </w:r>
      <w:r w:rsidR="003673F6">
        <w:rPr>
          <w:rFonts w:eastAsia="Times New Roman" w:cs="Arial"/>
          <w:i/>
          <w:kern w:val="16"/>
          <w:lang w:eastAsia="en-AU"/>
        </w:rPr>
        <w:t>ng</w:t>
      </w:r>
      <w:r w:rsidR="007D66D9" w:rsidRPr="00E60DFA">
        <w:rPr>
          <w:rFonts w:eastAsia="Times New Roman" w:cs="Arial"/>
          <w:i/>
          <w:kern w:val="16"/>
          <w:lang w:eastAsia="en-AU"/>
        </w:rPr>
        <w:t xml:space="preserve"> left in the syri</w:t>
      </w:r>
      <w:r w:rsidR="003673F6">
        <w:rPr>
          <w:rFonts w:eastAsia="Times New Roman" w:cs="Arial"/>
          <w:i/>
          <w:kern w:val="16"/>
          <w:lang w:eastAsia="en-AU"/>
        </w:rPr>
        <w:t>ng</w:t>
      </w:r>
      <w:r w:rsidR="007D66D9" w:rsidRPr="00E60DFA">
        <w:rPr>
          <w:rFonts w:eastAsia="Times New Roman" w:cs="Arial"/>
          <w:i/>
          <w:kern w:val="16"/>
          <w:lang w:eastAsia="en-AU"/>
        </w:rPr>
        <w:t>e due to investigational product not bei</w:t>
      </w:r>
      <w:r w:rsidR="003673F6">
        <w:rPr>
          <w:rFonts w:eastAsia="Times New Roman" w:cs="Arial"/>
          <w:i/>
          <w:kern w:val="16"/>
          <w:lang w:eastAsia="en-AU"/>
        </w:rPr>
        <w:t>ng</w:t>
      </w:r>
      <w:r w:rsidR="007D66D9" w:rsidRPr="00E60DFA">
        <w:rPr>
          <w:rFonts w:eastAsia="Times New Roman" w:cs="Arial"/>
          <w:i/>
          <w:kern w:val="16"/>
          <w:lang w:eastAsia="en-AU"/>
        </w:rPr>
        <w:t xml:space="preserve"> resuspended prior to injection</w:t>
      </w:r>
      <w:r w:rsidR="00E60DFA">
        <w:rPr>
          <w:rFonts w:eastAsia="Times New Roman" w:cs="Arial"/>
          <w:i/>
          <w:kern w:val="16"/>
          <w:lang w:eastAsia="en-AU"/>
        </w:rPr>
        <w:t>’</w:t>
      </w:r>
      <w:r w:rsidR="004A676D" w:rsidRPr="00E60DFA">
        <w:rPr>
          <w:rFonts w:eastAsia="Times New Roman" w:cs="Arial"/>
          <w:i/>
          <w:kern w:val="16"/>
          <w:lang w:eastAsia="en-AU"/>
        </w:rPr>
        <w:t>.</w:t>
      </w:r>
    </w:p>
    <w:p w14:paraId="31090628"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This also resulted in:</w:t>
      </w:r>
    </w:p>
    <w:p w14:paraId="423DF2E4" w14:textId="77777777" w:rsidR="007D66D9" w:rsidRPr="007D66D9" w:rsidRDefault="007D66D9" w:rsidP="00E60DFA">
      <w:pPr>
        <w:pStyle w:val="ListBullet"/>
      </w:pPr>
      <w:r w:rsidRPr="007D66D9">
        <w:t>values for AUC</w:t>
      </w:r>
      <w:r w:rsidRPr="007D66D9">
        <w:rPr>
          <w:vertAlign w:val="subscript"/>
        </w:rPr>
        <w:t>∞</w:t>
      </w:r>
      <w:r w:rsidRPr="007D66D9">
        <w:t>, t</w:t>
      </w:r>
      <w:r w:rsidRPr="007D66D9">
        <w:rPr>
          <w:vertAlign w:val="subscript"/>
        </w:rPr>
        <w:t xml:space="preserve">1/2 </w:t>
      </w:r>
      <w:r w:rsidRPr="007D66D9">
        <w:t xml:space="preserve">and </w:t>
      </w:r>
      <w:proofErr w:type="spellStart"/>
      <w:r w:rsidR="009F485A">
        <w:t>λ</w:t>
      </w:r>
      <w:r w:rsidRPr="007D66D9">
        <w:rPr>
          <w:vertAlign w:val="subscript"/>
        </w:rPr>
        <w:t>z</w:t>
      </w:r>
      <w:proofErr w:type="spellEnd"/>
      <w:r w:rsidR="007164AB">
        <w:t xml:space="preserve"> not bei</w:t>
      </w:r>
      <w:r w:rsidR="003673F6">
        <w:t>ng</w:t>
      </w:r>
      <w:r w:rsidR="007164AB">
        <w:t xml:space="preserve"> calculated</w:t>
      </w:r>
    </w:p>
    <w:p w14:paraId="5D9BDDCF" w14:textId="77777777" w:rsidR="007D66D9" w:rsidRPr="007D66D9" w:rsidRDefault="007D66D9" w:rsidP="00E60DFA">
      <w:pPr>
        <w:pStyle w:val="ListBullet"/>
      </w:pPr>
      <w:proofErr w:type="gramStart"/>
      <w:r w:rsidRPr="007D66D9">
        <w:t>plasma</w:t>
      </w:r>
      <w:proofErr w:type="gramEnd"/>
      <w:r w:rsidRPr="007D66D9">
        <w:t xml:space="preserve"> samples outside the 7 day window </w:t>
      </w:r>
      <w:r w:rsidRPr="007D66D9">
        <w:rPr>
          <w:vertAlign w:val="superscript"/>
        </w:rPr>
        <w:footnoteReference w:id="4"/>
      </w:r>
      <w:r w:rsidRPr="007D66D9">
        <w:t xml:space="preserve"> bei</w:t>
      </w:r>
      <w:r w:rsidR="003673F6">
        <w:t>ng</w:t>
      </w:r>
      <w:r w:rsidRPr="007D66D9">
        <w:t xml:space="preserve"> excluded on visual inspection of the individual paliperidone plasma concentration time profiles.</w:t>
      </w:r>
    </w:p>
    <w:p w14:paraId="3F9924E4" w14:textId="77777777" w:rsidR="007D66D9" w:rsidRPr="007D66D9" w:rsidRDefault="007D66D9" w:rsidP="00D260F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sidRPr="007D66D9">
        <w:rPr>
          <w:rFonts w:eastAsia="Times New Roman"/>
          <w:kern w:val="16"/>
          <w:lang w:eastAsia="en-AU"/>
        </w:rPr>
        <w:t xml:space="preserve">There was a large variability in </w:t>
      </w:r>
      <w:proofErr w:type="spellStart"/>
      <w:r w:rsidRPr="007D66D9">
        <w:rPr>
          <w:rFonts w:eastAsia="Times New Roman"/>
          <w:kern w:val="16"/>
          <w:lang w:eastAsia="en-AU"/>
        </w:rPr>
        <w:t>T</w:t>
      </w:r>
      <w:r w:rsidRPr="007D66D9">
        <w:rPr>
          <w:rFonts w:eastAsia="Times New Roman"/>
          <w:kern w:val="16"/>
          <w:vertAlign w:val="subscript"/>
          <w:lang w:eastAsia="en-AU"/>
        </w:rPr>
        <w:t>last</w:t>
      </w:r>
      <w:proofErr w:type="spellEnd"/>
      <w:r w:rsidRPr="007D66D9">
        <w:rPr>
          <w:rFonts w:eastAsia="Times New Roman"/>
          <w:kern w:val="16"/>
          <w:lang w:eastAsia="en-AU"/>
        </w:rPr>
        <w:t xml:space="preserve"> values across subjects in Panels B </w:t>
      </w:r>
      <w:r w:rsidR="00E60DFA">
        <w:rPr>
          <w:rFonts w:eastAsia="Times New Roman"/>
          <w:kern w:val="16"/>
          <w:lang w:eastAsia="en-AU"/>
        </w:rPr>
        <w:t>and</w:t>
      </w:r>
      <w:r w:rsidRPr="007D66D9">
        <w:rPr>
          <w:rFonts w:eastAsia="Times New Roman"/>
          <w:kern w:val="16"/>
          <w:lang w:eastAsia="en-AU"/>
        </w:rPr>
        <w:t xml:space="preserve"> D, which was caused by drop outs and participation of subjects in the extension period until 544 days</w:t>
      </w:r>
      <w:r w:rsidRPr="007D66D9">
        <w:rPr>
          <w:rFonts w:eastAsia="Times New Roman" w:cs="Arial"/>
          <w:kern w:val="16"/>
          <w:lang w:eastAsia="en-AU"/>
        </w:rPr>
        <w:t xml:space="preserve"> so that </w:t>
      </w:r>
      <w:proofErr w:type="spellStart"/>
      <w:r w:rsidRPr="007D66D9">
        <w:rPr>
          <w:rFonts w:eastAsia="Times New Roman" w:cs="Arial"/>
          <w:kern w:val="16"/>
          <w:lang w:eastAsia="en-AU"/>
        </w:rPr>
        <w:t>F</w:t>
      </w:r>
      <w:r w:rsidRPr="007D66D9">
        <w:rPr>
          <w:rFonts w:eastAsia="Times New Roman" w:cs="Arial"/>
          <w:kern w:val="16"/>
          <w:vertAlign w:val="subscript"/>
          <w:lang w:eastAsia="en-AU"/>
        </w:rPr>
        <w:t>rel,AUClast</w:t>
      </w:r>
      <w:proofErr w:type="spellEnd"/>
      <w:r w:rsidRPr="007D66D9">
        <w:rPr>
          <w:rFonts w:eastAsia="Times New Roman"/>
          <w:kern w:val="16"/>
          <w:lang w:eastAsia="en-AU"/>
        </w:rPr>
        <w:t xml:space="preserve"> was not calculated for B </w:t>
      </w:r>
      <w:r w:rsidR="00E60DFA">
        <w:rPr>
          <w:rFonts w:eastAsia="Times New Roman"/>
          <w:kern w:val="16"/>
          <w:lang w:eastAsia="en-AU"/>
        </w:rPr>
        <w:t>and</w:t>
      </w:r>
      <w:r w:rsidRPr="007D66D9">
        <w:rPr>
          <w:rFonts w:eastAsia="Times New Roman"/>
          <w:kern w:val="16"/>
          <w:lang w:eastAsia="en-AU"/>
        </w:rPr>
        <w:t xml:space="preserve"> D.</w:t>
      </w:r>
    </w:p>
    <w:p w14:paraId="71291EBC" w14:textId="77777777" w:rsidR="007D66D9" w:rsidRPr="00E60DFA" w:rsidRDefault="00E60DFA"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cs="Arial"/>
          <w:i/>
          <w:kern w:val="16"/>
          <w:lang w:eastAsia="en-AU"/>
        </w:rPr>
      </w:pPr>
      <w:r>
        <w:rPr>
          <w:rFonts w:eastAsia="Times New Roman" w:cs="Arial"/>
          <w:i/>
          <w:kern w:val="16"/>
          <w:lang w:eastAsia="en-AU"/>
        </w:rPr>
        <w:t>‘</w:t>
      </w:r>
      <w:r w:rsidR="007D66D9" w:rsidRPr="00E60DFA">
        <w:rPr>
          <w:rFonts w:eastAsia="Times New Roman" w:cs="Arial"/>
          <w:i/>
          <w:kern w:val="16"/>
          <w:lang w:eastAsia="en-AU"/>
        </w:rPr>
        <w:t>For some subjects in Panel B (Period 2), the %</w:t>
      </w:r>
      <w:r w:rsidR="009F485A">
        <w:rPr>
          <w:rFonts w:eastAsia="Times New Roman" w:cs="Arial"/>
          <w:i/>
          <w:kern w:val="16"/>
          <w:lang w:eastAsia="en-AU"/>
        </w:rPr>
        <w:t xml:space="preserve"> </w:t>
      </w:r>
      <w:proofErr w:type="spellStart"/>
      <w:r w:rsidR="007D66D9" w:rsidRPr="00E60DFA">
        <w:rPr>
          <w:rFonts w:eastAsia="Times New Roman" w:cs="Arial"/>
          <w:i/>
          <w:kern w:val="16"/>
          <w:lang w:eastAsia="en-AU"/>
        </w:rPr>
        <w:t>AUC</w:t>
      </w:r>
      <w:r w:rsidR="007D66D9" w:rsidRPr="00E60DFA">
        <w:rPr>
          <w:rFonts w:eastAsia="Times New Roman" w:cs="Arial"/>
          <w:i/>
          <w:kern w:val="16"/>
          <w:vertAlign w:val="subscript"/>
          <w:lang w:eastAsia="en-AU"/>
        </w:rPr>
        <w:t>∞,ex</w:t>
      </w:r>
      <w:proofErr w:type="spellEnd"/>
      <w:r w:rsidR="007D66D9" w:rsidRPr="00E60DFA">
        <w:rPr>
          <w:rFonts w:eastAsia="Times New Roman" w:cs="Arial"/>
          <w:i/>
          <w:kern w:val="16"/>
          <w:lang w:eastAsia="en-AU"/>
        </w:rPr>
        <w:t xml:space="preserve"> was above 20% of total AUC due to the continued release of paliperidone palmitate up to and beyond the last sampli</w:t>
      </w:r>
      <w:r w:rsidR="003673F6">
        <w:rPr>
          <w:rFonts w:eastAsia="Times New Roman" w:cs="Arial"/>
          <w:i/>
          <w:kern w:val="16"/>
          <w:lang w:eastAsia="en-AU"/>
        </w:rPr>
        <w:t>ng</w:t>
      </w:r>
      <w:r w:rsidR="007D66D9" w:rsidRPr="00E60DFA">
        <w:rPr>
          <w:rFonts w:eastAsia="Times New Roman" w:cs="Arial"/>
          <w:i/>
          <w:kern w:val="16"/>
          <w:lang w:eastAsia="en-AU"/>
        </w:rPr>
        <w:t xml:space="preserve"> point (3 out of 21 subjects in the 75</w:t>
      </w:r>
      <w:r w:rsidR="004A676D" w:rsidRPr="00E60DFA">
        <w:rPr>
          <w:rFonts w:eastAsia="Times New Roman" w:cs="Arial"/>
          <w:i/>
          <w:kern w:val="16"/>
          <w:lang w:eastAsia="en-AU"/>
        </w:rPr>
        <w:t xml:space="preserve"> mg</w:t>
      </w:r>
      <w:r w:rsidR="007D66D9" w:rsidRPr="00E60DFA">
        <w:rPr>
          <w:rFonts w:eastAsia="Times New Roman" w:cs="Arial"/>
          <w:i/>
          <w:kern w:val="16"/>
          <w:lang w:eastAsia="en-AU"/>
        </w:rPr>
        <w:t xml:space="preserve"> </w:t>
      </w:r>
      <w:r w:rsidR="004A676D" w:rsidRPr="00E60DFA">
        <w:rPr>
          <w:rFonts w:eastAsia="Times New Roman" w:cs="Arial"/>
          <w:i/>
          <w:kern w:val="16"/>
          <w:lang w:eastAsia="en-AU"/>
        </w:rPr>
        <w:t>equivalent</w:t>
      </w:r>
      <w:r w:rsidR="007D66D9" w:rsidRPr="00E60DFA">
        <w:rPr>
          <w:rFonts w:eastAsia="Times New Roman" w:cs="Arial"/>
          <w:i/>
          <w:kern w:val="16"/>
          <w:lang w:eastAsia="en-AU"/>
        </w:rPr>
        <w:t xml:space="preserve"> gluteal dose group, 2 out of 14 subjects in the 150</w:t>
      </w:r>
      <w:r w:rsidR="004A676D" w:rsidRPr="00E60DFA">
        <w:rPr>
          <w:rFonts w:eastAsia="Times New Roman" w:cs="Arial"/>
          <w:i/>
          <w:kern w:val="16"/>
          <w:lang w:eastAsia="en-AU"/>
        </w:rPr>
        <w:t xml:space="preserve"> mg</w:t>
      </w:r>
      <w:r w:rsidR="007D66D9" w:rsidRPr="00E60DFA">
        <w:rPr>
          <w:rFonts w:eastAsia="Times New Roman" w:cs="Arial"/>
          <w:i/>
          <w:kern w:val="16"/>
          <w:lang w:eastAsia="en-AU"/>
        </w:rPr>
        <w:t xml:space="preserve"> </w:t>
      </w:r>
      <w:r w:rsidR="004A676D" w:rsidRPr="00E60DFA">
        <w:rPr>
          <w:rFonts w:eastAsia="Times New Roman" w:cs="Arial"/>
          <w:i/>
          <w:kern w:val="16"/>
          <w:lang w:eastAsia="en-AU"/>
        </w:rPr>
        <w:t>equivalent</w:t>
      </w:r>
      <w:r w:rsidR="007D66D9" w:rsidRPr="00E60DFA">
        <w:rPr>
          <w:rFonts w:eastAsia="Times New Roman" w:cs="Arial"/>
          <w:i/>
          <w:kern w:val="16"/>
          <w:lang w:eastAsia="en-AU"/>
        </w:rPr>
        <w:t xml:space="preserve"> gluteal dose group, 2 out of 21 in the 450</w:t>
      </w:r>
      <w:r w:rsidR="004A676D" w:rsidRPr="00E60DFA">
        <w:rPr>
          <w:rFonts w:eastAsia="Times New Roman" w:cs="Arial"/>
          <w:i/>
          <w:kern w:val="16"/>
          <w:lang w:eastAsia="en-AU"/>
        </w:rPr>
        <w:t xml:space="preserve"> mg</w:t>
      </w:r>
      <w:r w:rsidR="007D66D9" w:rsidRPr="00E60DFA">
        <w:rPr>
          <w:rFonts w:eastAsia="Times New Roman" w:cs="Arial"/>
          <w:i/>
          <w:kern w:val="16"/>
          <w:lang w:eastAsia="en-AU"/>
        </w:rPr>
        <w:t xml:space="preserve"> </w:t>
      </w:r>
      <w:r w:rsidR="004A676D" w:rsidRPr="00E60DFA">
        <w:rPr>
          <w:rFonts w:eastAsia="Times New Roman" w:cs="Arial"/>
          <w:i/>
          <w:kern w:val="16"/>
          <w:lang w:eastAsia="en-AU"/>
        </w:rPr>
        <w:t>equivalent</w:t>
      </w:r>
      <w:r w:rsidR="007D66D9" w:rsidRPr="00E60DFA">
        <w:rPr>
          <w:rFonts w:eastAsia="Times New Roman" w:cs="Arial"/>
          <w:i/>
          <w:kern w:val="16"/>
          <w:lang w:eastAsia="en-AU"/>
        </w:rPr>
        <w:t xml:space="preserve"> deltoid dose group and 2 out of 15 subjects in the 450</w:t>
      </w:r>
      <w:r w:rsidR="004A676D" w:rsidRPr="00E60DFA">
        <w:rPr>
          <w:rFonts w:eastAsia="Times New Roman" w:cs="Arial"/>
          <w:i/>
          <w:kern w:val="16"/>
          <w:lang w:eastAsia="en-AU"/>
        </w:rPr>
        <w:t xml:space="preserve"> mg</w:t>
      </w:r>
      <w:r w:rsidR="007D66D9" w:rsidRPr="00E60DFA">
        <w:rPr>
          <w:rFonts w:eastAsia="Times New Roman" w:cs="Arial"/>
          <w:i/>
          <w:kern w:val="16"/>
          <w:lang w:eastAsia="en-AU"/>
        </w:rPr>
        <w:t xml:space="preserve"> </w:t>
      </w:r>
      <w:r w:rsidR="004A676D" w:rsidRPr="00E60DFA">
        <w:rPr>
          <w:rFonts w:eastAsia="Times New Roman" w:cs="Arial"/>
          <w:i/>
          <w:kern w:val="16"/>
          <w:lang w:eastAsia="en-AU"/>
        </w:rPr>
        <w:t>equivalent</w:t>
      </w:r>
      <w:r w:rsidR="007D66D9" w:rsidRPr="00E60DFA">
        <w:rPr>
          <w:rFonts w:eastAsia="Times New Roman" w:cs="Arial"/>
          <w:i/>
          <w:kern w:val="16"/>
          <w:lang w:eastAsia="en-AU"/>
        </w:rPr>
        <w:t xml:space="preserve"> gluteal dose group) requiri</w:t>
      </w:r>
      <w:r w:rsidR="003673F6">
        <w:rPr>
          <w:rFonts w:eastAsia="Times New Roman" w:cs="Arial"/>
          <w:i/>
          <w:kern w:val="16"/>
          <w:lang w:eastAsia="en-AU"/>
        </w:rPr>
        <w:t>ng</w:t>
      </w:r>
      <w:r w:rsidR="007D66D9" w:rsidRPr="00E60DFA">
        <w:rPr>
          <w:rFonts w:eastAsia="Times New Roman" w:cs="Arial"/>
          <w:i/>
          <w:kern w:val="16"/>
          <w:lang w:eastAsia="en-AU"/>
        </w:rPr>
        <w:t xml:space="preserve"> exclusion from the descriptive statistics. Therefore descriptive statistics on AUC</w:t>
      </w:r>
      <w:r w:rsidR="007D66D9" w:rsidRPr="007164AB">
        <w:rPr>
          <w:rFonts w:eastAsia="Times New Roman" w:cs="Arial"/>
          <w:i/>
          <w:kern w:val="16"/>
          <w:vertAlign w:val="subscript"/>
          <w:lang w:eastAsia="en-AU"/>
        </w:rPr>
        <w:t>∞</w:t>
      </w:r>
      <w:r w:rsidR="007D66D9" w:rsidRPr="00E60DFA">
        <w:rPr>
          <w:rFonts w:eastAsia="Times New Roman" w:cs="Arial"/>
          <w:i/>
          <w:kern w:val="16"/>
          <w:lang w:eastAsia="en-AU"/>
        </w:rPr>
        <w:t xml:space="preserve"> may be biased downwards.</w:t>
      </w:r>
    </w:p>
    <w:p w14:paraId="518CFF51" w14:textId="77777777" w:rsidR="007D66D9" w:rsidRPr="00E60DFA"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cs="Arial"/>
          <w:i/>
          <w:kern w:val="16"/>
          <w:lang w:eastAsia="en-AU"/>
        </w:rPr>
      </w:pPr>
      <w:r w:rsidRPr="00E60DFA">
        <w:rPr>
          <w:rFonts w:eastAsia="Times New Roman" w:cs="Arial"/>
          <w:i/>
          <w:kern w:val="16"/>
          <w:lang w:eastAsia="en-AU"/>
        </w:rPr>
        <w:t>For a number of subjects (16 subjects across doses) the plasma concentration-time profile of paliperidone did not show a clear decrease. For these subjects, the terminal half-life time could not be accurately determined and therefore it is possible that presented median t</w:t>
      </w:r>
      <w:r w:rsidRPr="00E60DFA">
        <w:rPr>
          <w:rFonts w:eastAsia="Times New Roman" w:cs="Arial"/>
          <w:i/>
          <w:kern w:val="16"/>
          <w:vertAlign w:val="subscript"/>
          <w:lang w:eastAsia="en-AU"/>
        </w:rPr>
        <w:t xml:space="preserve">1/2 </w:t>
      </w:r>
      <w:r w:rsidRPr="00E60DFA">
        <w:rPr>
          <w:rFonts w:eastAsia="Times New Roman" w:cs="Arial"/>
          <w:i/>
          <w:kern w:val="16"/>
          <w:lang w:eastAsia="en-AU"/>
        </w:rPr>
        <w:t>and AUC</w:t>
      </w:r>
      <w:r w:rsidRPr="00E60DFA">
        <w:rPr>
          <w:rFonts w:eastAsia="Times New Roman" w:cs="Arial"/>
          <w:i/>
          <w:kern w:val="16"/>
          <w:vertAlign w:val="subscript"/>
          <w:lang w:eastAsia="en-AU"/>
        </w:rPr>
        <w:t>∞</w:t>
      </w:r>
      <w:r w:rsidRPr="00E60DFA">
        <w:rPr>
          <w:rFonts w:eastAsia="Times New Roman" w:cs="Arial"/>
          <w:i/>
          <w:kern w:val="16"/>
          <w:lang w:eastAsia="en-AU"/>
        </w:rPr>
        <w:t xml:space="preserve"> values are underestimated.</w:t>
      </w:r>
      <w:r w:rsidR="00E60DFA">
        <w:rPr>
          <w:rFonts w:eastAsia="Times New Roman" w:cs="Arial"/>
          <w:i/>
          <w:kern w:val="16"/>
          <w:lang w:eastAsia="en-AU"/>
        </w:rPr>
        <w:t>’</w:t>
      </w:r>
    </w:p>
    <w:p w14:paraId="292BAB5B" w14:textId="77777777" w:rsidR="007D66D9" w:rsidRPr="007D66D9" w:rsidRDefault="007D66D9" w:rsidP="00094D64">
      <w:pPr>
        <w:pStyle w:val="Heading5"/>
      </w:pPr>
      <w:bookmarkStart w:id="64" w:name="_Toc453054873"/>
      <w:bookmarkStart w:id="65" w:name="_Toc241374293"/>
      <w:bookmarkStart w:id="66" w:name="_Toc272414626"/>
      <w:bookmarkStart w:id="67" w:name="_Toc290846249"/>
      <w:bookmarkStart w:id="68" w:name="_Toc290888786"/>
      <w:r w:rsidRPr="007D66D9">
        <w:t>Study 3012</w:t>
      </w:r>
      <w:bookmarkEnd w:id="64"/>
    </w:p>
    <w:p w14:paraId="0B598F3D" w14:textId="77777777" w:rsidR="007D66D9" w:rsidRPr="007D66D9" w:rsidRDefault="007D66D9" w:rsidP="009F467D">
      <w:pPr>
        <w:rPr>
          <w:lang w:eastAsia="en-AU"/>
        </w:rPr>
      </w:pPr>
      <w:r w:rsidRPr="007D66D9">
        <w:rPr>
          <w:lang w:eastAsia="en-AU"/>
        </w:rPr>
        <w:t xml:space="preserve">This was a </w:t>
      </w:r>
      <w:r w:rsidR="00E60DFA">
        <w:rPr>
          <w:lang w:eastAsia="en-AU"/>
        </w:rPr>
        <w:t>Phase</w:t>
      </w:r>
      <w:r w:rsidRPr="007D66D9">
        <w:rPr>
          <w:lang w:eastAsia="en-AU"/>
        </w:rPr>
        <w:t xml:space="preserve"> III randomized, </w:t>
      </w:r>
      <w:r w:rsidR="00E60DFA">
        <w:rPr>
          <w:lang w:eastAsia="en-AU"/>
        </w:rPr>
        <w:t>double blind</w:t>
      </w:r>
      <w:r w:rsidRPr="007D66D9">
        <w:rPr>
          <w:lang w:eastAsia="en-AU"/>
        </w:rPr>
        <w:t xml:space="preserve">, </w:t>
      </w:r>
      <w:r w:rsidR="00E60DFA">
        <w:rPr>
          <w:lang w:eastAsia="en-AU"/>
        </w:rPr>
        <w:t>parallel group</w:t>
      </w:r>
      <w:r w:rsidRPr="007D66D9">
        <w:rPr>
          <w:lang w:eastAsia="en-AU"/>
        </w:rPr>
        <w:t xml:space="preserve">, </w:t>
      </w:r>
      <w:r w:rsidR="00E60DFA">
        <w:rPr>
          <w:lang w:eastAsia="en-AU"/>
        </w:rPr>
        <w:t>placebo controlled</w:t>
      </w:r>
      <w:r w:rsidRPr="007D66D9">
        <w:rPr>
          <w:lang w:eastAsia="en-AU"/>
        </w:rPr>
        <w:t>, multicentre study to determine the efficacy and safety of Invega Trinza in the prevention of relapse of schizophrenia.</w:t>
      </w:r>
    </w:p>
    <w:p w14:paraId="05D8CE16" w14:textId="77777777" w:rsidR="007D66D9" w:rsidRPr="007D66D9" w:rsidRDefault="007D66D9" w:rsidP="009F467D">
      <w:pPr>
        <w:rPr>
          <w:lang w:eastAsia="en-AU"/>
        </w:rPr>
      </w:pPr>
      <w:r w:rsidRPr="007D66D9">
        <w:rPr>
          <w:lang w:eastAsia="en-AU"/>
        </w:rPr>
        <w:t>The study consists of 4 phases: a Screeni</w:t>
      </w:r>
      <w:r w:rsidR="003673F6">
        <w:rPr>
          <w:lang w:eastAsia="en-AU"/>
        </w:rPr>
        <w:t>ng</w:t>
      </w:r>
      <w:r w:rsidRPr="007D66D9">
        <w:rPr>
          <w:lang w:eastAsia="en-AU"/>
        </w:rPr>
        <w:t xml:space="preserve"> Phase (up to 3 weeks); a </w:t>
      </w:r>
      <w:r w:rsidR="00E60DFA">
        <w:rPr>
          <w:lang w:eastAsia="en-AU"/>
        </w:rPr>
        <w:t>17 week</w:t>
      </w:r>
      <w:r w:rsidRPr="007D66D9">
        <w:rPr>
          <w:lang w:eastAsia="en-AU"/>
        </w:rPr>
        <w:t xml:space="preserve"> flexible dose </w:t>
      </w:r>
      <w:r w:rsidR="004A676D">
        <w:rPr>
          <w:lang w:eastAsia="en-AU"/>
        </w:rPr>
        <w:t>open label</w:t>
      </w:r>
      <w:r w:rsidRPr="007D66D9">
        <w:rPr>
          <w:lang w:eastAsia="en-AU"/>
        </w:rPr>
        <w:t xml:space="preserve"> Transition Phase; a </w:t>
      </w:r>
      <w:r w:rsidR="00E60DFA">
        <w:rPr>
          <w:lang w:eastAsia="en-AU"/>
        </w:rPr>
        <w:t xml:space="preserve">12 week </w:t>
      </w:r>
      <w:r w:rsidRPr="007D66D9">
        <w:rPr>
          <w:lang w:eastAsia="en-AU"/>
        </w:rPr>
        <w:t xml:space="preserve">fixed dose </w:t>
      </w:r>
      <w:r w:rsidR="004A676D">
        <w:rPr>
          <w:lang w:eastAsia="en-AU"/>
        </w:rPr>
        <w:t>open label</w:t>
      </w:r>
      <w:r w:rsidRPr="007D66D9">
        <w:rPr>
          <w:lang w:eastAsia="en-AU"/>
        </w:rPr>
        <w:t xml:space="preserve"> Maintenance Phase; and a randomized, </w:t>
      </w:r>
      <w:r w:rsidR="00E60DFA">
        <w:rPr>
          <w:lang w:eastAsia="en-AU"/>
        </w:rPr>
        <w:t>double blind</w:t>
      </w:r>
      <w:r w:rsidRPr="007D66D9">
        <w:rPr>
          <w:lang w:eastAsia="en-AU"/>
        </w:rPr>
        <w:t xml:space="preserve">, fixed dose, </w:t>
      </w:r>
      <w:r w:rsidR="00E60DFA">
        <w:rPr>
          <w:lang w:eastAsia="en-AU"/>
        </w:rPr>
        <w:t>placebo controlled</w:t>
      </w:r>
      <w:r w:rsidRPr="007D66D9">
        <w:rPr>
          <w:lang w:eastAsia="en-AU"/>
        </w:rPr>
        <w:t xml:space="preserve"> relapse prevention phase duri</w:t>
      </w:r>
      <w:r w:rsidR="003673F6">
        <w:rPr>
          <w:lang w:eastAsia="en-AU"/>
        </w:rPr>
        <w:t>ng</w:t>
      </w:r>
      <w:r w:rsidRPr="007D66D9">
        <w:rPr>
          <w:lang w:eastAsia="en-AU"/>
        </w:rPr>
        <w:t xml:space="preserve"> which subjects were rando</w:t>
      </w:r>
      <w:r w:rsidR="00E60DFA">
        <w:rPr>
          <w:lang w:eastAsia="en-AU"/>
        </w:rPr>
        <w:t>ml</w:t>
      </w:r>
      <w:r w:rsidRPr="007D66D9">
        <w:rPr>
          <w:lang w:eastAsia="en-AU"/>
        </w:rPr>
        <w:t xml:space="preserve">y assigned, in a 1:1 ratio, to receive either a fixed dose of Invega Trinza or placebo. The </w:t>
      </w:r>
      <w:r w:rsidR="007164AB">
        <w:rPr>
          <w:lang w:eastAsia="en-AU"/>
        </w:rPr>
        <w:t xml:space="preserve">double </w:t>
      </w:r>
      <w:r w:rsidR="007164AB" w:rsidRPr="007D66D9">
        <w:rPr>
          <w:lang w:eastAsia="en-AU"/>
        </w:rPr>
        <w:t xml:space="preserve">blind </w:t>
      </w:r>
      <w:r w:rsidR="007164AB">
        <w:rPr>
          <w:lang w:eastAsia="en-AU"/>
        </w:rPr>
        <w:t>p</w:t>
      </w:r>
      <w:r w:rsidRPr="007D66D9">
        <w:rPr>
          <w:lang w:eastAsia="en-AU"/>
        </w:rPr>
        <w:t>hase was of variable duration; subjects could remain in the study for as lo</w:t>
      </w:r>
      <w:r w:rsidR="003673F6">
        <w:rPr>
          <w:lang w:eastAsia="en-AU"/>
        </w:rPr>
        <w:t>ng</w:t>
      </w:r>
      <w:r w:rsidRPr="007D66D9">
        <w:rPr>
          <w:lang w:eastAsia="en-AU"/>
        </w:rPr>
        <w:t xml:space="preserve"> as they were clinically stable.</w:t>
      </w:r>
    </w:p>
    <w:p w14:paraId="6966DAEF" w14:textId="77777777" w:rsidR="007D66D9" w:rsidRPr="007D66D9" w:rsidRDefault="007D66D9" w:rsidP="009F467D">
      <w:pPr>
        <w:rPr>
          <w:lang w:eastAsia="en-AU"/>
        </w:rPr>
      </w:pPr>
      <w:r w:rsidRPr="007D66D9">
        <w:rPr>
          <w:lang w:eastAsia="en-AU"/>
        </w:rPr>
        <w:lastRenderedPageBreak/>
        <w:t>Amo</w:t>
      </w:r>
      <w:r w:rsidR="003673F6">
        <w:rPr>
          <w:lang w:eastAsia="en-AU"/>
        </w:rPr>
        <w:t>ng</w:t>
      </w:r>
      <w:r w:rsidRPr="007D66D9">
        <w:rPr>
          <w:lang w:eastAsia="en-AU"/>
        </w:rPr>
        <w:t xml:space="preserve"> the secondary objectives was:</w:t>
      </w:r>
    </w:p>
    <w:p w14:paraId="29EA04D4" w14:textId="77777777" w:rsidR="007D66D9" w:rsidRPr="007D66D9" w:rsidRDefault="007D66D9" w:rsidP="009F467D">
      <w:pPr>
        <w:pStyle w:val="ListBullet"/>
      </w:pPr>
      <w:r w:rsidRPr="007D66D9">
        <w:t>Assess the pharmacokinetics (PK) of Invega Trinza includi</w:t>
      </w:r>
      <w:r w:rsidR="003673F6">
        <w:t>ng</w:t>
      </w:r>
      <w:r w:rsidRPr="007D66D9">
        <w:t xml:space="preserve"> its relationship with demographic and dose related variables.</w:t>
      </w:r>
    </w:p>
    <w:p w14:paraId="11C7F21D" w14:textId="77777777" w:rsidR="007D66D9" w:rsidRPr="007D66D9" w:rsidRDefault="007D66D9" w:rsidP="009F467D">
      <w:pPr>
        <w:rPr>
          <w:lang w:eastAsia="en-AU"/>
        </w:rPr>
      </w:pPr>
      <w:r w:rsidRPr="007D66D9">
        <w:rPr>
          <w:lang w:eastAsia="en-AU"/>
        </w:rPr>
        <w:t>Although adults from 18 to 70 years of age were to be included in this trial, due to data handli</w:t>
      </w:r>
      <w:r w:rsidR="003673F6">
        <w:rPr>
          <w:lang w:eastAsia="en-AU"/>
        </w:rPr>
        <w:t>ng</w:t>
      </w:r>
      <w:r w:rsidRPr="007D66D9">
        <w:rPr>
          <w:lang w:eastAsia="en-AU"/>
        </w:rPr>
        <w:t xml:space="preserve"> decisions, no subjects above 60 were included in the descriptive statistics of the pharmacokinetic parameters.</w:t>
      </w:r>
    </w:p>
    <w:p w14:paraId="3EA005BF" w14:textId="77777777" w:rsidR="007D66D9" w:rsidRPr="007D66D9" w:rsidRDefault="007D66D9" w:rsidP="009F467D">
      <w:pPr>
        <w:rPr>
          <w:lang w:eastAsia="en-AU"/>
        </w:rPr>
      </w:pPr>
      <w:r w:rsidRPr="007D66D9">
        <w:rPr>
          <w:lang w:eastAsia="en-AU"/>
        </w:rPr>
        <w:t>Paliperidone predose plasma concentrations after administration of Invega Sustenna at 50, 75, 100 or 150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on Day 64 and on Day 92 were comparable dose </w:t>
      </w:r>
      <w:r w:rsidR="009F485A">
        <w:rPr>
          <w:lang w:eastAsia="en-AU"/>
        </w:rPr>
        <w:t>normalized over all dose groups</w:t>
      </w:r>
      <w:r w:rsidRPr="007D66D9">
        <w:rPr>
          <w:lang w:eastAsia="en-AU"/>
        </w:rPr>
        <w:t>.</w:t>
      </w:r>
    </w:p>
    <w:p w14:paraId="1C09479B" w14:textId="77777777" w:rsidR="007D66D9" w:rsidRPr="007D66D9" w:rsidRDefault="007D66D9" w:rsidP="00DA386F">
      <w:pPr>
        <w:pStyle w:val="Tabletitle"/>
        <w:rPr>
          <w:lang w:eastAsia="en-AU"/>
        </w:rPr>
      </w:pPr>
      <w:bookmarkStart w:id="69" w:name="_Ref441650156"/>
      <w:bookmarkStart w:id="70" w:name="_Toc453054975"/>
      <w:r w:rsidRPr="009F485A">
        <w:rPr>
          <w:lang w:eastAsia="en-AU"/>
        </w:rPr>
        <w:t xml:space="preserve">Table </w:t>
      </w:r>
      <w:bookmarkEnd w:id="69"/>
      <w:r w:rsidR="009F485A" w:rsidRPr="009F485A">
        <w:rPr>
          <w:lang w:eastAsia="en-AU"/>
        </w:rPr>
        <w:t>1</w:t>
      </w:r>
      <w:r w:rsidR="009F485A">
        <w:rPr>
          <w:lang w:eastAsia="en-AU"/>
        </w:rPr>
        <w:t>2:</w:t>
      </w:r>
      <w:r w:rsidRPr="007D66D9">
        <w:rPr>
          <w:lang w:eastAsia="en-AU"/>
        </w:rPr>
        <w:t xml:space="preserve"> Predose </w:t>
      </w:r>
      <w:r w:rsidR="007164AB" w:rsidRPr="007D66D9">
        <w:rPr>
          <w:lang w:eastAsia="en-AU"/>
        </w:rPr>
        <w:t xml:space="preserve">plasma concentrations of paliperidone after administration </w:t>
      </w:r>
      <w:r w:rsidRPr="007D66D9">
        <w:rPr>
          <w:lang w:eastAsia="en-AU"/>
        </w:rPr>
        <w:t xml:space="preserve">of PP1M/PP3M </w:t>
      </w:r>
      <w:r w:rsidR="007164AB" w:rsidRPr="007D66D9">
        <w:rPr>
          <w:lang w:eastAsia="en-AU"/>
        </w:rPr>
        <w:t>d</w:t>
      </w:r>
      <w:r w:rsidRPr="007D66D9">
        <w:rPr>
          <w:lang w:eastAsia="en-AU"/>
        </w:rPr>
        <w:t>uri</w:t>
      </w:r>
      <w:r w:rsidR="003673F6">
        <w:rPr>
          <w:lang w:eastAsia="en-AU"/>
        </w:rPr>
        <w:t>ng</w:t>
      </w:r>
      <w:r w:rsidRPr="007D66D9">
        <w:rPr>
          <w:lang w:eastAsia="en-AU"/>
        </w:rPr>
        <w:t xml:space="preserve"> the </w:t>
      </w:r>
      <w:r w:rsidR="009F485A" w:rsidRPr="007D66D9">
        <w:rPr>
          <w:lang w:eastAsia="en-AU"/>
        </w:rPr>
        <w:t>tra</w:t>
      </w:r>
      <w:r w:rsidR="009F485A">
        <w:rPr>
          <w:lang w:eastAsia="en-AU"/>
        </w:rPr>
        <w:t xml:space="preserve">nsition, maintenance and double </w:t>
      </w:r>
      <w:r w:rsidR="009F485A" w:rsidRPr="007D66D9">
        <w:rPr>
          <w:lang w:eastAsia="en-AU"/>
        </w:rPr>
        <w:t>blind phase</w:t>
      </w:r>
      <w:bookmarkEnd w:id="70"/>
    </w:p>
    <w:p w14:paraId="2B0CC945" w14:textId="77777777" w:rsidR="007D66D9" w:rsidRPr="007D66D9" w:rsidRDefault="007D66D9" w:rsidP="00D37CB6">
      <w:pPr>
        <w:rPr>
          <w:lang w:eastAsia="en-AU"/>
        </w:rPr>
      </w:pPr>
      <w:r w:rsidRPr="007D66D9">
        <w:rPr>
          <w:noProof/>
          <w:lang w:eastAsia="en-AU"/>
        </w:rPr>
        <w:drawing>
          <wp:inline distT="0" distB="0" distL="0" distR="0" wp14:anchorId="6ECC494F" wp14:editId="2E255E3A">
            <wp:extent cx="5647685" cy="3145536"/>
            <wp:effectExtent l="0" t="0" r="0" b="0"/>
            <wp:docPr id="7" name="Picture 7" descr="Table 12: Predose plasma concentrations of paliperidone after administration of PP1M/PP3M during the transition, maintenance and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55151" cy="3149694"/>
                    </a:xfrm>
                    <a:prstGeom prst="rect">
                      <a:avLst/>
                    </a:prstGeom>
                  </pic:spPr>
                </pic:pic>
              </a:graphicData>
            </a:graphic>
          </wp:inline>
        </w:drawing>
      </w:r>
    </w:p>
    <w:p w14:paraId="24922C3E" w14:textId="77777777" w:rsidR="00D260FF" w:rsidRDefault="007D66D9" w:rsidP="007164AB">
      <w:pPr>
        <w:pStyle w:val="TableDescription"/>
        <w:rPr>
          <w:bCs/>
          <w:lang w:eastAsia="en-AU"/>
        </w:rPr>
      </w:pPr>
      <w:r w:rsidRPr="007D66D9">
        <w:rPr>
          <w:lang w:eastAsia="en-AU"/>
        </w:rPr>
        <w:t xml:space="preserve">Note: </w:t>
      </w:r>
      <w:r w:rsidRPr="00D260FF">
        <w:rPr>
          <w:lang w:eastAsia="en-AU"/>
        </w:rPr>
        <w:t>The PK report is internally inconsistent</w:t>
      </w:r>
      <w:r w:rsidRPr="007D66D9">
        <w:rPr>
          <w:lang w:eastAsia="en-AU"/>
        </w:rPr>
        <w:t xml:space="preserve"> with some of these results (</w:t>
      </w:r>
      <w:r w:rsidR="009746A1">
        <w:rPr>
          <w:lang w:eastAsia="en-AU"/>
        </w:rPr>
        <w:t>for example</w:t>
      </w:r>
      <w:r w:rsidRPr="007D66D9">
        <w:rPr>
          <w:lang w:eastAsia="en-AU"/>
        </w:rPr>
        <w:t xml:space="preserve"> Table 2) bei</w:t>
      </w:r>
      <w:r w:rsidR="003673F6">
        <w:rPr>
          <w:lang w:eastAsia="en-AU"/>
        </w:rPr>
        <w:t>ng</w:t>
      </w:r>
      <w:r w:rsidRPr="007D66D9">
        <w:rPr>
          <w:lang w:eastAsia="en-AU"/>
        </w:rPr>
        <w:t xml:space="preserve"> labelled as after injection The Study protocol was consulted and it states in its synopsis (</w:t>
      </w:r>
      <w:r w:rsidRPr="007D66D9">
        <w:rPr>
          <w:bCs/>
          <w:lang w:eastAsia="en-AU"/>
        </w:rPr>
        <w:t>Time and events schedule page 22) Venous samples of 4</w:t>
      </w:r>
      <w:r w:rsidR="004A676D">
        <w:rPr>
          <w:bCs/>
          <w:lang w:eastAsia="en-AU"/>
        </w:rPr>
        <w:t xml:space="preserve"> mL</w:t>
      </w:r>
      <w:r w:rsidRPr="007D66D9">
        <w:rPr>
          <w:bCs/>
          <w:lang w:eastAsia="en-AU"/>
        </w:rPr>
        <w:t xml:space="preserve"> should be obtained prior to dose administration on each PK day.</w:t>
      </w:r>
    </w:p>
    <w:p w14:paraId="16B807A4" w14:textId="77777777" w:rsidR="007D66D9" w:rsidRPr="007D66D9" w:rsidRDefault="007D66D9" w:rsidP="009F467D">
      <w:pPr>
        <w:rPr>
          <w:lang w:eastAsia="en-AU"/>
        </w:rPr>
      </w:pPr>
      <w:r w:rsidRPr="007D66D9">
        <w:rPr>
          <w:lang w:eastAsia="en-AU"/>
        </w:rPr>
        <w:t xml:space="preserve">In the Double Blind Phase </w:t>
      </w:r>
      <w:proofErr w:type="spellStart"/>
      <w:r w:rsidR="009F467D" w:rsidRPr="009F467D">
        <w:t>C</w:t>
      </w:r>
      <w:r w:rsidR="009F467D" w:rsidRPr="009F467D">
        <w:rPr>
          <w:vertAlign w:val="subscript"/>
        </w:rPr>
        <w:t>max</w:t>
      </w:r>
      <w:proofErr w:type="spellEnd"/>
      <w:r w:rsidRPr="007D66D9">
        <w:rPr>
          <w:lang w:eastAsia="en-AU"/>
        </w:rPr>
        <w:t xml:space="preserve"> and </w:t>
      </w:r>
      <w:proofErr w:type="spellStart"/>
      <w:r w:rsidR="009F467D" w:rsidRPr="009F467D">
        <w:t>AUC</w:t>
      </w:r>
      <w:r w:rsidR="009F467D" w:rsidRPr="009F467D">
        <w:rPr>
          <w:vertAlign w:val="subscript"/>
        </w:rPr>
        <w:t>τ</w:t>
      </w:r>
      <w:proofErr w:type="spellEnd"/>
      <w:r w:rsidRPr="007D66D9">
        <w:rPr>
          <w:lang w:eastAsia="en-AU"/>
        </w:rPr>
        <w:t xml:space="preserve"> increased with dose, with mean values of 15.7, 38.5, 41.5 and </w:t>
      </w:r>
      <w:proofErr w:type="gramStart"/>
      <w:r w:rsidRPr="007D66D9">
        <w:rPr>
          <w:lang w:eastAsia="en-AU"/>
        </w:rPr>
        <w:t>45.9</w:t>
      </w:r>
      <w:r w:rsidR="004A676D">
        <w:rPr>
          <w:lang w:eastAsia="en-AU"/>
        </w:rPr>
        <w:t xml:space="preserve"> </w:t>
      </w:r>
      <w:r w:rsidR="003673F6">
        <w:rPr>
          <w:lang w:eastAsia="en-AU"/>
        </w:rPr>
        <w:t>ng</w:t>
      </w:r>
      <w:r w:rsidRPr="007D66D9">
        <w:rPr>
          <w:lang w:eastAsia="en-AU"/>
        </w:rPr>
        <w:t>/</w:t>
      </w:r>
      <w:r w:rsidR="004A676D">
        <w:rPr>
          <w:lang w:eastAsia="en-AU"/>
        </w:rPr>
        <w:t>mL</w:t>
      </w:r>
      <w:r w:rsidRPr="007D66D9">
        <w:rPr>
          <w:lang w:eastAsia="en-AU"/>
        </w:rPr>
        <w:t xml:space="preserve"> for </w:t>
      </w:r>
      <w:proofErr w:type="spellStart"/>
      <w:r w:rsidR="009F467D" w:rsidRPr="009F467D">
        <w:t>C</w:t>
      </w:r>
      <w:r w:rsidR="009F467D" w:rsidRPr="009F467D">
        <w:rPr>
          <w:vertAlign w:val="subscript"/>
        </w:rPr>
        <w:t>max</w:t>
      </w:r>
      <w:proofErr w:type="spellEnd"/>
      <w:r w:rsidRPr="007D66D9">
        <w:rPr>
          <w:lang w:eastAsia="en-AU"/>
        </w:rPr>
        <w:t xml:space="preserve"> and 22635, 60660, 62893</w:t>
      </w:r>
      <w:proofErr w:type="gramEnd"/>
      <w:r w:rsidRPr="007D66D9">
        <w:rPr>
          <w:lang w:eastAsia="en-AU"/>
        </w:rPr>
        <w:t xml:space="preserve"> and 70793</w:t>
      </w:r>
      <w:r w:rsidR="004A676D">
        <w:rPr>
          <w:lang w:eastAsia="en-AU"/>
        </w:rPr>
        <w:t xml:space="preserve"> </w:t>
      </w:r>
      <w:proofErr w:type="spellStart"/>
      <w:r w:rsidR="003673F6">
        <w:rPr>
          <w:lang w:eastAsia="en-AU"/>
        </w:rPr>
        <w:t>ng</w:t>
      </w:r>
      <w:r w:rsidRPr="007D66D9">
        <w:rPr>
          <w:lang w:eastAsia="en-AU"/>
        </w:rPr>
        <w:t>.h</w:t>
      </w:r>
      <w:proofErr w:type="spellEnd"/>
      <w:r w:rsidRPr="007D66D9">
        <w:rPr>
          <w:lang w:eastAsia="en-AU"/>
        </w:rPr>
        <w:t>/</w:t>
      </w:r>
      <w:r w:rsidR="004A676D">
        <w:rPr>
          <w:lang w:eastAsia="en-AU"/>
        </w:rPr>
        <w:t>mL</w:t>
      </w:r>
      <w:r w:rsidRPr="007D66D9">
        <w:rPr>
          <w:lang w:eastAsia="en-AU"/>
        </w:rPr>
        <w:t xml:space="preserve"> for </w:t>
      </w:r>
      <w:proofErr w:type="spellStart"/>
      <w:r w:rsidR="009F467D" w:rsidRPr="009F467D">
        <w:t>AUC</w:t>
      </w:r>
      <w:r w:rsidR="009F467D" w:rsidRPr="009F467D">
        <w:rPr>
          <w:vertAlign w:val="subscript"/>
        </w:rPr>
        <w:t>τ</w:t>
      </w:r>
      <w:proofErr w:type="spellEnd"/>
      <w:r w:rsidRPr="007D66D9">
        <w:rPr>
          <w:vertAlign w:val="subscript"/>
          <w:lang w:eastAsia="en-AU"/>
        </w:rPr>
        <w:t xml:space="preserve"> </w:t>
      </w:r>
      <w:r w:rsidRPr="007D66D9">
        <w:rPr>
          <w:lang w:eastAsia="en-AU"/>
        </w:rPr>
        <w:t>with increasi</w:t>
      </w:r>
      <w:r w:rsidR="003673F6">
        <w:rPr>
          <w:lang w:eastAsia="en-AU"/>
        </w:rPr>
        <w:t>ng</w:t>
      </w:r>
      <w:r w:rsidRPr="007D66D9">
        <w:rPr>
          <w:lang w:eastAsia="en-AU"/>
        </w:rPr>
        <w:t xml:space="preserve"> dose groups of 175, 263, 350 and </w:t>
      </w:r>
      <w:r w:rsidR="0058163A">
        <w:rPr>
          <w:lang w:eastAsia="en-AU"/>
        </w:rPr>
        <w:t>525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respectively. Dose proportionality was not able to be conclusively shown.</w:t>
      </w:r>
    </w:p>
    <w:p w14:paraId="2D09CC23" w14:textId="77777777" w:rsidR="007D66D9" w:rsidRPr="007D66D9" w:rsidRDefault="007D66D9" w:rsidP="009F467D">
      <w:pPr>
        <w:rPr>
          <w:lang w:eastAsia="en-AU"/>
        </w:rPr>
      </w:pPr>
      <w:r w:rsidRPr="007D66D9">
        <w:rPr>
          <w:lang w:eastAsia="en-AU"/>
        </w:rPr>
        <w:t xml:space="preserve">There were 14 subjects with a </w:t>
      </w:r>
      <w:proofErr w:type="spellStart"/>
      <w:r w:rsidR="009F467D" w:rsidRPr="009F467D">
        <w:t>C</w:t>
      </w:r>
      <w:r w:rsidR="009F467D" w:rsidRPr="009F467D">
        <w:rPr>
          <w:vertAlign w:val="subscript"/>
        </w:rPr>
        <w:t>max</w:t>
      </w:r>
      <w:proofErr w:type="spellEnd"/>
      <w:r w:rsidRPr="007D66D9">
        <w:rPr>
          <w:lang w:eastAsia="en-AU"/>
        </w:rPr>
        <w:t xml:space="preserve"> &gt; 125</w:t>
      </w:r>
      <w:r w:rsidR="004A676D">
        <w:rPr>
          <w:lang w:eastAsia="en-AU"/>
        </w:rPr>
        <w:t xml:space="preserve"> </w:t>
      </w:r>
      <w:r w:rsidR="003673F6">
        <w:rPr>
          <w:lang w:eastAsia="en-AU"/>
        </w:rPr>
        <w:t>ng</w:t>
      </w:r>
      <w:r w:rsidRPr="007D66D9">
        <w:rPr>
          <w:lang w:eastAsia="en-AU"/>
        </w:rPr>
        <w:t>/</w:t>
      </w:r>
      <w:proofErr w:type="spellStart"/>
      <w:r w:rsidR="004A676D">
        <w:rPr>
          <w:lang w:eastAsia="en-AU"/>
        </w:rPr>
        <w:t>mL</w:t>
      </w:r>
      <w:r w:rsidRPr="007D66D9">
        <w:rPr>
          <w:lang w:eastAsia="en-AU"/>
        </w:rPr>
        <w:t>.</w:t>
      </w:r>
      <w:proofErr w:type="spellEnd"/>
      <w:r w:rsidRPr="007D66D9">
        <w:rPr>
          <w:lang w:eastAsia="en-AU"/>
        </w:rPr>
        <w:t xml:space="preserve"> Based on the appearance of the concentration curves 3 (63801202, 60017109 </w:t>
      </w:r>
      <w:r w:rsidR="00E60DFA">
        <w:rPr>
          <w:lang w:eastAsia="en-AU"/>
        </w:rPr>
        <w:t>and</w:t>
      </w:r>
      <w:r w:rsidRPr="007D66D9">
        <w:rPr>
          <w:lang w:eastAsia="en-AU"/>
        </w:rPr>
        <w:t xml:space="preserve"> 60400605) suggested the possibility of rapid initial absorption in that the other injections in the same subjects were not associated with similar high rises. The infrequency of sampli</w:t>
      </w:r>
      <w:r w:rsidR="003673F6">
        <w:rPr>
          <w:lang w:eastAsia="en-AU"/>
        </w:rPr>
        <w:t>ng</w:t>
      </w:r>
      <w:r w:rsidRPr="007D66D9">
        <w:rPr>
          <w:lang w:eastAsia="en-AU"/>
        </w:rPr>
        <w:t xml:space="preserve"> precludes further explanation.</w:t>
      </w:r>
    </w:p>
    <w:p w14:paraId="6BE91EF9" w14:textId="77777777" w:rsidR="007D66D9" w:rsidRPr="007D66D9" w:rsidRDefault="007D66D9" w:rsidP="005A18C6">
      <w:pPr>
        <w:pStyle w:val="FigureTitle"/>
        <w:keepNext/>
        <w:rPr>
          <w:lang w:eastAsia="en-AU"/>
        </w:rPr>
      </w:pPr>
      <w:bookmarkStart w:id="71" w:name="_Ref440528318"/>
      <w:bookmarkStart w:id="72" w:name="_Toc453055044"/>
      <w:r w:rsidRPr="009F485A">
        <w:rPr>
          <w:lang w:eastAsia="en-AU"/>
        </w:rPr>
        <w:lastRenderedPageBreak/>
        <w:t>Figure</w:t>
      </w:r>
      <w:bookmarkEnd w:id="71"/>
      <w:r w:rsidR="009F485A">
        <w:rPr>
          <w:lang w:eastAsia="en-AU"/>
        </w:rPr>
        <w:t xml:space="preserve"> 2</w:t>
      </w:r>
      <w:r w:rsidR="009F485A" w:rsidRPr="009F485A">
        <w:rPr>
          <w:noProof/>
          <w:lang w:eastAsia="en-AU"/>
        </w:rPr>
        <w:t>:</w:t>
      </w:r>
      <w:r w:rsidRPr="009F485A">
        <w:rPr>
          <w:lang w:eastAsia="en-AU"/>
        </w:rPr>
        <w:t xml:space="preserve"> Box </w:t>
      </w:r>
      <w:r w:rsidR="009F485A" w:rsidRPr="009F485A">
        <w:rPr>
          <w:lang w:eastAsia="en-AU"/>
        </w:rPr>
        <w:t>p</w:t>
      </w:r>
      <w:r w:rsidRPr="009F485A">
        <w:rPr>
          <w:lang w:eastAsia="en-AU"/>
        </w:rPr>
        <w:t>lot</w:t>
      </w:r>
      <w:r w:rsidRPr="007D66D9">
        <w:rPr>
          <w:lang w:eastAsia="en-AU"/>
        </w:rPr>
        <w:t xml:space="preserve"> of </w:t>
      </w:r>
      <w:r w:rsidR="007164AB" w:rsidRPr="007D66D9">
        <w:rPr>
          <w:lang w:eastAsia="en-AU"/>
        </w:rPr>
        <w:t xml:space="preserve">dose normalized </w:t>
      </w:r>
      <w:r w:rsidRPr="007D66D9">
        <w:rPr>
          <w:lang w:eastAsia="en-AU"/>
        </w:rPr>
        <w:t xml:space="preserve">(to </w:t>
      </w:r>
      <w:r w:rsidR="0058163A">
        <w:rPr>
          <w:lang w:eastAsia="en-AU"/>
        </w:rPr>
        <w:t>350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w:t>
      </w:r>
      <w:r w:rsidR="007164AB" w:rsidRPr="007D66D9">
        <w:rPr>
          <w:lang w:eastAsia="en-AU"/>
        </w:rPr>
        <w:t>predose plasma concentrations of paliperidone after administratio</w:t>
      </w:r>
      <w:r w:rsidRPr="007D66D9">
        <w:rPr>
          <w:lang w:eastAsia="en-AU"/>
        </w:rPr>
        <w:t xml:space="preserve">n of PP3M at 175 263, 350 or </w:t>
      </w:r>
      <w:r w:rsidR="0058163A">
        <w:rPr>
          <w:lang w:eastAsia="en-AU"/>
        </w:rPr>
        <w:t>525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w:t>
      </w:r>
      <w:r w:rsidR="007164AB" w:rsidRPr="007D66D9">
        <w:rPr>
          <w:lang w:eastAsia="en-AU"/>
        </w:rPr>
        <w:t>du</w:t>
      </w:r>
      <w:r w:rsidR="007164AB">
        <w:rPr>
          <w:lang w:eastAsia="en-AU"/>
        </w:rPr>
        <w:t>ri</w:t>
      </w:r>
      <w:r w:rsidR="003673F6">
        <w:rPr>
          <w:lang w:eastAsia="en-AU"/>
        </w:rPr>
        <w:t>ng</w:t>
      </w:r>
      <w:r w:rsidR="007164AB">
        <w:rPr>
          <w:lang w:eastAsia="en-AU"/>
        </w:rPr>
        <w:t xml:space="preserve"> </w:t>
      </w:r>
      <w:r w:rsidR="009F485A">
        <w:rPr>
          <w:lang w:eastAsia="en-AU"/>
        </w:rPr>
        <w:t xml:space="preserve">the maintenance and double </w:t>
      </w:r>
      <w:r w:rsidR="009F485A" w:rsidRPr="007D66D9">
        <w:rPr>
          <w:lang w:eastAsia="en-AU"/>
        </w:rPr>
        <w:t>blind phase</w:t>
      </w:r>
      <w:bookmarkEnd w:id="72"/>
    </w:p>
    <w:p w14:paraId="69562280"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lang w:eastAsia="en-AU"/>
        </w:rPr>
      </w:pPr>
      <w:r w:rsidRPr="007D66D9">
        <w:rPr>
          <w:rFonts w:eastAsia="Times New Roman"/>
          <w:noProof/>
          <w:kern w:val="16"/>
          <w:lang w:eastAsia="en-AU"/>
        </w:rPr>
        <w:drawing>
          <wp:inline distT="0" distB="0" distL="0" distR="0" wp14:anchorId="6A9C9ABA" wp14:editId="14E8D29A">
            <wp:extent cx="3825850" cy="3043729"/>
            <wp:effectExtent l="0" t="0" r="3810" b="4445"/>
            <wp:docPr id="8" name="Picture 8" descr="Figure 2: Box plot of dose normalized (to 350 mg equivalent) predose plasma concentrations of paliperidone after administration of PP3M at 175 263, 350 or 525 mg equivalent during the maintenance and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7058"/>
                    <a:stretch/>
                  </pic:blipFill>
                  <pic:spPr bwMode="auto">
                    <a:xfrm>
                      <a:off x="0" y="0"/>
                      <a:ext cx="3827626" cy="3045142"/>
                    </a:xfrm>
                    <a:prstGeom prst="rect">
                      <a:avLst/>
                    </a:prstGeom>
                    <a:ln>
                      <a:noFill/>
                    </a:ln>
                    <a:extLst>
                      <a:ext uri="{53640926-AAD7-44D8-BBD7-CCE9431645EC}">
                        <a14:shadowObscured xmlns:a14="http://schemas.microsoft.com/office/drawing/2010/main"/>
                      </a:ext>
                    </a:extLst>
                  </pic:spPr>
                </pic:pic>
              </a:graphicData>
            </a:graphic>
          </wp:inline>
        </w:drawing>
      </w:r>
    </w:p>
    <w:p w14:paraId="28768602" w14:textId="77777777" w:rsidR="007D66D9" w:rsidRPr="007164AB" w:rsidRDefault="007D66D9" w:rsidP="007164AB">
      <w:pPr>
        <w:pStyle w:val="Tabletitle"/>
      </w:pPr>
      <w:bookmarkStart w:id="73" w:name="_Toc453054976"/>
      <w:r w:rsidRPr="009F485A">
        <w:t xml:space="preserve">Table </w:t>
      </w:r>
      <w:r w:rsidR="009F485A">
        <w:t>13:</w:t>
      </w:r>
      <w:r w:rsidRPr="007164AB">
        <w:t xml:space="preserve"> Pharmacokinetic </w:t>
      </w:r>
      <w:r w:rsidR="007164AB" w:rsidRPr="007164AB">
        <w:t xml:space="preserve">results of paliperidone after administration </w:t>
      </w:r>
      <w:r w:rsidRPr="007164AB">
        <w:t xml:space="preserve">of PP3M on Day 372 (Week 53) at 175, 263, 350, or </w:t>
      </w:r>
      <w:r w:rsidR="0058163A" w:rsidRPr="007164AB">
        <w:t>525</w:t>
      </w:r>
      <w:r w:rsidR="004A676D" w:rsidRPr="007164AB">
        <w:t xml:space="preserve"> mg</w:t>
      </w:r>
      <w:r w:rsidRPr="007164AB">
        <w:t xml:space="preserve"> </w:t>
      </w:r>
      <w:r w:rsidR="004A676D" w:rsidRPr="007164AB">
        <w:t>equivalent</w:t>
      </w:r>
      <w:r w:rsidRPr="007164AB">
        <w:t xml:space="preserve"> </w:t>
      </w:r>
      <w:r w:rsidR="007164AB" w:rsidRPr="007164AB">
        <w:t>d</w:t>
      </w:r>
      <w:r w:rsidRPr="007164AB">
        <w:t>uri</w:t>
      </w:r>
      <w:r w:rsidR="003673F6">
        <w:t>ng</w:t>
      </w:r>
      <w:r w:rsidR="00FB0FC4">
        <w:t xml:space="preserve"> the double </w:t>
      </w:r>
      <w:r w:rsidR="00FB0FC4" w:rsidRPr="007164AB">
        <w:t>blind phase</w:t>
      </w:r>
      <w:bookmarkEnd w:id="73"/>
    </w:p>
    <w:p w14:paraId="65FFB7B7"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noProof/>
          <w:kern w:val="16"/>
          <w:u w:val="single"/>
          <w:lang w:eastAsia="en-AU"/>
        </w:rPr>
      </w:pPr>
      <w:r w:rsidRPr="007D66D9">
        <w:rPr>
          <w:rFonts w:eastAsia="Times New Roman"/>
          <w:noProof/>
          <w:kern w:val="16"/>
          <w:u w:val="single"/>
          <w:lang w:eastAsia="en-AU"/>
        </w:rPr>
        <w:drawing>
          <wp:inline distT="0" distB="0" distL="0" distR="0" wp14:anchorId="42E4092E" wp14:editId="4140FC22">
            <wp:extent cx="5749747" cy="3019316"/>
            <wp:effectExtent l="0" t="0" r="3810" b="0"/>
            <wp:docPr id="9" name="Picture 9" descr="Table 13: Pharmacokinetic results of paliperidone after administration of PP3M on Day 372 (Week 53) at 175, 263, 350, or 525 mg equivalent during the Double-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 t="6481" r="803" b="3607"/>
                    <a:stretch/>
                  </pic:blipFill>
                  <pic:spPr bwMode="auto">
                    <a:xfrm>
                      <a:off x="0" y="0"/>
                      <a:ext cx="5753740" cy="3021413"/>
                    </a:xfrm>
                    <a:prstGeom prst="rect">
                      <a:avLst/>
                    </a:prstGeom>
                    <a:ln>
                      <a:noFill/>
                    </a:ln>
                    <a:extLst>
                      <a:ext uri="{53640926-AAD7-44D8-BBD7-CCE9431645EC}">
                        <a14:shadowObscured xmlns:a14="http://schemas.microsoft.com/office/drawing/2010/main"/>
                      </a:ext>
                    </a:extLst>
                  </pic:spPr>
                </pic:pic>
              </a:graphicData>
            </a:graphic>
          </wp:inline>
        </w:drawing>
      </w:r>
    </w:p>
    <w:p w14:paraId="1E37E224" w14:textId="77777777" w:rsidR="007D66D9" w:rsidRPr="007D66D9" w:rsidRDefault="007D66D9" w:rsidP="00094D64">
      <w:pPr>
        <w:pStyle w:val="Heading5"/>
      </w:pPr>
      <w:bookmarkStart w:id="74" w:name="_Toc453054874"/>
      <w:r w:rsidRPr="007D66D9">
        <w:t>Study 3011</w:t>
      </w:r>
      <w:bookmarkEnd w:id="74"/>
    </w:p>
    <w:p w14:paraId="60EB3FD1" w14:textId="77777777" w:rsidR="007D66D9" w:rsidRPr="009F467D" w:rsidRDefault="007D66D9" w:rsidP="009F467D">
      <w:pPr>
        <w:pStyle w:val="Comment"/>
      </w:pPr>
      <w:r w:rsidRPr="009F467D">
        <w:rPr>
          <w:b/>
        </w:rPr>
        <w:t>Comment:</w:t>
      </w:r>
      <w:r w:rsidRPr="009F467D">
        <w:t xml:space="preserve"> The CSR for study 3011 page 96 referred to Attachment R092670PSY3011 Clinical Pharmacokinetic Final Report for the PK results of the study. </w:t>
      </w:r>
      <w:r w:rsidR="009F485A">
        <w:t>However this could not be found</w:t>
      </w:r>
      <w:r w:rsidRPr="009F467D">
        <w:t xml:space="preserve">. The report was supplied on request minus Addenda, these </w:t>
      </w:r>
      <w:r w:rsidR="009F485A">
        <w:t>were</w:t>
      </w:r>
      <w:r w:rsidRPr="009F467D">
        <w:t xml:space="preserve"> separately requested.</w:t>
      </w:r>
    </w:p>
    <w:p w14:paraId="3BFC0C5E" w14:textId="77777777" w:rsidR="007D66D9" w:rsidRPr="007D66D9" w:rsidRDefault="007D66D9" w:rsidP="009F467D">
      <w:pPr>
        <w:rPr>
          <w:lang w:eastAsia="en-AU"/>
        </w:rPr>
      </w:pPr>
      <w:r w:rsidRPr="007D66D9">
        <w:rPr>
          <w:lang w:eastAsia="en-AU"/>
        </w:rPr>
        <w:t xml:space="preserve">This was a randomized, </w:t>
      </w:r>
      <w:r w:rsidR="00E60DFA">
        <w:rPr>
          <w:lang w:eastAsia="en-AU"/>
        </w:rPr>
        <w:t>double blind</w:t>
      </w:r>
      <w:r w:rsidRPr="007D66D9">
        <w:rPr>
          <w:lang w:eastAsia="en-AU"/>
        </w:rPr>
        <w:t xml:space="preserve">, </w:t>
      </w:r>
      <w:r w:rsidR="00E60DFA">
        <w:rPr>
          <w:lang w:eastAsia="en-AU"/>
        </w:rPr>
        <w:t>parallel group</w:t>
      </w:r>
      <w:r w:rsidRPr="007D66D9">
        <w:rPr>
          <w:lang w:eastAsia="en-AU"/>
        </w:rPr>
        <w:t>, multicentre non-inferiority study to determine if efficacy of paliperidone palmitate 3 month was non-inferior to the efficacy of 1 month formulation for the treatment of adults with schizophrenia.</w:t>
      </w:r>
    </w:p>
    <w:p w14:paraId="4F734B03" w14:textId="77777777" w:rsidR="007D66D9" w:rsidRPr="007D66D9" w:rsidRDefault="007D66D9" w:rsidP="009F467D">
      <w:pPr>
        <w:rPr>
          <w:lang w:eastAsia="en-AU"/>
        </w:rPr>
      </w:pPr>
      <w:r w:rsidRPr="007D66D9">
        <w:rPr>
          <w:lang w:eastAsia="en-AU"/>
        </w:rPr>
        <w:lastRenderedPageBreak/>
        <w:t>The study consisted of 3 phases: Screeni</w:t>
      </w:r>
      <w:r w:rsidR="003673F6">
        <w:rPr>
          <w:lang w:eastAsia="en-AU"/>
        </w:rPr>
        <w:t>ng</w:t>
      </w:r>
      <w:r w:rsidRPr="007D66D9">
        <w:rPr>
          <w:lang w:eastAsia="en-AU"/>
        </w:rPr>
        <w:t xml:space="preserve">/Washout/Tolerability Phase a </w:t>
      </w:r>
      <w:r w:rsidR="00E60DFA">
        <w:rPr>
          <w:lang w:eastAsia="en-AU"/>
        </w:rPr>
        <w:t>17 week</w:t>
      </w:r>
      <w:r w:rsidRPr="007D66D9">
        <w:rPr>
          <w:lang w:eastAsia="en-AU"/>
        </w:rPr>
        <w:t xml:space="preserve"> flexible dose </w:t>
      </w:r>
      <w:r w:rsidR="004A676D">
        <w:rPr>
          <w:lang w:eastAsia="en-AU"/>
        </w:rPr>
        <w:t>Open label</w:t>
      </w:r>
      <w:r w:rsidRPr="007D66D9">
        <w:rPr>
          <w:lang w:eastAsia="en-AU"/>
        </w:rPr>
        <w:t xml:space="preserve"> Stabilization Phase (referred to as the </w:t>
      </w:r>
      <w:r w:rsidR="004A676D">
        <w:rPr>
          <w:lang w:eastAsia="en-AU"/>
        </w:rPr>
        <w:t>Open label</w:t>
      </w:r>
      <w:r w:rsidRPr="007D66D9">
        <w:rPr>
          <w:lang w:eastAsia="en-AU"/>
        </w:rPr>
        <w:t xml:space="preserve"> Phase) and a 48-week randomized, fixed dose, Double-blind Controlled Phase (referred to as the </w:t>
      </w:r>
      <w:r w:rsidR="009C7BEE">
        <w:rPr>
          <w:lang w:eastAsia="en-AU"/>
        </w:rPr>
        <w:t>Double blind Phase</w:t>
      </w:r>
      <w:r w:rsidRPr="007D66D9">
        <w:rPr>
          <w:lang w:eastAsia="en-AU"/>
        </w:rPr>
        <w:t>).</w:t>
      </w:r>
    </w:p>
    <w:p w14:paraId="15119C44" w14:textId="4A3BD4E6" w:rsidR="007D66D9" w:rsidRPr="007D66D9" w:rsidRDefault="007D66D9" w:rsidP="009F467D">
      <w:pPr>
        <w:rPr>
          <w:lang w:eastAsia="en-AU"/>
        </w:rPr>
      </w:pPr>
      <w:r w:rsidRPr="007D66D9">
        <w:rPr>
          <w:lang w:eastAsia="en-AU"/>
        </w:rPr>
        <w:t>Blood samples for determination of paliperidone were collected predose on Day 1, Day 8 and every 4 weeks from Week 5 to Week 61 and post-dose on Day 99, Day 379, Day 386 and Week 65 (Day</w:t>
      </w:r>
      <w:r w:rsidR="00F51B3D">
        <w:rPr>
          <w:lang w:eastAsia="en-AU"/>
        </w:rPr>
        <w:t> </w:t>
      </w:r>
      <w:r w:rsidRPr="007D66D9">
        <w:rPr>
          <w:lang w:eastAsia="en-AU"/>
        </w:rPr>
        <w:t>456).</w:t>
      </w:r>
    </w:p>
    <w:p w14:paraId="5FA49EF0" w14:textId="77777777" w:rsidR="007D66D9" w:rsidRPr="007D66D9" w:rsidRDefault="007D66D9" w:rsidP="009F467D">
      <w:pPr>
        <w:rPr>
          <w:lang w:eastAsia="en-AU"/>
        </w:rPr>
      </w:pPr>
      <w:r w:rsidRPr="007D66D9">
        <w:rPr>
          <w:lang w:eastAsia="en-AU"/>
        </w:rPr>
        <w:t>Amo</w:t>
      </w:r>
      <w:r w:rsidR="003673F6">
        <w:rPr>
          <w:lang w:eastAsia="en-AU"/>
        </w:rPr>
        <w:t>ng</w:t>
      </w:r>
      <w:r w:rsidRPr="007D66D9">
        <w:rPr>
          <w:lang w:eastAsia="en-AU"/>
        </w:rPr>
        <w:t xml:space="preserve"> the secondary variables was:</w:t>
      </w:r>
    </w:p>
    <w:p w14:paraId="49724CE8" w14:textId="77777777" w:rsidR="007D66D9" w:rsidRPr="007D66D9" w:rsidRDefault="007D66D9" w:rsidP="009F467D">
      <w:pPr>
        <w:pStyle w:val="ListBullet"/>
      </w:pPr>
      <w:r w:rsidRPr="007D66D9">
        <w:t>Assess the pharmacokinetics of Invega Trinza, includi</w:t>
      </w:r>
      <w:r w:rsidR="003673F6">
        <w:t>ng</w:t>
      </w:r>
      <w:r w:rsidRPr="007D66D9">
        <w:t xml:space="preserve"> its relationship with demographic and </w:t>
      </w:r>
      <w:r w:rsidR="009F467D">
        <w:t>dose related</w:t>
      </w:r>
      <w:r w:rsidRPr="007D66D9">
        <w:t xml:space="preserve"> variables</w:t>
      </w:r>
    </w:p>
    <w:p w14:paraId="40FD3374" w14:textId="77777777" w:rsidR="007D66D9" w:rsidRPr="007D66D9" w:rsidRDefault="00E60DFA" w:rsidP="009F467D">
      <w:pPr>
        <w:rPr>
          <w:lang w:eastAsia="en-AU"/>
        </w:rPr>
      </w:pPr>
      <w:r>
        <w:rPr>
          <w:lang w:eastAsia="en-AU"/>
        </w:rPr>
        <w:t>Dose normalized</w:t>
      </w:r>
      <w:r w:rsidR="007D66D9" w:rsidRPr="007D66D9">
        <w:rPr>
          <w:lang w:eastAsia="en-AU"/>
        </w:rPr>
        <w:t xml:space="preserve"> (to 100</w:t>
      </w:r>
      <w:r w:rsidR="004A676D">
        <w:rPr>
          <w:lang w:eastAsia="en-AU"/>
        </w:rPr>
        <w:t xml:space="preserve"> mg</w:t>
      </w:r>
      <w:r w:rsidR="007D66D9" w:rsidRPr="007D66D9">
        <w:rPr>
          <w:lang w:eastAsia="en-AU"/>
        </w:rPr>
        <w:t xml:space="preserve"> </w:t>
      </w:r>
      <w:r w:rsidR="004A676D">
        <w:rPr>
          <w:lang w:eastAsia="en-AU"/>
        </w:rPr>
        <w:t>equivalent</w:t>
      </w:r>
      <w:r w:rsidR="007D66D9" w:rsidRPr="007D66D9">
        <w:rPr>
          <w:lang w:eastAsia="en-AU"/>
        </w:rPr>
        <w:t xml:space="preserve"> for Invega Sustenna and </w:t>
      </w:r>
      <w:r w:rsidR="0058163A">
        <w:rPr>
          <w:lang w:eastAsia="en-AU"/>
        </w:rPr>
        <w:t>350</w:t>
      </w:r>
      <w:r w:rsidR="004A676D">
        <w:rPr>
          <w:lang w:eastAsia="en-AU"/>
        </w:rPr>
        <w:t xml:space="preserve"> mg</w:t>
      </w:r>
      <w:r w:rsidR="007D66D9" w:rsidRPr="007D66D9">
        <w:rPr>
          <w:lang w:eastAsia="en-AU"/>
        </w:rPr>
        <w:t xml:space="preserve"> </w:t>
      </w:r>
      <w:r w:rsidR="004A676D">
        <w:rPr>
          <w:lang w:eastAsia="en-AU"/>
        </w:rPr>
        <w:t>equivalent</w:t>
      </w:r>
      <w:r w:rsidR="007D66D9" w:rsidRPr="007D66D9">
        <w:rPr>
          <w:lang w:eastAsia="en-AU"/>
        </w:rPr>
        <w:t xml:space="preserve"> for Invega Trinza) paliperidone predose plasma concentrations after administration of Invega Trinza were 21% lower compared to Invega Sustenna across all dose groups.</w:t>
      </w:r>
    </w:p>
    <w:p w14:paraId="4CABB471" w14:textId="77777777" w:rsidR="007D66D9" w:rsidRPr="00DA386F" w:rsidRDefault="007D66D9" w:rsidP="00DA386F">
      <w:pPr>
        <w:pStyle w:val="Tabletitle"/>
      </w:pPr>
      <w:bookmarkStart w:id="75" w:name="_Toc453054977"/>
      <w:r w:rsidRPr="009F485A">
        <w:t xml:space="preserve">Table </w:t>
      </w:r>
      <w:r w:rsidR="009F485A" w:rsidRPr="009F485A">
        <w:t>14:</w:t>
      </w:r>
      <w:r w:rsidRPr="00DA386F">
        <w:t xml:space="preserve"> Predose </w:t>
      </w:r>
      <w:r w:rsidR="009F467D" w:rsidRPr="00DA386F">
        <w:t xml:space="preserve">plasma concentrations of paliperidone after administration </w:t>
      </w:r>
      <w:r w:rsidR="009F467D">
        <w:t>of PP1M duri</w:t>
      </w:r>
      <w:r w:rsidR="003673F6">
        <w:t>ng</w:t>
      </w:r>
      <w:r w:rsidR="009F467D">
        <w:t xml:space="preserve"> </w:t>
      </w:r>
      <w:r w:rsidR="009F485A">
        <w:t xml:space="preserve">the double </w:t>
      </w:r>
      <w:r w:rsidR="009F485A" w:rsidRPr="00DA386F">
        <w:t>blind ph</w:t>
      </w:r>
      <w:r w:rsidRPr="00DA386F">
        <w:t>ase, Study 3011</w:t>
      </w:r>
      <w:bookmarkEnd w:id="75"/>
    </w:p>
    <w:p w14:paraId="723641F1" w14:textId="77777777" w:rsidR="007D66D9" w:rsidRPr="007D66D9" w:rsidRDefault="007D66D9" w:rsidP="00D37CB6">
      <w:pPr>
        <w:rPr>
          <w:lang w:eastAsia="en-AU"/>
        </w:rPr>
      </w:pPr>
      <w:r w:rsidRPr="007D66D9">
        <w:rPr>
          <w:noProof/>
          <w:lang w:eastAsia="en-AU"/>
        </w:rPr>
        <w:drawing>
          <wp:inline distT="0" distB="0" distL="0" distR="0" wp14:anchorId="751576B2" wp14:editId="53777C68">
            <wp:extent cx="5508346" cy="3506922"/>
            <wp:effectExtent l="0" t="0" r="0" b="0"/>
            <wp:docPr id="10" name="Picture 10" descr="Table 14: Predose plasma concentrations of paliperidone after administration of PP1M during the double blind phase, Study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08818" cy="3507223"/>
                    </a:xfrm>
                    <a:prstGeom prst="rect">
                      <a:avLst/>
                    </a:prstGeom>
                  </pic:spPr>
                </pic:pic>
              </a:graphicData>
            </a:graphic>
          </wp:inline>
        </w:drawing>
      </w:r>
    </w:p>
    <w:p w14:paraId="268CB429" w14:textId="77777777" w:rsidR="004A676D" w:rsidRDefault="007D66D9" w:rsidP="009F467D">
      <w:pPr>
        <w:pStyle w:val="TableDescription"/>
        <w:rPr>
          <w:lang w:eastAsia="en-AU"/>
        </w:rPr>
      </w:pPr>
      <w:r w:rsidRPr="007D66D9">
        <w:rPr>
          <w:lang w:eastAsia="en-AU"/>
        </w:rPr>
        <w:t>Predose plasma concentrations were obtained before each injection every 28 days (1 month)</w:t>
      </w:r>
      <w:r w:rsidR="004A676D">
        <w:rPr>
          <w:lang w:eastAsia="en-AU"/>
        </w:rPr>
        <w:t>.</w:t>
      </w:r>
    </w:p>
    <w:p w14:paraId="7EE85B3D" w14:textId="77777777" w:rsidR="007D66D9" w:rsidRPr="007D66D9" w:rsidRDefault="007D66D9" w:rsidP="00DA386F">
      <w:pPr>
        <w:pStyle w:val="Tabletitle"/>
        <w:rPr>
          <w:lang w:eastAsia="en-AU"/>
        </w:rPr>
      </w:pPr>
      <w:bookmarkStart w:id="76" w:name="_Toc453054978"/>
      <w:r w:rsidRPr="009F485A">
        <w:rPr>
          <w:lang w:eastAsia="en-AU"/>
        </w:rPr>
        <w:lastRenderedPageBreak/>
        <w:t xml:space="preserve">Table </w:t>
      </w:r>
      <w:r w:rsidR="009F485A">
        <w:rPr>
          <w:lang w:eastAsia="en-AU"/>
        </w:rPr>
        <w:t>15:</w:t>
      </w:r>
      <w:r w:rsidRPr="007D66D9">
        <w:rPr>
          <w:lang w:eastAsia="en-AU"/>
        </w:rPr>
        <w:t xml:space="preserve"> Predose </w:t>
      </w:r>
      <w:r w:rsidR="009F467D" w:rsidRPr="007D66D9">
        <w:rPr>
          <w:lang w:eastAsia="en-AU"/>
        </w:rPr>
        <w:t xml:space="preserve">plasma concentrations of paliperidone after administration </w:t>
      </w:r>
      <w:r w:rsidRPr="007D66D9">
        <w:rPr>
          <w:lang w:eastAsia="en-AU"/>
        </w:rPr>
        <w:t xml:space="preserve">of PP3M </w:t>
      </w:r>
      <w:r w:rsidR="009F467D" w:rsidRPr="007D66D9">
        <w:rPr>
          <w:lang w:eastAsia="en-AU"/>
        </w:rPr>
        <w:t>d</w:t>
      </w:r>
      <w:r w:rsidRPr="007D66D9">
        <w:rPr>
          <w:lang w:eastAsia="en-AU"/>
        </w:rPr>
        <w:t>uri</w:t>
      </w:r>
      <w:r w:rsidR="003673F6">
        <w:rPr>
          <w:lang w:eastAsia="en-AU"/>
        </w:rPr>
        <w:t>ng</w:t>
      </w:r>
      <w:r w:rsidR="009F485A">
        <w:rPr>
          <w:lang w:eastAsia="en-AU"/>
        </w:rPr>
        <w:t xml:space="preserve"> the double </w:t>
      </w:r>
      <w:r w:rsidR="009F485A" w:rsidRPr="007D66D9">
        <w:rPr>
          <w:lang w:eastAsia="en-AU"/>
        </w:rPr>
        <w:t>blind phase</w:t>
      </w:r>
      <w:r w:rsidRPr="007D66D9">
        <w:rPr>
          <w:lang w:eastAsia="en-AU"/>
        </w:rPr>
        <w:t>, Study 3011</w:t>
      </w:r>
      <w:bookmarkEnd w:id="76"/>
    </w:p>
    <w:p w14:paraId="330124E7" w14:textId="77777777" w:rsidR="007D66D9" w:rsidRPr="007D66D9" w:rsidRDefault="007D66D9" w:rsidP="00D37CB6">
      <w:pPr>
        <w:rPr>
          <w:lang w:eastAsia="en-AU"/>
        </w:rPr>
      </w:pPr>
      <w:r w:rsidRPr="007D66D9">
        <w:rPr>
          <w:noProof/>
          <w:lang w:eastAsia="en-AU"/>
        </w:rPr>
        <w:drawing>
          <wp:inline distT="0" distB="0" distL="0" distR="0" wp14:anchorId="29EC716F" wp14:editId="6EC86605">
            <wp:extent cx="5603443" cy="2040726"/>
            <wp:effectExtent l="0" t="0" r="0" b="0"/>
            <wp:docPr id="11" name="Picture 11" descr="Table 15: Predose plasma concentrations of paliperidone after administration of PP3M during the double blind phase, Study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08604" cy="2042606"/>
                    </a:xfrm>
                    <a:prstGeom prst="rect">
                      <a:avLst/>
                    </a:prstGeom>
                  </pic:spPr>
                </pic:pic>
              </a:graphicData>
            </a:graphic>
          </wp:inline>
        </w:drawing>
      </w:r>
    </w:p>
    <w:p w14:paraId="4DF18191" w14:textId="77777777" w:rsidR="007D66D9" w:rsidRPr="007D66D9" w:rsidRDefault="007D66D9" w:rsidP="009F467D">
      <w:pPr>
        <w:pStyle w:val="TableDescription"/>
        <w:rPr>
          <w:lang w:eastAsia="en-AU"/>
        </w:rPr>
      </w:pPr>
      <w:r w:rsidRPr="007D66D9">
        <w:rPr>
          <w:lang w:eastAsia="en-AU"/>
        </w:rPr>
        <w:t>Predose plasma concentrations were obtained before each injection every 84 days (3 months).</w:t>
      </w:r>
    </w:p>
    <w:p w14:paraId="450474BD" w14:textId="74636B1F" w:rsidR="004A676D" w:rsidRDefault="007D66D9" w:rsidP="009F467D">
      <w:pPr>
        <w:rPr>
          <w:lang w:eastAsia="en-AU"/>
        </w:rPr>
      </w:pPr>
      <w:r w:rsidRPr="00FB0FC4">
        <w:rPr>
          <w:lang w:eastAsia="en-AU"/>
        </w:rPr>
        <w:t xml:space="preserve">With </w:t>
      </w:r>
      <w:proofErr w:type="spellStart"/>
      <w:r w:rsidRPr="00FB0FC4">
        <w:rPr>
          <w:lang w:eastAsia="en-AU"/>
        </w:rPr>
        <w:t>Invega</w:t>
      </w:r>
      <w:proofErr w:type="spellEnd"/>
      <w:r w:rsidRPr="00FB0FC4">
        <w:rPr>
          <w:lang w:eastAsia="en-AU"/>
        </w:rPr>
        <w:t xml:space="preserve"> </w:t>
      </w:r>
      <w:proofErr w:type="spellStart"/>
      <w:r w:rsidRPr="00FB0FC4">
        <w:rPr>
          <w:lang w:eastAsia="en-AU"/>
        </w:rPr>
        <w:t>Sustenna</w:t>
      </w:r>
      <w:proofErr w:type="spellEnd"/>
      <w:r w:rsidRPr="00FB0FC4">
        <w:rPr>
          <w:lang w:eastAsia="en-AU"/>
        </w:rPr>
        <w:t xml:space="preserve"> </w:t>
      </w:r>
      <w:proofErr w:type="spellStart"/>
      <w:r w:rsidR="009F467D" w:rsidRPr="00FB0FC4">
        <w:t>C</w:t>
      </w:r>
      <w:r w:rsidR="009F467D" w:rsidRPr="00FB0FC4">
        <w:rPr>
          <w:vertAlign w:val="subscript"/>
        </w:rPr>
        <w:t>max</w:t>
      </w:r>
      <w:proofErr w:type="spellEnd"/>
      <w:r w:rsidRPr="00FB0FC4">
        <w:rPr>
          <w:lang w:eastAsia="en-AU"/>
        </w:rPr>
        <w:t xml:space="preserve"> and </w:t>
      </w:r>
      <w:proofErr w:type="spellStart"/>
      <w:r w:rsidR="009F467D" w:rsidRPr="00FB0FC4">
        <w:t>AUC</w:t>
      </w:r>
      <w:r w:rsidR="009F467D" w:rsidRPr="00FB0FC4">
        <w:rPr>
          <w:vertAlign w:val="subscript"/>
        </w:rPr>
        <w:t>τ</w:t>
      </w:r>
      <w:proofErr w:type="spellEnd"/>
      <w:r w:rsidRPr="00FB0FC4">
        <w:rPr>
          <w:lang w:eastAsia="en-AU"/>
        </w:rPr>
        <w:t xml:space="preserve"> appeared to be roughly dose proportional over all doses given (50</w:t>
      </w:r>
      <w:r w:rsidR="004A676D" w:rsidRPr="00FB0FC4">
        <w:rPr>
          <w:lang w:eastAsia="en-AU"/>
        </w:rPr>
        <w:t xml:space="preserve"> mg</w:t>
      </w:r>
      <w:r w:rsidRPr="00FB0FC4">
        <w:rPr>
          <w:lang w:eastAsia="en-AU"/>
        </w:rPr>
        <w:t xml:space="preserve"> </w:t>
      </w:r>
      <w:r w:rsidR="004A676D" w:rsidRPr="00FB0FC4">
        <w:rPr>
          <w:lang w:eastAsia="en-AU"/>
        </w:rPr>
        <w:t>equivalent</w:t>
      </w:r>
      <w:r w:rsidRPr="00FB0FC4">
        <w:rPr>
          <w:lang w:eastAsia="en-AU"/>
        </w:rPr>
        <w:t>, 75</w:t>
      </w:r>
      <w:r w:rsidR="004A676D" w:rsidRPr="00FB0FC4">
        <w:rPr>
          <w:lang w:eastAsia="en-AU"/>
        </w:rPr>
        <w:t xml:space="preserve"> mg</w:t>
      </w:r>
      <w:r w:rsidRPr="00FB0FC4">
        <w:rPr>
          <w:lang w:eastAsia="en-AU"/>
        </w:rPr>
        <w:t xml:space="preserve"> </w:t>
      </w:r>
      <w:r w:rsidR="004A676D" w:rsidRPr="00FB0FC4">
        <w:rPr>
          <w:lang w:eastAsia="en-AU"/>
        </w:rPr>
        <w:t>equivalent</w:t>
      </w:r>
      <w:r w:rsidRPr="00FB0FC4">
        <w:rPr>
          <w:lang w:eastAsia="en-AU"/>
        </w:rPr>
        <w:t>, 100</w:t>
      </w:r>
      <w:r w:rsidR="004A676D" w:rsidRPr="00FB0FC4">
        <w:rPr>
          <w:lang w:eastAsia="en-AU"/>
        </w:rPr>
        <w:t xml:space="preserve"> mg</w:t>
      </w:r>
      <w:r w:rsidRPr="00FB0FC4">
        <w:rPr>
          <w:lang w:eastAsia="en-AU"/>
        </w:rPr>
        <w:t xml:space="preserve"> </w:t>
      </w:r>
      <w:r w:rsidR="004A676D" w:rsidRPr="00FB0FC4">
        <w:rPr>
          <w:lang w:eastAsia="en-AU"/>
        </w:rPr>
        <w:t>equivalent</w:t>
      </w:r>
      <w:r w:rsidRPr="00FB0FC4">
        <w:rPr>
          <w:lang w:eastAsia="en-AU"/>
        </w:rPr>
        <w:t xml:space="preserve"> and 150</w:t>
      </w:r>
      <w:r w:rsidR="004A676D" w:rsidRPr="00FB0FC4">
        <w:rPr>
          <w:lang w:eastAsia="en-AU"/>
        </w:rPr>
        <w:t xml:space="preserve"> mg</w:t>
      </w:r>
      <w:r w:rsidRPr="00FB0FC4">
        <w:rPr>
          <w:lang w:eastAsia="en-AU"/>
        </w:rPr>
        <w:t xml:space="preserve"> </w:t>
      </w:r>
      <w:r w:rsidR="004A676D" w:rsidRPr="00FB0FC4">
        <w:rPr>
          <w:lang w:eastAsia="en-AU"/>
        </w:rPr>
        <w:t>equivalent</w:t>
      </w:r>
      <w:r w:rsidRPr="00FB0FC4">
        <w:rPr>
          <w:lang w:eastAsia="en-AU"/>
        </w:rPr>
        <w:t xml:space="preserve">). After administration of </w:t>
      </w:r>
      <w:proofErr w:type="spellStart"/>
      <w:r w:rsidRPr="00FB0FC4">
        <w:rPr>
          <w:lang w:eastAsia="en-AU"/>
        </w:rPr>
        <w:t>Invega</w:t>
      </w:r>
      <w:proofErr w:type="spellEnd"/>
      <w:r w:rsidRPr="00FB0FC4">
        <w:rPr>
          <w:lang w:eastAsia="en-AU"/>
        </w:rPr>
        <w:t xml:space="preserve"> </w:t>
      </w:r>
      <w:proofErr w:type="spellStart"/>
      <w:r w:rsidRPr="00FB0FC4">
        <w:rPr>
          <w:lang w:eastAsia="en-AU"/>
        </w:rPr>
        <w:t>Trinza</w:t>
      </w:r>
      <w:proofErr w:type="spellEnd"/>
      <w:r w:rsidRPr="00FB0FC4">
        <w:rPr>
          <w:lang w:eastAsia="en-AU"/>
        </w:rPr>
        <w:t xml:space="preserve">, </w:t>
      </w:r>
      <w:proofErr w:type="spellStart"/>
      <w:r w:rsidR="009F467D" w:rsidRPr="00FB0FC4">
        <w:t>C</w:t>
      </w:r>
      <w:r w:rsidR="009F467D" w:rsidRPr="00FB0FC4">
        <w:rPr>
          <w:vertAlign w:val="subscript"/>
        </w:rPr>
        <w:t>max</w:t>
      </w:r>
      <w:proofErr w:type="spellEnd"/>
      <w:r w:rsidRPr="00FB0FC4">
        <w:rPr>
          <w:lang w:eastAsia="en-AU"/>
        </w:rPr>
        <w:t xml:space="preserve"> and </w:t>
      </w:r>
      <w:proofErr w:type="spellStart"/>
      <w:r w:rsidR="009F467D" w:rsidRPr="00FB0FC4">
        <w:t>AUC</w:t>
      </w:r>
      <w:r w:rsidR="009F467D" w:rsidRPr="00FB0FC4">
        <w:rPr>
          <w:vertAlign w:val="subscript"/>
        </w:rPr>
        <w:t>τ</w:t>
      </w:r>
      <w:proofErr w:type="spellEnd"/>
      <w:r w:rsidRPr="00FB0FC4">
        <w:rPr>
          <w:lang w:eastAsia="en-AU"/>
        </w:rPr>
        <w:t xml:space="preserve"> also appeared to be approximately dose proportional over all doses given (150</w:t>
      </w:r>
      <w:r w:rsidR="004A676D" w:rsidRPr="00FB0FC4">
        <w:rPr>
          <w:lang w:eastAsia="en-AU"/>
        </w:rPr>
        <w:t xml:space="preserve"> mg</w:t>
      </w:r>
      <w:r w:rsidRPr="00FB0FC4">
        <w:rPr>
          <w:lang w:eastAsia="en-AU"/>
        </w:rPr>
        <w:t xml:space="preserve"> </w:t>
      </w:r>
      <w:r w:rsidR="004A676D" w:rsidRPr="00FB0FC4">
        <w:rPr>
          <w:lang w:eastAsia="en-AU"/>
        </w:rPr>
        <w:t>equivalent</w:t>
      </w:r>
      <w:r w:rsidRPr="00FB0FC4">
        <w:rPr>
          <w:lang w:eastAsia="en-AU"/>
        </w:rPr>
        <w:t>, 263</w:t>
      </w:r>
      <w:r w:rsidR="004A676D" w:rsidRPr="00FB0FC4">
        <w:rPr>
          <w:lang w:eastAsia="en-AU"/>
        </w:rPr>
        <w:t xml:space="preserve"> mg</w:t>
      </w:r>
      <w:r w:rsidRPr="00FB0FC4">
        <w:rPr>
          <w:lang w:eastAsia="en-AU"/>
        </w:rPr>
        <w:t xml:space="preserve"> </w:t>
      </w:r>
      <w:r w:rsidR="004A676D" w:rsidRPr="00FB0FC4">
        <w:rPr>
          <w:lang w:eastAsia="en-AU"/>
        </w:rPr>
        <w:t>equivalent</w:t>
      </w:r>
      <w:r w:rsidRPr="00FB0FC4">
        <w:rPr>
          <w:lang w:eastAsia="en-AU"/>
        </w:rPr>
        <w:t>, 350</w:t>
      </w:r>
      <w:r w:rsidR="004A676D" w:rsidRPr="00FB0FC4">
        <w:rPr>
          <w:lang w:eastAsia="en-AU"/>
        </w:rPr>
        <w:t xml:space="preserve"> mg</w:t>
      </w:r>
      <w:r w:rsidRPr="00FB0FC4">
        <w:rPr>
          <w:lang w:eastAsia="en-AU"/>
        </w:rPr>
        <w:t xml:space="preserve"> </w:t>
      </w:r>
      <w:r w:rsidR="004A676D" w:rsidRPr="00FB0FC4">
        <w:rPr>
          <w:lang w:eastAsia="en-AU"/>
        </w:rPr>
        <w:t>equivalent</w:t>
      </w:r>
      <w:r w:rsidRPr="00FB0FC4">
        <w:rPr>
          <w:lang w:eastAsia="en-AU"/>
        </w:rPr>
        <w:t xml:space="preserve"> and 525</w:t>
      </w:r>
      <w:r w:rsidR="004A676D" w:rsidRPr="00FB0FC4">
        <w:rPr>
          <w:lang w:eastAsia="en-AU"/>
        </w:rPr>
        <w:t xml:space="preserve"> mg</w:t>
      </w:r>
      <w:r w:rsidRPr="00FB0FC4">
        <w:rPr>
          <w:lang w:eastAsia="en-AU"/>
        </w:rPr>
        <w:t xml:space="preserve"> </w:t>
      </w:r>
      <w:r w:rsidR="004A676D" w:rsidRPr="00FB0FC4">
        <w:rPr>
          <w:lang w:eastAsia="en-AU"/>
        </w:rPr>
        <w:t>equivalent</w:t>
      </w:r>
      <w:r w:rsidRPr="00FB0FC4">
        <w:rPr>
          <w:lang w:eastAsia="en-AU"/>
        </w:rPr>
        <w:t>)</w:t>
      </w:r>
      <w:r w:rsidR="004A676D" w:rsidRPr="00FB0FC4">
        <w:rPr>
          <w:lang w:eastAsia="en-AU"/>
        </w:rPr>
        <w:t>.</w:t>
      </w:r>
    </w:p>
    <w:p w14:paraId="56FF4110" w14:textId="77777777" w:rsidR="007D66D9" w:rsidRPr="007D66D9" w:rsidRDefault="007D66D9" w:rsidP="005A18C6">
      <w:pPr>
        <w:pStyle w:val="FigureTitle"/>
        <w:keepNext/>
        <w:rPr>
          <w:lang w:eastAsia="en-AU"/>
        </w:rPr>
      </w:pPr>
      <w:bookmarkStart w:id="77" w:name="_Toc453055045"/>
      <w:r w:rsidRPr="009F485A">
        <w:rPr>
          <w:lang w:eastAsia="en-AU"/>
        </w:rPr>
        <w:t xml:space="preserve">Figure </w:t>
      </w:r>
      <w:r w:rsidRPr="009F485A">
        <w:rPr>
          <w:lang w:eastAsia="en-AU"/>
        </w:rPr>
        <w:fldChar w:fldCharType="begin"/>
      </w:r>
      <w:r w:rsidRPr="009F485A">
        <w:rPr>
          <w:lang w:eastAsia="en-AU"/>
        </w:rPr>
        <w:instrText xml:space="preserve"> SEQ Figure \* ARABIC </w:instrText>
      </w:r>
      <w:r w:rsidRPr="009F485A">
        <w:rPr>
          <w:lang w:eastAsia="en-AU"/>
        </w:rPr>
        <w:fldChar w:fldCharType="separate"/>
      </w:r>
      <w:r w:rsidRPr="009F485A">
        <w:rPr>
          <w:noProof/>
          <w:lang w:eastAsia="en-AU"/>
        </w:rPr>
        <w:t>3</w:t>
      </w:r>
      <w:r w:rsidRPr="009F485A">
        <w:rPr>
          <w:noProof/>
          <w:lang w:eastAsia="en-AU"/>
        </w:rPr>
        <w:fldChar w:fldCharType="end"/>
      </w:r>
      <w:r w:rsidR="009F485A" w:rsidRPr="009F485A">
        <w:rPr>
          <w:noProof/>
          <w:lang w:eastAsia="en-AU"/>
        </w:rPr>
        <w:t>:</w:t>
      </w:r>
      <w:r w:rsidRPr="009F485A">
        <w:rPr>
          <w:lang w:eastAsia="en-AU"/>
        </w:rPr>
        <w:t xml:space="preserve"> Box</w:t>
      </w:r>
      <w:r w:rsidRPr="007D66D9">
        <w:rPr>
          <w:lang w:eastAsia="en-AU"/>
        </w:rPr>
        <w:t xml:space="preserve"> Plots of </w:t>
      </w:r>
      <w:r w:rsidR="009F467D" w:rsidRPr="007D66D9">
        <w:rPr>
          <w:lang w:eastAsia="en-AU"/>
        </w:rPr>
        <w:t xml:space="preserve">dose normalized </w:t>
      </w:r>
      <w:r w:rsidRPr="007D66D9">
        <w:rPr>
          <w:lang w:eastAsia="en-AU"/>
        </w:rPr>
        <w:t>(100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for PP1M and 350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for PP3M) </w:t>
      </w:r>
      <w:r w:rsidR="009F467D" w:rsidRPr="007D66D9">
        <w:rPr>
          <w:lang w:eastAsia="en-AU"/>
        </w:rPr>
        <w:t>plasma predose concentrations of paliperidone duri</w:t>
      </w:r>
      <w:r w:rsidR="003673F6">
        <w:rPr>
          <w:lang w:eastAsia="en-AU"/>
        </w:rPr>
        <w:t>ng</w:t>
      </w:r>
      <w:r w:rsidR="009F467D" w:rsidRPr="007D66D9">
        <w:rPr>
          <w:lang w:eastAsia="en-AU"/>
        </w:rPr>
        <w:t xml:space="preserve"> </w:t>
      </w:r>
      <w:r w:rsidR="009F485A" w:rsidRPr="007D66D9">
        <w:rPr>
          <w:lang w:eastAsia="en-AU"/>
        </w:rPr>
        <w:t>the double blind phase</w:t>
      </w:r>
      <w:bookmarkEnd w:id="77"/>
    </w:p>
    <w:p w14:paraId="196FEAD1"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noProof/>
          <w:kern w:val="16"/>
          <w:lang w:eastAsia="en-AU"/>
        </w:rPr>
        <w:drawing>
          <wp:inline distT="0" distB="0" distL="0" distR="0" wp14:anchorId="18FEBE96" wp14:editId="7FE24233">
            <wp:extent cx="4182539" cy="2933395"/>
            <wp:effectExtent l="0" t="0" r="8890" b="635"/>
            <wp:docPr id="12" name="Picture 12" descr="Figure 3: Box Plots of dose normalized (100 mg equivalent for PP1M and 350 mg equivalent for PP3M) plasma predose concentrations of paliperidone during the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7792" r="996" b="1732"/>
                    <a:stretch/>
                  </pic:blipFill>
                  <pic:spPr bwMode="auto">
                    <a:xfrm>
                      <a:off x="0" y="0"/>
                      <a:ext cx="4180995" cy="2932312"/>
                    </a:xfrm>
                    <a:prstGeom prst="rect">
                      <a:avLst/>
                    </a:prstGeom>
                    <a:ln>
                      <a:noFill/>
                    </a:ln>
                    <a:extLst>
                      <a:ext uri="{53640926-AAD7-44D8-BBD7-CCE9431645EC}">
                        <a14:shadowObscured xmlns:a14="http://schemas.microsoft.com/office/drawing/2010/main"/>
                      </a:ext>
                    </a:extLst>
                  </pic:spPr>
                </pic:pic>
              </a:graphicData>
            </a:graphic>
          </wp:inline>
        </w:drawing>
      </w:r>
    </w:p>
    <w:p w14:paraId="75900BE5" w14:textId="77777777" w:rsidR="007D66D9" w:rsidRPr="007D66D9" w:rsidRDefault="007D66D9" w:rsidP="009F467D">
      <w:pPr>
        <w:rPr>
          <w:lang w:eastAsia="en-AU"/>
        </w:rPr>
      </w:pPr>
      <w:r w:rsidRPr="007D66D9">
        <w:rPr>
          <w:lang w:eastAsia="en-AU"/>
        </w:rPr>
        <w:t>Mean peak-to-trough ratios were higher after administration of Invega Trinza (1.86 to 2.54) than after administration of Invega Sustenna (1.30 to 1.63).</w:t>
      </w:r>
    </w:p>
    <w:p w14:paraId="32254455" w14:textId="25116FDC" w:rsidR="007D66D9" w:rsidRPr="009F467D" w:rsidRDefault="007D66D9" w:rsidP="009F467D">
      <w:r w:rsidRPr="007D66D9">
        <w:rPr>
          <w:rFonts w:cs="Arial"/>
          <w:lang w:eastAsia="en-AU"/>
        </w:rPr>
        <w:t xml:space="preserve">After administration into the deltoid muscle, </w:t>
      </w:r>
      <w:proofErr w:type="spellStart"/>
      <w:r w:rsidRPr="007D66D9">
        <w:rPr>
          <w:rFonts w:cs="Arial"/>
          <w:lang w:eastAsia="en-AU"/>
        </w:rPr>
        <w:t>paliperidone</w:t>
      </w:r>
      <w:proofErr w:type="spellEnd"/>
      <w:r w:rsidRPr="007D66D9">
        <w:rPr>
          <w:rFonts w:cs="Arial"/>
          <w:lang w:eastAsia="en-AU"/>
        </w:rPr>
        <w:t xml:space="preserve"> </w:t>
      </w:r>
      <w:proofErr w:type="spellStart"/>
      <w:r w:rsidR="009F467D" w:rsidRPr="009F467D">
        <w:t>C</w:t>
      </w:r>
      <w:r w:rsidR="009F467D" w:rsidRPr="009F467D">
        <w:rPr>
          <w:vertAlign w:val="subscript"/>
        </w:rPr>
        <w:t>max</w:t>
      </w:r>
      <w:proofErr w:type="spellEnd"/>
      <w:r w:rsidRPr="007D66D9">
        <w:rPr>
          <w:rFonts w:cs="Arial"/>
          <w:vertAlign w:val="subscript"/>
          <w:lang w:eastAsia="en-AU"/>
        </w:rPr>
        <w:t xml:space="preserve"> </w:t>
      </w:r>
      <w:r w:rsidRPr="007D66D9">
        <w:rPr>
          <w:rFonts w:cs="Arial"/>
          <w:lang w:eastAsia="en-AU"/>
        </w:rPr>
        <w:t xml:space="preserve">and </w:t>
      </w:r>
      <w:proofErr w:type="spellStart"/>
      <w:r w:rsidR="009F467D" w:rsidRPr="009F467D">
        <w:t>AUC</w:t>
      </w:r>
      <w:r w:rsidR="009F467D" w:rsidRPr="009F467D">
        <w:rPr>
          <w:vertAlign w:val="subscript"/>
        </w:rPr>
        <w:t>τ</w:t>
      </w:r>
      <w:proofErr w:type="spellEnd"/>
      <w:r w:rsidRPr="007D66D9">
        <w:rPr>
          <w:rFonts w:cs="Arial"/>
          <w:lang w:eastAsia="en-AU"/>
        </w:rPr>
        <w:t>, were 1.09</w:t>
      </w:r>
      <w:r w:rsidR="009F467D">
        <w:rPr>
          <w:rFonts w:cs="Arial"/>
          <w:lang w:eastAsia="en-AU"/>
        </w:rPr>
        <w:t xml:space="preserve"> fold</w:t>
      </w:r>
      <w:r w:rsidRPr="007D66D9">
        <w:rPr>
          <w:rFonts w:cs="Arial"/>
          <w:lang w:eastAsia="en-AU"/>
        </w:rPr>
        <w:t xml:space="preserve"> and 1.13</w:t>
      </w:r>
      <w:r w:rsidR="009F467D">
        <w:rPr>
          <w:rFonts w:cs="Arial"/>
          <w:lang w:eastAsia="en-AU"/>
        </w:rPr>
        <w:t xml:space="preserve"> fold</w:t>
      </w:r>
      <w:r w:rsidRPr="007D66D9">
        <w:rPr>
          <w:rFonts w:cs="Arial"/>
          <w:lang w:eastAsia="en-AU"/>
        </w:rPr>
        <w:t xml:space="preserve"> higher respectively, at steady state for PP1M, and 1.28</w:t>
      </w:r>
      <w:r w:rsidR="009F467D">
        <w:rPr>
          <w:rFonts w:cs="Arial"/>
          <w:lang w:eastAsia="en-AU"/>
        </w:rPr>
        <w:t xml:space="preserve"> fold</w:t>
      </w:r>
      <w:r w:rsidRPr="007D66D9">
        <w:rPr>
          <w:rFonts w:cs="Arial"/>
          <w:lang w:eastAsia="en-AU"/>
        </w:rPr>
        <w:t xml:space="preserve"> and 1.30</w:t>
      </w:r>
      <w:r w:rsidR="009F467D">
        <w:rPr>
          <w:rFonts w:cs="Arial"/>
          <w:lang w:eastAsia="en-AU"/>
        </w:rPr>
        <w:t xml:space="preserve"> fold</w:t>
      </w:r>
      <w:r w:rsidRPr="007D66D9">
        <w:rPr>
          <w:rFonts w:cs="Arial"/>
          <w:lang w:eastAsia="en-AU"/>
        </w:rPr>
        <w:t xml:space="preserve"> higher, respectively, for PP3M compared to administration into the gluteal muscle. Compared to men, </w:t>
      </w:r>
      <w:proofErr w:type="spellStart"/>
      <w:r w:rsidRPr="007D66D9">
        <w:rPr>
          <w:rFonts w:cs="Arial"/>
          <w:lang w:eastAsia="en-AU"/>
        </w:rPr>
        <w:t>paliperidone</w:t>
      </w:r>
      <w:proofErr w:type="spellEnd"/>
      <w:r w:rsidRPr="007D66D9">
        <w:rPr>
          <w:rFonts w:cs="Arial"/>
          <w:lang w:eastAsia="en-AU"/>
        </w:rPr>
        <w:t xml:space="preserve"> </w:t>
      </w:r>
      <w:proofErr w:type="spellStart"/>
      <w:r w:rsidR="009F467D" w:rsidRPr="009F467D">
        <w:t>C</w:t>
      </w:r>
      <w:r w:rsidR="009F467D" w:rsidRPr="009F467D">
        <w:rPr>
          <w:vertAlign w:val="subscript"/>
        </w:rPr>
        <w:t>max</w:t>
      </w:r>
      <w:proofErr w:type="spellEnd"/>
      <w:r w:rsidRPr="007D66D9">
        <w:rPr>
          <w:rFonts w:cs="Arial"/>
          <w:lang w:eastAsia="en-AU"/>
        </w:rPr>
        <w:t xml:space="preserve"> </w:t>
      </w:r>
      <w:r w:rsidRPr="009F467D">
        <w:t xml:space="preserve">and </w:t>
      </w:r>
      <w:proofErr w:type="spellStart"/>
      <w:r w:rsidR="009F467D" w:rsidRPr="009F467D">
        <w:t>AUC</w:t>
      </w:r>
      <w:r w:rsidR="009F467D" w:rsidRPr="009F467D">
        <w:rPr>
          <w:vertAlign w:val="subscript"/>
        </w:rPr>
        <w:t>τ</w:t>
      </w:r>
      <w:proofErr w:type="spellEnd"/>
      <w:r w:rsidRPr="009F467D">
        <w:t xml:space="preserve"> in women </w:t>
      </w:r>
      <w:r w:rsidR="00F51B3D" w:rsidRPr="009F467D">
        <w:t>was</w:t>
      </w:r>
      <w:r w:rsidRPr="009F467D">
        <w:t xml:space="preserve"> 1.25</w:t>
      </w:r>
      <w:r w:rsidR="009F467D">
        <w:t xml:space="preserve"> fold</w:t>
      </w:r>
      <w:r w:rsidRPr="009F467D">
        <w:t xml:space="preserve"> and 1.23</w:t>
      </w:r>
      <w:r w:rsidR="009F467D">
        <w:t xml:space="preserve"> fold</w:t>
      </w:r>
      <w:r w:rsidRPr="009F467D">
        <w:t xml:space="preserve"> higher, respectively, after administration of PP1M and 1.06</w:t>
      </w:r>
      <w:r w:rsidR="009F467D">
        <w:t xml:space="preserve"> fold</w:t>
      </w:r>
      <w:r w:rsidRPr="009F467D">
        <w:t xml:space="preserve"> and 1.09</w:t>
      </w:r>
      <w:r w:rsidR="009F467D">
        <w:t xml:space="preserve"> fold</w:t>
      </w:r>
      <w:r w:rsidRPr="009F467D">
        <w:t xml:space="preserve"> higher, respectively, after administra</w:t>
      </w:r>
      <w:r w:rsidR="009F467D">
        <w:t>tion of PP3M. Compared to the &lt; </w:t>
      </w:r>
      <w:r w:rsidRPr="009F467D">
        <w:t xml:space="preserve">60 years subgroup, </w:t>
      </w:r>
      <w:proofErr w:type="spellStart"/>
      <w:r w:rsidRPr="009F467D">
        <w:t>paliperidone</w:t>
      </w:r>
      <w:proofErr w:type="spellEnd"/>
      <w:r w:rsidRPr="009F467D">
        <w:t xml:space="preserve"> </w:t>
      </w:r>
      <w:proofErr w:type="spellStart"/>
      <w:r w:rsidR="009F467D" w:rsidRPr="009F467D">
        <w:t>C</w:t>
      </w:r>
      <w:r w:rsidR="009F467D" w:rsidRPr="009F467D">
        <w:rPr>
          <w:vertAlign w:val="subscript"/>
        </w:rPr>
        <w:t>max</w:t>
      </w:r>
      <w:proofErr w:type="spellEnd"/>
      <w:r w:rsidRPr="009F467D">
        <w:t xml:space="preserve"> and </w:t>
      </w:r>
      <w:proofErr w:type="spellStart"/>
      <w:r w:rsidR="009F467D" w:rsidRPr="009F467D">
        <w:t>AUC</w:t>
      </w:r>
      <w:r w:rsidR="009F467D" w:rsidRPr="009F467D">
        <w:rPr>
          <w:vertAlign w:val="subscript"/>
        </w:rPr>
        <w:t>τ</w:t>
      </w:r>
      <w:proofErr w:type="spellEnd"/>
      <w:r w:rsidRPr="009F467D">
        <w:t xml:space="preserve"> in the ≥ 60 years subgroup were 1.13</w:t>
      </w:r>
      <w:r w:rsidR="009F467D">
        <w:t xml:space="preserve"> fold</w:t>
      </w:r>
      <w:r w:rsidRPr="009F467D">
        <w:t xml:space="preserve"> and 1.16</w:t>
      </w:r>
      <w:r w:rsidR="009F467D">
        <w:t xml:space="preserve"> fold</w:t>
      </w:r>
      <w:r w:rsidRPr="009F467D">
        <w:t xml:space="preserve"> higher, respectively, for PP1M and 1.18</w:t>
      </w:r>
      <w:r w:rsidR="009F467D">
        <w:t xml:space="preserve"> fold</w:t>
      </w:r>
      <w:r w:rsidRPr="009F467D">
        <w:t xml:space="preserve"> and 1.15</w:t>
      </w:r>
      <w:r w:rsidR="009F467D">
        <w:t xml:space="preserve"> fold</w:t>
      </w:r>
      <w:r w:rsidRPr="009F467D">
        <w:t xml:space="preserve"> higher, respectively, for PP3M. </w:t>
      </w:r>
      <w:proofErr w:type="spellStart"/>
      <w:r w:rsidRPr="009F467D">
        <w:lastRenderedPageBreak/>
        <w:t>Paliperidone</w:t>
      </w:r>
      <w:proofErr w:type="spellEnd"/>
      <w:r w:rsidRPr="009F467D">
        <w:t xml:space="preserve"> </w:t>
      </w:r>
      <w:proofErr w:type="spellStart"/>
      <w:r w:rsidR="009F467D" w:rsidRPr="009F467D">
        <w:t>C</w:t>
      </w:r>
      <w:r w:rsidR="009F467D" w:rsidRPr="009F467D">
        <w:rPr>
          <w:vertAlign w:val="subscript"/>
        </w:rPr>
        <w:t>max</w:t>
      </w:r>
      <w:proofErr w:type="spellEnd"/>
      <w:r w:rsidRPr="009F467D">
        <w:t xml:space="preserve"> and </w:t>
      </w:r>
      <w:proofErr w:type="spellStart"/>
      <w:r w:rsidR="009F467D" w:rsidRPr="009F467D">
        <w:t>AUC</w:t>
      </w:r>
      <w:r w:rsidR="009F467D" w:rsidRPr="009F467D">
        <w:rPr>
          <w:vertAlign w:val="subscript"/>
        </w:rPr>
        <w:t>τ</w:t>
      </w:r>
      <w:proofErr w:type="spellEnd"/>
      <w:r w:rsidRPr="009F467D">
        <w:t xml:space="preserve"> increased with decreasi</w:t>
      </w:r>
      <w:r w:rsidR="003673F6">
        <w:t>ng</w:t>
      </w:r>
      <w:r w:rsidRPr="009F467D">
        <w:t xml:space="preserve"> renal function (from normal to moderately impaired renal function) for both PP1M and PP3M. Compared to normal renal function, </w:t>
      </w:r>
      <w:proofErr w:type="spellStart"/>
      <w:r w:rsidR="009F467D" w:rsidRPr="009F467D">
        <w:t>C</w:t>
      </w:r>
      <w:r w:rsidR="009F467D" w:rsidRPr="009F467D">
        <w:rPr>
          <w:vertAlign w:val="subscript"/>
        </w:rPr>
        <w:t>max</w:t>
      </w:r>
      <w:proofErr w:type="spellEnd"/>
      <w:r w:rsidRPr="009F467D">
        <w:t xml:space="preserve"> and </w:t>
      </w:r>
      <w:proofErr w:type="spellStart"/>
      <w:r w:rsidR="009F467D" w:rsidRPr="009F467D">
        <w:t>AUC</w:t>
      </w:r>
      <w:r w:rsidR="009F467D" w:rsidRPr="009F467D">
        <w:rPr>
          <w:vertAlign w:val="subscript"/>
        </w:rPr>
        <w:t>τ</w:t>
      </w:r>
      <w:proofErr w:type="spellEnd"/>
      <w:r w:rsidRPr="009F467D">
        <w:t xml:space="preserve"> in subjects with mild renal impairment </w:t>
      </w:r>
      <w:r w:rsidR="009F467D" w:rsidRPr="009F467D">
        <w:t>was</w:t>
      </w:r>
      <w:r w:rsidRPr="009F467D">
        <w:t xml:space="preserve"> 1.13</w:t>
      </w:r>
      <w:r w:rsidR="009F467D">
        <w:t xml:space="preserve"> fold</w:t>
      </w:r>
      <w:r w:rsidRPr="009F467D">
        <w:t xml:space="preserve"> and 1.12</w:t>
      </w:r>
      <w:r w:rsidR="009F467D">
        <w:t xml:space="preserve"> fold</w:t>
      </w:r>
      <w:r w:rsidRPr="009F467D">
        <w:t xml:space="preserve"> higher, respectively, for PP1M and 1.43</w:t>
      </w:r>
      <w:r w:rsidR="009F467D">
        <w:t xml:space="preserve"> fold</w:t>
      </w:r>
      <w:r w:rsidRPr="009F467D">
        <w:t xml:space="preserve"> and 1.35</w:t>
      </w:r>
      <w:r w:rsidR="009F467D">
        <w:t xml:space="preserve"> fold</w:t>
      </w:r>
      <w:r w:rsidRPr="009F467D">
        <w:t xml:space="preserve"> higher, respectively, for PP3M.</w:t>
      </w:r>
    </w:p>
    <w:p w14:paraId="5ABB3955" w14:textId="77777777" w:rsidR="007D66D9" w:rsidRDefault="007D66D9" w:rsidP="00C16E08">
      <w:pPr>
        <w:pStyle w:val="FigureTitle"/>
        <w:keepNext/>
        <w:rPr>
          <w:lang w:eastAsia="en-AU"/>
        </w:rPr>
      </w:pPr>
      <w:bookmarkStart w:id="78" w:name="_Toc453055046"/>
      <w:r w:rsidRPr="009F485A">
        <w:rPr>
          <w:lang w:eastAsia="en-AU"/>
        </w:rPr>
        <w:t>Figure</w:t>
      </w:r>
      <w:r w:rsidR="009F485A">
        <w:rPr>
          <w:lang w:eastAsia="en-AU"/>
        </w:rPr>
        <w:t xml:space="preserve"> 4</w:t>
      </w:r>
      <w:r w:rsidR="009F485A" w:rsidRPr="009F485A">
        <w:rPr>
          <w:noProof/>
          <w:lang w:eastAsia="en-AU"/>
        </w:rPr>
        <w:t>:</w:t>
      </w:r>
      <w:r w:rsidRPr="009F485A">
        <w:rPr>
          <w:lang w:eastAsia="en-AU"/>
        </w:rPr>
        <w:t xml:space="preserve"> Box</w:t>
      </w:r>
      <w:r w:rsidRPr="007D66D9">
        <w:rPr>
          <w:lang w:eastAsia="en-AU"/>
        </w:rPr>
        <w:t xml:space="preserve"> </w:t>
      </w:r>
      <w:r w:rsidR="009F467D" w:rsidRPr="007D66D9">
        <w:rPr>
          <w:lang w:eastAsia="en-AU"/>
        </w:rPr>
        <w:t xml:space="preserve">plots of dose normalized </w:t>
      </w:r>
      <w:r w:rsidRPr="007D66D9">
        <w:rPr>
          <w:lang w:eastAsia="en-AU"/>
        </w:rPr>
        <w:t>(100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for PP1M and 350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for PP3M) </w:t>
      </w:r>
      <w:proofErr w:type="spellStart"/>
      <w:r w:rsidR="009F467D" w:rsidRPr="009F467D">
        <w:t>C</w:t>
      </w:r>
      <w:r w:rsidR="009F467D" w:rsidRPr="009F467D">
        <w:rPr>
          <w:vertAlign w:val="subscript"/>
        </w:rPr>
        <w:t>max</w:t>
      </w:r>
      <w:proofErr w:type="spellEnd"/>
      <w:r w:rsidRPr="007D66D9">
        <w:rPr>
          <w:vertAlign w:val="subscript"/>
          <w:lang w:eastAsia="en-AU"/>
        </w:rPr>
        <w:t xml:space="preserve">-DN </w:t>
      </w:r>
      <w:r w:rsidRPr="007D66D9">
        <w:rPr>
          <w:lang w:eastAsia="en-AU"/>
        </w:rPr>
        <w:t>and AUC</w:t>
      </w:r>
      <w:r w:rsidRPr="007D66D9">
        <w:rPr>
          <w:vertAlign w:val="subscript"/>
          <w:lang w:eastAsia="en-AU"/>
        </w:rPr>
        <w:t xml:space="preserve">3months-DN </w:t>
      </w:r>
      <w:r w:rsidRPr="007D66D9">
        <w:rPr>
          <w:lang w:eastAsia="en-AU"/>
        </w:rPr>
        <w:t xml:space="preserve">of </w:t>
      </w:r>
      <w:r w:rsidR="009F467D" w:rsidRPr="007D66D9">
        <w:rPr>
          <w:lang w:eastAsia="en-AU"/>
        </w:rPr>
        <w:t>paliperidone compa</w:t>
      </w:r>
      <w:r w:rsidRPr="007D66D9">
        <w:rPr>
          <w:lang w:eastAsia="en-AU"/>
        </w:rPr>
        <w:t>ri</w:t>
      </w:r>
      <w:r w:rsidR="003673F6">
        <w:rPr>
          <w:lang w:eastAsia="en-AU"/>
        </w:rPr>
        <w:t>ng</w:t>
      </w:r>
      <w:r w:rsidRPr="007D66D9">
        <w:rPr>
          <w:lang w:eastAsia="en-AU"/>
        </w:rPr>
        <w:t xml:space="preserve"> PP1M </w:t>
      </w:r>
      <w:r w:rsidR="009F467D" w:rsidRPr="007D66D9">
        <w:rPr>
          <w:lang w:eastAsia="en-AU"/>
        </w:rPr>
        <w:t>v</w:t>
      </w:r>
      <w:r w:rsidR="009F467D">
        <w:rPr>
          <w:lang w:eastAsia="en-AU"/>
        </w:rPr>
        <w:t xml:space="preserve">ersus PP3M; </w:t>
      </w:r>
      <w:r w:rsidRPr="007D66D9">
        <w:rPr>
          <w:lang w:eastAsia="en-AU"/>
        </w:rPr>
        <w:t xml:space="preserve">per </w:t>
      </w:r>
      <w:r w:rsidR="009F467D" w:rsidRPr="007D66D9">
        <w:rPr>
          <w:lang w:eastAsia="en-AU"/>
        </w:rPr>
        <w:t>injection s</w:t>
      </w:r>
      <w:r w:rsidRPr="007D66D9">
        <w:rPr>
          <w:lang w:eastAsia="en-AU"/>
        </w:rPr>
        <w:t>ite</w:t>
      </w:r>
      <w:bookmarkEnd w:id="78"/>
    </w:p>
    <w:p w14:paraId="5B936485" w14:textId="77777777" w:rsidR="007D66D9" w:rsidRPr="009F467D" w:rsidRDefault="008B365B" w:rsidP="009F4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rPr>
          <w:rFonts w:eastAsia="Times New Roman"/>
          <w:b/>
          <w:bCs/>
          <w:kern w:val="16"/>
          <w:lang w:eastAsia="en-AU"/>
        </w:rPr>
      </w:pPr>
      <w:r>
        <w:rPr>
          <w:noProof/>
          <w:lang w:eastAsia="en-AU"/>
        </w:rPr>
        <w:drawing>
          <wp:inline distT="0" distB="0" distL="0" distR="0" wp14:anchorId="2612AA32" wp14:editId="351809D2">
            <wp:extent cx="4433011" cy="6603720"/>
            <wp:effectExtent l="0" t="0" r="5715" b="6985"/>
            <wp:docPr id="64" name="Picture 64" descr="Figure 4: Box plots of dose normalized (100 mg equivalent for PP1M and 350 mg equivalent for PP3M) Cmax-DN and AUC3months-DN of paliperidone comparing PP1M versus PP3M; per inje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34477" cy="6605904"/>
                    </a:xfrm>
                    <a:prstGeom prst="rect">
                      <a:avLst/>
                    </a:prstGeom>
                  </pic:spPr>
                </pic:pic>
              </a:graphicData>
            </a:graphic>
          </wp:inline>
        </w:drawing>
      </w:r>
    </w:p>
    <w:p w14:paraId="408418B6" w14:textId="77777777" w:rsidR="007D66D9" w:rsidRPr="007D66D9" w:rsidRDefault="009F485A" w:rsidP="008B365B">
      <w:pPr>
        <w:pStyle w:val="FigureTitle"/>
        <w:keepNext/>
        <w:rPr>
          <w:lang w:eastAsia="en-AU"/>
        </w:rPr>
      </w:pPr>
      <w:bookmarkStart w:id="79" w:name="_Toc453055047"/>
      <w:r w:rsidRPr="009F485A">
        <w:rPr>
          <w:lang w:eastAsia="en-AU"/>
        </w:rPr>
        <w:lastRenderedPageBreak/>
        <w:t>Figure 5</w:t>
      </w:r>
      <w:r>
        <w:rPr>
          <w:lang w:eastAsia="en-AU"/>
        </w:rPr>
        <w:t>:</w:t>
      </w:r>
      <w:r w:rsidR="007D66D9" w:rsidRPr="007D66D9">
        <w:rPr>
          <w:lang w:eastAsia="en-AU"/>
        </w:rPr>
        <w:t xml:space="preserve"> Summary of the </w:t>
      </w:r>
      <w:r w:rsidR="009F467D" w:rsidRPr="007D66D9">
        <w:rPr>
          <w:lang w:eastAsia="en-AU"/>
        </w:rPr>
        <w:t>k</w:t>
      </w:r>
      <w:r w:rsidR="007D66D9" w:rsidRPr="007D66D9">
        <w:rPr>
          <w:lang w:eastAsia="en-AU"/>
        </w:rPr>
        <w:t xml:space="preserve">ey PKs of </w:t>
      </w:r>
      <w:r w:rsidR="009F467D" w:rsidRPr="007D66D9">
        <w:rPr>
          <w:lang w:eastAsia="en-AU"/>
        </w:rPr>
        <w:t xml:space="preserve">paliperidone after administration </w:t>
      </w:r>
      <w:r w:rsidR="007D66D9" w:rsidRPr="007D66D9">
        <w:rPr>
          <w:lang w:eastAsia="en-AU"/>
        </w:rPr>
        <w:t xml:space="preserve">of PP1M </w:t>
      </w:r>
      <w:r w:rsidR="009F467D">
        <w:rPr>
          <w:lang w:eastAsia="en-AU"/>
        </w:rPr>
        <w:t>duri</w:t>
      </w:r>
      <w:r w:rsidR="003673F6">
        <w:rPr>
          <w:lang w:eastAsia="en-AU"/>
        </w:rPr>
        <w:t>ng</w:t>
      </w:r>
      <w:r w:rsidR="009F467D">
        <w:rPr>
          <w:lang w:eastAsia="en-AU"/>
        </w:rPr>
        <w:t xml:space="preserve"> the double </w:t>
      </w:r>
      <w:r w:rsidR="009F467D" w:rsidRPr="007D66D9">
        <w:rPr>
          <w:lang w:eastAsia="en-AU"/>
        </w:rPr>
        <w:t>blind pha</w:t>
      </w:r>
      <w:r w:rsidR="007D66D9" w:rsidRPr="007D66D9">
        <w:rPr>
          <w:lang w:eastAsia="en-AU"/>
        </w:rPr>
        <w:t>se, Study 3011</w:t>
      </w:r>
      <w:bookmarkEnd w:id="79"/>
    </w:p>
    <w:p w14:paraId="26B4C227" w14:textId="77777777" w:rsidR="007D66D9" w:rsidRPr="007D66D9" w:rsidRDefault="007D66D9" w:rsidP="00D37CB6">
      <w:pPr>
        <w:rPr>
          <w:lang w:eastAsia="en-AU"/>
        </w:rPr>
      </w:pPr>
      <w:r w:rsidRPr="007D66D9">
        <w:rPr>
          <w:noProof/>
          <w:lang w:eastAsia="en-AU"/>
        </w:rPr>
        <w:drawing>
          <wp:inline distT="0" distB="0" distL="0" distR="0" wp14:anchorId="763D85F7" wp14:editId="31495C47">
            <wp:extent cx="5761498" cy="1667866"/>
            <wp:effectExtent l="0" t="0" r="0" b="8890"/>
            <wp:docPr id="15" name="Picture 15" descr="Figure 5: Summary of the key PKs of paliperidone after administration of PP1M during the double blind phase, Study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8169" cy="1669797"/>
                    </a:xfrm>
                    <a:prstGeom prst="rect">
                      <a:avLst/>
                    </a:prstGeom>
                  </pic:spPr>
                </pic:pic>
              </a:graphicData>
            </a:graphic>
          </wp:inline>
        </w:drawing>
      </w:r>
    </w:p>
    <w:p w14:paraId="7F89294E" w14:textId="77777777" w:rsidR="007D66D9" w:rsidRPr="008B365B" w:rsidRDefault="007D66D9" w:rsidP="008B365B">
      <w:pPr>
        <w:pStyle w:val="TableDescription"/>
        <w:rPr>
          <w:lang w:eastAsia="en-AU"/>
        </w:rPr>
      </w:pPr>
      <w:r w:rsidRPr="007D66D9">
        <w:rPr>
          <w:lang w:eastAsia="en-AU"/>
        </w:rPr>
        <w:t>PK parameters were obtained duri</w:t>
      </w:r>
      <w:r w:rsidR="003673F6">
        <w:rPr>
          <w:lang w:eastAsia="en-AU"/>
        </w:rPr>
        <w:t>ng</w:t>
      </w:r>
      <w:r w:rsidRPr="007D66D9">
        <w:rPr>
          <w:lang w:eastAsia="en-AU"/>
        </w:rPr>
        <w:t xml:space="preserve"> one dosi</w:t>
      </w:r>
      <w:r w:rsidR="003673F6">
        <w:rPr>
          <w:lang w:eastAsia="en-AU"/>
        </w:rPr>
        <w:t>ng</w:t>
      </w:r>
      <w:r w:rsidRPr="007D66D9">
        <w:rPr>
          <w:lang w:eastAsia="en-AU"/>
        </w:rPr>
        <w:t xml:space="preserve"> interval of 28 days (1 month). DN: dose normalized to 100</w:t>
      </w:r>
      <w:r w:rsidR="004A676D">
        <w:rPr>
          <w:lang w:eastAsia="en-AU"/>
        </w:rPr>
        <w:t xml:space="preserve"> mg</w:t>
      </w:r>
      <w:r w:rsidRPr="007D66D9">
        <w:rPr>
          <w:lang w:eastAsia="en-AU"/>
        </w:rPr>
        <w:t xml:space="preserve"> </w:t>
      </w:r>
      <w:r w:rsidR="004A676D">
        <w:rPr>
          <w:lang w:eastAsia="en-AU"/>
        </w:rPr>
        <w:t xml:space="preserve">equivalent </w:t>
      </w:r>
    </w:p>
    <w:p w14:paraId="4C029F0E" w14:textId="77777777" w:rsidR="007D66D9" w:rsidRPr="007D66D9" w:rsidRDefault="009F485A" w:rsidP="008B365B">
      <w:pPr>
        <w:pStyle w:val="FigureTitle"/>
        <w:keepNext/>
        <w:rPr>
          <w:lang w:eastAsia="en-AU"/>
        </w:rPr>
      </w:pPr>
      <w:bookmarkStart w:id="80" w:name="_Toc453055048"/>
      <w:r w:rsidRPr="009F485A">
        <w:rPr>
          <w:lang w:eastAsia="en-AU"/>
        </w:rPr>
        <w:t>Figure 6:</w:t>
      </w:r>
      <w:r w:rsidR="007D66D9" w:rsidRPr="009F485A">
        <w:rPr>
          <w:lang w:eastAsia="en-AU"/>
        </w:rPr>
        <w:t xml:space="preserve"> Summary of the</w:t>
      </w:r>
      <w:r w:rsidR="007D66D9" w:rsidRPr="007D66D9">
        <w:rPr>
          <w:lang w:eastAsia="en-AU"/>
        </w:rPr>
        <w:t xml:space="preserve"> </w:t>
      </w:r>
      <w:r w:rsidR="009F467D" w:rsidRPr="007D66D9">
        <w:rPr>
          <w:lang w:eastAsia="en-AU"/>
        </w:rPr>
        <w:t>k</w:t>
      </w:r>
      <w:r w:rsidR="007D66D9" w:rsidRPr="007D66D9">
        <w:rPr>
          <w:lang w:eastAsia="en-AU"/>
        </w:rPr>
        <w:t xml:space="preserve">ey PKs of </w:t>
      </w:r>
      <w:r w:rsidR="009F467D" w:rsidRPr="007D66D9">
        <w:rPr>
          <w:lang w:eastAsia="en-AU"/>
        </w:rPr>
        <w:t xml:space="preserve">paliperidone after administration </w:t>
      </w:r>
      <w:r w:rsidR="007D66D9" w:rsidRPr="007D66D9">
        <w:rPr>
          <w:lang w:eastAsia="en-AU"/>
        </w:rPr>
        <w:t xml:space="preserve">of PP3M </w:t>
      </w:r>
      <w:r w:rsidR="009F467D">
        <w:rPr>
          <w:lang w:eastAsia="en-AU"/>
        </w:rPr>
        <w:t>duri</w:t>
      </w:r>
      <w:r w:rsidR="003673F6">
        <w:rPr>
          <w:lang w:eastAsia="en-AU"/>
        </w:rPr>
        <w:t>ng</w:t>
      </w:r>
      <w:r w:rsidR="009F467D">
        <w:rPr>
          <w:lang w:eastAsia="en-AU"/>
        </w:rPr>
        <w:t xml:space="preserve"> the double </w:t>
      </w:r>
      <w:r w:rsidR="009F467D" w:rsidRPr="007D66D9">
        <w:rPr>
          <w:lang w:eastAsia="en-AU"/>
        </w:rPr>
        <w:t>blind phase</w:t>
      </w:r>
      <w:r w:rsidR="007D66D9" w:rsidRPr="007D66D9">
        <w:rPr>
          <w:lang w:eastAsia="en-AU"/>
        </w:rPr>
        <w:t>, Study 3011</w:t>
      </w:r>
      <w:bookmarkEnd w:id="80"/>
    </w:p>
    <w:p w14:paraId="1B9CB088" w14:textId="77777777" w:rsidR="007D66D9" w:rsidRPr="007D66D9" w:rsidRDefault="007D66D9" w:rsidP="00D37CB6">
      <w:pPr>
        <w:rPr>
          <w:lang w:eastAsia="en-AU"/>
        </w:rPr>
      </w:pPr>
      <w:r w:rsidRPr="007D66D9">
        <w:rPr>
          <w:noProof/>
          <w:lang w:eastAsia="en-AU"/>
        </w:rPr>
        <w:drawing>
          <wp:inline distT="0" distB="0" distL="0" distR="0" wp14:anchorId="6665D9E5" wp14:editId="6C6518AE">
            <wp:extent cx="5925543" cy="1448410"/>
            <wp:effectExtent l="0" t="0" r="0" b="0"/>
            <wp:docPr id="16" name="Picture 16" descr="Figure 6: Summary of the key PKs of paliperidone after administration of PP3M during the double blind phase, Study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33920" cy="1450458"/>
                    </a:xfrm>
                    <a:prstGeom prst="rect">
                      <a:avLst/>
                    </a:prstGeom>
                  </pic:spPr>
                </pic:pic>
              </a:graphicData>
            </a:graphic>
          </wp:inline>
        </w:drawing>
      </w:r>
    </w:p>
    <w:p w14:paraId="652D2014" w14:textId="77777777" w:rsidR="007D66D9" w:rsidRPr="007D66D9" w:rsidRDefault="007D66D9" w:rsidP="008B365B">
      <w:pPr>
        <w:pStyle w:val="TableDescription"/>
        <w:rPr>
          <w:lang w:eastAsia="en-AU"/>
        </w:rPr>
      </w:pPr>
      <w:r w:rsidRPr="007D66D9">
        <w:rPr>
          <w:lang w:eastAsia="en-AU"/>
        </w:rPr>
        <w:t>PK parameters were obtained duri</w:t>
      </w:r>
      <w:r w:rsidR="003673F6">
        <w:rPr>
          <w:lang w:eastAsia="en-AU"/>
        </w:rPr>
        <w:t>ng</w:t>
      </w:r>
      <w:r w:rsidRPr="007D66D9">
        <w:rPr>
          <w:lang w:eastAsia="en-AU"/>
        </w:rPr>
        <w:t xml:space="preserve"> one dosi</w:t>
      </w:r>
      <w:r w:rsidR="003673F6">
        <w:rPr>
          <w:lang w:eastAsia="en-AU"/>
        </w:rPr>
        <w:t>ng</w:t>
      </w:r>
      <w:r w:rsidRPr="007D66D9">
        <w:rPr>
          <w:lang w:eastAsia="en-AU"/>
        </w:rPr>
        <w:t xml:space="preserve"> interval of 84 days (3 months). DN: dose normalized to </w:t>
      </w:r>
      <w:r w:rsidR="0058163A">
        <w:rPr>
          <w:lang w:eastAsia="en-AU"/>
        </w:rPr>
        <w:t>350</w:t>
      </w:r>
      <w:r w:rsidR="004A676D">
        <w:rPr>
          <w:lang w:eastAsia="en-AU"/>
        </w:rPr>
        <w:t xml:space="preserve"> mg</w:t>
      </w:r>
      <w:r w:rsidRPr="007D66D9">
        <w:rPr>
          <w:lang w:eastAsia="en-AU"/>
        </w:rPr>
        <w:t xml:space="preserve"> </w:t>
      </w:r>
      <w:r w:rsidR="004A676D">
        <w:rPr>
          <w:lang w:eastAsia="en-AU"/>
        </w:rPr>
        <w:t>equivalent</w:t>
      </w:r>
    </w:p>
    <w:p w14:paraId="0F3494D5" w14:textId="77777777" w:rsidR="007D66D9" w:rsidRPr="007D66D9" w:rsidRDefault="007D66D9" w:rsidP="008B365B">
      <w:pPr>
        <w:pStyle w:val="FigureTitle"/>
        <w:keepNext/>
        <w:rPr>
          <w:lang w:eastAsia="en-AU"/>
        </w:rPr>
      </w:pPr>
      <w:bookmarkStart w:id="81" w:name="_Toc453055049"/>
      <w:r w:rsidRPr="009F485A">
        <w:rPr>
          <w:lang w:eastAsia="en-AU"/>
        </w:rPr>
        <w:t>Figure</w:t>
      </w:r>
      <w:r w:rsidR="009F485A">
        <w:rPr>
          <w:lang w:eastAsia="en-AU"/>
        </w:rPr>
        <w:t xml:space="preserve"> 7</w:t>
      </w:r>
      <w:r w:rsidR="009F485A" w:rsidRPr="009F485A">
        <w:rPr>
          <w:noProof/>
          <w:lang w:eastAsia="en-AU"/>
        </w:rPr>
        <w:t>:</w:t>
      </w:r>
      <w:r w:rsidRPr="009F485A">
        <w:rPr>
          <w:lang w:eastAsia="en-AU"/>
        </w:rPr>
        <w:t xml:space="preserve"> Linear</w:t>
      </w:r>
      <w:r w:rsidRPr="007D66D9">
        <w:rPr>
          <w:lang w:eastAsia="en-AU"/>
        </w:rPr>
        <w:t xml:space="preserve"> </w:t>
      </w:r>
      <w:r w:rsidR="005F391D">
        <w:rPr>
          <w:lang w:eastAsia="en-AU"/>
        </w:rPr>
        <w:t xml:space="preserve">median plasma concentration </w:t>
      </w:r>
      <w:r w:rsidR="005F391D" w:rsidRPr="007D66D9">
        <w:rPr>
          <w:lang w:eastAsia="en-AU"/>
        </w:rPr>
        <w:t>time profiles of paliperidone after administration of</w:t>
      </w:r>
      <w:r w:rsidRPr="007D66D9">
        <w:rPr>
          <w:lang w:eastAsia="en-AU"/>
        </w:rPr>
        <w:t xml:space="preserve"> PP1M at 50</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75</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100</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or 150</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xml:space="preserve"> and PP3M at 175</w:t>
      </w:r>
      <w:r w:rsidR="009F485A">
        <w:rPr>
          <w:lang w:eastAsia="en-AU"/>
        </w:rPr>
        <w:t> </w:t>
      </w:r>
      <w:r w:rsidR="004A676D">
        <w:rPr>
          <w:lang w:eastAsia="en-AU"/>
        </w:rPr>
        <w:t>mg</w:t>
      </w:r>
      <w:r w:rsidR="009F485A">
        <w:rPr>
          <w:lang w:eastAsia="en-AU"/>
        </w:rPr>
        <w:t> </w:t>
      </w:r>
      <w:proofErr w:type="spellStart"/>
      <w:r w:rsidR="004A676D">
        <w:rPr>
          <w:lang w:eastAsia="en-AU"/>
        </w:rPr>
        <w:t>eq</w:t>
      </w:r>
      <w:proofErr w:type="spellEnd"/>
      <w:r w:rsidRPr="007D66D9">
        <w:rPr>
          <w:lang w:eastAsia="en-AU"/>
        </w:rPr>
        <w:t>, 263</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350</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or 525</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xml:space="preserve"> </w:t>
      </w:r>
      <w:r w:rsidR="005F391D" w:rsidRPr="007D66D9">
        <w:rPr>
          <w:lang w:eastAsia="en-AU"/>
        </w:rPr>
        <w:t>duri</w:t>
      </w:r>
      <w:r w:rsidR="003673F6">
        <w:rPr>
          <w:lang w:eastAsia="en-AU"/>
        </w:rPr>
        <w:t>ng</w:t>
      </w:r>
      <w:r w:rsidR="005F391D" w:rsidRPr="007D66D9">
        <w:rPr>
          <w:lang w:eastAsia="en-AU"/>
        </w:rPr>
        <w:t xml:space="preserve"> the double</w:t>
      </w:r>
      <w:r w:rsidR="005F391D">
        <w:rPr>
          <w:lang w:eastAsia="en-AU"/>
        </w:rPr>
        <w:t xml:space="preserve"> </w:t>
      </w:r>
      <w:r w:rsidR="005F391D" w:rsidRPr="007D66D9">
        <w:rPr>
          <w:lang w:eastAsia="en-AU"/>
        </w:rPr>
        <w:t>blind phase</w:t>
      </w:r>
      <w:bookmarkEnd w:id="81"/>
    </w:p>
    <w:p w14:paraId="6F3E62A1"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lang w:eastAsia="en-AU"/>
        </w:rPr>
      </w:pPr>
      <w:r w:rsidRPr="007D66D9">
        <w:rPr>
          <w:rFonts w:eastAsia="Times New Roman"/>
          <w:noProof/>
          <w:kern w:val="16"/>
          <w:lang w:eastAsia="en-AU"/>
        </w:rPr>
        <w:drawing>
          <wp:inline distT="0" distB="0" distL="0" distR="0" wp14:anchorId="7D70BA07" wp14:editId="689D9142">
            <wp:extent cx="5340096" cy="2856510"/>
            <wp:effectExtent l="0" t="0" r="0" b="1270"/>
            <wp:docPr id="17" name="Picture 17" descr="Figure 7: Linear median plasma concentration time profiles of paliperidone after administration of PP1M at 50 mg eq, 75 mg eq, 100 mg eq, or 150 mg eq and PP3M at 175 mg eq, 263 mg eq, 350 mg eq, or 525 mg eq during the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38852" cy="2855844"/>
                    </a:xfrm>
                    <a:prstGeom prst="rect">
                      <a:avLst/>
                    </a:prstGeom>
                  </pic:spPr>
                </pic:pic>
              </a:graphicData>
            </a:graphic>
          </wp:inline>
        </w:drawing>
      </w:r>
    </w:p>
    <w:p w14:paraId="475A9D9E" w14:textId="77777777" w:rsidR="007D66D9" w:rsidRPr="007D66D9" w:rsidRDefault="007D66D9" w:rsidP="005F391D">
      <w:pPr>
        <w:pStyle w:val="Heading3"/>
      </w:pPr>
      <w:bookmarkStart w:id="82" w:name="_Toc453054875"/>
      <w:bookmarkStart w:id="83" w:name="_Toc495583937"/>
      <w:r w:rsidRPr="007D66D9">
        <w:lastRenderedPageBreak/>
        <w:t xml:space="preserve">Pivotal </w:t>
      </w:r>
      <w:r w:rsidR="005F391D" w:rsidRPr="007D66D9">
        <w:t>studies for other than 3 monthly dosage followi</w:t>
      </w:r>
      <w:r w:rsidR="003673F6">
        <w:t>ng</w:t>
      </w:r>
      <w:r w:rsidR="005F391D" w:rsidRPr="007D66D9">
        <w:t xml:space="preserve"> initial once a month dosage</w:t>
      </w:r>
      <w:bookmarkEnd w:id="82"/>
      <w:bookmarkEnd w:id="83"/>
    </w:p>
    <w:p w14:paraId="7A5D9C39" w14:textId="77777777" w:rsidR="007D66D9" w:rsidRPr="007D66D9" w:rsidRDefault="007D66D9" w:rsidP="005F391D">
      <w:pPr>
        <w:pStyle w:val="Heading4"/>
      </w:pPr>
      <w:bookmarkStart w:id="84" w:name="_Toc453054876"/>
      <w:r w:rsidRPr="007D66D9">
        <w:t>Population PK Studies</w:t>
      </w:r>
      <w:bookmarkEnd w:id="84"/>
    </w:p>
    <w:p w14:paraId="743F3123" w14:textId="77777777" w:rsidR="007D66D9" w:rsidRPr="007D66D9" w:rsidRDefault="007D66D9" w:rsidP="005F391D">
      <w:pPr>
        <w:rPr>
          <w:lang w:eastAsia="en-AU"/>
        </w:rPr>
      </w:pPr>
      <w:r w:rsidRPr="007D66D9">
        <w:rPr>
          <w:lang w:eastAsia="en-AU"/>
        </w:rPr>
        <w:t xml:space="preserve">The original IM paliperidone palmitate population </w:t>
      </w:r>
      <w:r w:rsidR="005F391D">
        <w:rPr>
          <w:lang w:eastAsia="en-AU"/>
        </w:rPr>
        <w:t xml:space="preserve">pharmacokinetic model was a one </w:t>
      </w:r>
      <w:r w:rsidRPr="007D66D9">
        <w:rPr>
          <w:lang w:eastAsia="en-AU"/>
        </w:rPr>
        <w:t>compartment model with 1</w:t>
      </w:r>
      <w:r w:rsidRPr="007D66D9">
        <w:rPr>
          <w:vertAlign w:val="superscript"/>
          <w:lang w:eastAsia="en-AU"/>
        </w:rPr>
        <w:t>st</w:t>
      </w:r>
      <w:r w:rsidRPr="007D66D9">
        <w:rPr>
          <w:lang w:eastAsia="en-AU"/>
        </w:rPr>
        <w:t xml:space="preserve"> order elimination. The covariates effects resulted in the followi</w:t>
      </w:r>
      <w:r w:rsidR="003673F6">
        <w:rPr>
          <w:lang w:eastAsia="en-AU"/>
        </w:rPr>
        <w:t>ng</w:t>
      </w:r>
      <w:r w:rsidRPr="007D66D9">
        <w:rPr>
          <w:lang w:eastAsia="en-AU"/>
        </w:rPr>
        <w:t xml:space="preserve"> conclusions: repeated injections into the deltoid muscle (</w:t>
      </w:r>
      <w:r w:rsidR="005F391D" w:rsidRPr="005F391D">
        <w:rPr>
          <w:lang w:eastAsia="en-AU"/>
        </w:rPr>
        <w:t>compared with</w:t>
      </w:r>
      <w:r w:rsidRPr="007D66D9">
        <w:rPr>
          <w:lang w:eastAsia="en-AU"/>
        </w:rPr>
        <w:t xml:space="preserve"> gluteal) resulted in a faster increase in plasma concentrations and enhanced time to achieve steady-state but did not influence overall exposure; higher doses associated with larger injection volumes increased the apparent half-life which increased time to steady-state.</w:t>
      </w:r>
      <w:r w:rsidRPr="007D66D9">
        <w:rPr>
          <w:vertAlign w:val="superscript"/>
          <w:lang w:eastAsia="en-AU"/>
        </w:rPr>
        <w:footnoteReference w:id="5"/>
      </w:r>
      <w:r w:rsidRPr="007D66D9">
        <w:rPr>
          <w:lang w:eastAsia="en-AU"/>
        </w:rPr>
        <w:t xml:space="preserve"> Other important variables were needle le</w:t>
      </w:r>
      <w:r w:rsidR="003673F6">
        <w:rPr>
          <w:lang w:eastAsia="en-AU"/>
        </w:rPr>
        <w:t>ng</w:t>
      </w:r>
      <w:r w:rsidRPr="007D66D9">
        <w:rPr>
          <w:lang w:eastAsia="en-AU"/>
        </w:rPr>
        <w:t>th and BMI: a slower rise in plasma concentrations was found for obese subjects which can be mitigated by use of a lo</w:t>
      </w:r>
      <w:r w:rsidR="003673F6">
        <w:rPr>
          <w:lang w:eastAsia="en-AU"/>
        </w:rPr>
        <w:t>ng</w:t>
      </w:r>
      <w:r w:rsidRPr="007D66D9">
        <w:rPr>
          <w:lang w:eastAsia="en-AU"/>
        </w:rPr>
        <w:t>er needle in heavier subjects. Renal function was also important indicati</w:t>
      </w:r>
      <w:r w:rsidR="003673F6">
        <w:rPr>
          <w:lang w:eastAsia="en-AU"/>
        </w:rPr>
        <w:t>ng</w:t>
      </w:r>
      <w:r w:rsidRPr="007D66D9">
        <w:rPr>
          <w:lang w:eastAsia="en-AU"/>
        </w:rPr>
        <w:t xml:space="preserve"> that renal impairment required a reduced dose.</w:t>
      </w:r>
    </w:p>
    <w:p w14:paraId="374D046D" w14:textId="77777777" w:rsidR="007D66D9" w:rsidRPr="00DA386F" w:rsidRDefault="009F485A" w:rsidP="00DA386F">
      <w:pPr>
        <w:pStyle w:val="Tabletitle"/>
      </w:pPr>
      <w:bookmarkStart w:id="85" w:name="_Toc427232551"/>
      <w:bookmarkStart w:id="86" w:name="_Toc453054979"/>
      <w:r>
        <w:t>Table 16:</w:t>
      </w:r>
      <w:r w:rsidR="007D66D9" w:rsidRPr="00DA386F">
        <w:t xml:space="preserve"> From Submission 2009-00926 </w:t>
      </w:r>
      <w:r w:rsidR="005F391D" w:rsidRPr="00DA386F">
        <w:t xml:space="preserve">final parameter estimates </w:t>
      </w:r>
      <w:bookmarkEnd w:id="85"/>
      <w:r w:rsidR="005F391D" w:rsidRPr="00DA386F">
        <w:t>with the index dataset and influence of outl</w:t>
      </w:r>
      <w:r w:rsidR="007D66D9" w:rsidRPr="00DA386F">
        <w:t>iers</w:t>
      </w:r>
      <w:bookmarkEnd w:id="86"/>
    </w:p>
    <w:p w14:paraId="20AF950D" w14:textId="77777777" w:rsidR="007D66D9" w:rsidRPr="005F391D" w:rsidRDefault="007D66D9" w:rsidP="005F391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bCs/>
          <w:kern w:val="16"/>
          <w:lang w:eastAsia="en-AU"/>
        </w:rPr>
      </w:pPr>
      <w:r w:rsidRPr="007D66D9">
        <w:rPr>
          <w:rFonts w:eastAsia="Times New Roman"/>
          <w:noProof/>
          <w:kern w:val="16"/>
          <w:u w:val="single"/>
          <w:lang w:eastAsia="en-AU"/>
        </w:rPr>
        <w:drawing>
          <wp:inline distT="0" distB="0" distL="0" distR="0" wp14:anchorId="7FDA6E69" wp14:editId="79CA9F63">
            <wp:extent cx="5325466" cy="4574439"/>
            <wp:effectExtent l="0" t="0" r="8890" b="0"/>
            <wp:docPr id="18" name="Picture 18" descr="Table 16: From Submission 2009-00926 final parameter estimates with the index dataset and influence of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5923" cy="4574831"/>
                    </a:xfrm>
                    <a:prstGeom prst="rect">
                      <a:avLst/>
                    </a:prstGeom>
                    <a:noFill/>
                    <a:ln>
                      <a:noFill/>
                    </a:ln>
                  </pic:spPr>
                </pic:pic>
              </a:graphicData>
            </a:graphic>
          </wp:inline>
        </w:drawing>
      </w:r>
    </w:p>
    <w:p w14:paraId="0AF5EA32" w14:textId="77777777" w:rsidR="007D66D9" w:rsidRPr="007D66D9" w:rsidRDefault="009F485A" w:rsidP="008B365B">
      <w:pPr>
        <w:pStyle w:val="FigureTitle"/>
        <w:keepNext/>
        <w:rPr>
          <w:lang w:eastAsia="en-AU"/>
        </w:rPr>
      </w:pPr>
      <w:bookmarkStart w:id="87" w:name="_Toc453055050"/>
      <w:r w:rsidRPr="009F485A">
        <w:rPr>
          <w:lang w:eastAsia="en-AU"/>
        </w:rPr>
        <w:lastRenderedPageBreak/>
        <w:t>Figure 8:</w:t>
      </w:r>
      <w:r w:rsidR="007D66D9" w:rsidRPr="009F485A">
        <w:rPr>
          <w:lang w:eastAsia="en-AU"/>
        </w:rPr>
        <w:t xml:space="preserve"> An illustration of the previously developed population PK model followi</w:t>
      </w:r>
      <w:r w:rsidR="003673F6" w:rsidRPr="009F485A">
        <w:rPr>
          <w:lang w:eastAsia="en-AU"/>
        </w:rPr>
        <w:t>ng</w:t>
      </w:r>
      <w:r w:rsidR="007D66D9" w:rsidRPr="007D66D9">
        <w:rPr>
          <w:lang w:eastAsia="en-AU"/>
        </w:rPr>
        <w:t xml:space="preserve"> administration of PP1M</w:t>
      </w:r>
      <w:bookmarkEnd w:id="87"/>
    </w:p>
    <w:p w14:paraId="172624CF" w14:textId="77777777" w:rsidR="007D66D9" w:rsidRPr="007D66D9" w:rsidRDefault="007D66D9" w:rsidP="00D37CB6">
      <w:pPr>
        <w:rPr>
          <w:bCs/>
          <w:lang w:eastAsia="en-AU"/>
        </w:rPr>
      </w:pPr>
      <w:r w:rsidRPr="007D66D9">
        <w:rPr>
          <w:noProof/>
          <w:lang w:eastAsia="en-AU"/>
        </w:rPr>
        <w:drawing>
          <wp:inline distT="0" distB="0" distL="0" distR="0" wp14:anchorId="6D5192DF" wp14:editId="6D7C633B">
            <wp:extent cx="3599742" cy="2088000"/>
            <wp:effectExtent l="0" t="0" r="1270" b="7620"/>
            <wp:docPr id="19" name="Picture 19" descr="Figure 8: An illustration of the previously developed population PK model following administration of PP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99742" cy="2088000"/>
                    </a:xfrm>
                    <a:prstGeom prst="rect">
                      <a:avLst/>
                    </a:prstGeom>
                  </pic:spPr>
                </pic:pic>
              </a:graphicData>
            </a:graphic>
          </wp:inline>
        </w:drawing>
      </w:r>
    </w:p>
    <w:p w14:paraId="2D5EC5DC" w14:textId="77777777" w:rsidR="00D260FF" w:rsidRDefault="007D66D9" w:rsidP="00B06D8A">
      <w:pPr>
        <w:pStyle w:val="TableDescription"/>
        <w:keepLines/>
        <w:rPr>
          <w:lang w:eastAsia="en-AU"/>
        </w:rPr>
      </w:pPr>
      <w:proofErr w:type="spellStart"/>
      <w:r w:rsidRPr="007D66D9">
        <w:rPr>
          <w:lang w:eastAsia="en-AU"/>
        </w:rPr>
        <w:t>A</w:t>
      </w:r>
      <w:r w:rsidRPr="007D66D9">
        <w:rPr>
          <w:vertAlign w:val="subscript"/>
          <w:lang w:eastAsia="en-AU"/>
        </w:rPr>
        <w:t>lag</w:t>
      </w:r>
      <w:proofErr w:type="spellEnd"/>
      <w:r w:rsidRPr="007D66D9">
        <w:rPr>
          <w:lang w:eastAsia="en-AU"/>
        </w:rPr>
        <w:t xml:space="preserve"> is the lag time, CL is the apparent clearance, DUR2 is the zero-order input duration, F</w:t>
      </w:r>
      <w:r w:rsidRPr="007D66D9">
        <w:rPr>
          <w:vertAlign w:val="subscript"/>
          <w:lang w:eastAsia="en-AU"/>
        </w:rPr>
        <w:t>2</w:t>
      </w:r>
      <w:r w:rsidRPr="007D66D9">
        <w:rPr>
          <w:lang w:eastAsia="en-AU"/>
        </w:rPr>
        <w:t xml:space="preserve"> is the fraction of the dose enteri</w:t>
      </w:r>
      <w:r w:rsidR="003673F6">
        <w:rPr>
          <w:lang w:eastAsia="en-AU"/>
        </w:rPr>
        <w:t>ng</w:t>
      </w:r>
      <w:r w:rsidRPr="007D66D9">
        <w:rPr>
          <w:lang w:eastAsia="en-AU"/>
        </w:rPr>
        <w:t xml:space="preserve"> the systemic circulation via a zero-order process after administration of PP1M, </w:t>
      </w:r>
      <w:proofErr w:type="spellStart"/>
      <w:r w:rsidRPr="007D66D9">
        <w:rPr>
          <w:lang w:eastAsia="en-AU"/>
        </w:rPr>
        <w:t>k</w:t>
      </w:r>
      <w:r w:rsidRPr="007D66D9">
        <w:rPr>
          <w:vertAlign w:val="subscript"/>
          <w:lang w:eastAsia="en-AU"/>
        </w:rPr>
        <w:t>a</w:t>
      </w:r>
      <w:proofErr w:type="spellEnd"/>
      <w:r w:rsidRPr="007D66D9">
        <w:rPr>
          <w:lang w:eastAsia="en-AU"/>
        </w:rPr>
        <w:t xml:space="preserve"> is the first-order absorption rate constant, </w:t>
      </w:r>
      <w:proofErr w:type="spellStart"/>
      <w:r w:rsidRPr="007D66D9">
        <w:rPr>
          <w:lang w:eastAsia="en-AU"/>
        </w:rPr>
        <w:t>k</w:t>
      </w:r>
      <w:r w:rsidRPr="007D66D9">
        <w:rPr>
          <w:vertAlign w:val="subscript"/>
          <w:lang w:eastAsia="en-AU"/>
        </w:rPr>
        <w:t>el</w:t>
      </w:r>
      <w:proofErr w:type="spellEnd"/>
      <w:r w:rsidRPr="007D66D9">
        <w:rPr>
          <w:lang w:eastAsia="en-AU"/>
        </w:rPr>
        <w:t xml:space="preserve"> is the first-order elimination rate constant, and V is the apparent volume of distributi</w:t>
      </w:r>
      <w:r w:rsidR="008B365B">
        <w:rPr>
          <w:lang w:eastAsia="en-AU"/>
        </w:rPr>
        <w:t>on.</w:t>
      </w:r>
    </w:p>
    <w:p w14:paraId="27D9464A" w14:textId="77777777" w:rsidR="007D66D9" w:rsidRPr="007D66D9" w:rsidRDefault="007D66D9" w:rsidP="00D260FF">
      <w:pPr>
        <w:pStyle w:val="Heading5"/>
        <w:rPr>
          <w:lang w:eastAsia="en-AU"/>
        </w:rPr>
      </w:pPr>
      <w:bookmarkStart w:id="88" w:name="_Toc453054877"/>
      <w:r w:rsidRPr="007D66D9">
        <w:rPr>
          <w:lang w:eastAsia="en-AU"/>
        </w:rPr>
        <w:t>PopPK Study REP-1-JAN-PAL-PMX-1</w:t>
      </w:r>
      <w:bookmarkEnd w:id="88"/>
    </w:p>
    <w:p w14:paraId="556A55A8" w14:textId="77777777" w:rsidR="007D66D9" w:rsidRPr="007D66D9" w:rsidRDefault="007D66D9" w:rsidP="005F391D">
      <w:pPr>
        <w:rPr>
          <w:lang w:eastAsia="en-AU"/>
        </w:rPr>
      </w:pPr>
      <w:r w:rsidRPr="007D66D9">
        <w:rPr>
          <w:lang w:eastAsia="en-AU"/>
        </w:rPr>
        <w:t>This PopPK study was based on data from Study PSY-1005 and Study PSY-3012 (</w:t>
      </w:r>
      <w:r w:rsidR="00E60DFA">
        <w:rPr>
          <w:lang w:eastAsia="en-AU"/>
        </w:rPr>
        <w:t>Phase</w:t>
      </w:r>
      <w:r w:rsidRPr="007D66D9">
        <w:rPr>
          <w:lang w:eastAsia="en-AU"/>
        </w:rPr>
        <w:t xml:space="preserve"> III).</w:t>
      </w:r>
    </w:p>
    <w:p w14:paraId="6B64E086" w14:textId="77777777" w:rsidR="007D66D9" w:rsidRPr="007D66D9" w:rsidRDefault="007D66D9" w:rsidP="005F391D">
      <w:pPr>
        <w:rPr>
          <w:lang w:eastAsia="en-AU"/>
        </w:rPr>
      </w:pPr>
      <w:r w:rsidRPr="007D66D9">
        <w:rPr>
          <w:lang w:eastAsia="en-AU"/>
        </w:rPr>
        <w:t>For more information on the si</w:t>
      </w:r>
      <w:r w:rsidR="003673F6">
        <w:rPr>
          <w:lang w:eastAsia="en-AU"/>
        </w:rPr>
        <w:t>ng</w:t>
      </w:r>
      <w:r w:rsidRPr="007D66D9">
        <w:rPr>
          <w:lang w:eastAsia="en-AU"/>
        </w:rPr>
        <w:t>le dose Study PSY-1005 see above.</w:t>
      </w:r>
    </w:p>
    <w:p w14:paraId="1806745C" w14:textId="77777777" w:rsidR="005F391D" w:rsidRDefault="005F391D" w:rsidP="005F391D">
      <w:pPr>
        <w:rPr>
          <w:lang w:eastAsia="en-AU"/>
        </w:rPr>
      </w:pPr>
      <w:r>
        <w:rPr>
          <w:lang w:eastAsia="en-AU"/>
        </w:rPr>
        <w:t>The Study PSY-3012 had:</w:t>
      </w:r>
    </w:p>
    <w:p w14:paraId="4AAAB4AE" w14:textId="77777777" w:rsidR="005F391D" w:rsidRDefault="005F391D" w:rsidP="005F391D">
      <w:pPr>
        <w:pStyle w:val="ListBullet"/>
        <w:rPr>
          <w:lang w:eastAsia="en-AU"/>
        </w:rPr>
      </w:pPr>
      <w:r>
        <w:rPr>
          <w:lang w:eastAsia="en-AU"/>
        </w:rPr>
        <w:t>a screeni</w:t>
      </w:r>
      <w:r w:rsidR="003673F6">
        <w:rPr>
          <w:lang w:eastAsia="en-AU"/>
        </w:rPr>
        <w:t>ng</w:t>
      </w:r>
      <w:r>
        <w:rPr>
          <w:lang w:eastAsia="en-AU"/>
        </w:rPr>
        <w:t xml:space="preserve"> phase</w:t>
      </w:r>
    </w:p>
    <w:p w14:paraId="11E24716" w14:textId="77777777" w:rsidR="005F391D" w:rsidRDefault="007D66D9" w:rsidP="005F391D">
      <w:pPr>
        <w:pStyle w:val="ListBullet"/>
        <w:rPr>
          <w:lang w:eastAsia="en-AU"/>
        </w:rPr>
      </w:pPr>
      <w:r w:rsidRPr="007D66D9">
        <w:rPr>
          <w:lang w:eastAsia="en-AU"/>
        </w:rPr>
        <w:t xml:space="preserve">an </w:t>
      </w:r>
      <w:r w:rsidR="004A676D">
        <w:rPr>
          <w:lang w:eastAsia="en-AU"/>
        </w:rPr>
        <w:t>open label</w:t>
      </w:r>
      <w:r w:rsidRPr="007D66D9">
        <w:rPr>
          <w:lang w:eastAsia="en-AU"/>
        </w:rPr>
        <w:t xml:space="preserve"> t</w:t>
      </w:r>
      <w:r w:rsidR="005F391D">
        <w:rPr>
          <w:lang w:eastAsia="en-AU"/>
        </w:rPr>
        <w:t>ransition/maintenance phase and</w:t>
      </w:r>
    </w:p>
    <w:p w14:paraId="30CDE299" w14:textId="77777777" w:rsidR="005F391D" w:rsidRDefault="007D66D9" w:rsidP="005F391D">
      <w:pPr>
        <w:pStyle w:val="ListBullet"/>
        <w:rPr>
          <w:lang w:eastAsia="en-AU"/>
        </w:rPr>
      </w:pPr>
      <w:proofErr w:type="gramStart"/>
      <w:r w:rsidRPr="007D66D9">
        <w:rPr>
          <w:lang w:eastAsia="en-AU"/>
        </w:rPr>
        <w:t>a</w:t>
      </w:r>
      <w:proofErr w:type="gramEnd"/>
      <w:r w:rsidRPr="007D66D9">
        <w:rPr>
          <w:lang w:eastAsia="en-AU"/>
        </w:rPr>
        <w:t xml:space="preserve"> </w:t>
      </w:r>
      <w:r w:rsidR="00E60DFA">
        <w:rPr>
          <w:lang w:eastAsia="en-AU"/>
        </w:rPr>
        <w:t>double blind</w:t>
      </w:r>
      <w:r w:rsidR="005F391D">
        <w:rPr>
          <w:lang w:eastAsia="en-AU"/>
        </w:rPr>
        <w:t xml:space="preserve"> phase.</w:t>
      </w:r>
    </w:p>
    <w:p w14:paraId="657AC59F" w14:textId="77777777" w:rsidR="007D66D9" w:rsidRPr="007D66D9" w:rsidRDefault="007D66D9" w:rsidP="005F391D">
      <w:pPr>
        <w:rPr>
          <w:lang w:eastAsia="en-AU"/>
        </w:rPr>
      </w:pPr>
      <w:r w:rsidRPr="007D66D9">
        <w:rPr>
          <w:lang w:eastAsia="en-AU"/>
        </w:rPr>
        <w:t xml:space="preserve">Initially subjects received </w:t>
      </w:r>
      <w:r w:rsidR="004A676D">
        <w:rPr>
          <w:lang w:eastAsia="en-AU"/>
        </w:rPr>
        <w:t>open label</w:t>
      </w:r>
      <w:r w:rsidRPr="007D66D9">
        <w:rPr>
          <w:lang w:eastAsia="en-AU"/>
        </w:rPr>
        <w:t xml:space="preserve"> treatment with paliperidone palmitate 1 month (PP1M) formulation for a period of 17 weeks duri</w:t>
      </w:r>
      <w:r w:rsidR="003673F6">
        <w:rPr>
          <w:lang w:eastAsia="en-AU"/>
        </w:rPr>
        <w:t>ng</w:t>
      </w:r>
      <w:r w:rsidRPr="007D66D9">
        <w:rPr>
          <w:lang w:eastAsia="en-AU"/>
        </w:rPr>
        <w:t xml:space="preserve"> the transition phase. Those subjects who remained clinically stable advanced to the 12 week maintenance phase and received a si</w:t>
      </w:r>
      <w:r w:rsidR="003673F6">
        <w:rPr>
          <w:lang w:eastAsia="en-AU"/>
        </w:rPr>
        <w:t>ng</w:t>
      </w:r>
      <w:r w:rsidRPr="007D66D9">
        <w:rPr>
          <w:lang w:eastAsia="en-AU"/>
        </w:rPr>
        <w:t xml:space="preserve">le fixed dose of paliperidone palmitate 3 month (PP3M) formulation. Finally the subjects then entered the </w:t>
      </w:r>
      <w:r w:rsidR="00E60DFA">
        <w:rPr>
          <w:lang w:eastAsia="en-AU"/>
        </w:rPr>
        <w:t>double blind</w:t>
      </w:r>
      <w:r w:rsidRPr="007D66D9">
        <w:rPr>
          <w:lang w:eastAsia="en-AU"/>
        </w:rPr>
        <w:t xml:space="preserve"> phase and were randomized in a 1:1 fashion to either placebo or Invega Trinza.</w:t>
      </w:r>
    </w:p>
    <w:p w14:paraId="31FC4DE3" w14:textId="77777777" w:rsidR="007D66D9" w:rsidRPr="007D66D9" w:rsidRDefault="005F391D" w:rsidP="00D260F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Pr>
          <w:rFonts w:eastAsia="Times New Roman"/>
          <w:kern w:val="16"/>
          <w:lang w:eastAsia="en-AU"/>
        </w:rPr>
        <w:t>T</w:t>
      </w:r>
      <w:r w:rsidR="007D66D9" w:rsidRPr="007D66D9">
        <w:rPr>
          <w:rFonts w:eastAsia="Times New Roman"/>
          <w:kern w:val="16"/>
          <w:lang w:eastAsia="en-AU"/>
        </w:rPr>
        <w:t>he PK sampli</w:t>
      </w:r>
      <w:r w:rsidR="003673F6">
        <w:rPr>
          <w:rFonts w:eastAsia="Times New Roman"/>
          <w:kern w:val="16"/>
          <w:lang w:eastAsia="en-AU"/>
        </w:rPr>
        <w:t>ng</w:t>
      </w:r>
      <w:r w:rsidR="007D66D9" w:rsidRPr="007D66D9">
        <w:rPr>
          <w:rFonts w:eastAsia="Times New Roman"/>
          <w:kern w:val="16"/>
          <w:lang w:eastAsia="en-AU"/>
        </w:rPr>
        <w:t xml:space="preserve"> schedule </w:t>
      </w:r>
      <w:r>
        <w:rPr>
          <w:rFonts w:eastAsia="Times New Roman"/>
          <w:kern w:val="16"/>
          <w:lang w:eastAsia="en-AU"/>
        </w:rPr>
        <w:t>was provided</w:t>
      </w:r>
      <w:r w:rsidR="007D66D9" w:rsidRPr="007D66D9">
        <w:rPr>
          <w:rFonts w:eastAsia="Times New Roman"/>
          <w:kern w:val="16"/>
          <w:lang w:eastAsia="en-AU"/>
        </w:rPr>
        <w:t>.</w:t>
      </w:r>
    </w:p>
    <w:p w14:paraId="3744D13C" w14:textId="77777777" w:rsidR="007D66D9" w:rsidRPr="005F391D" w:rsidRDefault="007D66D9" w:rsidP="005F391D">
      <w:pPr>
        <w:pStyle w:val="Heading6"/>
      </w:pPr>
      <w:r w:rsidRPr="005F391D">
        <w:t>Objectives</w:t>
      </w:r>
    </w:p>
    <w:p w14:paraId="661BC77B" w14:textId="77777777" w:rsidR="007D66D9" w:rsidRPr="007D66D9" w:rsidRDefault="007D66D9" w:rsidP="005F391D">
      <w:pPr>
        <w:pStyle w:val="ListBullet"/>
      </w:pPr>
      <w:r w:rsidRPr="007D66D9">
        <w:t>Describe the PK parameters of paliperidone and their variability followi</w:t>
      </w:r>
      <w:r w:rsidR="003673F6">
        <w:t>ng</w:t>
      </w:r>
      <w:r w:rsidRPr="007D66D9">
        <w:t xml:space="preserve"> administration of Invega Trinza in Study R092670-PSY-1005 and Study R092670-PSY-3012 based on the previously developed model for Invega Sustenna. If necessary, refine the absorption sub-model.</w:t>
      </w:r>
    </w:p>
    <w:p w14:paraId="52C0ADF9" w14:textId="77777777" w:rsidR="007D66D9" w:rsidRPr="007D66D9" w:rsidRDefault="007D66D9" w:rsidP="005F391D">
      <w:pPr>
        <w:pStyle w:val="ListBullet"/>
      </w:pPr>
      <w:r w:rsidRPr="007D66D9">
        <w:t>Conduct a covariate analysis to identify parameter-covariate relationships of paliperidone when administered as Invega Trinza.</w:t>
      </w:r>
    </w:p>
    <w:p w14:paraId="44DEFFB3" w14:textId="77777777" w:rsidR="007D66D9" w:rsidRPr="007D66D9" w:rsidRDefault="007D66D9" w:rsidP="005F391D">
      <w:pPr>
        <w:pStyle w:val="ListBullet"/>
      </w:pPr>
      <w:r w:rsidRPr="007D66D9">
        <w:t>Evaluate the performance of the Invega Trinza population PK model.</w:t>
      </w:r>
    </w:p>
    <w:p w14:paraId="3A04527D" w14:textId="77777777" w:rsidR="007D66D9" w:rsidRPr="007D66D9" w:rsidRDefault="007D66D9" w:rsidP="005F391D">
      <w:pPr>
        <w:pStyle w:val="ListBullet"/>
      </w:pPr>
      <w:r w:rsidRPr="007D66D9">
        <w:t>Perform simulations to address predefined dosi</w:t>
      </w:r>
      <w:r w:rsidR="003673F6">
        <w:t>ng</w:t>
      </w:r>
      <w:r w:rsidRPr="007D66D9">
        <w:t xml:space="preserve"> regimen scenarios and elucidate the impact of parameter covariate relationships on the PKs of paliperidone</w:t>
      </w:r>
    </w:p>
    <w:p w14:paraId="52DD64CB" w14:textId="77777777" w:rsidR="004A676D" w:rsidRDefault="007D66D9" w:rsidP="005F391D">
      <w:pPr>
        <w:rPr>
          <w:lang w:eastAsia="en-AU"/>
        </w:rPr>
      </w:pPr>
      <w:r w:rsidRPr="007D66D9">
        <w:rPr>
          <w:lang w:eastAsia="en-AU"/>
        </w:rPr>
        <w:t>There were 726 subjects with 11,274 samples of which 10,433 were &gt;</w:t>
      </w:r>
      <w:r w:rsidR="005F391D">
        <w:rPr>
          <w:lang w:eastAsia="en-AU"/>
        </w:rPr>
        <w:t xml:space="preserve"> </w:t>
      </w:r>
      <w:r w:rsidRPr="007D66D9">
        <w:rPr>
          <w:lang w:eastAsia="en-AU"/>
        </w:rPr>
        <w:t>LLOQ</w:t>
      </w:r>
      <w:r w:rsidR="004A676D">
        <w:rPr>
          <w:lang w:eastAsia="en-AU"/>
        </w:rPr>
        <w:t>.</w:t>
      </w:r>
    </w:p>
    <w:p w14:paraId="1270A25B" w14:textId="77777777" w:rsidR="007D66D9" w:rsidRPr="007D66D9" w:rsidRDefault="007D66D9" w:rsidP="005F391D">
      <w:pPr>
        <w:rPr>
          <w:lang w:eastAsia="en-AU"/>
        </w:rPr>
      </w:pPr>
      <w:r w:rsidRPr="007D66D9">
        <w:rPr>
          <w:lang w:eastAsia="en-AU"/>
        </w:rPr>
        <w:t>The final model was based on 8990 PK samples from 651 subjects.</w:t>
      </w:r>
    </w:p>
    <w:p w14:paraId="06113209" w14:textId="77777777" w:rsidR="007D66D9" w:rsidRPr="005F391D" w:rsidRDefault="007D66D9" w:rsidP="005F391D">
      <w:pPr>
        <w:pStyle w:val="Heading6"/>
      </w:pPr>
      <w:r w:rsidRPr="005F391D">
        <w:lastRenderedPageBreak/>
        <w:t>Exclusion of potential outliers</w:t>
      </w:r>
    </w:p>
    <w:p w14:paraId="5CB946DA" w14:textId="77777777" w:rsidR="007D66D9" w:rsidRPr="007D66D9" w:rsidRDefault="007D66D9" w:rsidP="005F391D">
      <w:pPr>
        <w:rPr>
          <w:lang w:eastAsia="en-AU"/>
        </w:rPr>
      </w:pPr>
      <w:r w:rsidRPr="007D66D9">
        <w:rPr>
          <w:lang w:eastAsia="en-AU"/>
        </w:rPr>
        <w:t xml:space="preserve">PK observations were excluded based on the </w:t>
      </w:r>
      <w:r w:rsidRPr="009F485A">
        <w:rPr>
          <w:lang w:eastAsia="en-AU"/>
        </w:rPr>
        <w:t>residual error</w:t>
      </w:r>
      <w:r w:rsidRPr="009F485A">
        <w:rPr>
          <w:vertAlign w:val="superscript"/>
          <w:lang w:eastAsia="en-AU"/>
        </w:rPr>
        <w:footnoteReference w:id="6"/>
      </w:r>
      <w:r w:rsidRPr="009F485A">
        <w:rPr>
          <w:lang w:eastAsia="en-AU"/>
        </w:rPr>
        <w:t xml:space="preserve"> or on graphical</w:t>
      </w:r>
      <w:r w:rsidRPr="007D66D9">
        <w:rPr>
          <w:lang w:eastAsia="en-AU"/>
        </w:rPr>
        <w:t xml:space="preserve"> plots.</w:t>
      </w:r>
    </w:p>
    <w:p w14:paraId="4AE01341" w14:textId="77777777" w:rsidR="007D66D9" w:rsidRPr="005F391D" w:rsidRDefault="007D66D9" w:rsidP="005F391D">
      <w:pPr>
        <w:pStyle w:val="Comment"/>
      </w:pPr>
      <w:r w:rsidRPr="005F391D">
        <w:rPr>
          <w:b/>
        </w:rPr>
        <w:t>Comment:</w:t>
      </w:r>
      <w:r w:rsidRPr="005F391D">
        <w:t xml:space="preserve"> Based on the </w:t>
      </w:r>
      <w:r w:rsidRPr="009F485A">
        <w:t>followi</w:t>
      </w:r>
      <w:r w:rsidR="003673F6" w:rsidRPr="009F485A">
        <w:t>ng</w:t>
      </w:r>
      <w:r w:rsidR="009F485A">
        <w:t xml:space="preserve"> Table 17</w:t>
      </w:r>
      <w:r w:rsidRPr="009F485A">
        <w:t>, none</w:t>
      </w:r>
      <w:r w:rsidRPr="005F391D">
        <w:t xml:space="preserve"> of the subjects with </w:t>
      </w:r>
      <w:proofErr w:type="spellStart"/>
      <w:r w:rsidR="009F467D" w:rsidRPr="005F391D">
        <w:t>C</w:t>
      </w:r>
      <w:r w:rsidR="009F467D" w:rsidRPr="005F391D">
        <w:rPr>
          <w:vertAlign w:val="subscript"/>
        </w:rPr>
        <w:t>max</w:t>
      </w:r>
      <w:proofErr w:type="spellEnd"/>
      <w:r w:rsidRPr="005F391D">
        <w:t xml:space="preserve"> &gt; 125</w:t>
      </w:r>
      <w:r w:rsidR="00932E50" w:rsidRPr="005F391D">
        <w:t xml:space="preserve"> </w:t>
      </w:r>
      <w:r w:rsidR="003673F6">
        <w:t>ng</w:t>
      </w:r>
      <w:r w:rsidRPr="005F391D">
        <w:t>/</w:t>
      </w:r>
      <w:r w:rsidR="004A676D" w:rsidRPr="005F391D">
        <w:t>mL</w:t>
      </w:r>
      <w:r w:rsidRPr="005F391D">
        <w:t xml:space="preserve"> appear to have been excluded except the results of subject 605212 which showed a dramatic rise at the end of the study. That is the model appears to include one patient (605113) who suffered dose dumpi</w:t>
      </w:r>
      <w:r w:rsidR="003673F6">
        <w:t>ng</w:t>
      </w:r>
      <w:r w:rsidRPr="005F391D">
        <w:t xml:space="preserve"> and 2 patients with unexplained reduced clearance (60625, 603435).</w:t>
      </w:r>
    </w:p>
    <w:p w14:paraId="114F7A56" w14:textId="77777777" w:rsidR="007D66D9" w:rsidRPr="007D66D9" w:rsidRDefault="007D66D9" w:rsidP="005F391D">
      <w:pPr>
        <w:rPr>
          <w:lang w:eastAsia="en-AU"/>
        </w:rPr>
      </w:pPr>
      <w:r w:rsidRPr="007D66D9">
        <w:rPr>
          <w:lang w:eastAsia="en-AU"/>
        </w:rPr>
        <w:t>The followi</w:t>
      </w:r>
      <w:r w:rsidR="003673F6">
        <w:rPr>
          <w:lang w:eastAsia="en-AU"/>
        </w:rPr>
        <w:t>ng</w:t>
      </w:r>
      <w:r w:rsidRPr="007D66D9">
        <w:rPr>
          <w:lang w:eastAsia="en-AU"/>
        </w:rPr>
        <w:t xml:space="preserve"> were identified by the modelli</w:t>
      </w:r>
      <w:r w:rsidR="003673F6">
        <w:rPr>
          <w:lang w:eastAsia="en-AU"/>
        </w:rPr>
        <w:t>ng</w:t>
      </w:r>
      <w:r w:rsidRPr="007D66D9">
        <w:rPr>
          <w:lang w:eastAsia="en-AU"/>
        </w:rPr>
        <w:t xml:space="preserve"> process as outliers.</w:t>
      </w:r>
    </w:p>
    <w:p w14:paraId="3114E0ED" w14:textId="77777777" w:rsidR="007D66D9" w:rsidRPr="007D66D9" w:rsidRDefault="007D66D9" w:rsidP="008B365B">
      <w:pPr>
        <w:pStyle w:val="Tabletitle"/>
        <w:rPr>
          <w:lang w:eastAsia="en-AU"/>
        </w:rPr>
      </w:pPr>
      <w:bookmarkStart w:id="89" w:name="_Ref436905076"/>
      <w:bookmarkStart w:id="90" w:name="_Toc453054980"/>
      <w:r w:rsidRPr="009F485A">
        <w:rPr>
          <w:lang w:eastAsia="en-AU"/>
        </w:rPr>
        <w:t xml:space="preserve">Table </w:t>
      </w:r>
      <w:bookmarkEnd w:id="89"/>
      <w:r w:rsidR="009F485A" w:rsidRPr="009F485A">
        <w:rPr>
          <w:lang w:eastAsia="en-AU"/>
        </w:rPr>
        <w:t>1</w:t>
      </w:r>
      <w:r w:rsidR="009F485A">
        <w:rPr>
          <w:lang w:eastAsia="en-AU"/>
        </w:rPr>
        <w:t>7:</w:t>
      </w:r>
      <w:r w:rsidRPr="007D66D9">
        <w:rPr>
          <w:lang w:eastAsia="en-AU"/>
        </w:rPr>
        <w:t xml:space="preserve"> PK samples identified as pot</w:t>
      </w:r>
      <w:r w:rsidR="009F485A">
        <w:rPr>
          <w:lang w:eastAsia="en-AU"/>
        </w:rPr>
        <w:t>ential outliers (all were from S</w:t>
      </w:r>
      <w:r w:rsidRPr="007D66D9">
        <w:rPr>
          <w:lang w:eastAsia="en-AU"/>
        </w:rPr>
        <w:t>tudy 1005)</w:t>
      </w:r>
      <w:bookmarkEnd w:id="90"/>
    </w:p>
    <w:p w14:paraId="0905B9F8"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lang w:eastAsia="en-AU"/>
        </w:rPr>
      </w:pPr>
      <w:r w:rsidRPr="007D66D9">
        <w:rPr>
          <w:rFonts w:eastAsia="Times New Roman"/>
          <w:noProof/>
          <w:kern w:val="16"/>
          <w:lang w:eastAsia="en-AU"/>
        </w:rPr>
        <w:drawing>
          <wp:inline distT="0" distB="0" distL="0" distR="0" wp14:anchorId="57F7AFC4" wp14:editId="541ECA3E">
            <wp:extent cx="2689200" cy="4114800"/>
            <wp:effectExtent l="0" t="0" r="0" b="0"/>
            <wp:docPr id="20" name="Picture 20" descr="Table 17: PK samples identified as potential outliers (all were from Study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89200" cy="4114800"/>
                    </a:xfrm>
                    <a:prstGeom prst="rect">
                      <a:avLst/>
                    </a:prstGeom>
                  </pic:spPr>
                </pic:pic>
              </a:graphicData>
            </a:graphic>
          </wp:inline>
        </w:drawing>
      </w:r>
    </w:p>
    <w:p w14:paraId="3BBC18B7" w14:textId="77777777" w:rsidR="004A676D" w:rsidRDefault="007D66D9" w:rsidP="008B365B">
      <w:pPr>
        <w:pStyle w:val="FigureTitle"/>
        <w:keepNext/>
        <w:rPr>
          <w:lang w:eastAsia="en-AU"/>
        </w:rPr>
      </w:pPr>
      <w:bookmarkStart w:id="91" w:name="_Toc453055051"/>
      <w:r w:rsidRPr="009F485A">
        <w:rPr>
          <w:lang w:eastAsia="en-AU"/>
        </w:rPr>
        <w:lastRenderedPageBreak/>
        <w:t xml:space="preserve">Figure </w:t>
      </w:r>
      <w:r w:rsidR="009F485A">
        <w:rPr>
          <w:lang w:eastAsia="en-AU"/>
        </w:rPr>
        <w:t>9:</w:t>
      </w:r>
      <w:r w:rsidRPr="007D66D9">
        <w:rPr>
          <w:lang w:eastAsia="en-AU"/>
        </w:rPr>
        <w:t xml:space="preserve"> Paliperidone plasma conce</w:t>
      </w:r>
      <w:r w:rsidR="005F391D">
        <w:rPr>
          <w:lang w:eastAsia="en-AU"/>
        </w:rPr>
        <w:t xml:space="preserve">ntrations versus time on a semi </w:t>
      </w:r>
      <w:r w:rsidRPr="007D66D9">
        <w:rPr>
          <w:lang w:eastAsia="en-AU"/>
        </w:rPr>
        <w:t>logarithmic scale, stratified by subjects with PK samples identified as potential outliers</w:t>
      </w:r>
      <w:bookmarkEnd w:id="91"/>
    </w:p>
    <w:p w14:paraId="3A0CF21B" w14:textId="77777777" w:rsidR="007D66D9" w:rsidRPr="007D66D9" w:rsidRDefault="007D66D9" w:rsidP="00D37CB6">
      <w:pPr>
        <w:rPr>
          <w:lang w:eastAsia="en-AU"/>
        </w:rPr>
      </w:pPr>
      <w:r w:rsidRPr="007D66D9">
        <w:rPr>
          <w:noProof/>
          <w:lang w:eastAsia="en-AU"/>
        </w:rPr>
        <w:drawing>
          <wp:inline distT="0" distB="0" distL="0" distR="0" wp14:anchorId="3C4196C6" wp14:editId="3B41F323">
            <wp:extent cx="158400" cy="189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108" t="9629" r="96013" b="-66"/>
                    <a:stretch/>
                  </pic:blipFill>
                  <pic:spPr bwMode="auto">
                    <a:xfrm>
                      <a:off x="0" y="0"/>
                      <a:ext cx="158400" cy="1890000"/>
                    </a:xfrm>
                    <a:prstGeom prst="rect">
                      <a:avLst/>
                    </a:prstGeom>
                    <a:ln>
                      <a:noFill/>
                    </a:ln>
                    <a:extLst>
                      <a:ext uri="{53640926-AAD7-44D8-BBD7-CCE9431645EC}">
                        <a14:shadowObscured xmlns:a14="http://schemas.microsoft.com/office/drawing/2010/main"/>
                      </a:ext>
                    </a:extLst>
                  </pic:spPr>
                </pic:pic>
              </a:graphicData>
            </a:graphic>
          </wp:inline>
        </w:drawing>
      </w:r>
      <w:r w:rsidRPr="007D66D9">
        <w:rPr>
          <w:noProof/>
          <w:lang w:eastAsia="en-AU"/>
        </w:rPr>
        <w:drawing>
          <wp:inline distT="0" distB="0" distL="0" distR="0" wp14:anchorId="6C194AF2" wp14:editId="215D1FD3">
            <wp:extent cx="5263872" cy="3364992"/>
            <wp:effectExtent l="0" t="0" r="0" b="6985"/>
            <wp:docPr id="22" name="Picture 22" descr="Figure 9: Paliperidone plasma concentrations versus time on a semi logarithmic scale, stratified by subjects with PK samples identified as potential out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108" r="1018"/>
                    <a:stretch/>
                  </pic:blipFill>
                  <pic:spPr bwMode="auto">
                    <a:xfrm>
                      <a:off x="0" y="0"/>
                      <a:ext cx="5264867" cy="3365628"/>
                    </a:xfrm>
                    <a:prstGeom prst="rect">
                      <a:avLst/>
                    </a:prstGeom>
                    <a:ln>
                      <a:noFill/>
                    </a:ln>
                    <a:extLst>
                      <a:ext uri="{53640926-AAD7-44D8-BBD7-CCE9431645EC}">
                        <a14:shadowObscured xmlns:a14="http://schemas.microsoft.com/office/drawing/2010/main"/>
                      </a:ext>
                    </a:extLst>
                  </pic:spPr>
                </pic:pic>
              </a:graphicData>
            </a:graphic>
          </wp:inline>
        </w:drawing>
      </w:r>
    </w:p>
    <w:p w14:paraId="1DB0D68B" w14:textId="77777777" w:rsidR="007D66D9" w:rsidRPr="005F391D" w:rsidRDefault="007D66D9" w:rsidP="005F391D">
      <w:pPr>
        <w:pStyle w:val="TableDescription"/>
      </w:pPr>
      <w:r w:rsidRPr="005F391D">
        <w:t>The black lines connect the paliperidone plasma concentrations for a si</w:t>
      </w:r>
      <w:r w:rsidR="003673F6">
        <w:t>ng</w:t>
      </w:r>
      <w:r w:rsidRPr="005F391D">
        <w:t>le subject. The symbols indicate samples included in the final model (open circles) or identified</w:t>
      </w:r>
      <w:r w:rsidR="008B365B" w:rsidRPr="005F391D">
        <w:t xml:space="preserve"> as an outlier (asterisk).</w:t>
      </w:r>
    </w:p>
    <w:p w14:paraId="24235915" w14:textId="77777777" w:rsidR="007D66D9" w:rsidRDefault="007D66D9" w:rsidP="008B365B">
      <w:pPr>
        <w:pStyle w:val="Tabletitle"/>
        <w:rPr>
          <w:lang w:eastAsia="en-AU"/>
        </w:rPr>
      </w:pPr>
      <w:bookmarkStart w:id="92" w:name="_Toc453054981"/>
      <w:r w:rsidRPr="009F485A">
        <w:rPr>
          <w:lang w:eastAsia="en-AU"/>
        </w:rPr>
        <w:t xml:space="preserve">Table </w:t>
      </w:r>
      <w:r w:rsidR="009F485A">
        <w:rPr>
          <w:lang w:eastAsia="en-AU"/>
        </w:rPr>
        <w:t>18:</w:t>
      </w:r>
      <w:r w:rsidRPr="007D66D9">
        <w:rPr>
          <w:lang w:eastAsia="en-AU"/>
        </w:rPr>
        <w:t xml:space="preserve"> Subjects with </w:t>
      </w:r>
      <w:proofErr w:type="spellStart"/>
      <w:r w:rsidR="009F467D" w:rsidRPr="009F467D">
        <w:t>C</w:t>
      </w:r>
      <w:r w:rsidR="009F467D" w:rsidRPr="009F467D">
        <w:rPr>
          <w:vertAlign w:val="subscript"/>
        </w:rPr>
        <w:t>max</w:t>
      </w:r>
      <w:proofErr w:type="spellEnd"/>
      <w:r w:rsidRPr="00D260FF">
        <w:rPr>
          <w:lang w:eastAsia="en-AU"/>
        </w:rPr>
        <w:t xml:space="preserve"> &gt;</w:t>
      </w:r>
      <w:r w:rsidRPr="007D66D9">
        <w:rPr>
          <w:lang w:eastAsia="en-AU"/>
        </w:rPr>
        <w:t xml:space="preserve"> 125</w:t>
      </w:r>
      <w:r w:rsidR="00932E50">
        <w:rPr>
          <w:lang w:eastAsia="en-AU"/>
        </w:rPr>
        <w:t xml:space="preserve"> </w:t>
      </w:r>
      <w:r w:rsidR="003673F6">
        <w:rPr>
          <w:lang w:eastAsia="en-AU"/>
        </w:rPr>
        <w:t>ng</w:t>
      </w:r>
      <w:r w:rsidRPr="007D66D9">
        <w:rPr>
          <w:lang w:eastAsia="en-AU"/>
        </w:rPr>
        <w:t>/</w:t>
      </w:r>
      <w:r w:rsidR="004A676D">
        <w:rPr>
          <w:lang w:eastAsia="en-AU"/>
        </w:rPr>
        <w:t>mL</w:t>
      </w:r>
      <w:bookmarkEnd w:id="92"/>
    </w:p>
    <w:p w14:paraId="7B1D3226" w14:textId="77777777" w:rsidR="005F391D" w:rsidRPr="005F391D" w:rsidRDefault="005F391D" w:rsidP="00D37CB6">
      <w:pPr>
        <w:rPr>
          <w:lang w:eastAsia="en-AU"/>
        </w:rPr>
      </w:pPr>
      <w:r>
        <w:rPr>
          <w:noProof/>
          <w:lang w:eastAsia="en-AU"/>
        </w:rPr>
        <w:drawing>
          <wp:inline distT="0" distB="0" distL="0" distR="0" wp14:anchorId="0C9AA983" wp14:editId="2465C17C">
            <wp:extent cx="4268296" cy="1316736"/>
            <wp:effectExtent l="0" t="0" r="0" b="0"/>
            <wp:docPr id="14" name="Picture 14" descr="Table 18: Subjects with Cmax &gt; 125 ng/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64335" cy="1315514"/>
                    </a:xfrm>
                    <a:prstGeom prst="rect">
                      <a:avLst/>
                    </a:prstGeom>
                  </pic:spPr>
                </pic:pic>
              </a:graphicData>
            </a:graphic>
          </wp:inline>
        </w:drawing>
      </w:r>
    </w:p>
    <w:p w14:paraId="2A19CC80" w14:textId="77777777" w:rsidR="007D66D9" w:rsidRPr="007D66D9" w:rsidRDefault="00D260FF" w:rsidP="008B365B">
      <w:pPr>
        <w:pStyle w:val="TableDescription"/>
        <w:rPr>
          <w:lang w:eastAsia="en-AU"/>
        </w:rPr>
      </w:pPr>
      <w:r>
        <w:rPr>
          <w:lang w:eastAsia="en-AU"/>
        </w:rPr>
        <w:t>D = deltoid; G = gluteal</w:t>
      </w:r>
    </w:p>
    <w:p w14:paraId="3AC7052B" w14:textId="77777777" w:rsidR="007D66D9" w:rsidRPr="005F391D" w:rsidRDefault="007D66D9" w:rsidP="005F391D">
      <w:pPr>
        <w:pStyle w:val="Heading6"/>
      </w:pPr>
      <w:r w:rsidRPr="005F391D">
        <w:t>Covariates</w:t>
      </w:r>
    </w:p>
    <w:p w14:paraId="001E2515" w14:textId="77777777" w:rsidR="007D66D9" w:rsidRPr="007D66D9" w:rsidRDefault="007D66D9" w:rsidP="00B14DF1">
      <w:pPr>
        <w:rPr>
          <w:lang w:eastAsia="en-AU"/>
        </w:rPr>
      </w:pPr>
      <w:r w:rsidRPr="007D66D9">
        <w:rPr>
          <w:lang w:eastAsia="en-AU"/>
        </w:rPr>
        <w:t>Covariates tested included: ALT; BMI, injection site (INJS), total bilirubin (TB), age, sex, race, needle le</w:t>
      </w:r>
      <w:r w:rsidR="003673F6">
        <w:rPr>
          <w:lang w:eastAsia="en-AU"/>
        </w:rPr>
        <w:t>ng</w:t>
      </w:r>
      <w:r w:rsidRPr="007D66D9">
        <w:rPr>
          <w:lang w:eastAsia="en-AU"/>
        </w:rPr>
        <w:t>th as per the followi</w:t>
      </w:r>
      <w:r w:rsidR="003673F6">
        <w:rPr>
          <w:lang w:eastAsia="en-AU"/>
        </w:rPr>
        <w:t>ng</w:t>
      </w:r>
      <w:r w:rsidRPr="007D66D9">
        <w:rPr>
          <w:lang w:eastAsia="en-AU"/>
        </w:rPr>
        <w:t xml:space="preserve"> table.</w:t>
      </w:r>
    </w:p>
    <w:p w14:paraId="1F813DAB" w14:textId="77777777" w:rsidR="007D66D9" w:rsidRPr="007D66D9" w:rsidRDefault="007D66D9" w:rsidP="008B365B">
      <w:pPr>
        <w:pStyle w:val="Tabletitle"/>
        <w:rPr>
          <w:lang w:eastAsia="en-AU"/>
        </w:rPr>
      </w:pPr>
      <w:bookmarkStart w:id="93" w:name="_Toc453054982"/>
      <w:r w:rsidRPr="009F485A">
        <w:rPr>
          <w:lang w:eastAsia="en-AU"/>
        </w:rPr>
        <w:t xml:space="preserve">Table </w:t>
      </w:r>
      <w:r w:rsidR="009F485A">
        <w:rPr>
          <w:lang w:eastAsia="en-AU"/>
        </w:rPr>
        <w:t>19:</w:t>
      </w:r>
      <w:r w:rsidR="005F391D">
        <w:rPr>
          <w:lang w:eastAsia="en-AU"/>
        </w:rPr>
        <w:t xml:space="preserve"> Parameter </w:t>
      </w:r>
      <w:r w:rsidRPr="007D66D9">
        <w:rPr>
          <w:lang w:eastAsia="en-AU"/>
        </w:rPr>
        <w:t>covariate relationships tested in the stepwise covariate model buildi</w:t>
      </w:r>
      <w:r w:rsidR="003673F6">
        <w:rPr>
          <w:lang w:eastAsia="en-AU"/>
        </w:rPr>
        <w:t>ng</w:t>
      </w:r>
      <w:r w:rsidRPr="007D66D9">
        <w:rPr>
          <w:lang w:eastAsia="en-AU"/>
        </w:rPr>
        <w:t xml:space="preserve"> procedure</w:t>
      </w:r>
      <w:bookmarkEnd w:id="93"/>
    </w:p>
    <w:p w14:paraId="3C2794F3" w14:textId="77777777" w:rsidR="007D66D9" w:rsidRPr="007D66D9" w:rsidRDefault="007D66D9" w:rsidP="00D37CB6">
      <w:pPr>
        <w:rPr>
          <w:lang w:eastAsia="en-AU"/>
        </w:rPr>
      </w:pPr>
      <w:r w:rsidRPr="007D66D9">
        <w:rPr>
          <w:noProof/>
          <w:lang w:eastAsia="en-AU"/>
        </w:rPr>
        <w:drawing>
          <wp:inline distT="0" distB="0" distL="0" distR="0" wp14:anchorId="6EBC830B" wp14:editId="50FC2465">
            <wp:extent cx="4076700" cy="847725"/>
            <wp:effectExtent l="0" t="0" r="0" b="9525"/>
            <wp:docPr id="24" name="Picture 24" descr="Table 19: Parameter covariate relationships tested in the stepwise covariate model building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76700" cy="847725"/>
                    </a:xfrm>
                    <a:prstGeom prst="rect">
                      <a:avLst/>
                    </a:prstGeom>
                  </pic:spPr>
                </pic:pic>
              </a:graphicData>
            </a:graphic>
          </wp:inline>
        </w:drawing>
      </w:r>
    </w:p>
    <w:p w14:paraId="558A0F9C" w14:textId="77777777" w:rsidR="00D260FF" w:rsidRPr="008B365B" w:rsidRDefault="008B365B" w:rsidP="00B14DF1">
      <w:pPr>
        <w:pStyle w:val="TableDescription"/>
        <w:rPr>
          <w:lang w:eastAsia="en-AU"/>
        </w:rPr>
      </w:pPr>
      <w:r w:rsidRPr="008B365B">
        <w:rPr>
          <w:vertAlign w:val="superscript"/>
          <w:lang w:eastAsia="en-AU"/>
        </w:rPr>
        <w:t>a.</w:t>
      </w:r>
      <w:r>
        <w:rPr>
          <w:lang w:eastAsia="en-AU"/>
        </w:rPr>
        <w:t xml:space="preserve"> </w:t>
      </w:r>
      <w:r w:rsidR="007D66D9" w:rsidRPr="007D66D9">
        <w:rPr>
          <w:lang w:eastAsia="en-AU"/>
        </w:rPr>
        <w:t>k</w:t>
      </w:r>
      <w:r w:rsidR="007D66D9" w:rsidRPr="00D260FF">
        <w:rPr>
          <w:vertAlign w:val="subscript"/>
          <w:lang w:eastAsia="en-AU"/>
        </w:rPr>
        <w:t>a1 max</w:t>
      </w:r>
      <w:r w:rsidR="007D66D9" w:rsidRPr="007D66D9">
        <w:rPr>
          <w:lang w:eastAsia="en-AU"/>
        </w:rPr>
        <w:t>: maximum absorption rate for the slow absorption process; k</w:t>
      </w:r>
      <w:r w:rsidR="007D66D9" w:rsidRPr="00D260FF">
        <w:rPr>
          <w:vertAlign w:val="subscript"/>
          <w:lang w:eastAsia="en-AU"/>
        </w:rPr>
        <w:t>amt1 50</w:t>
      </w:r>
      <w:r w:rsidR="007D66D9" w:rsidRPr="007D66D9">
        <w:rPr>
          <w:lang w:eastAsia="en-AU"/>
        </w:rPr>
        <w:t>: amount of paliperidone at the absorption site when half of the maximum absorption rate is achieved for the slow absorption process; k</w:t>
      </w:r>
      <w:r w:rsidR="007D66D9" w:rsidRPr="00D260FF">
        <w:rPr>
          <w:vertAlign w:val="subscript"/>
          <w:lang w:eastAsia="en-AU"/>
        </w:rPr>
        <w:t>amt3 50</w:t>
      </w:r>
      <w:r w:rsidR="007D66D9" w:rsidRPr="007D66D9">
        <w:rPr>
          <w:lang w:eastAsia="en-AU"/>
        </w:rPr>
        <w:t xml:space="preserve">: amount of paliperidone at the absorption site when half of the maximum absorption rate is achieved for the rapid </w:t>
      </w:r>
      <w:r w:rsidR="007D66D9" w:rsidRPr="007D66D9">
        <w:rPr>
          <w:lang w:eastAsia="en-AU"/>
        </w:rPr>
        <w:lastRenderedPageBreak/>
        <w:t>absorption process;</w:t>
      </w:r>
      <w:r>
        <w:rPr>
          <w:lang w:eastAsia="en-AU"/>
        </w:rPr>
        <w:t xml:space="preserve"> </w:t>
      </w:r>
      <w:r w:rsidR="007D66D9" w:rsidRPr="007D66D9">
        <w:rPr>
          <w:rFonts w:eastAsia="Times New Roman"/>
          <w:kern w:val="16"/>
          <w:lang w:eastAsia="en-AU"/>
        </w:rPr>
        <w:t>CL: apparent clearance; F3: fraction of the dose enteri</w:t>
      </w:r>
      <w:r w:rsidR="003673F6">
        <w:rPr>
          <w:rFonts w:eastAsia="Times New Roman"/>
          <w:kern w:val="16"/>
          <w:lang w:eastAsia="en-AU"/>
        </w:rPr>
        <w:t>ng</w:t>
      </w:r>
      <w:r w:rsidR="007D66D9" w:rsidRPr="007D66D9">
        <w:rPr>
          <w:rFonts w:eastAsia="Times New Roman"/>
          <w:kern w:val="16"/>
          <w:lang w:eastAsia="en-AU"/>
        </w:rPr>
        <w:t xml:space="preserve"> the systemic circulation via a rapid and saturable absorption process after administration of paliperidone palmitate </w:t>
      </w:r>
      <w:r w:rsidR="0058163A">
        <w:rPr>
          <w:rFonts w:eastAsia="Times New Roman"/>
          <w:kern w:val="16"/>
          <w:lang w:eastAsia="en-AU"/>
        </w:rPr>
        <w:t>3 Month</w:t>
      </w:r>
      <w:r w:rsidR="007D66D9" w:rsidRPr="007D66D9">
        <w:rPr>
          <w:rFonts w:eastAsia="Times New Roman"/>
          <w:kern w:val="16"/>
          <w:lang w:eastAsia="en-AU"/>
        </w:rPr>
        <w:t xml:space="preserve"> formulation;</w:t>
      </w:r>
      <w:r>
        <w:rPr>
          <w:rFonts w:eastAsia="Times New Roman"/>
          <w:kern w:val="16"/>
          <w:lang w:eastAsia="en-AU"/>
        </w:rPr>
        <w:t xml:space="preserve"> </w:t>
      </w:r>
      <w:r w:rsidR="007D66D9" w:rsidRPr="007D66D9">
        <w:rPr>
          <w:rFonts w:eastAsia="Times New Roman"/>
          <w:kern w:val="16"/>
          <w:lang w:eastAsia="en-AU"/>
        </w:rPr>
        <w:t>V: ap</w:t>
      </w:r>
      <w:r>
        <w:rPr>
          <w:rFonts w:eastAsia="Times New Roman"/>
          <w:kern w:val="16"/>
          <w:lang w:eastAsia="en-AU"/>
        </w:rPr>
        <w:t>parent volume of distribution</w:t>
      </w:r>
    </w:p>
    <w:p w14:paraId="2C85ABA4" w14:textId="77777777" w:rsidR="007D66D9" w:rsidRPr="007D66D9" w:rsidRDefault="005F391D" w:rsidP="00D260FF">
      <w:pPr>
        <w:pStyle w:val="Heading6"/>
        <w:rPr>
          <w:lang w:eastAsia="en-AU"/>
        </w:rPr>
      </w:pPr>
      <w:r>
        <w:rPr>
          <w:lang w:eastAsia="en-AU"/>
        </w:rPr>
        <w:t>Adjustments</w:t>
      </w:r>
    </w:p>
    <w:p w14:paraId="1F166F7F" w14:textId="77777777" w:rsidR="007D66D9" w:rsidRPr="007D66D9" w:rsidRDefault="007D66D9" w:rsidP="005F391D">
      <w:pPr>
        <w:rPr>
          <w:lang w:eastAsia="en-AU"/>
        </w:rPr>
      </w:pPr>
      <w:r w:rsidRPr="007D66D9">
        <w:rPr>
          <w:lang w:eastAsia="en-AU"/>
        </w:rPr>
        <w:t xml:space="preserve">Baseline paliperidone </w:t>
      </w:r>
      <w:r w:rsidR="005F391D">
        <w:rPr>
          <w:lang w:eastAsia="en-AU"/>
        </w:rPr>
        <w:t xml:space="preserve">concentrations in PSY- 1005 (52 out of </w:t>
      </w:r>
      <w:r w:rsidRPr="007D66D9">
        <w:rPr>
          <w:lang w:eastAsia="en-AU"/>
        </w:rPr>
        <w:t>217 subjects) were adjusted.</w:t>
      </w:r>
    </w:p>
    <w:p w14:paraId="3AC02877" w14:textId="77777777" w:rsidR="007D66D9" w:rsidRPr="007D66D9" w:rsidRDefault="007D66D9" w:rsidP="005F391D">
      <w:pPr>
        <w:rPr>
          <w:lang w:eastAsia="en-AU"/>
        </w:rPr>
      </w:pPr>
      <w:r w:rsidRPr="007D66D9">
        <w:rPr>
          <w:lang w:eastAsia="en-AU"/>
        </w:rPr>
        <w:t>Samples in Study PSY-3012 with positive risperidone levels were excluded from the analysis. In Study PSY-1005 schizophrenic subjects were allowed only bac</w:t>
      </w:r>
      <w:r w:rsidR="00EA7B92">
        <w:rPr>
          <w:lang w:eastAsia="en-AU"/>
        </w:rPr>
        <w:t>kg</w:t>
      </w:r>
      <w:r w:rsidRPr="007D66D9">
        <w:rPr>
          <w:lang w:eastAsia="en-AU"/>
        </w:rPr>
        <w:t>round antipsychotics not interferi</w:t>
      </w:r>
      <w:r w:rsidR="003673F6">
        <w:rPr>
          <w:lang w:eastAsia="en-AU"/>
        </w:rPr>
        <w:t>ng</w:t>
      </w:r>
      <w:r w:rsidRPr="007D66D9">
        <w:rPr>
          <w:lang w:eastAsia="en-AU"/>
        </w:rPr>
        <w:t xml:space="preserve"> with the PKs of paliperidone.</w:t>
      </w:r>
    </w:p>
    <w:p w14:paraId="78DD2216" w14:textId="77777777" w:rsidR="007D66D9" w:rsidRPr="007D66D9" w:rsidRDefault="007D66D9" w:rsidP="005F391D">
      <w:pPr>
        <w:rPr>
          <w:lang w:eastAsia="en-AU"/>
        </w:rPr>
      </w:pPr>
      <w:r w:rsidRPr="007D66D9">
        <w:rPr>
          <w:lang w:eastAsia="en-AU"/>
        </w:rPr>
        <w:t>Data were simulated 1,000 times usi</w:t>
      </w:r>
      <w:r w:rsidR="003673F6">
        <w:rPr>
          <w:lang w:eastAsia="en-AU"/>
        </w:rPr>
        <w:t>ng</w:t>
      </w:r>
      <w:r w:rsidRPr="007D66D9">
        <w:rPr>
          <w:lang w:eastAsia="en-AU"/>
        </w:rPr>
        <w:t xml:space="preserve"> the doses and covariate data from the subjects that were included in the analysis data set, usi</w:t>
      </w:r>
      <w:r w:rsidR="003673F6">
        <w:rPr>
          <w:lang w:eastAsia="en-AU"/>
        </w:rPr>
        <w:t>ng</w:t>
      </w:r>
      <w:r w:rsidRPr="007D66D9">
        <w:rPr>
          <w:lang w:eastAsia="en-AU"/>
        </w:rPr>
        <w:t xml:space="preserve"> the same sampli</w:t>
      </w:r>
      <w:r w:rsidR="003673F6">
        <w:rPr>
          <w:lang w:eastAsia="en-AU"/>
        </w:rPr>
        <w:t>ng</w:t>
      </w:r>
      <w:r w:rsidRPr="007D66D9">
        <w:rPr>
          <w:lang w:eastAsia="en-AU"/>
        </w:rPr>
        <w:t xml:space="preserve"> times. For the Visual predictive checks, the 5th, 50</w:t>
      </w:r>
      <w:r w:rsidRPr="007D66D9">
        <w:rPr>
          <w:vertAlign w:val="superscript"/>
          <w:lang w:eastAsia="en-AU"/>
        </w:rPr>
        <w:t>th</w:t>
      </w:r>
      <w:r w:rsidRPr="007D66D9">
        <w:rPr>
          <w:lang w:eastAsia="en-AU"/>
        </w:rPr>
        <w:t xml:space="preserve"> and 95th percentiles of the observed and simulated dependent variable (DV) versus time profiles were compared graphically.</w:t>
      </w:r>
    </w:p>
    <w:p w14:paraId="5671A36C" w14:textId="77777777" w:rsidR="007D66D9" w:rsidRPr="007D66D9" w:rsidRDefault="007D66D9" w:rsidP="005F391D">
      <w:pPr>
        <w:rPr>
          <w:lang w:eastAsia="en-AU"/>
        </w:rPr>
      </w:pPr>
      <w:r w:rsidRPr="007D66D9">
        <w:rPr>
          <w:lang w:eastAsia="en-AU"/>
        </w:rPr>
        <w:t>The existi</w:t>
      </w:r>
      <w:r w:rsidR="003673F6">
        <w:rPr>
          <w:lang w:eastAsia="en-AU"/>
        </w:rPr>
        <w:t>ng</w:t>
      </w:r>
      <w:r w:rsidRPr="007D66D9">
        <w:rPr>
          <w:lang w:eastAsia="en-AU"/>
        </w:rPr>
        <w:t xml:space="preserve"> model failed to adequately describe the Invega Sustenna PK data from Study 3012 so a new </w:t>
      </w:r>
      <w:r w:rsidRPr="005F391D">
        <w:rPr>
          <w:lang w:eastAsia="en-AU"/>
        </w:rPr>
        <w:t>model</w:t>
      </w:r>
      <w:r w:rsidRPr="005F391D">
        <w:rPr>
          <w:vertAlign w:val="superscript"/>
          <w:lang w:eastAsia="en-AU"/>
        </w:rPr>
        <w:footnoteReference w:id="7"/>
      </w:r>
      <w:r w:rsidRPr="005F391D">
        <w:rPr>
          <w:lang w:eastAsia="en-AU"/>
        </w:rPr>
        <w:t xml:space="preserve"> was</w:t>
      </w:r>
      <w:r w:rsidRPr="007D66D9">
        <w:rPr>
          <w:lang w:eastAsia="en-AU"/>
        </w:rPr>
        <w:t xml:space="preserve"> developed usi</w:t>
      </w:r>
      <w:r w:rsidR="003673F6">
        <w:rPr>
          <w:lang w:eastAsia="en-AU"/>
        </w:rPr>
        <w:t>ng</w:t>
      </w:r>
      <w:r w:rsidRPr="007D66D9">
        <w:rPr>
          <w:lang w:eastAsia="en-AU"/>
        </w:rPr>
        <w:t xml:space="preserve"> both the previous and the Study 3012 Invega Sustenna data.</w:t>
      </w:r>
    </w:p>
    <w:p w14:paraId="609742C5" w14:textId="77777777" w:rsidR="004A676D" w:rsidRDefault="007D66D9" w:rsidP="005F391D">
      <w:pPr>
        <w:rPr>
          <w:lang w:eastAsia="en-AU"/>
        </w:rPr>
      </w:pPr>
      <w:r w:rsidRPr="007D66D9">
        <w:rPr>
          <w:lang w:eastAsia="en-AU"/>
        </w:rPr>
        <w:t>This model then failed to adequately describe the Invega Trinz</w:t>
      </w:r>
      <w:r w:rsidR="005F391D">
        <w:rPr>
          <w:lang w:eastAsia="en-AU"/>
        </w:rPr>
        <w:t>a PK absorption data from Study </w:t>
      </w:r>
      <w:r w:rsidRPr="007D66D9">
        <w:rPr>
          <w:lang w:eastAsia="en-AU"/>
        </w:rPr>
        <w:t xml:space="preserve">1005 so a model with one rapid and </w:t>
      </w:r>
      <w:proofErr w:type="gramStart"/>
      <w:r w:rsidRPr="007D66D9">
        <w:rPr>
          <w:lang w:eastAsia="en-AU"/>
        </w:rPr>
        <w:t>one slow saturable absorption</w:t>
      </w:r>
      <w:proofErr w:type="gramEnd"/>
      <w:r w:rsidRPr="007D66D9">
        <w:rPr>
          <w:lang w:eastAsia="en-AU"/>
        </w:rPr>
        <w:t xml:space="preserve"> process was then adopted</w:t>
      </w:r>
      <w:r w:rsidR="004A676D">
        <w:rPr>
          <w:lang w:eastAsia="en-AU"/>
        </w:rPr>
        <w:t>.</w:t>
      </w:r>
    </w:p>
    <w:p w14:paraId="25E965EC" w14:textId="77777777" w:rsidR="007D66D9" w:rsidRPr="007D66D9" w:rsidRDefault="007D66D9" w:rsidP="005F391D">
      <w:pPr>
        <w:rPr>
          <w:lang w:eastAsia="en-AU"/>
        </w:rPr>
      </w:pPr>
      <w:r w:rsidRPr="007D66D9">
        <w:rPr>
          <w:lang w:eastAsia="en-AU"/>
        </w:rPr>
        <w:t xml:space="preserve">Covariate analysis was then undertaken. In addition to the covariates (CRCL on CL; BMI on V; IVOL on both the absorption rates), injection site and sex were identified as covariates on </w:t>
      </w:r>
      <w:proofErr w:type="spellStart"/>
      <w:r w:rsidRPr="007D66D9">
        <w:rPr>
          <w:lang w:eastAsia="en-AU"/>
        </w:rPr>
        <w:t>k</w:t>
      </w:r>
      <w:r w:rsidRPr="007D66D9">
        <w:rPr>
          <w:vertAlign w:val="subscript"/>
          <w:lang w:eastAsia="en-AU"/>
        </w:rPr>
        <w:t>a</w:t>
      </w:r>
      <w:proofErr w:type="spellEnd"/>
      <w:r w:rsidRPr="007D66D9">
        <w:rPr>
          <w:vertAlign w:val="subscript"/>
          <w:lang w:eastAsia="en-AU"/>
        </w:rPr>
        <w:t xml:space="preserve"> max </w:t>
      </w:r>
      <w:r w:rsidRPr="007D66D9">
        <w:rPr>
          <w:lang w:eastAsia="en-AU"/>
        </w:rPr>
        <w:t xml:space="preserve">of the </w:t>
      </w:r>
      <w:r w:rsidRPr="005F391D">
        <w:rPr>
          <w:lang w:eastAsia="en-AU"/>
        </w:rPr>
        <w:t>slow absorption process. That neither BMI nor needle le</w:t>
      </w:r>
      <w:r w:rsidR="003673F6">
        <w:rPr>
          <w:lang w:eastAsia="en-AU"/>
        </w:rPr>
        <w:t>ng</w:t>
      </w:r>
      <w:r w:rsidRPr="005F391D">
        <w:rPr>
          <w:lang w:eastAsia="en-AU"/>
        </w:rPr>
        <w:t xml:space="preserve">th were identified as covariates for </w:t>
      </w:r>
      <w:r w:rsidR="005F391D" w:rsidRPr="005F391D">
        <w:rPr>
          <w:lang w:eastAsia="en-AU"/>
        </w:rPr>
        <w:t>absorption</w:t>
      </w:r>
      <w:r w:rsidRPr="005F391D">
        <w:rPr>
          <w:lang w:eastAsia="en-AU"/>
        </w:rPr>
        <w:t xml:space="preserve"> was explained by weight-based needle le</w:t>
      </w:r>
      <w:r w:rsidR="003673F6">
        <w:rPr>
          <w:lang w:eastAsia="en-AU"/>
        </w:rPr>
        <w:t>ng</w:t>
      </w:r>
      <w:r w:rsidRPr="005F391D">
        <w:rPr>
          <w:lang w:eastAsia="en-AU"/>
        </w:rPr>
        <w:t>ths were employed in both Invega Trinza</w:t>
      </w:r>
      <w:r w:rsidRPr="007D66D9">
        <w:rPr>
          <w:lang w:eastAsia="en-AU"/>
        </w:rPr>
        <w:t xml:space="preserve"> studies, However</w:t>
      </w:r>
      <w:r w:rsidR="004A676D">
        <w:rPr>
          <w:lang w:eastAsia="en-AU"/>
        </w:rPr>
        <w:t xml:space="preserve"> </w:t>
      </w:r>
      <w:r w:rsidRPr="007D66D9">
        <w:rPr>
          <w:lang w:eastAsia="en-AU"/>
        </w:rPr>
        <w:t>this applies only to the deltoid injections not the gluteal injections which had the same size needle regardless of BMI.</w:t>
      </w:r>
    </w:p>
    <w:p w14:paraId="05F7C6DC" w14:textId="77777777" w:rsidR="007D66D9" w:rsidRPr="007D66D9" w:rsidRDefault="007D66D9" w:rsidP="005F391D">
      <w:pPr>
        <w:rPr>
          <w:rFonts w:cs="Arial"/>
          <w:lang w:eastAsia="en-AU"/>
        </w:rPr>
      </w:pPr>
      <w:r w:rsidRPr="007D66D9">
        <w:rPr>
          <w:lang w:eastAsia="en-AU"/>
        </w:rPr>
        <w:t xml:space="preserve">As the sponsor said </w:t>
      </w:r>
      <w:r w:rsidR="005F391D">
        <w:rPr>
          <w:lang w:eastAsia="en-AU"/>
        </w:rPr>
        <w:t>‘</w:t>
      </w:r>
      <w:r w:rsidRPr="005F391D">
        <w:rPr>
          <w:rFonts w:cs="Arial"/>
          <w:i/>
          <w:lang w:eastAsia="en-AU"/>
        </w:rPr>
        <w:t>The model provided a reasonable description across all dose groups and key covariates.</w:t>
      </w:r>
      <w:r w:rsidR="005F391D">
        <w:rPr>
          <w:rFonts w:cs="Arial"/>
          <w:i/>
          <w:lang w:eastAsia="en-AU"/>
        </w:rPr>
        <w:t>’</w:t>
      </w:r>
    </w:p>
    <w:p w14:paraId="0D949B46" w14:textId="77777777" w:rsidR="007D66D9" w:rsidRPr="007D66D9" w:rsidRDefault="007D66D9" w:rsidP="00D260FF">
      <w:pPr>
        <w:pStyle w:val="Heading6"/>
        <w:rPr>
          <w:lang w:eastAsia="en-AU"/>
        </w:rPr>
      </w:pPr>
      <w:r w:rsidRPr="007D66D9">
        <w:rPr>
          <w:lang w:eastAsia="en-AU"/>
        </w:rPr>
        <w:t xml:space="preserve">The </w:t>
      </w:r>
      <w:r w:rsidR="005F391D" w:rsidRPr="007D66D9">
        <w:rPr>
          <w:lang w:eastAsia="en-AU"/>
        </w:rPr>
        <w:t>final model</w:t>
      </w:r>
    </w:p>
    <w:p w14:paraId="19158C7F" w14:textId="77777777" w:rsidR="004A676D" w:rsidRDefault="007D66D9" w:rsidP="005F391D">
      <w:pPr>
        <w:rPr>
          <w:lang w:eastAsia="en-AU"/>
        </w:rPr>
      </w:pPr>
      <w:r w:rsidRPr="007D66D9">
        <w:rPr>
          <w:lang w:eastAsia="en-AU"/>
        </w:rPr>
        <w:t xml:space="preserve">The final model had a </w:t>
      </w:r>
      <w:r w:rsidR="005F391D" w:rsidRPr="007D66D9">
        <w:rPr>
          <w:lang w:eastAsia="en-AU"/>
        </w:rPr>
        <w:t>r</w:t>
      </w:r>
      <w:r w:rsidRPr="007D66D9">
        <w:rPr>
          <w:lang w:eastAsia="en-AU"/>
        </w:rPr>
        <w:t>esidual error coefficient of variation of 0.306 and a relative standard error of 0.321%</w:t>
      </w:r>
      <w:r w:rsidR="004A676D">
        <w:rPr>
          <w:lang w:eastAsia="en-AU"/>
        </w:rPr>
        <w:t>.</w:t>
      </w:r>
    </w:p>
    <w:p w14:paraId="6ABBA339" w14:textId="77777777" w:rsidR="007D66D9" w:rsidRPr="007D66D9" w:rsidRDefault="007D66D9" w:rsidP="005F391D">
      <w:pPr>
        <w:rPr>
          <w:lang w:val="en" w:eastAsia="en-AU"/>
        </w:rPr>
      </w:pPr>
      <w:r w:rsidRPr="007D66D9">
        <w:rPr>
          <w:lang w:eastAsia="en-AU"/>
        </w:rPr>
        <w:t xml:space="preserve">Invega Trinza showed flip-flop kinetics for paliperidone that is </w:t>
      </w:r>
      <w:r w:rsidRPr="007D66D9">
        <w:rPr>
          <w:lang w:val="en" w:eastAsia="en-AU"/>
        </w:rPr>
        <w:t>the rate of absorption is slower than the rate of elimination so that the apparent t</w:t>
      </w:r>
      <w:r w:rsidRPr="007D66D9">
        <w:rPr>
          <w:vertAlign w:val="subscript"/>
          <w:lang w:val="en" w:eastAsia="en-AU"/>
        </w:rPr>
        <w:t xml:space="preserve">1/2 </w:t>
      </w:r>
      <w:r w:rsidRPr="007D66D9">
        <w:rPr>
          <w:lang w:val="en" w:eastAsia="en-AU"/>
        </w:rPr>
        <w:t xml:space="preserve">is dependent on the absorption process. Since the disposition is modified by the slow absorption, the V is not a reflection of </w:t>
      </w:r>
      <w:proofErr w:type="spellStart"/>
      <w:r w:rsidRPr="007D66D9">
        <w:rPr>
          <w:lang w:val="en" w:eastAsia="en-AU"/>
        </w:rPr>
        <w:t>paliperidone’s</w:t>
      </w:r>
      <w:proofErr w:type="spellEnd"/>
      <w:r w:rsidRPr="007D66D9">
        <w:rPr>
          <w:lang w:val="en" w:eastAsia="en-AU"/>
        </w:rPr>
        <w:t xml:space="preserve"> true volume of distribution.</w:t>
      </w:r>
    </w:p>
    <w:p w14:paraId="3B71BFA9" w14:textId="77777777" w:rsidR="007D66D9" w:rsidRPr="007D66D9" w:rsidRDefault="007D66D9" w:rsidP="005F391D">
      <w:pPr>
        <w:rPr>
          <w:lang w:val="en" w:eastAsia="en-AU"/>
        </w:rPr>
      </w:pPr>
      <w:r w:rsidRPr="007D66D9">
        <w:rPr>
          <w:lang w:val="en" w:eastAsia="en-AU"/>
        </w:rPr>
        <w:t xml:space="preserve">The sponsor postulates that this accounts for the difference in V between </w:t>
      </w:r>
      <w:proofErr w:type="spellStart"/>
      <w:r w:rsidRPr="007D66D9">
        <w:rPr>
          <w:lang w:val="en" w:eastAsia="en-AU"/>
        </w:rPr>
        <w:t>Invega</w:t>
      </w:r>
      <w:proofErr w:type="spellEnd"/>
      <w:r w:rsidRPr="007D66D9">
        <w:rPr>
          <w:lang w:val="en" w:eastAsia="en-AU"/>
        </w:rPr>
        <w:t xml:space="preserve"> </w:t>
      </w:r>
      <w:proofErr w:type="spellStart"/>
      <w:r w:rsidRPr="007D66D9">
        <w:rPr>
          <w:lang w:val="en" w:eastAsia="en-AU"/>
        </w:rPr>
        <w:t>Sustenna</w:t>
      </w:r>
      <w:proofErr w:type="spellEnd"/>
      <w:r w:rsidRPr="007D66D9">
        <w:rPr>
          <w:lang w:val="en" w:eastAsia="en-AU"/>
        </w:rPr>
        <w:t xml:space="preserve"> and </w:t>
      </w:r>
      <w:proofErr w:type="spellStart"/>
      <w:r w:rsidRPr="007D66D9">
        <w:rPr>
          <w:lang w:val="en" w:eastAsia="en-AU"/>
        </w:rPr>
        <w:t>Invega</w:t>
      </w:r>
      <w:proofErr w:type="spellEnd"/>
      <w:r w:rsidRPr="007D66D9">
        <w:rPr>
          <w:lang w:val="en" w:eastAsia="en-AU"/>
        </w:rPr>
        <w:t xml:space="preserve"> </w:t>
      </w:r>
      <w:proofErr w:type="spellStart"/>
      <w:r w:rsidRPr="007D66D9">
        <w:rPr>
          <w:lang w:val="en" w:eastAsia="en-AU"/>
        </w:rPr>
        <w:t>Trinza</w:t>
      </w:r>
      <w:proofErr w:type="spellEnd"/>
      <w:r w:rsidRPr="007D66D9">
        <w:rPr>
          <w:lang w:val="en" w:eastAsia="en-AU"/>
        </w:rPr>
        <w:t xml:space="preserve"> studies which results in the lack of dose proportionality seen in </w:t>
      </w:r>
      <w:proofErr w:type="spellStart"/>
      <w:r w:rsidR="009F467D" w:rsidRPr="009F467D">
        <w:t>C</w:t>
      </w:r>
      <w:r w:rsidR="009F467D" w:rsidRPr="009F467D">
        <w:rPr>
          <w:vertAlign w:val="subscript"/>
        </w:rPr>
        <w:t>max</w:t>
      </w:r>
      <w:proofErr w:type="spellEnd"/>
      <w:r w:rsidRPr="007D66D9">
        <w:rPr>
          <w:lang w:val="en" w:eastAsia="en-AU"/>
        </w:rPr>
        <w:t xml:space="preserve"> between the studies.</w:t>
      </w:r>
    </w:p>
    <w:p w14:paraId="15D29D33" w14:textId="77777777" w:rsidR="007D66D9" w:rsidRPr="007D66D9" w:rsidRDefault="007D66D9" w:rsidP="008B365B">
      <w:pPr>
        <w:pStyle w:val="FigureTitle"/>
        <w:keepNext/>
        <w:rPr>
          <w:lang w:eastAsia="en-AU"/>
        </w:rPr>
      </w:pPr>
      <w:bookmarkStart w:id="94" w:name="_Toc453055052"/>
      <w:r w:rsidRPr="00070306">
        <w:rPr>
          <w:lang w:eastAsia="en-AU"/>
        </w:rPr>
        <w:lastRenderedPageBreak/>
        <w:t xml:space="preserve">Figure </w:t>
      </w:r>
      <w:r w:rsidR="00070306">
        <w:rPr>
          <w:lang w:eastAsia="en-AU"/>
        </w:rPr>
        <w:t>10:</w:t>
      </w:r>
      <w:r w:rsidRPr="00070306">
        <w:rPr>
          <w:lang w:eastAsia="en-AU"/>
        </w:rPr>
        <w:t xml:space="preserve"> An</w:t>
      </w:r>
      <w:r w:rsidRPr="007D66D9">
        <w:rPr>
          <w:lang w:eastAsia="en-AU"/>
        </w:rPr>
        <w:t xml:space="preserve"> illustration of the structure of the population PK model for paliperidone after administration of PP3M</w:t>
      </w:r>
      <w:bookmarkEnd w:id="94"/>
    </w:p>
    <w:p w14:paraId="4BE56918" w14:textId="77777777" w:rsidR="007D66D9" w:rsidRPr="007D66D9" w:rsidRDefault="007D66D9" w:rsidP="00D37CB6">
      <w:pPr>
        <w:rPr>
          <w:lang w:eastAsia="en-AU"/>
        </w:rPr>
      </w:pPr>
      <w:r w:rsidRPr="007D66D9">
        <w:rPr>
          <w:noProof/>
          <w:lang w:eastAsia="en-AU"/>
        </w:rPr>
        <w:drawing>
          <wp:inline distT="0" distB="0" distL="0" distR="0" wp14:anchorId="740D2A01" wp14:editId="3811571C">
            <wp:extent cx="4792151" cy="1828800"/>
            <wp:effectExtent l="0" t="0" r="8890" b="0"/>
            <wp:docPr id="25" name="Picture 25" descr="Figure 10: An illustration of the structure of the population PK model for paliperidone after administration of PP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02003" cy="1832560"/>
                    </a:xfrm>
                    <a:prstGeom prst="rect">
                      <a:avLst/>
                    </a:prstGeom>
                  </pic:spPr>
                </pic:pic>
              </a:graphicData>
            </a:graphic>
          </wp:inline>
        </w:drawing>
      </w:r>
    </w:p>
    <w:p w14:paraId="3AFDA712" w14:textId="77777777" w:rsidR="007D66D9" w:rsidRPr="007D66D9" w:rsidRDefault="007D66D9" w:rsidP="00B14DF1">
      <w:pPr>
        <w:pStyle w:val="TableDescription"/>
        <w:rPr>
          <w:lang w:eastAsia="en-AU"/>
        </w:rPr>
      </w:pPr>
      <w:r w:rsidRPr="007D66D9">
        <w:rPr>
          <w:lang w:eastAsia="en-AU"/>
        </w:rPr>
        <w:t xml:space="preserve">CL is the </w:t>
      </w:r>
      <w:r w:rsidRPr="00B14DF1">
        <w:t>apparent</w:t>
      </w:r>
      <w:r w:rsidRPr="007D66D9">
        <w:rPr>
          <w:lang w:eastAsia="en-AU"/>
        </w:rPr>
        <w:t xml:space="preserve"> clearance, F</w:t>
      </w:r>
      <w:r w:rsidRPr="007D66D9">
        <w:rPr>
          <w:vertAlign w:val="subscript"/>
          <w:lang w:eastAsia="en-AU"/>
        </w:rPr>
        <w:t>3</w:t>
      </w:r>
      <w:r w:rsidRPr="007D66D9">
        <w:rPr>
          <w:lang w:eastAsia="en-AU"/>
        </w:rPr>
        <w:t xml:space="preserve"> is the fraction of the dose enteri</w:t>
      </w:r>
      <w:r w:rsidR="003673F6">
        <w:rPr>
          <w:lang w:eastAsia="en-AU"/>
        </w:rPr>
        <w:t>ng</w:t>
      </w:r>
      <w:r w:rsidRPr="007D66D9">
        <w:rPr>
          <w:lang w:eastAsia="en-AU"/>
        </w:rPr>
        <w:t xml:space="preserve"> the systemic circulation via a rapid and saturable absorption process after administration of PP3M, </w:t>
      </w:r>
      <w:proofErr w:type="spellStart"/>
      <w:r w:rsidRPr="007D66D9">
        <w:rPr>
          <w:lang w:eastAsia="en-AU"/>
        </w:rPr>
        <w:t>k</w:t>
      </w:r>
      <w:r w:rsidRPr="007D66D9">
        <w:rPr>
          <w:vertAlign w:val="subscript"/>
          <w:lang w:eastAsia="en-AU"/>
        </w:rPr>
        <w:t>a</w:t>
      </w:r>
      <w:proofErr w:type="spellEnd"/>
      <w:r w:rsidRPr="007D66D9">
        <w:rPr>
          <w:vertAlign w:val="subscript"/>
          <w:lang w:eastAsia="en-AU"/>
        </w:rPr>
        <w:t xml:space="preserve"> rapid</w:t>
      </w:r>
      <w:r w:rsidRPr="007D66D9">
        <w:rPr>
          <w:lang w:eastAsia="en-AU"/>
        </w:rPr>
        <w:t xml:space="preserve"> is the absorption rate for the rapid absorption process, </w:t>
      </w:r>
      <w:proofErr w:type="spellStart"/>
      <w:r w:rsidRPr="007D66D9">
        <w:rPr>
          <w:lang w:eastAsia="en-AU"/>
        </w:rPr>
        <w:t>k</w:t>
      </w:r>
      <w:r w:rsidRPr="007D66D9">
        <w:rPr>
          <w:vertAlign w:val="subscript"/>
          <w:lang w:eastAsia="en-AU"/>
        </w:rPr>
        <w:t>a</w:t>
      </w:r>
      <w:proofErr w:type="spellEnd"/>
      <w:r w:rsidRPr="007D66D9">
        <w:rPr>
          <w:vertAlign w:val="subscript"/>
          <w:lang w:eastAsia="en-AU"/>
        </w:rPr>
        <w:t xml:space="preserve"> slow </w:t>
      </w:r>
      <w:r w:rsidRPr="007D66D9">
        <w:rPr>
          <w:lang w:eastAsia="en-AU"/>
        </w:rPr>
        <w:t xml:space="preserve">is the absorption rate for the slow absorption process, </w:t>
      </w:r>
      <w:proofErr w:type="spellStart"/>
      <w:r w:rsidRPr="007D66D9">
        <w:rPr>
          <w:lang w:eastAsia="en-AU"/>
        </w:rPr>
        <w:t>k</w:t>
      </w:r>
      <w:r w:rsidRPr="007D66D9">
        <w:rPr>
          <w:vertAlign w:val="subscript"/>
          <w:lang w:eastAsia="en-AU"/>
        </w:rPr>
        <w:t>el</w:t>
      </w:r>
      <w:proofErr w:type="spellEnd"/>
      <w:r w:rsidRPr="007D66D9">
        <w:rPr>
          <w:lang w:eastAsia="en-AU"/>
        </w:rPr>
        <w:t xml:space="preserve"> is the first-order elimination rate constant, and V is the apparent volume of distributio</w:t>
      </w:r>
      <w:r w:rsidR="00486049">
        <w:rPr>
          <w:lang w:eastAsia="en-AU"/>
        </w:rPr>
        <w:t>n.</w:t>
      </w:r>
    </w:p>
    <w:p w14:paraId="2FFF1FDA" w14:textId="77777777" w:rsidR="007D66D9" w:rsidRPr="007D66D9" w:rsidRDefault="007D66D9" w:rsidP="008B365B">
      <w:pPr>
        <w:pStyle w:val="Tabletitle"/>
        <w:rPr>
          <w:lang w:eastAsia="en-AU"/>
        </w:rPr>
      </w:pPr>
      <w:bookmarkStart w:id="95" w:name="_Toc453054983"/>
      <w:r w:rsidRPr="00486049">
        <w:rPr>
          <w:lang w:eastAsia="en-AU"/>
        </w:rPr>
        <w:t>Table</w:t>
      </w:r>
      <w:r w:rsidRPr="007D66D9">
        <w:rPr>
          <w:lang w:eastAsia="en-AU"/>
        </w:rPr>
        <w:t xml:space="preserve"> </w:t>
      </w:r>
      <w:r w:rsidR="00070306">
        <w:rPr>
          <w:lang w:eastAsia="en-AU"/>
        </w:rPr>
        <w:t>20:</w:t>
      </w:r>
      <w:r w:rsidRPr="007D66D9">
        <w:rPr>
          <w:lang w:eastAsia="en-AU"/>
        </w:rPr>
        <w:t xml:space="preserve"> Parameter estimates of the final paliperidone population PK model</w:t>
      </w:r>
      <w:bookmarkEnd w:id="95"/>
    </w:p>
    <w:p w14:paraId="6975BE84" w14:textId="77777777" w:rsidR="007D66D9" w:rsidRPr="007D66D9" w:rsidRDefault="007D66D9" w:rsidP="00B14DF1">
      <w:pPr>
        <w:rPr>
          <w:lang w:eastAsia="en-AU"/>
        </w:rPr>
      </w:pPr>
      <w:r w:rsidRPr="007D66D9">
        <w:rPr>
          <w:noProof/>
          <w:lang w:eastAsia="en-AU"/>
        </w:rPr>
        <w:drawing>
          <wp:inline distT="0" distB="0" distL="0" distR="0" wp14:anchorId="0C4792A2" wp14:editId="30D112F1">
            <wp:extent cx="4681728" cy="3885700"/>
            <wp:effectExtent l="0" t="0" r="5080" b="635"/>
            <wp:docPr id="26" name="Picture 26" descr="Table 20: Parameter estimates of the final paliperidone population 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86924" cy="3890012"/>
                    </a:xfrm>
                    <a:prstGeom prst="rect">
                      <a:avLst/>
                    </a:prstGeom>
                  </pic:spPr>
                </pic:pic>
              </a:graphicData>
            </a:graphic>
          </wp:inline>
        </w:drawing>
      </w:r>
    </w:p>
    <w:p w14:paraId="651AC35D" w14:textId="77777777" w:rsidR="004401CD" w:rsidRDefault="005F391D" w:rsidP="00B14DF1">
      <w:pPr>
        <w:pStyle w:val="TableDescription"/>
      </w:pPr>
      <w:r w:rsidRPr="005F391D">
        <w:rPr>
          <w:vertAlign w:val="superscript"/>
        </w:rPr>
        <w:t>a.</w:t>
      </w:r>
      <w:r>
        <w:t xml:space="preserve"> </w:t>
      </w:r>
      <w:r w:rsidR="007D66D9" w:rsidRPr="007D66D9">
        <w:t>V for subjects with paliperidone palmitate in plasma</w:t>
      </w:r>
      <w:r w:rsidR="00EA7B92">
        <w:t xml:space="preserve"> </w:t>
      </w:r>
      <w:r w:rsidRPr="005F391D">
        <w:rPr>
          <w:vertAlign w:val="superscript"/>
        </w:rPr>
        <w:t>b.</w:t>
      </w:r>
      <w:r>
        <w:t xml:space="preserve"> </w:t>
      </w:r>
      <w:r w:rsidR="007D66D9" w:rsidRPr="007D66D9">
        <w:t>All 4 absorption rate parameters used the same IVOL covariate effect (run 50 com</w:t>
      </w:r>
      <w:r>
        <w:t xml:space="preserve">pared to runs 52 and 53) </w:t>
      </w:r>
      <w:r w:rsidRPr="005F391D">
        <w:rPr>
          <w:vertAlign w:val="superscript"/>
        </w:rPr>
        <w:t>c.</w:t>
      </w:r>
      <w:r>
        <w:t xml:space="preserve"> </w:t>
      </w:r>
      <w:r w:rsidR="007D66D9" w:rsidRPr="007D66D9">
        <w:t>Lower k</w:t>
      </w:r>
      <w:r w:rsidR="007D66D9" w:rsidRPr="00486049">
        <w:rPr>
          <w:vertAlign w:val="subscript"/>
        </w:rPr>
        <w:t xml:space="preserve">a1 max </w:t>
      </w:r>
      <w:r>
        <w:t xml:space="preserve">after gluteal injections </w:t>
      </w:r>
      <w:r w:rsidRPr="005F391D">
        <w:rPr>
          <w:vertAlign w:val="superscript"/>
        </w:rPr>
        <w:t>d.</w:t>
      </w:r>
      <w:r>
        <w:t xml:space="preserve"> </w:t>
      </w:r>
      <w:r w:rsidR="007D66D9" w:rsidRPr="007D66D9">
        <w:t>Lower k</w:t>
      </w:r>
      <w:r w:rsidR="007D66D9" w:rsidRPr="00486049">
        <w:rPr>
          <w:vertAlign w:val="subscript"/>
        </w:rPr>
        <w:t xml:space="preserve">a1 max </w:t>
      </w:r>
      <w:r w:rsidR="007D66D9" w:rsidRPr="007D66D9">
        <w:t>for women</w:t>
      </w:r>
      <w:r>
        <w:t xml:space="preserve"> </w:t>
      </w:r>
      <w:r w:rsidR="007D66D9" w:rsidRPr="007D66D9">
        <w:t>The RSE for IIV parameters and the residual error are reported on the approximate. SD scale (SE/variance estimate)/2</w:t>
      </w:r>
      <w:r>
        <w:t xml:space="preserve"> </w:t>
      </w:r>
      <w:r w:rsidR="007D66D9" w:rsidRPr="007D66D9">
        <w:t>CL: apparent clearance; CRCL: creatinine clearance; CV: coefficient of variation; F</w:t>
      </w:r>
      <w:r w:rsidR="007D66D9" w:rsidRPr="007D66D9">
        <w:rPr>
          <w:vertAlign w:val="subscript"/>
        </w:rPr>
        <w:t>3</w:t>
      </w:r>
      <w:r w:rsidR="007D66D9" w:rsidRPr="007D66D9">
        <w:t>: fraction of the dose enteri</w:t>
      </w:r>
      <w:r w:rsidR="003673F6">
        <w:t>ng</w:t>
      </w:r>
      <w:r w:rsidR="007D66D9" w:rsidRPr="007D66D9">
        <w:t xml:space="preserve"> the systemic circulation via a rapid and saturable absorption process after administration of PP3M; FIX: value fixed; γ: hill factor; IIV: inter-individual variability; INJS: injection site; IVOL: injection volume; k</w:t>
      </w:r>
      <w:r w:rsidR="007D66D9" w:rsidRPr="007D66D9">
        <w:rPr>
          <w:vertAlign w:val="subscript"/>
        </w:rPr>
        <w:t>amt1 50</w:t>
      </w:r>
      <w:r w:rsidR="007D66D9" w:rsidRPr="007D66D9">
        <w:t>: amount of paliperidone at the absorption site when half of the maximum absorption rate is achieved for the slow absorption process; k</w:t>
      </w:r>
      <w:r w:rsidR="007D66D9" w:rsidRPr="007D66D9">
        <w:rPr>
          <w:vertAlign w:val="subscript"/>
        </w:rPr>
        <w:t>amt3 50</w:t>
      </w:r>
      <w:r w:rsidR="007D66D9" w:rsidRPr="007D66D9">
        <w:t>: amount of paliperidone at the absorption site when half of the maximum absorption rate is achieved for the rapid absorption process; k</w:t>
      </w:r>
      <w:r w:rsidR="007D66D9" w:rsidRPr="007D66D9">
        <w:rPr>
          <w:vertAlign w:val="subscript"/>
        </w:rPr>
        <w:t>a1 max</w:t>
      </w:r>
      <w:r w:rsidR="007D66D9" w:rsidRPr="007D66D9">
        <w:t>: maximum absorption rate for the slow absorption process; k</w:t>
      </w:r>
      <w:r w:rsidR="007D66D9" w:rsidRPr="007D66D9">
        <w:rPr>
          <w:vertAlign w:val="subscript"/>
        </w:rPr>
        <w:t>a3 max</w:t>
      </w:r>
      <w:r w:rsidR="007D66D9" w:rsidRPr="007D66D9">
        <w:t xml:space="preserve">: maximum absorption rate for the rapid absorption process; OFV: objective function value; PK: </w:t>
      </w:r>
      <w:r w:rsidR="007D66D9" w:rsidRPr="007D66D9">
        <w:lastRenderedPageBreak/>
        <w:t xml:space="preserve">pharmacokinetic; RSE: relative standard error; SD: standard deviation; SE: standard error; SHR: shrinkage; V: apparent volume of distribution; </w:t>
      </w:r>
      <w:proofErr w:type="spellStart"/>
      <w:r w:rsidR="007D66D9" w:rsidRPr="007D66D9">
        <w:t>V</w:t>
      </w:r>
      <w:r w:rsidR="007D66D9" w:rsidRPr="007D66D9">
        <w:rPr>
          <w:vertAlign w:val="subscript"/>
        </w:rPr>
        <w:t>Palmitate</w:t>
      </w:r>
      <w:proofErr w:type="spellEnd"/>
      <w:r w:rsidR="007D66D9" w:rsidRPr="007D66D9">
        <w:t>: V for subjects with paliperidone</w:t>
      </w:r>
      <w:r>
        <w:t xml:space="preserve"> palmitate in plasma</w:t>
      </w:r>
    </w:p>
    <w:p w14:paraId="4EC5B8D3" w14:textId="77777777" w:rsidR="007D66D9" w:rsidRDefault="004401CD" w:rsidP="004401CD">
      <w:pPr>
        <w:pStyle w:val="FigureTitle"/>
        <w:keepNext/>
        <w:rPr>
          <w:lang w:eastAsia="en-AU"/>
        </w:rPr>
      </w:pPr>
      <w:r>
        <w:rPr>
          <w:lang w:eastAsia="en-AU"/>
        </w:rPr>
        <w:t xml:space="preserve">Figure </w:t>
      </w:r>
      <w:r w:rsidR="00070306">
        <w:rPr>
          <w:lang w:eastAsia="en-AU"/>
        </w:rPr>
        <w:t xml:space="preserve">11: </w:t>
      </w:r>
      <w:r>
        <w:rPr>
          <w:lang w:eastAsia="en-AU"/>
        </w:rPr>
        <w:t>Equation used for paliperidone PK model</w:t>
      </w:r>
    </w:p>
    <w:p w14:paraId="12506207" w14:textId="77777777" w:rsidR="007D66D9" w:rsidRPr="004401CD" w:rsidRDefault="004401CD" w:rsidP="00B14DF1">
      <w:pPr>
        <w:rPr>
          <w:lang w:eastAsia="en-AU"/>
        </w:rPr>
      </w:pPr>
      <w:r>
        <w:rPr>
          <w:noProof/>
          <w:lang w:eastAsia="en-AU"/>
        </w:rPr>
        <w:drawing>
          <wp:inline distT="0" distB="0" distL="0" distR="0" wp14:anchorId="5FD062F8" wp14:editId="58719F81">
            <wp:extent cx="5479085" cy="3177400"/>
            <wp:effectExtent l="0" t="0" r="7620" b="4445"/>
            <wp:docPr id="65" name="Picture 65" descr="Figure 11: Equation used for paliperidone 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1280" cy="3178673"/>
                    </a:xfrm>
                    <a:prstGeom prst="rect">
                      <a:avLst/>
                    </a:prstGeom>
                  </pic:spPr>
                </pic:pic>
              </a:graphicData>
            </a:graphic>
          </wp:inline>
        </w:drawing>
      </w:r>
    </w:p>
    <w:p w14:paraId="30CD652F" w14:textId="77777777" w:rsidR="007D66D9" w:rsidRPr="007D66D9" w:rsidRDefault="007D66D9" w:rsidP="00B14DF1">
      <w:pPr>
        <w:pStyle w:val="TableDescription"/>
        <w:rPr>
          <w:lang w:eastAsia="en-AU"/>
        </w:rPr>
      </w:pPr>
      <w:r w:rsidRPr="007D66D9">
        <w:rPr>
          <w:lang w:eastAsia="en-AU"/>
        </w:rPr>
        <w:t xml:space="preserve">CL is the apparent clearance, CRCL is the creatinine clearance, V is the apparent volume of distribution, </w:t>
      </w:r>
      <w:proofErr w:type="spellStart"/>
      <w:r w:rsidRPr="007D66D9">
        <w:rPr>
          <w:lang w:eastAsia="en-AU"/>
        </w:rPr>
        <w:t>V</w:t>
      </w:r>
      <w:r w:rsidRPr="007D66D9">
        <w:rPr>
          <w:vertAlign w:val="subscript"/>
          <w:lang w:eastAsia="en-AU"/>
        </w:rPr>
        <w:t>Palmitate</w:t>
      </w:r>
      <w:proofErr w:type="spellEnd"/>
      <w:r w:rsidRPr="007D66D9">
        <w:rPr>
          <w:lang w:eastAsia="en-AU"/>
        </w:rPr>
        <w:t xml:space="preserve"> is the apparent volume of distribution for subjects with paliperidone palmitate in plasma, IVOL is the injection volume, INJS is the injection site, ka</w:t>
      </w:r>
      <w:r w:rsidRPr="007D66D9">
        <w:rPr>
          <w:vertAlign w:val="subscript"/>
          <w:lang w:eastAsia="en-AU"/>
        </w:rPr>
        <w:t xml:space="preserve">1 max </w:t>
      </w:r>
      <w:r w:rsidRPr="007D66D9">
        <w:rPr>
          <w:lang w:eastAsia="en-AU"/>
        </w:rPr>
        <w:t>is the maximum absorption rate for the slow absorption process, k</w:t>
      </w:r>
      <w:r w:rsidRPr="007D66D9">
        <w:rPr>
          <w:vertAlign w:val="subscript"/>
          <w:lang w:eastAsia="en-AU"/>
        </w:rPr>
        <w:t xml:space="preserve">amt1 50 </w:t>
      </w:r>
      <w:r w:rsidRPr="007D66D9">
        <w:rPr>
          <w:lang w:eastAsia="en-AU"/>
        </w:rPr>
        <w:t>is the amount of paliperidone at the absorption site when half of the maximum absorption rate is achieved for the slow absorption process, k</w:t>
      </w:r>
      <w:r w:rsidRPr="007D66D9">
        <w:rPr>
          <w:vertAlign w:val="subscript"/>
          <w:lang w:eastAsia="en-AU"/>
        </w:rPr>
        <w:t xml:space="preserve">a3 max </w:t>
      </w:r>
      <w:r w:rsidRPr="007D66D9">
        <w:rPr>
          <w:lang w:eastAsia="en-AU"/>
        </w:rPr>
        <w:t xml:space="preserve">is the </w:t>
      </w:r>
      <w:r w:rsidRPr="00B14DF1">
        <w:t>maximum</w:t>
      </w:r>
      <w:r w:rsidRPr="007D66D9">
        <w:rPr>
          <w:lang w:eastAsia="en-AU"/>
        </w:rPr>
        <w:t xml:space="preserve"> absorption rate for the rapid absorption process, k</w:t>
      </w:r>
      <w:r w:rsidRPr="007D66D9">
        <w:rPr>
          <w:vertAlign w:val="subscript"/>
          <w:lang w:eastAsia="en-AU"/>
        </w:rPr>
        <w:t xml:space="preserve">amt3 50 </w:t>
      </w:r>
      <w:r w:rsidRPr="007D66D9">
        <w:rPr>
          <w:lang w:eastAsia="en-AU"/>
        </w:rPr>
        <w:t>is the amount of paliperidone at the absorption site when half of the maximum absorption rate is achieved for the rapid absorption process, F</w:t>
      </w:r>
      <w:r w:rsidRPr="007D66D9">
        <w:rPr>
          <w:vertAlign w:val="subscript"/>
          <w:lang w:eastAsia="en-AU"/>
        </w:rPr>
        <w:t>3</w:t>
      </w:r>
      <w:r w:rsidRPr="007D66D9">
        <w:rPr>
          <w:lang w:eastAsia="en-AU"/>
        </w:rPr>
        <w:t xml:space="preserve"> is the fraction of the dose enteri</w:t>
      </w:r>
      <w:r w:rsidR="003673F6">
        <w:rPr>
          <w:lang w:eastAsia="en-AU"/>
        </w:rPr>
        <w:t>ng</w:t>
      </w:r>
      <w:r w:rsidRPr="007D66D9">
        <w:rPr>
          <w:lang w:eastAsia="en-AU"/>
        </w:rPr>
        <w:t xml:space="preserve"> the systemic circulation via a rapid and saturable absorption process after administration of PP3M, and γ is the hill factor. The denominator is the median covariate in the analysis data set. For simplicity the subscripts j (denoti</w:t>
      </w:r>
      <w:r w:rsidR="003673F6">
        <w:rPr>
          <w:lang w:eastAsia="en-AU"/>
        </w:rPr>
        <w:t>ng</w:t>
      </w:r>
      <w:r w:rsidRPr="007D66D9">
        <w:rPr>
          <w:lang w:eastAsia="en-AU"/>
        </w:rPr>
        <w:t xml:space="preserve"> individuals) have been suppressed. </w:t>
      </w:r>
      <w:proofErr w:type="spellStart"/>
      <w:proofErr w:type="gramStart"/>
      <w:r w:rsidR="00F634A2">
        <w:rPr>
          <w:lang w:eastAsia="en-AU"/>
        </w:rPr>
        <w:t>η</w:t>
      </w:r>
      <w:r w:rsidRPr="007D66D9">
        <w:rPr>
          <w:vertAlign w:val="subscript"/>
          <w:lang w:eastAsia="en-AU"/>
        </w:rPr>
        <w:t>x</w:t>
      </w:r>
      <w:proofErr w:type="spellEnd"/>
      <w:proofErr w:type="gramEnd"/>
      <w:r w:rsidRPr="007D66D9">
        <w:rPr>
          <w:lang w:eastAsia="en-AU"/>
        </w:rPr>
        <w:t xml:space="preserve"> is a zero mean individual specific random variable with standard deviation </w:t>
      </w:r>
      <w:proofErr w:type="spellStart"/>
      <w:r w:rsidR="00F634A2">
        <w:rPr>
          <w:lang w:eastAsia="en-AU"/>
        </w:rPr>
        <w:t>ω</w:t>
      </w:r>
      <w:r w:rsidRPr="007D66D9">
        <w:rPr>
          <w:vertAlign w:val="subscript"/>
          <w:lang w:eastAsia="en-AU"/>
        </w:rPr>
        <w:t>x</w:t>
      </w:r>
      <w:proofErr w:type="spellEnd"/>
      <w:r w:rsidRPr="007D66D9">
        <w:rPr>
          <w:lang w:eastAsia="en-AU"/>
        </w:rPr>
        <w:t xml:space="preserve"> associated with parameter x.</w:t>
      </w:r>
    </w:p>
    <w:p w14:paraId="52AF9038" w14:textId="77777777" w:rsidR="007D66D9" w:rsidRPr="007D66D9" w:rsidRDefault="007D66D9" w:rsidP="00486049">
      <w:pPr>
        <w:pStyle w:val="Heading5"/>
        <w:rPr>
          <w:lang w:eastAsia="en-AU"/>
        </w:rPr>
      </w:pPr>
      <w:bookmarkStart w:id="96" w:name="_Toc453054878"/>
      <w:r w:rsidRPr="007D66D9">
        <w:rPr>
          <w:lang w:eastAsia="en-AU"/>
        </w:rPr>
        <w:t xml:space="preserve">Evaluation of </w:t>
      </w:r>
      <w:r w:rsidR="004401CD" w:rsidRPr="007D66D9">
        <w:rPr>
          <w:lang w:eastAsia="en-AU"/>
        </w:rPr>
        <w:t>the final model</w:t>
      </w:r>
      <w:bookmarkEnd w:id="96"/>
    </w:p>
    <w:p w14:paraId="343C8D82" w14:textId="77777777" w:rsidR="007D66D9" w:rsidRPr="007D66D9" w:rsidRDefault="007D66D9" w:rsidP="007D66D9">
      <w:pPr>
        <w:pStyle w:val="Comment"/>
        <w:rPr>
          <w:lang w:eastAsia="en-AU"/>
        </w:rPr>
      </w:pPr>
      <w:r w:rsidRPr="007D66D9">
        <w:rPr>
          <w:rFonts w:eastAsia="Times New Roman"/>
          <w:b/>
          <w:kern w:val="16"/>
          <w:lang w:val="en" w:eastAsia="en-AU"/>
        </w:rPr>
        <w:t>Comment:</w:t>
      </w:r>
      <w:r w:rsidRPr="007D66D9">
        <w:rPr>
          <w:rFonts w:eastAsia="Times New Roman"/>
          <w:kern w:val="16"/>
          <w:lang w:val="en" w:eastAsia="en-AU"/>
        </w:rPr>
        <w:t xml:space="preserve"> </w:t>
      </w:r>
      <w:r w:rsidRPr="004401CD">
        <w:t xml:space="preserve">The previous model had a </w:t>
      </w:r>
      <w:r w:rsidR="00070306" w:rsidRPr="004401CD">
        <w:t xml:space="preserve">residual variability </w:t>
      </w:r>
      <w:r w:rsidRPr="004401CD">
        <w:t>SD of 0.24 (CV 8%),</w:t>
      </w:r>
      <w:r w:rsidRPr="004401CD">
        <w:rPr>
          <w:vertAlign w:val="superscript"/>
        </w:rPr>
        <w:footnoteReference w:id="8"/>
      </w:r>
      <w:r w:rsidRPr="004401CD">
        <w:rPr>
          <w:vertAlign w:val="superscript"/>
        </w:rPr>
        <w:t xml:space="preserve"> </w:t>
      </w:r>
      <w:r w:rsidRPr="004401CD">
        <w:t>this result was reported in this submission</w:t>
      </w:r>
      <w:r w:rsidRPr="004401CD">
        <w:rPr>
          <w:vertAlign w:val="superscript"/>
        </w:rPr>
        <w:footnoteReference w:id="9"/>
      </w:r>
      <w:r w:rsidRPr="004401CD">
        <w:t xml:space="preserve"> as a residual error CV of 0.222%. the final model in this </w:t>
      </w:r>
      <w:r w:rsidRPr="00070306">
        <w:t>submission</w:t>
      </w:r>
      <w:r w:rsidRPr="00070306">
        <w:rPr>
          <w:vertAlign w:val="superscript"/>
        </w:rPr>
        <w:footnoteReference w:id="10"/>
      </w:r>
      <w:r w:rsidRPr="00070306">
        <w:t xml:space="preserve"> had</w:t>
      </w:r>
      <w:r w:rsidRPr="004401CD">
        <w:t xml:space="preserve"> a </w:t>
      </w:r>
      <w:r w:rsidR="00070306">
        <w:t>r</w:t>
      </w:r>
      <w:r w:rsidRPr="004401CD">
        <w:t>esidual error coefficient of variation of 0.306.</w:t>
      </w:r>
    </w:p>
    <w:p w14:paraId="120D93EA" w14:textId="77777777" w:rsidR="007D66D9" w:rsidRPr="0061357C" w:rsidRDefault="007D66D9" w:rsidP="0061357C">
      <w:pPr>
        <w:pStyle w:val="FigureTitle"/>
        <w:keepNext/>
      </w:pPr>
      <w:bookmarkStart w:id="97" w:name="_Toc453055053"/>
      <w:r w:rsidRPr="00070306">
        <w:lastRenderedPageBreak/>
        <w:t xml:space="preserve">Figure </w:t>
      </w:r>
      <w:r w:rsidR="00070306" w:rsidRPr="00070306">
        <w:t>1</w:t>
      </w:r>
      <w:r w:rsidR="00070306">
        <w:t>2:</w:t>
      </w:r>
      <w:r w:rsidRPr="0061357C">
        <w:t xml:space="preserve"> Prediction corrected visual predictive check of the final model, stratified by study</w:t>
      </w:r>
      <w:bookmarkEnd w:id="97"/>
    </w:p>
    <w:p w14:paraId="2DF029C3" w14:textId="77777777" w:rsidR="007D66D9" w:rsidRPr="007D66D9" w:rsidRDefault="007D66D9" w:rsidP="00B14DF1">
      <w:pPr>
        <w:rPr>
          <w:lang w:eastAsia="en-AU"/>
        </w:rPr>
      </w:pPr>
      <w:r w:rsidRPr="007D66D9">
        <w:rPr>
          <w:noProof/>
          <w:lang w:eastAsia="en-AU"/>
        </w:rPr>
        <w:drawing>
          <wp:inline distT="0" distB="0" distL="0" distR="0" wp14:anchorId="1A0108C8" wp14:editId="34BAB03B">
            <wp:extent cx="5449824" cy="2622338"/>
            <wp:effectExtent l="0" t="0" r="0" b="6985"/>
            <wp:docPr id="29" name="Picture 29" descr="Figure 12: Prediction corrected visual predictive check of the final model, stratified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53090" cy="2623910"/>
                    </a:xfrm>
                    <a:prstGeom prst="rect">
                      <a:avLst/>
                    </a:prstGeom>
                  </pic:spPr>
                </pic:pic>
              </a:graphicData>
            </a:graphic>
          </wp:inline>
        </w:drawing>
      </w:r>
    </w:p>
    <w:p w14:paraId="717EE8B1" w14:textId="77777777" w:rsidR="007D66D9" w:rsidRPr="007D66D9" w:rsidRDefault="007D66D9" w:rsidP="00B14DF1">
      <w:pPr>
        <w:pStyle w:val="TableDescription"/>
        <w:rPr>
          <w:lang w:eastAsia="en-AU"/>
        </w:rPr>
      </w:pPr>
      <w:r w:rsidRPr="007D66D9">
        <w:rPr>
          <w:lang w:eastAsia="en-AU"/>
        </w:rPr>
        <w:t xml:space="preserve">The solid and dashed lines </w:t>
      </w:r>
      <w:r w:rsidRPr="00B14DF1">
        <w:t>represent</w:t>
      </w:r>
      <w:r w:rsidRPr="007D66D9">
        <w:rPr>
          <w:lang w:eastAsia="en-AU"/>
        </w:rPr>
        <w:t xml:space="preserve"> the median and 5</w:t>
      </w:r>
      <w:r w:rsidRPr="007D66D9">
        <w:rPr>
          <w:vertAlign w:val="superscript"/>
          <w:lang w:eastAsia="en-AU"/>
        </w:rPr>
        <w:t>th</w:t>
      </w:r>
      <w:r w:rsidRPr="007D66D9">
        <w:rPr>
          <w:lang w:eastAsia="en-AU"/>
        </w:rPr>
        <w:t xml:space="preserve"> and 95</w:t>
      </w:r>
      <w:r w:rsidRPr="007D66D9">
        <w:rPr>
          <w:vertAlign w:val="superscript"/>
          <w:lang w:eastAsia="en-AU"/>
        </w:rPr>
        <w:t>th</w:t>
      </w:r>
      <w:r w:rsidRPr="007D66D9">
        <w:rPr>
          <w:lang w:eastAsia="en-AU"/>
        </w:rPr>
        <w:t xml:space="preserve"> percentiles of the observations; the shaded red and blue areas represent the 95% CI of the median and 5</w:t>
      </w:r>
      <w:r w:rsidRPr="007D66D9">
        <w:rPr>
          <w:vertAlign w:val="superscript"/>
          <w:lang w:eastAsia="en-AU"/>
        </w:rPr>
        <w:t>th</w:t>
      </w:r>
      <w:r w:rsidRPr="007D66D9">
        <w:rPr>
          <w:lang w:eastAsia="en-AU"/>
        </w:rPr>
        <w:t xml:space="preserve"> and 95</w:t>
      </w:r>
      <w:r w:rsidRPr="007D66D9">
        <w:rPr>
          <w:vertAlign w:val="superscript"/>
          <w:lang w:eastAsia="en-AU"/>
        </w:rPr>
        <w:t>th</w:t>
      </w:r>
      <w:r w:rsidRPr="007D66D9">
        <w:rPr>
          <w:lang w:eastAsia="en-AU"/>
        </w:rPr>
        <w:t xml:space="preserve"> percen</w:t>
      </w:r>
      <w:r w:rsidR="0061357C">
        <w:rPr>
          <w:lang w:eastAsia="en-AU"/>
        </w:rPr>
        <w:t>tiles predicted by the model.</w:t>
      </w:r>
    </w:p>
    <w:p w14:paraId="2CB1B9C0" w14:textId="77777777" w:rsidR="004A676D" w:rsidRDefault="007D66D9" w:rsidP="0061357C">
      <w:pPr>
        <w:pStyle w:val="FigureTitle"/>
        <w:keepNext/>
        <w:rPr>
          <w:lang w:eastAsia="en-AU"/>
        </w:rPr>
      </w:pPr>
      <w:bookmarkStart w:id="98" w:name="_Toc453055054"/>
      <w:r w:rsidRPr="00070306">
        <w:rPr>
          <w:lang w:eastAsia="en-AU"/>
        </w:rPr>
        <w:t xml:space="preserve">Figure </w:t>
      </w:r>
      <w:r w:rsidR="00070306" w:rsidRPr="00070306">
        <w:rPr>
          <w:lang w:eastAsia="en-AU"/>
        </w:rPr>
        <w:t>1</w:t>
      </w:r>
      <w:r w:rsidR="00070306">
        <w:rPr>
          <w:lang w:eastAsia="en-AU"/>
        </w:rPr>
        <w:t>3:</w:t>
      </w:r>
      <w:r w:rsidRPr="007D66D9">
        <w:rPr>
          <w:lang w:eastAsia="en-AU"/>
        </w:rPr>
        <w:t xml:space="preserve"> Visual predictive check of the final model, stratified by dose in Study 1005</w:t>
      </w:r>
      <w:bookmarkEnd w:id="98"/>
    </w:p>
    <w:p w14:paraId="392FC082" w14:textId="77777777" w:rsidR="007D66D9" w:rsidRPr="007D66D9" w:rsidRDefault="007D66D9" w:rsidP="00B14DF1">
      <w:pPr>
        <w:rPr>
          <w:lang w:eastAsia="en-AU"/>
        </w:rPr>
      </w:pPr>
      <w:r w:rsidRPr="007D66D9">
        <w:rPr>
          <w:noProof/>
          <w:lang w:eastAsia="en-AU"/>
        </w:rPr>
        <w:drawing>
          <wp:inline distT="0" distB="0" distL="0" distR="0" wp14:anchorId="79079D86" wp14:editId="672EF9D7">
            <wp:extent cx="5661965" cy="3123154"/>
            <wp:effectExtent l="0" t="0" r="0" b="1270"/>
            <wp:docPr id="30" name="Picture 30" descr="Figure 13: Visual predictive check of the final model, stratified by dose in Study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4273" cy="3124427"/>
                    </a:xfrm>
                    <a:prstGeom prst="rect">
                      <a:avLst/>
                    </a:prstGeom>
                  </pic:spPr>
                </pic:pic>
              </a:graphicData>
            </a:graphic>
          </wp:inline>
        </w:drawing>
      </w:r>
    </w:p>
    <w:p w14:paraId="77F9192F" w14:textId="77777777" w:rsidR="007D66D9" w:rsidRPr="007D66D9" w:rsidRDefault="007D66D9" w:rsidP="00B14DF1">
      <w:pPr>
        <w:pStyle w:val="TableDescription"/>
        <w:rPr>
          <w:lang w:eastAsia="en-AU"/>
        </w:rPr>
      </w:pPr>
      <w:r w:rsidRPr="007D66D9">
        <w:rPr>
          <w:lang w:eastAsia="en-AU"/>
        </w:rPr>
        <w:t xml:space="preserve">The solid </w:t>
      </w:r>
      <w:r w:rsidRPr="00B14DF1">
        <w:t>and</w:t>
      </w:r>
      <w:r w:rsidRPr="007D66D9">
        <w:rPr>
          <w:lang w:eastAsia="en-AU"/>
        </w:rPr>
        <w:t xml:space="preserve"> dashed lines represent the median and 5</w:t>
      </w:r>
      <w:r w:rsidRPr="007D66D9">
        <w:rPr>
          <w:vertAlign w:val="superscript"/>
          <w:lang w:eastAsia="en-AU"/>
        </w:rPr>
        <w:t>th</w:t>
      </w:r>
      <w:r w:rsidRPr="007D66D9">
        <w:rPr>
          <w:lang w:eastAsia="en-AU"/>
        </w:rPr>
        <w:t xml:space="preserve"> and 95</w:t>
      </w:r>
      <w:r w:rsidRPr="007D66D9">
        <w:rPr>
          <w:vertAlign w:val="superscript"/>
          <w:lang w:eastAsia="en-AU"/>
        </w:rPr>
        <w:t>th</w:t>
      </w:r>
      <w:r w:rsidRPr="007D66D9">
        <w:rPr>
          <w:lang w:eastAsia="en-AU"/>
        </w:rPr>
        <w:t xml:space="preserve"> percentiles of the observations; the shaded red and blue areas represent the 95% CI of the median and 5</w:t>
      </w:r>
      <w:r w:rsidRPr="007D66D9">
        <w:rPr>
          <w:vertAlign w:val="superscript"/>
          <w:lang w:eastAsia="en-AU"/>
        </w:rPr>
        <w:t>th</w:t>
      </w:r>
      <w:r w:rsidRPr="007D66D9">
        <w:rPr>
          <w:lang w:eastAsia="en-AU"/>
        </w:rPr>
        <w:t xml:space="preserve"> and 95</w:t>
      </w:r>
      <w:r w:rsidRPr="007D66D9">
        <w:rPr>
          <w:vertAlign w:val="superscript"/>
          <w:lang w:eastAsia="en-AU"/>
        </w:rPr>
        <w:t>th</w:t>
      </w:r>
      <w:r w:rsidRPr="007D66D9">
        <w:rPr>
          <w:lang w:eastAsia="en-AU"/>
        </w:rPr>
        <w:t xml:space="preserve"> percen</w:t>
      </w:r>
      <w:r w:rsidR="0061357C">
        <w:rPr>
          <w:lang w:eastAsia="en-AU"/>
        </w:rPr>
        <w:t>tiles predicted by the model.</w:t>
      </w:r>
    </w:p>
    <w:p w14:paraId="2A4817BD" w14:textId="77777777" w:rsidR="007D66D9" w:rsidRPr="0061357C" w:rsidRDefault="007D66D9" w:rsidP="0061357C">
      <w:pPr>
        <w:pStyle w:val="FigureTitle"/>
        <w:keepNext/>
      </w:pPr>
      <w:bookmarkStart w:id="99" w:name="_Toc453055055"/>
      <w:r w:rsidRPr="00070306">
        <w:lastRenderedPageBreak/>
        <w:t xml:space="preserve">Figure </w:t>
      </w:r>
      <w:r w:rsidR="00070306" w:rsidRPr="00070306">
        <w:t>14:</w:t>
      </w:r>
      <w:r w:rsidRPr="00070306">
        <w:t xml:space="preserve"> Visual predictive check of the final model, stratified by dose and by the randomization arm in the </w:t>
      </w:r>
      <w:r w:rsidR="00E60DFA" w:rsidRPr="00070306">
        <w:t>double blind</w:t>
      </w:r>
      <w:r w:rsidRPr="00070306">
        <w:t xml:space="preserve"> phase in Study 3012</w:t>
      </w:r>
      <w:bookmarkEnd w:id="99"/>
    </w:p>
    <w:p w14:paraId="2AC36449" w14:textId="77777777" w:rsidR="007D66D9" w:rsidRPr="007D66D9" w:rsidRDefault="007D66D9" w:rsidP="00B14DF1">
      <w:pPr>
        <w:rPr>
          <w:lang w:eastAsia="en-AU"/>
        </w:rPr>
      </w:pPr>
      <w:r w:rsidRPr="007D66D9">
        <w:rPr>
          <w:noProof/>
          <w:lang w:eastAsia="en-AU"/>
        </w:rPr>
        <w:drawing>
          <wp:inline distT="0" distB="0" distL="0" distR="0" wp14:anchorId="265C2C4E" wp14:editId="391C67D4">
            <wp:extent cx="5436000" cy="3907730"/>
            <wp:effectExtent l="0" t="0" r="0" b="0"/>
            <wp:docPr id="31" name="Picture 31" descr="Figure 14: Visual predictive check of the final model, stratified by dose and by the randomization arm in the double blind phase in Study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36000" cy="3907730"/>
                    </a:xfrm>
                    <a:prstGeom prst="rect">
                      <a:avLst/>
                    </a:prstGeom>
                  </pic:spPr>
                </pic:pic>
              </a:graphicData>
            </a:graphic>
          </wp:inline>
        </w:drawing>
      </w:r>
    </w:p>
    <w:p w14:paraId="24EB07F5" w14:textId="77777777" w:rsidR="00486049" w:rsidRDefault="007D66D9" w:rsidP="00B14DF1">
      <w:pPr>
        <w:pStyle w:val="TableDescription"/>
        <w:rPr>
          <w:lang w:eastAsia="en-AU"/>
        </w:rPr>
      </w:pPr>
      <w:r w:rsidRPr="007D66D9">
        <w:rPr>
          <w:lang w:eastAsia="en-AU"/>
        </w:rPr>
        <w:t>The solid and dashed lines represent the median and 5</w:t>
      </w:r>
      <w:r w:rsidRPr="007D66D9">
        <w:rPr>
          <w:vertAlign w:val="superscript"/>
          <w:lang w:eastAsia="en-AU"/>
        </w:rPr>
        <w:t>th</w:t>
      </w:r>
      <w:r w:rsidRPr="007D66D9">
        <w:rPr>
          <w:lang w:eastAsia="en-AU"/>
        </w:rPr>
        <w:t xml:space="preserve"> and 95</w:t>
      </w:r>
      <w:r w:rsidRPr="007D66D9">
        <w:rPr>
          <w:vertAlign w:val="superscript"/>
          <w:lang w:eastAsia="en-AU"/>
        </w:rPr>
        <w:t>th</w:t>
      </w:r>
      <w:r w:rsidRPr="007D66D9">
        <w:rPr>
          <w:lang w:eastAsia="en-AU"/>
        </w:rPr>
        <w:t xml:space="preserve"> percentiles of the observations; the shaded red and blue areas represent the 95% CI of the median and 5</w:t>
      </w:r>
      <w:r w:rsidRPr="007D66D9">
        <w:rPr>
          <w:vertAlign w:val="superscript"/>
          <w:lang w:eastAsia="en-AU"/>
        </w:rPr>
        <w:t>th</w:t>
      </w:r>
      <w:r w:rsidRPr="007D66D9">
        <w:rPr>
          <w:lang w:eastAsia="en-AU"/>
        </w:rPr>
        <w:t xml:space="preserve"> and 95</w:t>
      </w:r>
      <w:r w:rsidRPr="007D66D9">
        <w:rPr>
          <w:vertAlign w:val="superscript"/>
          <w:lang w:eastAsia="en-AU"/>
        </w:rPr>
        <w:t>th</w:t>
      </w:r>
      <w:r w:rsidRPr="007D66D9">
        <w:rPr>
          <w:lang w:eastAsia="en-AU"/>
        </w:rPr>
        <w:t xml:space="preserve"> percen</w:t>
      </w:r>
      <w:r w:rsidR="0061357C">
        <w:rPr>
          <w:lang w:eastAsia="en-AU"/>
        </w:rPr>
        <w:t>tiles predicted by the model.</w:t>
      </w:r>
      <w:r w:rsidR="004401CD">
        <w:rPr>
          <w:lang w:eastAsia="en-AU"/>
        </w:rPr>
        <w:t xml:space="preserve"> </w:t>
      </w:r>
      <w:r w:rsidRPr="007D66D9">
        <w:rPr>
          <w:lang w:eastAsia="en-AU"/>
        </w:rPr>
        <w:t xml:space="preserve">Note: The </w:t>
      </w:r>
      <w:r w:rsidR="0058163A">
        <w:rPr>
          <w:lang w:eastAsia="en-AU"/>
        </w:rPr>
        <w:t>175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dose group is not shown since there were too few PK samples and too few subjects in this dose group. The 263</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dose group is shown despite havi</w:t>
      </w:r>
      <w:r w:rsidR="003673F6">
        <w:rPr>
          <w:lang w:eastAsia="en-AU"/>
        </w:rPr>
        <w:t>ng</w:t>
      </w:r>
      <w:r w:rsidRPr="007D66D9">
        <w:rPr>
          <w:lang w:eastAsia="en-AU"/>
        </w:rPr>
        <w:t xml:space="preserve"> fewer subjects than the other doses, causi</w:t>
      </w:r>
      <w:r w:rsidR="003673F6">
        <w:rPr>
          <w:lang w:eastAsia="en-AU"/>
        </w:rPr>
        <w:t>ng</w:t>
      </w:r>
      <w:r w:rsidRPr="007D66D9">
        <w:rPr>
          <w:lang w:eastAsia="en-AU"/>
        </w:rPr>
        <w:t xml:space="preserve"> the CIs to overlap. The dashed line (5</w:t>
      </w:r>
      <w:r w:rsidRPr="007D66D9">
        <w:rPr>
          <w:vertAlign w:val="superscript"/>
          <w:lang w:eastAsia="en-AU"/>
        </w:rPr>
        <w:t>th</w:t>
      </w:r>
      <w:r w:rsidRPr="007D66D9">
        <w:rPr>
          <w:lang w:eastAsia="en-AU"/>
        </w:rPr>
        <w:t xml:space="preserve"> percentile) at the bottom of the Right Panel breaks because the observed 5</w:t>
      </w:r>
      <w:r w:rsidRPr="007D66D9">
        <w:rPr>
          <w:vertAlign w:val="superscript"/>
          <w:lang w:eastAsia="en-AU"/>
        </w:rPr>
        <w:t>th</w:t>
      </w:r>
      <w:r w:rsidR="004401CD">
        <w:rPr>
          <w:lang w:eastAsia="en-AU"/>
        </w:rPr>
        <w:t xml:space="preserve"> percentile is below LOQ.</w:t>
      </w:r>
    </w:p>
    <w:p w14:paraId="679D07C3" w14:textId="77777777" w:rsidR="007D66D9" w:rsidRPr="00486049" w:rsidRDefault="007D66D9" w:rsidP="00486049">
      <w:pPr>
        <w:pStyle w:val="Comment"/>
        <w:rPr>
          <w:lang w:eastAsia="en-AU"/>
        </w:rPr>
      </w:pPr>
      <w:r w:rsidRPr="007D66D9">
        <w:rPr>
          <w:rFonts w:eastAsia="Times New Roman"/>
          <w:b/>
          <w:kern w:val="16"/>
          <w:lang w:eastAsia="en-AU"/>
        </w:rPr>
        <w:t>Comment:</w:t>
      </w:r>
      <w:r w:rsidRPr="007D66D9">
        <w:rPr>
          <w:rFonts w:eastAsia="Times New Roman"/>
          <w:kern w:val="16"/>
          <w:lang w:eastAsia="en-AU"/>
        </w:rPr>
        <w:t xml:space="preserve"> The sponsor cautioned: </w:t>
      </w:r>
      <w:r w:rsidRPr="00785F6E">
        <w:rPr>
          <w:rFonts w:eastAsia="Times New Roman" w:cs="Arial"/>
          <w:i/>
          <w:kern w:val="16"/>
          <w:lang w:eastAsia="en-AU"/>
        </w:rPr>
        <w:t>The analysis data set contained 1 subject with a CRCL between ≥ 30 and &lt; 50</w:t>
      </w:r>
      <w:r w:rsidR="004A676D" w:rsidRPr="00785F6E">
        <w:rPr>
          <w:rFonts w:eastAsia="Times New Roman" w:cs="Arial"/>
          <w:i/>
          <w:kern w:val="16"/>
          <w:lang w:eastAsia="en-AU"/>
        </w:rPr>
        <w:t xml:space="preserve"> mL</w:t>
      </w:r>
      <w:r w:rsidRPr="00785F6E">
        <w:rPr>
          <w:rFonts w:eastAsia="Times New Roman" w:cs="Arial"/>
          <w:i/>
          <w:kern w:val="16"/>
          <w:lang w:eastAsia="en-AU"/>
        </w:rPr>
        <w:t>/min, and 54 subjects with a CRCL between ≥50 and &lt;80</w:t>
      </w:r>
      <w:r w:rsidR="004A676D" w:rsidRPr="00785F6E">
        <w:rPr>
          <w:rFonts w:eastAsia="Times New Roman" w:cs="Arial"/>
          <w:i/>
          <w:kern w:val="16"/>
          <w:lang w:eastAsia="en-AU"/>
        </w:rPr>
        <w:t xml:space="preserve"> mL</w:t>
      </w:r>
      <w:r w:rsidRPr="00785F6E">
        <w:rPr>
          <w:rFonts w:eastAsia="Times New Roman" w:cs="Arial"/>
          <w:i/>
          <w:kern w:val="16"/>
          <w:lang w:eastAsia="en-AU"/>
        </w:rPr>
        <w:t>/min. The BMI ra</w:t>
      </w:r>
      <w:r w:rsidR="003673F6">
        <w:rPr>
          <w:rFonts w:eastAsia="Times New Roman" w:cs="Arial"/>
          <w:i/>
          <w:kern w:val="16"/>
          <w:lang w:eastAsia="en-AU"/>
        </w:rPr>
        <w:t>ng</w:t>
      </w:r>
      <w:r w:rsidRPr="00785F6E">
        <w:rPr>
          <w:rFonts w:eastAsia="Times New Roman" w:cs="Arial"/>
          <w:i/>
          <w:kern w:val="16"/>
          <w:lang w:eastAsia="en-AU"/>
        </w:rPr>
        <w:t>ed from 17.1 to 39.8</w:t>
      </w:r>
      <w:r w:rsidR="00EA7B92">
        <w:rPr>
          <w:rFonts w:eastAsia="Times New Roman" w:cs="Arial"/>
          <w:i/>
          <w:kern w:val="16"/>
          <w:lang w:eastAsia="en-AU"/>
        </w:rPr>
        <w:t xml:space="preserve"> kg</w:t>
      </w:r>
      <w:r w:rsidRPr="00785F6E">
        <w:rPr>
          <w:rFonts w:eastAsia="Times New Roman" w:cs="Arial"/>
          <w:i/>
          <w:kern w:val="16"/>
          <w:lang w:eastAsia="en-AU"/>
        </w:rPr>
        <w:t>/m</w:t>
      </w:r>
      <w:r w:rsidRPr="00785F6E">
        <w:rPr>
          <w:rFonts w:eastAsia="Times New Roman" w:cs="Arial"/>
          <w:i/>
          <w:kern w:val="16"/>
          <w:vertAlign w:val="superscript"/>
          <w:lang w:eastAsia="en-AU"/>
        </w:rPr>
        <w:t>2</w:t>
      </w:r>
      <w:r w:rsidRPr="00785F6E">
        <w:rPr>
          <w:rFonts w:eastAsia="Times New Roman" w:cs="Arial"/>
          <w:i/>
          <w:kern w:val="16"/>
          <w:lang w:eastAsia="en-AU"/>
        </w:rPr>
        <w:t xml:space="preserve"> and the age ra</w:t>
      </w:r>
      <w:r w:rsidR="003673F6">
        <w:rPr>
          <w:rFonts w:eastAsia="Times New Roman" w:cs="Arial"/>
          <w:i/>
          <w:kern w:val="16"/>
          <w:lang w:eastAsia="en-AU"/>
        </w:rPr>
        <w:t>ng</w:t>
      </w:r>
      <w:r w:rsidRPr="00785F6E">
        <w:rPr>
          <w:rFonts w:eastAsia="Times New Roman" w:cs="Arial"/>
          <w:i/>
          <w:kern w:val="16"/>
          <w:lang w:eastAsia="en-AU"/>
        </w:rPr>
        <w:t>ed from 18 to 67 years. Extrapolation of the model outside these boundaries must be done with caution.</w:t>
      </w:r>
    </w:p>
    <w:p w14:paraId="0E3FA1CE" w14:textId="77777777" w:rsidR="007D66D9" w:rsidRPr="007D66D9" w:rsidRDefault="007D66D9" w:rsidP="00486049">
      <w:pPr>
        <w:pStyle w:val="Heading5"/>
        <w:rPr>
          <w:lang w:eastAsia="en-AU"/>
        </w:rPr>
      </w:pPr>
      <w:bookmarkStart w:id="100" w:name="_Toc453054879"/>
      <w:r w:rsidRPr="007D66D9">
        <w:rPr>
          <w:lang w:eastAsia="en-AU"/>
        </w:rPr>
        <w:t>Simulations of proposed recommended initiation and maintenance regimens</w:t>
      </w:r>
      <w:bookmarkEnd w:id="100"/>
    </w:p>
    <w:p w14:paraId="3A2F06C5" w14:textId="77777777" w:rsidR="007D66D9" w:rsidRPr="007D66D9" w:rsidRDefault="007D66D9" w:rsidP="00785F6E">
      <w:pPr>
        <w:rPr>
          <w:lang w:eastAsia="en-AU"/>
        </w:rPr>
      </w:pPr>
      <w:r w:rsidRPr="007D66D9">
        <w:rPr>
          <w:lang w:eastAsia="en-AU"/>
        </w:rPr>
        <w:t>For this the sponsor used a simulation where treatment was initiated with a Invega Sustenna deltoid injection of 150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on treatment Day 1, a second Invega Sustenna deltoid injection of 100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on Day 8, followed by Invega Sustenna deltoid or gluteal injections at Weeks 5, 9 and 13. The maintenance treatment commenced at Week 17 with deltoid or gluteal Invega Sustenna or Invega Trinza injections every 4 or 12 weeks until Week 65.</w:t>
      </w:r>
    </w:p>
    <w:p w14:paraId="3923907A" w14:textId="77777777" w:rsidR="007D66D9" w:rsidRPr="007D66D9" w:rsidRDefault="007D66D9" w:rsidP="00785F6E">
      <w:pPr>
        <w:rPr>
          <w:lang w:eastAsia="en-AU"/>
        </w:rPr>
      </w:pPr>
      <w:r w:rsidRPr="007D66D9">
        <w:rPr>
          <w:lang w:eastAsia="en-AU"/>
        </w:rPr>
        <w:t>Additionally Invega Sustenna injections at Weeks 65, 69 and 73 were simulated to assess whether subjects treated with Invega Trinza could be switched back to Invega Sustenna because of subject-physician preferen</w:t>
      </w:r>
      <w:r w:rsidR="00785F6E">
        <w:rPr>
          <w:lang w:eastAsia="en-AU"/>
        </w:rPr>
        <w:t>ce and/or drug supply shortage.</w:t>
      </w:r>
    </w:p>
    <w:p w14:paraId="246A7B27" w14:textId="77777777" w:rsidR="007D66D9" w:rsidRPr="007D66D9" w:rsidRDefault="007D66D9" w:rsidP="00486049">
      <w:pPr>
        <w:pStyle w:val="Heading5"/>
        <w:rPr>
          <w:lang w:eastAsia="en-AU"/>
        </w:rPr>
      </w:pPr>
      <w:r w:rsidRPr="007D66D9">
        <w:rPr>
          <w:lang w:eastAsia="en-AU"/>
        </w:rPr>
        <w:t xml:space="preserve">Simulation </w:t>
      </w:r>
      <w:proofErr w:type="spellStart"/>
      <w:r w:rsidR="009F467D" w:rsidRPr="009F467D">
        <w:t>C</w:t>
      </w:r>
      <w:r w:rsidR="009F467D" w:rsidRPr="009F467D">
        <w:rPr>
          <w:vertAlign w:val="subscript"/>
        </w:rPr>
        <w:t>max</w:t>
      </w:r>
      <w:proofErr w:type="spellEnd"/>
      <w:r w:rsidRPr="007D66D9">
        <w:rPr>
          <w:lang w:eastAsia="en-AU"/>
        </w:rPr>
        <w:t xml:space="preserve"> after </w:t>
      </w:r>
      <w:proofErr w:type="spellStart"/>
      <w:r w:rsidRPr="007D66D9">
        <w:rPr>
          <w:lang w:eastAsia="en-AU"/>
        </w:rPr>
        <w:t>Invega</w:t>
      </w:r>
      <w:proofErr w:type="spellEnd"/>
      <w:r w:rsidRPr="007D66D9">
        <w:rPr>
          <w:lang w:eastAsia="en-AU"/>
        </w:rPr>
        <w:t xml:space="preserve"> </w:t>
      </w:r>
      <w:proofErr w:type="spellStart"/>
      <w:r w:rsidRPr="007D66D9">
        <w:rPr>
          <w:lang w:eastAsia="en-AU"/>
        </w:rPr>
        <w:t>Trinza</w:t>
      </w:r>
      <w:proofErr w:type="spellEnd"/>
    </w:p>
    <w:p w14:paraId="2403510D" w14:textId="77777777" w:rsidR="007D66D9" w:rsidRPr="00785F6E" w:rsidRDefault="007D66D9" w:rsidP="00785F6E">
      <w:pPr>
        <w:rPr>
          <w:i/>
          <w:lang w:eastAsia="en-AU"/>
        </w:rPr>
      </w:pPr>
      <w:r w:rsidRPr="00785F6E">
        <w:rPr>
          <w:i/>
          <w:lang w:eastAsia="en-AU"/>
        </w:rPr>
        <w:t xml:space="preserve">In total, 3.7% of the subjects had a </w:t>
      </w:r>
      <w:proofErr w:type="spellStart"/>
      <w:r w:rsidR="009F467D" w:rsidRPr="00785F6E">
        <w:rPr>
          <w:i/>
        </w:rPr>
        <w:t>C</w:t>
      </w:r>
      <w:r w:rsidR="009F467D" w:rsidRPr="00785F6E">
        <w:rPr>
          <w:i/>
          <w:vertAlign w:val="subscript"/>
        </w:rPr>
        <w:t>max</w:t>
      </w:r>
      <w:proofErr w:type="spellEnd"/>
      <w:r w:rsidRPr="00785F6E">
        <w:rPr>
          <w:i/>
          <w:lang w:eastAsia="en-AU"/>
        </w:rPr>
        <w:t xml:space="preserve"> </w:t>
      </w:r>
      <w:r w:rsidR="00785F6E" w:rsidRPr="00785F6E">
        <w:rPr>
          <w:i/>
          <w:lang w:eastAsia="en-AU"/>
        </w:rPr>
        <w:t xml:space="preserve">&gt; 125 </w:t>
      </w:r>
      <w:r w:rsidR="003673F6">
        <w:rPr>
          <w:i/>
          <w:lang w:eastAsia="en-AU"/>
        </w:rPr>
        <w:t>ng</w:t>
      </w:r>
      <w:r w:rsidRPr="00785F6E">
        <w:rPr>
          <w:i/>
          <w:lang w:eastAsia="en-AU"/>
        </w:rPr>
        <w:t>/</w:t>
      </w:r>
      <w:r w:rsidR="004A676D" w:rsidRPr="00785F6E">
        <w:rPr>
          <w:i/>
          <w:lang w:eastAsia="en-AU"/>
        </w:rPr>
        <w:t>mL</w:t>
      </w:r>
      <w:r w:rsidRPr="00785F6E">
        <w:rPr>
          <w:i/>
          <w:lang w:eastAsia="en-AU"/>
        </w:rPr>
        <w:t xml:space="preserve"> after the fourth PP3M </w:t>
      </w:r>
      <w:r w:rsidR="0058163A" w:rsidRPr="00785F6E">
        <w:rPr>
          <w:i/>
          <w:lang w:eastAsia="en-AU"/>
        </w:rPr>
        <w:t>525</w:t>
      </w:r>
      <w:r w:rsidR="004A676D" w:rsidRPr="00785F6E">
        <w:rPr>
          <w:i/>
          <w:lang w:eastAsia="en-AU"/>
        </w:rPr>
        <w:t xml:space="preserve"> mg</w:t>
      </w:r>
      <w:r w:rsidRPr="00785F6E">
        <w:rPr>
          <w:i/>
          <w:lang w:eastAsia="en-AU"/>
        </w:rPr>
        <w:t xml:space="preserve"> </w:t>
      </w:r>
      <w:r w:rsidR="00785F6E" w:rsidRPr="00785F6E">
        <w:rPr>
          <w:i/>
          <w:lang w:eastAsia="en-AU"/>
        </w:rPr>
        <w:t>equivalent</w:t>
      </w:r>
      <w:r w:rsidRPr="00785F6E">
        <w:rPr>
          <w:i/>
          <w:lang w:eastAsia="en-AU"/>
        </w:rPr>
        <w:t xml:space="preserve"> deltoid injection and 2.2% of the subjects had a </w:t>
      </w:r>
      <w:proofErr w:type="spellStart"/>
      <w:r w:rsidR="009F467D" w:rsidRPr="00785F6E">
        <w:rPr>
          <w:i/>
        </w:rPr>
        <w:t>C</w:t>
      </w:r>
      <w:r w:rsidR="009F467D" w:rsidRPr="00785F6E">
        <w:rPr>
          <w:i/>
          <w:vertAlign w:val="subscript"/>
        </w:rPr>
        <w:t>max</w:t>
      </w:r>
      <w:proofErr w:type="spellEnd"/>
      <w:r w:rsidRPr="00785F6E">
        <w:rPr>
          <w:i/>
          <w:lang w:eastAsia="en-AU"/>
        </w:rPr>
        <w:t xml:space="preserve"> </w:t>
      </w:r>
      <w:r w:rsidR="00785F6E" w:rsidRPr="00785F6E">
        <w:rPr>
          <w:i/>
          <w:lang w:eastAsia="en-AU"/>
        </w:rPr>
        <w:t xml:space="preserve">&gt; 125 </w:t>
      </w:r>
      <w:r w:rsidR="003673F6">
        <w:rPr>
          <w:i/>
          <w:lang w:eastAsia="en-AU"/>
        </w:rPr>
        <w:t>ng</w:t>
      </w:r>
      <w:r w:rsidR="00607328">
        <w:rPr>
          <w:i/>
          <w:lang w:eastAsia="en-AU"/>
        </w:rPr>
        <w:t>/mL</w:t>
      </w:r>
      <w:r w:rsidRPr="00785F6E">
        <w:rPr>
          <w:i/>
          <w:lang w:eastAsia="en-AU"/>
        </w:rPr>
        <w:t xml:space="preserve"> after the fourth PP3M </w:t>
      </w:r>
      <w:r w:rsidR="0058163A" w:rsidRPr="00785F6E">
        <w:rPr>
          <w:i/>
          <w:lang w:eastAsia="en-AU"/>
        </w:rPr>
        <w:t>525</w:t>
      </w:r>
      <w:r w:rsidR="004A676D" w:rsidRPr="00785F6E">
        <w:rPr>
          <w:i/>
          <w:lang w:eastAsia="en-AU"/>
        </w:rPr>
        <w:t xml:space="preserve"> mg</w:t>
      </w:r>
      <w:r w:rsidRPr="00785F6E">
        <w:rPr>
          <w:i/>
          <w:lang w:eastAsia="en-AU"/>
        </w:rPr>
        <w:t xml:space="preserve"> </w:t>
      </w:r>
      <w:r w:rsidR="00785F6E" w:rsidRPr="00785F6E">
        <w:rPr>
          <w:i/>
          <w:lang w:eastAsia="en-AU"/>
        </w:rPr>
        <w:t>equivalent</w:t>
      </w:r>
      <w:r w:rsidRPr="00785F6E">
        <w:rPr>
          <w:i/>
          <w:lang w:eastAsia="en-AU"/>
        </w:rPr>
        <w:t xml:space="preserve"> gluteal injection.</w:t>
      </w:r>
    </w:p>
    <w:p w14:paraId="2E4916F2" w14:textId="77777777" w:rsidR="007D66D9" w:rsidRPr="007D66D9" w:rsidRDefault="007D66D9" w:rsidP="007D66D9">
      <w:pPr>
        <w:pStyle w:val="Comment"/>
        <w:rPr>
          <w:lang w:eastAsia="en-AU"/>
        </w:rPr>
      </w:pPr>
      <w:r w:rsidRPr="007D66D9">
        <w:rPr>
          <w:rFonts w:eastAsia="Times New Roman"/>
          <w:b/>
          <w:kern w:val="16"/>
          <w:lang w:eastAsia="en-AU"/>
        </w:rPr>
        <w:lastRenderedPageBreak/>
        <w:t>Comment</w:t>
      </w:r>
      <w:r w:rsidRPr="007D66D9">
        <w:rPr>
          <w:rFonts w:eastAsia="Times New Roman"/>
          <w:kern w:val="16"/>
          <w:lang w:eastAsia="en-AU"/>
        </w:rPr>
        <w:t>: The actual</w:t>
      </w:r>
      <w:r w:rsidR="00785F6E">
        <w:rPr>
          <w:rFonts w:eastAsia="Times New Roman"/>
          <w:kern w:val="16"/>
          <w:lang w:eastAsia="en-AU"/>
        </w:rPr>
        <w:t xml:space="preserve"> results from study 1005 were 3 out of </w:t>
      </w:r>
      <w:r w:rsidRPr="007D66D9">
        <w:rPr>
          <w:rFonts w:eastAsia="Times New Roman"/>
          <w:kern w:val="16"/>
          <w:lang w:eastAsia="en-AU"/>
        </w:rPr>
        <w:t>25 (12%) subjects getti</w:t>
      </w:r>
      <w:r w:rsidR="003673F6">
        <w:rPr>
          <w:rFonts w:eastAsia="Times New Roman"/>
          <w:kern w:val="16"/>
          <w:lang w:eastAsia="en-AU"/>
        </w:rPr>
        <w:t>ng</w:t>
      </w:r>
      <w:r w:rsidRPr="007D66D9">
        <w:rPr>
          <w:rFonts w:eastAsia="Times New Roman"/>
          <w:kern w:val="16"/>
          <w:lang w:eastAsia="en-AU"/>
        </w:rPr>
        <w:t xml:space="preserve">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gluteal injections had a </w:t>
      </w:r>
      <w:proofErr w:type="spellStart"/>
      <w:r w:rsidR="009F467D" w:rsidRPr="009F467D">
        <w:t>C</w:t>
      </w:r>
      <w:r w:rsidR="009F467D" w:rsidRPr="009F467D">
        <w:rPr>
          <w:vertAlign w:val="subscript"/>
        </w:rPr>
        <w:t>max</w:t>
      </w:r>
      <w:proofErr w:type="spellEnd"/>
      <w:r w:rsidRPr="007D66D9">
        <w:rPr>
          <w:rFonts w:eastAsia="Times New Roman"/>
          <w:kern w:val="16"/>
          <w:lang w:eastAsia="en-AU"/>
        </w:rPr>
        <w:t xml:space="preserve"> &gt; 125</w:t>
      </w:r>
      <w:r w:rsidR="00932E50">
        <w:rPr>
          <w:rFonts w:eastAsia="Times New Roman"/>
          <w:kern w:val="16"/>
          <w:lang w:eastAsia="en-AU"/>
        </w:rPr>
        <w:t xml:space="preserve"> </w:t>
      </w:r>
      <w:r w:rsidR="003673F6">
        <w:rPr>
          <w:rFonts w:eastAsia="Times New Roman"/>
          <w:kern w:val="16"/>
          <w:lang w:eastAsia="en-AU"/>
        </w:rPr>
        <w:t>ng</w:t>
      </w:r>
      <w:r w:rsidRPr="007D66D9">
        <w:rPr>
          <w:rFonts w:eastAsia="Times New Roman"/>
          <w:kern w:val="16"/>
          <w:lang w:eastAsia="en-AU"/>
        </w:rPr>
        <w:t>/</w:t>
      </w:r>
      <w:r w:rsidR="004A676D">
        <w:rPr>
          <w:rFonts w:eastAsia="Times New Roman"/>
          <w:kern w:val="16"/>
          <w:lang w:eastAsia="en-AU"/>
        </w:rPr>
        <w:t>mL</w:t>
      </w:r>
      <w:r w:rsidRPr="007D66D9">
        <w:rPr>
          <w:rFonts w:eastAsia="Times New Roman"/>
          <w:kern w:val="16"/>
          <w:lang w:eastAsia="en-AU"/>
        </w:rPr>
        <w:t>, while of those getti</w:t>
      </w:r>
      <w:r w:rsidR="003673F6">
        <w:rPr>
          <w:rFonts w:eastAsia="Times New Roman"/>
          <w:kern w:val="16"/>
          <w:lang w:eastAsia="en-AU"/>
        </w:rPr>
        <w:t>ng</w:t>
      </w:r>
      <w:r w:rsidRPr="007D66D9">
        <w:rPr>
          <w:rFonts w:eastAsia="Times New Roman"/>
          <w:kern w:val="16"/>
          <w:lang w:eastAsia="en-AU"/>
        </w:rPr>
        <w:t xml:space="preserve"> the sam</w:t>
      </w:r>
      <w:r w:rsidR="00785F6E">
        <w:rPr>
          <w:rFonts w:eastAsia="Times New Roman"/>
          <w:kern w:val="16"/>
          <w:lang w:eastAsia="en-AU"/>
        </w:rPr>
        <w:t xml:space="preserve">e dose as a deltoid injection 1 out of </w:t>
      </w:r>
      <w:r w:rsidRPr="007D66D9">
        <w:rPr>
          <w:rFonts w:eastAsia="Times New Roman"/>
          <w:kern w:val="16"/>
          <w:lang w:eastAsia="en-AU"/>
        </w:rPr>
        <w:t>25 (4%) did.</w:t>
      </w:r>
      <w:r w:rsidRPr="007D66D9">
        <w:rPr>
          <w:rFonts w:eastAsia="Times New Roman"/>
          <w:kern w:val="16"/>
          <w:vertAlign w:val="superscript"/>
          <w:lang w:eastAsia="en-AU"/>
        </w:rPr>
        <w:footnoteReference w:id="11"/>
      </w:r>
      <w:r w:rsidRPr="007D66D9">
        <w:rPr>
          <w:rFonts w:eastAsia="Times New Roman"/>
          <w:kern w:val="16"/>
          <w:lang w:eastAsia="en-AU"/>
        </w:rPr>
        <w:t xml:space="preserve"> There was an additional subject (1/24or 4%) on </w:t>
      </w:r>
      <w:r w:rsidR="0058163A">
        <w:rPr>
          <w:rFonts w:eastAsia="Times New Roman"/>
          <w:kern w:val="16"/>
          <w:lang w:eastAsia="en-AU"/>
        </w:rPr>
        <w:t>350</w:t>
      </w:r>
      <w:r w:rsidR="004A676D">
        <w:rPr>
          <w:rFonts w:eastAsia="Times New Roman"/>
          <w:kern w:val="16"/>
          <w:lang w:eastAsia="en-AU"/>
        </w:rPr>
        <w:t xml:space="preserve"> mg</w:t>
      </w:r>
      <w:r w:rsidRPr="007D66D9">
        <w:rPr>
          <w:rFonts w:eastAsia="Times New Roman"/>
          <w:kern w:val="16"/>
          <w:lang w:eastAsia="en-AU"/>
        </w:rPr>
        <w:t xml:space="preserve"> gluteal injection who exceeded </w:t>
      </w:r>
      <w:proofErr w:type="gramStart"/>
      <w:r w:rsidRPr="007D66D9">
        <w:rPr>
          <w:rFonts w:eastAsia="Times New Roman"/>
          <w:kern w:val="16"/>
          <w:lang w:eastAsia="en-AU"/>
        </w:rPr>
        <w:t>125</w:t>
      </w:r>
      <w:r w:rsidR="00932E50">
        <w:rPr>
          <w:rFonts w:eastAsia="Times New Roman"/>
          <w:kern w:val="16"/>
          <w:lang w:eastAsia="en-AU"/>
        </w:rPr>
        <w:t xml:space="preserve"> </w:t>
      </w:r>
      <w:r w:rsidR="003673F6">
        <w:rPr>
          <w:rFonts w:eastAsia="Times New Roman"/>
          <w:kern w:val="16"/>
          <w:lang w:eastAsia="en-AU"/>
        </w:rPr>
        <w:t>ng</w:t>
      </w:r>
      <w:r w:rsidR="00607328">
        <w:rPr>
          <w:rFonts w:eastAsia="Times New Roman"/>
          <w:kern w:val="16"/>
          <w:lang w:eastAsia="en-AU"/>
        </w:rPr>
        <w:t>/mL</w:t>
      </w:r>
      <w:proofErr w:type="gramEnd"/>
      <w:r w:rsidRPr="007D66D9">
        <w:rPr>
          <w:rFonts w:eastAsia="Times New Roman"/>
          <w:kern w:val="16"/>
          <w:lang w:eastAsia="en-AU"/>
        </w:rPr>
        <w:t xml:space="preserve"> but who failed to complete.</w:t>
      </w:r>
    </w:p>
    <w:p w14:paraId="450216BC" w14:textId="77777777" w:rsidR="007D66D9" w:rsidRPr="007D66D9" w:rsidRDefault="007D66D9" w:rsidP="0061357C">
      <w:pPr>
        <w:pStyle w:val="Tabletitle"/>
        <w:rPr>
          <w:lang w:eastAsia="en-AU"/>
        </w:rPr>
      </w:pPr>
      <w:bookmarkStart w:id="101" w:name="_Toc453054984"/>
      <w:r w:rsidRPr="00070306">
        <w:rPr>
          <w:lang w:eastAsia="en-AU"/>
        </w:rPr>
        <w:t xml:space="preserve">Table </w:t>
      </w:r>
      <w:r w:rsidR="00070306" w:rsidRPr="00070306">
        <w:rPr>
          <w:lang w:eastAsia="en-AU"/>
        </w:rPr>
        <w:t>21:</w:t>
      </w:r>
      <w:r w:rsidRPr="00070306">
        <w:rPr>
          <w:lang w:eastAsia="en-AU"/>
        </w:rPr>
        <w:t xml:space="preserve"> Comparison </w:t>
      </w:r>
      <w:r w:rsidR="00607328" w:rsidRPr="00070306">
        <w:rPr>
          <w:lang w:eastAsia="en-AU"/>
        </w:rPr>
        <w:t>of s</w:t>
      </w:r>
      <w:r w:rsidRPr="00070306">
        <w:rPr>
          <w:lang w:eastAsia="en-AU"/>
        </w:rPr>
        <w:t>imulation</w:t>
      </w:r>
      <w:r w:rsidRPr="007D66D9">
        <w:rPr>
          <w:lang w:eastAsia="en-AU"/>
        </w:rPr>
        <w:t xml:space="preserve"> </w:t>
      </w:r>
      <w:proofErr w:type="spellStart"/>
      <w:r w:rsidR="009F467D" w:rsidRPr="009F467D">
        <w:t>C</w:t>
      </w:r>
      <w:r w:rsidR="009F467D" w:rsidRPr="009F467D">
        <w:rPr>
          <w:vertAlign w:val="subscript"/>
        </w:rPr>
        <w:t>max</w:t>
      </w:r>
      <w:proofErr w:type="spellEnd"/>
      <w:r w:rsidRPr="007D66D9">
        <w:rPr>
          <w:vertAlign w:val="subscript"/>
          <w:lang w:eastAsia="en-AU"/>
        </w:rPr>
        <w:t xml:space="preserve"> </w:t>
      </w:r>
      <w:r w:rsidRPr="007D66D9">
        <w:rPr>
          <w:lang w:eastAsia="en-AU"/>
        </w:rPr>
        <w:t>with actual results from Study 1005</w:t>
      </w:r>
      <w:bookmarkEnd w:id="101"/>
    </w:p>
    <w:p w14:paraId="7C2EF572"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lang w:eastAsia="en-AU"/>
        </w:rPr>
      </w:pPr>
      <w:r w:rsidRPr="007D66D9">
        <w:rPr>
          <w:rFonts w:eastAsia="Times New Roman"/>
          <w:noProof/>
          <w:kern w:val="16"/>
          <w:lang w:eastAsia="en-AU"/>
        </w:rPr>
        <w:drawing>
          <wp:inline distT="0" distB="0" distL="0" distR="0" wp14:anchorId="11C81266" wp14:editId="4376997D">
            <wp:extent cx="4392000" cy="724545"/>
            <wp:effectExtent l="0" t="0" r="8890" b="0"/>
            <wp:docPr id="32" name="Picture 32" descr="Table 21: Comparison of simulation Cmax with actual results from Study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92000" cy="724545"/>
                    </a:xfrm>
                    <a:prstGeom prst="rect">
                      <a:avLst/>
                    </a:prstGeom>
                  </pic:spPr>
                </pic:pic>
              </a:graphicData>
            </a:graphic>
          </wp:inline>
        </w:drawing>
      </w:r>
    </w:p>
    <w:p w14:paraId="308B1DBC" w14:textId="77777777" w:rsidR="007D66D9" w:rsidRPr="007D66D9" w:rsidRDefault="007D66D9" w:rsidP="00486049">
      <w:pPr>
        <w:pStyle w:val="Heading5"/>
        <w:rPr>
          <w:lang w:eastAsia="en-AU"/>
        </w:rPr>
      </w:pPr>
      <w:r w:rsidRPr="007D66D9">
        <w:rPr>
          <w:lang w:eastAsia="en-AU"/>
        </w:rPr>
        <w:t xml:space="preserve">Simulated </w:t>
      </w:r>
      <w:proofErr w:type="spellStart"/>
      <w:r w:rsidRPr="007D66D9">
        <w:rPr>
          <w:lang w:eastAsia="en-AU"/>
        </w:rPr>
        <w:t>C</w:t>
      </w:r>
      <w:r w:rsidRPr="007D66D9">
        <w:rPr>
          <w:vertAlign w:val="subscript"/>
          <w:lang w:eastAsia="en-AU"/>
        </w:rPr>
        <w:t>min</w:t>
      </w:r>
      <w:proofErr w:type="spellEnd"/>
      <w:r w:rsidRPr="007D66D9">
        <w:rPr>
          <w:lang w:eastAsia="en-AU"/>
        </w:rPr>
        <w:t xml:space="preserve"> after </w:t>
      </w:r>
      <w:proofErr w:type="spellStart"/>
      <w:r w:rsidRPr="007D66D9">
        <w:rPr>
          <w:lang w:eastAsia="en-AU"/>
        </w:rPr>
        <w:t>Invega</w:t>
      </w:r>
      <w:proofErr w:type="spellEnd"/>
      <w:r w:rsidRPr="007D66D9">
        <w:rPr>
          <w:lang w:eastAsia="en-AU"/>
        </w:rPr>
        <w:t xml:space="preserve"> </w:t>
      </w:r>
      <w:proofErr w:type="spellStart"/>
      <w:r w:rsidRPr="007D66D9">
        <w:rPr>
          <w:lang w:eastAsia="en-AU"/>
        </w:rPr>
        <w:t>Sustenna</w:t>
      </w:r>
      <w:proofErr w:type="spellEnd"/>
      <w:r w:rsidRPr="007D66D9">
        <w:rPr>
          <w:lang w:eastAsia="en-AU"/>
        </w:rPr>
        <w:t xml:space="preserve"> and Invega Trinza</w:t>
      </w:r>
    </w:p>
    <w:p w14:paraId="640090EF"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At Week 65 after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Invega Trinza injections, the simulated median </w:t>
      </w:r>
      <w:proofErr w:type="spellStart"/>
      <w:r w:rsidRPr="007D66D9">
        <w:rPr>
          <w:rFonts w:eastAsia="Times New Roman"/>
          <w:kern w:val="16"/>
          <w:lang w:eastAsia="en-AU"/>
        </w:rPr>
        <w:t>C</w:t>
      </w:r>
      <w:r w:rsidRPr="007D66D9">
        <w:rPr>
          <w:rFonts w:eastAsia="Times New Roman"/>
          <w:kern w:val="16"/>
          <w:vertAlign w:val="subscript"/>
          <w:lang w:eastAsia="en-AU"/>
        </w:rPr>
        <w:t>min</w:t>
      </w:r>
      <w:proofErr w:type="spellEnd"/>
      <w:r w:rsidRPr="007D66D9">
        <w:rPr>
          <w:rFonts w:eastAsia="Times New Roman"/>
          <w:kern w:val="16"/>
          <w:lang w:eastAsia="en-AU"/>
        </w:rPr>
        <w:t xml:space="preserve"> for deltoid injections was 0.35 </w:t>
      </w:r>
      <w:r w:rsidR="003673F6">
        <w:rPr>
          <w:rFonts w:eastAsia="Times New Roman"/>
          <w:kern w:val="16"/>
          <w:lang w:eastAsia="en-AU"/>
        </w:rPr>
        <w:t>ng</w:t>
      </w:r>
      <w:r w:rsidR="00607328">
        <w:rPr>
          <w:rFonts w:eastAsia="Times New Roman"/>
          <w:kern w:val="16"/>
          <w:lang w:eastAsia="en-AU"/>
        </w:rPr>
        <w:t>/mL</w:t>
      </w:r>
      <w:r w:rsidRPr="007D66D9">
        <w:rPr>
          <w:rFonts w:eastAsia="Times New Roman"/>
          <w:kern w:val="16"/>
          <w:lang w:eastAsia="en-AU"/>
        </w:rPr>
        <w:t xml:space="preserve"> (1.1%) lower and for gluteal injections was 8.4 </w:t>
      </w:r>
      <w:r w:rsidR="003673F6">
        <w:rPr>
          <w:rFonts w:eastAsia="Times New Roman"/>
          <w:kern w:val="16"/>
          <w:lang w:eastAsia="en-AU"/>
        </w:rPr>
        <w:t>ng</w:t>
      </w:r>
      <w:r w:rsidR="00607328">
        <w:rPr>
          <w:rFonts w:eastAsia="Times New Roman"/>
          <w:kern w:val="16"/>
          <w:lang w:eastAsia="en-AU"/>
        </w:rPr>
        <w:t>/mL</w:t>
      </w:r>
      <w:r w:rsidRPr="007D66D9">
        <w:rPr>
          <w:rFonts w:eastAsia="Times New Roman"/>
          <w:kern w:val="16"/>
          <w:lang w:eastAsia="en-AU"/>
        </w:rPr>
        <w:t xml:space="preserve"> (23%) lower than after 150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Invega Sustenna deltoid injections, and gluteal injections respectively.</w:t>
      </w:r>
    </w:p>
    <w:p w14:paraId="04C50049"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D66D9">
        <w:rPr>
          <w:rFonts w:eastAsia="Times New Roman"/>
          <w:kern w:val="16"/>
          <w:lang w:eastAsia="en-AU"/>
        </w:rPr>
        <w:t xml:space="preserve">At Week 29 after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Invega Trinza, the simulated median </w:t>
      </w:r>
      <w:proofErr w:type="spellStart"/>
      <w:r w:rsidRPr="007D66D9">
        <w:rPr>
          <w:rFonts w:eastAsia="Times New Roman"/>
          <w:kern w:val="16"/>
          <w:lang w:eastAsia="en-AU"/>
        </w:rPr>
        <w:t>C</w:t>
      </w:r>
      <w:r w:rsidRPr="007D66D9">
        <w:rPr>
          <w:rFonts w:eastAsia="Times New Roman"/>
          <w:kern w:val="16"/>
          <w:vertAlign w:val="subscript"/>
          <w:lang w:eastAsia="en-AU"/>
        </w:rPr>
        <w:t>min</w:t>
      </w:r>
      <w:proofErr w:type="spellEnd"/>
      <w:r w:rsidRPr="007D66D9">
        <w:rPr>
          <w:rFonts w:eastAsia="Times New Roman"/>
          <w:kern w:val="16"/>
          <w:lang w:eastAsia="en-AU"/>
        </w:rPr>
        <w:t xml:space="preserve"> for deltoid injections was </w:t>
      </w:r>
      <w:proofErr w:type="gramStart"/>
      <w:r w:rsidRPr="007D66D9">
        <w:rPr>
          <w:rFonts w:eastAsia="Times New Roman"/>
          <w:kern w:val="16"/>
          <w:lang w:eastAsia="en-AU"/>
        </w:rPr>
        <w:t xml:space="preserve">2.5 </w:t>
      </w:r>
      <w:r w:rsidR="003673F6">
        <w:rPr>
          <w:rFonts w:eastAsia="Times New Roman"/>
          <w:kern w:val="16"/>
          <w:lang w:eastAsia="en-AU"/>
        </w:rPr>
        <w:t>ng</w:t>
      </w:r>
      <w:r w:rsidR="00607328">
        <w:rPr>
          <w:rFonts w:eastAsia="Times New Roman"/>
          <w:kern w:val="16"/>
          <w:lang w:eastAsia="en-AU"/>
        </w:rPr>
        <w:t>/mL</w:t>
      </w:r>
      <w:r w:rsidRPr="007D66D9">
        <w:rPr>
          <w:rFonts w:eastAsia="Times New Roman"/>
          <w:kern w:val="16"/>
          <w:lang w:eastAsia="en-AU"/>
        </w:rPr>
        <w:t xml:space="preserve"> (8.7%) higher and 0.85 </w:t>
      </w:r>
      <w:r w:rsidR="003673F6">
        <w:rPr>
          <w:rFonts w:eastAsia="Times New Roman"/>
          <w:kern w:val="16"/>
          <w:lang w:eastAsia="en-AU"/>
        </w:rPr>
        <w:t>ng</w:t>
      </w:r>
      <w:r w:rsidR="00607328">
        <w:rPr>
          <w:rFonts w:eastAsia="Times New Roman"/>
          <w:kern w:val="16"/>
          <w:lang w:eastAsia="en-AU"/>
        </w:rPr>
        <w:t>/mL</w:t>
      </w:r>
      <w:r w:rsidRPr="007D66D9">
        <w:rPr>
          <w:rFonts w:eastAsia="Times New Roman"/>
          <w:kern w:val="16"/>
          <w:lang w:eastAsia="en-AU"/>
        </w:rPr>
        <w:t xml:space="preserve"> (2.7%)</w:t>
      </w:r>
      <w:proofErr w:type="gramEnd"/>
      <w:r w:rsidRPr="007D66D9">
        <w:rPr>
          <w:rFonts w:eastAsia="Times New Roman"/>
          <w:kern w:val="16"/>
          <w:lang w:eastAsia="en-AU"/>
        </w:rPr>
        <w:t xml:space="preserve"> lower for gluteal injections than after 150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Invega Sustenna deltoid and gluteal </w:t>
      </w:r>
      <w:r w:rsidRPr="00785F6E">
        <w:rPr>
          <w:rFonts w:eastAsia="Times New Roman"/>
          <w:kern w:val="16"/>
          <w:lang w:eastAsia="en-AU"/>
        </w:rPr>
        <w:t xml:space="preserve">injections </w:t>
      </w:r>
      <w:r w:rsidR="00785F6E" w:rsidRPr="00785F6E">
        <w:rPr>
          <w:rFonts w:eastAsia="Times New Roman"/>
          <w:kern w:val="16"/>
          <w:lang w:eastAsia="en-AU"/>
        </w:rPr>
        <w:t>respectively.</w:t>
      </w:r>
    </w:p>
    <w:p w14:paraId="14A8B3BC" w14:textId="77777777" w:rsidR="007D66D9" w:rsidRPr="007D66D9" w:rsidRDefault="007D66D9" w:rsidP="007D66D9">
      <w:pPr>
        <w:pStyle w:val="Comment"/>
        <w:rPr>
          <w:lang w:eastAsia="en-AU"/>
        </w:rPr>
      </w:pPr>
      <w:r w:rsidRPr="007D66D9">
        <w:rPr>
          <w:rFonts w:eastAsia="Times New Roman"/>
          <w:b/>
          <w:kern w:val="16"/>
          <w:lang w:eastAsia="en-AU"/>
        </w:rPr>
        <w:t>Comment</w:t>
      </w:r>
      <w:r w:rsidRPr="007D66D9">
        <w:rPr>
          <w:rFonts w:eastAsia="Times New Roman"/>
          <w:kern w:val="16"/>
          <w:lang w:eastAsia="en-AU"/>
        </w:rPr>
        <w:t xml:space="preserve">: The figures in the body of the report (12 </w:t>
      </w:r>
      <w:r w:rsidR="00E60DFA">
        <w:rPr>
          <w:rFonts w:eastAsia="Times New Roman"/>
          <w:kern w:val="16"/>
          <w:lang w:eastAsia="en-AU"/>
        </w:rPr>
        <w:t>and</w:t>
      </w:r>
      <w:r w:rsidRPr="007D66D9">
        <w:rPr>
          <w:rFonts w:eastAsia="Times New Roman"/>
          <w:kern w:val="16"/>
          <w:lang w:eastAsia="en-AU"/>
        </w:rPr>
        <w:t xml:space="preserve"> 13) are difficult to assess bei</w:t>
      </w:r>
      <w:r w:rsidR="003673F6">
        <w:rPr>
          <w:rFonts w:eastAsia="Times New Roman"/>
          <w:kern w:val="16"/>
          <w:lang w:eastAsia="en-AU"/>
        </w:rPr>
        <w:t>ng</w:t>
      </w:r>
      <w:r w:rsidRPr="007D66D9">
        <w:rPr>
          <w:rFonts w:eastAsia="Times New Roman"/>
          <w:kern w:val="16"/>
          <w:lang w:eastAsia="en-AU"/>
        </w:rPr>
        <w:t xml:space="preserve"> on a log scale for concentration, however they do show a progressive gradual fall in the lower 90% bound with that for some of the lower doses apparently </w:t>
      </w:r>
      <w:r w:rsidRPr="00607328">
        <w:rPr>
          <w:rFonts w:eastAsia="Times New Roman"/>
          <w:kern w:val="16"/>
          <w:lang w:eastAsia="en-AU"/>
        </w:rPr>
        <w:t>below 7.5</w:t>
      </w:r>
      <w:r w:rsidR="00932E50" w:rsidRPr="00607328">
        <w:rPr>
          <w:rFonts w:eastAsia="Times New Roman"/>
          <w:kern w:val="16"/>
          <w:lang w:eastAsia="en-AU"/>
        </w:rPr>
        <w:t xml:space="preserve"> </w:t>
      </w:r>
      <w:r w:rsidR="003673F6">
        <w:rPr>
          <w:rFonts w:eastAsia="Times New Roman"/>
          <w:kern w:val="16"/>
          <w:lang w:eastAsia="en-AU"/>
        </w:rPr>
        <w:t>ng</w:t>
      </w:r>
      <w:r w:rsidRPr="00607328">
        <w:rPr>
          <w:rFonts w:eastAsia="Times New Roman"/>
          <w:kern w:val="16"/>
          <w:lang w:eastAsia="en-AU"/>
        </w:rPr>
        <w:t>/</w:t>
      </w:r>
      <w:proofErr w:type="spellStart"/>
      <w:r w:rsidR="004A676D" w:rsidRPr="00607328">
        <w:rPr>
          <w:rFonts w:eastAsia="Times New Roman"/>
          <w:kern w:val="16"/>
          <w:lang w:eastAsia="en-AU"/>
        </w:rPr>
        <w:t>mL</w:t>
      </w:r>
      <w:r w:rsidRPr="00607328">
        <w:rPr>
          <w:rFonts w:eastAsia="Times New Roman"/>
          <w:kern w:val="16"/>
          <w:lang w:eastAsia="en-AU"/>
        </w:rPr>
        <w:t>.</w:t>
      </w:r>
      <w:proofErr w:type="spellEnd"/>
      <w:r w:rsidRPr="00607328">
        <w:rPr>
          <w:rFonts w:eastAsia="Times New Roman"/>
          <w:kern w:val="16"/>
          <w:vertAlign w:val="superscript"/>
          <w:lang w:eastAsia="en-AU"/>
        </w:rPr>
        <w:footnoteReference w:id="12"/>
      </w:r>
      <w:r w:rsidRPr="00607328">
        <w:rPr>
          <w:rFonts w:eastAsia="Times New Roman"/>
          <w:kern w:val="16"/>
          <w:lang w:eastAsia="en-AU"/>
        </w:rPr>
        <w:t xml:space="preserve"> Actual</w:t>
      </w:r>
      <w:r w:rsidRPr="007D66D9">
        <w:rPr>
          <w:rFonts w:eastAsia="Times New Roman"/>
          <w:kern w:val="16"/>
          <w:lang w:eastAsia="en-AU"/>
        </w:rPr>
        <w:t xml:space="preserve"> values were not given. The duration for this level potentially below the therapeutic threshold could not readily be estimated nor the percentages possibly affected.</w:t>
      </w:r>
    </w:p>
    <w:p w14:paraId="2703E427" w14:textId="77777777" w:rsidR="007D66D9" w:rsidRPr="007D66D9" w:rsidRDefault="007D66D9" w:rsidP="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rPr>
          <w:rFonts w:eastAsia="Times New Roman"/>
          <w:kern w:val="16"/>
          <w:lang w:eastAsia="en-AU"/>
        </w:rPr>
      </w:pPr>
      <w:r w:rsidRPr="00785F6E">
        <w:rPr>
          <w:rFonts w:eastAsia="Times New Roman"/>
          <w:kern w:val="16"/>
          <w:lang w:eastAsia="en-AU"/>
        </w:rPr>
        <w:t xml:space="preserve">In </w:t>
      </w:r>
      <w:r w:rsidR="00785F6E" w:rsidRPr="00785F6E">
        <w:rPr>
          <w:rFonts w:eastAsia="Times New Roman"/>
          <w:kern w:val="16"/>
          <w:lang w:eastAsia="en-AU"/>
        </w:rPr>
        <w:t>S</w:t>
      </w:r>
      <w:r w:rsidRPr="00785F6E">
        <w:rPr>
          <w:rFonts w:eastAsia="Times New Roman"/>
          <w:kern w:val="16"/>
          <w:lang w:eastAsia="en-AU"/>
        </w:rPr>
        <w:t>tudy 3012</w:t>
      </w:r>
      <w:r w:rsidRPr="00785F6E">
        <w:rPr>
          <w:rFonts w:eastAsia="Times New Roman"/>
          <w:kern w:val="16"/>
          <w:vertAlign w:val="superscript"/>
          <w:lang w:eastAsia="en-AU"/>
        </w:rPr>
        <w:footnoteReference w:id="13"/>
      </w:r>
      <w:r w:rsidRPr="00785F6E">
        <w:rPr>
          <w:rFonts w:eastAsia="Times New Roman"/>
          <w:kern w:val="16"/>
          <w:lang w:eastAsia="en-AU"/>
        </w:rPr>
        <w:t xml:space="preserve"> the</w:t>
      </w:r>
      <w:r w:rsidRPr="007D66D9">
        <w:rPr>
          <w:rFonts w:eastAsia="Times New Roman"/>
          <w:kern w:val="16"/>
          <w:lang w:eastAsia="en-AU"/>
        </w:rPr>
        <w:t xml:space="preserve"> </w:t>
      </w:r>
      <w:proofErr w:type="spellStart"/>
      <w:r w:rsidRPr="007D66D9">
        <w:rPr>
          <w:rFonts w:eastAsia="Times New Roman"/>
          <w:kern w:val="16"/>
          <w:lang w:eastAsia="en-AU"/>
        </w:rPr>
        <w:t>C</w:t>
      </w:r>
      <w:r w:rsidRPr="007D66D9">
        <w:rPr>
          <w:rFonts w:eastAsia="Times New Roman"/>
          <w:kern w:val="16"/>
          <w:vertAlign w:val="subscript"/>
          <w:lang w:eastAsia="en-AU"/>
        </w:rPr>
        <w:t>predose</w:t>
      </w:r>
      <w:proofErr w:type="spellEnd"/>
      <w:r w:rsidRPr="007D66D9">
        <w:rPr>
          <w:rFonts w:eastAsia="Times New Roman"/>
          <w:kern w:val="16"/>
          <w:lang w:eastAsia="en-AU"/>
        </w:rPr>
        <w:t xml:space="preserve"> </w:t>
      </w:r>
      <w:r w:rsidR="00785F6E">
        <w:rPr>
          <w:rFonts w:eastAsia="Times New Roman"/>
          <w:kern w:val="16"/>
          <w:lang w:eastAsia="en-AU"/>
        </w:rPr>
        <w:t>that is</w:t>
      </w:r>
      <w:r w:rsidRPr="007D66D9">
        <w:rPr>
          <w:rFonts w:eastAsia="Times New Roman"/>
          <w:kern w:val="16"/>
          <w:lang w:eastAsia="en-AU"/>
        </w:rPr>
        <w:t xml:space="preserve"> 3months after an initial injection of Invega Tr</w:t>
      </w:r>
      <w:r w:rsidR="00785F6E">
        <w:rPr>
          <w:rFonts w:eastAsia="Times New Roman"/>
          <w:kern w:val="16"/>
          <w:lang w:eastAsia="en-AU"/>
        </w:rPr>
        <w:t xml:space="preserve">inza in the maintenance phase 2 out of </w:t>
      </w:r>
      <w:r w:rsidRPr="007D66D9">
        <w:rPr>
          <w:rFonts w:eastAsia="Times New Roman"/>
          <w:kern w:val="16"/>
          <w:lang w:eastAsia="en-AU"/>
        </w:rPr>
        <w:t xml:space="preserve">3 subjects on </w:t>
      </w:r>
      <w:r w:rsidR="0058163A">
        <w:rPr>
          <w:rFonts w:eastAsia="Times New Roman"/>
          <w:kern w:val="16"/>
          <w:lang w:eastAsia="en-AU"/>
        </w:rPr>
        <w:t>175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Pr="007D66D9">
        <w:rPr>
          <w:rFonts w:eastAsia="Times New Roman"/>
          <w:kern w:val="16"/>
          <w:lang w:eastAsia="en-AU"/>
        </w:rPr>
        <w:t xml:space="preserve"> had a </w:t>
      </w:r>
      <w:proofErr w:type="spellStart"/>
      <w:r w:rsidRPr="007D66D9">
        <w:rPr>
          <w:rFonts w:eastAsia="Times New Roman"/>
          <w:kern w:val="16"/>
          <w:lang w:eastAsia="en-AU"/>
        </w:rPr>
        <w:t>C</w:t>
      </w:r>
      <w:r w:rsidRPr="007D66D9">
        <w:rPr>
          <w:rFonts w:eastAsia="Times New Roman"/>
          <w:kern w:val="16"/>
          <w:vertAlign w:val="subscript"/>
          <w:lang w:eastAsia="en-AU"/>
        </w:rPr>
        <w:t>predose</w:t>
      </w:r>
      <w:proofErr w:type="spellEnd"/>
      <w:r w:rsidRPr="007D66D9">
        <w:rPr>
          <w:rFonts w:eastAsia="Times New Roman"/>
          <w:kern w:val="16"/>
          <w:lang w:eastAsia="en-AU"/>
        </w:rPr>
        <w:t xml:space="preserve"> &lt; 7.5</w:t>
      </w:r>
      <w:r w:rsidR="00932E50">
        <w:rPr>
          <w:rFonts w:eastAsia="Times New Roman"/>
          <w:kern w:val="16"/>
          <w:lang w:eastAsia="en-AU"/>
        </w:rPr>
        <w:t xml:space="preserve"> </w:t>
      </w:r>
      <w:r w:rsidR="003673F6">
        <w:rPr>
          <w:rFonts w:eastAsia="Times New Roman"/>
          <w:kern w:val="16"/>
          <w:lang w:eastAsia="en-AU"/>
        </w:rPr>
        <w:t>ng</w:t>
      </w:r>
      <w:r w:rsidRPr="007D66D9">
        <w:rPr>
          <w:rFonts w:eastAsia="Times New Roman"/>
          <w:kern w:val="16"/>
          <w:lang w:eastAsia="en-AU"/>
        </w:rPr>
        <w:t>/</w:t>
      </w:r>
      <w:r w:rsidR="004A676D">
        <w:rPr>
          <w:rFonts w:eastAsia="Times New Roman"/>
          <w:kern w:val="16"/>
          <w:lang w:eastAsia="en-AU"/>
        </w:rPr>
        <w:t>mL</w:t>
      </w:r>
      <w:r w:rsidRPr="007D66D9">
        <w:rPr>
          <w:rFonts w:eastAsia="Times New Roman"/>
          <w:kern w:val="16"/>
          <w:lang w:eastAsia="en-AU"/>
        </w:rPr>
        <w:t>; 0 on 263</w:t>
      </w:r>
      <w:r w:rsidR="004A676D">
        <w:rPr>
          <w:rFonts w:eastAsia="Times New Roman"/>
          <w:kern w:val="16"/>
          <w:lang w:eastAsia="en-AU"/>
        </w:rPr>
        <w:t xml:space="preserve"> mg</w:t>
      </w:r>
      <w:r w:rsidRPr="007D66D9">
        <w:rPr>
          <w:rFonts w:eastAsia="Times New Roman"/>
          <w:kern w:val="16"/>
          <w:lang w:eastAsia="en-AU"/>
        </w:rPr>
        <w:t xml:space="preserve"> </w:t>
      </w:r>
      <w:r w:rsidR="00785F6E">
        <w:rPr>
          <w:rFonts w:eastAsia="Times New Roman"/>
          <w:kern w:val="16"/>
          <w:lang w:eastAsia="en-AU"/>
        </w:rPr>
        <w:t>equivalent</w:t>
      </w:r>
      <w:r w:rsidRPr="007D66D9">
        <w:rPr>
          <w:rFonts w:eastAsia="Times New Roman"/>
          <w:kern w:val="16"/>
          <w:lang w:eastAsia="en-AU"/>
        </w:rPr>
        <w:t xml:space="preserve"> did, on </w:t>
      </w:r>
      <w:r w:rsidR="0058163A">
        <w:rPr>
          <w:rFonts w:eastAsia="Times New Roman"/>
          <w:kern w:val="16"/>
          <w:lang w:eastAsia="en-AU"/>
        </w:rPr>
        <w:t>350</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00785F6E">
        <w:rPr>
          <w:rFonts w:eastAsia="Times New Roman"/>
          <w:kern w:val="16"/>
          <w:lang w:eastAsia="en-AU"/>
        </w:rPr>
        <w:t xml:space="preserve"> 3 out of </w:t>
      </w:r>
      <w:r w:rsidRPr="007D66D9">
        <w:rPr>
          <w:rFonts w:eastAsia="Times New Roman"/>
          <w:kern w:val="16"/>
          <w:lang w:eastAsia="en-AU"/>
        </w:rPr>
        <w:t xml:space="preserve">40 (7.5%) did and on </w:t>
      </w:r>
      <w:r w:rsidR="0058163A">
        <w:rPr>
          <w:rFonts w:eastAsia="Times New Roman"/>
          <w:kern w:val="16"/>
          <w:lang w:eastAsia="en-AU"/>
        </w:rPr>
        <w:t>525</w:t>
      </w:r>
      <w:r w:rsidR="004A676D">
        <w:rPr>
          <w:rFonts w:eastAsia="Times New Roman"/>
          <w:kern w:val="16"/>
          <w:lang w:eastAsia="en-AU"/>
        </w:rPr>
        <w:t xml:space="preserve"> mg</w:t>
      </w:r>
      <w:r w:rsidRPr="007D66D9">
        <w:rPr>
          <w:rFonts w:eastAsia="Times New Roman"/>
          <w:kern w:val="16"/>
          <w:lang w:eastAsia="en-AU"/>
        </w:rPr>
        <w:t xml:space="preserve"> </w:t>
      </w:r>
      <w:r w:rsidR="004A676D">
        <w:rPr>
          <w:rFonts w:eastAsia="Times New Roman"/>
          <w:kern w:val="16"/>
          <w:lang w:eastAsia="en-AU"/>
        </w:rPr>
        <w:t>equivalent</w:t>
      </w:r>
      <w:r w:rsidR="00785F6E">
        <w:rPr>
          <w:rFonts w:eastAsia="Times New Roman"/>
          <w:kern w:val="16"/>
          <w:lang w:eastAsia="en-AU"/>
        </w:rPr>
        <w:t xml:space="preserve"> 3 out of </w:t>
      </w:r>
      <w:r w:rsidRPr="007D66D9">
        <w:rPr>
          <w:rFonts w:eastAsia="Times New Roman"/>
          <w:kern w:val="16"/>
          <w:lang w:eastAsia="en-AU"/>
        </w:rPr>
        <w:t xml:space="preserve">29 </w:t>
      </w:r>
      <w:r w:rsidRPr="00785F6E">
        <w:rPr>
          <w:rFonts w:eastAsia="Times New Roman"/>
          <w:kern w:val="16"/>
          <w:lang w:eastAsia="en-AU"/>
        </w:rPr>
        <w:t>(10.3%) did.</w:t>
      </w:r>
    </w:p>
    <w:p w14:paraId="5B547020" w14:textId="77777777" w:rsidR="007D66D9" w:rsidRPr="007D66D9" w:rsidRDefault="007D66D9" w:rsidP="0061357C">
      <w:pPr>
        <w:pStyle w:val="Tabletitle"/>
        <w:rPr>
          <w:lang w:eastAsia="en-AU"/>
        </w:rPr>
      </w:pPr>
      <w:bookmarkStart w:id="102" w:name="_Toc453054985"/>
      <w:r w:rsidRPr="00070306">
        <w:rPr>
          <w:lang w:eastAsia="en-AU"/>
        </w:rPr>
        <w:t xml:space="preserve">Table </w:t>
      </w:r>
      <w:r w:rsidR="00070306" w:rsidRPr="00070306">
        <w:rPr>
          <w:lang w:eastAsia="en-AU"/>
        </w:rPr>
        <w:t>22:</w:t>
      </w:r>
      <w:r w:rsidRPr="00070306">
        <w:rPr>
          <w:lang w:eastAsia="en-AU"/>
        </w:rPr>
        <w:t xml:space="preserve"> Study 3012</w:t>
      </w:r>
      <w:r w:rsidR="00785F6E" w:rsidRPr="00070306">
        <w:rPr>
          <w:lang w:eastAsia="en-AU"/>
        </w:rPr>
        <w:t>;</w:t>
      </w:r>
      <w:r w:rsidRPr="00070306">
        <w:rPr>
          <w:lang w:eastAsia="en-AU"/>
        </w:rPr>
        <w:t xml:space="preserve"> </w:t>
      </w:r>
      <w:proofErr w:type="spellStart"/>
      <w:r w:rsidRPr="00070306">
        <w:rPr>
          <w:lang w:eastAsia="en-AU"/>
        </w:rPr>
        <w:t>C</w:t>
      </w:r>
      <w:r w:rsidRPr="00070306">
        <w:rPr>
          <w:vertAlign w:val="subscript"/>
          <w:lang w:eastAsia="en-AU"/>
        </w:rPr>
        <w:t>predose</w:t>
      </w:r>
      <w:proofErr w:type="spellEnd"/>
      <w:r w:rsidRPr="00070306">
        <w:rPr>
          <w:lang w:eastAsia="en-AU"/>
        </w:rPr>
        <w:t xml:space="preserve"> per </w:t>
      </w:r>
      <w:r w:rsidR="00785F6E" w:rsidRPr="00070306">
        <w:rPr>
          <w:lang w:eastAsia="en-AU"/>
        </w:rPr>
        <w:t xml:space="preserve">administered dosage double blind </w:t>
      </w:r>
      <w:r w:rsidRPr="00070306">
        <w:rPr>
          <w:lang w:eastAsia="en-AU"/>
        </w:rPr>
        <w:t xml:space="preserve">phase: </w:t>
      </w:r>
      <w:r w:rsidR="00785F6E" w:rsidRPr="00070306">
        <w:rPr>
          <w:lang w:eastAsia="en-AU"/>
        </w:rPr>
        <w:t>that is</w:t>
      </w:r>
      <w:r w:rsidRPr="00070306">
        <w:rPr>
          <w:lang w:eastAsia="en-AU"/>
        </w:rPr>
        <w:t xml:space="preserve"> 3months</w:t>
      </w:r>
      <w:r w:rsidRPr="007D66D9">
        <w:rPr>
          <w:lang w:eastAsia="en-AU"/>
        </w:rPr>
        <w:t xml:space="preserve"> after a dose PP3M in the maintenance phase (preceded by PP1M doses in the transition phase)</w:t>
      </w:r>
      <w:bookmarkEnd w:id="102"/>
    </w:p>
    <w:p w14:paraId="515E7229" w14:textId="77777777" w:rsidR="007D66D9" w:rsidRPr="007D66D9" w:rsidRDefault="007D66D9" w:rsidP="006135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lang w:eastAsia="en-AU"/>
        </w:rPr>
      </w:pPr>
      <w:r w:rsidRPr="007D66D9">
        <w:rPr>
          <w:rFonts w:eastAsia="Times New Roman"/>
          <w:noProof/>
          <w:kern w:val="16"/>
          <w:lang w:eastAsia="en-AU"/>
        </w:rPr>
        <w:drawing>
          <wp:inline distT="0" distB="0" distL="0" distR="0" wp14:anchorId="37EB205C" wp14:editId="52453BFE">
            <wp:extent cx="4169664" cy="2216693"/>
            <wp:effectExtent l="0" t="0" r="2540" b="0"/>
            <wp:docPr id="33" name="Picture 33" descr="Table 22: Study 3012; Cpredose per administered dosage double blind phase: that is 3months after a dose PP3M in the maintenance phase (preceded by PP1M doses in the transit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68971" cy="2216324"/>
                    </a:xfrm>
                    <a:prstGeom prst="rect">
                      <a:avLst/>
                    </a:prstGeom>
                  </pic:spPr>
                </pic:pic>
              </a:graphicData>
            </a:graphic>
          </wp:inline>
        </w:drawing>
      </w:r>
    </w:p>
    <w:p w14:paraId="2F4E765F" w14:textId="77777777" w:rsidR="007D66D9" w:rsidRPr="007D66D9" w:rsidRDefault="00785F6E" w:rsidP="00486049">
      <w:pPr>
        <w:pStyle w:val="Heading5"/>
        <w:rPr>
          <w:lang w:eastAsia="en-AU"/>
        </w:rPr>
      </w:pPr>
      <w:bookmarkStart w:id="103" w:name="_Toc453054880"/>
      <w:r>
        <w:rPr>
          <w:lang w:eastAsia="en-AU"/>
        </w:rPr>
        <w:lastRenderedPageBreak/>
        <w:t>Other s</w:t>
      </w:r>
      <w:r w:rsidR="007D66D9" w:rsidRPr="007D66D9">
        <w:rPr>
          <w:lang w:eastAsia="en-AU"/>
        </w:rPr>
        <w:t>imulations</w:t>
      </w:r>
      <w:bookmarkEnd w:id="103"/>
    </w:p>
    <w:p w14:paraId="701FEE6E" w14:textId="77777777" w:rsidR="007D66D9" w:rsidRPr="007D66D9" w:rsidRDefault="007D66D9" w:rsidP="00785F6E">
      <w:pPr>
        <w:rPr>
          <w:lang w:eastAsia="en-AU"/>
        </w:rPr>
      </w:pPr>
      <w:r w:rsidRPr="007D66D9">
        <w:rPr>
          <w:lang w:eastAsia="en-AU"/>
        </w:rPr>
        <w:t>The sponsor conducted several simulations of different timi</w:t>
      </w:r>
      <w:r w:rsidR="003673F6">
        <w:rPr>
          <w:lang w:eastAsia="en-AU"/>
        </w:rPr>
        <w:t>ng</w:t>
      </w:r>
      <w:r w:rsidRPr="007D66D9">
        <w:rPr>
          <w:lang w:eastAsia="en-AU"/>
        </w:rPr>
        <w:t>s and cessation of Invega Trinza treatment.</w:t>
      </w:r>
    </w:p>
    <w:p w14:paraId="140ADC96" w14:textId="77777777" w:rsidR="004A676D" w:rsidRDefault="007D66D9" w:rsidP="00486049">
      <w:pPr>
        <w:pStyle w:val="Comment"/>
        <w:rPr>
          <w:rFonts w:eastAsia="Times New Roman"/>
          <w:kern w:val="16"/>
          <w:lang w:eastAsia="en-AU"/>
        </w:rPr>
      </w:pPr>
      <w:r w:rsidRPr="007D66D9">
        <w:rPr>
          <w:rFonts w:eastAsia="Times New Roman"/>
          <w:b/>
          <w:kern w:val="16"/>
          <w:lang w:eastAsia="en-AU"/>
        </w:rPr>
        <w:t>Comment:</w:t>
      </w:r>
      <w:r w:rsidRPr="007D66D9">
        <w:rPr>
          <w:rFonts w:eastAsia="Times New Roman"/>
          <w:kern w:val="16"/>
          <w:lang w:eastAsia="en-AU"/>
        </w:rPr>
        <w:t xml:space="preserve"> with these simulations it is unclear whether the previously accepted model for Invega Sustenna was used or the modified model with 10% uncertainties</w:t>
      </w:r>
      <w:r w:rsidR="004A676D">
        <w:rPr>
          <w:rFonts w:eastAsia="Times New Roman"/>
          <w:kern w:val="16"/>
          <w:lang w:eastAsia="en-AU"/>
        </w:rPr>
        <w:t>.</w:t>
      </w:r>
    </w:p>
    <w:p w14:paraId="7FBD2C3F" w14:textId="77777777" w:rsidR="007D66D9" w:rsidRPr="007D66D9" w:rsidRDefault="007D66D9" w:rsidP="00486049">
      <w:pPr>
        <w:pStyle w:val="Heading6"/>
        <w:rPr>
          <w:lang w:eastAsia="en-AU"/>
        </w:rPr>
      </w:pPr>
      <w:r w:rsidRPr="007D66D9">
        <w:rPr>
          <w:lang w:eastAsia="en-AU"/>
        </w:rPr>
        <w:t>Late or early doses</w:t>
      </w:r>
    </w:p>
    <w:p w14:paraId="17577137" w14:textId="77777777" w:rsidR="007D66D9" w:rsidRPr="007D66D9" w:rsidRDefault="00607328" w:rsidP="0048604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Pr>
          <w:rFonts w:eastAsia="Times New Roman"/>
          <w:kern w:val="16"/>
          <w:lang w:eastAsia="en-AU"/>
        </w:rPr>
        <w:t>Simulation included:</w:t>
      </w:r>
    </w:p>
    <w:p w14:paraId="109EF611" w14:textId="77777777" w:rsidR="007D66D9" w:rsidRPr="00785F6E" w:rsidRDefault="007D66D9" w:rsidP="00785F6E">
      <w:pPr>
        <w:pStyle w:val="ListBullet"/>
      </w:pPr>
      <w:r w:rsidRPr="00785F6E">
        <w:t>Switchi</w:t>
      </w:r>
      <w:r w:rsidR="003673F6">
        <w:t>ng</w:t>
      </w:r>
      <w:r w:rsidRPr="00785F6E">
        <w:t xml:space="preserve"> from Invega Sustenna to Invega Trinza a week late or early.</w:t>
      </w:r>
    </w:p>
    <w:p w14:paraId="3D52AEA9" w14:textId="77777777" w:rsidR="007D66D9" w:rsidRPr="00785F6E" w:rsidRDefault="007D66D9" w:rsidP="00785F6E">
      <w:pPr>
        <w:pStyle w:val="ListBullet"/>
      </w:pPr>
      <w:r w:rsidRPr="00785F6E">
        <w:t>Givi</w:t>
      </w:r>
      <w:r w:rsidR="003673F6">
        <w:t>ng</w:t>
      </w:r>
      <w:r w:rsidRPr="00785F6E">
        <w:t xml:space="preserve"> the maintenance Invega Trinza dose up to 3 weeks early or late.</w:t>
      </w:r>
    </w:p>
    <w:p w14:paraId="280363FC" w14:textId="77777777" w:rsidR="007D66D9" w:rsidRPr="007D66D9" w:rsidRDefault="007D66D9" w:rsidP="00E65623">
      <w:pPr>
        <w:pStyle w:val="Tabletitle"/>
        <w:rPr>
          <w:lang w:eastAsia="en-AU"/>
        </w:rPr>
      </w:pPr>
      <w:bookmarkStart w:id="104" w:name="_Toc453054986"/>
      <w:r w:rsidRPr="00070306">
        <w:rPr>
          <w:lang w:eastAsia="en-AU"/>
        </w:rPr>
        <w:t xml:space="preserve">Table </w:t>
      </w:r>
      <w:r w:rsidR="00070306">
        <w:rPr>
          <w:lang w:eastAsia="en-AU"/>
        </w:rPr>
        <w:t>23:</w:t>
      </w:r>
      <w:r w:rsidRPr="007D66D9">
        <w:rPr>
          <w:lang w:eastAsia="en-AU"/>
        </w:rPr>
        <w:t xml:space="preserve"> </w:t>
      </w:r>
      <w:r w:rsidRPr="00E65623">
        <w:t>Median</w:t>
      </w:r>
      <w:r w:rsidRPr="007D66D9">
        <w:rPr>
          <w:lang w:eastAsia="en-AU"/>
        </w:rPr>
        <w:t xml:space="preserve"> </w:t>
      </w:r>
      <w:proofErr w:type="spellStart"/>
      <w:r w:rsidRPr="007D66D9">
        <w:rPr>
          <w:lang w:eastAsia="en-AU"/>
        </w:rPr>
        <w:t>C</w:t>
      </w:r>
      <w:r w:rsidRPr="007D66D9">
        <w:rPr>
          <w:vertAlign w:val="subscript"/>
          <w:lang w:eastAsia="en-AU"/>
        </w:rPr>
        <w:t>min</w:t>
      </w:r>
      <w:proofErr w:type="spellEnd"/>
      <w:r w:rsidRPr="007D66D9">
        <w:rPr>
          <w:lang w:eastAsia="en-AU"/>
        </w:rPr>
        <w:t xml:space="preserve"> and </w:t>
      </w:r>
      <w:proofErr w:type="spellStart"/>
      <w:r w:rsidR="009F467D" w:rsidRPr="009F467D">
        <w:t>C</w:t>
      </w:r>
      <w:r w:rsidR="009F467D" w:rsidRPr="009F467D">
        <w:rPr>
          <w:vertAlign w:val="subscript"/>
        </w:rPr>
        <w:t>max</w:t>
      </w:r>
      <w:proofErr w:type="spellEnd"/>
      <w:r w:rsidRPr="007D66D9">
        <w:rPr>
          <w:lang w:eastAsia="en-AU"/>
        </w:rPr>
        <w:t xml:space="preserve"> when switchi</w:t>
      </w:r>
      <w:r w:rsidR="003673F6">
        <w:rPr>
          <w:lang w:eastAsia="en-AU"/>
        </w:rPr>
        <w:t>ng</w:t>
      </w:r>
      <w:r w:rsidRPr="007D66D9">
        <w:rPr>
          <w:lang w:eastAsia="en-AU"/>
        </w:rPr>
        <w:t xml:space="preserve"> from PP1M to PP3M at Week 17, </w:t>
      </w:r>
      <w:r w:rsidR="00785F6E">
        <w:rPr>
          <w:lang w:eastAsia="en-AU"/>
        </w:rPr>
        <w:t>±</w:t>
      </w:r>
      <w:r w:rsidRPr="007D66D9">
        <w:rPr>
          <w:lang w:eastAsia="en-AU"/>
        </w:rPr>
        <w:t xml:space="preserve"> 1 week, and dosi</w:t>
      </w:r>
      <w:r w:rsidR="003673F6">
        <w:rPr>
          <w:lang w:eastAsia="en-AU"/>
        </w:rPr>
        <w:t>ng</w:t>
      </w:r>
      <w:r w:rsidRPr="007D66D9">
        <w:rPr>
          <w:lang w:eastAsia="en-AU"/>
        </w:rPr>
        <w:t xml:space="preserve"> windows around the regularly scheduled </w:t>
      </w:r>
      <w:r w:rsidR="00E60DFA">
        <w:rPr>
          <w:lang w:eastAsia="en-AU"/>
        </w:rPr>
        <w:t xml:space="preserve">12 week </w:t>
      </w:r>
      <w:r w:rsidRPr="007D66D9">
        <w:rPr>
          <w:lang w:eastAsia="en-AU"/>
        </w:rPr>
        <w:t>dosi</w:t>
      </w:r>
      <w:r w:rsidR="003673F6">
        <w:rPr>
          <w:lang w:eastAsia="en-AU"/>
        </w:rPr>
        <w:t>ng</w:t>
      </w:r>
      <w:r w:rsidRPr="007D66D9">
        <w:rPr>
          <w:lang w:eastAsia="en-AU"/>
        </w:rPr>
        <w:t xml:space="preserve"> interval, ± 1, ± 2 and ± 3 weeks, after subjects reached apparent steady-state on treatment with PP3M deltoid injections</w:t>
      </w:r>
      <w:bookmarkEnd w:id="104"/>
    </w:p>
    <w:p w14:paraId="251F852D" w14:textId="77777777" w:rsidR="007D66D9" w:rsidRPr="007D66D9" w:rsidRDefault="007D66D9" w:rsidP="00E65623">
      <w:pPr>
        <w:rPr>
          <w:lang w:eastAsia="en-AU"/>
        </w:rPr>
      </w:pPr>
      <w:r w:rsidRPr="007D66D9">
        <w:rPr>
          <w:noProof/>
          <w:lang w:eastAsia="en-AU"/>
        </w:rPr>
        <w:drawing>
          <wp:inline distT="0" distB="0" distL="0" distR="0" wp14:anchorId="451B5F8E" wp14:editId="462DB416">
            <wp:extent cx="5391302" cy="910220"/>
            <wp:effectExtent l="0" t="0" r="0" b="4445"/>
            <wp:docPr id="34" name="Picture 34" descr="Table 23: Median Cmin and Cmax when switching from PP1M to PP3M at Week 17, ± 1 week, and dosing windows around the regularly scheduled 12 week dosing interval, ± 1, ± 2 and ± 3 weeks, after subjects reached apparent steady-state on treatment with PP3M deltoid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07942" cy="913029"/>
                    </a:xfrm>
                    <a:prstGeom prst="rect">
                      <a:avLst/>
                    </a:prstGeom>
                  </pic:spPr>
                </pic:pic>
              </a:graphicData>
            </a:graphic>
          </wp:inline>
        </w:drawing>
      </w:r>
    </w:p>
    <w:p w14:paraId="4544E5E4" w14:textId="77777777" w:rsidR="00486049" w:rsidRDefault="00EF1D3B" w:rsidP="00E65623">
      <w:pPr>
        <w:pStyle w:val="TableDescription"/>
        <w:rPr>
          <w:lang w:eastAsia="en-AU"/>
        </w:rPr>
      </w:pPr>
      <w:r w:rsidRPr="00EF1D3B">
        <w:rPr>
          <w:vertAlign w:val="superscript"/>
          <w:lang w:eastAsia="en-AU"/>
        </w:rPr>
        <w:t>a</w:t>
      </w:r>
      <w:r>
        <w:rPr>
          <w:lang w:eastAsia="en-AU"/>
        </w:rPr>
        <w:t xml:space="preserve">. </w:t>
      </w:r>
      <w:r w:rsidR="007D66D9" w:rsidRPr="007D66D9">
        <w:rPr>
          <w:lang w:eastAsia="en-AU"/>
        </w:rPr>
        <w:t xml:space="preserve">+X week </w:t>
      </w:r>
      <w:r w:rsidR="007D66D9" w:rsidRPr="00E65623">
        <w:t>simulations</w:t>
      </w:r>
      <w:r w:rsidR="007D66D9" w:rsidRPr="007D66D9">
        <w:rPr>
          <w:lang w:eastAsia="en-AU"/>
        </w:rPr>
        <w:t xml:space="preserve"> were performed with the lowest PP3M dose stre</w:t>
      </w:r>
      <w:r w:rsidR="003673F6">
        <w:rPr>
          <w:lang w:eastAsia="en-AU"/>
        </w:rPr>
        <w:t>ng</w:t>
      </w:r>
      <w:r w:rsidR="007D66D9" w:rsidRPr="007D66D9">
        <w:rPr>
          <w:lang w:eastAsia="en-AU"/>
        </w:rPr>
        <w:t xml:space="preserve">th of </w:t>
      </w:r>
      <w:r w:rsidR="0058163A">
        <w:rPr>
          <w:lang w:eastAsia="en-AU"/>
        </w:rPr>
        <w:t>175</w:t>
      </w:r>
      <w:r w:rsidR="004A676D">
        <w:rPr>
          <w:lang w:eastAsia="en-AU"/>
        </w:rPr>
        <w:t xml:space="preserve"> mg</w:t>
      </w:r>
      <w:r w:rsidR="007D66D9" w:rsidRPr="007D66D9">
        <w:rPr>
          <w:lang w:eastAsia="en-AU"/>
        </w:rPr>
        <w:t xml:space="preserve"> </w:t>
      </w:r>
      <w:r w:rsidR="004A676D">
        <w:rPr>
          <w:lang w:eastAsia="en-AU"/>
        </w:rPr>
        <w:t>equivalent</w:t>
      </w:r>
      <w:r w:rsidR="007D66D9" w:rsidRPr="007D66D9">
        <w:rPr>
          <w:lang w:eastAsia="en-AU"/>
        </w:rPr>
        <w:t xml:space="preserve"> to simulate a worst-case scenario (</w:t>
      </w:r>
      <w:r w:rsidR="00785F6E">
        <w:rPr>
          <w:lang w:eastAsia="en-AU"/>
        </w:rPr>
        <w:t>that is</w:t>
      </w:r>
      <w:r w:rsidR="007D66D9" w:rsidRPr="007D66D9">
        <w:rPr>
          <w:lang w:eastAsia="en-AU"/>
        </w:rPr>
        <w:t xml:space="preserve">, largest % drop in </w:t>
      </w:r>
      <w:proofErr w:type="spellStart"/>
      <w:r w:rsidR="007D66D9" w:rsidRPr="007D66D9">
        <w:rPr>
          <w:lang w:eastAsia="en-AU"/>
        </w:rPr>
        <w:t>C</w:t>
      </w:r>
      <w:r w:rsidR="007D66D9" w:rsidRPr="00486049">
        <w:rPr>
          <w:vertAlign w:val="subscript"/>
          <w:lang w:eastAsia="en-AU"/>
        </w:rPr>
        <w:t>min</w:t>
      </w:r>
      <w:proofErr w:type="spellEnd"/>
      <w:r w:rsidR="007D66D9" w:rsidRPr="007D66D9">
        <w:rPr>
          <w:lang w:eastAsia="en-AU"/>
        </w:rPr>
        <w:t>) since the lowest dose has the shortest apparent t1/2.</w:t>
      </w:r>
      <w:r>
        <w:rPr>
          <w:lang w:eastAsia="en-AU"/>
        </w:rPr>
        <w:t xml:space="preserve"> </w:t>
      </w:r>
      <w:r w:rsidRPr="00EF1D3B">
        <w:rPr>
          <w:vertAlign w:val="superscript"/>
          <w:lang w:eastAsia="en-AU"/>
        </w:rPr>
        <w:t>b.</w:t>
      </w:r>
      <w:r>
        <w:rPr>
          <w:lang w:eastAsia="en-AU"/>
        </w:rPr>
        <w:t xml:space="preserve"> </w:t>
      </w:r>
      <w:r w:rsidR="007D66D9" w:rsidRPr="007D66D9">
        <w:rPr>
          <w:lang w:eastAsia="en-AU"/>
        </w:rPr>
        <w:t>-X week simulations were performed with the highest PP3M dose stre</w:t>
      </w:r>
      <w:r w:rsidR="003673F6">
        <w:rPr>
          <w:lang w:eastAsia="en-AU"/>
        </w:rPr>
        <w:t>ng</w:t>
      </w:r>
      <w:r w:rsidR="007D66D9" w:rsidRPr="007D66D9">
        <w:rPr>
          <w:lang w:eastAsia="en-AU"/>
        </w:rPr>
        <w:t xml:space="preserve">th of </w:t>
      </w:r>
      <w:r w:rsidR="0058163A">
        <w:rPr>
          <w:lang w:eastAsia="en-AU"/>
        </w:rPr>
        <w:t>525</w:t>
      </w:r>
      <w:r w:rsidR="004A676D">
        <w:rPr>
          <w:lang w:eastAsia="en-AU"/>
        </w:rPr>
        <w:t xml:space="preserve"> mg</w:t>
      </w:r>
      <w:r w:rsidR="007D66D9" w:rsidRPr="007D66D9">
        <w:rPr>
          <w:lang w:eastAsia="en-AU"/>
        </w:rPr>
        <w:t xml:space="preserve"> </w:t>
      </w:r>
      <w:r w:rsidR="004A676D">
        <w:rPr>
          <w:lang w:eastAsia="en-AU"/>
        </w:rPr>
        <w:t>equivalent</w:t>
      </w:r>
      <w:r w:rsidR="007D66D9" w:rsidRPr="007D66D9">
        <w:rPr>
          <w:lang w:eastAsia="en-AU"/>
        </w:rPr>
        <w:t xml:space="preserve"> to simulate a worst-case scenario (</w:t>
      </w:r>
      <w:r w:rsidR="00785F6E">
        <w:rPr>
          <w:lang w:eastAsia="en-AU"/>
        </w:rPr>
        <w:t>that is</w:t>
      </w:r>
      <w:r w:rsidR="007D66D9" w:rsidRPr="007D66D9">
        <w:rPr>
          <w:lang w:eastAsia="en-AU"/>
        </w:rPr>
        <w:t xml:space="preserve">, largest % increase in </w:t>
      </w:r>
      <w:proofErr w:type="spellStart"/>
      <w:r w:rsidR="009F467D" w:rsidRPr="009F467D">
        <w:t>C</w:t>
      </w:r>
      <w:r w:rsidR="009F467D" w:rsidRPr="009F467D">
        <w:rPr>
          <w:vertAlign w:val="subscript"/>
        </w:rPr>
        <w:t>max</w:t>
      </w:r>
      <w:proofErr w:type="spellEnd"/>
      <w:r>
        <w:rPr>
          <w:lang w:eastAsia="en-AU"/>
        </w:rPr>
        <w:t>).</w:t>
      </w:r>
    </w:p>
    <w:p w14:paraId="7F342DCC" w14:textId="77777777" w:rsidR="004A676D" w:rsidRPr="00785F6E" w:rsidRDefault="007D66D9" w:rsidP="00785F6E">
      <w:pPr>
        <w:pStyle w:val="Comment"/>
      </w:pPr>
      <w:r w:rsidRPr="00785F6E">
        <w:rPr>
          <w:b/>
        </w:rPr>
        <w:t>Comment:</w:t>
      </w:r>
      <w:r w:rsidRPr="00785F6E">
        <w:t xml:space="preserve"> As before the figures in the body of </w:t>
      </w:r>
      <w:r w:rsidRPr="00070306">
        <w:t>the report are difficult</w:t>
      </w:r>
      <w:r w:rsidRPr="00785F6E">
        <w:t xml:space="preserve"> to assess bei</w:t>
      </w:r>
      <w:r w:rsidR="003673F6">
        <w:t>ng</w:t>
      </w:r>
      <w:r w:rsidRPr="00785F6E">
        <w:t xml:space="preserve"> on a log scale for concentration</w:t>
      </w:r>
      <w:r w:rsidR="004A676D" w:rsidRPr="00785F6E">
        <w:t>.</w:t>
      </w:r>
    </w:p>
    <w:p w14:paraId="0FCDE060" w14:textId="77777777" w:rsidR="007D66D9" w:rsidRPr="007D66D9" w:rsidRDefault="007D66D9" w:rsidP="00785F6E">
      <w:pPr>
        <w:rPr>
          <w:lang w:eastAsia="en-AU"/>
        </w:rPr>
      </w:pPr>
      <w:r w:rsidRPr="007D66D9">
        <w:rPr>
          <w:lang w:eastAsia="en-AU"/>
        </w:rPr>
        <w:t>In relation to late Invega Trinza they do show a progressive gradual fall in the lower 90% bound with increase in the duration that the dosi</w:t>
      </w:r>
      <w:r w:rsidR="003673F6">
        <w:rPr>
          <w:lang w:eastAsia="en-AU"/>
        </w:rPr>
        <w:t>ng</w:t>
      </w:r>
      <w:r w:rsidRPr="007D66D9">
        <w:rPr>
          <w:lang w:eastAsia="en-AU"/>
        </w:rPr>
        <w:t xml:space="preserve"> is late, however unlike the table of medians the figures are based on the </w:t>
      </w:r>
      <w:r w:rsidR="0058163A">
        <w:rPr>
          <w:lang w:eastAsia="en-AU"/>
        </w:rPr>
        <w:t>525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doses so that the assessment of some of the lower doses for apparently bei</w:t>
      </w:r>
      <w:r w:rsidR="003673F6">
        <w:rPr>
          <w:lang w:eastAsia="en-AU"/>
        </w:rPr>
        <w:t>ng</w:t>
      </w:r>
      <w:r w:rsidRPr="007D66D9">
        <w:rPr>
          <w:lang w:eastAsia="en-AU"/>
        </w:rPr>
        <w:t xml:space="preserve"> </w:t>
      </w:r>
      <w:r w:rsidRPr="00785F6E">
        <w:rPr>
          <w:lang w:eastAsia="en-AU"/>
        </w:rPr>
        <w:t>below 7.5</w:t>
      </w:r>
      <w:r w:rsidR="00932E50" w:rsidRPr="00785F6E">
        <w:rPr>
          <w:lang w:eastAsia="en-AU"/>
        </w:rPr>
        <w:t xml:space="preserve"> </w:t>
      </w:r>
      <w:r w:rsidR="003673F6">
        <w:rPr>
          <w:lang w:eastAsia="en-AU"/>
        </w:rPr>
        <w:t>ng</w:t>
      </w:r>
      <w:r w:rsidRPr="00785F6E">
        <w:rPr>
          <w:lang w:eastAsia="en-AU"/>
        </w:rPr>
        <w:t>/</w:t>
      </w:r>
      <w:r w:rsidR="004A676D" w:rsidRPr="00785F6E">
        <w:rPr>
          <w:lang w:eastAsia="en-AU"/>
        </w:rPr>
        <w:t>mL</w:t>
      </w:r>
      <w:r w:rsidRPr="00785F6E">
        <w:rPr>
          <w:vertAlign w:val="superscript"/>
          <w:lang w:eastAsia="en-AU"/>
        </w:rPr>
        <w:footnoteReference w:id="14"/>
      </w:r>
      <w:r w:rsidRPr="00785F6E">
        <w:rPr>
          <w:lang w:eastAsia="en-AU"/>
        </w:rPr>
        <w:t xml:space="preserve"> threshold</w:t>
      </w:r>
      <w:r w:rsidRPr="007D66D9">
        <w:rPr>
          <w:lang w:eastAsia="en-AU"/>
        </w:rPr>
        <w:t xml:space="preserve"> is not possible. The duration for this level potentially below the therapeutic threshold could not readily be estimated nor the percentages possibly affected.</w:t>
      </w:r>
    </w:p>
    <w:p w14:paraId="682580B0" w14:textId="77777777" w:rsidR="007D66D9" w:rsidRPr="007D66D9" w:rsidRDefault="007D66D9" w:rsidP="00486049">
      <w:pPr>
        <w:pStyle w:val="Heading6"/>
        <w:rPr>
          <w:lang w:eastAsia="en-AU"/>
        </w:rPr>
      </w:pPr>
      <w:r w:rsidRPr="007D66D9">
        <w:rPr>
          <w:lang w:eastAsia="en-AU"/>
        </w:rPr>
        <w:t>Q12W versus Q13W dosi</w:t>
      </w:r>
      <w:r w:rsidR="003673F6">
        <w:rPr>
          <w:lang w:eastAsia="en-AU"/>
        </w:rPr>
        <w:t>ng</w:t>
      </w:r>
    </w:p>
    <w:p w14:paraId="01C6DA86" w14:textId="77777777" w:rsidR="007D66D9" w:rsidRPr="007D66D9" w:rsidRDefault="007D66D9" w:rsidP="00F94604">
      <w:pPr>
        <w:rPr>
          <w:lang w:eastAsia="en-AU"/>
        </w:rPr>
      </w:pPr>
      <w:r w:rsidRPr="007D66D9">
        <w:rPr>
          <w:lang w:eastAsia="en-AU"/>
        </w:rPr>
        <w:t>Simulations of every 12 weeks with every 13 weeks dosi</w:t>
      </w:r>
      <w:r w:rsidR="003673F6">
        <w:rPr>
          <w:lang w:eastAsia="en-AU"/>
        </w:rPr>
        <w:t>ng</w:t>
      </w:r>
      <w:r w:rsidRPr="007D66D9">
        <w:rPr>
          <w:lang w:eastAsia="en-AU"/>
        </w:rPr>
        <w:t xml:space="preserve"> after subjects</w:t>
      </w:r>
      <w:r w:rsidR="00486049">
        <w:rPr>
          <w:lang w:eastAsia="en-AU"/>
        </w:rPr>
        <w:t xml:space="preserve"> reached apparent steady-state. </w:t>
      </w:r>
      <w:r w:rsidRPr="007D66D9">
        <w:rPr>
          <w:lang w:eastAsia="en-AU"/>
        </w:rPr>
        <w:t xml:space="preserve">The body of the report contained only a comparison of median </w:t>
      </w:r>
      <w:proofErr w:type="spellStart"/>
      <w:r w:rsidRPr="007D66D9">
        <w:rPr>
          <w:lang w:eastAsia="en-AU"/>
        </w:rPr>
        <w:t>C</w:t>
      </w:r>
      <w:r w:rsidRPr="007D66D9">
        <w:rPr>
          <w:vertAlign w:val="subscript"/>
          <w:lang w:eastAsia="en-AU"/>
        </w:rPr>
        <w:t>min</w:t>
      </w:r>
      <w:proofErr w:type="spellEnd"/>
      <w:r w:rsidRPr="007D66D9">
        <w:rPr>
          <w:lang w:eastAsia="en-AU"/>
        </w:rPr>
        <w:t xml:space="preserve">, in Appendix 17.3 though Figure A17-3 suggests a lower 90%bound apparently </w:t>
      </w:r>
      <w:proofErr w:type="gramStart"/>
      <w:r w:rsidRPr="007D66D9">
        <w:rPr>
          <w:lang w:eastAsia="en-AU"/>
        </w:rPr>
        <w:t>below 7.5</w:t>
      </w:r>
      <w:r w:rsidR="00932E50">
        <w:rPr>
          <w:lang w:eastAsia="en-AU"/>
        </w:rPr>
        <w:t xml:space="preserve"> </w:t>
      </w:r>
      <w:r w:rsidR="003673F6">
        <w:rPr>
          <w:lang w:eastAsia="en-AU"/>
        </w:rPr>
        <w:t>ng</w:t>
      </w:r>
      <w:r w:rsidRPr="007D66D9">
        <w:rPr>
          <w:lang w:eastAsia="en-AU"/>
        </w:rPr>
        <w:t>/</w:t>
      </w:r>
      <w:r w:rsidR="004A676D">
        <w:rPr>
          <w:lang w:eastAsia="en-AU"/>
        </w:rPr>
        <w:t>mL</w:t>
      </w:r>
      <w:r w:rsidRPr="007D66D9">
        <w:rPr>
          <w:lang w:eastAsia="en-AU"/>
        </w:rPr>
        <w:t xml:space="preserve"> for </w:t>
      </w:r>
      <w:r w:rsidR="0058163A">
        <w:rPr>
          <w:lang w:eastAsia="en-AU"/>
        </w:rPr>
        <w:t>175</w:t>
      </w:r>
      <w:r w:rsidR="004A676D">
        <w:rPr>
          <w:lang w:eastAsia="en-AU"/>
        </w:rPr>
        <w:t xml:space="preserve"> mg</w:t>
      </w:r>
      <w:r w:rsidRPr="007D66D9">
        <w:rPr>
          <w:lang w:eastAsia="en-AU"/>
        </w:rPr>
        <w:t xml:space="preserve"> </w:t>
      </w:r>
      <w:r w:rsidR="004A676D">
        <w:rPr>
          <w:lang w:eastAsia="en-AU"/>
        </w:rPr>
        <w:t>equivalent</w:t>
      </w:r>
      <w:proofErr w:type="gramEnd"/>
      <w:r w:rsidR="00607328">
        <w:rPr>
          <w:lang w:eastAsia="en-AU"/>
        </w:rPr>
        <w:t>.</w:t>
      </w:r>
    </w:p>
    <w:p w14:paraId="44BA0073" w14:textId="77777777" w:rsidR="007D66D9" w:rsidRPr="007D66D9" w:rsidRDefault="007D66D9" w:rsidP="00EF1D3B">
      <w:pPr>
        <w:pStyle w:val="FigureTitle"/>
        <w:keepNext/>
        <w:rPr>
          <w:lang w:eastAsia="en-AU"/>
        </w:rPr>
      </w:pPr>
      <w:bookmarkStart w:id="105" w:name="_Toc453055056"/>
      <w:r w:rsidRPr="00070306">
        <w:rPr>
          <w:lang w:eastAsia="en-AU"/>
        </w:rPr>
        <w:lastRenderedPageBreak/>
        <w:t xml:space="preserve">Figure </w:t>
      </w:r>
      <w:r w:rsidR="00070306" w:rsidRPr="00070306">
        <w:rPr>
          <w:lang w:eastAsia="en-AU"/>
        </w:rPr>
        <w:t>15:</w:t>
      </w:r>
      <w:r w:rsidRPr="00070306">
        <w:rPr>
          <w:lang w:eastAsia="en-AU"/>
        </w:rPr>
        <w:t xml:space="preserve"> The</w:t>
      </w:r>
      <w:r w:rsidRPr="00486049">
        <w:rPr>
          <w:lang w:eastAsia="en-AU"/>
        </w:rPr>
        <w:t xml:space="preserve"> simulated paliperidone concentration versus time profiles for Q12W and</w:t>
      </w:r>
      <w:r w:rsidRPr="007D66D9">
        <w:rPr>
          <w:lang w:eastAsia="en-AU"/>
        </w:rPr>
        <w:t xml:space="preserve"> Q13W dosi</w:t>
      </w:r>
      <w:r w:rsidR="003673F6">
        <w:rPr>
          <w:lang w:eastAsia="en-AU"/>
        </w:rPr>
        <w:t>ng</w:t>
      </w:r>
      <w:r w:rsidRPr="007D66D9">
        <w:rPr>
          <w:lang w:eastAsia="en-AU"/>
        </w:rPr>
        <w:t xml:space="preserve"> with </w:t>
      </w:r>
      <w:r w:rsidR="0058163A">
        <w:rPr>
          <w:lang w:eastAsia="en-AU"/>
        </w:rPr>
        <w:t>175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PP3M</w:t>
      </w:r>
      <w:bookmarkEnd w:id="105"/>
    </w:p>
    <w:p w14:paraId="2EB01758" w14:textId="77777777" w:rsidR="007D66D9" w:rsidRPr="007D66D9" w:rsidRDefault="007D66D9" w:rsidP="00E65623">
      <w:pPr>
        <w:rPr>
          <w:lang w:eastAsia="en-AU"/>
        </w:rPr>
      </w:pPr>
      <w:r w:rsidRPr="007D66D9">
        <w:rPr>
          <w:noProof/>
          <w:lang w:eastAsia="en-AU"/>
        </w:rPr>
        <w:drawing>
          <wp:inline distT="0" distB="0" distL="0" distR="0" wp14:anchorId="6262803D" wp14:editId="77DE929A">
            <wp:extent cx="4074566" cy="2315094"/>
            <wp:effectExtent l="0" t="0" r="2540" b="9525"/>
            <wp:docPr id="35" name="Picture 35" descr="Figure 15: The simulated paliperidone concentration versus time profiles for Q12W and Q13W dosing with 175 mg equivalent PP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071605" cy="2313411"/>
                    </a:xfrm>
                    <a:prstGeom prst="rect">
                      <a:avLst/>
                    </a:prstGeom>
                  </pic:spPr>
                </pic:pic>
              </a:graphicData>
            </a:graphic>
          </wp:inline>
        </w:drawing>
      </w:r>
    </w:p>
    <w:p w14:paraId="347C541A" w14:textId="77777777" w:rsidR="00486049" w:rsidRDefault="007D66D9" w:rsidP="00E65623">
      <w:pPr>
        <w:pStyle w:val="TableDescription"/>
        <w:rPr>
          <w:lang w:eastAsia="en-AU"/>
        </w:rPr>
      </w:pPr>
      <w:r w:rsidRPr="007D66D9">
        <w:rPr>
          <w:lang w:eastAsia="en-AU"/>
        </w:rPr>
        <w:t xml:space="preserve">The solid lines and </w:t>
      </w:r>
      <w:r w:rsidRPr="00E65623">
        <w:t>shaded</w:t>
      </w:r>
      <w:r w:rsidRPr="007D66D9">
        <w:rPr>
          <w:lang w:eastAsia="en-AU"/>
        </w:rPr>
        <w:t xml:space="preserve"> areas represent the median paliperidone concentrations and 90% prediction intervals, respectively, after dosi</w:t>
      </w:r>
      <w:r w:rsidR="003673F6">
        <w:rPr>
          <w:lang w:eastAsia="en-AU"/>
        </w:rPr>
        <w:t>ng</w:t>
      </w:r>
      <w:r w:rsidRPr="007D66D9">
        <w:rPr>
          <w:lang w:eastAsia="en-AU"/>
        </w:rPr>
        <w:t xml:space="preserve"> every 12 weeks (blue) or every 13 weeks (red</w:t>
      </w:r>
      <w:r w:rsidR="00486049">
        <w:rPr>
          <w:lang w:eastAsia="en-AU"/>
        </w:rPr>
        <w:t>).</w:t>
      </w:r>
    </w:p>
    <w:p w14:paraId="20B327B7" w14:textId="77777777" w:rsidR="007D66D9" w:rsidRPr="007D66D9" w:rsidRDefault="007D66D9" w:rsidP="00486049">
      <w:pPr>
        <w:pStyle w:val="Comment"/>
        <w:rPr>
          <w:lang w:eastAsia="en-AU"/>
        </w:rPr>
      </w:pPr>
      <w:r w:rsidRPr="007D66D9">
        <w:rPr>
          <w:rFonts w:eastAsia="Times New Roman"/>
          <w:b/>
          <w:kern w:val="16"/>
          <w:lang w:eastAsia="en-AU"/>
        </w:rPr>
        <w:t>Comment</w:t>
      </w:r>
      <w:r w:rsidRPr="007D66D9">
        <w:rPr>
          <w:rFonts w:eastAsia="Times New Roman"/>
          <w:kern w:val="16"/>
          <w:lang w:eastAsia="en-AU"/>
        </w:rPr>
        <w:t>: As before the figures in the appendix of the report are difficult to assess bei</w:t>
      </w:r>
      <w:r w:rsidR="003673F6">
        <w:rPr>
          <w:rFonts w:eastAsia="Times New Roman"/>
          <w:kern w:val="16"/>
          <w:lang w:eastAsia="en-AU"/>
        </w:rPr>
        <w:t>ng</w:t>
      </w:r>
      <w:r w:rsidRPr="007D66D9">
        <w:rPr>
          <w:rFonts w:eastAsia="Times New Roman"/>
          <w:kern w:val="16"/>
          <w:lang w:eastAsia="en-AU"/>
        </w:rPr>
        <w:t xml:space="preserve"> on a log scale for concentration, however they do show a progressive gradual fall In the lower 90% bound. The duration for this level potentially below the therapeutic threshold could not readily be estimated nor the percentages possibly affected nor the effect of Q12W </w:t>
      </w:r>
      <w:r w:rsidR="00785F6E">
        <w:rPr>
          <w:rFonts w:eastAsia="Times New Roman"/>
          <w:kern w:val="16"/>
          <w:lang w:eastAsia="en-AU"/>
        </w:rPr>
        <w:t>versus</w:t>
      </w:r>
      <w:r w:rsidRPr="007D66D9">
        <w:rPr>
          <w:rFonts w:eastAsia="Times New Roman"/>
          <w:kern w:val="16"/>
          <w:lang w:eastAsia="en-AU"/>
        </w:rPr>
        <w:t xml:space="preserve"> Q13W.</w:t>
      </w:r>
    </w:p>
    <w:p w14:paraId="140748C9" w14:textId="77777777" w:rsidR="007D66D9" w:rsidRPr="007D66D9" w:rsidRDefault="007D66D9" w:rsidP="00486049">
      <w:pPr>
        <w:pStyle w:val="Heading6"/>
        <w:rPr>
          <w:lang w:eastAsia="en-AU"/>
        </w:rPr>
      </w:pPr>
      <w:r w:rsidRPr="007D66D9">
        <w:rPr>
          <w:lang w:eastAsia="en-AU"/>
        </w:rPr>
        <w:t>Time to reach 7.5</w:t>
      </w:r>
      <w:r w:rsidR="00932E50">
        <w:rPr>
          <w:lang w:eastAsia="en-AU"/>
        </w:rPr>
        <w:t xml:space="preserve"> </w:t>
      </w:r>
      <w:r w:rsidR="003673F6">
        <w:rPr>
          <w:lang w:eastAsia="en-AU"/>
        </w:rPr>
        <w:t>ng</w:t>
      </w:r>
      <w:r w:rsidRPr="007D66D9">
        <w:rPr>
          <w:lang w:eastAsia="en-AU"/>
        </w:rPr>
        <w:t>/</w:t>
      </w:r>
      <w:r w:rsidR="004A676D">
        <w:rPr>
          <w:lang w:eastAsia="en-AU"/>
        </w:rPr>
        <w:t>mL</w:t>
      </w:r>
      <w:r w:rsidRPr="007D66D9">
        <w:rPr>
          <w:lang w:eastAsia="en-AU"/>
        </w:rPr>
        <w:t xml:space="preserve"> after stoppi</w:t>
      </w:r>
      <w:r w:rsidR="003673F6">
        <w:rPr>
          <w:lang w:eastAsia="en-AU"/>
        </w:rPr>
        <w:t>ng</w:t>
      </w:r>
      <w:r w:rsidRPr="007D66D9">
        <w:rPr>
          <w:lang w:eastAsia="en-AU"/>
        </w:rPr>
        <w:t xml:space="preserve"> Invega </w:t>
      </w:r>
      <w:r w:rsidRPr="00607328">
        <w:rPr>
          <w:lang w:eastAsia="en-AU"/>
        </w:rPr>
        <w:t>Trinza</w:t>
      </w:r>
      <w:r w:rsidRPr="00607328">
        <w:rPr>
          <w:vertAlign w:val="superscript"/>
          <w:lang w:eastAsia="en-AU"/>
        </w:rPr>
        <w:footnoteReference w:id="15"/>
      </w:r>
    </w:p>
    <w:p w14:paraId="76800E6C" w14:textId="77777777" w:rsidR="007D66D9" w:rsidRPr="007D66D9" w:rsidRDefault="007D66D9" w:rsidP="00F94604">
      <w:pPr>
        <w:rPr>
          <w:lang w:eastAsia="en-AU"/>
        </w:rPr>
      </w:pPr>
      <w:r w:rsidRPr="007D66D9">
        <w:rPr>
          <w:lang w:eastAsia="en-AU"/>
        </w:rPr>
        <w:t>This simulation was incorrectly described repeatedly as time to 60 % D</w:t>
      </w:r>
      <w:r w:rsidRPr="007D66D9">
        <w:rPr>
          <w:vertAlign w:val="subscript"/>
          <w:lang w:eastAsia="en-AU"/>
        </w:rPr>
        <w:t>2</w:t>
      </w:r>
      <w:r w:rsidRPr="007D66D9">
        <w:rPr>
          <w:lang w:eastAsia="en-AU"/>
        </w:rPr>
        <w:t xml:space="preserve"> </w:t>
      </w:r>
      <w:r w:rsidRPr="00607328">
        <w:rPr>
          <w:lang w:eastAsia="en-AU"/>
        </w:rPr>
        <w:t>receptor occupancy.</w:t>
      </w:r>
      <w:r w:rsidRPr="00607328">
        <w:rPr>
          <w:vertAlign w:val="superscript"/>
          <w:lang w:eastAsia="en-AU"/>
        </w:rPr>
        <w:footnoteReference w:id="16"/>
      </w:r>
      <w:r w:rsidRPr="00607328">
        <w:rPr>
          <w:lang w:eastAsia="en-AU"/>
        </w:rPr>
        <w:t xml:space="preserve"> The</w:t>
      </w:r>
      <w:r w:rsidRPr="007D66D9">
        <w:rPr>
          <w:lang w:eastAsia="en-AU"/>
        </w:rPr>
        <w:t xml:space="preserve"> body of the report contained only a statement on the duration of median concentrations ≥</w:t>
      </w:r>
      <w:r w:rsidR="00785F6E">
        <w:rPr>
          <w:lang w:eastAsia="en-AU"/>
        </w:rPr>
        <w:t> </w:t>
      </w:r>
      <w:proofErr w:type="gramStart"/>
      <w:r w:rsidRPr="007D66D9">
        <w:rPr>
          <w:lang w:eastAsia="en-AU"/>
        </w:rPr>
        <w:t>7.5</w:t>
      </w:r>
      <w:r w:rsidR="00785F6E">
        <w:rPr>
          <w:lang w:eastAsia="en-AU"/>
        </w:rPr>
        <w:t> </w:t>
      </w:r>
      <w:r w:rsidR="003673F6">
        <w:rPr>
          <w:lang w:eastAsia="en-AU"/>
        </w:rPr>
        <w:t>ng</w:t>
      </w:r>
      <w:r w:rsidRPr="007D66D9">
        <w:rPr>
          <w:lang w:eastAsia="en-AU"/>
        </w:rPr>
        <w:t>/</w:t>
      </w:r>
      <w:r w:rsidR="004A676D">
        <w:rPr>
          <w:lang w:eastAsia="en-AU"/>
        </w:rPr>
        <w:t>mL</w:t>
      </w:r>
      <w:proofErr w:type="gramEnd"/>
      <w:r w:rsidRPr="007D66D9">
        <w:rPr>
          <w:lang w:eastAsia="en-AU"/>
        </w:rPr>
        <w:t xml:space="preserve"> for 350 </w:t>
      </w:r>
      <w:r w:rsidR="00E60DFA">
        <w:rPr>
          <w:lang w:eastAsia="en-AU"/>
        </w:rPr>
        <w:t>and</w:t>
      </w:r>
      <w:r w:rsidRPr="007D66D9">
        <w:rPr>
          <w:lang w:eastAsia="en-AU"/>
        </w:rPr>
        <w:t xml:space="preserve"> </w:t>
      </w:r>
      <w:r w:rsidR="0058163A">
        <w:rPr>
          <w:lang w:eastAsia="en-AU"/>
        </w:rPr>
        <w:t>525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Appendix 17.2 contained Figure A17-2 which showed for </w:t>
      </w:r>
      <w:r w:rsidR="0058163A">
        <w:rPr>
          <w:lang w:eastAsia="en-AU"/>
        </w:rPr>
        <w:t>175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a median time of 19.2 weeks, while for </w:t>
      </w:r>
      <w:r w:rsidR="0058163A">
        <w:rPr>
          <w:lang w:eastAsia="en-AU"/>
        </w:rPr>
        <w:t>525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the median time was 59 weeks.</w:t>
      </w:r>
    </w:p>
    <w:p w14:paraId="29B64969" w14:textId="77777777" w:rsidR="004A676D" w:rsidRDefault="007D66D9" w:rsidP="00EF1D3B">
      <w:pPr>
        <w:pStyle w:val="FigureTitle"/>
        <w:keepNext/>
        <w:rPr>
          <w:lang w:eastAsia="en-AU"/>
        </w:rPr>
      </w:pPr>
      <w:bookmarkStart w:id="106" w:name="_Toc453055057"/>
      <w:r w:rsidRPr="00070306">
        <w:rPr>
          <w:lang w:eastAsia="en-AU"/>
        </w:rPr>
        <w:lastRenderedPageBreak/>
        <w:t xml:space="preserve">Figure </w:t>
      </w:r>
      <w:r w:rsidR="00070306" w:rsidRPr="00070306">
        <w:rPr>
          <w:lang w:eastAsia="en-AU"/>
        </w:rPr>
        <w:t>16:</w:t>
      </w:r>
      <w:r w:rsidRPr="00070306">
        <w:rPr>
          <w:lang w:eastAsia="en-AU"/>
        </w:rPr>
        <w:t xml:space="preserve"> Time to median concentration </w:t>
      </w:r>
      <w:proofErr w:type="gramStart"/>
      <w:r w:rsidRPr="00070306">
        <w:rPr>
          <w:lang w:eastAsia="en-AU"/>
        </w:rPr>
        <w:t>of 7.5</w:t>
      </w:r>
      <w:r w:rsidR="00932E50" w:rsidRPr="00070306">
        <w:rPr>
          <w:lang w:eastAsia="en-AU"/>
        </w:rPr>
        <w:t xml:space="preserve"> </w:t>
      </w:r>
      <w:r w:rsidR="003673F6" w:rsidRPr="00070306">
        <w:rPr>
          <w:lang w:eastAsia="en-AU"/>
        </w:rPr>
        <w:t>ng</w:t>
      </w:r>
      <w:r w:rsidR="00607328" w:rsidRPr="00070306">
        <w:rPr>
          <w:lang w:eastAsia="en-AU"/>
        </w:rPr>
        <w:t>/mL</w:t>
      </w:r>
      <w:proofErr w:type="gramEnd"/>
      <w:r w:rsidRPr="00070306">
        <w:rPr>
          <w:lang w:eastAsia="en-AU"/>
        </w:rPr>
        <w:t xml:space="preserve"> after discontinuation with PP3M</w:t>
      </w:r>
      <w:bookmarkEnd w:id="106"/>
    </w:p>
    <w:p w14:paraId="512B0481" w14:textId="77777777" w:rsidR="007D66D9" w:rsidRPr="007D66D9" w:rsidRDefault="007D66D9" w:rsidP="00E65623">
      <w:pPr>
        <w:rPr>
          <w:bCs/>
          <w:lang w:eastAsia="en-AU"/>
        </w:rPr>
      </w:pPr>
      <w:r w:rsidRPr="007D66D9">
        <w:rPr>
          <w:noProof/>
          <w:lang w:eastAsia="en-AU"/>
        </w:rPr>
        <w:drawing>
          <wp:inline distT="0" distB="0" distL="0" distR="0" wp14:anchorId="30AB141C" wp14:editId="2E2F3AE2">
            <wp:extent cx="5231842" cy="3606394"/>
            <wp:effectExtent l="0" t="0" r="6985" b="0"/>
            <wp:docPr id="36" name="Picture 36" descr="Figure 16: Time to median concentration of 7.5 ng/mL after discontinuation with PP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35536" cy="3608940"/>
                    </a:xfrm>
                    <a:prstGeom prst="rect">
                      <a:avLst/>
                    </a:prstGeom>
                  </pic:spPr>
                </pic:pic>
              </a:graphicData>
            </a:graphic>
          </wp:inline>
        </w:drawing>
      </w:r>
    </w:p>
    <w:p w14:paraId="7A58AE03" w14:textId="77777777" w:rsidR="004A676D" w:rsidRPr="00F634A2" w:rsidRDefault="007D66D9" w:rsidP="00E65623">
      <w:pPr>
        <w:pStyle w:val="TableDescription"/>
      </w:pPr>
      <w:r w:rsidRPr="00E65623">
        <w:t>Comment</w:t>
      </w:r>
      <w:r w:rsidR="00F634A2" w:rsidRPr="00F634A2">
        <w:t xml:space="preserve"> </w:t>
      </w:r>
      <w:proofErr w:type="gramStart"/>
      <w:r w:rsidR="00F634A2" w:rsidRPr="00607328">
        <w:t>The</w:t>
      </w:r>
      <w:proofErr w:type="gramEnd"/>
      <w:r w:rsidR="00F634A2" w:rsidRPr="00607328">
        <w:t xml:space="preserve"> solid blue lines represent the median paliperidone concentrations. D2: dopamine type 2; PP3M: paliperidone palmitate 3 Month</w:t>
      </w:r>
      <w:r w:rsidR="00F634A2">
        <w:t xml:space="preserve"> formulation. </w:t>
      </w:r>
      <w:r w:rsidRPr="007D66D9">
        <w:rPr>
          <w:rFonts w:eastAsia="Times New Roman"/>
          <w:kern w:val="16"/>
          <w:lang w:eastAsia="en-AU"/>
        </w:rPr>
        <w:t>The lower 90% bounds are not provided</w:t>
      </w:r>
      <w:r w:rsidR="004A676D">
        <w:rPr>
          <w:rFonts w:eastAsia="Times New Roman"/>
          <w:kern w:val="16"/>
          <w:lang w:eastAsia="en-AU"/>
        </w:rPr>
        <w:t>.</w:t>
      </w:r>
    </w:p>
    <w:p w14:paraId="3718B189" w14:textId="77777777" w:rsidR="007D66D9" w:rsidRPr="007D66D9" w:rsidRDefault="007D66D9" w:rsidP="00094D64">
      <w:pPr>
        <w:pStyle w:val="Heading6"/>
        <w:rPr>
          <w:lang w:eastAsia="en-AU"/>
        </w:rPr>
      </w:pPr>
      <w:r w:rsidRPr="007D66D9">
        <w:rPr>
          <w:lang w:eastAsia="en-AU"/>
        </w:rPr>
        <w:t>Transition to oral paliperidone ER after Invega Trinza</w:t>
      </w:r>
    </w:p>
    <w:p w14:paraId="495FA5C4" w14:textId="77777777" w:rsidR="007D66D9" w:rsidRPr="007D66D9" w:rsidRDefault="007D66D9" w:rsidP="00F94604">
      <w:pPr>
        <w:rPr>
          <w:lang w:eastAsia="en-AU"/>
        </w:rPr>
      </w:pPr>
      <w:r w:rsidRPr="007D66D9">
        <w:rPr>
          <w:lang w:eastAsia="en-AU"/>
        </w:rPr>
        <w:t>The report contained only a simulation relati</w:t>
      </w:r>
      <w:r w:rsidR="003673F6">
        <w:rPr>
          <w:lang w:eastAsia="en-AU"/>
        </w:rPr>
        <w:t>ng</w:t>
      </w:r>
      <w:r w:rsidRPr="007D66D9">
        <w:rPr>
          <w:lang w:eastAsia="en-AU"/>
        </w:rPr>
        <w:t xml:space="preserve"> to ceasi</w:t>
      </w:r>
      <w:r w:rsidR="003673F6">
        <w:rPr>
          <w:lang w:eastAsia="en-AU"/>
        </w:rPr>
        <w:t>ng</w:t>
      </w:r>
      <w:r w:rsidRPr="007D66D9">
        <w:rPr>
          <w:lang w:eastAsia="en-AU"/>
        </w:rPr>
        <w:t xml:space="preserve"> </w:t>
      </w:r>
      <w:r w:rsidR="0058163A">
        <w:rPr>
          <w:lang w:eastAsia="en-AU"/>
        </w:rPr>
        <w:t>525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usi</w:t>
      </w:r>
      <w:r w:rsidR="003673F6">
        <w:rPr>
          <w:lang w:eastAsia="en-AU"/>
        </w:rPr>
        <w:t>ng</w:t>
      </w:r>
      <w:r w:rsidRPr="007D66D9">
        <w:rPr>
          <w:lang w:eastAsia="en-AU"/>
        </w:rPr>
        <w:t xml:space="preserve"> the protocol 6</w:t>
      </w:r>
      <w:r w:rsidR="00607328">
        <w:rPr>
          <w:lang w:eastAsia="en-AU"/>
        </w:rPr>
        <w:t> </w:t>
      </w:r>
      <w:r w:rsidR="004A676D">
        <w:rPr>
          <w:lang w:eastAsia="en-AU"/>
        </w:rPr>
        <w:t>mg</w:t>
      </w:r>
      <w:r w:rsidRPr="007D66D9">
        <w:rPr>
          <w:lang w:eastAsia="en-AU"/>
        </w:rPr>
        <w:t xml:space="preserve"> if the time since the last Invega Trinza dose was ≥ 12 weeks to ≤ 18 weeks; 9</w:t>
      </w:r>
      <w:r w:rsidR="004A676D">
        <w:rPr>
          <w:lang w:eastAsia="en-AU"/>
        </w:rPr>
        <w:t xml:space="preserve"> mg</w:t>
      </w:r>
      <w:r w:rsidRPr="007D66D9">
        <w:rPr>
          <w:lang w:eastAsia="en-AU"/>
        </w:rPr>
        <w:t xml:space="preserve"> if the time since the last Invega Trinza dose was &gt; 18 weeks to ≤ 24 weeks; and 12</w:t>
      </w:r>
      <w:r w:rsidR="004A676D">
        <w:rPr>
          <w:lang w:eastAsia="en-AU"/>
        </w:rPr>
        <w:t xml:space="preserve"> mg</w:t>
      </w:r>
      <w:r w:rsidRPr="007D66D9">
        <w:rPr>
          <w:lang w:eastAsia="en-AU"/>
        </w:rPr>
        <w:t xml:space="preserve"> if the time since the last Invega Trinza dose was &gt; 24 weeks.</w:t>
      </w:r>
    </w:p>
    <w:p w14:paraId="7567379A" w14:textId="77777777" w:rsidR="007D66D9" w:rsidRPr="007D66D9" w:rsidRDefault="007D66D9" w:rsidP="00486049">
      <w:pPr>
        <w:pStyle w:val="Comment"/>
        <w:rPr>
          <w:lang w:eastAsia="en-AU"/>
        </w:rPr>
      </w:pPr>
      <w:r w:rsidRPr="007D66D9">
        <w:rPr>
          <w:rFonts w:eastAsia="Times New Roman"/>
          <w:b/>
          <w:kern w:val="16"/>
          <w:lang w:eastAsia="en-AU"/>
        </w:rPr>
        <w:t>Comment</w:t>
      </w:r>
      <w:r w:rsidRPr="007D66D9">
        <w:rPr>
          <w:rFonts w:eastAsia="Times New Roman"/>
          <w:kern w:val="16"/>
          <w:lang w:eastAsia="en-AU"/>
        </w:rPr>
        <w:t xml:space="preserve">: As before the figures in the body of the </w:t>
      </w:r>
      <w:r w:rsidRPr="00070306">
        <w:rPr>
          <w:rFonts w:eastAsia="Times New Roman"/>
          <w:kern w:val="16"/>
          <w:lang w:eastAsia="en-AU"/>
        </w:rPr>
        <w:t xml:space="preserve">report </w:t>
      </w:r>
      <w:r w:rsidR="00070306" w:rsidRPr="00070306">
        <w:rPr>
          <w:rFonts w:eastAsia="Times New Roman"/>
          <w:kern w:val="16"/>
          <w:lang w:eastAsia="en-AU"/>
        </w:rPr>
        <w:t>(Figure 17</w:t>
      </w:r>
      <w:r w:rsidRPr="00070306">
        <w:rPr>
          <w:rFonts w:eastAsia="Times New Roman"/>
          <w:kern w:val="16"/>
          <w:lang w:eastAsia="en-AU"/>
        </w:rPr>
        <w:t>) are</w:t>
      </w:r>
      <w:r w:rsidRPr="007D66D9">
        <w:rPr>
          <w:rFonts w:eastAsia="Times New Roman"/>
          <w:kern w:val="16"/>
          <w:lang w:eastAsia="en-AU"/>
        </w:rPr>
        <w:t xml:space="preserve"> difficult to assess bei</w:t>
      </w:r>
      <w:r w:rsidR="003673F6">
        <w:rPr>
          <w:rFonts w:eastAsia="Times New Roman"/>
          <w:kern w:val="16"/>
          <w:lang w:eastAsia="en-AU"/>
        </w:rPr>
        <w:t>ng</w:t>
      </w:r>
      <w:r w:rsidRPr="007D66D9">
        <w:rPr>
          <w:rFonts w:eastAsia="Times New Roman"/>
          <w:kern w:val="16"/>
          <w:lang w:eastAsia="en-AU"/>
        </w:rPr>
        <w:t xml:space="preserve"> on a log scale for concentration. Not included in the submission was the PopPK Analysis Report from which the paliperidone ER modelli</w:t>
      </w:r>
      <w:r w:rsidR="003673F6">
        <w:rPr>
          <w:rFonts w:eastAsia="Times New Roman"/>
          <w:kern w:val="16"/>
          <w:lang w:eastAsia="en-AU"/>
        </w:rPr>
        <w:t>ng</w:t>
      </w:r>
      <w:r w:rsidRPr="007D66D9">
        <w:rPr>
          <w:rFonts w:eastAsia="Times New Roman"/>
          <w:kern w:val="16"/>
          <w:lang w:eastAsia="en-AU"/>
        </w:rPr>
        <w:t xml:space="preserve"> was derived.</w:t>
      </w:r>
    </w:p>
    <w:p w14:paraId="13CD0243" w14:textId="77777777" w:rsidR="007D66D9" w:rsidRPr="007D66D9" w:rsidRDefault="007D66D9" w:rsidP="00F94604">
      <w:pPr>
        <w:rPr>
          <w:lang w:eastAsia="en-AU"/>
        </w:rPr>
      </w:pPr>
      <w:r w:rsidRPr="007D66D9">
        <w:rPr>
          <w:lang w:eastAsia="en-AU"/>
        </w:rPr>
        <w:t xml:space="preserve">The upper 90% bound </w:t>
      </w:r>
      <w:proofErr w:type="spellStart"/>
      <w:r w:rsidR="009F467D" w:rsidRPr="009F467D">
        <w:t>C</w:t>
      </w:r>
      <w:r w:rsidR="009F467D" w:rsidRPr="009F467D">
        <w:rPr>
          <w:vertAlign w:val="subscript"/>
        </w:rPr>
        <w:t>max</w:t>
      </w:r>
      <w:proofErr w:type="spellEnd"/>
      <w:r w:rsidRPr="007D66D9">
        <w:rPr>
          <w:lang w:eastAsia="en-AU"/>
        </w:rPr>
        <w:t xml:space="preserve"> for ER dosi</w:t>
      </w:r>
      <w:r w:rsidR="003673F6">
        <w:rPr>
          <w:lang w:eastAsia="en-AU"/>
        </w:rPr>
        <w:t>ng</w:t>
      </w:r>
      <w:r w:rsidRPr="007D66D9">
        <w:rPr>
          <w:lang w:eastAsia="en-AU"/>
        </w:rPr>
        <w:t xml:space="preserve"> as proposed after </w:t>
      </w:r>
      <w:r w:rsidR="0058163A">
        <w:rPr>
          <w:lang w:eastAsia="en-AU"/>
        </w:rPr>
        <w:t>525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Invega Trinza appears to progressively exceed that </w:t>
      </w:r>
      <w:r w:rsidR="00486049">
        <w:rPr>
          <w:lang w:eastAsia="en-AU"/>
        </w:rPr>
        <w:t>for steady state Invega Trinza.</w:t>
      </w:r>
    </w:p>
    <w:p w14:paraId="3ADC8CCC" w14:textId="77777777" w:rsidR="007D66D9" w:rsidRPr="007D66D9" w:rsidRDefault="007D66D9" w:rsidP="00EF1D3B">
      <w:pPr>
        <w:pStyle w:val="FigureTitle"/>
        <w:keepNext/>
        <w:rPr>
          <w:lang w:eastAsia="en-AU"/>
        </w:rPr>
      </w:pPr>
      <w:bookmarkStart w:id="107" w:name="_Toc453055058"/>
      <w:r w:rsidRPr="00070306">
        <w:rPr>
          <w:lang w:eastAsia="en-AU"/>
        </w:rPr>
        <w:lastRenderedPageBreak/>
        <w:t xml:space="preserve">Figure </w:t>
      </w:r>
      <w:r w:rsidR="00070306" w:rsidRPr="00070306">
        <w:rPr>
          <w:lang w:eastAsia="en-AU"/>
        </w:rPr>
        <w:t>17:</w:t>
      </w:r>
      <w:r w:rsidRPr="00070306">
        <w:rPr>
          <w:lang w:eastAsia="en-AU"/>
        </w:rPr>
        <w:t xml:space="preserve"> Transition from PP3M to oral paliperidone ER</w:t>
      </w:r>
      <w:bookmarkEnd w:id="107"/>
    </w:p>
    <w:p w14:paraId="3A123A63" w14:textId="77777777" w:rsidR="007D66D9" w:rsidRPr="007D66D9" w:rsidRDefault="007D66D9" w:rsidP="00E65623">
      <w:pPr>
        <w:rPr>
          <w:lang w:eastAsia="en-AU"/>
        </w:rPr>
      </w:pPr>
      <w:r w:rsidRPr="007D66D9">
        <w:rPr>
          <w:noProof/>
          <w:lang w:eastAsia="en-AU"/>
        </w:rPr>
        <w:drawing>
          <wp:inline distT="0" distB="0" distL="0" distR="0" wp14:anchorId="64F2B93B" wp14:editId="4EB8F110">
            <wp:extent cx="446400" cy="326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r="93087"/>
                    <a:stretch/>
                  </pic:blipFill>
                  <pic:spPr bwMode="auto">
                    <a:xfrm>
                      <a:off x="0" y="0"/>
                      <a:ext cx="446400" cy="3268800"/>
                    </a:xfrm>
                    <a:prstGeom prst="rect">
                      <a:avLst/>
                    </a:prstGeom>
                    <a:ln>
                      <a:noFill/>
                    </a:ln>
                    <a:extLst>
                      <a:ext uri="{53640926-AAD7-44D8-BBD7-CCE9431645EC}">
                        <a14:shadowObscured xmlns:a14="http://schemas.microsoft.com/office/drawing/2010/main"/>
                      </a:ext>
                    </a:extLst>
                  </pic:spPr>
                </pic:pic>
              </a:graphicData>
            </a:graphic>
          </wp:inline>
        </w:drawing>
      </w:r>
      <w:r w:rsidRPr="007D66D9">
        <w:rPr>
          <w:noProof/>
          <w:lang w:eastAsia="en-AU"/>
        </w:rPr>
        <w:drawing>
          <wp:inline distT="0" distB="0" distL="0" distR="0" wp14:anchorId="2804CA7B" wp14:editId="5AD89817">
            <wp:extent cx="4059936" cy="2636949"/>
            <wp:effectExtent l="0" t="0" r="0" b="0"/>
            <wp:docPr id="38" name="Picture 38" descr="Figure 17: Transition from PP3M to oral paliperidone 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5723" t="2197" r="-112" b="2329"/>
                    <a:stretch/>
                  </pic:blipFill>
                  <pic:spPr bwMode="auto">
                    <a:xfrm>
                      <a:off x="0" y="0"/>
                      <a:ext cx="4063384" cy="2639189"/>
                    </a:xfrm>
                    <a:prstGeom prst="rect">
                      <a:avLst/>
                    </a:prstGeom>
                    <a:ln>
                      <a:noFill/>
                    </a:ln>
                    <a:extLst>
                      <a:ext uri="{53640926-AAD7-44D8-BBD7-CCE9431645EC}">
                        <a14:shadowObscured xmlns:a14="http://schemas.microsoft.com/office/drawing/2010/main"/>
                      </a:ext>
                    </a:extLst>
                  </pic:spPr>
                </pic:pic>
              </a:graphicData>
            </a:graphic>
          </wp:inline>
        </w:drawing>
      </w:r>
    </w:p>
    <w:p w14:paraId="6856BE5B" w14:textId="77777777" w:rsidR="007D66D9" w:rsidRPr="007D66D9" w:rsidRDefault="007D66D9" w:rsidP="00E65623">
      <w:pPr>
        <w:pStyle w:val="TableDescription"/>
        <w:rPr>
          <w:lang w:eastAsia="en-AU"/>
        </w:rPr>
      </w:pPr>
      <w:r w:rsidRPr="007D66D9">
        <w:rPr>
          <w:lang w:eastAsia="en-AU"/>
        </w:rPr>
        <w:t xml:space="preserve">The solid blue lines and </w:t>
      </w:r>
      <w:r w:rsidRPr="00E65623">
        <w:t>shaded</w:t>
      </w:r>
      <w:r w:rsidRPr="007D66D9">
        <w:rPr>
          <w:lang w:eastAsia="en-AU"/>
        </w:rPr>
        <w:t xml:space="preserve"> areas represent the median paliperidone concentrations and 90% prediction intervals, respectively, after transition from </w:t>
      </w:r>
      <w:r w:rsidR="0058163A">
        <w:rPr>
          <w:lang w:eastAsia="en-AU"/>
        </w:rPr>
        <w:t>525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deltoid injections of PP3M to ER 6</w:t>
      </w:r>
      <w:r w:rsidR="004A676D">
        <w:rPr>
          <w:lang w:eastAsia="en-AU"/>
        </w:rPr>
        <w:t xml:space="preserve"> mg</w:t>
      </w:r>
      <w:r w:rsidRPr="007D66D9">
        <w:rPr>
          <w:lang w:eastAsia="en-AU"/>
        </w:rPr>
        <w:t xml:space="preserve"> at Week 65, followed by treatment with ER 9</w:t>
      </w:r>
      <w:r w:rsidR="004A676D">
        <w:rPr>
          <w:lang w:eastAsia="en-AU"/>
        </w:rPr>
        <w:t xml:space="preserve"> mg</w:t>
      </w:r>
      <w:r w:rsidRPr="007D66D9">
        <w:rPr>
          <w:lang w:eastAsia="en-AU"/>
        </w:rPr>
        <w:t xml:space="preserve"> and ER 12</w:t>
      </w:r>
      <w:r w:rsidR="004A676D">
        <w:rPr>
          <w:lang w:eastAsia="en-AU"/>
        </w:rPr>
        <w:t xml:space="preserve"> mg</w:t>
      </w:r>
      <w:r w:rsidRPr="007D66D9">
        <w:rPr>
          <w:lang w:eastAsia="en-AU"/>
        </w:rPr>
        <w:t xml:space="preserve"> at Weeks 71 </w:t>
      </w:r>
      <w:r w:rsidR="00EF1D3B">
        <w:rPr>
          <w:lang w:eastAsia="en-AU"/>
        </w:rPr>
        <w:t>and 77.</w:t>
      </w:r>
    </w:p>
    <w:p w14:paraId="62D19374" w14:textId="77777777" w:rsidR="007D66D9" w:rsidRPr="007D66D9" w:rsidRDefault="007D66D9" w:rsidP="00F94604">
      <w:pPr>
        <w:pStyle w:val="Heading6"/>
      </w:pPr>
      <w:r w:rsidRPr="007D66D9">
        <w:t xml:space="preserve">Simulations to give </w:t>
      </w:r>
      <w:proofErr w:type="spellStart"/>
      <w:r w:rsidR="009F467D" w:rsidRPr="009F467D">
        <w:t>C</w:t>
      </w:r>
      <w:r w:rsidR="009F467D" w:rsidRPr="009F467D">
        <w:rPr>
          <w:vertAlign w:val="subscript"/>
        </w:rPr>
        <w:t>max</w:t>
      </w:r>
      <w:proofErr w:type="spellEnd"/>
      <w:r w:rsidRPr="007D66D9">
        <w:t xml:space="preserve">, </w:t>
      </w:r>
      <w:proofErr w:type="spellStart"/>
      <w:r w:rsidR="009F485A">
        <w:rPr>
          <w:kern w:val="16"/>
          <w:lang w:eastAsia="en-AU"/>
        </w:rPr>
        <w:t>T</w:t>
      </w:r>
      <w:r w:rsidR="009F485A" w:rsidRPr="007D66D9">
        <w:rPr>
          <w:kern w:val="16"/>
          <w:vertAlign w:val="subscript"/>
          <w:lang w:eastAsia="en-AU"/>
        </w:rPr>
        <w:t>max</w:t>
      </w:r>
      <w:proofErr w:type="spellEnd"/>
      <w:r w:rsidRPr="007D66D9">
        <w:t>, t</w:t>
      </w:r>
      <w:r w:rsidRPr="007D66D9">
        <w:rPr>
          <w:vertAlign w:val="subscript"/>
        </w:rPr>
        <w:t xml:space="preserve">½ </w:t>
      </w:r>
      <w:r w:rsidRPr="007D66D9">
        <w:t>and Peak/trough ratios</w:t>
      </w:r>
    </w:p>
    <w:p w14:paraId="1D12C6A6" w14:textId="77777777" w:rsidR="007D66D9" w:rsidRPr="00F94604" w:rsidRDefault="007D66D9" w:rsidP="00F94604">
      <w:pPr>
        <w:pStyle w:val="Tabletitle"/>
      </w:pPr>
      <w:bookmarkStart w:id="108" w:name="_Toc453054987"/>
      <w:r w:rsidRPr="00531123">
        <w:t xml:space="preserve">Table </w:t>
      </w:r>
      <w:r w:rsidR="00531123" w:rsidRPr="00531123">
        <w:t>24:</w:t>
      </w:r>
      <w:r w:rsidRPr="00531123">
        <w:t xml:space="preserve"> Median</w:t>
      </w:r>
      <w:r w:rsidRPr="00F94604">
        <w:t xml:space="preserve"> values for secondary PK parameters followi</w:t>
      </w:r>
      <w:r w:rsidR="003673F6">
        <w:t>ng</w:t>
      </w:r>
      <w:r w:rsidRPr="00F94604">
        <w:t xml:space="preserve"> a si</w:t>
      </w:r>
      <w:r w:rsidR="003673F6">
        <w:t>ng</w:t>
      </w:r>
      <w:r w:rsidRPr="00F94604">
        <w:t>le PP3M injection</w:t>
      </w:r>
      <w:bookmarkEnd w:id="108"/>
    </w:p>
    <w:p w14:paraId="745B8B4B" w14:textId="77777777" w:rsidR="007D66D9" w:rsidRPr="007D66D9" w:rsidRDefault="007D66D9" w:rsidP="00E65623">
      <w:pPr>
        <w:rPr>
          <w:lang w:eastAsia="en-AU"/>
        </w:rPr>
      </w:pPr>
      <w:r w:rsidRPr="007D66D9">
        <w:rPr>
          <w:noProof/>
          <w:lang w:eastAsia="en-AU"/>
        </w:rPr>
        <w:drawing>
          <wp:inline distT="0" distB="0" distL="0" distR="0" wp14:anchorId="424F882A" wp14:editId="00279CFC">
            <wp:extent cx="5427878" cy="1547034"/>
            <wp:effectExtent l="0" t="0" r="1905" b="0"/>
            <wp:docPr id="39" name="Picture 39" descr="Table 24: Median values for secondary PK parameters following a single PP3M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31133" cy="1547962"/>
                    </a:xfrm>
                    <a:prstGeom prst="rect">
                      <a:avLst/>
                    </a:prstGeom>
                  </pic:spPr>
                </pic:pic>
              </a:graphicData>
            </a:graphic>
          </wp:inline>
        </w:drawing>
      </w:r>
    </w:p>
    <w:p w14:paraId="76FBB6E7" w14:textId="77777777" w:rsidR="007D66D9" w:rsidRPr="007D66D9" w:rsidRDefault="00EF1D3B" w:rsidP="00E65623">
      <w:pPr>
        <w:pStyle w:val="TableDescription"/>
        <w:rPr>
          <w:lang w:eastAsia="en-AU"/>
        </w:rPr>
      </w:pPr>
      <w:proofErr w:type="spellStart"/>
      <w:proofErr w:type="gramStart"/>
      <w:r w:rsidRPr="00EF1D3B">
        <w:rPr>
          <w:vertAlign w:val="superscript"/>
          <w:lang w:eastAsia="en-AU"/>
        </w:rPr>
        <w:t>a</w:t>
      </w:r>
      <w:proofErr w:type="spellEnd"/>
      <w:proofErr w:type="gramEnd"/>
      <w:r>
        <w:rPr>
          <w:lang w:eastAsia="en-AU"/>
        </w:rPr>
        <w:t xml:space="preserve"> </w:t>
      </w:r>
      <w:r w:rsidR="007D66D9" w:rsidRPr="007D66D9">
        <w:rPr>
          <w:lang w:eastAsia="en-AU"/>
        </w:rPr>
        <w:t>The t</w:t>
      </w:r>
      <w:r w:rsidR="007D66D9" w:rsidRPr="00486049">
        <w:rPr>
          <w:vertAlign w:val="subscript"/>
          <w:lang w:eastAsia="en-AU"/>
        </w:rPr>
        <w:t xml:space="preserve">1/2 </w:t>
      </w:r>
      <w:r w:rsidR="007D66D9" w:rsidRPr="007D66D9">
        <w:rPr>
          <w:lang w:eastAsia="en-AU"/>
        </w:rPr>
        <w:t>was not constant over time (multi-exponential profile) due to the saturable components of the absorption sub-model. Therefore, the maximum t</w:t>
      </w:r>
      <w:r w:rsidR="007D66D9" w:rsidRPr="00486049">
        <w:rPr>
          <w:vertAlign w:val="subscript"/>
          <w:lang w:eastAsia="en-AU"/>
        </w:rPr>
        <w:t xml:space="preserve">1/2 </w:t>
      </w:r>
      <w:r w:rsidR="007D66D9" w:rsidRPr="007D66D9">
        <w:rPr>
          <w:lang w:eastAsia="en-AU"/>
        </w:rPr>
        <w:t>was derived duri</w:t>
      </w:r>
      <w:r w:rsidR="003673F6">
        <w:rPr>
          <w:lang w:eastAsia="en-AU"/>
        </w:rPr>
        <w:t>ng</w:t>
      </w:r>
      <w:r w:rsidR="007D66D9" w:rsidRPr="007D66D9">
        <w:rPr>
          <w:lang w:eastAsia="en-AU"/>
        </w:rPr>
        <w:t xml:space="preserve"> the </w:t>
      </w:r>
      <w:r w:rsidR="00F634A2">
        <w:rPr>
          <w:lang w:eastAsia="en-AU"/>
        </w:rPr>
        <w:t>lat</w:t>
      </w:r>
      <w:r w:rsidR="00F634A2" w:rsidRPr="007D66D9">
        <w:rPr>
          <w:lang w:eastAsia="en-AU"/>
        </w:rPr>
        <w:t>er</w:t>
      </w:r>
      <w:r w:rsidR="007D66D9" w:rsidRPr="007D66D9">
        <w:rPr>
          <w:lang w:eastAsia="en-AU"/>
        </w:rPr>
        <w:t xml:space="preserve"> part of the multi-exponential profile reflecti</w:t>
      </w:r>
      <w:r w:rsidR="003673F6">
        <w:rPr>
          <w:lang w:eastAsia="en-AU"/>
        </w:rPr>
        <w:t>ng</w:t>
      </w:r>
      <w:r w:rsidR="007D66D9" w:rsidRPr="007D66D9">
        <w:rPr>
          <w:lang w:eastAsia="en-AU"/>
        </w:rPr>
        <w:t xml:space="preserve"> the terminal decline phase (about 25 we</w:t>
      </w:r>
      <w:r w:rsidR="00486049">
        <w:rPr>
          <w:lang w:eastAsia="en-AU"/>
        </w:rPr>
        <w:t>eks after the injection).</w:t>
      </w:r>
      <w:r w:rsidR="00F94604">
        <w:rPr>
          <w:lang w:eastAsia="en-AU"/>
        </w:rPr>
        <w:t xml:space="preserve"> </w:t>
      </w:r>
      <w:r w:rsidR="007D66D9" w:rsidRPr="007D66D9">
        <w:rPr>
          <w:lang w:eastAsia="en-AU"/>
        </w:rPr>
        <w:t>All values are medians of simulations based on 5,000 subjects.</w:t>
      </w:r>
      <w:r w:rsidR="00F94604">
        <w:rPr>
          <w:lang w:eastAsia="en-AU"/>
        </w:rPr>
        <w:t xml:space="preserve"> </w:t>
      </w:r>
      <w:r w:rsidR="007D66D9" w:rsidRPr="007D66D9">
        <w:rPr>
          <w:lang w:eastAsia="en-AU"/>
        </w:rPr>
        <w:t xml:space="preserve">The simulated median dose normalized </w:t>
      </w:r>
      <w:proofErr w:type="spellStart"/>
      <w:r w:rsidR="009F467D" w:rsidRPr="009F467D">
        <w:t>C</w:t>
      </w:r>
      <w:r w:rsidR="009F467D" w:rsidRPr="009F467D">
        <w:rPr>
          <w:vertAlign w:val="subscript"/>
        </w:rPr>
        <w:t>max</w:t>
      </w:r>
      <w:proofErr w:type="spellEnd"/>
      <w:r w:rsidR="007D66D9" w:rsidRPr="007D66D9">
        <w:rPr>
          <w:lang w:eastAsia="en-AU"/>
        </w:rPr>
        <w:t xml:space="preserve"> after </w:t>
      </w:r>
      <w:r w:rsidR="004A676D">
        <w:rPr>
          <w:lang w:eastAsia="en-AU"/>
        </w:rPr>
        <w:t>si</w:t>
      </w:r>
      <w:r w:rsidR="003673F6">
        <w:rPr>
          <w:lang w:eastAsia="en-AU"/>
        </w:rPr>
        <w:t>ng</w:t>
      </w:r>
      <w:r w:rsidR="004A676D">
        <w:rPr>
          <w:lang w:eastAsia="en-AU"/>
        </w:rPr>
        <w:t>le dose</w:t>
      </w:r>
      <w:r w:rsidR="007D66D9" w:rsidRPr="007D66D9">
        <w:rPr>
          <w:lang w:eastAsia="en-AU"/>
        </w:rPr>
        <w:t xml:space="preserve"> administration was 11 to 12% higher with del</w:t>
      </w:r>
      <w:r w:rsidR="00486049">
        <w:rPr>
          <w:lang w:eastAsia="en-AU"/>
        </w:rPr>
        <w:t>toid versus gluteal injections.</w:t>
      </w:r>
    </w:p>
    <w:p w14:paraId="31A4A318" w14:textId="77777777" w:rsidR="007D66D9" w:rsidRPr="007D66D9" w:rsidRDefault="007D66D9" w:rsidP="00EF1D3B">
      <w:pPr>
        <w:pStyle w:val="Tabletitle"/>
        <w:rPr>
          <w:lang w:eastAsia="en-AU"/>
        </w:rPr>
      </w:pPr>
      <w:bookmarkStart w:id="109" w:name="_Toc453054988"/>
      <w:r w:rsidRPr="00531123">
        <w:rPr>
          <w:lang w:eastAsia="en-AU"/>
        </w:rPr>
        <w:lastRenderedPageBreak/>
        <w:t xml:space="preserve">Table </w:t>
      </w:r>
      <w:r w:rsidR="00531123" w:rsidRPr="00531123">
        <w:rPr>
          <w:lang w:eastAsia="en-AU"/>
        </w:rPr>
        <w:t>25:</w:t>
      </w:r>
      <w:r w:rsidRPr="00531123">
        <w:rPr>
          <w:lang w:eastAsia="en-AU"/>
        </w:rPr>
        <w:t xml:space="preserve"> Median</w:t>
      </w:r>
      <w:r w:rsidRPr="007D66D9">
        <w:rPr>
          <w:lang w:eastAsia="en-AU"/>
        </w:rPr>
        <w:t xml:space="preserve"> values for secondary PK parameters when on maintenance treatment with PP3M or PP1M</w:t>
      </w:r>
      <w:bookmarkEnd w:id="109"/>
    </w:p>
    <w:p w14:paraId="1411AE35" w14:textId="77777777" w:rsidR="007D66D9" w:rsidRPr="007D66D9" w:rsidRDefault="007D66D9" w:rsidP="00E65623">
      <w:pPr>
        <w:rPr>
          <w:lang w:eastAsia="en-AU"/>
        </w:rPr>
      </w:pPr>
      <w:r w:rsidRPr="007D66D9">
        <w:rPr>
          <w:noProof/>
          <w:lang w:eastAsia="en-AU"/>
        </w:rPr>
        <w:drawing>
          <wp:inline distT="0" distB="0" distL="0" distR="0" wp14:anchorId="0ABE2E57" wp14:editId="3D047B53">
            <wp:extent cx="5720486" cy="1559688"/>
            <wp:effectExtent l="0" t="0" r="0" b="2540"/>
            <wp:docPr id="40" name="Picture 40" descr="Table 25: Median values for secondary PK parameters when on maintenance treatment with PP3M or PP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42979" cy="1565821"/>
                    </a:xfrm>
                    <a:prstGeom prst="rect">
                      <a:avLst/>
                    </a:prstGeom>
                  </pic:spPr>
                </pic:pic>
              </a:graphicData>
            </a:graphic>
          </wp:inline>
        </w:drawing>
      </w:r>
    </w:p>
    <w:p w14:paraId="0554DC9B" w14:textId="77777777" w:rsidR="007D66D9" w:rsidRPr="00EF1D3B" w:rsidRDefault="007D66D9" w:rsidP="00E65623">
      <w:pPr>
        <w:pStyle w:val="TableDescription"/>
        <w:rPr>
          <w:lang w:eastAsia="en-AU"/>
        </w:rPr>
      </w:pPr>
      <w:r w:rsidRPr="007D66D9">
        <w:rPr>
          <w:lang w:eastAsia="en-AU"/>
        </w:rPr>
        <w:t xml:space="preserve">Peak/Trough is computed as a ratio of </w:t>
      </w:r>
      <w:proofErr w:type="spellStart"/>
      <w:r w:rsidR="009F467D" w:rsidRPr="009F467D">
        <w:t>C</w:t>
      </w:r>
      <w:r w:rsidR="009F467D" w:rsidRPr="009F467D">
        <w:rPr>
          <w:vertAlign w:val="subscript"/>
        </w:rPr>
        <w:t>max</w:t>
      </w:r>
      <w:proofErr w:type="spellEnd"/>
      <w:r w:rsidRPr="007D66D9">
        <w:rPr>
          <w:lang w:eastAsia="en-AU"/>
        </w:rPr>
        <w:t xml:space="preserve"> to </w:t>
      </w:r>
      <w:proofErr w:type="spellStart"/>
      <w:r w:rsidRPr="007D66D9">
        <w:rPr>
          <w:lang w:eastAsia="en-AU"/>
        </w:rPr>
        <w:t>C</w:t>
      </w:r>
      <w:r w:rsidRPr="00486049">
        <w:rPr>
          <w:vertAlign w:val="subscript"/>
          <w:lang w:eastAsia="en-AU"/>
        </w:rPr>
        <w:t>min</w:t>
      </w:r>
      <w:proofErr w:type="spellEnd"/>
      <w:r w:rsidRPr="007D66D9">
        <w:rPr>
          <w:lang w:eastAsia="en-AU"/>
        </w:rPr>
        <w:t xml:space="preserve"> (minimum concentration at the end of a dosi</w:t>
      </w:r>
      <w:r w:rsidR="003673F6">
        <w:rPr>
          <w:lang w:eastAsia="en-AU"/>
        </w:rPr>
        <w:t>ng</w:t>
      </w:r>
      <w:r w:rsidRPr="007D66D9">
        <w:rPr>
          <w:lang w:eastAsia="en-AU"/>
        </w:rPr>
        <w:t xml:space="preserve"> interval) for each subject.</w:t>
      </w:r>
      <w:r w:rsidR="00EF1D3B">
        <w:rPr>
          <w:lang w:eastAsia="en-AU"/>
        </w:rPr>
        <w:t xml:space="preserve"> </w:t>
      </w:r>
      <w:r w:rsidRPr="007D66D9">
        <w:rPr>
          <w:rFonts w:eastAsia="Times New Roman"/>
          <w:kern w:val="16"/>
          <w:lang w:eastAsia="en-AU"/>
        </w:rPr>
        <w:t>All values are medians of simulatio</w:t>
      </w:r>
      <w:r w:rsidR="00EF1D3B">
        <w:rPr>
          <w:rFonts w:eastAsia="Times New Roman"/>
          <w:kern w:val="16"/>
          <w:lang w:eastAsia="en-AU"/>
        </w:rPr>
        <w:t>ns based on 5,000 subjects.</w:t>
      </w:r>
    </w:p>
    <w:p w14:paraId="239FE660" w14:textId="77777777" w:rsidR="007D66D9" w:rsidRPr="007D66D9" w:rsidRDefault="007D66D9" w:rsidP="00486049">
      <w:pPr>
        <w:pStyle w:val="Heading4"/>
      </w:pPr>
      <w:bookmarkStart w:id="110" w:name="_Toc453054881"/>
      <w:r w:rsidRPr="007D66D9">
        <w:t xml:space="preserve">Pharmacokinetics in other special </w:t>
      </w:r>
      <w:r w:rsidR="00F94604" w:rsidRPr="007D66D9">
        <w:t>populations</w:t>
      </w:r>
      <w:bookmarkEnd w:id="65"/>
      <w:bookmarkEnd w:id="66"/>
      <w:bookmarkEnd w:id="67"/>
      <w:bookmarkEnd w:id="68"/>
      <w:r w:rsidR="00F94604" w:rsidRPr="007D66D9">
        <w:t xml:space="preserve"> simulation based</w:t>
      </w:r>
      <w:bookmarkEnd w:id="110"/>
    </w:p>
    <w:p w14:paraId="4855AFF7" w14:textId="77777777" w:rsidR="007D66D9" w:rsidRPr="007D66D9" w:rsidRDefault="007D66D9" w:rsidP="00486049">
      <w:pPr>
        <w:pStyle w:val="Heading5"/>
        <w:rPr>
          <w:lang w:eastAsia="en-AU"/>
        </w:rPr>
      </w:pPr>
      <w:bookmarkStart w:id="111" w:name="_Toc453054882"/>
      <w:bookmarkStart w:id="112" w:name="_Toc272414628"/>
      <w:bookmarkStart w:id="113" w:name="_Toc290846251"/>
      <w:bookmarkStart w:id="114" w:name="_Toc290888788"/>
      <w:r w:rsidRPr="007D66D9">
        <w:rPr>
          <w:lang w:eastAsia="en-AU"/>
        </w:rPr>
        <w:t>Pharmacokinetics in subjects with impaired hepatic function</w:t>
      </w:r>
      <w:bookmarkEnd w:id="111"/>
    </w:p>
    <w:p w14:paraId="1A4C6E53" w14:textId="77777777" w:rsidR="007D66D9" w:rsidRPr="007D66D9" w:rsidRDefault="007D66D9" w:rsidP="00F94604">
      <w:pPr>
        <w:rPr>
          <w:lang w:eastAsia="en-AU"/>
        </w:rPr>
      </w:pPr>
      <w:r w:rsidRPr="007D66D9">
        <w:rPr>
          <w:lang w:eastAsia="en-AU"/>
        </w:rPr>
        <w:t>Neither the Invega Trinza nor the Invega Sustenna formulation was studied in patients with hepatic impairment.</w:t>
      </w:r>
    </w:p>
    <w:p w14:paraId="01312698" w14:textId="77777777" w:rsidR="007D66D9" w:rsidRPr="007D66D9" w:rsidRDefault="007D66D9" w:rsidP="00486049">
      <w:pPr>
        <w:pStyle w:val="Heading5"/>
        <w:rPr>
          <w:lang w:eastAsia="en-AU"/>
        </w:rPr>
      </w:pPr>
      <w:bookmarkStart w:id="115" w:name="_Toc453054883"/>
      <w:r w:rsidRPr="007D66D9">
        <w:rPr>
          <w:lang w:eastAsia="en-AU"/>
        </w:rPr>
        <w:t>Pharmacokinetics in subjects with impaired renal function</w:t>
      </w:r>
      <w:bookmarkEnd w:id="112"/>
      <w:bookmarkEnd w:id="113"/>
      <w:bookmarkEnd w:id="114"/>
      <w:bookmarkEnd w:id="115"/>
    </w:p>
    <w:p w14:paraId="55A250C9" w14:textId="77777777" w:rsidR="004A676D" w:rsidRDefault="007D66D9" w:rsidP="00F94604">
      <w:pPr>
        <w:rPr>
          <w:lang w:eastAsia="en-AU"/>
        </w:rPr>
      </w:pPr>
      <w:r w:rsidRPr="007D66D9">
        <w:rPr>
          <w:lang w:eastAsia="en-AU"/>
        </w:rPr>
        <w:t>Only 1 subject with moderate renal impairment and no subjects with severe renal impairment were included in the analysis data set</w:t>
      </w:r>
      <w:r w:rsidR="004A676D">
        <w:rPr>
          <w:lang w:eastAsia="en-AU"/>
        </w:rPr>
        <w:t>.</w:t>
      </w:r>
    </w:p>
    <w:p w14:paraId="4F02185F" w14:textId="77777777" w:rsidR="007D66D9" w:rsidRPr="007D66D9" w:rsidRDefault="007D66D9" w:rsidP="00F94604">
      <w:pPr>
        <w:rPr>
          <w:lang w:eastAsia="en-AU"/>
        </w:rPr>
      </w:pPr>
      <w:r w:rsidRPr="007D66D9">
        <w:rPr>
          <w:lang w:eastAsia="en-AU"/>
        </w:rPr>
        <w:t>CRCL was included as a structural covariate on CL in the population PK model, since 59% of paliperidone is excreted uncha</w:t>
      </w:r>
      <w:r w:rsidR="003673F6">
        <w:rPr>
          <w:lang w:eastAsia="en-AU"/>
        </w:rPr>
        <w:t>ng</w:t>
      </w:r>
      <w:r w:rsidRPr="007D66D9">
        <w:rPr>
          <w:lang w:eastAsia="en-AU"/>
        </w:rPr>
        <w:t xml:space="preserve">ed renally. The </w:t>
      </w:r>
      <w:proofErr w:type="spellStart"/>
      <w:r w:rsidR="009F467D" w:rsidRPr="009F467D">
        <w:t>C</w:t>
      </w:r>
      <w:r w:rsidR="009F467D" w:rsidRPr="009F467D">
        <w:rPr>
          <w:vertAlign w:val="subscript"/>
        </w:rPr>
        <w:t>max</w:t>
      </w:r>
      <w:proofErr w:type="spellEnd"/>
      <w:r w:rsidRPr="007D66D9">
        <w:rPr>
          <w:lang w:eastAsia="en-AU"/>
        </w:rPr>
        <w:t xml:space="preserve"> after the fourth deltoid injection with </w:t>
      </w:r>
      <w:r w:rsidR="0058163A">
        <w:rPr>
          <w:lang w:eastAsia="en-AU"/>
        </w:rPr>
        <w:t>525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of Invega Trinza was </w:t>
      </w:r>
      <w:proofErr w:type="gramStart"/>
      <w:r w:rsidRPr="007D66D9">
        <w:rPr>
          <w:lang w:eastAsia="en-AU"/>
        </w:rPr>
        <w:t>55.1</w:t>
      </w:r>
      <w:r w:rsidR="00932E50">
        <w:rPr>
          <w:lang w:eastAsia="en-AU"/>
        </w:rPr>
        <w:t xml:space="preserve"> </w:t>
      </w:r>
      <w:r w:rsidR="003673F6">
        <w:rPr>
          <w:lang w:eastAsia="en-AU"/>
        </w:rPr>
        <w:t>ng</w:t>
      </w:r>
      <w:r w:rsidR="00607328">
        <w:rPr>
          <w:lang w:eastAsia="en-AU"/>
        </w:rPr>
        <w:t>/mL</w:t>
      </w:r>
      <w:r w:rsidRPr="007D66D9">
        <w:rPr>
          <w:lang w:eastAsia="en-AU"/>
        </w:rPr>
        <w:t xml:space="preserve"> in subjects with normal renal function</w:t>
      </w:r>
      <w:proofErr w:type="gramEnd"/>
      <w:r w:rsidRPr="007D66D9">
        <w:rPr>
          <w:lang w:eastAsia="en-AU"/>
        </w:rPr>
        <w:t xml:space="preserve"> and 64.1</w:t>
      </w:r>
      <w:r w:rsidR="00932E50">
        <w:rPr>
          <w:lang w:eastAsia="en-AU"/>
        </w:rPr>
        <w:t xml:space="preserve"> </w:t>
      </w:r>
      <w:r w:rsidR="003673F6">
        <w:rPr>
          <w:lang w:eastAsia="en-AU"/>
        </w:rPr>
        <w:t>ng</w:t>
      </w:r>
      <w:r w:rsidR="00607328">
        <w:rPr>
          <w:lang w:eastAsia="en-AU"/>
        </w:rPr>
        <w:t>/mL</w:t>
      </w:r>
      <w:r w:rsidRPr="007D66D9">
        <w:rPr>
          <w:lang w:eastAsia="en-AU"/>
        </w:rPr>
        <w:t xml:space="preserve"> in subjects with mild renal impairment.</w:t>
      </w:r>
    </w:p>
    <w:p w14:paraId="1E6DC24A" w14:textId="77777777" w:rsidR="007D66D9" w:rsidRPr="007D66D9" w:rsidRDefault="007D66D9" w:rsidP="00F94604">
      <w:pPr>
        <w:rPr>
          <w:lang w:eastAsia="en-AU"/>
        </w:rPr>
      </w:pPr>
      <w:r w:rsidRPr="007D66D9">
        <w:rPr>
          <w:lang w:eastAsia="en-AU"/>
        </w:rPr>
        <w:t xml:space="preserve">After deltoid injections of </w:t>
      </w:r>
      <w:r w:rsidR="0058163A">
        <w:rPr>
          <w:lang w:eastAsia="en-AU"/>
        </w:rPr>
        <w:t>350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in subjects with normal renal function and 263</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in subjects with mild renal impairment (25% dose reduction), the </w:t>
      </w:r>
      <w:proofErr w:type="spellStart"/>
      <w:r w:rsidRPr="007D66D9">
        <w:rPr>
          <w:lang w:eastAsia="en-AU"/>
        </w:rPr>
        <w:t>C</w:t>
      </w:r>
      <w:r w:rsidRPr="007D66D9">
        <w:rPr>
          <w:vertAlign w:val="subscript"/>
          <w:lang w:eastAsia="en-AU"/>
        </w:rPr>
        <w:t>min</w:t>
      </w:r>
      <w:proofErr w:type="spellEnd"/>
      <w:r w:rsidRPr="007D66D9">
        <w:rPr>
          <w:lang w:eastAsia="en-AU"/>
        </w:rPr>
        <w:t xml:space="preserve"> was 21.1 and 18.2</w:t>
      </w:r>
      <w:r w:rsidR="00932E50">
        <w:rPr>
          <w:lang w:eastAsia="en-AU"/>
        </w:rPr>
        <w:t xml:space="preserve"> </w:t>
      </w:r>
      <w:r w:rsidR="003673F6">
        <w:rPr>
          <w:lang w:eastAsia="en-AU"/>
        </w:rPr>
        <w:t>ng</w:t>
      </w:r>
      <w:r w:rsidR="00607328">
        <w:rPr>
          <w:lang w:eastAsia="en-AU"/>
        </w:rPr>
        <w:t>/mL</w:t>
      </w:r>
      <w:r w:rsidRPr="007D66D9">
        <w:rPr>
          <w:lang w:eastAsia="en-AU"/>
        </w:rPr>
        <w:t>, respectively Simulations were also conducted to evaluate dose reduction in subjects with mild renal impairment (</w:t>
      </w:r>
      <w:r w:rsidR="0058163A">
        <w:rPr>
          <w:lang w:eastAsia="en-AU"/>
        </w:rPr>
        <w:t>350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w:t>
      </w:r>
      <w:r w:rsidR="00785F6E">
        <w:rPr>
          <w:lang w:eastAsia="en-AU"/>
        </w:rPr>
        <w:t>that is</w:t>
      </w:r>
      <w:r w:rsidRPr="007D66D9">
        <w:rPr>
          <w:lang w:eastAsia="en-AU"/>
        </w:rPr>
        <w:t xml:space="preserve">, the penultimate dose) as compared to the highest maintenance dose of </w:t>
      </w:r>
      <w:r w:rsidR="0058163A">
        <w:rPr>
          <w:lang w:eastAsia="en-AU"/>
        </w:rPr>
        <w:t>525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for subjects with normal renal function. After deltoid injections of </w:t>
      </w:r>
      <w:r w:rsidR="0058163A">
        <w:rPr>
          <w:lang w:eastAsia="en-AU"/>
        </w:rPr>
        <w:t>525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in subjects with normal renal function and </w:t>
      </w:r>
      <w:r w:rsidR="0058163A">
        <w:rPr>
          <w:lang w:eastAsia="en-AU"/>
        </w:rPr>
        <w:t>350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in subjects with mild renal impairment, the </w:t>
      </w:r>
      <w:proofErr w:type="spellStart"/>
      <w:r w:rsidRPr="007D66D9">
        <w:rPr>
          <w:lang w:eastAsia="en-AU"/>
        </w:rPr>
        <w:t>C</w:t>
      </w:r>
      <w:r w:rsidRPr="007D66D9">
        <w:rPr>
          <w:vertAlign w:val="subscript"/>
          <w:lang w:eastAsia="en-AU"/>
        </w:rPr>
        <w:t>min</w:t>
      </w:r>
      <w:proofErr w:type="spellEnd"/>
      <w:r w:rsidRPr="007D66D9">
        <w:rPr>
          <w:lang w:eastAsia="en-AU"/>
        </w:rPr>
        <w:t xml:space="preserve"> was 31.3 and 24.1</w:t>
      </w:r>
      <w:r w:rsidR="00932E50">
        <w:rPr>
          <w:lang w:eastAsia="en-AU"/>
        </w:rPr>
        <w:t xml:space="preserve"> </w:t>
      </w:r>
      <w:r w:rsidR="003673F6">
        <w:rPr>
          <w:lang w:eastAsia="en-AU"/>
        </w:rPr>
        <w:t>ng</w:t>
      </w:r>
      <w:r w:rsidR="00607328">
        <w:rPr>
          <w:lang w:eastAsia="en-AU"/>
        </w:rPr>
        <w:t>/mL</w:t>
      </w:r>
      <w:r w:rsidRPr="007D66D9">
        <w:rPr>
          <w:lang w:eastAsia="en-AU"/>
        </w:rPr>
        <w:t>, respectively.</w:t>
      </w:r>
    </w:p>
    <w:p w14:paraId="73C35930" w14:textId="77777777" w:rsidR="007D66D9" w:rsidRPr="007D66D9" w:rsidRDefault="007D66D9" w:rsidP="00EF1D3B">
      <w:pPr>
        <w:pStyle w:val="FigureTitle"/>
        <w:keepNext/>
        <w:rPr>
          <w:lang w:eastAsia="en-AU"/>
        </w:rPr>
      </w:pPr>
      <w:bookmarkStart w:id="116" w:name="_Toc453055059"/>
      <w:r w:rsidRPr="00531123">
        <w:rPr>
          <w:lang w:eastAsia="en-AU"/>
        </w:rPr>
        <w:lastRenderedPageBreak/>
        <w:t xml:space="preserve">Figure </w:t>
      </w:r>
      <w:r w:rsidR="00531123" w:rsidRPr="00531123">
        <w:rPr>
          <w:lang w:eastAsia="en-AU"/>
        </w:rPr>
        <w:t>18</w:t>
      </w:r>
      <w:r w:rsidR="00EF1D3B" w:rsidRPr="00531123">
        <w:rPr>
          <w:noProof/>
          <w:lang w:eastAsia="en-AU"/>
        </w:rPr>
        <w:t>:</w:t>
      </w:r>
      <w:r w:rsidRPr="00531123">
        <w:rPr>
          <w:lang w:eastAsia="en-AU"/>
        </w:rPr>
        <w:t xml:space="preserve"> The simulated paliperidone concentration versus time profiles for </w:t>
      </w:r>
      <w:r w:rsidR="0058163A" w:rsidRPr="00531123">
        <w:rPr>
          <w:lang w:eastAsia="en-AU"/>
        </w:rPr>
        <w:t>525</w:t>
      </w:r>
      <w:r w:rsidR="004A676D" w:rsidRPr="00531123">
        <w:rPr>
          <w:lang w:eastAsia="en-AU"/>
        </w:rPr>
        <w:t xml:space="preserve"> mg</w:t>
      </w:r>
      <w:r w:rsidR="00EF1D3B">
        <w:rPr>
          <w:lang w:eastAsia="en-AU"/>
        </w:rPr>
        <w:t xml:space="preserve"> </w:t>
      </w:r>
      <w:proofErr w:type="spellStart"/>
      <w:r w:rsidR="004A676D">
        <w:rPr>
          <w:lang w:eastAsia="en-AU"/>
        </w:rPr>
        <w:t>eq</w:t>
      </w:r>
      <w:proofErr w:type="spellEnd"/>
      <w:r w:rsidRPr="007D66D9">
        <w:rPr>
          <w:lang w:eastAsia="en-AU"/>
        </w:rPr>
        <w:t xml:space="preserve"> deltoid PP3M injections for subjects with mild renal impairment</w:t>
      </w:r>
      <w:bookmarkEnd w:id="116"/>
    </w:p>
    <w:p w14:paraId="28416B25" w14:textId="77777777" w:rsidR="007D66D9" w:rsidRPr="007D66D9" w:rsidRDefault="007D66D9" w:rsidP="00E65623">
      <w:pPr>
        <w:rPr>
          <w:lang w:eastAsia="en-AU"/>
        </w:rPr>
      </w:pPr>
      <w:r w:rsidRPr="007D66D9">
        <w:rPr>
          <w:noProof/>
          <w:lang w:eastAsia="en-AU"/>
        </w:rPr>
        <w:drawing>
          <wp:inline distT="0" distB="0" distL="0" distR="0" wp14:anchorId="6FFBFE73" wp14:editId="315D747E">
            <wp:extent cx="4235501" cy="2835108"/>
            <wp:effectExtent l="0" t="0" r="0" b="3810"/>
            <wp:docPr id="41" name="Picture 41" descr="Figure 18: The simulated paliperidone concentration versus time profiles for 525 mg eq deltoid PP3M injections for subjects with mild renal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6982" r="796"/>
                    <a:stretch/>
                  </pic:blipFill>
                  <pic:spPr bwMode="auto">
                    <a:xfrm>
                      <a:off x="0" y="0"/>
                      <a:ext cx="4234894" cy="2834702"/>
                    </a:xfrm>
                    <a:prstGeom prst="rect">
                      <a:avLst/>
                    </a:prstGeom>
                    <a:ln>
                      <a:noFill/>
                    </a:ln>
                    <a:extLst>
                      <a:ext uri="{53640926-AAD7-44D8-BBD7-CCE9431645EC}">
                        <a14:shadowObscured xmlns:a14="http://schemas.microsoft.com/office/drawing/2010/main"/>
                      </a:ext>
                    </a:extLst>
                  </pic:spPr>
                </pic:pic>
              </a:graphicData>
            </a:graphic>
          </wp:inline>
        </w:drawing>
      </w:r>
    </w:p>
    <w:p w14:paraId="70B822B6" w14:textId="77777777" w:rsidR="007D66D9" w:rsidRPr="007D66D9" w:rsidRDefault="007D66D9" w:rsidP="00E65623">
      <w:pPr>
        <w:pStyle w:val="TableDescription"/>
        <w:rPr>
          <w:lang w:eastAsia="en-AU"/>
        </w:rPr>
      </w:pPr>
      <w:r w:rsidRPr="007D66D9">
        <w:rPr>
          <w:lang w:eastAsia="en-AU"/>
        </w:rPr>
        <w:t xml:space="preserve">The solid </w:t>
      </w:r>
      <w:r w:rsidRPr="00E65623">
        <w:t>lines</w:t>
      </w:r>
      <w:r w:rsidRPr="007D66D9">
        <w:rPr>
          <w:lang w:eastAsia="en-AU"/>
        </w:rPr>
        <w:t xml:space="preserve"> and shaded areas represent the median paliperidone concentrations and 90% prediction intervals, respectively, for subjects with mild renal impairment (blue) or with normal renal funct</w:t>
      </w:r>
      <w:r w:rsidR="00486049">
        <w:rPr>
          <w:lang w:eastAsia="en-AU"/>
        </w:rPr>
        <w:t>ion (red)</w:t>
      </w:r>
      <w:r w:rsidR="00EF1D3B">
        <w:rPr>
          <w:lang w:eastAsia="en-AU"/>
        </w:rPr>
        <w:t>.</w:t>
      </w:r>
    </w:p>
    <w:p w14:paraId="631889C4" w14:textId="77777777" w:rsidR="007D66D9" w:rsidRPr="007D66D9" w:rsidRDefault="007D66D9" w:rsidP="00486049">
      <w:pPr>
        <w:pStyle w:val="Heading4"/>
      </w:pPr>
      <w:bookmarkStart w:id="117" w:name="_Toc272414629"/>
      <w:bookmarkStart w:id="118" w:name="_Toc290846252"/>
      <w:bookmarkStart w:id="119" w:name="_Toc290888789"/>
      <w:bookmarkStart w:id="120" w:name="_Toc453054884"/>
      <w:r w:rsidRPr="007D66D9">
        <w:t>Pharmacokinetics accordi</w:t>
      </w:r>
      <w:r w:rsidR="003673F6">
        <w:t>ng</w:t>
      </w:r>
      <w:r w:rsidRPr="007D66D9">
        <w:t xml:space="preserve"> to age</w:t>
      </w:r>
      <w:bookmarkEnd w:id="117"/>
      <w:bookmarkEnd w:id="118"/>
      <w:bookmarkEnd w:id="119"/>
      <w:bookmarkEnd w:id="120"/>
    </w:p>
    <w:p w14:paraId="3F6A028A" w14:textId="77777777" w:rsidR="007D66D9" w:rsidRPr="007D66D9" w:rsidRDefault="007D66D9" w:rsidP="00F94604">
      <w:pPr>
        <w:rPr>
          <w:lang w:eastAsia="en-AU"/>
        </w:rPr>
      </w:pPr>
      <w:r w:rsidRPr="007D66D9">
        <w:rPr>
          <w:lang w:eastAsia="en-AU"/>
        </w:rPr>
        <w:t>Age was assessed by compari</w:t>
      </w:r>
      <w:r w:rsidR="003673F6">
        <w:rPr>
          <w:lang w:eastAsia="en-AU"/>
        </w:rPr>
        <w:t>ng</w:t>
      </w:r>
      <w:r w:rsidRPr="007D66D9">
        <w:rPr>
          <w:lang w:eastAsia="en-AU"/>
        </w:rPr>
        <w:t xml:space="preserve"> subjects aged 18 to ≤ 60 years versus subjects aged &gt; 60 years Simulations with the older population were then repeated, fixi</w:t>
      </w:r>
      <w:r w:rsidR="003673F6">
        <w:rPr>
          <w:lang w:eastAsia="en-AU"/>
        </w:rPr>
        <w:t>ng</w:t>
      </w:r>
      <w:r w:rsidRPr="007D66D9">
        <w:rPr>
          <w:lang w:eastAsia="en-AU"/>
        </w:rPr>
        <w:t xml:space="preserve"> CRCL to the median of the you</w:t>
      </w:r>
      <w:r w:rsidR="003673F6">
        <w:rPr>
          <w:lang w:eastAsia="en-AU"/>
        </w:rPr>
        <w:t>ng</w:t>
      </w:r>
      <w:r w:rsidRPr="007D66D9">
        <w:rPr>
          <w:lang w:eastAsia="en-AU"/>
        </w:rPr>
        <w:t>er age group. The older population showed the expected decline in renal function (</w:t>
      </w:r>
      <w:r w:rsidR="00785F6E">
        <w:rPr>
          <w:lang w:eastAsia="en-AU"/>
        </w:rPr>
        <w:t>that is</w:t>
      </w:r>
      <w:r w:rsidRPr="007D66D9">
        <w:rPr>
          <w:lang w:eastAsia="en-AU"/>
        </w:rPr>
        <w:t>, CRCL) with increasi</w:t>
      </w:r>
      <w:r w:rsidR="003673F6">
        <w:rPr>
          <w:lang w:eastAsia="en-AU"/>
        </w:rPr>
        <w:t>ng</w:t>
      </w:r>
      <w:r w:rsidRPr="007D66D9">
        <w:rPr>
          <w:lang w:eastAsia="en-AU"/>
        </w:rPr>
        <w:t xml:space="preserve"> age, resulti</w:t>
      </w:r>
      <w:r w:rsidR="003673F6">
        <w:rPr>
          <w:lang w:eastAsia="en-AU"/>
        </w:rPr>
        <w:t>ng</w:t>
      </w:r>
      <w:r w:rsidRPr="007D66D9">
        <w:rPr>
          <w:lang w:eastAsia="en-AU"/>
        </w:rPr>
        <w:t xml:space="preserve"> in a difference in PK profile between the 2 age groups. CRCL and age are 2 highly correlated covariates. In such a situation, the independent influence of age on PK could be determined by keepi</w:t>
      </w:r>
      <w:r w:rsidR="003673F6">
        <w:rPr>
          <w:lang w:eastAsia="en-AU"/>
        </w:rPr>
        <w:t>ng</w:t>
      </w:r>
      <w:r w:rsidRPr="007D66D9">
        <w:rPr>
          <w:lang w:eastAsia="en-AU"/>
        </w:rPr>
        <w:t xml:space="preserve"> CRCL constant while varyi</w:t>
      </w:r>
      <w:r w:rsidR="003673F6">
        <w:rPr>
          <w:lang w:eastAsia="en-AU"/>
        </w:rPr>
        <w:t>ng</w:t>
      </w:r>
      <w:r w:rsidRPr="007D66D9">
        <w:rPr>
          <w:lang w:eastAsia="en-AU"/>
        </w:rPr>
        <w:t xml:space="preserve"> age.</w:t>
      </w:r>
    </w:p>
    <w:p w14:paraId="60F035E8" w14:textId="77777777" w:rsidR="007D66D9" w:rsidRPr="007D66D9" w:rsidRDefault="007D66D9" w:rsidP="00F94604">
      <w:pPr>
        <w:rPr>
          <w:lang w:eastAsia="en-AU"/>
        </w:rPr>
      </w:pPr>
      <w:r w:rsidRPr="007D66D9">
        <w:rPr>
          <w:lang w:eastAsia="en-AU"/>
        </w:rPr>
        <w:t>After correcti</w:t>
      </w:r>
      <w:r w:rsidR="003673F6">
        <w:rPr>
          <w:lang w:eastAsia="en-AU"/>
        </w:rPr>
        <w:t>ng</w:t>
      </w:r>
      <w:r w:rsidRPr="007D66D9">
        <w:rPr>
          <w:lang w:eastAsia="en-AU"/>
        </w:rPr>
        <w:t xml:space="preserve"> for the decline in renal function, the difference in PK across ages was small.</w:t>
      </w:r>
    </w:p>
    <w:p w14:paraId="7A50F3F2" w14:textId="77777777" w:rsidR="007D66D9" w:rsidRPr="007D66D9" w:rsidRDefault="007D66D9" w:rsidP="00486049">
      <w:pPr>
        <w:pStyle w:val="Heading4"/>
      </w:pPr>
      <w:bookmarkStart w:id="121" w:name="_Toc272414630"/>
      <w:bookmarkStart w:id="122" w:name="_Toc290846253"/>
      <w:bookmarkStart w:id="123" w:name="_Toc290888790"/>
      <w:bookmarkStart w:id="124" w:name="_Toc453054885"/>
      <w:r w:rsidRPr="007D66D9">
        <w:t>Pharmacokinetics related to genetic factors</w:t>
      </w:r>
      <w:bookmarkEnd w:id="121"/>
      <w:bookmarkEnd w:id="122"/>
      <w:bookmarkEnd w:id="123"/>
      <w:bookmarkEnd w:id="124"/>
    </w:p>
    <w:p w14:paraId="0EAB95FC" w14:textId="77777777" w:rsidR="007D66D9" w:rsidRPr="007D66D9" w:rsidRDefault="007D66D9" w:rsidP="00F94604">
      <w:pPr>
        <w:rPr>
          <w:lang w:eastAsia="en-AU"/>
        </w:rPr>
      </w:pPr>
      <w:r w:rsidRPr="007D66D9">
        <w:rPr>
          <w:lang w:eastAsia="en-AU"/>
        </w:rPr>
        <w:t xml:space="preserve">The </w:t>
      </w:r>
      <w:proofErr w:type="spellStart"/>
      <w:r w:rsidRPr="007D66D9">
        <w:rPr>
          <w:lang w:eastAsia="en-AU"/>
        </w:rPr>
        <w:t>C</w:t>
      </w:r>
      <w:r w:rsidRPr="007D66D9">
        <w:rPr>
          <w:vertAlign w:val="subscript"/>
          <w:lang w:eastAsia="en-AU"/>
        </w:rPr>
        <w:t>min</w:t>
      </w:r>
      <w:proofErr w:type="spellEnd"/>
      <w:r w:rsidRPr="007D66D9">
        <w:rPr>
          <w:lang w:eastAsia="en-AU"/>
        </w:rPr>
        <w:t xml:space="preserve"> after </w:t>
      </w:r>
      <w:r w:rsidR="0058163A">
        <w:rPr>
          <w:lang w:eastAsia="en-AU"/>
        </w:rPr>
        <w:t>350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deltoid injections of Invega Trinza was </w:t>
      </w:r>
      <w:proofErr w:type="gramStart"/>
      <w:r w:rsidRPr="007D66D9">
        <w:rPr>
          <w:lang w:eastAsia="en-AU"/>
        </w:rPr>
        <w:t>21.6</w:t>
      </w:r>
      <w:r w:rsidR="00932E50">
        <w:rPr>
          <w:lang w:eastAsia="en-AU"/>
        </w:rPr>
        <w:t xml:space="preserve"> </w:t>
      </w:r>
      <w:r w:rsidR="003673F6">
        <w:rPr>
          <w:lang w:eastAsia="en-AU"/>
        </w:rPr>
        <w:t>ng</w:t>
      </w:r>
      <w:r w:rsidR="00607328">
        <w:rPr>
          <w:lang w:eastAsia="en-AU"/>
        </w:rPr>
        <w:t>/mL</w:t>
      </w:r>
      <w:proofErr w:type="gramEnd"/>
      <w:r w:rsidRPr="007D66D9">
        <w:rPr>
          <w:lang w:eastAsia="en-AU"/>
        </w:rPr>
        <w:t xml:space="preserve"> and 21.2</w:t>
      </w:r>
      <w:r w:rsidR="00F94604">
        <w:rPr>
          <w:lang w:eastAsia="en-AU"/>
        </w:rPr>
        <w:t> </w:t>
      </w:r>
      <w:r w:rsidR="003673F6">
        <w:rPr>
          <w:lang w:eastAsia="en-AU"/>
        </w:rPr>
        <w:t>ng</w:t>
      </w:r>
      <w:r w:rsidR="00607328">
        <w:rPr>
          <w:lang w:eastAsia="en-AU"/>
        </w:rPr>
        <w:t>/mL</w:t>
      </w:r>
      <w:r w:rsidRPr="007D66D9">
        <w:rPr>
          <w:lang w:eastAsia="en-AU"/>
        </w:rPr>
        <w:t xml:space="preserve"> in men and women, respectively.</w:t>
      </w:r>
    </w:p>
    <w:p w14:paraId="67A59CD1" w14:textId="77777777" w:rsidR="007D66D9" w:rsidRPr="007D66D9" w:rsidRDefault="007D66D9" w:rsidP="00486049">
      <w:pPr>
        <w:pStyle w:val="Heading4"/>
      </w:pPr>
      <w:bookmarkStart w:id="125" w:name="_Toc272414631"/>
      <w:bookmarkStart w:id="126" w:name="_Toc290846254"/>
      <w:bookmarkStart w:id="127" w:name="_Toc290888791"/>
      <w:bookmarkStart w:id="128" w:name="_Toc453054886"/>
      <w:r w:rsidRPr="007D66D9">
        <w:t xml:space="preserve">Pharmacokinetics </w:t>
      </w:r>
      <w:bookmarkEnd w:id="125"/>
      <w:bookmarkEnd w:id="126"/>
      <w:bookmarkEnd w:id="127"/>
      <w:r w:rsidRPr="007D66D9">
        <w:t>related to injection site</w:t>
      </w:r>
      <w:bookmarkEnd w:id="128"/>
    </w:p>
    <w:p w14:paraId="577DE793" w14:textId="77777777" w:rsidR="007D66D9" w:rsidRPr="007D66D9" w:rsidRDefault="007D66D9" w:rsidP="00F94604">
      <w:pPr>
        <w:rPr>
          <w:lang w:eastAsia="en-AU"/>
        </w:rPr>
      </w:pPr>
      <w:r w:rsidRPr="007D66D9">
        <w:rPr>
          <w:lang w:eastAsia="en-AU"/>
        </w:rPr>
        <w:t xml:space="preserve">After the fourth Invega Trinza dose of </w:t>
      </w:r>
      <w:r w:rsidR="0058163A">
        <w:rPr>
          <w:lang w:eastAsia="en-AU"/>
        </w:rPr>
        <w:t>350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w:t>
      </w:r>
      <w:proofErr w:type="spellStart"/>
      <w:r w:rsidRPr="007D66D9">
        <w:rPr>
          <w:lang w:eastAsia="en-AU"/>
        </w:rPr>
        <w:t>C</w:t>
      </w:r>
      <w:r w:rsidRPr="007D66D9">
        <w:rPr>
          <w:vertAlign w:val="subscript"/>
          <w:lang w:eastAsia="en-AU"/>
        </w:rPr>
        <w:t>min</w:t>
      </w:r>
      <w:proofErr w:type="spellEnd"/>
      <w:r w:rsidRPr="007D66D9">
        <w:rPr>
          <w:lang w:eastAsia="en-AU"/>
        </w:rPr>
        <w:t xml:space="preserve"> was </w:t>
      </w:r>
      <w:proofErr w:type="gramStart"/>
      <w:r w:rsidRPr="007D66D9">
        <w:rPr>
          <w:lang w:eastAsia="en-AU"/>
        </w:rPr>
        <w:t>21.5</w:t>
      </w:r>
      <w:r w:rsidR="00932E50">
        <w:rPr>
          <w:lang w:eastAsia="en-AU"/>
        </w:rPr>
        <w:t xml:space="preserve"> </w:t>
      </w:r>
      <w:r w:rsidR="003673F6">
        <w:rPr>
          <w:lang w:eastAsia="en-AU"/>
        </w:rPr>
        <w:t>ng</w:t>
      </w:r>
      <w:r w:rsidR="00607328">
        <w:rPr>
          <w:lang w:eastAsia="en-AU"/>
        </w:rPr>
        <w:t>/mL</w:t>
      </w:r>
      <w:proofErr w:type="gramEnd"/>
      <w:r w:rsidRPr="007D66D9">
        <w:rPr>
          <w:lang w:eastAsia="en-AU"/>
        </w:rPr>
        <w:t xml:space="preserve"> after injection in the deltoid muscle and 19.3</w:t>
      </w:r>
      <w:r w:rsidR="00932E50">
        <w:rPr>
          <w:lang w:eastAsia="en-AU"/>
        </w:rPr>
        <w:t xml:space="preserve"> </w:t>
      </w:r>
      <w:r w:rsidR="003673F6">
        <w:rPr>
          <w:lang w:eastAsia="en-AU"/>
        </w:rPr>
        <w:t>ng</w:t>
      </w:r>
      <w:r w:rsidR="00607328">
        <w:rPr>
          <w:lang w:eastAsia="en-AU"/>
        </w:rPr>
        <w:t>/mL</w:t>
      </w:r>
      <w:r w:rsidRPr="007D66D9">
        <w:rPr>
          <w:lang w:eastAsia="en-AU"/>
        </w:rPr>
        <w:t xml:space="preserve"> after injection in the gluteal muscle.</w:t>
      </w:r>
    </w:p>
    <w:p w14:paraId="1429D097" w14:textId="77777777" w:rsidR="007D66D9" w:rsidRPr="007D66D9" w:rsidRDefault="007D66D9" w:rsidP="005A18C6">
      <w:pPr>
        <w:pStyle w:val="FigureTitle"/>
        <w:keepNext/>
        <w:rPr>
          <w:lang w:eastAsia="en-AU"/>
        </w:rPr>
      </w:pPr>
      <w:bookmarkStart w:id="129" w:name="_Toc453055060"/>
      <w:r w:rsidRPr="00531123">
        <w:rPr>
          <w:lang w:eastAsia="en-AU"/>
        </w:rPr>
        <w:lastRenderedPageBreak/>
        <w:t>Figure</w:t>
      </w:r>
      <w:r w:rsidR="00531123" w:rsidRPr="00531123">
        <w:rPr>
          <w:lang w:eastAsia="en-AU"/>
        </w:rPr>
        <w:t xml:space="preserve"> 19</w:t>
      </w:r>
      <w:r w:rsidR="00EF1D3B" w:rsidRPr="00531123">
        <w:rPr>
          <w:noProof/>
          <w:lang w:eastAsia="en-AU"/>
        </w:rPr>
        <w:t>:</w:t>
      </w:r>
      <w:r w:rsidRPr="00531123">
        <w:rPr>
          <w:lang w:eastAsia="en-AU"/>
        </w:rPr>
        <w:t xml:space="preserve"> The simulated paliperidone</w:t>
      </w:r>
      <w:r w:rsidRPr="007D66D9">
        <w:rPr>
          <w:lang w:eastAsia="en-AU"/>
        </w:rPr>
        <w:t xml:space="preserve"> concentration versus time profiles for </w:t>
      </w:r>
      <w:r w:rsidR="0058163A">
        <w:rPr>
          <w:lang w:eastAsia="en-AU"/>
        </w:rPr>
        <w:t>350</w:t>
      </w:r>
      <w:r w:rsidR="004A676D">
        <w:rPr>
          <w:lang w:eastAsia="en-AU"/>
        </w:rPr>
        <w:t xml:space="preserve"> mg</w:t>
      </w:r>
      <w:r w:rsidRPr="007D66D9">
        <w:rPr>
          <w:lang w:eastAsia="en-AU"/>
        </w:rPr>
        <w:t xml:space="preserve"> </w:t>
      </w:r>
      <w:proofErr w:type="spellStart"/>
      <w:r w:rsidR="004A676D">
        <w:rPr>
          <w:lang w:eastAsia="en-AU"/>
        </w:rPr>
        <w:t>eq</w:t>
      </w:r>
      <w:proofErr w:type="spellEnd"/>
      <w:r w:rsidRPr="007D66D9">
        <w:rPr>
          <w:lang w:eastAsia="en-AU"/>
        </w:rPr>
        <w:t xml:space="preserve"> deltoid or gluteal injections</w:t>
      </w:r>
      <w:bookmarkEnd w:id="129"/>
    </w:p>
    <w:p w14:paraId="2333F0B2" w14:textId="77777777" w:rsidR="007D66D9" w:rsidRPr="007D66D9" w:rsidRDefault="007D66D9" w:rsidP="00E65623">
      <w:pPr>
        <w:rPr>
          <w:lang w:eastAsia="en-AU"/>
        </w:rPr>
      </w:pPr>
      <w:r w:rsidRPr="007D66D9">
        <w:rPr>
          <w:noProof/>
          <w:lang w:eastAsia="en-AU"/>
        </w:rPr>
        <w:drawing>
          <wp:inline distT="0" distB="0" distL="0" distR="0" wp14:anchorId="694AE335" wp14:editId="78FB557F">
            <wp:extent cx="4825121" cy="3079699"/>
            <wp:effectExtent l="0" t="0" r="0" b="6985"/>
            <wp:docPr id="42" name="Picture 42" descr="Figure 19: The simulated paliperidone concentration versus time profiles for 350 mg eq deltoid or gluteal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9154" r="-90"/>
                    <a:stretch/>
                  </pic:blipFill>
                  <pic:spPr bwMode="auto">
                    <a:xfrm>
                      <a:off x="0" y="0"/>
                      <a:ext cx="4829881" cy="3082737"/>
                    </a:xfrm>
                    <a:prstGeom prst="rect">
                      <a:avLst/>
                    </a:prstGeom>
                    <a:ln>
                      <a:noFill/>
                    </a:ln>
                    <a:extLst>
                      <a:ext uri="{53640926-AAD7-44D8-BBD7-CCE9431645EC}">
                        <a14:shadowObscured xmlns:a14="http://schemas.microsoft.com/office/drawing/2010/main"/>
                      </a:ext>
                    </a:extLst>
                  </pic:spPr>
                </pic:pic>
              </a:graphicData>
            </a:graphic>
          </wp:inline>
        </w:drawing>
      </w:r>
    </w:p>
    <w:p w14:paraId="1AA5AD37" w14:textId="77777777" w:rsidR="00094D64" w:rsidRDefault="007D66D9" w:rsidP="00E65623">
      <w:pPr>
        <w:pStyle w:val="TableDescription"/>
        <w:rPr>
          <w:lang w:eastAsia="en-AU"/>
        </w:rPr>
      </w:pPr>
      <w:r w:rsidRPr="007D66D9">
        <w:rPr>
          <w:lang w:eastAsia="en-AU"/>
        </w:rPr>
        <w:t xml:space="preserve">The solid lines </w:t>
      </w:r>
      <w:r w:rsidRPr="00E65623">
        <w:t>and</w:t>
      </w:r>
      <w:r w:rsidRPr="007D66D9">
        <w:rPr>
          <w:lang w:eastAsia="en-AU"/>
        </w:rPr>
        <w:t xml:space="preserve"> shaded areas represent the median paliperidone concentrations and 90% prediction intervals, respectively, after deltoid (blue) or gluteal (red) </w:t>
      </w:r>
      <w:r w:rsidR="00F634A2">
        <w:rPr>
          <w:lang w:eastAsia="en-AU"/>
        </w:rPr>
        <w:t>injections</w:t>
      </w:r>
    </w:p>
    <w:p w14:paraId="60F2D492" w14:textId="77777777" w:rsidR="007D66D9" w:rsidRPr="007D66D9" w:rsidRDefault="007D66D9" w:rsidP="00094D64">
      <w:pPr>
        <w:pStyle w:val="Heading4"/>
      </w:pPr>
      <w:bookmarkStart w:id="130" w:name="_Toc453054887"/>
      <w:r w:rsidRPr="007D66D9">
        <w:t>Pharmacokinetics related to obesity</w:t>
      </w:r>
      <w:bookmarkEnd w:id="130"/>
    </w:p>
    <w:p w14:paraId="5ED1CAB7" w14:textId="77777777" w:rsidR="007D66D9" w:rsidRPr="007D66D9" w:rsidRDefault="007D66D9" w:rsidP="00F94604">
      <w:pPr>
        <w:rPr>
          <w:lang w:eastAsia="en-AU"/>
        </w:rPr>
      </w:pPr>
      <w:r w:rsidRPr="007D66D9">
        <w:rPr>
          <w:lang w:eastAsia="en-AU"/>
        </w:rPr>
        <w:t xml:space="preserve">A lower </w:t>
      </w:r>
      <w:proofErr w:type="spellStart"/>
      <w:r w:rsidR="009F467D" w:rsidRPr="009F467D">
        <w:t>C</w:t>
      </w:r>
      <w:r w:rsidR="009F467D" w:rsidRPr="009F467D">
        <w:rPr>
          <w:vertAlign w:val="subscript"/>
        </w:rPr>
        <w:t>max</w:t>
      </w:r>
      <w:proofErr w:type="spellEnd"/>
      <w:r w:rsidRPr="007D66D9">
        <w:rPr>
          <w:lang w:eastAsia="en-AU"/>
        </w:rPr>
        <w:t xml:space="preserve"> was observed in subjects with a hi</w:t>
      </w:r>
      <w:r w:rsidR="00F94604">
        <w:rPr>
          <w:lang w:eastAsia="en-AU"/>
        </w:rPr>
        <w:t xml:space="preserve">gh BMI. Once at apparent steady </w:t>
      </w:r>
      <w:r w:rsidRPr="007D66D9">
        <w:rPr>
          <w:lang w:eastAsia="en-AU"/>
        </w:rPr>
        <w:t xml:space="preserve">state with </w:t>
      </w:r>
      <w:proofErr w:type="spellStart"/>
      <w:r w:rsidRPr="007D66D9">
        <w:rPr>
          <w:lang w:eastAsia="en-AU"/>
        </w:rPr>
        <w:t>Invega</w:t>
      </w:r>
      <w:proofErr w:type="spellEnd"/>
      <w:r w:rsidRPr="007D66D9">
        <w:rPr>
          <w:lang w:eastAsia="en-AU"/>
        </w:rPr>
        <w:t xml:space="preserve"> </w:t>
      </w:r>
      <w:proofErr w:type="spellStart"/>
      <w:r w:rsidRPr="007D66D9">
        <w:rPr>
          <w:lang w:eastAsia="en-AU"/>
        </w:rPr>
        <w:t>Trinza</w:t>
      </w:r>
      <w:proofErr w:type="spellEnd"/>
      <w:r w:rsidRPr="007D66D9">
        <w:rPr>
          <w:lang w:eastAsia="en-AU"/>
        </w:rPr>
        <w:t xml:space="preserve">, the </w:t>
      </w:r>
      <w:proofErr w:type="spellStart"/>
      <w:r w:rsidRPr="007D66D9">
        <w:rPr>
          <w:lang w:eastAsia="en-AU"/>
        </w:rPr>
        <w:t>C</w:t>
      </w:r>
      <w:r w:rsidRPr="007D66D9">
        <w:rPr>
          <w:vertAlign w:val="subscript"/>
          <w:lang w:eastAsia="en-AU"/>
        </w:rPr>
        <w:t>min</w:t>
      </w:r>
      <w:proofErr w:type="spellEnd"/>
      <w:r w:rsidRPr="007D66D9">
        <w:rPr>
          <w:lang w:eastAsia="en-AU"/>
        </w:rPr>
        <w:t xml:space="preserve"> was similar for Invega Trinza amo</w:t>
      </w:r>
      <w:r w:rsidR="003673F6">
        <w:rPr>
          <w:lang w:eastAsia="en-AU"/>
        </w:rPr>
        <w:t>ng</w:t>
      </w:r>
      <w:r w:rsidRPr="007D66D9">
        <w:rPr>
          <w:lang w:eastAsia="en-AU"/>
        </w:rPr>
        <w:t xml:space="preserve"> normal, overweight and obese subjects.</w:t>
      </w:r>
    </w:p>
    <w:p w14:paraId="315ABAFA" w14:textId="77777777" w:rsidR="007D66D9" w:rsidRPr="007D66D9" w:rsidRDefault="007D66D9" w:rsidP="00094D64">
      <w:pPr>
        <w:pStyle w:val="Heading3"/>
        <w:spacing w:before="120"/>
      </w:pPr>
      <w:bookmarkStart w:id="131" w:name="_Toc241374296"/>
      <w:bookmarkStart w:id="132" w:name="_Ref269982040"/>
      <w:bookmarkStart w:id="133" w:name="_Ref271018704"/>
      <w:bookmarkStart w:id="134" w:name="_Ref271018755"/>
      <w:bookmarkStart w:id="135" w:name="_Toc272414635"/>
      <w:bookmarkStart w:id="136" w:name="_Toc290846258"/>
      <w:bookmarkStart w:id="137" w:name="_Toc290888795"/>
      <w:bookmarkStart w:id="138" w:name="_Toc453054888"/>
      <w:bookmarkStart w:id="139" w:name="_Toc495583938"/>
      <w:r w:rsidRPr="007D66D9">
        <w:t>Evaluator’s overall conclusions on pharmacokinetics</w:t>
      </w:r>
      <w:bookmarkEnd w:id="131"/>
      <w:bookmarkEnd w:id="132"/>
      <w:bookmarkEnd w:id="133"/>
      <w:bookmarkEnd w:id="134"/>
      <w:bookmarkEnd w:id="135"/>
      <w:bookmarkEnd w:id="136"/>
      <w:bookmarkEnd w:id="137"/>
      <w:bookmarkEnd w:id="138"/>
      <w:bookmarkEnd w:id="139"/>
    </w:p>
    <w:p w14:paraId="00C3E343" w14:textId="77777777" w:rsidR="007D66D9" w:rsidRPr="007D66D9" w:rsidRDefault="007D66D9" w:rsidP="00F94604">
      <w:pPr>
        <w:rPr>
          <w:lang w:eastAsia="en-AU"/>
        </w:rPr>
      </w:pPr>
      <w:r w:rsidRPr="007D66D9">
        <w:rPr>
          <w:lang w:eastAsia="en-AU"/>
        </w:rPr>
        <w:t>It is of concern that the PK model used for simulations to justify dosi</w:t>
      </w:r>
      <w:r w:rsidR="003673F6">
        <w:rPr>
          <w:lang w:eastAsia="en-AU"/>
        </w:rPr>
        <w:t>ng</w:t>
      </w:r>
      <w:r w:rsidRPr="007D66D9">
        <w:rPr>
          <w:lang w:eastAsia="en-AU"/>
        </w:rPr>
        <w:t xml:space="preserve"> regimens does not include data from the lo</w:t>
      </w:r>
      <w:r w:rsidR="003673F6">
        <w:rPr>
          <w:lang w:eastAsia="en-AU"/>
        </w:rPr>
        <w:t>ng</w:t>
      </w:r>
      <w:r w:rsidRPr="007D66D9">
        <w:rPr>
          <w:lang w:eastAsia="en-AU"/>
        </w:rPr>
        <w:t xml:space="preserve"> term Study 3011 bei</w:t>
      </w:r>
      <w:r w:rsidR="003673F6">
        <w:rPr>
          <w:lang w:eastAsia="en-AU"/>
        </w:rPr>
        <w:t>ng</w:t>
      </w:r>
      <w:r w:rsidRPr="007D66D9">
        <w:rPr>
          <w:lang w:eastAsia="en-AU"/>
        </w:rPr>
        <w:t xml:space="preserve"> based on the si</w:t>
      </w:r>
      <w:r w:rsidR="003673F6">
        <w:rPr>
          <w:lang w:eastAsia="en-AU"/>
        </w:rPr>
        <w:t>ng</w:t>
      </w:r>
      <w:r w:rsidRPr="007D66D9">
        <w:rPr>
          <w:lang w:eastAsia="en-AU"/>
        </w:rPr>
        <w:t>le dose Study 1005 and Study 3012 where 160 received 2 injections of Invega Trinza only 18 received 3 injections.</w:t>
      </w:r>
    </w:p>
    <w:p w14:paraId="75F23E07" w14:textId="77777777" w:rsidR="007D66D9" w:rsidRPr="007D66D9" w:rsidRDefault="007D66D9" w:rsidP="00F94604">
      <w:pPr>
        <w:rPr>
          <w:lang w:eastAsia="en-AU"/>
        </w:rPr>
      </w:pPr>
      <w:r w:rsidRPr="007D66D9">
        <w:rPr>
          <w:lang w:eastAsia="en-AU"/>
        </w:rPr>
        <w:t>Inter</w:t>
      </w:r>
      <w:r w:rsidR="00531123">
        <w:rPr>
          <w:lang w:eastAsia="en-AU"/>
        </w:rPr>
        <w:t>-</w:t>
      </w:r>
      <w:r w:rsidRPr="007D66D9">
        <w:rPr>
          <w:lang w:eastAsia="en-AU"/>
        </w:rPr>
        <w:t>subject variability was high. Some subjects were excluded from the PopPK analysis.</w:t>
      </w:r>
    </w:p>
    <w:p w14:paraId="694297B1" w14:textId="77777777" w:rsidR="007D66D9" w:rsidRPr="007D66D9" w:rsidRDefault="007D66D9" w:rsidP="00F94604">
      <w:pPr>
        <w:rPr>
          <w:lang w:eastAsia="en-AU"/>
        </w:rPr>
      </w:pPr>
      <w:r w:rsidRPr="007D66D9">
        <w:rPr>
          <w:lang w:eastAsia="en-AU"/>
        </w:rPr>
        <w:t>The combined plasma concentration-time profiles of paliperidone show this.</w:t>
      </w:r>
    </w:p>
    <w:p w14:paraId="3AC23E23" w14:textId="77777777" w:rsidR="007D66D9" w:rsidRPr="007D66D9" w:rsidRDefault="007D66D9" w:rsidP="00F94604">
      <w:pPr>
        <w:rPr>
          <w:lang w:eastAsia="en-AU"/>
        </w:rPr>
      </w:pPr>
      <w:r w:rsidRPr="007D66D9">
        <w:rPr>
          <w:lang w:eastAsia="en-AU"/>
        </w:rPr>
        <w:t>Of concern is the possibility of extended periods of low plasma paliperidone concentrations. The infrequency of the sampli</w:t>
      </w:r>
      <w:r w:rsidR="003673F6">
        <w:rPr>
          <w:lang w:eastAsia="en-AU"/>
        </w:rPr>
        <w:t>ng</w:t>
      </w:r>
      <w:r w:rsidRPr="007D66D9">
        <w:rPr>
          <w:lang w:eastAsia="en-AU"/>
        </w:rPr>
        <w:t xml:space="preserve"> in the 2 clinical studies does not show this.</w:t>
      </w:r>
    </w:p>
    <w:p w14:paraId="48D6A094" w14:textId="77777777" w:rsidR="007D66D9" w:rsidRPr="007D66D9" w:rsidRDefault="007D66D9" w:rsidP="00F94604">
      <w:pPr>
        <w:rPr>
          <w:lang w:eastAsia="en-AU"/>
        </w:rPr>
      </w:pPr>
      <w:r w:rsidRPr="007D66D9">
        <w:rPr>
          <w:lang w:eastAsia="en-AU"/>
        </w:rPr>
        <w:t>Study 1005, while showi</w:t>
      </w:r>
      <w:r w:rsidR="003673F6">
        <w:rPr>
          <w:lang w:eastAsia="en-AU"/>
        </w:rPr>
        <w:t>ng</w:t>
      </w:r>
      <w:r w:rsidRPr="007D66D9">
        <w:rPr>
          <w:lang w:eastAsia="en-AU"/>
        </w:rPr>
        <w:t xml:space="preserve"> some individuals had low plasma paliperidone concentrations for periods prior to 90 days after injection, this does not necessarily equate to the steady state situation.</w:t>
      </w:r>
    </w:p>
    <w:p w14:paraId="6CDB1BC3" w14:textId="2088A78C" w:rsidR="007D66D9" w:rsidRPr="007D66D9" w:rsidRDefault="007D66D9" w:rsidP="00F94604">
      <w:pPr>
        <w:rPr>
          <w:lang w:eastAsia="en-AU"/>
        </w:rPr>
      </w:pPr>
      <w:r w:rsidRPr="007D66D9">
        <w:rPr>
          <w:lang w:eastAsia="en-AU"/>
        </w:rPr>
        <w:t>It does however have clinical relevance as this is what would happen clinically after the first 3 month injection.</w:t>
      </w:r>
      <w:r w:rsidR="00152CCE">
        <w:rPr>
          <w:rStyle w:val="FootnoteReference"/>
          <w:lang w:eastAsia="en-AU"/>
        </w:rPr>
        <w:footnoteReference w:id="17"/>
      </w:r>
    </w:p>
    <w:p w14:paraId="2CC50B6A" w14:textId="77777777" w:rsidR="007D66D9" w:rsidRPr="007D66D9" w:rsidRDefault="007D66D9" w:rsidP="00F94604">
      <w:pPr>
        <w:rPr>
          <w:lang w:eastAsia="en-AU"/>
        </w:rPr>
      </w:pPr>
      <w:r w:rsidRPr="007D66D9">
        <w:rPr>
          <w:lang w:eastAsia="en-AU"/>
        </w:rPr>
        <w:lastRenderedPageBreak/>
        <w:t>The sponsor argues that clusteri</w:t>
      </w:r>
      <w:r w:rsidR="003673F6">
        <w:rPr>
          <w:lang w:eastAsia="en-AU"/>
        </w:rPr>
        <w:t>ng</w:t>
      </w:r>
      <w:r w:rsidRPr="007D66D9">
        <w:rPr>
          <w:lang w:eastAsia="en-AU"/>
        </w:rPr>
        <w:t xml:space="preserve"> of relapses was not seen at a time when plasma levels would expect to </w:t>
      </w:r>
      <w:r w:rsidRPr="00F94604">
        <w:rPr>
          <w:lang w:eastAsia="en-AU"/>
        </w:rPr>
        <w:t>be low. An alternative</w:t>
      </w:r>
      <w:r w:rsidRPr="007D66D9">
        <w:rPr>
          <w:lang w:eastAsia="en-AU"/>
        </w:rPr>
        <w:t xml:space="preserve"> exploration is to compare the incidence in the first 3 month treatment period with those at steady state.</w:t>
      </w:r>
    </w:p>
    <w:p w14:paraId="1E53B9DA" w14:textId="77777777" w:rsidR="004A676D" w:rsidRDefault="007D66D9" w:rsidP="00F94604">
      <w:pPr>
        <w:rPr>
          <w:lang w:eastAsia="en-AU"/>
        </w:rPr>
      </w:pPr>
      <w:r w:rsidRPr="007D66D9">
        <w:rPr>
          <w:lang w:eastAsia="en-AU"/>
        </w:rPr>
        <w:t>The possibility of dose dumpi</w:t>
      </w:r>
      <w:r w:rsidR="003673F6">
        <w:rPr>
          <w:lang w:eastAsia="en-AU"/>
        </w:rPr>
        <w:t>ng</w:t>
      </w:r>
      <w:r w:rsidRPr="007D66D9">
        <w:rPr>
          <w:lang w:eastAsia="en-AU"/>
        </w:rPr>
        <w:t xml:space="preserve"> is </w:t>
      </w:r>
      <w:r w:rsidRPr="00F94604">
        <w:rPr>
          <w:lang w:eastAsia="en-AU"/>
        </w:rPr>
        <w:t xml:space="preserve">reviewed </w:t>
      </w:r>
      <w:r w:rsidR="00F94604">
        <w:rPr>
          <w:lang w:eastAsia="en-AU"/>
        </w:rPr>
        <w:t>clinical safety</w:t>
      </w:r>
      <w:r w:rsidR="00531123">
        <w:rPr>
          <w:lang w:eastAsia="en-AU"/>
        </w:rPr>
        <w:t xml:space="preserve"> section</w:t>
      </w:r>
      <w:r w:rsidRPr="00F94604">
        <w:rPr>
          <w:lang w:eastAsia="en-AU"/>
        </w:rPr>
        <w:t>. In Study</w:t>
      </w:r>
      <w:r w:rsidRPr="007D66D9">
        <w:rPr>
          <w:lang w:eastAsia="en-AU"/>
        </w:rPr>
        <w:t xml:space="preserve"> 1005, this evaluator believes there is a clear example</w:t>
      </w:r>
      <w:r w:rsidR="004A676D">
        <w:rPr>
          <w:lang w:eastAsia="en-AU"/>
        </w:rPr>
        <w:t>.</w:t>
      </w:r>
    </w:p>
    <w:p w14:paraId="0D0D9998" w14:textId="77777777" w:rsidR="007D66D9" w:rsidRPr="007D66D9" w:rsidRDefault="007D66D9" w:rsidP="00F94604">
      <w:pPr>
        <w:rPr>
          <w:lang w:eastAsia="en-AU"/>
        </w:rPr>
      </w:pPr>
      <w:r w:rsidRPr="007D66D9">
        <w:rPr>
          <w:lang w:eastAsia="en-AU"/>
        </w:rPr>
        <w:t>The sponsor it appears has concentrated on the physical characteristics of the new formulation as the sole determinant of absorption from the IM site.</w:t>
      </w:r>
    </w:p>
    <w:p w14:paraId="5437E8E5" w14:textId="3B5841B8" w:rsidR="009207AF" w:rsidRPr="003D6695" w:rsidRDefault="009207AF" w:rsidP="00F03A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284"/>
        <w:rPr>
          <w:rFonts w:eastAsia="Times New Roman" w:cs="Arial"/>
          <w:i/>
          <w:kern w:val="16"/>
          <w:lang w:eastAsia="en-AU"/>
        </w:rPr>
      </w:pPr>
      <w:r w:rsidRPr="003D6695">
        <w:rPr>
          <w:rFonts w:eastAsia="Times New Roman" w:cs="Arial"/>
          <w:i/>
          <w:kern w:val="16"/>
          <w:lang w:eastAsia="en-AU"/>
        </w:rPr>
        <w:t xml:space="preserve">By slowly releasing paliperidone from the injection site, the paliperidone palmitate formulation enables a dosing interval that achieves potentially therapeutic plasma concentrations of paliperidone for 1 month (PP1M) or 3 months (PP3M), depending on </w:t>
      </w:r>
      <w:r>
        <w:rPr>
          <w:rFonts w:eastAsia="Times New Roman" w:cs="Arial"/>
          <w:i/>
          <w:kern w:val="16"/>
          <w:lang w:eastAsia="en-AU"/>
        </w:rPr>
        <w:t>[information redacted].</w:t>
      </w:r>
    </w:p>
    <w:p w14:paraId="2C922849" w14:textId="1F36119D" w:rsidR="007D66D9" w:rsidRDefault="007D66D9" w:rsidP="00094D6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sidRPr="003D6695">
        <w:rPr>
          <w:rFonts w:eastAsia="Times New Roman"/>
          <w:kern w:val="16"/>
          <w:lang w:eastAsia="en-AU"/>
        </w:rPr>
        <w:t>And</w:t>
      </w:r>
    </w:p>
    <w:p w14:paraId="74AC1371" w14:textId="703C7132" w:rsidR="00CA0F8D" w:rsidRPr="00B06D8A" w:rsidRDefault="00CA0F8D" w:rsidP="00B06D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284"/>
        <w:rPr>
          <w:rFonts w:eastAsia="Times New Roman"/>
          <w:i/>
          <w:kern w:val="16"/>
          <w:lang w:eastAsia="en-AU"/>
        </w:rPr>
      </w:pPr>
      <w:r>
        <w:rPr>
          <w:rFonts w:eastAsia="Times New Roman"/>
          <w:i/>
          <w:kern w:val="16"/>
          <w:lang w:eastAsia="en-AU"/>
        </w:rPr>
        <w:t>[</w:t>
      </w:r>
      <w:proofErr w:type="gramStart"/>
      <w:r>
        <w:rPr>
          <w:rFonts w:eastAsia="Times New Roman"/>
          <w:i/>
          <w:kern w:val="16"/>
          <w:lang w:eastAsia="en-AU"/>
        </w:rPr>
        <w:t>information</w:t>
      </w:r>
      <w:proofErr w:type="gramEnd"/>
      <w:r>
        <w:rPr>
          <w:rFonts w:eastAsia="Times New Roman"/>
          <w:i/>
          <w:kern w:val="16"/>
          <w:lang w:eastAsia="en-AU"/>
        </w:rPr>
        <w:t xml:space="preserve"> redacted]</w:t>
      </w:r>
    </w:p>
    <w:p w14:paraId="3DEB3FFD" w14:textId="7829E5EA" w:rsidR="007D66D9" w:rsidRPr="007D66D9" w:rsidRDefault="00CA0F8D" w:rsidP="006F2C2C">
      <w:pPr>
        <w:rPr>
          <w:lang w:eastAsia="en-AU"/>
        </w:rPr>
      </w:pPr>
      <w:r w:rsidRPr="003D6695">
        <w:rPr>
          <w:lang w:eastAsia="en-AU"/>
        </w:rPr>
        <w:t xml:space="preserve">While this may be true in vitro there are other physical factor differences that vary and might affect in vivo uptake from the intramuscular dose; </w:t>
      </w:r>
      <w:r>
        <w:rPr>
          <w:lang w:eastAsia="en-AU"/>
        </w:rPr>
        <w:t>[information redacted]</w:t>
      </w:r>
      <w:r w:rsidR="007D66D9" w:rsidRPr="007D66D9">
        <w:rPr>
          <w:lang w:eastAsia="en-AU"/>
        </w:rPr>
        <w:t>The minimum volume is also greater 0.875</w:t>
      </w:r>
      <w:r w:rsidR="004A676D">
        <w:rPr>
          <w:lang w:eastAsia="en-AU"/>
        </w:rPr>
        <w:t xml:space="preserve"> mL</w:t>
      </w:r>
      <w:r w:rsidR="007D66D9" w:rsidRPr="007D66D9">
        <w:rPr>
          <w:lang w:eastAsia="en-AU"/>
        </w:rPr>
        <w:t xml:space="preserve"> Invega Trinza </w:t>
      </w:r>
      <w:r w:rsidR="00785F6E">
        <w:rPr>
          <w:lang w:eastAsia="en-AU"/>
        </w:rPr>
        <w:t>versus</w:t>
      </w:r>
      <w:r w:rsidR="007D66D9" w:rsidRPr="007D66D9">
        <w:rPr>
          <w:lang w:eastAsia="en-AU"/>
        </w:rPr>
        <w:t xml:space="preserve"> 0.25</w:t>
      </w:r>
      <w:r w:rsidR="004A676D">
        <w:rPr>
          <w:lang w:eastAsia="en-AU"/>
        </w:rPr>
        <w:t xml:space="preserve"> mL</w:t>
      </w:r>
      <w:r w:rsidR="007D66D9" w:rsidRPr="007D66D9">
        <w:rPr>
          <w:lang w:eastAsia="en-AU"/>
        </w:rPr>
        <w:t xml:space="preserve"> for Invega Sustenna.</w:t>
      </w:r>
    </w:p>
    <w:p w14:paraId="05028F3A" w14:textId="77777777" w:rsidR="007D66D9" w:rsidRPr="007D66D9" w:rsidRDefault="007D66D9" w:rsidP="006F2C2C">
      <w:pPr>
        <w:rPr>
          <w:lang w:eastAsia="en-AU"/>
        </w:rPr>
      </w:pPr>
      <w:r w:rsidRPr="007D66D9">
        <w:rPr>
          <w:lang w:eastAsia="en-AU"/>
        </w:rPr>
        <w:t>These characteristics might contribute to the greater inter-subject variability seen.</w:t>
      </w:r>
    </w:p>
    <w:p w14:paraId="4E3D4E08" w14:textId="77777777" w:rsidR="007D66D9" w:rsidRPr="007D66D9" w:rsidRDefault="007D66D9" w:rsidP="006F2C2C">
      <w:pPr>
        <w:rPr>
          <w:noProof/>
          <w:lang w:eastAsia="en-AU"/>
        </w:rPr>
      </w:pPr>
      <w:r w:rsidRPr="007D66D9">
        <w:rPr>
          <w:lang w:eastAsia="en-AU"/>
        </w:rPr>
        <w:t>Approximate dose proportionality was shown.</w:t>
      </w:r>
    </w:p>
    <w:p w14:paraId="20E757F5" w14:textId="77777777" w:rsidR="004A676D" w:rsidRDefault="007D66D9" w:rsidP="006F2C2C">
      <w:pPr>
        <w:rPr>
          <w:bCs/>
          <w:lang w:eastAsia="en-AU"/>
        </w:rPr>
      </w:pPr>
      <w:r w:rsidRPr="007D66D9">
        <w:rPr>
          <w:lang w:eastAsia="en-AU"/>
        </w:rPr>
        <w:t>The</w:t>
      </w:r>
      <w:r w:rsidRPr="007D66D9">
        <w:rPr>
          <w:bCs/>
          <w:lang w:eastAsia="en-AU"/>
        </w:rPr>
        <w:t xml:space="preserve"> PopPK study was based on data from Study PSY-1005 and Study PSY-3012.</w:t>
      </w:r>
      <w:r w:rsidRPr="007D66D9">
        <w:rPr>
          <w:lang w:eastAsia="en-AU"/>
        </w:rPr>
        <w:t xml:space="preserve"> N</w:t>
      </w:r>
      <w:r w:rsidRPr="007D66D9">
        <w:rPr>
          <w:bCs/>
          <w:lang w:eastAsia="en-AU"/>
        </w:rPr>
        <w:t xml:space="preserve">one of the subjects with </w:t>
      </w:r>
      <w:proofErr w:type="spellStart"/>
      <w:r w:rsidR="009F467D" w:rsidRPr="009F467D">
        <w:t>C</w:t>
      </w:r>
      <w:r w:rsidR="009F467D" w:rsidRPr="009F467D">
        <w:rPr>
          <w:vertAlign w:val="subscript"/>
        </w:rPr>
        <w:t>max</w:t>
      </w:r>
      <w:proofErr w:type="spellEnd"/>
      <w:r w:rsidRPr="007D66D9">
        <w:rPr>
          <w:bCs/>
          <w:lang w:eastAsia="en-AU"/>
        </w:rPr>
        <w:t xml:space="preserve"> &gt; 125</w:t>
      </w:r>
      <w:r w:rsidR="00932E50">
        <w:rPr>
          <w:bCs/>
          <w:lang w:eastAsia="en-AU"/>
        </w:rPr>
        <w:t xml:space="preserve"> </w:t>
      </w:r>
      <w:r w:rsidR="003673F6">
        <w:rPr>
          <w:bCs/>
          <w:lang w:eastAsia="en-AU"/>
        </w:rPr>
        <w:t>ng</w:t>
      </w:r>
      <w:r w:rsidR="00607328">
        <w:rPr>
          <w:bCs/>
          <w:lang w:eastAsia="en-AU"/>
        </w:rPr>
        <w:t>/mL</w:t>
      </w:r>
      <w:r w:rsidRPr="007D66D9">
        <w:rPr>
          <w:bCs/>
          <w:lang w:eastAsia="en-AU"/>
        </w:rPr>
        <w:t xml:space="preserve"> appear to have </w:t>
      </w:r>
      <w:r w:rsidRPr="006F2C2C">
        <w:rPr>
          <w:bCs/>
          <w:lang w:eastAsia="en-AU"/>
        </w:rPr>
        <w:t>been excluded,</w:t>
      </w:r>
      <w:r w:rsidRPr="006F2C2C">
        <w:rPr>
          <w:bCs/>
          <w:vertAlign w:val="superscript"/>
          <w:lang w:eastAsia="en-AU"/>
        </w:rPr>
        <w:footnoteReference w:id="18"/>
      </w:r>
      <w:r w:rsidRPr="006F2C2C">
        <w:rPr>
          <w:bCs/>
          <w:lang w:eastAsia="en-AU"/>
        </w:rPr>
        <w:t xml:space="preserve"> that</w:t>
      </w:r>
      <w:r w:rsidRPr="007D66D9">
        <w:rPr>
          <w:bCs/>
          <w:lang w:eastAsia="en-AU"/>
        </w:rPr>
        <w:t xml:space="preserve"> is the model appears to include one patient (605113) who suffered dose dumpi</w:t>
      </w:r>
      <w:r w:rsidR="003673F6">
        <w:rPr>
          <w:bCs/>
          <w:lang w:eastAsia="en-AU"/>
        </w:rPr>
        <w:t>ng</w:t>
      </w:r>
      <w:r w:rsidRPr="007D66D9">
        <w:rPr>
          <w:bCs/>
          <w:lang w:eastAsia="en-AU"/>
        </w:rPr>
        <w:t xml:space="preserve"> and 2 patients with unexplained reduced clearance (60625, 603435). The existi</w:t>
      </w:r>
      <w:r w:rsidR="003673F6">
        <w:rPr>
          <w:bCs/>
          <w:lang w:eastAsia="en-AU"/>
        </w:rPr>
        <w:t>ng</w:t>
      </w:r>
      <w:r w:rsidRPr="007D66D9">
        <w:rPr>
          <w:bCs/>
          <w:lang w:eastAsia="en-AU"/>
        </w:rPr>
        <w:t xml:space="preserve"> model failed to adequately describe the Invega Sustenna PK data from Study 3012 so a </w:t>
      </w:r>
      <w:r w:rsidRPr="006F2C2C">
        <w:rPr>
          <w:bCs/>
          <w:lang w:eastAsia="en-AU"/>
        </w:rPr>
        <w:t>new model</w:t>
      </w:r>
      <w:r w:rsidRPr="006F2C2C">
        <w:rPr>
          <w:bCs/>
          <w:vertAlign w:val="superscript"/>
          <w:lang w:eastAsia="en-AU"/>
        </w:rPr>
        <w:footnoteReference w:id="19"/>
      </w:r>
      <w:r w:rsidRPr="006F2C2C">
        <w:rPr>
          <w:bCs/>
          <w:lang w:eastAsia="en-AU"/>
        </w:rPr>
        <w:t xml:space="preserve"> was</w:t>
      </w:r>
      <w:r w:rsidRPr="007D66D9">
        <w:rPr>
          <w:bCs/>
          <w:lang w:eastAsia="en-AU"/>
        </w:rPr>
        <w:t xml:space="preserve"> developed usi</w:t>
      </w:r>
      <w:r w:rsidR="003673F6">
        <w:rPr>
          <w:bCs/>
          <w:lang w:eastAsia="en-AU"/>
        </w:rPr>
        <w:t>ng</w:t>
      </w:r>
      <w:r w:rsidRPr="007D66D9">
        <w:rPr>
          <w:bCs/>
          <w:lang w:eastAsia="en-AU"/>
        </w:rPr>
        <w:t xml:space="preserve"> both the previous and the Study 3012 Invega Sustenna data. This model then failed to adequately describe the Invega Trinza PK absorption data from Study 1005 so a model with one rapid and </w:t>
      </w:r>
      <w:proofErr w:type="gramStart"/>
      <w:r w:rsidRPr="007D66D9">
        <w:rPr>
          <w:bCs/>
          <w:lang w:eastAsia="en-AU"/>
        </w:rPr>
        <w:t>one slow saturable absorption</w:t>
      </w:r>
      <w:proofErr w:type="gramEnd"/>
      <w:r w:rsidRPr="007D66D9">
        <w:rPr>
          <w:bCs/>
          <w:lang w:eastAsia="en-AU"/>
        </w:rPr>
        <w:t xml:space="preserve"> process was then adopted</w:t>
      </w:r>
      <w:r w:rsidR="004A676D">
        <w:rPr>
          <w:bCs/>
          <w:lang w:eastAsia="en-AU"/>
        </w:rPr>
        <w:t>.</w:t>
      </w:r>
    </w:p>
    <w:p w14:paraId="66261DAE" w14:textId="77777777" w:rsidR="00586F98" w:rsidRDefault="00094D64" w:rsidP="00586F98">
      <w:pPr>
        <w:pStyle w:val="Heading2"/>
      </w:pPr>
      <w:bookmarkStart w:id="140" w:name="_Toc495583939"/>
      <w:r>
        <w:t>P</w:t>
      </w:r>
      <w:r w:rsidR="00586F98">
        <w:t>harmacodynamics</w:t>
      </w:r>
      <w:bookmarkEnd w:id="140"/>
    </w:p>
    <w:p w14:paraId="5F4D8795" w14:textId="77777777" w:rsidR="007D66D9" w:rsidRPr="007D66D9" w:rsidRDefault="007D66D9" w:rsidP="00094D64">
      <w:pPr>
        <w:pStyle w:val="Heading3"/>
      </w:pPr>
      <w:bookmarkStart w:id="141" w:name="_Ref269119989"/>
      <w:bookmarkStart w:id="142" w:name="_Toc272414639"/>
      <w:bookmarkStart w:id="143" w:name="_Toc290846261"/>
      <w:bookmarkStart w:id="144" w:name="_Toc290888798"/>
      <w:bookmarkStart w:id="145" w:name="_Toc453054891"/>
      <w:bookmarkStart w:id="146" w:name="_Toc495583940"/>
      <w:r w:rsidRPr="007D66D9">
        <w:t>Summary of pharmacodynamics</w:t>
      </w:r>
      <w:bookmarkEnd w:id="141"/>
      <w:bookmarkEnd w:id="142"/>
      <w:bookmarkEnd w:id="143"/>
      <w:bookmarkEnd w:id="144"/>
      <w:bookmarkEnd w:id="145"/>
      <w:bookmarkEnd w:id="146"/>
    </w:p>
    <w:p w14:paraId="3C574422" w14:textId="77777777" w:rsidR="007D66D9" w:rsidRPr="007D66D9" w:rsidRDefault="007D66D9" w:rsidP="00094D64">
      <w:pPr>
        <w:pStyle w:val="Heading4"/>
      </w:pPr>
      <w:bookmarkStart w:id="147" w:name="_Toc453054892"/>
      <w:bookmarkStart w:id="148" w:name="_Toc241374299"/>
      <w:bookmarkStart w:id="149" w:name="_Toc272414640"/>
      <w:bookmarkStart w:id="150" w:name="_Toc290846262"/>
      <w:bookmarkStart w:id="151" w:name="_Toc290888799"/>
      <w:r w:rsidRPr="007D66D9">
        <w:t>PK/PD analysis</w:t>
      </w:r>
      <w:bookmarkEnd w:id="147"/>
    </w:p>
    <w:p w14:paraId="7ADDA07E" w14:textId="77777777" w:rsidR="007D66D9" w:rsidRPr="007D66D9" w:rsidRDefault="007D66D9" w:rsidP="007D66D9">
      <w:pPr>
        <w:pStyle w:val="Heading5"/>
        <w:rPr>
          <w:lang w:eastAsia="en-AU"/>
        </w:rPr>
      </w:pPr>
      <w:bookmarkStart w:id="152" w:name="_Toc453054893"/>
      <w:r w:rsidRPr="007D66D9">
        <w:rPr>
          <w:lang w:eastAsia="en-AU"/>
        </w:rPr>
        <w:t>Study 3012 PK/PD analysis</w:t>
      </w:r>
      <w:bookmarkEnd w:id="152"/>
    </w:p>
    <w:p w14:paraId="2363014E" w14:textId="77777777" w:rsidR="007D66D9" w:rsidRPr="007D66D9" w:rsidRDefault="007D66D9" w:rsidP="00E5789A">
      <w:pPr>
        <w:rPr>
          <w:lang w:eastAsia="en-AU"/>
        </w:rPr>
      </w:pPr>
      <w:r w:rsidRPr="007D66D9">
        <w:rPr>
          <w:lang w:eastAsia="en-AU"/>
        </w:rPr>
        <w:t>The PopPK model in this submission was used to develop separate models for PANSS, dropout and relapse. While PANSS score was treated as a continuous variable, dropout and relapse were subject to survival analysis as two separate si</w:t>
      </w:r>
      <w:r w:rsidR="003673F6">
        <w:rPr>
          <w:lang w:eastAsia="en-AU"/>
        </w:rPr>
        <w:t>ng</w:t>
      </w:r>
      <w:r w:rsidRPr="007D66D9">
        <w:rPr>
          <w:lang w:eastAsia="en-AU"/>
        </w:rPr>
        <w:t>le time-to-event (TTE) models.</w:t>
      </w:r>
    </w:p>
    <w:p w14:paraId="2835C6CF" w14:textId="77777777" w:rsidR="007D66D9" w:rsidRPr="007D66D9" w:rsidRDefault="007D66D9" w:rsidP="00E5789A">
      <w:pPr>
        <w:rPr>
          <w:lang w:eastAsia="en-AU"/>
        </w:rPr>
      </w:pPr>
      <w:r w:rsidRPr="007D66D9">
        <w:rPr>
          <w:lang w:eastAsia="en-AU"/>
        </w:rPr>
        <w:t>The overall aim of the present PK/PD analysis was to describe the relationship between paliperidone plasma concentrations and time to relapse of symptoms of schizophrenia and/or positive and negative syndrome scale for schizophrenia (PANSS) total scores, while accounti</w:t>
      </w:r>
      <w:r w:rsidR="003673F6">
        <w:rPr>
          <w:lang w:eastAsia="en-AU"/>
        </w:rPr>
        <w:t>ng</w:t>
      </w:r>
      <w:r w:rsidRPr="007D66D9">
        <w:rPr>
          <w:lang w:eastAsia="en-AU"/>
        </w:rPr>
        <w:t xml:space="preserve"> for dropout.</w:t>
      </w:r>
    </w:p>
    <w:p w14:paraId="3218B2E4" w14:textId="77777777" w:rsidR="007D66D9" w:rsidRPr="007D66D9" w:rsidRDefault="007D66D9" w:rsidP="00E5789A">
      <w:pPr>
        <w:keepNext/>
        <w:rPr>
          <w:lang w:eastAsia="en-AU"/>
        </w:rPr>
      </w:pPr>
      <w:r w:rsidRPr="007D66D9">
        <w:rPr>
          <w:lang w:eastAsia="en-AU"/>
        </w:rPr>
        <w:t>The CSR then separately defines 4 objectives:</w:t>
      </w:r>
    </w:p>
    <w:p w14:paraId="78939770" w14:textId="77777777" w:rsidR="007D66D9" w:rsidRPr="00E5789A" w:rsidRDefault="007D66D9" w:rsidP="00E5789A">
      <w:pPr>
        <w:pStyle w:val="ListBullet"/>
        <w:rPr>
          <w:lang w:eastAsia="en-AU"/>
        </w:rPr>
      </w:pPr>
      <w:r w:rsidRPr="007D66D9">
        <w:rPr>
          <w:lang w:eastAsia="en-AU"/>
        </w:rPr>
        <w:t>Objective 1</w:t>
      </w:r>
      <w:r w:rsidR="00E5789A">
        <w:rPr>
          <w:lang w:eastAsia="en-AU"/>
        </w:rPr>
        <w:t xml:space="preserve">: </w:t>
      </w:r>
      <w:r w:rsidRPr="00E5789A">
        <w:rPr>
          <w:rFonts w:eastAsia="Times New Roman"/>
          <w:kern w:val="16"/>
          <w:lang w:eastAsia="en-AU"/>
        </w:rPr>
        <w:t>To describe the relationship between plasma concentrations of paliperidone and total PANSS score after administration of paliperidone as Invega Sustenna and Invega Trinza.</w:t>
      </w:r>
    </w:p>
    <w:p w14:paraId="51258FE2" w14:textId="77777777" w:rsidR="007D66D9" w:rsidRPr="00E5789A" w:rsidRDefault="007D66D9" w:rsidP="00E5789A">
      <w:pPr>
        <w:pStyle w:val="ListBullet"/>
        <w:rPr>
          <w:lang w:eastAsia="en-AU"/>
        </w:rPr>
      </w:pPr>
      <w:r w:rsidRPr="007D66D9">
        <w:rPr>
          <w:lang w:eastAsia="en-AU"/>
        </w:rPr>
        <w:lastRenderedPageBreak/>
        <w:t>Objective 2</w:t>
      </w:r>
      <w:r w:rsidR="00E5789A">
        <w:rPr>
          <w:lang w:eastAsia="en-AU"/>
        </w:rPr>
        <w:t xml:space="preserve">: </w:t>
      </w:r>
      <w:r w:rsidRPr="00E5789A">
        <w:rPr>
          <w:rFonts w:eastAsia="Times New Roman"/>
          <w:kern w:val="16"/>
          <w:lang w:eastAsia="en-AU"/>
        </w:rPr>
        <w:t>To describe the time to relapse of symptoms of schizophrenia, includi</w:t>
      </w:r>
      <w:r w:rsidR="003673F6">
        <w:rPr>
          <w:rFonts w:eastAsia="Times New Roman"/>
          <w:kern w:val="16"/>
          <w:lang w:eastAsia="en-AU"/>
        </w:rPr>
        <w:t>ng</w:t>
      </w:r>
      <w:r w:rsidRPr="00E5789A">
        <w:rPr>
          <w:rFonts w:eastAsia="Times New Roman"/>
          <w:kern w:val="16"/>
          <w:lang w:eastAsia="en-AU"/>
        </w:rPr>
        <w:t xml:space="preserve"> the relationships between relapse, paliperidone plasma concentrations and total PANSS score.</w:t>
      </w:r>
    </w:p>
    <w:p w14:paraId="290DB608" w14:textId="77777777" w:rsidR="007D66D9" w:rsidRPr="007D66D9" w:rsidRDefault="007D66D9" w:rsidP="00E5789A">
      <w:pPr>
        <w:pStyle w:val="ListBullet"/>
        <w:rPr>
          <w:lang w:eastAsia="en-AU"/>
        </w:rPr>
      </w:pPr>
      <w:r w:rsidRPr="007D66D9">
        <w:rPr>
          <w:lang w:eastAsia="en-AU"/>
        </w:rPr>
        <w:t>Objective 3</w:t>
      </w:r>
      <w:r w:rsidR="00E5789A">
        <w:rPr>
          <w:lang w:eastAsia="en-AU"/>
        </w:rPr>
        <w:t xml:space="preserve">: </w:t>
      </w:r>
      <w:r w:rsidRPr="007D66D9">
        <w:rPr>
          <w:lang w:eastAsia="en-AU"/>
        </w:rPr>
        <w:t>To describe possible study dropout from other causes than relapse of symptoms of schizophrenia.</w:t>
      </w:r>
    </w:p>
    <w:p w14:paraId="0E0D1E16" w14:textId="77777777" w:rsidR="007D66D9" w:rsidRPr="007D66D9" w:rsidRDefault="007D66D9" w:rsidP="00E5789A">
      <w:pPr>
        <w:pStyle w:val="ListBullet"/>
        <w:rPr>
          <w:lang w:eastAsia="en-AU"/>
        </w:rPr>
      </w:pPr>
      <w:r w:rsidRPr="007D66D9">
        <w:rPr>
          <w:lang w:eastAsia="en-AU"/>
        </w:rPr>
        <w:t>Objective 4</w:t>
      </w:r>
      <w:r w:rsidR="00E5789A">
        <w:rPr>
          <w:lang w:eastAsia="en-AU"/>
        </w:rPr>
        <w:t xml:space="preserve">: </w:t>
      </w:r>
      <w:r w:rsidRPr="007D66D9">
        <w:rPr>
          <w:lang w:eastAsia="en-AU"/>
        </w:rPr>
        <w:t>To assess the influence of covariates on the relationships between paliperidone plasma concentration, PANSS score, relapse, and dropout.</w:t>
      </w:r>
    </w:p>
    <w:p w14:paraId="2847E8EB" w14:textId="77777777" w:rsidR="007D66D9" w:rsidRPr="007D66D9" w:rsidRDefault="007D66D9" w:rsidP="00E5789A">
      <w:pPr>
        <w:rPr>
          <w:lang w:eastAsia="en-AU"/>
        </w:rPr>
      </w:pPr>
      <w:r w:rsidRPr="007D66D9">
        <w:rPr>
          <w:lang w:eastAsia="en-AU"/>
        </w:rPr>
        <w:t>For study 3012:</w:t>
      </w:r>
    </w:p>
    <w:p w14:paraId="69BF3850" w14:textId="77777777" w:rsidR="007D66D9" w:rsidRPr="00094D64" w:rsidRDefault="007D66D9" w:rsidP="00E5789A">
      <w:pPr>
        <w:rPr>
          <w:lang w:eastAsia="en-AU"/>
        </w:rPr>
      </w:pPr>
      <w:r w:rsidRPr="00094D64">
        <w:rPr>
          <w:lang w:eastAsia="en-AU"/>
        </w:rPr>
        <w:t xml:space="preserve">The primary objective was to evaluate the efficacy of paliperidone palmitate </w:t>
      </w:r>
      <w:r w:rsidR="0058163A">
        <w:rPr>
          <w:lang w:eastAsia="en-AU"/>
        </w:rPr>
        <w:t>3 Month</w:t>
      </w:r>
      <w:r w:rsidRPr="00094D64">
        <w:rPr>
          <w:lang w:eastAsia="en-AU"/>
        </w:rPr>
        <w:t xml:space="preserve"> formulation (Invega Trinza) compared with placebo in delayi</w:t>
      </w:r>
      <w:r w:rsidR="003673F6">
        <w:rPr>
          <w:lang w:eastAsia="en-AU"/>
        </w:rPr>
        <w:t>ng</w:t>
      </w:r>
      <w:r w:rsidRPr="00094D64">
        <w:rPr>
          <w:lang w:eastAsia="en-AU"/>
        </w:rPr>
        <w:t xml:space="preserve"> the time to first occurrence of relapse of the symptoms of schizophrenia.</w:t>
      </w:r>
    </w:p>
    <w:p w14:paraId="67E05710" w14:textId="77777777" w:rsidR="004A676D" w:rsidRDefault="007D66D9" w:rsidP="00E5789A">
      <w:pPr>
        <w:rPr>
          <w:lang w:eastAsia="en-AU"/>
        </w:rPr>
      </w:pPr>
      <w:r w:rsidRPr="00094D64">
        <w:rPr>
          <w:lang w:eastAsia="en-AU"/>
        </w:rPr>
        <w:t>The primary efficacy end point was the time from randomization to first relapse event in the</w:t>
      </w:r>
      <w:r w:rsidRPr="007D66D9">
        <w:rPr>
          <w:lang w:eastAsia="en-AU"/>
        </w:rPr>
        <w:t xml:space="preserve"> </w:t>
      </w:r>
      <w:r w:rsidR="00E5789A">
        <w:rPr>
          <w:lang w:eastAsia="en-AU"/>
        </w:rPr>
        <w:t xml:space="preserve">double </w:t>
      </w:r>
      <w:r w:rsidR="00E5789A" w:rsidRPr="007D66D9">
        <w:rPr>
          <w:lang w:eastAsia="en-AU"/>
        </w:rPr>
        <w:t>blind phase</w:t>
      </w:r>
      <w:r w:rsidR="004A676D">
        <w:rPr>
          <w:lang w:eastAsia="en-AU"/>
        </w:rPr>
        <w:t>.</w:t>
      </w:r>
    </w:p>
    <w:p w14:paraId="2478E046" w14:textId="77777777" w:rsidR="007D66D9" w:rsidRPr="007D66D9" w:rsidRDefault="007D66D9" w:rsidP="007D66D9">
      <w:pPr>
        <w:pStyle w:val="Comment"/>
        <w:rPr>
          <w:lang w:eastAsia="en-AU"/>
        </w:rPr>
      </w:pPr>
      <w:r w:rsidRPr="007D66D9">
        <w:rPr>
          <w:rFonts w:eastAsia="Times New Roman"/>
          <w:b/>
          <w:kern w:val="16"/>
          <w:lang w:eastAsia="en-AU"/>
        </w:rPr>
        <w:t>Comment</w:t>
      </w:r>
      <w:r w:rsidRPr="007D66D9">
        <w:rPr>
          <w:rFonts w:eastAsia="Times New Roman"/>
          <w:kern w:val="16"/>
          <w:lang w:eastAsia="en-AU"/>
        </w:rPr>
        <w:t>: The second objective of this analysis reflects the primary objective of Study 3012.</w:t>
      </w:r>
    </w:p>
    <w:p w14:paraId="4C40A0A4" w14:textId="77777777" w:rsidR="007D66D9" w:rsidRPr="007D66D9" w:rsidRDefault="007D66D9" w:rsidP="00EF1D3B">
      <w:pPr>
        <w:pStyle w:val="Tabletitle"/>
        <w:rPr>
          <w:lang w:eastAsia="en-AU"/>
        </w:rPr>
      </w:pPr>
      <w:bookmarkStart w:id="153" w:name="_Toc453054989"/>
      <w:r w:rsidRPr="00531123">
        <w:rPr>
          <w:lang w:eastAsia="en-AU"/>
        </w:rPr>
        <w:t xml:space="preserve">Table </w:t>
      </w:r>
      <w:r w:rsidR="00531123" w:rsidRPr="00531123">
        <w:rPr>
          <w:lang w:eastAsia="en-AU"/>
        </w:rPr>
        <w:t>26:</w:t>
      </w:r>
      <w:r w:rsidRPr="00531123">
        <w:rPr>
          <w:lang w:eastAsia="en-AU"/>
        </w:rPr>
        <w:t xml:space="preserve"> Number</w:t>
      </w:r>
      <w:r w:rsidRPr="007D66D9">
        <w:rPr>
          <w:lang w:eastAsia="en-AU"/>
        </w:rPr>
        <w:t xml:space="preserve"> of patients and PANSS observations in the PANSS analysis data set</w:t>
      </w:r>
      <w:bookmarkEnd w:id="153"/>
    </w:p>
    <w:p w14:paraId="665F8ACB" w14:textId="77777777" w:rsidR="007D66D9" w:rsidRPr="007D66D9" w:rsidRDefault="007D66D9" w:rsidP="00E65623">
      <w:pPr>
        <w:rPr>
          <w:lang w:eastAsia="en-AU"/>
        </w:rPr>
      </w:pPr>
      <w:r w:rsidRPr="007D66D9">
        <w:rPr>
          <w:noProof/>
          <w:lang w:eastAsia="en-AU"/>
        </w:rPr>
        <w:drawing>
          <wp:inline distT="0" distB="0" distL="0" distR="0" wp14:anchorId="5D0BE2E5" wp14:editId="2C0C4B7A">
            <wp:extent cx="4248150" cy="638175"/>
            <wp:effectExtent l="0" t="0" r="0" b="9525"/>
            <wp:docPr id="43" name="Picture 43" descr="Table 26: Number of patients and PANSS observations in the PANSS analysis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48150" cy="638175"/>
                    </a:xfrm>
                    <a:prstGeom prst="rect">
                      <a:avLst/>
                    </a:prstGeom>
                  </pic:spPr>
                </pic:pic>
              </a:graphicData>
            </a:graphic>
          </wp:inline>
        </w:drawing>
      </w:r>
    </w:p>
    <w:p w14:paraId="7A5C7811" w14:textId="77777777" w:rsidR="007D66D9" w:rsidRPr="007D66D9" w:rsidRDefault="007D66D9" w:rsidP="00EF1D3B">
      <w:pPr>
        <w:pStyle w:val="Tabletitle"/>
        <w:rPr>
          <w:lang w:eastAsia="en-AU"/>
        </w:rPr>
      </w:pPr>
      <w:bookmarkStart w:id="154" w:name="_Toc453054990"/>
      <w:r w:rsidRPr="00531123">
        <w:rPr>
          <w:lang w:eastAsia="en-AU"/>
        </w:rPr>
        <w:t xml:space="preserve">Table </w:t>
      </w:r>
      <w:r w:rsidR="00531123" w:rsidRPr="00531123">
        <w:rPr>
          <w:lang w:eastAsia="en-AU"/>
        </w:rPr>
        <w:t>2</w:t>
      </w:r>
      <w:r w:rsidR="00531123">
        <w:rPr>
          <w:lang w:eastAsia="en-AU"/>
        </w:rPr>
        <w:t>7:</w:t>
      </w:r>
      <w:r w:rsidRPr="007D66D9">
        <w:rPr>
          <w:lang w:eastAsia="en-AU"/>
        </w:rPr>
        <w:t xml:space="preserve"> Number of patients and relapse/dropout events in the TTE (dropout and relapse) analysis data set</w:t>
      </w:r>
      <w:bookmarkEnd w:id="154"/>
    </w:p>
    <w:p w14:paraId="48771AB6" w14:textId="77777777" w:rsidR="007D66D9" w:rsidRPr="007D66D9" w:rsidRDefault="007D66D9" w:rsidP="00EF1D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lang w:eastAsia="en-AU"/>
        </w:rPr>
      </w:pPr>
      <w:r w:rsidRPr="007D66D9">
        <w:rPr>
          <w:rFonts w:eastAsia="Times New Roman"/>
          <w:noProof/>
          <w:kern w:val="16"/>
          <w:lang w:eastAsia="en-AU"/>
        </w:rPr>
        <w:drawing>
          <wp:inline distT="0" distB="0" distL="0" distR="0" wp14:anchorId="6EB84A74" wp14:editId="2F0D3AC1">
            <wp:extent cx="5314950" cy="628650"/>
            <wp:effectExtent l="0" t="0" r="0" b="0"/>
            <wp:docPr id="48" name="Picture 48" descr="Table 27: Number of patients and relapse/dropout events in the TTE (dropout and relapse) analysis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14950" cy="628650"/>
                    </a:xfrm>
                    <a:prstGeom prst="rect">
                      <a:avLst/>
                    </a:prstGeom>
                  </pic:spPr>
                </pic:pic>
              </a:graphicData>
            </a:graphic>
          </wp:inline>
        </w:drawing>
      </w:r>
    </w:p>
    <w:p w14:paraId="1C489FBF" w14:textId="77777777" w:rsidR="007D66D9" w:rsidRPr="007D66D9" w:rsidRDefault="00F634A2" w:rsidP="00094D64">
      <w:pPr>
        <w:pStyle w:val="Heading6"/>
        <w:rPr>
          <w:lang w:eastAsia="en-AU"/>
        </w:rPr>
      </w:pPr>
      <w:r>
        <w:rPr>
          <w:lang w:eastAsia="en-AU"/>
        </w:rPr>
        <w:t>Final m</w:t>
      </w:r>
      <w:r w:rsidR="007D66D9" w:rsidRPr="007D66D9">
        <w:rPr>
          <w:lang w:eastAsia="en-AU"/>
        </w:rPr>
        <w:t>odel</w:t>
      </w:r>
    </w:p>
    <w:p w14:paraId="29251DE2" w14:textId="77777777" w:rsidR="007D66D9" w:rsidRPr="007D66D9" w:rsidRDefault="007D66D9" w:rsidP="00E5789A">
      <w:pPr>
        <w:rPr>
          <w:lang w:eastAsia="en-AU"/>
        </w:rPr>
      </w:pPr>
      <w:r w:rsidRPr="007D66D9">
        <w:rPr>
          <w:lang w:eastAsia="en-AU"/>
        </w:rPr>
        <w:t xml:space="preserve">For relapse, a sigmoidal </w:t>
      </w:r>
      <w:proofErr w:type="spellStart"/>
      <w:r w:rsidRPr="007D66D9">
        <w:rPr>
          <w:lang w:eastAsia="en-AU"/>
        </w:rPr>
        <w:t>E</w:t>
      </w:r>
      <w:r w:rsidRPr="007D66D9">
        <w:rPr>
          <w:vertAlign w:val="subscript"/>
          <w:lang w:eastAsia="en-AU"/>
        </w:rPr>
        <w:t>max</w:t>
      </w:r>
      <w:proofErr w:type="spellEnd"/>
      <w:r w:rsidRPr="007D66D9">
        <w:rPr>
          <w:vertAlign w:val="subscript"/>
          <w:lang w:eastAsia="en-AU"/>
        </w:rPr>
        <w:t xml:space="preserve"> </w:t>
      </w:r>
      <w:r w:rsidRPr="007D66D9">
        <w:rPr>
          <w:lang w:eastAsia="en-AU"/>
        </w:rPr>
        <w:t>model best described the log-hazard ratio over time. The underlyi</w:t>
      </w:r>
      <w:r w:rsidR="003673F6">
        <w:rPr>
          <w:lang w:eastAsia="en-AU"/>
        </w:rPr>
        <w:t>ng</w:t>
      </w:r>
      <w:r w:rsidRPr="007D66D9">
        <w:rPr>
          <w:lang w:eastAsia="en-AU"/>
        </w:rPr>
        <w:t xml:space="preserve"> (baseline) relapse hazard was predicted to be constant over time in the absence of drug (zero concentrations). The baseline hazard was higher for subjects with a higher paliperidone trough plasma concentration at start of the double blind phase and increased with the number of previous hospitalizations.</w:t>
      </w:r>
    </w:p>
    <w:p w14:paraId="0FF8231F" w14:textId="77777777" w:rsidR="007D66D9" w:rsidRPr="007D66D9" w:rsidRDefault="007D66D9" w:rsidP="00E5789A">
      <w:pPr>
        <w:rPr>
          <w:lang w:eastAsia="en-AU"/>
        </w:rPr>
      </w:pPr>
      <w:r w:rsidRPr="007D66D9">
        <w:rPr>
          <w:lang w:eastAsia="en-AU"/>
        </w:rPr>
        <w:t>For dropout, with fewer events than relapse, occurri</w:t>
      </w:r>
      <w:r w:rsidR="003673F6">
        <w:rPr>
          <w:lang w:eastAsia="en-AU"/>
        </w:rPr>
        <w:t>ng</w:t>
      </w:r>
      <w:r w:rsidRPr="007D66D9">
        <w:rPr>
          <w:lang w:eastAsia="en-AU"/>
        </w:rPr>
        <w:t xml:space="preserve"> duri</w:t>
      </w:r>
      <w:r w:rsidR="003673F6">
        <w:rPr>
          <w:lang w:eastAsia="en-AU"/>
        </w:rPr>
        <w:t>ng</w:t>
      </w:r>
      <w:r w:rsidRPr="007D66D9">
        <w:rPr>
          <w:lang w:eastAsia="en-AU"/>
        </w:rPr>
        <w:t xml:space="preserve"> the </w:t>
      </w:r>
      <w:r w:rsidR="00E60DFA">
        <w:rPr>
          <w:lang w:eastAsia="en-AU"/>
        </w:rPr>
        <w:t>double blind</w:t>
      </w:r>
      <w:r w:rsidRPr="007D66D9">
        <w:rPr>
          <w:lang w:eastAsia="en-AU"/>
        </w:rPr>
        <w:t xml:space="preserve"> period, a linear model (on log hazard ratio scale) was adequate to describe the concentration-effect relation. A Weibull hazard model, with increasi</w:t>
      </w:r>
      <w:r w:rsidR="003673F6">
        <w:rPr>
          <w:lang w:eastAsia="en-AU"/>
        </w:rPr>
        <w:t>ng</w:t>
      </w:r>
      <w:r w:rsidRPr="007D66D9">
        <w:rPr>
          <w:lang w:eastAsia="en-AU"/>
        </w:rPr>
        <w:t xml:space="preserve"> baseline hazard over time, was significantly better than a constant-hazard model. No significant covariates (except for concentration and time) were found for dropout.</w:t>
      </w:r>
    </w:p>
    <w:p w14:paraId="3D6822B2" w14:textId="77777777" w:rsidR="007D66D9" w:rsidRPr="007D66D9" w:rsidRDefault="007D66D9" w:rsidP="00E5789A">
      <w:pPr>
        <w:rPr>
          <w:lang w:eastAsia="en-AU"/>
        </w:rPr>
      </w:pPr>
      <w:r w:rsidRPr="007D66D9">
        <w:rPr>
          <w:lang w:eastAsia="en-AU"/>
        </w:rPr>
        <w:t>PANSS scores contained little signal of efficacy, beyond the sudden increases in PANSS score at the start of a relapse event. Moreover, in developi</w:t>
      </w:r>
      <w:r w:rsidR="003673F6">
        <w:rPr>
          <w:lang w:eastAsia="en-AU"/>
        </w:rPr>
        <w:t>ng</w:t>
      </w:r>
      <w:r w:rsidRPr="007D66D9">
        <w:rPr>
          <w:lang w:eastAsia="en-AU"/>
        </w:rPr>
        <w:t xml:space="preserve"> the relapse model, different derivations (functions) of PANSS score were tested as predictors of future relapse, and found not to reach the level of significance required for covariates.</w:t>
      </w:r>
    </w:p>
    <w:p w14:paraId="5F07D69C" w14:textId="77777777" w:rsidR="007D66D9" w:rsidRPr="007D66D9" w:rsidRDefault="007D66D9" w:rsidP="00E5789A">
      <w:pPr>
        <w:rPr>
          <w:lang w:eastAsia="en-AU"/>
        </w:rPr>
      </w:pPr>
      <w:r w:rsidRPr="007D66D9">
        <w:rPr>
          <w:lang w:eastAsia="en-AU"/>
        </w:rPr>
        <w:t>Therefore, model development of PANSS was abandoned and no final model is presented.</w:t>
      </w:r>
    </w:p>
    <w:p w14:paraId="4AC1179B" w14:textId="77777777" w:rsidR="007D66D9" w:rsidRPr="007D66D9" w:rsidRDefault="007D66D9" w:rsidP="00E5789A">
      <w:pPr>
        <w:rPr>
          <w:lang w:eastAsia="en-AU"/>
        </w:rPr>
      </w:pPr>
      <w:r w:rsidRPr="007D66D9">
        <w:rPr>
          <w:lang w:eastAsia="en-AU"/>
        </w:rPr>
        <w:t>Time to relapse appears to be based on Confirmatory analysis.</w:t>
      </w:r>
    </w:p>
    <w:p w14:paraId="6CB37597" w14:textId="77777777" w:rsidR="004A676D" w:rsidRDefault="007D66D9" w:rsidP="005A18C6">
      <w:pPr>
        <w:pStyle w:val="FigureTitle"/>
        <w:keepNext/>
        <w:rPr>
          <w:lang w:eastAsia="en-AU"/>
        </w:rPr>
      </w:pPr>
      <w:bookmarkStart w:id="155" w:name="_Toc453055061"/>
      <w:r w:rsidRPr="00531123">
        <w:rPr>
          <w:lang w:eastAsia="en-AU"/>
        </w:rPr>
        <w:lastRenderedPageBreak/>
        <w:t xml:space="preserve">Figure </w:t>
      </w:r>
      <w:r w:rsidR="00531123" w:rsidRPr="00531123">
        <w:rPr>
          <w:lang w:eastAsia="en-AU"/>
        </w:rPr>
        <w:t>2</w:t>
      </w:r>
      <w:r w:rsidR="00531123">
        <w:rPr>
          <w:lang w:eastAsia="en-AU"/>
        </w:rPr>
        <w:t>0:</w:t>
      </w:r>
      <w:r w:rsidRPr="007D66D9">
        <w:rPr>
          <w:lang w:eastAsia="en-AU"/>
        </w:rPr>
        <w:t xml:space="preserve"> Relapse survival over time since start of </w:t>
      </w:r>
      <w:r w:rsidR="00E60DFA">
        <w:rPr>
          <w:lang w:eastAsia="en-AU"/>
        </w:rPr>
        <w:t>double blind</w:t>
      </w:r>
      <w:r w:rsidRPr="007D66D9">
        <w:rPr>
          <w:lang w:eastAsia="en-AU"/>
        </w:rPr>
        <w:t xml:space="preserve"> phase</w:t>
      </w:r>
      <w:bookmarkEnd w:id="155"/>
    </w:p>
    <w:p w14:paraId="3BB30B5B" w14:textId="77777777" w:rsidR="007D66D9" w:rsidRPr="007D66D9" w:rsidRDefault="007D66D9" w:rsidP="00E65623">
      <w:pPr>
        <w:rPr>
          <w:lang w:eastAsia="en-AU"/>
        </w:rPr>
      </w:pPr>
      <w:r w:rsidRPr="007D66D9">
        <w:rPr>
          <w:noProof/>
          <w:lang w:eastAsia="en-AU"/>
        </w:rPr>
        <w:drawing>
          <wp:inline distT="0" distB="0" distL="0" distR="0" wp14:anchorId="2993C645" wp14:editId="252A1BD6">
            <wp:extent cx="5040000" cy="3146767"/>
            <wp:effectExtent l="0" t="0" r="8255" b="0"/>
            <wp:docPr id="49" name="Picture 49" descr="Figure 20: Relapse survival over time since start of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40000" cy="3146767"/>
                    </a:xfrm>
                    <a:prstGeom prst="rect">
                      <a:avLst/>
                    </a:prstGeom>
                  </pic:spPr>
                </pic:pic>
              </a:graphicData>
            </a:graphic>
          </wp:inline>
        </w:drawing>
      </w:r>
    </w:p>
    <w:p w14:paraId="5EC7724E" w14:textId="77777777" w:rsidR="007D66D9" w:rsidRPr="007D66D9" w:rsidRDefault="007D66D9" w:rsidP="00E5789A">
      <w:pPr>
        <w:pStyle w:val="TableDescription"/>
        <w:keepLines/>
        <w:rPr>
          <w:lang w:eastAsia="en-AU"/>
        </w:rPr>
      </w:pPr>
      <w:r w:rsidRPr="007D66D9">
        <w:rPr>
          <w:lang w:eastAsia="en-AU"/>
        </w:rPr>
        <w:t xml:space="preserve">Survival is given as fraction without event, separately for the two treatment arms, and based on the point-estimate from the </w:t>
      </w:r>
      <w:r w:rsidR="00EF1D3B">
        <w:rPr>
          <w:lang w:eastAsia="en-AU"/>
        </w:rPr>
        <w:t>Kaplan–Meier survival function.</w:t>
      </w:r>
    </w:p>
    <w:p w14:paraId="247908C8" w14:textId="77777777" w:rsidR="007D66D9" w:rsidRPr="007D66D9" w:rsidRDefault="007D66D9" w:rsidP="005A18C6">
      <w:pPr>
        <w:pStyle w:val="FigureTitle"/>
        <w:keepNext/>
        <w:rPr>
          <w:lang w:eastAsia="en-AU"/>
        </w:rPr>
      </w:pPr>
      <w:bookmarkStart w:id="156" w:name="_Toc453055062"/>
      <w:r w:rsidRPr="00094D64">
        <w:rPr>
          <w:lang w:eastAsia="en-AU"/>
        </w:rPr>
        <w:t>Figure</w:t>
      </w:r>
      <w:r w:rsidRPr="007D66D9">
        <w:rPr>
          <w:lang w:eastAsia="en-AU"/>
        </w:rPr>
        <w:t xml:space="preserve"> </w:t>
      </w:r>
      <w:r w:rsidR="00531123">
        <w:rPr>
          <w:lang w:eastAsia="en-AU"/>
        </w:rPr>
        <w:t>21:</w:t>
      </w:r>
      <w:r w:rsidRPr="007D66D9">
        <w:rPr>
          <w:lang w:eastAsia="en-AU"/>
        </w:rPr>
        <w:t xml:space="preserve"> Relapse survival over time since start of double blind phase, stratified on two covariates </w:t>
      </w:r>
      <w:r w:rsidR="00E5789A">
        <w:rPr>
          <w:lang w:eastAsia="en-AU"/>
        </w:rPr>
        <w:t>number</w:t>
      </w:r>
      <w:r w:rsidRPr="007D66D9">
        <w:rPr>
          <w:lang w:eastAsia="en-AU"/>
        </w:rPr>
        <w:t xml:space="preserve"> of hospitalisations and </w:t>
      </w:r>
      <w:proofErr w:type="spellStart"/>
      <w:r w:rsidRPr="007D66D9">
        <w:rPr>
          <w:lang w:eastAsia="en-AU"/>
        </w:rPr>
        <w:t>C</w:t>
      </w:r>
      <w:r w:rsidRPr="007D66D9">
        <w:rPr>
          <w:vertAlign w:val="subscript"/>
          <w:lang w:eastAsia="en-AU"/>
        </w:rPr>
        <w:t>trough</w:t>
      </w:r>
      <w:proofErr w:type="spellEnd"/>
      <w:r w:rsidRPr="007D66D9">
        <w:rPr>
          <w:lang w:eastAsia="en-AU"/>
        </w:rPr>
        <w:t xml:space="preserve">. </w:t>
      </w:r>
      <w:r w:rsidR="00E5789A">
        <w:rPr>
          <w:lang w:eastAsia="en-AU"/>
        </w:rPr>
        <w:t>D</w:t>
      </w:r>
      <w:r w:rsidR="00E5789A" w:rsidRPr="007D66D9">
        <w:rPr>
          <w:lang w:eastAsia="en-AU"/>
        </w:rPr>
        <w:t>o</w:t>
      </w:r>
      <w:r w:rsidRPr="007D66D9">
        <w:rPr>
          <w:lang w:eastAsia="en-AU"/>
        </w:rPr>
        <w:t>uble blind phase</w:t>
      </w:r>
      <w:bookmarkEnd w:id="156"/>
    </w:p>
    <w:p w14:paraId="5252B074" w14:textId="77777777" w:rsidR="00094D64" w:rsidRDefault="007D66D9" w:rsidP="00E65623">
      <w:pPr>
        <w:rPr>
          <w:lang w:eastAsia="en-AU"/>
        </w:rPr>
      </w:pPr>
      <w:r w:rsidRPr="007D66D9">
        <w:rPr>
          <w:noProof/>
          <w:lang w:eastAsia="en-AU"/>
        </w:rPr>
        <w:drawing>
          <wp:inline distT="0" distB="0" distL="0" distR="0" wp14:anchorId="5B7AA141" wp14:editId="0A892384">
            <wp:extent cx="3364992" cy="3498105"/>
            <wp:effectExtent l="0" t="0" r="6985" b="7620"/>
            <wp:docPr id="50" name="Picture 50" descr="Figure 21: Relapse survival over time since start of double blind phase, stratified on two covariates number of hospitalisations and Ctrough.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365612" cy="3498749"/>
                    </a:xfrm>
                    <a:prstGeom prst="rect">
                      <a:avLst/>
                    </a:prstGeom>
                  </pic:spPr>
                </pic:pic>
              </a:graphicData>
            </a:graphic>
          </wp:inline>
        </w:drawing>
      </w:r>
    </w:p>
    <w:p w14:paraId="49483D23" w14:textId="77777777" w:rsidR="004A676D" w:rsidRDefault="007D66D9" w:rsidP="00E65623">
      <w:pPr>
        <w:pStyle w:val="TableDescription"/>
        <w:rPr>
          <w:lang w:eastAsia="en-AU"/>
        </w:rPr>
      </w:pPr>
      <w:r w:rsidRPr="00E65623">
        <w:t>Survival</w:t>
      </w:r>
      <w:r w:rsidRPr="007D66D9">
        <w:rPr>
          <w:lang w:eastAsia="en-AU"/>
        </w:rPr>
        <w:t xml:space="preserve"> is given as fraction without event, based on the point-estimate from the Kaplan–Meier survival function after stratification on number of hospitalizations (upper panel) and the PP3M trough concentration at the start of the </w:t>
      </w:r>
      <w:r w:rsidR="00E60DFA">
        <w:rPr>
          <w:lang w:eastAsia="en-AU"/>
        </w:rPr>
        <w:t>double blind</w:t>
      </w:r>
      <w:r w:rsidRPr="007D66D9">
        <w:rPr>
          <w:lang w:eastAsia="en-AU"/>
        </w:rPr>
        <w:t xml:space="preserve"> phase (lower panel)</w:t>
      </w:r>
      <w:r w:rsidR="004A676D">
        <w:rPr>
          <w:lang w:eastAsia="en-AU"/>
        </w:rPr>
        <w:t>.</w:t>
      </w:r>
    </w:p>
    <w:p w14:paraId="735E503D" w14:textId="77777777" w:rsidR="004A676D" w:rsidRDefault="007D66D9" w:rsidP="005A18C6">
      <w:pPr>
        <w:pStyle w:val="FigureTitle"/>
        <w:keepNext/>
        <w:rPr>
          <w:lang w:eastAsia="en-AU"/>
        </w:rPr>
      </w:pPr>
      <w:bookmarkStart w:id="157" w:name="_Toc453055063"/>
      <w:r w:rsidRPr="00531123">
        <w:rPr>
          <w:lang w:eastAsia="en-AU"/>
        </w:rPr>
        <w:lastRenderedPageBreak/>
        <w:t xml:space="preserve">Figure </w:t>
      </w:r>
      <w:r w:rsidR="00531123" w:rsidRPr="00531123">
        <w:rPr>
          <w:lang w:eastAsia="en-AU"/>
        </w:rPr>
        <w:t>22:</w:t>
      </w:r>
      <w:r w:rsidRPr="00531123">
        <w:rPr>
          <w:lang w:eastAsia="en-AU"/>
        </w:rPr>
        <w:t xml:space="preserve"> Visual</w:t>
      </w:r>
      <w:r w:rsidRPr="007D66D9">
        <w:rPr>
          <w:lang w:eastAsia="en-AU"/>
        </w:rPr>
        <w:t xml:space="preserve"> predictive check of the final relapse model, stratified by treatment</w:t>
      </w:r>
      <w:bookmarkEnd w:id="157"/>
    </w:p>
    <w:p w14:paraId="04391CEA" w14:textId="77777777" w:rsidR="007D66D9" w:rsidRPr="007D66D9" w:rsidRDefault="007D66D9" w:rsidP="00E65623">
      <w:pPr>
        <w:rPr>
          <w:lang w:eastAsia="en-AU"/>
        </w:rPr>
      </w:pPr>
      <w:r w:rsidRPr="007D66D9">
        <w:rPr>
          <w:noProof/>
          <w:lang w:eastAsia="en-AU"/>
        </w:rPr>
        <w:drawing>
          <wp:inline distT="0" distB="0" distL="0" distR="0" wp14:anchorId="4A243DD1" wp14:editId="6B6463F9">
            <wp:extent cx="5425608" cy="2655418"/>
            <wp:effectExtent l="0" t="0" r="3810" b="0"/>
            <wp:docPr id="51" name="Picture 51" descr="Figure 22: Visual predictive check of the final relapse model, stratified b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32002" cy="2658548"/>
                    </a:xfrm>
                    <a:prstGeom prst="rect">
                      <a:avLst/>
                    </a:prstGeom>
                  </pic:spPr>
                </pic:pic>
              </a:graphicData>
            </a:graphic>
          </wp:inline>
        </w:drawing>
      </w:r>
      <w:r w:rsidRPr="007D66D9">
        <w:rPr>
          <w:lang w:eastAsia="en-AU"/>
        </w:rPr>
        <w:t xml:space="preserve"> </w:t>
      </w:r>
    </w:p>
    <w:p w14:paraId="1E16EE17" w14:textId="77777777" w:rsidR="007D66D9" w:rsidRPr="007D66D9" w:rsidRDefault="007D66D9" w:rsidP="00E65623">
      <w:pPr>
        <w:pStyle w:val="TableDescription"/>
        <w:rPr>
          <w:lang w:eastAsia="en-AU"/>
        </w:rPr>
      </w:pPr>
      <w:r w:rsidRPr="007D66D9">
        <w:rPr>
          <w:lang w:eastAsia="en-AU"/>
        </w:rPr>
        <w:t xml:space="preserve">The solid and </w:t>
      </w:r>
      <w:r w:rsidRPr="00E65623">
        <w:t>dashed</w:t>
      </w:r>
      <w:r w:rsidRPr="007D66D9">
        <w:rPr>
          <w:lang w:eastAsia="en-AU"/>
        </w:rPr>
        <w:t xml:space="preserve"> lines represent the Kaplan–Meier point estimate and 95% CI, based on observed data; the shaded green areas represent the 95% CI of the Kaplan–Meier point estimate, based on 2000 replicate simulations of the study.</w:t>
      </w:r>
    </w:p>
    <w:p w14:paraId="70B89ADB" w14:textId="77777777" w:rsidR="004A676D" w:rsidRDefault="007D66D9" w:rsidP="005A18C6">
      <w:pPr>
        <w:pStyle w:val="FigureTitle"/>
        <w:keepNext/>
        <w:rPr>
          <w:lang w:eastAsia="en-AU"/>
        </w:rPr>
      </w:pPr>
      <w:bookmarkStart w:id="158" w:name="_Toc453055064"/>
      <w:r w:rsidRPr="00531123">
        <w:rPr>
          <w:lang w:eastAsia="en-AU"/>
        </w:rPr>
        <w:t xml:space="preserve">Figure </w:t>
      </w:r>
      <w:r w:rsidR="00531123" w:rsidRPr="00531123">
        <w:rPr>
          <w:lang w:eastAsia="en-AU"/>
        </w:rPr>
        <w:t>2</w:t>
      </w:r>
      <w:r w:rsidR="00531123">
        <w:rPr>
          <w:lang w:eastAsia="en-AU"/>
        </w:rPr>
        <w:t>3:</w:t>
      </w:r>
      <w:r w:rsidRPr="007D66D9">
        <w:rPr>
          <w:lang w:eastAsia="en-AU"/>
        </w:rPr>
        <w:t xml:space="preserve"> Dropout survival over time since start of </w:t>
      </w:r>
      <w:r w:rsidR="00E60DFA">
        <w:rPr>
          <w:lang w:eastAsia="en-AU"/>
        </w:rPr>
        <w:t>double blind</w:t>
      </w:r>
      <w:r w:rsidRPr="007D66D9">
        <w:rPr>
          <w:lang w:eastAsia="en-AU"/>
        </w:rPr>
        <w:t xml:space="preserve"> phase</w:t>
      </w:r>
      <w:bookmarkEnd w:id="158"/>
    </w:p>
    <w:p w14:paraId="7519ADBB" w14:textId="77777777" w:rsidR="007D66D9" w:rsidRPr="007D66D9" w:rsidRDefault="007D66D9" w:rsidP="00E65623">
      <w:pPr>
        <w:rPr>
          <w:lang w:eastAsia="en-AU"/>
        </w:rPr>
      </w:pPr>
      <w:r w:rsidRPr="007D66D9">
        <w:rPr>
          <w:noProof/>
          <w:lang w:eastAsia="en-AU"/>
        </w:rPr>
        <w:drawing>
          <wp:inline distT="0" distB="0" distL="0" distR="0" wp14:anchorId="055C3AA0" wp14:editId="3E41C6A5">
            <wp:extent cx="4470928" cy="2809037"/>
            <wp:effectExtent l="0" t="0" r="6350" b="0"/>
            <wp:docPr id="52" name="Picture 52" descr="Figure 23: Dropout survival over time since start of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474488" cy="2811274"/>
                    </a:xfrm>
                    <a:prstGeom prst="rect">
                      <a:avLst/>
                    </a:prstGeom>
                  </pic:spPr>
                </pic:pic>
              </a:graphicData>
            </a:graphic>
          </wp:inline>
        </w:drawing>
      </w:r>
    </w:p>
    <w:p w14:paraId="752AC79B" w14:textId="77777777" w:rsidR="004A676D" w:rsidRDefault="007D66D9" w:rsidP="00E65623">
      <w:pPr>
        <w:pStyle w:val="TableDescription"/>
        <w:rPr>
          <w:lang w:eastAsia="en-AU"/>
        </w:rPr>
      </w:pPr>
      <w:r w:rsidRPr="007D66D9">
        <w:rPr>
          <w:lang w:eastAsia="en-AU"/>
        </w:rPr>
        <w:t xml:space="preserve">Survival is given as </w:t>
      </w:r>
      <w:r w:rsidRPr="00E65623">
        <w:t>fraction</w:t>
      </w:r>
      <w:r w:rsidRPr="007D66D9">
        <w:rPr>
          <w:lang w:eastAsia="en-AU"/>
        </w:rPr>
        <w:t xml:space="preserve"> without event, separately for the two treatment arms, and based on the point-estimate from the Kaplan–Meier survi</w:t>
      </w:r>
      <w:r w:rsidR="00AB1657">
        <w:rPr>
          <w:lang w:eastAsia="en-AU"/>
        </w:rPr>
        <w:t>val function</w:t>
      </w:r>
      <w:r w:rsidR="004A676D">
        <w:rPr>
          <w:lang w:eastAsia="en-AU"/>
        </w:rPr>
        <w:t>.</w:t>
      </w:r>
    </w:p>
    <w:p w14:paraId="05387C13" w14:textId="77777777" w:rsidR="004A676D" w:rsidRDefault="007D66D9" w:rsidP="005A18C6">
      <w:pPr>
        <w:pStyle w:val="FigureTitle"/>
        <w:keepNext/>
        <w:rPr>
          <w:lang w:eastAsia="en-AU"/>
        </w:rPr>
      </w:pPr>
      <w:bookmarkStart w:id="159" w:name="_Toc453055065"/>
      <w:r w:rsidRPr="00531123">
        <w:rPr>
          <w:lang w:eastAsia="en-AU"/>
        </w:rPr>
        <w:lastRenderedPageBreak/>
        <w:t xml:space="preserve">Figure </w:t>
      </w:r>
      <w:r w:rsidR="00531123" w:rsidRPr="00531123">
        <w:rPr>
          <w:lang w:eastAsia="en-AU"/>
        </w:rPr>
        <w:t>24:</w:t>
      </w:r>
      <w:r w:rsidRPr="00531123">
        <w:rPr>
          <w:lang w:eastAsia="en-AU"/>
        </w:rPr>
        <w:t xml:space="preserve"> Visual predictive</w:t>
      </w:r>
      <w:r w:rsidRPr="007D66D9">
        <w:rPr>
          <w:lang w:eastAsia="en-AU"/>
        </w:rPr>
        <w:t xml:space="preserve"> check of the final dropout model, stratified by treatment</w:t>
      </w:r>
      <w:bookmarkEnd w:id="159"/>
    </w:p>
    <w:p w14:paraId="62FC94A1" w14:textId="77777777" w:rsidR="007D66D9" w:rsidRPr="007D66D9" w:rsidRDefault="007D66D9" w:rsidP="00AA2D8E">
      <w:pPr>
        <w:rPr>
          <w:lang w:eastAsia="en-AU"/>
        </w:rPr>
      </w:pPr>
      <w:r w:rsidRPr="007D66D9">
        <w:rPr>
          <w:noProof/>
          <w:lang w:eastAsia="en-AU"/>
        </w:rPr>
        <w:drawing>
          <wp:inline distT="0" distB="0" distL="0" distR="0" wp14:anchorId="7C6E7C75" wp14:editId="35A99083">
            <wp:extent cx="5464832" cy="2750515"/>
            <wp:effectExtent l="0" t="0" r="2540" b="0"/>
            <wp:docPr id="53" name="Picture 53" descr="Figure 24: Visual predictive check of the final dropout model, stratified b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65301" cy="2750751"/>
                    </a:xfrm>
                    <a:prstGeom prst="rect">
                      <a:avLst/>
                    </a:prstGeom>
                  </pic:spPr>
                </pic:pic>
              </a:graphicData>
            </a:graphic>
          </wp:inline>
        </w:drawing>
      </w:r>
    </w:p>
    <w:p w14:paraId="0EDED961" w14:textId="77777777" w:rsidR="00AB1657" w:rsidRDefault="007D66D9" w:rsidP="00AA2D8E">
      <w:pPr>
        <w:pStyle w:val="TableDescription"/>
        <w:rPr>
          <w:lang w:eastAsia="en-AU"/>
        </w:rPr>
      </w:pPr>
      <w:r w:rsidRPr="007D66D9">
        <w:rPr>
          <w:bCs/>
          <w:lang w:eastAsia="en-AU"/>
        </w:rPr>
        <w:t xml:space="preserve">The solid and dashed lines </w:t>
      </w:r>
      <w:r w:rsidRPr="00AA2D8E">
        <w:t>represent</w:t>
      </w:r>
      <w:r w:rsidRPr="007D66D9">
        <w:rPr>
          <w:bCs/>
          <w:lang w:eastAsia="en-AU"/>
        </w:rPr>
        <w:t xml:space="preserve"> the Kaplan–Meier </w:t>
      </w:r>
      <w:r w:rsidRPr="007D66D9">
        <w:rPr>
          <w:lang w:eastAsia="en-AU"/>
        </w:rPr>
        <w:t>point estimate and 95% CI, based on observed data; the shaded green areas represent the 95% CI of the Kaplan–Meier point estimate, based on 2000 replicate simulations of th</w:t>
      </w:r>
      <w:r w:rsidR="00AB1657">
        <w:rPr>
          <w:lang w:eastAsia="en-AU"/>
        </w:rPr>
        <w:t>e study.</w:t>
      </w:r>
    </w:p>
    <w:p w14:paraId="16461F81" w14:textId="77777777" w:rsidR="007D66D9" w:rsidRPr="007D66D9" w:rsidRDefault="007D66D9" w:rsidP="00AB1657">
      <w:pPr>
        <w:pStyle w:val="Heading5"/>
        <w:rPr>
          <w:lang w:eastAsia="en-AU"/>
        </w:rPr>
      </w:pPr>
      <w:bookmarkStart w:id="160" w:name="_Toc453054894"/>
      <w:r w:rsidRPr="007D66D9">
        <w:rPr>
          <w:lang w:eastAsia="en-AU"/>
        </w:rPr>
        <w:t>Study 3011 PK/PD analysis</w:t>
      </w:r>
      <w:bookmarkEnd w:id="160"/>
    </w:p>
    <w:p w14:paraId="1B33535C" w14:textId="77777777" w:rsidR="007D66D9" w:rsidRPr="007D66D9" w:rsidRDefault="007D66D9" w:rsidP="00E5789A">
      <w:pPr>
        <w:rPr>
          <w:lang w:eastAsia="en-AU"/>
        </w:rPr>
      </w:pPr>
      <w:r w:rsidRPr="007D66D9">
        <w:rPr>
          <w:lang w:eastAsia="en-AU"/>
        </w:rPr>
        <w:t xml:space="preserve">In Study 3011, subjects were individually titrated with Invega Sustenna in the </w:t>
      </w:r>
      <w:r w:rsidR="004A676D">
        <w:rPr>
          <w:lang w:eastAsia="en-AU"/>
        </w:rPr>
        <w:t>open label</w:t>
      </w:r>
      <w:r w:rsidRPr="007D66D9">
        <w:rPr>
          <w:lang w:eastAsia="en-AU"/>
        </w:rPr>
        <w:t xml:space="preserve"> phase, to ensure a balance between efficacy and tolerability. Only those subjects meeti</w:t>
      </w:r>
      <w:r w:rsidR="003673F6">
        <w:rPr>
          <w:lang w:eastAsia="en-AU"/>
        </w:rPr>
        <w:t>ng</w:t>
      </w:r>
      <w:r w:rsidRPr="007D66D9">
        <w:rPr>
          <w:lang w:eastAsia="en-AU"/>
        </w:rPr>
        <w:t xml:space="preserve"> clinical stability criteria were subsequently randomised to Invega Sustenna or Invega Trinza treatment, in the </w:t>
      </w:r>
      <w:r w:rsidR="00E60DFA">
        <w:rPr>
          <w:lang w:eastAsia="en-AU"/>
        </w:rPr>
        <w:t>double blind</w:t>
      </w:r>
      <w:r w:rsidRPr="007D66D9">
        <w:rPr>
          <w:lang w:eastAsia="en-AU"/>
        </w:rPr>
        <w:t xml:space="preserve"> phase.</w:t>
      </w:r>
    </w:p>
    <w:p w14:paraId="1B11AC71" w14:textId="77777777" w:rsidR="007D66D9" w:rsidRPr="007D66D9" w:rsidRDefault="007D66D9" w:rsidP="00E5789A">
      <w:pPr>
        <w:rPr>
          <w:lang w:eastAsia="en-AU"/>
        </w:rPr>
      </w:pPr>
      <w:r w:rsidRPr="00AB1657">
        <w:rPr>
          <w:lang w:eastAsia="en-AU"/>
        </w:rPr>
        <w:t>The overall aim of the current population PK/PD analysis was to describe the relationship between the time course of paliperidone plasma concentrations, relapse of symptoms of schizophrenia and dropout (</w:t>
      </w:r>
      <w:r w:rsidR="00785F6E">
        <w:rPr>
          <w:lang w:eastAsia="en-AU"/>
        </w:rPr>
        <w:t>that is</w:t>
      </w:r>
      <w:r w:rsidRPr="00AB1657">
        <w:rPr>
          <w:lang w:eastAsia="en-AU"/>
        </w:rPr>
        <w:t xml:space="preserve"> withdrawal from study for other causes than relapse of symptoms of schizophrenia),</w:t>
      </w:r>
      <w:r w:rsidRPr="007D66D9">
        <w:rPr>
          <w:lang w:eastAsia="en-AU"/>
        </w:rPr>
        <w:t xml:space="preserve"> followi</w:t>
      </w:r>
      <w:r w:rsidR="003673F6">
        <w:rPr>
          <w:lang w:eastAsia="en-AU"/>
        </w:rPr>
        <w:t>ng</w:t>
      </w:r>
      <w:r w:rsidRPr="007D66D9">
        <w:rPr>
          <w:lang w:eastAsia="en-AU"/>
        </w:rPr>
        <w:t xml:space="preserve"> administration of Invega Sustenna and Invega Trinza in Study R092670-PSY-3011, as well as to identify relevant covariates.</w:t>
      </w:r>
    </w:p>
    <w:p w14:paraId="1011317D" w14:textId="77777777" w:rsidR="007D66D9" w:rsidRPr="007D66D9" w:rsidRDefault="007D66D9" w:rsidP="00E5789A">
      <w:pPr>
        <w:rPr>
          <w:lang w:eastAsia="en-AU"/>
        </w:rPr>
      </w:pPr>
      <w:r w:rsidRPr="007D66D9">
        <w:rPr>
          <w:lang w:eastAsia="en-AU"/>
        </w:rPr>
        <w:t>The CSR then separately defines 4 objectives:</w:t>
      </w:r>
    </w:p>
    <w:p w14:paraId="7EA431FE" w14:textId="77777777" w:rsidR="007D66D9" w:rsidRPr="00E5789A" w:rsidRDefault="007D66D9" w:rsidP="00E5789A">
      <w:pPr>
        <w:pStyle w:val="ListBullet"/>
        <w:rPr>
          <w:lang w:eastAsia="en-AU"/>
        </w:rPr>
      </w:pPr>
      <w:r w:rsidRPr="007D66D9">
        <w:rPr>
          <w:lang w:eastAsia="en-AU"/>
        </w:rPr>
        <w:t>PK/PD Objective 1</w:t>
      </w:r>
      <w:r w:rsidR="00E5789A">
        <w:rPr>
          <w:lang w:eastAsia="en-AU"/>
        </w:rPr>
        <w:t xml:space="preserve">; </w:t>
      </w:r>
      <w:proofErr w:type="gramStart"/>
      <w:r w:rsidRPr="00E5789A">
        <w:rPr>
          <w:lang w:eastAsia="en-AU"/>
        </w:rPr>
        <w:t>To</w:t>
      </w:r>
      <w:proofErr w:type="gramEnd"/>
      <w:r w:rsidRPr="00E5789A">
        <w:rPr>
          <w:lang w:eastAsia="en-AU"/>
        </w:rPr>
        <w:t xml:space="preserve"> describe the time to relapse of symptoms of schizophrenia, includi</w:t>
      </w:r>
      <w:r w:rsidR="003673F6">
        <w:rPr>
          <w:lang w:eastAsia="en-AU"/>
        </w:rPr>
        <w:t>ng</w:t>
      </w:r>
      <w:r w:rsidRPr="00E5789A">
        <w:rPr>
          <w:lang w:eastAsia="en-AU"/>
        </w:rPr>
        <w:t xml:space="preserve"> the relationships between relapse and paliperidone plasma concentrations after administration of paliperidone as Invega Sustenna and Invega Trinza.</w:t>
      </w:r>
    </w:p>
    <w:p w14:paraId="7C1ED634" w14:textId="77777777" w:rsidR="007D66D9" w:rsidRPr="007D66D9" w:rsidRDefault="007D66D9" w:rsidP="00E5789A">
      <w:pPr>
        <w:pStyle w:val="ListBullet"/>
        <w:rPr>
          <w:lang w:eastAsia="en-AU"/>
        </w:rPr>
      </w:pPr>
      <w:r w:rsidRPr="007D66D9">
        <w:rPr>
          <w:lang w:eastAsia="en-AU"/>
        </w:rPr>
        <w:t>PK/PD Objective 2</w:t>
      </w:r>
      <w:r w:rsidR="00E5789A">
        <w:rPr>
          <w:lang w:eastAsia="en-AU"/>
        </w:rPr>
        <w:t xml:space="preserve">; </w:t>
      </w:r>
      <w:proofErr w:type="gramStart"/>
      <w:r w:rsidRPr="007D66D9">
        <w:rPr>
          <w:lang w:eastAsia="en-AU"/>
        </w:rPr>
        <w:t>To</w:t>
      </w:r>
      <w:proofErr w:type="gramEnd"/>
      <w:r w:rsidRPr="007D66D9">
        <w:rPr>
          <w:lang w:eastAsia="en-AU"/>
        </w:rPr>
        <w:t xml:space="preserve"> describe study dropout for other causes than relapse of symptoms of schizophrenia, as a function of time and paliperidone plasma concentration.</w:t>
      </w:r>
    </w:p>
    <w:p w14:paraId="460C8FB0" w14:textId="77777777" w:rsidR="007D66D9" w:rsidRPr="00E5789A" w:rsidRDefault="007D66D9" w:rsidP="00E5789A">
      <w:pPr>
        <w:pStyle w:val="ListBullet"/>
        <w:rPr>
          <w:lang w:eastAsia="en-AU"/>
        </w:rPr>
      </w:pPr>
      <w:r w:rsidRPr="007D66D9">
        <w:rPr>
          <w:lang w:eastAsia="en-AU"/>
        </w:rPr>
        <w:t>PK/PD Objective 3</w:t>
      </w:r>
      <w:r w:rsidR="00E5789A" w:rsidRPr="00E5789A">
        <w:t xml:space="preserve">; </w:t>
      </w:r>
      <w:proofErr w:type="gramStart"/>
      <w:r w:rsidR="00E5789A" w:rsidRPr="00E5789A">
        <w:t>T</w:t>
      </w:r>
      <w:r w:rsidRPr="00E5789A">
        <w:rPr>
          <w:lang w:eastAsia="en-AU"/>
        </w:rPr>
        <w:t>o</w:t>
      </w:r>
      <w:proofErr w:type="gramEnd"/>
      <w:r w:rsidRPr="00E5789A">
        <w:rPr>
          <w:lang w:eastAsia="en-AU"/>
        </w:rPr>
        <w:t xml:space="preserve"> assess the influence of covariates (in addition to paliperidone plasma concentration) on relapse and dropout.</w:t>
      </w:r>
    </w:p>
    <w:p w14:paraId="6AF12415" w14:textId="77777777" w:rsidR="007D66D9" w:rsidRPr="007D66D9" w:rsidRDefault="007D66D9" w:rsidP="00E5789A">
      <w:pPr>
        <w:pStyle w:val="ListBullet"/>
        <w:rPr>
          <w:lang w:eastAsia="en-AU"/>
        </w:rPr>
      </w:pPr>
      <w:r w:rsidRPr="007D66D9">
        <w:rPr>
          <w:lang w:eastAsia="en-AU"/>
        </w:rPr>
        <w:t>PK/PD Objective 4</w:t>
      </w:r>
      <w:r w:rsidR="003E657A">
        <w:rPr>
          <w:lang w:eastAsia="en-AU"/>
        </w:rPr>
        <w:t xml:space="preserve"> </w:t>
      </w:r>
      <w:r w:rsidRPr="007D66D9">
        <w:rPr>
          <w:lang w:eastAsia="en-AU"/>
        </w:rPr>
        <w:t>If deemed of interest, the population PK/PD models were to be used in simulations, for compari</w:t>
      </w:r>
      <w:r w:rsidR="003673F6">
        <w:rPr>
          <w:lang w:eastAsia="en-AU"/>
        </w:rPr>
        <w:t>ng</w:t>
      </w:r>
      <w:r w:rsidRPr="007D66D9">
        <w:rPr>
          <w:lang w:eastAsia="en-AU"/>
        </w:rPr>
        <w:t xml:space="preserve"> efficacy of relapse prevention, between Invega Trinza and Invega Sustenna. The models may also be used in other simulations.</w:t>
      </w:r>
    </w:p>
    <w:p w14:paraId="40022EF8" w14:textId="77777777" w:rsidR="007D66D9" w:rsidRPr="007D66D9" w:rsidRDefault="007D66D9" w:rsidP="00AB16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sidRPr="007D66D9">
        <w:rPr>
          <w:rFonts w:eastAsia="Times New Roman"/>
          <w:kern w:val="16"/>
          <w:lang w:eastAsia="en-AU"/>
        </w:rPr>
        <w:t>For study 3011:</w:t>
      </w:r>
    </w:p>
    <w:p w14:paraId="2ED0A4F4" w14:textId="77777777" w:rsidR="007D66D9" w:rsidRPr="00AB1657" w:rsidRDefault="007D66D9" w:rsidP="003E657A">
      <w:pPr>
        <w:pStyle w:val="ListBullet"/>
      </w:pPr>
      <w:r w:rsidRPr="00AB1657">
        <w:t>The primary objective</w:t>
      </w:r>
      <w:r w:rsidRPr="007D66D9">
        <w:t xml:space="preserve"> was to demonstrate, in subjects stabilized on the paliperidone palmitate </w:t>
      </w:r>
      <w:r w:rsidR="0058163A">
        <w:t>1 month</w:t>
      </w:r>
      <w:r w:rsidRPr="007D66D9">
        <w:t xml:space="preserve"> formulation, that paliperidone palmitate 3 month formulation was not less effective than Invega Sustenna in the treatment of symptoms of schizophren</w:t>
      </w:r>
      <w:r w:rsidR="003E657A">
        <w:t xml:space="preserve">ia, based on the Kaplan-Meier 4 </w:t>
      </w:r>
      <w:r w:rsidRPr="007D66D9">
        <w:t xml:space="preserve">-week </w:t>
      </w:r>
      <w:r w:rsidRPr="00AB1657">
        <w:t>cumulative estimate of survival (</w:t>
      </w:r>
      <w:r w:rsidR="00785F6E">
        <w:t>that is</w:t>
      </w:r>
      <w:r w:rsidRPr="00AB1657">
        <w:t xml:space="preserve"> percentage of subjects remaini</w:t>
      </w:r>
      <w:r w:rsidR="003673F6">
        <w:t>ng</w:t>
      </w:r>
      <w:r w:rsidRPr="00AB1657">
        <w:t xml:space="preserve"> relapse free).</w:t>
      </w:r>
    </w:p>
    <w:p w14:paraId="1554FBB6" w14:textId="77777777" w:rsidR="007D66D9" w:rsidRPr="007D66D9" w:rsidRDefault="007D66D9" w:rsidP="003E657A">
      <w:pPr>
        <w:pStyle w:val="ListBullet"/>
      </w:pPr>
      <w:r w:rsidRPr="007D66D9">
        <w:lastRenderedPageBreak/>
        <w:t>The primary efficacy endpoint of the study was the percentage of subjects (per protocol) who had no</w:t>
      </w:r>
      <w:r w:rsidR="003E657A">
        <w:t xml:space="preserve">t relapsed at the end of the 48 </w:t>
      </w:r>
      <w:r w:rsidRPr="007D66D9">
        <w:t xml:space="preserve">week </w:t>
      </w:r>
      <w:r w:rsidR="00531123">
        <w:t>d</w:t>
      </w:r>
      <w:r w:rsidR="009C7BEE">
        <w:t xml:space="preserve">ouble blind </w:t>
      </w:r>
      <w:r w:rsidR="00531123">
        <w:t>p</w:t>
      </w:r>
      <w:r w:rsidR="009C7BEE">
        <w:t>hase</w:t>
      </w:r>
      <w:r w:rsidRPr="007D66D9">
        <w:t>.</w:t>
      </w:r>
    </w:p>
    <w:p w14:paraId="78492B23" w14:textId="77777777" w:rsidR="007D66D9" w:rsidRPr="00214167" w:rsidRDefault="007D66D9" w:rsidP="003E657A">
      <w:pPr>
        <w:pStyle w:val="Comment"/>
      </w:pPr>
      <w:r w:rsidRPr="00214167">
        <w:rPr>
          <w:b/>
        </w:rPr>
        <w:t>Comment:</w:t>
      </w:r>
      <w:r w:rsidRPr="00214167">
        <w:t xml:space="preserve"> This model is thus studyi</w:t>
      </w:r>
      <w:r w:rsidR="003673F6" w:rsidRPr="00214167">
        <w:t>ng</w:t>
      </w:r>
      <w:r w:rsidRPr="00214167">
        <w:t xml:space="preserve"> the obverse of what Study 3011 was designed to show with only the latter (possible) exploratory Objective 4 possibly related.</w:t>
      </w:r>
    </w:p>
    <w:p w14:paraId="2A08DC7F" w14:textId="77777777" w:rsidR="004A676D" w:rsidRPr="00214167" w:rsidRDefault="007D66D9" w:rsidP="003E657A">
      <w:pPr>
        <w:rPr>
          <w:lang w:eastAsia="en-AU"/>
        </w:rPr>
      </w:pPr>
      <w:r w:rsidRPr="00214167">
        <w:rPr>
          <w:lang w:eastAsia="en-AU"/>
        </w:rPr>
        <w:t>1016 subjects were randomised, but the PK/PD intention-to-treat double blind (PK/PD ITT (DB)) population consisted of 1013 subjects, since 3 subjects dropped out on the day of randomisation</w:t>
      </w:r>
      <w:r w:rsidR="004A676D" w:rsidRPr="00214167">
        <w:rPr>
          <w:lang w:eastAsia="en-AU"/>
        </w:rPr>
        <w:t>.</w:t>
      </w:r>
    </w:p>
    <w:p w14:paraId="30FFB480" w14:textId="77777777" w:rsidR="007D66D9" w:rsidRPr="00214167" w:rsidRDefault="007D66D9" w:rsidP="003E657A">
      <w:pPr>
        <w:rPr>
          <w:lang w:eastAsia="en-AU"/>
        </w:rPr>
      </w:pPr>
      <w:r w:rsidRPr="00214167">
        <w:rPr>
          <w:lang w:eastAsia="en-AU"/>
        </w:rPr>
        <w:t xml:space="preserve">The PK/PD </w:t>
      </w:r>
      <w:proofErr w:type="gramStart"/>
      <w:r w:rsidRPr="00214167">
        <w:rPr>
          <w:lang w:eastAsia="en-AU"/>
        </w:rPr>
        <w:t>ITT(</w:t>
      </w:r>
      <w:proofErr w:type="gramEnd"/>
      <w:r w:rsidRPr="00214167">
        <w:rPr>
          <w:lang w:eastAsia="en-AU"/>
        </w:rPr>
        <w:t xml:space="preserve">DB) population was further reduced to the PK/PD </w:t>
      </w:r>
      <w:proofErr w:type="spellStart"/>
      <w:r w:rsidRPr="00214167">
        <w:rPr>
          <w:lang w:eastAsia="en-AU"/>
        </w:rPr>
        <w:t>mI</w:t>
      </w:r>
      <w:r w:rsidR="003E657A" w:rsidRPr="00214167">
        <w:rPr>
          <w:lang w:eastAsia="en-AU"/>
        </w:rPr>
        <w:t>TT</w:t>
      </w:r>
      <w:proofErr w:type="spellEnd"/>
      <w:r w:rsidR="003E657A" w:rsidRPr="00214167">
        <w:rPr>
          <w:lang w:eastAsia="en-AU"/>
        </w:rPr>
        <w:t xml:space="preserve">(DB) population, due to short </w:t>
      </w:r>
      <w:r w:rsidRPr="00214167">
        <w:rPr>
          <w:lang w:eastAsia="en-AU"/>
        </w:rPr>
        <w:t>plu</w:t>
      </w:r>
      <w:r w:rsidR="003673F6" w:rsidRPr="00214167">
        <w:rPr>
          <w:lang w:eastAsia="en-AU"/>
        </w:rPr>
        <w:t>ng</w:t>
      </w:r>
      <w:r w:rsidRPr="00214167">
        <w:rPr>
          <w:lang w:eastAsia="en-AU"/>
        </w:rPr>
        <w:t xml:space="preserve">er with Invega Trinza </w:t>
      </w:r>
      <w:r w:rsidR="0058163A" w:rsidRPr="00214167">
        <w:rPr>
          <w:lang w:eastAsia="en-AU"/>
        </w:rPr>
        <w:t>525</w:t>
      </w:r>
      <w:r w:rsidR="004A676D" w:rsidRPr="00214167">
        <w:rPr>
          <w:lang w:eastAsia="en-AU"/>
        </w:rPr>
        <w:t xml:space="preserve"> mg</w:t>
      </w:r>
      <w:r w:rsidRPr="00214167">
        <w:rPr>
          <w:lang w:eastAsia="en-AU"/>
        </w:rPr>
        <w:t xml:space="preserve"> </w:t>
      </w:r>
      <w:r w:rsidR="004A676D" w:rsidRPr="00214167">
        <w:rPr>
          <w:lang w:eastAsia="en-AU"/>
        </w:rPr>
        <w:t>equivalent</w:t>
      </w:r>
      <w:r w:rsidRPr="00214167">
        <w:rPr>
          <w:lang w:eastAsia="en-AU"/>
        </w:rPr>
        <w:t xml:space="preserve"> Any data </w:t>
      </w:r>
      <w:r w:rsidR="003E657A" w:rsidRPr="00214167">
        <w:rPr>
          <w:lang w:eastAsia="en-AU"/>
        </w:rPr>
        <w:t xml:space="preserve">after the occurrence of a short </w:t>
      </w:r>
      <w:r w:rsidRPr="00214167">
        <w:rPr>
          <w:lang w:eastAsia="en-AU"/>
        </w:rPr>
        <w:t>plu</w:t>
      </w:r>
      <w:r w:rsidR="003673F6" w:rsidRPr="00214167">
        <w:rPr>
          <w:lang w:eastAsia="en-AU"/>
        </w:rPr>
        <w:t>ng</w:t>
      </w:r>
      <w:r w:rsidRPr="00214167">
        <w:rPr>
          <w:lang w:eastAsia="en-AU"/>
        </w:rPr>
        <w:t>er injection were excluded, and time was censored at th</w:t>
      </w:r>
      <w:r w:rsidR="003E657A" w:rsidRPr="00214167">
        <w:rPr>
          <w:lang w:eastAsia="en-AU"/>
        </w:rPr>
        <w:t>e (first) occurrence of a short plu</w:t>
      </w:r>
      <w:r w:rsidR="003673F6" w:rsidRPr="00214167">
        <w:rPr>
          <w:lang w:eastAsia="en-AU"/>
        </w:rPr>
        <w:t>ng</w:t>
      </w:r>
      <w:r w:rsidR="003E657A" w:rsidRPr="00214167">
        <w:rPr>
          <w:lang w:eastAsia="en-AU"/>
        </w:rPr>
        <w:t xml:space="preserve">er dose. Short </w:t>
      </w:r>
      <w:r w:rsidRPr="00214167">
        <w:rPr>
          <w:lang w:eastAsia="en-AU"/>
        </w:rPr>
        <w:t>plu</w:t>
      </w:r>
      <w:r w:rsidR="003673F6" w:rsidRPr="00214167">
        <w:rPr>
          <w:lang w:eastAsia="en-AU"/>
        </w:rPr>
        <w:t>ng</w:t>
      </w:r>
      <w:r w:rsidRPr="00214167">
        <w:rPr>
          <w:lang w:eastAsia="en-AU"/>
        </w:rPr>
        <w:t xml:space="preserve">er occurred in 21 subjects in the PK/PD </w:t>
      </w:r>
      <w:proofErr w:type="gramStart"/>
      <w:r w:rsidRPr="00214167">
        <w:rPr>
          <w:lang w:eastAsia="en-AU"/>
        </w:rPr>
        <w:t>ITT(</w:t>
      </w:r>
      <w:proofErr w:type="gramEnd"/>
      <w:r w:rsidRPr="00214167">
        <w:rPr>
          <w:lang w:eastAsia="en-AU"/>
        </w:rPr>
        <w:t>DB) population. Due to short plu</w:t>
      </w:r>
      <w:r w:rsidR="003673F6" w:rsidRPr="00214167">
        <w:rPr>
          <w:lang w:eastAsia="en-AU"/>
        </w:rPr>
        <w:t>ng</w:t>
      </w:r>
      <w:r w:rsidRPr="00214167">
        <w:rPr>
          <w:lang w:eastAsia="en-AU"/>
        </w:rPr>
        <w:t xml:space="preserve">er at the first </w:t>
      </w:r>
      <w:r w:rsidR="00E60DFA" w:rsidRPr="00214167">
        <w:rPr>
          <w:lang w:eastAsia="en-AU"/>
        </w:rPr>
        <w:t>double blind</w:t>
      </w:r>
      <w:r w:rsidRPr="00214167">
        <w:rPr>
          <w:lang w:eastAsia="en-AU"/>
        </w:rPr>
        <w:t xml:space="preserve"> injection, 11 subjects were lost entirely from PK/PD </w:t>
      </w:r>
      <w:proofErr w:type="spellStart"/>
      <w:proofErr w:type="gramStart"/>
      <w:r w:rsidRPr="00214167">
        <w:rPr>
          <w:lang w:eastAsia="en-AU"/>
        </w:rPr>
        <w:t>mITT</w:t>
      </w:r>
      <w:proofErr w:type="spellEnd"/>
      <w:r w:rsidRPr="00214167">
        <w:rPr>
          <w:lang w:eastAsia="en-AU"/>
        </w:rPr>
        <w:t>(</w:t>
      </w:r>
      <w:proofErr w:type="gramEnd"/>
      <w:r w:rsidRPr="00214167">
        <w:rPr>
          <w:lang w:eastAsia="en-AU"/>
        </w:rPr>
        <w:t>DB) (</w:t>
      </w:r>
      <w:r w:rsidR="00785F6E" w:rsidRPr="00214167">
        <w:rPr>
          <w:lang w:eastAsia="en-AU"/>
        </w:rPr>
        <w:t>that is</w:t>
      </w:r>
      <w:r w:rsidRPr="00214167">
        <w:rPr>
          <w:lang w:eastAsia="en-AU"/>
        </w:rPr>
        <w:t xml:space="preserve"> censored at time zero). The other 10 subjects were not entirely lost, but were prematurely censored (</w:t>
      </w:r>
      <w:r w:rsidR="00785F6E" w:rsidRPr="00214167">
        <w:rPr>
          <w:lang w:eastAsia="en-AU"/>
        </w:rPr>
        <w:t>that is</w:t>
      </w:r>
      <w:r w:rsidRPr="00214167">
        <w:rPr>
          <w:lang w:eastAsia="en-AU"/>
        </w:rPr>
        <w:t xml:space="preserve"> censored before rela</w:t>
      </w:r>
      <w:r w:rsidR="003E657A" w:rsidRPr="00214167">
        <w:rPr>
          <w:lang w:eastAsia="en-AU"/>
        </w:rPr>
        <w:t xml:space="preserve">pse, dropout, or end of study; </w:t>
      </w:r>
      <w:r w:rsidRPr="00214167">
        <w:rPr>
          <w:lang w:eastAsia="en-AU"/>
        </w:rPr>
        <w:t>8 subjects out of 10 were lost already at the second Invega Trinza injection), due to short plu</w:t>
      </w:r>
      <w:r w:rsidR="003673F6" w:rsidRPr="00214167">
        <w:rPr>
          <w:lang w:eastAsia="en-AU"/>
        </w:rPr>
        <w:t>ng</w:t>
      </w:r>
      <w:r w:rsidRPr="00214167">
        <w:rPr>
          <w:lang w:eastAsia="en-AU"/>
        </w:rPr>
        <w:t>er.</w:t>
      </w:r>
    </w:p>
    <w:p w14:paraId="5CBC6D76" w14:textId="77777777" w:rsidR="007D66D9" w:rsidRPr="00214167" w:rsidRDefault="007D66D9" w:rsidP="003E657A">
      <w:pPr>
        <w:rPr>
          <w:lang w:eastAsia="en-AU"/>
        </w:rPr>
      </w:pPr>
      <w:r w:rsidRPr="00214167">
        <w:rPr>
          <w:lang w:eastAsia="en-AU"/>
        </w:rPr>
        <w:t xml:space="preserve">The PK/PD </w:t>
      </w:r>
      <w:proofErr w:type="spellStart"/>
      <w:proofErr w:type="gramStart"/>
      <w:r w:rsidRPr="00214167">
        <w:rPr>
          <w:lang w:eastAsia="en-AU"/>
        </w:rPr>
        <w:t>mITT</w:t>
      </w:r>
      <w:proofErr w:type="spellEnd"/>
      <w:r w:rsidRPr="00214167">
        <w:rPr>
          <w:lang w:eastAsia="en-AU"/>
        </w:rPr>
        <w:t>(</w:t>
      </w:r>
      <w:proofErr w:type="gramEnd"/>
      <w:r w:rsidRPr="00214167">
        <w:rPr>
          <w:lang w:eastAsia="en-AU"/>
        </w:rPr>
        <w:t>DB) population included 1002 subjects, who were included in the PK/PD analysis data set.</w:t>
      </w:r>
    </w:p>
    <w:p w14:paraId="43C03556" w14:textId="77777777" w:rsidR="007D66D9" w:rsidRPr="00531123" w:rsidRDefault="007D66D9" w:rsidP="00DA386F">
      <w:pPr>
        <w:pStyle w:val="Tabletitle"/>
        <w:rPr>
          <w:lang w:eastAsia="en-AU"/>
        </w:rPr>
      </w:pPr>
      <w:bookmarkStart w:id="161" w:name="_Toc453054991"/>
      <w:r w:rsidRPr="00531123">
        <w:rPr>
          <w:lang w:eastAsia="en-AU"/>
        </w:rPr>
        <w:t xml:space="preserve">Table </w:t>
      </w:r>
      <w:r w:rsidR="00531123">
        <w:rPr>
          <w:lang w:eastAsia="en-AU"/>
        </w:rPr>
        <w:t>28:</w:t>
      </w:r>
      <w:r w:rsidRPr="00531123">
        <w:rPr>
          <w:lang w:eastAsia="en-AU"/>
        </w:rPr>
        <w:t xml:space="preserve"> Number of patients and relapse/dropout events in the PK/PD analysis data set</w:t>
      </w:r>
      <w:bookmarkEnd w:id="161"/>
    </w:p>
    <w:p w14:paraId="3FCB0C8B" w14:textId="77777777" w:rsidR="00E60DFA" w:rsidRDefault="007D66D9" w:rsidP="003E657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rFonts w:eastAsia="Times New Roman"/>
          <w:kern w:val="16"/>
          <w:lang w:eastAsia="en-AU"/>
        </w:rPr>
      </w:pPr>
      <w:r w:rsidRPr="007D66D9">
        <w:rPr>
          <w:rFonts w:eastAsia="Times New Roman"/>
          <w:noProof/>
          <w:kern w:val="16"/>
          <w:lang w:eastAsia="en-AU"/>
        </w:rPr>
        <w:drawing>
          <wp:inline distT="0" distB="0" distL="0" distR="0" wp14:anchorId="4519BCBE" wp14:editId="076AA5FC">
            <wp:extent cx="5562600" cy="676275"/>
            <wp:effectExtent l="0" t="0" r="0" b="9525"/>
            <wp:docPr id="54" name="Picture 54" descr="Table 28: Number of patients and relapse/dropout events in the PK/PD analysis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562600" cy="676275"/>
                    </a:xfrm>
                    <a:prstGeom prst="rect">
                      <a:avLst/>
                    </a:prstGeom>
                  </pic:spPr>
                </pic:pic>
              </a:graphicData>
            </a:graphic>
          </wp:inline>
        </w:drawing>
      </w:r>
      <w:bookmarkStart w:id="162" w:name="_Toc453054992"/>
    </w:p>
    <w:p w14:paraId="6BAD0457" w14:textId="77777777" w:rsidR="007D66D9" w:rsidRPr="007D66D9" w:rsidRDefault="007D66D9" w:rsidP="00DA386F">
      <w:pPr>
        <w:pStyle w:val="Tabletitle"/>
        <w:rPr>
          <w:lang w:eastAsia="en-AU"/>
        </w:rPr>
      </w:pPr>
      <w:r w:rsidRPr="00214167">
        <w:rPr>
          <w:lang w:eastAsia="en-AU"/>
        </w:rPr>
        <w:t xml:space="preserve">Table </w:t>
      </w:r>
      <w:r w:rsidR="00531123" w:rsidRPr="00214167">
        <w:rPr>
          <w:lang w:eastAsia="en-AU"/>
        </w:rPr>
        <w:t>29:</w:t>
      </w:r>
      <w:r w:rsidRPr="00214167">
        <w:rPr>
          <w:lang w:eastAsia="en-AU"/>
        </w:rPr>
        <w:t xml:space="preserve"> Covariate</w:t>
      </w:r>
      <w:r w:rsidRPr="007D66D9">
        <w:rPr>
          <w:lang w:eastAsia="en-AU"/>
        </w:rPr>
        <w:t xml:space="preserve"> statistics of time-varyi</w:t>
      </w:r>
      <w:r w:rsidR="003673F6">
        <w:rPr>
          <w:lang w:eastAsia="en-AU"/>
        </w:rPr>
        <w:t>ng</w:t>
      </w:r>
      <w:r w:rsidRPr="007D66D9">
        <w:rPr>
          <w:lang w:eastAsia="en-AU"/>
        </w:rPr>
        <w:t xml:space="preserve"> covariates, for subjects in Study R092670-PSY-3011 with at least 1 PK observation in the PK analysis data set</w:t>
      </w:r>
      <w:bookmarkEnd w:id="162"/>
    </w:p>
    <w:p w14:paraId="678C6142" w14:textId="77777777" w:rsidR="007D66D9" w:rsidRPr="007D66D9" w:rsidRDefault="007D66D9" w:rsidP="00AA2D8E">
      <w:pPr>
        <w:rPr>
          <w:lang w:eastAsia="en-AU"/>
        </w:rPr>
      </w:pPr>
      <w:r w:rsidRPr="007D66D9">
        <w:rPr>
          <w:noProof/>
          <w:lang w:eastAsia="en-AU"/>
        </w:rPr>
        <w:drawing>
          <wp:inline distT="0" distB="0" distL="0" distR="0" wp14:anchorId="216E69AC" wp14:editId="23D8BD02">
            <wp:extent cx="5786324" cy="2308374"/>
            <wp:effectExtent l="0" t="0" r="5080" b="0"/>
            <wp:docPr id="55" name="Picture 55" descr="Table 29: Covariate statistics of time-varying covariates, for subjects in Study R092670-PSY-3011 with at least 1 PK observation in the PK analysis data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89445" cy="2309619"/>
                    </a:xfrm>
                    <a:prstGeom prst="rect">
                      <a:avLst/>
                    </a:prstGeom>
                  </pic:spPr>
                </pic:pic>
              </a:graphicData>
            </a:graphic>
          </wp:inline>
        </w:drawing>
      </w:r>
    </w:p>
    <w:p w14:paraId="0F7C114C" w14:textId="77777777" w:rsidR="00531123" w:rsidRPr="007D66D9" w:rsidRDefault="007D66D9" w:rsidP="00AA2D8E">
      <w:pPr>
        <w:pStyle w:val="TableDescription"/>
        <w:rPr>
          <w:lang w:eastAsia="en-AU"/>
        </w:rPr>
      </w:pPr>
      <w:r w:rsidRPr="007D66D9">
        <w:rPr>
          <w:lang w:eastAsia="en-AU"/>
        </w:rPr>
        <w:t xml:space="preserve">Numbers </w:t>
      </w:r>
      <w:r w:rsidRPr="00AA2D8E">
        <w:t>represent</w:t>
      </w:r>
      <w:r w:rsidRPr="007D66D9">
        <w:rPr>
          <w:lang w:eastAsia="en-AU"/>
        </w:rPr>
        <w:t>, for CRCL: minimum, median, maximum, (mean ± SD), for other variables: percentages (number</w:t>
      </w:r>
      <w:r w:rsidR="00E60DFA">
        <w:rPr>
          <w:lang w:eastAsia="en-AU"/>
        </w:rPr>
        <w:t xml:space="preserve"> of subjects in each category). </w:t>
      </w:r>
      <w:r w:rsidRPr="007D66D9">
        <w:rPr>
          <w:lang w:eastAsia="en-AU"/>
        </w:rPr>
        <w:t>Statistics concern the value at the last valid P</w:t>
      </w:r>
      <w:r w:rsidR="003E657A">
        <w:rPr>
          <w:lang w:eastAsia="en-AU"/>
        </w:rPr>
        <w:t>K measurement in each subject.</w:t>
      </w:r>
    </w:p>
    <w:p w14:paraId="25B04ECD" w14:textId="77777777" w:rsidR="004A676D" w:rsidRDefault="007D66D9" w:rsidP="005A18C6">
      <w:pPr>
        <w:pStyle w:val="FigureTitle"/>
        <w:keepNext/>
        <w:rPr>
          <w:lang w:eastAsia="en-AU"/>
        </w:rPr>
      </w:pPr>
      <w:bookmarkStart w:id="163" w:name="_Toc453055066"/>
      <w:r w:rsidRPr="00AB1657">
        <w:rPr>
          <w:lang w:eastAsia="en-AU"/>
        </w:rPr>
        <w:lastRenderedPageBreak/>
        <w:t>Figure</w:t>
      </w:r>
      <w:r w:rsidRPr="007D66D9">
        <w:rPr>
          <w:lang w:eastAsia="en-AU"/>
        </w:rPr>
        <w:t xml:space="preserve"> </w:t>
      </w:r>
      <w:r w:rsidR="00531123">
        <w:rPr>
          <w:lang w:eastAsia="en-AU"/>
        </w:rPr>
        <w:t>25:</w:t>
      </w:r>
      <w:r w:rsidRPr="007D66D9">
        <w:rPr>
          <w:lang w:eastAsia="en-AU"/>
        </w:rPr>
        <w:t xml:space="preserve"> Relapse survival over time since start of </w:t>
      </w:r>
      <w:r w:rsidR="00E60DFA">
        <w:rPr>
          <w:lang w:eastAsia="en-AU"/>
        </w:rPr>
        <w:t>double blind</w:t>
      </w:r>
      <w:r w:rsidRPr="007D66D9">
        <w:rPr>
          <w:lang w:eastAsia="en-AU"/>
        </w:rPr>
        <w:t xml:space="preserve"> phase</w:t>
      </w:r>
      <w:bookmarkEnd w:id="163"/>
    </w:p>
    <w:p w14:paraId="77CBDF2B" w14:textId="77777777" w:rsidR="007D66D9" w:rsidRPr="007D66D9" w:rsidRDefault="007D66D9" w:rsidP="00AA2D8E">
      <w:pPr>
        <w:rPr>
          <w:lang w:eastAsia="en-AU"/>
        </w:rPr>
      </w:pPr>
      <w:r w:rsidRPr="007D66D9">
        <w:rPr>
          <w:noProof/>
          <w:lang w:eastAsia="en-AU"/>
        </w:rPr>
        <w:drawing>
          <wp:inline distT="0" distB="0" distL="0" distR="0" wp14:anchorId="4CD7C12E" wp14:editId="0C1AD82F">
            <wp:extent cx="4381805" cy="2620629"/>
            <wp:effectExtent l="0" t="0" r="0" b="8890"/>
            <wp:docPr id="56" name="Picture 56" descr="Figure 25: Relapse survival over time since start of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3326" b="1520"/>
                    <a:stretch/>
                  </pic:blipFill>
                  <pic:spPr bwMode="auto">
                    <a:xfrm>
                      <a:off x="0" y="0"/>
                      <a:ext cx="4391506" cy="2626431"/>
                    </a:xfrm>
                    <a:prstGeom prst="rect">
                      <a:avLst/>
                    </a:prstGeom>
                    <a:ln>
                      <a:noFill/>
                    </a:ln>
                    <a:extLst>
                      <a:ext uri="{53640926-AAD7-44D8-BBD7-CCE9431645EC}">
                        <a14:shadowObscured xmlns:a14="http://schemas.microsoft.com/office/drawing/2010/main"/>
                      </a:ext>
                    </a:extLst>
                  </pic:spPr>
                </pic:pic>
              </a:graphicData>
            </a:graphic>
          </wp:inline>
        </w:drawing>
      </w:r>
    </w:p>
    <w:p w14:paraId="633D6683" w14:textId="77777777" w:rsidR="00AB1657" w:rsidRDefault="007D66D9" w:rsidP="00AA2D8E">
      <w:pPr>
        <w:pStyle w:val="TableDescription"/>
        <w:rPr>
          <w:lang w:eastAsia="en-AU"/>
        </w:rPr>
      </w:pPr>
      <w:r w:rsidRPr="007D66D9">
        <w:rPr>
          <w:lang w:eastAsia="en-AU"/>
        </w:rPr>
        <w:t xml:space="preserve">Survival is </w:t>
      </w:r>
      <w:r w:rsidRPr="00AA2D8E">
        <w:t>given</w:t>
      </w:r>
      <w:r w:rsidRPr="007D66D9">
        <w:rPr>
          <w:lang w:eastAsia="en-AU"/>
        </w:rPr>
        <w:t xml:space="preserve"> as fraction without a relapse event, separately for the two treatment arms, and based on the point-estimate from the Kaplan–Meier survival function. The vertical blue dotted lines mark blinded PP3M/PP1M injections and the vertical red dotted lines mark intermediate PP1M injections. The vertical grey dashed line marks the planned end of study, at week 48. The survival curve is shown for 0-49 wee</w:t>
      </w:r>
      <w:r w:rsidR="00E60DFA">
        <w:rPr>
          <w:lang w:eastAsia="en-AU"/>
        </w:rPr>
        <w:t>ks post randomisation.</w:t>
      </w:r>
    </w:p>
    <w:p w14:paraId="45928D07" w14:textId="77777777" w:rsidR="004A676D" w:rsidRDefault="007D66D9" w:rsidP="005A18C6">
      <w:pPr>
        <w:pStyle w:val="FigureTitle"/>
        <w:keepNext/>
        <w:rPr>
          <w:lang w:eastAsia="en-AU"/>
        </w:rPr>
      </w:pPr>
      <w:bookmarkStart w:id="164" w:name="_Toc453055067"/>
      <w:r w:rsidRPr="00AB1657">
        <w:rPr>
          <w:lang w:eastAsia="en-AU"/>
        </w:rPr>
        <w:t>Figure</w:t>
      </w:r>
      <w:r w:rsidRPr="007D66D9">
        <w:rPr>
          <w:lang w:eastAsia="en-AU"/>
        </w:rPr>
        <w:t xml:space="preserve"> </w:t>
      </w:r>
      <w:r w:rsidR="00531123">
        <w:rPr>
          <w:lang w:eastAsia="en-AU"/>
        </w:rPr>
        <w:t xml:space="preserve">26: </w:t>
      </w:r>
      <w:r w:rsidRPr="007D66D9">
        <w:rPr>
          <w:lang w:eastAsia="en-AU"/>
        </w:rPr>
        <w:t xml:space="preserve">Dropout survival over time since start of </w:t>
      </w:r>
      <w:r w:rsidR="00E60DFA">
        <w:rPr>
          <w:lang w:eastAsia="en-AU"/>
        </w:rPr>
        <w:t>double blind</w:t>
      </w:r>
      <w:r w:rsidRPr="007D66D9">
        <w:rPr>
          <w:lang w:eastAsia="en-AU"/>
        </w:rPr>
        <w:t xml:space="preserve"> phase</w:t>
      </w:r>
      <w:bookmarkEnd w:id="164"/>
      <w:r w:rsidR="004A676D">
        <w:rPr>
          <w:lang w:eastAsia="en-AU"/>
        </w:rPr>
        <w:t>.</w:t>
      </w:r>
    </w:p>
    <w:p w14:paraId="22390C6D" w14:textId="77777777" w:rsidR="007D66D9" w:rsidRPr="007D66D9" w:rsidRDefault="007D66D9" w:rsidP="00AA2D8E">
      <w:pPr>
        <w:rPr>
          <w:lang w:eastAsia="en-AU"/>
        </w:rPr>
      </w:pPr>
      <w:r w:rsidRPr="007D66D9">
        <w:rPr>
          <w:noProof/>
          <w:lang w:eastAsia="en-AU"/>
        </w:rPr>
        <w:drawing>
          <wp:inline distT="0" distB="0" distL="0" distR="0" wp14:anchorId="7CE427B6" wp14:editId="57D46A80">
            <wp:extent cx="4913566" cy="2874874"/>
            <wp:effectExtent l="0" t="0" r="1905" b="1905"/>
            <wp:docPr id="57" name="Picture 57" descr="Figure 26: Dropout survival over time since start of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7816" r="803" b="1174"/>
                    <a:stretch/>
                  </pic:blipFill>
                  <pic:spPr bwMode="auto">
                    <a:xfrm>
                      <a:off x="0" y="0"/>
                      <a:ext cx="4915164" cy="2875809"/>
                    </a:xfrm>
                    <a:prstGeom prst="rect">
                      <a:avLst/>
                    </a:prstGeom>
                    <a:ln>
                      <a:noFill/>
                    </a:ln>
                    <a:extLst>
                      <a:ext uri="{53640926-AAD7-44D8-BBD7-CCE9431645EC}">
                        <a14:shadowObscured xmlns:a14="http://schemas.microsoft.com/office/drawing/2010/main"/>
                      </a:ext>
                    </a:extLst>
                  </pic:spPr>
                </pic:pic>
              </a:graphicData>
            </a:graphic>
          </wp:inline>
        </w:drawing>
      </w:r>
    </w:p>
    <w:p w14:paraId="019E84FF" w14:textId="77777777" w:rsidR="00AB1657" w:rsidRDefault="007D66D9" w:rsidP="00AA2D8E">
      <w:pPr>
        <w:pStyle w:val="TableDescription"/>
        <w:rPr>
          <w:lang w:eastAsia="en-AU"/>
        </w:rPr>
      </w:pPr>
      <w:r w:rsidRPr="00AA2D8E">
        <w:t>Survival</w:t>
      </w:r>
      <w:r w:rsidRPr="007D66D9">
        <w:rPr>
          <w:lang w:eastAsia="en-AU"/>
        </w:rPr>
        <w:t xml:space="preserve"> is given as fraction without a dropout event, separately for the two treatment arms, and based on the point-estimate from the Kaplan–Meier survival function. The vertical blue dotted lines mark blinded PP3M/PP1M injections and the vertical red dotted lines mark intermediate PP1M injections. The vertical grey dashed line marks the planned end of study, at week 48. The survival curve is shown for 0-49 weeks post randomisation.</w:t>
      </w:r>
    </w:p>
    <w:p w14:paraId="3960E47B" w14:textId="77777777" w:rsidR="007D66D9" w:rsidRPr="007D66D9" w:rsidRDefault="007D66D9" w:rsidP="00AB16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lang w:eastAsia="en-AU"/>
        </w:rPr>
      </w:pPr>
      <w:r w:rsidRPr="007D66D9">
        <w:rPr>
          <w:rFonts w:eastAsia="Times New Roman"/>
          <w:kern w:val="16"/>
          <w:lang w:eastAsia="en-AU"/>
        </w:rPr>
        <w:t>The PK/PD analyses used individual predictions of plasma concentrations of paliperidone, predicted by the population PK model applied to Study R092670-PSY-3011 data.</w:t>
      </w:r>
    </w:p>
    <w:p w14:paraId="552A2537" w14:textId="77777777" w:rsidR="007D66D9" w:rsidRPr="007D66D9" w:rsidRDefault="007D66D9" w:rsidP="00DA386F">
      <w:pPr>
        <w:pStyle w:val="Tabletitle"/>
        <w:rPr>
          <w:lang w:eastAsia="en-AU"/>
        </w:rPr>
      </w:pPr>
      <w:bookmarkStart w:id="165" w:name="_Toc453054993"/>
      <w:r w:rsidRPr="00AB1657">
        <w:rPr>
          <w:lang w:eastAsia="en-AU"/>
        </w:rPr>
        <w:lastRenderedPageBreak/>
        <w:t>Table</w:t>
      </w:r>
      <w:r w:rsidRPr="007D66D9">
        <w:rPr>
          <w:lang w:eastAsia="en-AU"/>
        </w:rPr>
        <w:t xml:space="preserve"> </w:t>
      </w:r>
      <w:r w:rsidR="00531123">
        <w:rPr>
          <w:lang w:eastAsia="en-AU"/>
        </w:rPr>
        <w:t>30:</w:t>
      </w:r>
      <w:r w:rsidR="00F634A2">
        <w:rPr>
          <w:lang w:eastAsia="en-AU"/>
        </w:rPr>
        <w:t xml:space="preserve"> </w:t>
      </w:r>
      <w:r w:rsidRPr="007D66D9">
        <w:rPr>
          <w:lang w:eastAsia="en-AU"/>
        </w:rPr>
        <w:t>Covariates that were tested as risk factors</w:t>
      </w:r>
      <w:bookmarkEnd w:id="165"/>
    </w:p>
    <w:p w14:paraId="4CE28ED0" w14:textId="77777777" w:rsidR="007D66D9" w:rsidRPr="007D66D9" w:rsidRDefault="007D66D9" w:rsidP="00AA2D8E">
      <w:pPr>
        <w:rPr>
          <w:lang w:eastAsia="en-AU"/>
        </w:rPr>
      </w:pPr>
      <w:r w:rsidRPr="007D66D9">
        <w:rPr>
          <w:noProof/>
          <w:lang w:eastAsia="en-AU"/>
        </w:rPr>
        <w:drawing>
          <wp:inline distT="0" distB="0" distL="0" distR="0" wp14:anchorId="0B06943C" wp14:editId="16716C36">
            <wp:extent cx="4988004" cy="2384756"/>
            <wp:effectExtent l="0" t="0" r="3175" b="0"/>
            <wp:docPr id="58" name="Picture 58" descr="Table 30:Covariates that were tested as risk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991776" cy="2386560"/>
                    </a:xfrm>
                    <a:prstGeom prst="rect">
                      <a:avLst/>
                    </a:prstGeom>
                  </pic:spPr>
                </pic:pic>
              </a:graphicData>
            </a:graphic>
          </wp:inline>
        </w:drawing>
      </w:r>
    </w:p>
    <w:p w14:paraId="2A8DA79E" w14:textId="7A6640D7" w:rsidR="004A676D" w:rsidRDefault="003E657A" w:rsidP="00AA2D8E">
      <w:pPr>
        <w:pStyle w:val="TableDescription"/>
        <w:rPr>
          <w:lang w:eastAsia="en-AU"/>
        </w:rPr>
      </w:pPr>
      <w:r w:rsidRPr="003E657A">
        <w:rPr>
          <w:vertAlign w:val="superscript"/>
          <w:lang w:eastAsia="en-AU"/>
        </w:rPr>
        <w:t>1.</w:t>
      </w:r>
      <w:r>
        <w:rPr>
          <w:lang w:eastAsia="en-AU"/>
        </w:rPr>
        <w:t xml:space="preserve"> </w:t>
      </w:r>
      <w:r w:rsidR="007D66D9" w:rsidRPr="007D66D9">
        <w:rPr>
          <w:lang w:eastAsia="en-AU"/>
        </w:rPr>
        <w:t>These covariates are part of the pre-specified model for relapse, but were t</w:t>
      </w:r>
      <w:r>
        <w:rPr>
          <w:lang w:eastAsia="en-AU"/>
        </w:rPr>
        <w:t xml:space="preserve">ested again in the SCM. </w:t>
      </w:r>
      <w:r w:rsidRPr="003E657A">
        <w:rPr>
          <w:vertAlign w:val="superscript"/>
          <w:lang w:eastAsia="en-AU"/>
        </w:rPr>
        <w:t>2</w:t>
      </w:r>
      <w:r>
        <w:rPr>
          <w:lang w:eastAsia="en-AU"/>
        </w:rPr>
        <w:t xml:space="preserve">. </w:t>
      </w:r>
      <w:r w:rsidR="007D66D9" w:rsidRPr="007D66D9">
        <w:rPr>
          <w:lang w:eastAsia="en-AU"/>
        </w:rPr>
        <w:t>Few subjects were expected to have counts above five, and the count was capped to avoid very high values. NHOP5 was investigated as a continuous covariate.</w:t>
      </w:r>
      <w:r>
        <w:rPr>
          <w:lang w:eastAsia="en-AU"/>
        </w:rPr>
        <w:t xml:space="preserve"> </w:t>
      </w:r>
      <w:r w:rsidRPr="003E657A">
        <w:rPr>
          <w:vertAlign w:val="superscript"/>
          <w:lang w:eastAsia="en-AU"/>
        </w:rPr>
        <w:t>3.</w:t>
      </w:r>
      <w:r>
        <w:rPr>
          <w:lang w:eastAsia="en-AU"/>
        </w:rPr>
        <w:t xml:space="preserve"> </w:t>
      </w:r>
      <w:r w:rsidR="007D66D9" w:rsidRPr="007D66D9">
        <w:rPr>
          <w:lang w:eastAsia="en-AU"/>
        </w:rPr>
        <w:t>This covariate is based on the individual prediction of the trough (pre-dose) concentration at the day of ra</w:t>
      </w:r>
      <w:r>
        <w:rPr>
          <w:lang w:eastAsia="en-AU"/>
        </w:rPr>
        <w:t xml:space="preserve">ndomisation (nominally Day 120). </w:t>
      </w:r>
      <w:r w:rsidRPr="003E657A">
        <w:rPr>
          <w:vertAlign w:val="superscript"/>
          <w:lang w:eastAsia="en-AU"/>
        </w:rPr>
        <w:t>4.</w:t>
      </w:r>
      <w:r>
        <w:rPr>
          <w:lang w:eastAsia="en-AU"/>
        </w:rPr>
        <w:t xml:space="preserve"> </w:t>
      </w:r>
      <w:r w:rsidR="007D66D9" w:rsidRPr="007D66D9">
        <w:rPr>
          <w:lang w:eastAsia="en-AU"/>
        </w:rPr>
        <w:t>Time since first di</w:t>
      </w:r>
      <w:r>
        <w:rPr>
          <w:lang w:eastAsia="en-AU"/>
        </w:rPr>
        <w:t xml:space="preserve">agnosis of schizophrenia </w:t>
      </w:r>
      <w:r w:rsidRPr="003E657A">
        <w:rPr>
          <w:vertAlign w:val="superscript"/>
          <w:lang w:eastAsia="en-AU"/>
        </w:rPr>
        <w:t>5.</w:t>
      </w:r>
      <w:r>
        <w:rPr>
          <w:lang w:eastAsia="en-AU"/>
        </w:rPr>
        <w:t xml:space="preserve"> </w:t>
      </w:r>
      <w:r w:rsidR="007D66D9" w:rsidRPr="007D66D9">
        <w:rPr>
          <w:lang w:eastAsia="en-AU"/>
        </w:rPr>
        <w:t xml:space="preserve">Each </w:t>
      </w:r>
      <w:r w:rsidR="007D66D9" w:rsidRPr="00AA2D8E">
        <w:t>subject</w:t>
      </w:r>
      <w:r w:rsidR="007D66D9" w:rsidRPr="007D66D9">
        <w:rPr>
          <w:lang w:eastAsia="en-AU"/>
        </w:rPr>
        <w:t xml:space="preserve"> was classified based on country (of participati</w:t>
      </w:r>
      <w:r w:rsidR="003673F6">
        <w:rPr>
          <w:lang w:eastAsia="en-AU"/>
        </w:rPr>
        <w:t>ng</w:t>
      </w:r>
      <w:r w:rsidR="007D66D9" w:rsidRPr="007D66D9">
        <w:rPr>
          <w:lang w:eastAsia="en-AU"/>
        </w:rPr>
        <w:t xml:space="preserve"> centre) or race, into one of the </w:t>
      </w:r>
      <w:r w:rsidR="00AB1657">
        <w:rPr>
          <w:lang w:eastAsia="en-AU"/>
        </w:rPr>
        <w:t>f</w:t>
      </w:r>
      <w:r w:rsidR="007D66D9" w:rsidRPr="007D66D9">
        <w:rPr>
          <w:lang w:eastAsia="en-AU"/>
        </w:rPr>
        <w:t>ollowi</w:t>
      </w:r>
      <w:r w:rsidR="003673F6">
        <w:rPr>
          <w:lang w:eastAsia="en-AU"/>
        </w:rPr>
        <w:t>ng</w:t>
      </w:r>
      <w:r w:rsidR="007D66D9" w:rsidRPr="007D66D9">
        <w:rPr>
          <w:lang w:eastAsia="en-AU"/>
        </w:rPr>
        <w:t xml:space="preserve"> categories (groups): a) Black/African American, b) Hispanic- or Latino-White, c) Chinese, d) Japanese</w:t>
      </w:r>
      <w:proofErr w:type="gramStart"/>
      <w:r w:rsidR="007D66D9" w:rsidRPr="007D66D9">
        <w:rPr>
          <w:lang w:eastAsia="en-AU"/>
        </w:rPr>
        <w:t>..</w:t>
      </w:r>
      <w:proofErr w:type="gramEnd"/>
      <w:r w:rsidR="007D66D9" w:rsidRPr="007D66D9">
        <w:rPr>
          <w:lang w:eastAsia="en-AU"/>
        </w:rPr>
        <w:t xml:space="preserve"> Remaini</w:t>
      </w:r>
      <w:r w:rsidR="003673F6">
        <w:rPr>
          <w:lang w:eastAsia="en-AU"/>
        </w:rPr>
        <w:t>ng</w:t>
      </w:r>
      <w:r w:rsidR="007D66D9" w:rsidRPr="007D66D9">
        <w:rPr>
          <w:lang w:eastAsia="en-AU"/>
        </w:rPr>
        <w:t xml:space="preserve"> subjects who were not associated to any of a-d were in the reference group that inc</w:t>
      </w:r>
      <w:r>
        <w:rPr>
          <w:lang w:eastAsia="en-AU"/>
        </w:rPr>
        <w:t xml:space="preserve">luded White-non-Hispanic/Latino </w:t>
      </w:r>
      <w:r w:rsidRPr="003E657A">
        <w:rPr>
          <w:vertAlign w:val="superscript"/>
          <w:lang w:eastAsia="en-AU"/>
        </w:rPr>
        <w:t>6.</w:t>
      </w:r>
      <w:r>
        <w:rPr>
          <w:lang w:eastAsia="en-AU"/>
        </w:rPr>
        <w:t> </w:t>
      </w:r>
      <w:r w:rsidR="007D66D9" w:rsidRPr="007D66D9">
        <w:rPr>
          <w:lang w:eastAsia="en-AU"/>
        </w:rPr>
        <w:t>Prior use captured medical history for a limited time back only. In addition lo</w:t>
      </w:r>
      <w:r w:rsidR="003673F6">
        <w:rPr>
          <w:lang w:eastAsia="en-AU"/>
        </w:rPr>
        <w:t>ng</w:t>
      </w:r>
      <w:r w:rsidR="007D66D9" w:rsidRPr="007D66D9">
        <w:rPr>
          <w:lang w:eastAsia="en-AU"/>
        </w:rPr>
        <w:t>-acti</w:t>
      </w:r>
      <w:r w:rsidR="003673F6">
        <w:rPr>
          <w:lang w:eastAsia="en-AU"/>
        </w:rPr>
        <w:t>ng</w:t>
      </w:r>
      <w:r w:rsidR="007D66D9" w:rsidRPr="007D66D9">
        <w:rPr>
          <w:lang w:eastAsia="en-AU"/>
        </w:rPr>
        <w:t xml:space="preserve"> injectable was not allowed at screeni</w:t>
      </w:r>
      <w:r w:rsidR="003673F6">
        <w:rPr>
          <w:lang w:eastAsia="en-AU"/>
        </w:rPr>
        <w:t>ng</w:t>
      </w:r>
      <w:r>
        <w:rPr>
          <w:lang w:eastAsia="en-AU"/>
        </w:rPr>
        <w:t xml:space="preserve"> </w:t>
      </w:r>
      <w:r w:rsidRPr="003E657A">
        <w:rPr>
          <w:vertAlign w:val="superscript"/>
          <w:lang w:eastAsia="en-AU"/>
        </w:rPr>
        <w:t>7.</w:t>
      </w:r>
      <w:r>
        <w:rPr>
          <w:lang w:eastAsia="en-AU"/>
        </w:rPr>
        <w:t xml:space="preserve"> </w:t>
      </w:r>
      <w:r w:rsidR="007D66D9" w:rsidRPr="007D66D9">
        <w:rPr>
          <w:lang w:eastAsia="en-AU"/>
        </w:rPr>
        <w:t>Dichotomous variable on whether subject used more than two unique molecules of antipsychotics before enrolment into the study</w:t>
      </w:r>
      <w:r>
        <w:rPr>
          <w:lang w:eastAsia="en-AU"/>
        </w:rPr>
        <w:t xml:space="preserve">. </w:t>
      </w:r>
      <w:r w:rsidRPr="003E657A">
        <w:rPr>
          <w:vertAlign w:val="superscript"/>
          <w:lang w:eastAsia="en-AU"/>
        </w:rPr>
        <w:t>8.</w:t>
      </w:r>
      <w:r>
        <w:rPr>
          <w:lang w:eastAsia="en-AU"/>
        </w:rPr>
        <w:t xml:space="preserve"> </w:t>
      </w:r>
      <w:r w:rsidR="007D66D9" w:rsidRPr="007D66D9">
        <w:rPr>
          <w:lang w:eastAsia="en-AU"/>
        </w:rPr>
        <w:t>Concomitant medications are time-varyi</w:t>
      </w:r>
      <w:r w:rsidR="003673F6">
        <w:rPr>
          <w:lang w:eastAsia="en-AU"/>
        </w:rPr>
        <w:t>ng</w:t>
      </w:r>
      <w:r w:rsidR="007D66D9" w:rsidRPr="007D66D9">
        <w:rPr>
          <w:lang w:eastAsia="en-AU"/>
        </w:rPr>
        <w:t xml:space="preserve"> covariates, representi</w:t>
      </w:r>
      <w:r w:rsidR="003673F6">
        <w:rPr>
          <w:lang w:eastAsia="en-AU"/>
        </w:rPr>
        <w:t>ng</w:t>
      </w:r>
      <w:r w:rsidR="007D66D9" w:rsidRPr="007D66D9">
        <w:rPr>
          <w:lang w:eastAsia="en-AU"/>
        </w:rPr>
        <w:t xml:space="preserve"> the current medication on each day</w:t>
      </w:r>
      <w:r>
        <w:rPr>
          <w:lang w:eastAsia="en-AU"/>
        </w:rPr>
        <w:t xml:space="preserve"> </w:t>
      </w:r>
      <w:r w:rsidRPr="003E657A">
        <w:rPr>
          <w:vertAlign w:val="superscript"/>
          <w:lang w:eastAsia="en-AU"/>
        </w:rPr>
        <w:t>9.</w:t>
      </w:r>
      <w:r>
        <w:rPr>
          <w:lang w:eastAsia="en-AU"/>
        </w:rPr>
        <w:t xml:space="preserve"> </w:t>
      </w:r>
      <w:r w:rsidR="007D66D9" w:rsidRPr="007D66D9">
        <w:rPr>
          <w:lang w:eastAsia="en-AU"/>
        </w:rPr>
        <w:t>The eventual PP1M dose</w:t>
      </w:r>
      <w:r w:rsidR="00C44E2F">
        <w:rPr>
          <w:lang w:eastAsia="en-AU"/>
        </w:rPr>
        <w:t xml:space="preserve"> was</w:t>
      </w:r>
      <w:r w:rsidR="007D66D9" w:rsidRPr="007D66D9">
        <w:rPr>
          <w:lang w:eastAsia="en-AU"/>
        </w:rPr>
        <w:t xml:space="preserve"> maintained before the randomisation visit. FPP1MD was investiga</w:t>
      </w:r>
      <w:r w:rsidR="00AB1657">
        <w:rPr>
          <w:lang w:eastAsia="en-AU"/>
        </w:rPr>
        <w:t>ted as a continuous covariate</w:t>
      </w:r>
      <w:r w:rsidR="004A676D">
        <w:rPr>
          <w:lang w:eastAsia="en-AU"/>
        </w:rPr>
        <w:t>.</w:t>
      </w:r>
    </w:p>
    <w:p w14:paraId="17641B03" w14:textId="77777777" w:rsidR="007D66D9" w:rsidRPr="007D66D9" w:rsidRDefault="00531123" w:rsidP="00AB1657">
      <w:pPr>
        <w:pStyle w:val="Heading6"/>
        <w:rPr>
          <w:lang w:eastAsia="en-AU"/>
        </w:rPr>
      </w:pPr>
      <w:r>
        <w:rPr>
          <w:lang w:eastAsia="en-AU"/>
        </w:rPr>
        <w:t>Final m</w:t>
      </w:r>
      <w:r w:rsidR="007D66D9" w:rsidRPr="007D66D9">
        <w:rPr>
          <w:lang w:eastAsia="en-AU"/>
        </w:rPr>
        <w:t>odel</w:t>
      </w:r>
    </w:p>
    <w:p w14:paraId="766D07EC" w14:textId="3FD27935" w:rsidR="007D66D9" w:rsidRPr="003D0D2F" w:rsidRDefault="007D66D9" w:rsidP="003E657A">
      <w:pPr>
        <w:rPr>
          <w:i/>
          <w:lang w:eastAsia="en-AU"/>
        </w:rPr>
      </w:pPr>
      <w:r w:rsidRPr="003D0D2F">
        <w:rPr>
          <w:i/>
          <w:lang w:eastAsia="en-AU"/>
        </w:rPr>
        <w:t xml:space="preserve">The final relapse model was described by a </w:t>
      </w:r>
      <w:proofErr w:type="spellStart"/>
      <w:r w:rsidRPr="003D0D2F">
        <w:rPr>
          <w:i/>
          <w:lang w:eastAsia="en-AU"/>
        </w:rPr>
        <w:t>Gompertz</w:t>
      </w:r>
      <w:proofErr w:type="spellEnd"/>
      <w:r w:rsidRPr="003D0D2F">
        <w:rPr>
          <w:i/>
          <w:lang w:eastAsia="en-AU"/>
        </w:rPr>
        <w:t xml:space="preserve"> baseline hazard model, with decreasi</w:t>
      </w:r>
      <w:r w:rsidR="003673F6">
        <w:rPr>
          <w:i/>
          <w:lang w:eastAsia="en-AU"/>
        </w:rPr>
        <w:t>ng</w:t>
      </w:r>
      <w:r w:rsidRPr="003D0D2F">
        <w:rPr>
          <w:i/>
          <w:lang w:eastAsia="en-AU"/>
        </w:rPr>
        <w:t xml:space="preserve"> hazard over time. In the available concentration ra</w:t>
      </w:r>
      <w:r w:rsidR="003673F6">
        <w:rPr>
          <w:i/>
          <w:lang w:eastAsia="en-AU"/>
        </w:rPr>
        <w:t>ng</w:t>
      </w:r>
      <w:r w:rsidRPr="003D0D2F">
        <w:rPr>
          <w:i/>
          <w:lang w:eastAsia="en-AU"/>
        </w:rPr>
        <w:t>e, log-hazard was adequately descr</w:t>
      </w:r>
      <w:r w:rsidR="003E657A" w:rsidRPr="003D0D2F">
        <w:rPr>
          <w:i/>
          <w:lang w:eastAsia="en-AU"/>
        </w:rPr>
        <w:t xml:space="preserve">ibed by a linear concentration </w:t>
      </w:r>
      <w:r w:rsidRPr="003D0D2F">
        <w:rPr>
          <w:i/>
          <w:lang w:eastAsia="en-AU"/>
        </w:rPr>
        <w:t>effect model. After accounti</w:t>
      </w:r>
      <w:r w:rsidR="003673F6">
        <w:rPr>
          <w:i/>
          <w:lang w:eastAsia="en-AU"/>
        </w:rPr>
        <w:t>ng</w:t>
      </w:r>
      <w:r w:rsidRPr="003D0D2F">
        <w:rPr>
          <w:i/>
          <w:lang w:eastAsia="en-AU"/>
        </w:rPr>
        <w:t xml:space="preserve"> f</w:t>
      </w:r>
      <w:r w:rsidR="003E657A" w:rsidRPr="003D0D2F">
        <w:rPr>
          <w:i/>
          <w:lang w:eastAsia="en-AU"/>
        </w:rPr>
        <w:t xml:space="preserve">or the individual concentration </w:t>
      </w:r>
      <w:r w:rsidRPr="003D0D2F">
        <w:rPr>
          <w:i/>
          <w:lang w:eastAsia="en-AU"/>
        </w:rPr>
        <w:t>time profiles, two risk factors were included in the final model for the baseline hazard of relapse: Patients on concomitant benzodiazepine medication (since last visit) had higher hazard (193% higher hazard, 95% confidence interval (CI): 85% - 363%), as compared to when not on this concomitant medication. Patients at Japanese centres had higher hazard (129% higher hazard, 95% CI: 36% - 283%), as compared to patients at non-Japanese centres.</w:t>
      </w:r>
      <w:r w:rsidRPr="003D0D2F">
        <w:rPr>
          <w:i/>
          <w:vertAlign w:val="superscript"/>
          <w:lang w:eastAsia="en-AU"/>
        </w:rPr>
        <w:footnoteReference w:id="20"/>
      </w:r>
    </w:p>
    <w:p w14:paraId="4FD5CDAA" w14:textId="77777777" w:rsidR="007D66D9" w:rsidRPr="003D0D2F" w:rsidRDefault="007D66D9" w:rsidP="003E657A">
      <w:pPr>
        <w:rPr>
          <w:i/>
          <w:lang w:eastAsia="en-AU"/>
        </w:rPr>
      </w:pPr>
      <w:r w:rsidRPr="003D0D2F">
        <w:rPr>
          <w:i/>
          <w:lang w:eastAsia="en-AU"/>
        </w:rPr>
        <w:t>The final dropout model was a constant hazard model (</w:t>
      </w:r>
      <w:r w:rsidR="00785F6E" w:rsidRPr="003D0D2F">
        <w:rPr>
          <w:i/>
          <w:lang w:eastAsia="en-AU"/>
        </w:rPr>
        <w:t>that is</w:t>
      </w:r>
      <w:r w:rsidRPr="003D0D2F">
        <w:rPr>
          <w:i/>
          <w:lang w:eastAsia="en-AU"/>
        </w:rPr>
        <w:t xml:space="preserve"> exponential model), without influence of paliperidone exposure, or any covariates.</w:t>
      </w:r>
    </w:p>
    <w:p w14:paraId="583FC002" w14:textId="77777777" w:rsidR="004A676D" w:rsidRDefault="007D66D9" w:rsidP="005A18C6">
      <w:pPr>
        <w:pStyle w:val="FigureTitle"/>
        <w:keepNext/>
        <w:rPr>
          <w:lang w:eastAsia="en-AU"/>
        </w:rPr>
      </w:pPr>
      <w:bookmarkStart w:id="166" w:name="_Toc453055068"/>
      <w:r w:rsidRPr="00531123">
        <w:rPr>
          <w:lang w:eastAsia="en-AU"/>
        </w:rPr>
        <w:lastRenderedPageBreak/>
        <w:t xml:space="preserve">Figure </w:t>
      </w:r>
      <w:r w:rsidR="00531123" w:rsidRPr="00531123">
        <w:rPr>
          <w:lang w:eastAsia="en-AU"/>
        </w:rPr>
        <w:t>27:</w:t>
      </w:r>
      <w:r w:rsidRPr="00531123">
        <w:rPr>
          <w:lang w:eastAsia="en-AU"/>
        </w:rPr>
        <w:t xml:space="preserve"> VPC of the</w:t>
      </w:r>
      <w:r w:rsidRPr="007D66D9">
        <w:rPr>
          <w:lang w:eastAsia="en-AU"/>
        </w:rPr>
        <w:t xml:space="preserve"> final relapse model, stratified by randomised treatment</w:t>
      </w:r>
      <w:bookmarkEnd w:id="166"/>
    </w:p>
    <w:p w14:paraId="20B5F0FC" w14:textId="77777777" w:rsidR="007D66D9" w:rsidRPr="007D66D9" w:rsidRDefault="007D66D9" w:rsidP="00D56AB0">
      <w:pPr>
        <w:rPr>
          <w:lang w:eastAsia="en-AU"/>
        </w:rPr>
      </w:pPr>
      <w:r w:rsidRPr="007D66D9">
        <w:rPr>
          <w:noProof/>
          <w:lang w:eastAsia="en-AU"/>
        </w:rPr>
        <w:drawing>
          <wp:inline distT="0" distB="0" distL="0" distR="0" wp14:anchorId="1850FFC1" wp14:editId="76704210">
            <wp:extent cx="4363200" cy="2437200"/>
            <wp:effectExtent l="0" t="0" r="0" b="1270"/>
            <wp:docPr id="59" name="Picture 59" descr="Figure 27: VPC of the final relapse model, stratified by randomise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1996" r="1125" b="-36"/>
                    <a:stretch/>
                  </pic:blipFill>
                  <pic:spPr bwMode="auto">
                    <a:xfrm>
                      <a:off x="0" y="0"/>
                      <a:ext cx="4363200" cy="2437200"/>
                    </a:xfrm>
                    <a:prstGeom prst="rect">
                      <a:avLst/>
                    </a:prstGeom>
                    <a:ln>
                      <a:noFill/>
                    </a:ln>
                    <a:extLst>
                      <a:ext uri="{53640926-AAD7-44D8-BBD7-CCE9431645EC}">
                        <a14:shadowObscured xmlns:a14="http://schemas.microsoft.com/office/drawing/2010/main"/>
                      </a:ext>
                    </a:extLst>
                  </pic:spPr>
                </pic:pic>
              </a:graphicData>
            </a:graphic>
          </wp:inline>
        </w:drawing>
      </w:r>
    </w:p>
    <w:p w14:paraId="7EEAA85E" w14:textId="77777777" w:rsidR="00E60DFA" w:rsidRDefault="007D66D9" w:rsidP="00D56AB0">
      <w:pPr>
        <w:pStyle w:val="TableDescription"/>
        <w:rPr>
          <w:lang w:eastAsia="en-AU"/>
        </w:rPr>
      </w:pPr>
      <w:r w:rsidRPr="00D56AB0">
        <w:t>The</w:t>
      </w:r>
      <w:r w:rsidRPr="007D66D9">
        <w:rPr>
          <w:lang w:eastAsia="en-AU"/>
        </w:rPr>
        <w:t xml:space="preserve"> solid and dashed blue lines represent the Kaplan–Meier point estimate and 95% confidence interval, based on observed data; the shaded green areas represent the 95% confidence interval of the Kaplan–Meier point estimate, based on 1000 replicate simulations. The vertical solid and dashed grey lines mark dosi</w:t>
      </w:r>
      <w:r w:rsidR="003673F6">
        <w:rPr>
          <w:lang w:eastAsia="en-AU"/>
        </w:rPr>
        <w:t>ng</w:t>
      </w:r>
      <w:r w:rsidRPr="007D66D9">
        <w:rPr>
          <w:lang w:eastAsia="en-AU"/>
        </w:rPr>
        <w:t xml:space="preserve"> times for PP3M and PP1M, respectively</w:t>
      </w:r>
      <w:bookmarkStart w:id="167" w:name="_Toc453055069"/>
    </w:p>
    <w:p w14:paraId="0B4A2087" w14:textId="77777777" w:rsidR="004A676D" w:rsidRPr="00E60DFA" w:rsidRDefault="007D66D9" w:rsidP="005A18C6">
      <w:pPr>
        <w:pStyle w:val="FigureTitle"/>
        <w:keepNext/>
        <w:rPr>
          <w:lang w:eastAsia="en-AU"/>
        </w:rPr>
      </w:pPr>
      <w:r w:rsidRPr="00531123">
        <w:rPr>
          <w:lang w:eastAsia="en-AU"/>
        </w:rPr>
        <w:t xml:space="preserve">Figure </w:t>
      </w:r>
      <w:r w:rsidR="00531123" w:rsidRPr="00531123">
        <w:rPr>
          <w:lang w:eastAsia="en-AU"/>
        </w:rPr>
        <w:t>28:</w:t>
      </w:r>
      <w:r w:rsidRPr="00531123">
        <w:rPr>
          <w:lang w:eastAsia="en-AU"/>
        </w:rPr>
        <w:t xml:space="preserve"> VPC; of</w:t>
      </w:r>
      <w:r w:rsidRPr="007D66D9">
        <w:rPr>
          <w:lang w:eastAsia="en-AU"/>
        </w:rPr>
        <w:t xml:space="preserve"> the final relapse model, stratified by </w:t>
      </w:r>
      <w:r w:rsidR="004A676D">
        <w:rPr>
          <w:lang w:eastAsia="en-AU"/>
        </w:rPr>
        <w:t>open label</w:t>
      </w:r>
      <w:r w:rsidRPr="007D66D9">
        <w:rPr>
          <w:lang w:eastAsia="en-AU"/>
        </w:rPr>
        <w:t xml:space="preserve"> PP1M dose. Both PP1M and PP3M arms are included</w:t>
      </w:r>
      <w:bookmarkEnd w:id="167"/>
    </w:p>
    <w:p w14:paraId="35CE909E" w14:textId="77777777" w:rsidR="007D66D9" w:rsidRPr="007D66D9" w:rsidRDefault="007D66D9" w:rsidP="00D56AB0">
      <w:pPr>
        <w:rPr>
          <w:lang w:eastAsia="en-AU"/>
        </w:rPr>
      </w:pPr>
      <w:r w:rsidRPr="007D66D9">
        <w:rPr>
          <w:noProof/>
          <w:lang w:eastAsia="en-AU"/>
        </w:rPr>
        <w:drawing>
          <wp:inline distT="0" distB="0" distL="0" distR="0" wp14:anchorId="4BA34D6F" wp14:editId="52DE6B46">
            <wp:extent cx="5274259" cy="1950289"/>
            <wp:effectExtent l="0" t="0" r="3175" b="0"/>
            <wp:docPr id="60" name="Picture 60" descr="Figure 28: VPC; of the final relapse model, stratified by open label PP1M dose. Both PP1M and PP3M arms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2060" b="3167"/>
                    <a:stretch/>
                  </pic:blipFill>
                  <pic:spPr bwMode="auto">
                    <a:xfrm>
                      <a:off x="0" y="0"/>
                      <a:ext cx="5283844" cy="1953833"/>
                    </a:xfrm>
                    <a:prstGeom prst="rect">
                      <a:avLst/>
                    </a:prstGeom>
                    <a:ln>
                      <a:noFill/>
                    </a:ln>
                    <a:extLst>
                      <a:ext uri="{53640926-AAD7-44D8-BBD7-CCE9431645EC}">
                        <a14:shadowObscured xmlns:a14="http://schemas.microsoft.com/office/drawing/2010/main"/>
                      </a:ext>
                    </a:extLst>
                  </pic:spPr>
                </pic:pic>
              </a:graphicData>
            </a:graphic>
          </wp:inline>
        </w:drawing>
      </w:r>
    </w:p>
    <w:p w14:paraId="508ED25E" w14:textId="77777777" w:rsidR="007D66D9" w:rsidRPr="00AB1657" w:rsidRDefault="007D66D9" w:rsidP="00D56AB0">
      <w:pPr>
        <w:pStyle w:val="TableDescription"/>
        <w:rPr>
          <w:lang w:eastAsia="en-AU"/>
        </w:rPr>
      </w:pPr>
      <w:r w:rsidRPr="007D66D9">
        <w:rPr>
          <w:lang w:eastAsia="en-AU"/>
        </w:rPr>
        <w:t xml:space="preserve">The </w:t>
      </w:r>
      <w:r w:rsidRPr="00D56AB0">
        <w:t>solid</w:t>
      </w:r>
      <w:r w:rsidRPr="007D66D9">
        <w:rPr>
          <w:lang w:eastAsia="en-AU"/>
        </w:rPr>
        <w:t xml:space="preserve"> and dashed blue lines represent the Kaplan–Meier point estimate and 95% confidence interval, based on observed data; the shaded green areas represent the 95% confidence interval of the Kaplan–Meier point estimate, based on 1000 replicate simulations. The vertical solid and dashed grey lines mark dosi</w:t>
      </w:r>
      <w:r w:rsidR="003673F6">
        <w:rPr>
          <w:lang w:eastAsia="en-AU"/>
        </w:rPr>
        <w:t>ng</w:t>
      </w:r>
      <w:r w:rsidRPr="007D66D9">
        <w:rPr>
          <w:lang w:eastAsia="en-AU"/>
        </w:rPr>
        <w:t xml:space="preserve"> times for P</w:t>
      </w:r>
      <w:r w:rsidR="00E60DFA">
        <w:rPr>
          <w:lang w:eastAsia="en-AU"/>
        </w:rPr>
        <w:t>P3M and PP1M, respectively.</w:t>
      </w:r>
    </w:p>
    <w:p w14:paraId="1229393E" w14:textId="77777777" w:rsidR="007D66D9" w:rsidRPr="007D66D9" w:rsidRDefault="007D66D9" w:rsidP="005A18C6">
      <w:pPr>
        <w:pStyle w:val="FigureTitle"/>
        <w:keepNext/>
        <w:rPr>
          <w:lang w:eastAsia="en-AU"/>
        </w:rPr>
      </w:pPr>
      <w:bookmarkStart w:id="168" w:name="_Toc453055070"/>
      <w:r w:rsidRPr="00531123">
        <w:rPr>
          <w:lang w:eastAsia="en-AU"/>
        </w:rPr>
        <w:lastRenderedPageBreak/>
        <w:t xml:space="preserve">Figure </w:t>
      </w:r>
      <w:r w:rsidR="00531123" w:rsidRPr="00531123">
        <w:rPr>
          <w:lang w:eastAsia="en-AU"/>
        </w:rPr>
        <w:t>29:</w:t>
      </w:r>
      <w:r w:rsidRPr="00531123">
        <w:rPr>
          <w:lang w:eastAsia="en-AU"/>
        </w:rPr>
        <w:t xml:space="preserve"> VPC</w:t>
      </w:r>
      <w:r w:rsidRPr="007D66D9">
        <w:rPr>
          <w:lang w:eastAsia="en-AU"/>
        </w:rPr>
        <w:t xml:space="preserve"> of the final relapse model, stratified by China, Japan or other country*</w:t>
      </w:r>
      <w:bookmarkEnd w:id="168"/>
    </w:p>
    <w:p w14:paraId="5285B1E0" w14:textId="77777777" w:rsidR="007D66D9" w:rsidRPr="007D66D9" w:rsidRDefault="007D66D9" w:rsidP="00D56AB0">
      <w:pPr>
        <w:rPr>
          <w:lang w:eastAsia="en-AU"/>
        </w:rPr>
      </w:pPr>
      <w:r w:rsidRPr="007D66D9">
        <w:rPr>
          <w:noProof/>
          <w:lang w:eastAsia="en-AU"/>
        </w:rPr>
        <w:drawing>
          <wp:inline distT="0" distB="0" distL="0" distR="0" wp14:anchorId="39C62F00" wp14:editId="0305F349">
            <wp:extent cx="5819775" cy="2200275"/>
            <wp:effectExtent l="0" t="0" r="9525" b="9525"/>
            <wp:docPr id="61" name="Picture 61" descr="Figure 29: VPC of the final relapse model, stratified by China, Japan or oth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2075" r="1595" b="2075"/>
                    <a:stretch/>
                  </pic:blipFill>
                  <pic:spPr bwMode="auto">
                    <a:xfrm>
                      <a:off x="0" y="0"/>
                      <a:ext cx="5831257" cy="2204616"/>
                    </a:xfrm>
                    <a:prstGeom prst="rect">
                      <a:avLst/>
                    </a:prstGeom>
                    <a:ln>
                      <a:noFill/>
                    </a:ln>
                    <a:extLst>
                      <a:ext uri="{53640926-AAD7-44D8-BBD7-CCE9431645EC}">
                        <a14:shadowObscured xmlns:a14="http://schemas.microsoft.com/office/drawing/2010/main"/>
                      </a:ext>
                    </a:extLst>
                  </pic:spPr>
                </pic:pic>
              </a:graphicData>
            </a:graphic>
          </wp:inline>
        </w:drawing>
      </w:r>
    </w:p>
    <w:p w14:paraId="6E05BA9C" w14:textId="77777777" w:rsidR="00AB1657" w:rsidRPr="003D0D2F" w:rsidRDefault="00E60DFA" w:rsidP="00D56AB0">
      <w:pPr>
        <w:pStyle w:val="TableDescription"/>
      </w:pPr>
      <w:r w:rsidRPr="003D0D2F">
        <w:t>*</w:t>
      </w:r>
      <w:r w:rsidR="007D66D9" w:rsidRPr="003D0D2F">
        <w:t xml:space="preserve"> </w:t>
      </w:r>
      <w:proofErr w:type="gramStart"/>
      <w:r w:rsidR="007D66D9" w:rsidRPr="003D0D2F">
        <w:t>of</w:t>
      </w:r>
      <w:proofErr w:type="gramEnd"/>
      <w:r w:rsidR="007D66D9" w:rsidRPr="003D0D2F">
        <w:t xml:space="preserve"> the participati</w:t>
      </w:r>
      <w:r w:rsidR="003673F6">
        <w:t>ng</w:t>
      </w:r>
      <w:r w:rsidR="007D66D9" w:rsidRPr="003D0D2F">
        <w:t xml:space="preserve"> centre.</w:t>
      </w:r>
      <w:r w:rsidRPr="003D0D2F">
        <w:t xml:space="preserve"> </w:t>
      </w:r>
      <w:r w:rsidR="007D66D9" w:rsidRPr="003D0D2F">
        <w:t>The solid and dashed blue lines represent the Kaplan–Meier point estimate and 95% confidence interval, based on observed data; the shaded green areas represent the 95% confidence interval of the Kaplan–Meier point estimate, based on 1000 replicate simulations. The vertical solid and dashed grey lines mark dosi</w:t>
      </w:r>
      <w:r w:rsidR="003673F6">
        <w:t>ng</w:t>
      </w:r>
      <w:r w:rsidR="007D66D9" w:rsidRPr="003D0D2F">
        <w:t xml:space="preserve"> times for </w:t>
      </w:r>
      <w:r w:rsidRPr="003D0D2F">
        <w:t xml:space="preserve">PP3M and PP1M, </w:t>
      </w:r>
      <w:r w:rsidR="00F634A2">
        <w:t>respectively.</w:t>
      </w:r>
    </w:p>
    <w:p w14:paraId="6CD4E383" w14:textId="77777777" w:rsidR="007D66D9" w:rsidRPr="00AB1657" w:rsidRDefault="007D66D9" w:rsidP="00AB1657">
      <w:pPr>
        <w:pStyle w:val="Heading3"/>
      </w:pPr>
      <w:bookmarkStart w:id="169" w:name="_Ref269983272"/>
      <w:bookmarkStart w:id="170" w:name="_Toc272414648"/>
      <w:bookmarkStart w:id="171" w:name="_Toc290846270"/>
      <w:bookmarkStart w:id="172" w:name="_Toc290888807"/>
      <w:bookmarkStart w:id="173" w:name="_Toc453054895"/>
      <w:bookmarkStart w:id="174" w:name="_Toc495583941"/>
      <w:bookmarkEnd w:id="148"/>
      <w:bookmarkEnd w:id="149"/>
      <w:bookmarkEnd w:id="150"/>
      <w:bookmarkEnd w:id="151"/>
      <w:r w:rsidRPr="00AB1657">
        <w:t>Evaluator’s overall conclusions on pharmacodynamics</w:t>
      </w:r>
      <w:bookmarkEnd w:id="169"/>
      <w:bookmarkEnd w:id="170"/>
      <w:bookmarkEnd w:id="171"/>
      <w:bookmarkEnd w:id="172"/>
      <w:bookmarkEnd w:id="173"/>
      <w:bookmarkEnd w:id="174"/>
    </w:p>
    <w:p w14:paraId="3E2907B5" w14:textId="77777777" w:rsidR="007D66D9" w:rsidRPr="007D66D9" w:rsidRDefault="007D66D9" w:rsidP="003D0D2F">
      <w:pPr>
        <w:rPr>
          <w:lang w:eastAsia="en-AU"/>
        </w:rPr>
      </w:pPr>
      <w:r w:rsidRPr="007D66D9">
        <w:rPr>
          <w:lang w:eastAsia="en-AU"/>
        </w:rPr>
        <w:t>If one accepts the PopPK results above, then:</w:t>
      </w:r>
    </w:p>
    <w:p w14:paraId="471992FB" w14:textId="77777777" w:rsidR="007D66D9" w:rsidRPr="007D66D9" w:rsidRDefault="007D66D9" w:rsidP="003D0D2F">
      <w:pPr>
        <w:rPr>
          <w:lang w:eastAsia="en-AU"/>
        </w:rPr>
      </w:pPr>
      <w:r w:rsidRPr="007D66D9">
        <w:rPr>
          <w:lang w:eastAsia="en-AU"/>
        </w:rPr>
        <w:t xml:space="preserve">The PopPK/PD analysis of Study 3012 could really only produce a model for the time to relapse which was the primary endpoint of study 3012. The primary endpoint in Study 3012 showed statistical significance only. The </w:t>
      </w:r>
      <w:proofErr w:type="spellStart"/>
      <w:r w:rsidRPr="007D66D9">
        <w:rPr>
          <w:lang w:eastAsia="en-AU"/>
        </w:rPr>
        <w:t>C</w:t>
      </w:r>
      <w:r w:rsidRPr="007D66D9">
        <w:rPr>
          <w:vertAlign w:val="subscript"/>
          <w:lang w:eastAsia="en-AU"/>
        </w:rPr>
        <w:t>trough</w:t>
      </w:r>
      <w:proofErr w:type="spellEnd"/>
      <w:r w:rsidRPr="007D66D9">
        <w:rPr>
          <w:lang w:eastAsia="en-AU"/>
        </w:rPr>
        <w:t xml:space="preserve"> at the DB start and number of hospitalisations affected the model.</w:t>
      </w:r>
    </w:p>
    <w:p w14:paraId="3B287410" w14:textId="77777777" w:rsidR="004A676D" w:rsidRDefault="007D66D9" w:rsidP="003D0D2F">
      <w:pPr>
        <w:rPr>
          <w:lang w:eastAsia="en-AU"/>
        </w:rPr>
      </w:pPr>
      <w:r w:rsidRPr="007D66D9">
        <w:rPr>
          <w:lang w:eastAsia="en-AU"/>
        </w:rPr>
        <w:t>Study 3011 showed non-inferiority of Invega Trinza to Invega Sustenna in the primary efficacy endpoint of the percentage of subjects (per protocol) who had not relapsed a</w:t>
      </w:r>
      <w:r w:rsidR="003D0D2F">
        <w:rPr>
          <w:lang w:eastAsia="en-AU"/>
        </w:rPr>
        <w:t xml:space="preserve">t the end of the 48 week double </w:t>
      </w:r>
      <w:r w:rsidR="003D0D2F" w:rsidRPr="007D66D9">
        <w:rPr>
          <w:lang w:eastAsia="en-AU"/>
        </w:rPr>
        <w:t>blind phase</w:t>
      </w:r>
      <w:r w:rsidRPr="007D66D9">
        <w:rPr>
          <w:lang w:eastAsia="en-AU"/>
        </w:rPr>
        <w:t>. The PopPK/PD analysis of study 3011 did not look at this, rather the model is studied the obverse of what Study 3011 was designed to show with only a (possible) exploratory Objective 4 possibly related. Two risk factors were included in the final model for the baseline hazard of relapse: Patients on concomitant benzodiazepine medication (since last visit) had higher hazard as compared to when not on this concomitant medication; Patients at Japanese centres had higher hazard as compared to pat</w:t>
      </w:r>
      <w:r w:rsidR="00AB1657">
        <w:rPr>
          <w:lang w:eastAsia="en-AU"/>
        </w:rPr>
        <w:t>ients at non-Japanese centres</w:t>
      </w:r>
      <w:r w:rsidR="004A676D">
        <w:rPr>
          <w:lang w:eastAsia="en-AU"/>
        </w:rPr>
        <w:t>.</w:t>
      </w:r>
    </w:p>
    <w:p w14:paraId="19F94B3A" w14:textId="77777777" w:rsidR="00586F98" w:rsidRDefault="00C22678" w:rsidP="00586F98">
      <w:pPr>
        <w:pStyle w:val="Heading2"/>
      </w:pPr>
      <w:bookmarkStart w:id="175" w:name="_Toc495583942"/>
      <w:r>
        <w:t>Dosage selection for the pivotal studies</w:t>
      </w:r>
      <w:bookmarkEnd w:id="175"/>
    </w:p>
    <w:p w14:paraId="0BC7B981" w14:textId="77777777" w:rsidR="000142FD" w:rsidRPr="00AB1657" w:rsidRDefault="007D66D9" w:rsidP="009C7BEE">
      <w:pPr>
        <w:rPr>
          <w:lang w:eastAsia="en-AU"/>
        </w:rPr>
      </w:pPr>
      <w:r w:rsidRPr="007D66D9">
        <w:rPr>
          <w:lang w:eastAsia="en-AU"/>
        </w:rPr>
        <w:t xml:space="preserve">The </w:t>
      </w:r>
      <w:r w:rsidR="0058163A">
        <w:rPr>
          <w:lang w:eastAsia="en-AU"/>
        </w:rPr>
        <w:t>350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dose was the expected equivalent of the commonly prescribed 100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of the </w:t>
      </w:r>
      <w:r w:rsidR="0058163A">
        <w:rPr>
          <w:lang w:eastAsia="en-AU"/>
        </w:rPr>
        <w:t>1 month</w:t>
      </w:r>
      <w:r w:rsidRPr="007D66D9">
        <w:rPr>
          <w:lang w:eastAsia="en-AU"/>
        </w:rPr>
        <w:t xml:space="preserve"> formulation. The </w:t>
      </w:r>
      <w:r w:rsidR="0058163A">
        <w:rPr>
          <w:lang w:eastAsia="en-AU"/>
        </w:rPr>
        <w:t>525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dose was chosen based on the PK and safety results from the preliminary Panel B data and was the planned highest dose to be marketed. The </w:t>
      </w:r>
      <w:r w:rsidR="0058163A">
        <w:rPr>
          <w:lang w:eastAsia="en-AU"/>
        </w:rPr>
        <w:t>175</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F015 dose was planned to be the lowest dose to be marketed, and a similar dose (150</w:t>
      </w:r>
      <w:r w:rsidR="004A676D">
        <w:rPr>
          <w:lang w:eastAsia="en-AU"/>
        </w:rPr>
        <w:t xml:space="preserve"> mg</w:t>
      </w:r>
      <w:r w:rsidRPr="007D66D9">
        <w:rPr>
          <w:lang w:eastAsia="en-AU"/>
        </w:rPr>
        <w:t xml:space="preserve"> </w:t>
      </w:r>
      <w:r w:rsidR="004A676D">
        <w:rPr>
          <w:lang w:eastAsia="en-AU"/>
        </w:rPr>
        <w:t>equivalent</w:t>
      </w:r>
      <w:r w:rsidRPr="007D66D9">
        <w:rPr>
          <w:lang w:eastAsia="en-AU"/>
        </w:rPr>
        <w:t xml:space="preserve">) was previously tested with gluteal </w:t>
      </w:r>
      <w:r w:rsidRPr="009C7BEE">
        <w:rPr>
          <w:lang w:eastAsia="en-AU"/>
        </w:rPr>
        <w:t>injections (Panel B).</w:t>
      </w:r>
    </w:p>
    <w:p w14:paraId="08243DA4" w14:textId="77777777" w:rsidR="00C22678" w:rsidRDefault="00C22678" w:rsidP="00C22678">
      <w:pPr>
        <w:pStyle w:val="Heading2"/>
      </w:pPr>
      <w:bookmarkStart w:id="176" w:name="_Toc495583943"/>
      <w:r>
        <w:lastRenderedPageBreak/>
        <w:t>Clinical efficacy</w:t>
      </w:r>
      <w:bookmarkEnd w:id="176"/>
    </w:p>
    <w:p w14:paraId="715D83C2" w14:textId="755FF83F" w:rsidR="007D66D9" w:rsidRPr="003C0A48" w:rsidRDefault="007D66D9" w:rsidP="007D66D9">
      <w:pPr>
        <w:pStyle w:val="Heading3"/>
      </w:pPr>
      <w:bookmarkStart w:id="177" w:name="_Toc453054898"/>
      <w:bookmarkStart w:id="178" w:name="_Toc495583944"/>
      <w:bookmarkStart w:id="179" w:name="_Ref271199564"/>
      <w:bookmarkStart w:id="180" w:name="_Toc272414651"/>
      <w:bookmarkStart w:id="181" w:name="_Toc290846273"/>
      <w:bookmarkStart w:id="182" w:name="_Toc290888810"/>
      <w:r>
        <w:t xml:space="preserve">Pivotal </w:t>
      </w:r>
      <w:r w:rsidR="00F51B3D">
        <w:t>efficacy studies for 3 monthly dosage following initial once a month dosage</w:t>
      </w:r>
      <w:bookmarkEnd w:id="177"/>
      <w:bookmarkEnd w:id="178"/>
    </w:p>
    <w:p w14:paraId="2B9498BF" w14:textId="77777777" w:rsidR="007D66D9" w:rsidRPr="003C0A48" w:rsidRDefault="007D66D9" w:rsidP="007D66D9">
      <w:pPr>
        <w:pStyle w:val="Heading4"/>
      </w:pPr>
      <w:bookmarkStart w:id="183" w:name="_Ref243301615"/>
      <w:bookmarkStart w:id="184" w:name="_Ref271040927"/>
      <w:bookmarkStart w:id="185" w:name="_Ref271040932"/>
      <w:bookmarkStart w:id="186" w:name="_Toc272414653"/>
      <w:bookmarkStart w:id="187" w:name="_Toc290846275"/>
      <w:bookmarkStart w:id="188" w:name="_Toc290888812"/>
      <w:bookmarkStart w:id="189" w:name="_Toc453054899"/>
      <w:bookmarkEnd w:id="179"/>
      <w:bookmarkEnd w:id="180"/>
      <w:bookmarkEnd w:id="181"/>
      <w:bookmarkEnd w:id="182"/>
      <w:r w:rsidRPr="003C0A48">
        <w:t>S</w:t>
      </w:r>
      <w:r>
        <w:t xml:space="preserve">tudy </w:t>
      </w:r>
      <w:bookmarkEnd w:id="183"/>
      <w:bookmarkEnd w:id="184"/>
      <w:bookmarkEnd w:id="185"/>
      <w:bookmarkEnd w:id="186"/>
      <w:bookmarkEnd w:id="187"/>
      <w:bookmarkEnd w:id="188"/>
      <w:r>
        <w:t>3012</w:t>
      </w:r>
      <w:bookmarkEnd w:id="189"/>
    </w:p>
    <w:p w14:paraId="7EB4A72F" w14:textId="77777777" w:rsidR="007D66D9" w:rsidRPr="003C0A48" w:rsidRDefault="007D66D9" w:rsidP="007D66D9">
      <w:pPr>
        <w:pStyle w:val="Heading5"/>
      </w:pPr>
      <w:r w:rsidRPr="003C0A48">
        <w:t>Study design, objectives, locations and dates</w:t>
      </w:r>
    </w:p>
    <w:p w14:paraId="737EA112" w14:textId="77777777" w:rsidR="007D66D9" w:rsidRPr="007D66D9" w:rsidRDefault="007D66D9" w:rsidP="009C7BEE">
      <w:r w:rsidRPr="007D66D9">
        <w:t xml:space="preserve">This was a randomized, </w:t>
      </w:r>
      <w:r w:rsidR="00E60DFA">
        <w:t>double blind</w:t>
      </w:r>
      <w:r w:rsidRPr="007D66D9">
        <w:t xml:space="preserve">, </w:t>
      </w:r>
      <w:r w:rsidR="00E60DFA">
        <w:t>parallel group</w:t>
      </w:r>
      <w:r w:rsidRPr="007D66D9">
        <w:t xml:space="preserve">, </w:t>
      </w:r>
      <w:r w:rsidR="00E60DFA">
        <w:t>placebo controlled</w:t>
      </w:r>
      <w:r w:rsidRPr="007D66D9">
        <w:t>, multicentre study to determine the efficacy and safety of Invega Trinza in the prevention of relapse of schizophrenia.</w:t>
      </w:r>
    </w:p>
    <w:p w14:paraId="5BF61810" w14:textId="77777777" w:rsidR="007D66D9" w:rsidRPr="007D66D9" w:rsidRDefault="007D66D9" w:rsidP="009C7BEE">
      <w:r w:rsidRPr="007D66D9">
        <w:t>Conducted in multiple centres in Colombia (5 sites), Malaysia (3 sites</w:t>
      </w:r>
      <w:r w:rsidR="00531123">
        <w:t>), Mexico (5 sites), Romania (5 </w:t>
      </w:r>
      <w:r w:rsidRPr="007D66D9">
        <w:t>sites), South Korea (3 sites), Turkey (2 sites), United States (14 sites), Ukraine (27 sites) from 26 April 2012 to 09 April 2014.</w:t>
      </w:r>
    </w:p>
    <w:p w14:paraId="0B0606A4" w14:textId="77777777" w:rsidR="007D66D9" w:rsidRPr="007D66D9" w:rsidRDefault="007D66D9" w:rsidP="009C7BEE">
      <w:r w:rsidRPr="007D66D9">
        <w:t>The study consists of 4 phases: a Screeni</w:t>
      </w:r>
      <w:r w:rsidR="003673F6">
        <w:t>ng</w:t>
      </w:r>
      <w:r w:rsidRPr="007D66D9">
        <w:t xml:space="preserve"> Phase (up to 3 weeks); a </w:t>
      </w:r>
      <w:r w:rsidR="00E60DFA">
        <w:t>17 week</w:t>
      </w:r>
      <w:r w:rsidRPr="007D66D9">
        <w:t xml:space="preserve"> flexible dose </w:t>
      </w:r>
      <w:r w:rsidR="004A676D">
        <w:t>open label</w:t>
      </w:r>
      <w:r w:rsidRPr="007D66D9">
        <w:t xml:space="preserve"> Transition Phase; a </w:t>
      </w:r>
      <w:r w:rsidR="00E60DFA">
        <w:t xml:space="preserve">12 week </w:t>
      </w:r>
      <w:r w:rsidRPr="007D66D9">
        <w:t xml:space="preserve">fixed dose </w:t>
      </w:r>
      <w:r w:rsidR="004A676D">
        <w:t>open label</w:t>
      </w:r>
      <w:r w:rsidRPr="007D66D9">
        <w:t xml:space="preserve"> Maintenance Phase; and a randomized, </w:t>
      </w:r>
      <w:r w:rsidR="00E60DFA">
        <w:t>double blind</w:t>
      </w:r>
      <w:r w:rsidRPr="007D66D9">
        <w:t xml:space="preserve">, fixed dose, </w:t>
      </w:r>
      <w:r w:rsidR="00E60DFA">
        <w:t>placebo controlled</w:t>
      </w:r>
      <w:r w:rsidRPr="007D66D9">
        <w:t xml:space="preserve"> relapse prevention phase duri</w:t>
      </w:r>
      <w:r w:rsidR="003673F6">
        <w:t>ng</w:t>
      </w:r>
      <w:r w:rsidRPr="007D66D9">
        <w:t xml:space="preserve"> which subjects were rando</w:t>
      </w:r>
      <w:r w:rsidR="00E60DFA">
        <w:t>ml</w:t>
      </w:r>
      <w:r w:rsidRPr="007D66D9">
        <w:t>y assigned, in a 1:1 ratio, to receive either a fixed dose of Invega Trinza or placebo. T</w:t>
      </w:r>
      <w:r w:rsidR="009C7BEE">
        <w:t xml:space="preserve">he double </w:t>
      </w:r>
      <w:r w:rsidR="009C7BEE" w:rsidRPr="007D66D9">
        <w:t xml:space="preserve">blind phase </w:t>
      </w:r>
      <w:r w:rsidRPr="007D66D9">
        <w:t>was of variable duration; subjects could remain in the study for as lo</w:t>
      </w:r>
      <w:r w:rsidR="003673F6">
        <w:t>ng</w:t>
      </w:r>
      <w:r w:rsidRPr="007D66D9">
        <w:t xml:space="preserve"> as they were clinically stable.</w:t>
      </w:r>
    </w:p>
    <w:p w14:paraId="0139797B" w14:textId="77777777" w:rsidR="004A676D" w:rsidRDefault="007D66D9" w:rsidP="009C7BEE">
      <w:r w:rsidRPr="007D66D9">
        <w:t>The randomized withdrawal of treatment after symptom stabilization with Invega Sustenna and continuation with Invega Trinza was to see if a difference in the course of the disease occurred</w:t>
      </w:r>
      <w:r w:rsidR="004A676D">
        <w:t>.</w:t>
      </w:r>
    </w:p>
    <w:p w14:paraId="14F60421" w14:textId="77777777" w:rsidR="004A676D" w:rsidRDefault="007D66D9" w:rsidP="009C7BEE">
      <w:r w:rsidRPr="007D66D9">
        <w:t xml:space="preserve">An interim analysis was planned when 42 relapse events occurred in the </w:t>
      </w:r>
      <w:r w:rsidR="009C7BEE">
        <w:t>Double blind Phase</w:t>
      </w:r>
      <w:r w:rsidRPr="007D66D9">
        <w:t>. Otherwise the study was to continue until a total of 70 relapse events were obtained, at which time the study would be terminated and a final analysis performed</w:t>
      </w:r>
      <w:r w:rsidR="004A676D">
        <w:t>.</w:t>
      </w:r>
    </w:p>
    <w:p w14:paraId="3D09326B" w14:textId="77777777" w:rsidR="007D66D9" w:rsidRPr="007D66D9" w:rsidRDefault="007D66D9" w:rsidP="009C7BEE">
      <w:r w:rsidRPr="007D66D9">
        <w:t xml:space="preserve">There were 3 protocol amendments after </w:t>
      </w:r>
      <w:r w:rsidRPr="009C7BEE">
        <w:t>the study started:</w:t>
      </w:r>
      <w:r w:rsidRPr="009C7BEE">
        <w:rPr>
          <w:rStyle w:val="FootnoteReference"/>
        </w:rPr>
        <w:footnoteReference w:id="21"/>
      </w:r>
      <w:r w:rsidRPr="009C7BEE">
        <w:t xml:space="preserve"> Amendment</w:t>
      </w:r>
      <w:r w:rsidRPr="007D66D9">
        <w:t xml:space="preserve"> INT-2 2 July 2012, Amendment INT-3 13 May 2013, </w:t>
      </w:r>
      <w:r w:rsidR="009C7BEE" w:rsidRPr="007D66D9">
        <w:t>and Amendment</w:t>
      </w:r>
      <w:r w:rsidRPr="007D66D9">
        <w:t xml:space="preserve"> INT-4 25 July 2013. The first 2 were considered substantial with the first increasi</w:t>
      </w:r>
      <w:r w:rsidR="003673F6">
        <w:t>ng</w:t>
      </w:r>
      <w:r w:rsidRPr="007D66D9">
        <w:t xml:space="preserve"> the percentage of relapse events from 50% to 60% (</w:t>
      </w:r>
      <w:r w:rsidR="00785F6E">
        <w:t>that is</w:t>
      </w:r>
      <w:r w:rsidRPr="007D66D9">
        <w:t>, from 35 to 42 relapse events) of the projected target with a critical p value of 0.0101 at the Interim Analysis.</w:t>
      </w:r>
    </w:p>
    <w:p w14:paraId="24DFFC57" w14:textId="77777777" w:rsidR="007D66D9" w:rsidRPr="007D66D9" w:rsidRDefault="007D66D9" w:rsidP="009C7BEE">
      <w:r w:rsidRPr="007D66D9">
        <w:t xml:space="preserve">The </w:t>
      </w:r>
      <w:r w:rsidRPr="00AB1657">
        <w:t>primary objective</w:t>
      </w:r>
      <w:r w:rsidRPr="007D66D9">
        <w:t xml:space="preserve"> of this study was to evaluate the efficacy of paliperidone palmitate </w:t>
      </w:r>
      <w:r w:rsidR="0058163A">
        <w:t>3 Month</w:t>
      </w:r>
      <w:r w:rsidRPr="007D66D9">
        <w:t xml:space="preserve"> formulation (Invega Trinza) compared with placebo in delayi</w:t>
      </w:r>
      <w:r w:rsidR="003673F6">
        <w:t>ng</w:t>
      </w:r>
      <w:r w:rsidRPr="007D66D9">
        <w:t xml:space="preserve"> the time to first occurrence of relapse of the symptoms of schizophrenia.</w:t>
      </w:r>
    </w:p>
    <w:p w14:paraId="3FE06016" w14:textId="77777777" w:rsidR="007D66D9" w:rsidRPr="007D66D9" w:rsidRDefault="007D66D9" w:rsidP="009C7BEE">
      <w:r w:rsidRPr="00AB1657">
        <w:t>The secondary objectives</w:t>
      </w:r>
      <w:r w:rsidRPr="007D66D9">
        <w:t xml:space="preserve"> of the study were to:</w:t>
      </w:r>
    </w:p>
    <w:p w14:paraId="1DD2F49A" w14:textId="77777777" w:rsidR="007D66D9" w:rsidRPr="007D66D9" w:rsidRDefault="007D66D9" w:rsidP="009C7BEE">
      <w:pPr>
        <w:pStyle w:val="Numberbullet0"/>
        <w:numPr>
          <w:ilvl w:val="0"/>
          <w:numId w:val="46"/>
        </w:numPr>
      </w:pPr>
      <w:r w:rsidRPr="007D66D9">
        <w:t>Evaluate the improvement in the symptoms of schizophrenia as measured by the Positive and Negative Syndrome Scale (PANSS) associated with the use of Invega Trinza compared with placebo.</w:t>
      </w:r>
    </w:p>
    <w:p w14:paraId="40FE6BCC" w14:textId="77777777" w:rsidR="007D66D9" w:rsidRPr="007D66D9" w:rsidRDefault="007D66D9" w:rsidP="009C7BEE">
      <w:pPr>
        <w:pStyle w:val="Numberbullet0"/>
        <w:numPr>
          <w:ilvl w:val="0"/>
          <w:numId w:val="46"/>
        </w:numPr>
      </w:pPr>
      <w:r w:rsidRPr="007D66D9">
        <w:t>Assess the cha</w:t>
      </w:r>
      <w:r w:rsidR="003673F6">
        <w:t>ng</w:t>
      </w:r>
      <w:r w:rsidRPr="007D66D9">
        <w:t>e in the severity of illness associated with the use of Invega Trinza as measured by the cha</w:t>
      </w:r>
      <w:r w:rsidR="003673F6">
        <w:t>ng</w:t>
      </w:r>
      <w:r w:rsidR="009C7BEE">
        <w:t xml:space="preserve">e in Clinical Global Impression </w:t>
      </w:r>
      <w:r w:rsidRPr="007D66D9">
        <w:t>Severity (CGI-S)</w:t>
      </w:r>
      <w:r w:rsidR="00531123">
        <w:rPr>
          <w:rStyle w:val="FootnoteReference"/>
        </w:rPr>
        <w:footnoteReference w:id="22"/>
      </w:r>
      <w:r w:rsidRPr="007D66D9">
        <w:t xml:space="preserve"> scale compared with placebo.</w:t>
      </w:r>
    </w:p>
    <w:p w14:paraId="7B7A3F42" w14:textId="77777777" w:rsidR="007D66D9" w:rsidRPr="007D66D9" w:rsidRDefault="007D66D9" w:rsidP="009C7BEE">
      <w:pPr>
        <w:pStyle w:val="Numberbullet0"/>
        <w:numPr>
          <w:ilvl w:val="0"/>
          <w:numId w:val="46"/>
        </w:numPr>
      </w:pPr>
      <w:r w:rsidRPr="007D66D9">
        <w:t>Assess the cha</w:t>
      </w:r>
      <w:r w:rsidR="003673F6">
        <w:t>ng</w:t>
      </w:r>
      <w:r w:rsidRPr="007D66D9">
        <w:t>e in functional status with the use of Invega Trinza as measured by the cha</w:t>
      </w:r>
      <w:r w:rsidR="003673F6">
        <w:t>ng</w:t>
      </w:r>
      <w:r w:rsidRPr="007D66D9">
        <w:t>e in Personal and Social Performance (PSP)</w:t>
      </w:r>
      <w:r w:rsidR="00531123">
        <w:rPr>
          <w:rStyle w:val="FootnoteReference"/>
        </w:rPr>
        <w:footnoteReference w:id="23"/>
      </w:r>
      <w:r w:rsidRPr="007D66D9">
        <w:t xml:space="preserve"> scale compared to placebo.</w:t>
      </w:r>
    </w:p>
    <w:p w14:paraId="1BD9B220" w14:textId="77777777" w:rsidR="007D66D9" w:rsidRPr="007D66D9" w:rsidRDefault="007D66D9" w:rsidP="009C7BEE">
      <w:pPr>
        <w:pStyle w:val="Numberbullet0"/>
        <w:numPr>
          <w:ilvl w:val="0"/>
          <w:numId w:val="46"/>
        </w:numPr>
      </w:pPr>
      <w:r w:rsidRPr="007D66D9">
        <w:lastRenderedPageBreak/>
        <w:t>Assess the safety and tolerability of Invega Trinza compared to placebo.</w:t>
      </w:r>
    </w:p>
    <w:p w14:paraId="099345E0" w14:textId="77777777" w:rsidR="007D66D9" w:rsidRPr="007D66D9" w:rsidRDefault="007D66D9" w:rsidP="009C7BEE">
      <w:pPr>
        <w:pStyle w:val="Numberbullet0"/>
        <w:numPr>
          <w:ilvl w:val="0"/>
          <w:numId w:val="46"/>
        </w:numPr>
      </w:pPr>
      <w:r w:rsidRPr="007D66D9">
        <w:t>Assess the pharmacokinetics (PK) of Invega Trinza includi</w:t>
      </w:r>
      <w:r w:rsidR="003673F6">
        <w:t>ng</w:t>
      </w:r>
      <w:r w:rsidRPr="007D66D9">
        <w:t xml:space="preserve"> its relationship with demographic and dose related variables.</w:t>
      </w:r>
    </w:p>
    <w:p w14:paraId="71EC6A74" w14:textId="77777777" w:rsidR="007D66D9" w:rsidRPr="007D66D9" w:rsidRDefault="007D66D9" w:rsidP="009C7BEE">
      <w:pPr>
        <w:rPr>
          <w:b/>
        </w:rPr>
      </w:pPr>
      <w:r w:rsidRPr="007D66D9">
        <w:t xml:space="preserve">There were 7 </w:t>
      </w:r>
      <w:r w:rsidR="00531123" w:rsidRPr="00AB1657">
        <w:t>exploratory objectives</w:t>
      </w:r>
      <w:r w:rsidRPr="00AB1657">
        <w:t>.</w:t>
      </w:r>
    </w:p>
    <w:p w14:paraId="15BCDA4E" w14:textId="77777777" w:rsidR="007D66D9" w:rsidRDefault="007D66D9" w:rsidP="00C04372">
      <w:pPr>
        <w:pStyle w:val="Heading5"/>
      </w:pPr>
      <w:r w:rsidRPr="004B259C">
        <w:t>Inclusion</w:t>
      </w:r>
      <w:r>
        <w:t xml:space="preserve"> </w:t>
      </w:r>
      <w:r w:rsidRPr="004B259C">
        <w:t>criteria</w:t>
      </w:r>
    </w:p>
    <w:p w14:paraId="090FA70D" w14:textId="77777777" w:rsidR="007D66D9" w:rsidRPr="007D66D9" w:rsidRDefault="007D66D9" w:rsidP="009C7BEE">
      <w:pPr>
        <w:pStyle w:val="ListBullet"/>
      </w:pPr>
      <w:r w:rsidRPr="007D66D9">
        <w:t>A valid reason to discontinue current antipsychotic therapy (includi</w:t>
      </w:r>
      <w:r w:rsidR="003673F6">
        <w:t>ng</w:t>
      </w:r>
      <w:r w:rsidRPr="007D66D9">
        <w:t xml:space="preserve"> insufficient efficacy with current therapy, safety or tolerability issues, or subject preference for injectable medications).</w:t>
      </w:r>
    </w:p>
    <w:p w14:paraId="3888407D" w14:textId="77777777" w:rsidR="007D66D9" w:rsidRPr="007D66D9" w:rsidRDefault="007D66D9" w:rsidP="009C7BEE">
      <w:pPr>
        <w:pStyle w:val="ListBullet"/>
      </w:pPr>
      <w:r w:rsidRPr="007D66D9">
        <w:t>Subjects who were taki</w:t>
      </w:r>
      <w:r w:rsidR="003673F6">
        <w:t>ng</w:t>
      </w:r>
      <w:r w:rsidRPr="007D66D9">
        <w:t xml:space="preserve"> another lo</w:t>
      </w:r>
      <w:r w:rsidR="003673F6">
        <w:t>ng</w:t>
      </w:r>
      <w:r w:rsidRPr="007D66D9">
        <w:t>-acti</w:t>
      </w:r>
      <w:r w:rsidR="003673F6">
        <w:t>ng</w:t>
      </w:r>
      <w:r w:rsidRPr="007D66D9">
        <w:t xml:space="preserve"> injectable antipsychotic (includi</w:t>
      </w:r>
      <w:r w:rsidR="003673F6">
        <w:t>ng</w:t>
      </w:r>
      <w:r w:rsidRPr="007D66D9">
        <w:t xml:space="preserve"> </w:t>
      </w:r>
      <w:proofErr w:type="spellStart"/>
      <w:r w:rsidRPr="007D66D9">
        <w:t>Invega</w:t>
      </w:r>
      <w:proofErr w:type="spellEnd"/>
      <w:r w:rsidRPr="007D66D9">
        <w:t xml:space="preserve"> </w:t>
      </w:r>
      <w:proofErr w:type="spellStart"/>
      <w:r w:rsidRPr="007D66D9">
        <w:t>Sustenna</w:t>
      </w:r>
      <w:proofErr w:type="spellEnd"/>
      <w:r w:rsidRPr="007D66D9">
        <w:t xml:space="preserve"> or Risperdal </w:t>
      </w:r>
      <w:proofErr w:type="spellStart"/>
      <w:r w:rsidRPr="007D66D9">
        <w:t>Consta</w:t>
      </w:r>
      <w:proofErr w:type="spellEnd"/>
      <w:r w:rsidRPr="007D66D9">
        <w:t>) prior to study entry had to be symptomatically stable.</w:t>
      </w:r>
    </w:p>
    <w:p w14:paraId="5E1EE00A" w14:textId="77777777" w:rsidR="007D66D9" w:rsidRPr="007D66D9" w:rsidRDefault="009C7BEE" w:rsidP="009C7BEE">
      <w:r>
        <w:t xml:space="preserve">To enter the Double </w:t>
      </w:r>
      <w:r w:rsidR="007D66D9" w:rsidRPr="007D66D9">
        <w:t>blin</w:t>
      </w:r>
      <w:r>
        <w:t>d Phase s</w:t>
      </w:r>
      <w:r w:rsidR="007D66D9" w:rsidRPr="007D66D9">
        <w:t>ubjects must at Visits 9, 10, and 11 (Weeks 21 through 29) have:</w:t>
      </w:r>
    </w:p>
    <w:p w14:paraId="6185B74C" w14:textId="77777777" w:rsidR="007D66D9" w:rsidRPr="007D66D9" w:rsidRDefault="007D66D9" w:rsidP="009C7BEE">
      <w:pPr>
        <w:pStyle w:val="ListBullet"/>
      </w:pPr>
      <w:r w:rsidRPr="007D66D9">
        <w:t>A score of</w:t>
      </w:r>
      <w:r w:rsidR="004A21B5">
        <w:t xml:space="preserve"> &lt; 70 in the PANSS total score</w:t>
      </w:r>
    </w:p>
    <w:p w14:paraId="61D5CC61" w14:textId="77777777" w:rsidR="007D66D9" w:rsidRPr="007D66D9" w:rsidRDefault="007D66D9" w:rsidP="009C7BEE">
      <w:pPr>
        <w:pStyle w:val="ListBullet"/>
      </w:pPr>
      <w:r w:rsidRPr="007D66D9">
        <w:t>Scores of ≤ 4 for PANSS items P1 (delusions), P2 (</w:t>
      </w:r>
      <w:r w:rsidR="009C7BEE">
        <w:t>conceptual disorganization), P3 </w:t>
      </w:r>
      <w:r w:rsidRPr="007D66D9">
        <w:t>(hallucinatory behaviour), P6 suspiciousness/persecution)</w:t>
      </w:r>
      <w:r w:rsidR="009C7BEE">
        <w:t>, P7 (hostility), G8 </w:t>
      </w:r>
      <w:r w:rsidRPr="007D66D9">
        <w:t>(uncooperativeness) and G14 (poor impulse control).</w:t>
      </w:r>
    </w:p>
    <w:p w14:paraId="620E830C" w14:textId="77777777" w:rsidR="007D66D9" w:rsidRPr="004B259C" w:rsidRDefault="004A21B5" w:rsidP="00C04372">
      <w:pPr>
        <w:pStyle w:val="Heading5"/>
      </w:pPr>
      <w:r>
        <w:t>Exclusion c</w:t>
      </w:r>
      <w:r w:rsidR="007D66D9" w:rsidRPr="004B259C">
        <w:t>riteria</w:t>
      </w:r>
    </w:p>
    <w:p w14:paraId="61C64D15" w14:textId="77777777" w:rsidR="007D66D9" w:rsidRPr="007D66D9" w:rsidRDefault="007D66D9" w:rsidP="009C7BEE">
      <w:pPr>
        <w:pStyle w:val="ListBullet"/>
      </w:pPr>
      <w:r w:rsidRPr="007D66D9">
        <w:t>A primary, active DSM-IV-TR Axis I diagnosis other than schizophrenia.</w:t>
      </w:r>
    </w:p>
    <w:p w14:paraId="0F8803C9" w14:textId="77777777" w:rsidR="007D66D9" w:rsidRPr="007D66D9" w:rsidRDefault="007D66D9" w:rsidP="009C7BEE">
      <w:pPr>
        <w:pStyle w:val="ListBullet"/>
      </w:pPr>
      <w:r w:rsidRPr="007D66D9">
        <w:t>Active substance dependence within 6 months before screeni</w:t>
      </w:r>
      <w:r w:rsidR="003673F6">
        <w:t>ng</w:t>
      </w:r>
      <w:r w:rsidRPr="007D66D9">
        <w:t>.</w:t>
      </w:r>
    </w:p>
    <w:p w14:paraId="7005F1BC" w14:textId="77777777" w:rsidR="007D66D9" w:rsidRPr="007D66D9" w:rsidRDefault="007D66D9" w:rsidP="009C7BEE">
      <w:pPr>
        <w:pStyle w:val="ListBullet"/>
      </w:pPr>
      <w:r w:rsidRPr="007D66D9">
        <w:t>Attempted suicide within 12 months before screeni</w:t>
      </w:r>
      <w:r w:rsidR="003673F6">
        <w:t>ng</w:t>
      </w:r>
      <w:r w:rsidRPr="007D66D9">
        <w:t xml:space="preserve"> or were at imminent risk of suicide or violent behaviour.</w:t>
      </w:r>
    </w:p>
    <w:p w14:paraId="2F17B096" w14:textId="77777777" w:rsidR="007D66D9" w:rsidRPr="007D66D9" w:rsidRDefault="007D66D9" w:rsidP="009C7BEE">
      <w:pPr>
        <w:pStyle w:val="ListBullet"/>
      </w:pPr>
      <w:r w:rsidRPr="007D66D9">
        <w:t>Relevant history or current presence of any significant or unstable cardiovascular, respiratory, neurological, renal, hepatic, hematologic, endocrine, morbid obesity (BMI &gt; 40</w:t>
      </w:r>
      <w:r w:rsidR="00EA7B92">
        <w:t xml:space="preserve"> kg</w:t>
      </w:r>
      <w:r w:rsidRPr="007D66D9">
        <w:t>/</w:t>
      </w:r>
      <w:r w:rsidR="009C7BEE">
        <w:t>m</w:t>
      </w:r>
      <w:r w:rsidRPr="007D66D9">
        <w:rPr>
          <w:vertAlign w:val="superscript"/>
        </w:rPr>
        <w:t>2</w:t>
      </w:r>
      <w:r w:rsidRPr="007D66D9">
        <w:t xml:space="preserve">), immunologic or other systemic disease, </w:t>
      </w:r>
      <w:proofErr w:type="spellStart"/>
      <w:r w:rsidRPr="007D66D9">
        <w:t>encephalopathic</w:t>
      </w:r>
      <w:proofErr w:type="spellEnd"/>
      <w:r w:rsidRPr="007D66D9">
        <w:t xml:space="preserve"> syndrome, mental retardation, risk factors for prolo</w:t>
      </w:r>
      <w:r w:rsidR="003673F6">
        <w:t>ng</w:t>
      </w:r>
      <w:r w:rsidRPr="007D66D9">
        <w:t>ed QT interval, torsade de pointes or sudden cardiac death.</w:t>
      </w:r>
    </w:p>
    <w:p w14:paraId="3ADE2490" w14:textId="77777777" w:rsidR="007D66D9" w:rsidRPr="004B259C" w:rsidRDefault="007D66D9" w:rsidP="00C04372">
      <w:pPr>
        <w:pStyle w:val="Heading5"/>
      </w:pPr>
      <w:r w:rsidRPr="004B259C">
        <w:t>Study treatments</w:t>
      </w:r>
    </w:p>
    <w:p w14:paraId="772D7962" w14:textId="77777777" w:rsidR="007D66D9" w:rsidRPr="007D66D9" w:rsidRDefault="007D66D9" w:rsidP="009C7BEE">
      <w:r w:rsidRPr="007D66D9">
        <w:t>On entry to the study:</w:t>
      </w:r>
    </w:p>
    <w:p w14:paraId="269692F9" w14:textId="77777777" w:rsidR="007D66D9" w:rsidRPr="007D66D9" w:rsidRDefault="007D66D9" w:rsidP="009C7BEE">
      <w:pPr>
        <w:pStyle w:val="ListBullet"/>
      </w:pPr>
      <w:r w:rsidRPr="007D66D9">
        <w:t>Subjects without documented exposure to oral or injectable risperidone or paliperidone. An oral tolerability test was conducted with Paliperidone ER 6</w:t>
      </w:r>
      <w:r w:rsidR="004A676D">
        <w:t xml:space="preserve"> mg</w:t>
      </w:r>
      <w:r w:rsidRPr="007D66D9">
        <w:t xml:space="preserve"> tablets were administered for 4 to 6 consecutive days duri</w:t>
      </w:r>
      <w:r w:rsidR="003673F6">
        <w:t>ng</w:t>
      </w:r>
      <w:r w:rsidRPr="007D66D9">
        <w:t xml:space="preserve"> the Screeni</w:t>
      </w:r>
      <w:r w:rsidR="003673F6">
        <w:t>ng</w:t>
      </w:r>
      <w:r w:rsidRPr="007D66D9">
        <w:t xml:space="preserve"> Phase (the last dose to be taken by Day -1).</w:t>
      </w:r>
    </w:p>
    <w:p w14:paraId="7991235C" w14:textId="77777777" w:rsidR="007D66D9" w:rsidRPr="007D66D9" w:rsidRDefault="007D66D9" w:rsidP="009C7BEE">
      <w:pPr>
        <w:pStyle w:val="ListBullet"/>
      </w:pPr>
      <w:r w:rsidRPr="007D66D9">
        <w:t>Subjects Who Received Other Depot Antipsychotics Prior to Study Entry - the approach varied dependi</w:t>
      </w:r>
      <w:r w:rsidR="003673F6">
        <w:t>ng</w:t>
      </w:r>
      <w:r w:rsidRPr="007D66D9">
        <w:t xml:space="preserve"> on the medication.</w:t>
      </w:r>
    </w:p>
    <w:p w14:paraId="50067682" w14:textId="77777777" w:rsidR="007D66D9" w:rsidRPr="007D66D9" w:rsidRDefault="007D66D9" w:rsidP="009C7BEE">
      <w:r w:rsidRPr="007D66D9">
        <w:t>Duri</w:t>
      </w:r>
      <w:r w:rsidR="003673F6">
        <w:t>ng</w:t>
      </w:r>
      <w:r w:rsidRPr="007D66D9">
        <w:t xml:space="preserve"> the </w:t>
      </w:r>
      <w:r w:rsidRPr="00AB1657">
        <w:t>Transition Phase</w:t>
      </w:r>
      <w:r w:rsidRPr="007D66D9">
        <w:t>, all subjects received Invega Sustenna injections. All subjects who were not switchi</w:t>
      </w:r>
      <w:r w:rsidR="003673F6">
        <w:t>ng</w:t>
      </w:r>
      <w:r w:rsidRPr="007D66D9">
        <w:t xml:space="preserve"> from other depot antipsychotics received the first injection of 150</w:t>
      </w:r>
      <w:r w:rsidR="004A676D">
        <w:t xml:space="preserve"> mg</w:t>
      </w:r>
      <w:r w:rsidRPr="007D66D9">
        <w:t xml:space="preserve"> </w:t>
      </w:r>
      <w:r w:rsidR="004A676D">
        <w:t>equivalent</w:t>
      </w:r>
      <w:r w:rsidRPr="007D66D9">
        <w:t xml:space="preserve"> on Day 1 and the second injection of 100</w:t>
      </w:r>
      <w:r w:rsidR="004A676D">
        <w:t xml:space="preserve"> mg</w:t>
      </w:r>
      <w:r w:rsidRPr="007D66D9">
        <w:t xml:space="preserve"> </w:t>
      </w:r>
      <w:r w:rsidR="004A676D">
        <w:t>equivalent</w:t>
      </w:r>
      <w:r w:rsidRPr="007D66D9">
        <w:t xml:space="preserve"> on Day 8, both in the deltoid muscle.</w:t>
      </w:r>
    </w:p>
    <w:p w14:paraId="22FD3D42" w14:textId="77777777" w:rsidR="007D66D9" w:rsidRPr="007D66D9" w:rsidRDefault="007D66D9" w:rsidP="009C7BEE">
      <w:r w:rsidRPr="007D66D9">
        <w:t>Subjects could be flexibly dosed on Days 36 and 64 with doses of 50, 75, 100, or 150</w:t>
      </w:r>
      <w:r w:rsidR="004A676D">
        <w:t xml:space="preserve"> mg</w:t>
      </w:r>
      <w:r w:rsidRPr="007D66D9">
        <w:t xml:space="preserve"> </w:t>
      </w:r>
      <w:r w:rsidR="004A676D">
        <w:t>equivalent</w:t>
      </w:r>
      <w:r w:rsidRPr="007D66D9">
        <w:t xml:space="preserve"> On Day 92, subjects received the same dose of Invega Sustenna administered on Day 64. The choice of the dose to be administered on Days 36 and 64 was based on the severity of the subject’s symptoms, safety and tolerability issues, and knowledge of previous dose levels of antipsychotic medication needed to keep symptoms under control. After injection of Invega Sustenna in the </w:t>
      </w:r>
      <w:r w:rsidRPr="007D66D9">
        <w:lastRenderedPageBreak/>
        <w:t>deltoid on Days 1 and 8, subsequent doses could be administered in either the deltoid or gluteal muscle.</w:t>
      </w:r>
    </w:p>
    <w:p w14:paraId="6823D342" w14:textId="77777777" w:rsidR="007D66D9" w:rsidRPr="007D66D9" w:rsidRDefault="007D66D9" w:rsidP="009C7BEE">
      <w:r w:rsidRPr="007D66D9">
        <w:t xml:space="preserve">At the start of the </w:t>
      </w:r>
      <w:r w:rsidR="00E60DFA">
        <w:t xml:space="preserve">12 week </w:t>
      </w:r>
      <w:r w:rsidRPr="00AB1657">
        <w:t>Maintenance Phase</w:t>
      </w:r>
      <w:r w:rsidRPr="007D66D9">
        <w:rPr>
          <w:b/>
        </w:rPr>
        <w:t xml:space="preserve"> </w:t>
      </w:r>
      <w:r w:rsidRPr="007D66D9">
        <w:t>(on Day 120), subjects received a si</w:t>
      </w:r>
      <w:r w:rsidR="003673F6">
        <w:t>ng</w:t>
      </w:r>
      <w:r w:rsidRPr="007D66D9">
        <w:t xml:space="preserve">le dose of Invega Trinza (into the deltoid or gluteal muscles) that was a </w:t>
      </w:r>
      <w:r w:rsidR="0058163A">
        <w:t>3.5 fold</w:t>
      </w:r>
      <w:r w:rsidRPr="007D66D9">
        <w:t xml:space="preserve"> multiple of the final Invega Sustenna dose administered on Day 92 (in the Transition Phase).</w:t>
      </w:r>
    </w:p>
    <w:p w14:paraId="416C735A" w14:textId="77777777" w:rsidR="007D66D9" w:rsidRPr="007D66D9" w:rsidRDefault="007D66D9" w:rsidP="009C7BEE">
      <w:r w:rsidRPr="007D66D9">
        <w:t>Duri</w:t>
      </w:r>
      <w:r w:rsidR="003673F6">
        <w:t>ng</w:t>
      </w:r>
      <w:r w:rsidRPr="007D66D9">
        <w:t xml:space="preserve"> the </w:t>
      </w:r>
      <w:r w:rsidR="009C7BEE">
        <w:t>Double blind Phase</w:t>
      </w:r>
      <w:r w:rsidRPr="007D66D9">
        <w:t xml:space="preserve">, subjects received </w:t>
      </w:r>
      <w:r w:rsidR="009C7BEE">
        <w:t>fixed dose</w:t>
      </w:r>
      <w:r w:rsidRPr="007D66D9">
        <w:t xml:space="preserve"> injections of either Invega Trinza (175, 263, 350, or </w:t>
      </w:r>
      <w:r w:rsidR="0058163A">
        <w:t>525</w:t>
      </w:r>
      <w:r w:rsidR="004A676D">
        <w:t xml:space="preserve"> mg</w:t>
      </w:r>
      <w:r w:rsidRPr="007D66D9">
        <w:t xml:space="preserve"> </w:t>
      </w:r>
      <w:r w:rsidR="004A676D">
        <w:t>equivalent</w:t>
      </w:r>
      <w:r w:rsidRPr="007D66D9">
        <w:t xml:space="preserve">) or placebo (20% </w:t>
      </w:r>
      <w:proofErr w:type="spellStart"/>
      <w:r w:rsidRPr="007D66D9">
        <w:t>Intralipid</w:t>
      </w:r>
      <w:proofErr w:type="spellEnd"/>
      <w:r w:rsidRPr="007D66D9">
        <w:t xml:space="preserve"> solution) every 12 weeks into </w:t>
      </w:r>
      <w:r w:rsidR="004A21B5" w:rsidRPr="007D66D9">
        <w:t>either the deltoid or gluteal muscles alternati</w:t>
      </w:r>
      <w:r w:rsidR="004A21B5">
        <w:t>ng</w:t>
      </w:r>
      <w:r w:rsidR="004A21B5" w:rsidRPr="007D66D9">
        <w:t xml:space="preserve"> between left or</w:t>
      </w:r>
      <w:r w:rsidRPr="007D66D9">
        <w:t xml:space="preserve"> right sides. Subjects assigned to Invega Trinza treatment received the same dose of study agent that was administered on Day 120 of the Maintenance Phase. Cha</w:t>
      </w:r>
      <w:r w:rsidR="003673F6">
        <w:t>ng</w:t>
      </w:r>
      <w:r w:rsidRPr="007D66D9">
        <w:t>i</w:t>
      </w:r>
      <w:r w:rsidR="003673F6">
        <w:t>ng</w:t>
      </w:r>
      <w:r w:rsidRPr="007D66D9">
        <w:t xml:space="preserve"> of the dose or supplementation with oral antipsychotics was not allowed. The location of the injection site (deltoid versus gluteal) could be cha</w:t>
      </w:r>
      <w:r w:rsidR="003673F6">
        <w:t>ng</w:t>
      </w:r>
      <w:r w:rsidRPr="007D66D9">
        <w:t>ed at the investigator’s discretion, if needed, to mitigate local tolerability concerns.</w:t>
      </w:r>
    </w:p>
    <w:p w14:paraId="78921E81" w14:textId="77777777" w:rsidR="007D66D9" w:rsidRPr="004B259C" w:rsidRDefault="007D66D9" w:rsidP="00C04372">
      <w:pPr>
        <w:pStyle w:val="Heading5"/>
      </w:pPr>
      <w:r w:rsidRPr="004B259C">
        <w:t>Efficacy variables and outcomes</w:t>
      </w:r>
    </w:p>
    <w:p w14:paraId="18A940C3" w14:textId="77777777" w:rsidR="004A676D" w:rsidRDefault="007D66D9" w:rsidP="009C7BEE">
      <w:r w:rsidRPr="007D66D9">
        <w:t xml:space="preserve">The </w:t>
      </w:r>
      <w:r w:rsidRPr="00AB1657">
        <w:t>primary efficacy end point</w:t>
      </w:r>
      <w:r w:rsidRPr="007D66D9">
        <w:rPr>
          <w:b/>
        </w:rPr>
        <w:t xml:space="preserve"> </w:t>
      </w:r>
      <w:r w:rsidRPr="007D66D9">
        <w:t xml:space="preserve">was the time from randomization to first relapse event in the </w:t>
      </w:r>
      <w:r w:rsidR="00531123">
        <w:t>d</w:t>
      </w:r>
      <w:r w:rsidR="009C7BEE">
        <w:t xml:space="preserve">ouble blind </w:t>
      </w:r>
      <w:r w:rsidR="00531123">
        <w:t>p</w:t>
      </w:r>
      <w:r w:rsidR="009C7BEE">
        <w:t>hase</w:t>
      </w:r>
      <w:r w:rsidR="004A676D">
        <w:t>.</w:t>
      </w:r>
    </w:p>
    <w:p w14:paraId="30264318" w14:textId="77777777" w:rsidR="007D66D9" w:rsidRPr="007D66D9" w:rsidRDefault="007D66D9" w:rsidP="009C7BEE">
      <w:r w:rsidRPr="007D66D9">
        <w:t>Relapse was defined as 1 or more of the followi</w:t>
      </w:r>
      <w:r w:rsidR="003673F6">
        <w:t>ng</w:t>
      </w:r>
      <w:r w:rsidRPr="007D66D9">
        <w:t xml:space="preserve"> predetermined criteria:</w:t>
      </w:r>
    </w:p>
    <w:p w14:paraId="46E8C9C8" w14:textId="77777777" w:rsidR="007D66D9" w:rsidRPr="007D66D9" w:rsidRDefault="007D66D9" w:rsidP="009C7BEE">
      <w:pPr>
        <w:pStyle w:val="ListBullet"/>
      </w:pPr>
      <w:r w:rsidRPr="007D66D9">
        <w:t>Psychiatric hospitalization (involuntary or voluntary admission to a psychiatric hospital for decompensation of the subject’s schizophrenic symptoms), or</w:t>
      </w:r>
    </w:p>
    <w:p w14:paraId="6B91E43B" w14:textId="77777777" w:rsidR="007D66D9" w:rsidRPr="007D66D9" w:rsidRDefault="007D66D9" w:rsidP="009C7BEE">
      <w:pPr>
        <w:pStyle w:val="ListBullet"/>
      </w:pPr>
      <w:r w:rsidRPr="007D66D9">
        <w:t>For PANSS</w:t>
      </w:r>
    </w:p>
    <w:p w14:paraId="56ED9ED2" w14:textId="77777777" w:rsidR="007D66D9" w:rsidRPr="007D66D9" w:rsidRDefault="007D66D9" w:rsidP="009C7BEE">
      <w:pPr>
        <w:pStyle w:val="ListBullet2"/>
      </w:pPr>
      <w:r w:rsidRPr="007D66D9">
        <w:t>The subject had an increase of 25% in PANSS total score from randomization for 2 consecutive assessments separated by 3 to 7 days if the score at randomization was &gt;</w:t>
      </w:r>
      <w:r w:rsidR="009C7BEE">
        <w:t xml:space="preserve"> </w:t>
      </w:r>
      <w:r w:rsidRPr="007D66D9">
        <w:t>40, or</w:t>
      </w:r>
    </w:p>
    <w:p w14:paraId="74F2D400" w14:textId="77777777" w:rsidR="007D66D9" w:rsidRPr="007D66D9" w:rsidRDefault="007D66D9" w:rsidP="009C7BEE">
      <w:pPr>
        <w:pStyle w:val="ListBullet2"/>
      </w:pPr>
      <w:r w:rsidRPr="007D66D9">
        <w:t>The subject had a 10-point increase in the PANSS total score from randomization for 2 consecutive assessments separated by 3 to 7 days if the score at randomization was ≤ 40, or</w:t>
      </w:r>
    </w:p>
    <w:p w14:paraId="22BBEB8E" w14:textId="77777777" w:rsidR="007D66D9" w:rsidRPr="007D66D9" w:rsidRDefault="007D66D9" w:rsidP="009C7BEE">
      <w:pPr>
        <w:pStyle w:val="ListBullet2"/>
      </w:pPr>
      <w:r w:rsidRPr="007D66D9">
        <w:t>For PANSS items P1 (delusions), P2 (conceptual disorganization), P3 (hallucinatory behaviour), P6 (suspiciousness/persecution), P7 (hostility), and G8 (uncooperativeness):</w:t>
      </w:r>
    </w:p>
    <w:p w14:paraId="1E485B43" w14:textId="77777777" w:rsidR="007D66D9" w:rsidRPr="007D66D9" w:rsidRDefault="007D66D9" w:rsidP="009C7BEE">
      <w:pPr>
        <w:pStyle w:val="ListBullet3"/>
      </w:pPr>
      <w:r w:rsidRPr="007D66D9">
        <w:t>The subject had a score of ≥ 5 after randomization for 2 consecutive assessments separated by 3 to 7 days on any of the above items if the maximum score for the above PANSS items was ≤ 3 at randomization, or</w:t>
      </w:r>
    </w:p>
    <w:p w14:paraId="58E1E76A" w14:textId="77777777" w:rsidR="007D66D9" w:rsidRPr="007D66D9" w:rsidRDefault="007D66D9" w:rsidP="009C7BEE">
      <w:pPr>
        <w:pStyle w:val="ListBullet3"/>
      </w:pPr>
      <w:r w:rsidRPr="007D66D9">
        <w:t>The subject had a score of ≥ 6 after randomization for 2 consecutive assessments separated by 3 to 7 days on any of the above items if the maximum score for the above PANSS items was 4 at randomization.</w:t>
      </w:r>
    </w:p>
    <w:p w14:paraId="6D77B1AF" w14:textId="77777777" w:rsidR="007D66D9" w:rsidRPr="007D66D9" w:rsidRDefault="007D66D9" w:rsidP="009C7BEE">
      <w:pPr>
        <w:pStyle w:val="ListBullet"/>
      </w:pPr>
      <w:r w:rsidRPr="007D66D9">
        <w:t>The subject inflicted deliberate self-injury or exhibited violent behaviour resulti</w:t>
      </w:r>
      <w:r w:rsidR="003673F6">
        <w:t>ng</w:t>
      </w:r>
      <w:r w:rsidRPr="007D66D9">
        <w:t xml:space="preserve"> in suicide, clinically significant injury to him/herself or another person, or significant property damage, or</w:t>
      </w:r>
    </w:p>
    <w:p w14:paraId="23E88129" w14:textId="77777777" w:rsidR="007D66D9" w:rsidRPr="007D66D9" w:rsidRDefault="007D66D9" w:rsidP="009C7BEE">
      <w:pPr>
        <w:pStyle w:val="ListBullet"/>
      </w:pPr>
      <w:r w:rsidRPr="007D66D9">
        <w:t>The subject had suicidal or homicidal ideation and aggressive behaviour that was clinically significant (in frequency and severity) in the investigator’s judgment.</w:t>
      </w:r>
    </w:p>
    <w:p w14:paraId="29AFBBAA" w14:textId="77777777" w:rsidR="007D66D9" w:rsidRPr="007D66D9" w:rsidRDefault="007D66D9" w:rsidP="009C7BEE">
      <w:r w:rsidRPr="00AB1657">
        <w:t>Secondary efficacy endpoints</w:t>
      </w:r>
      <w:r w:rsidRPr="007D66D9">
        <w:rPr>
          <w:b/>
        </w:rPr>
        <w:t xml:space="preserve"> </w:t>
      </w:r>
      <w:r w:rsidRPr="007D66D9">
        <w:t>included the cha</w:t>
      </w:r>
      <w:r w:rsidR="003673F6">
        <w:t>ng</w:t>
      </w:r>
      <w:r w:rsidRPr="007D66D9">
        <w:t>e from baseline to endpoint duri</w:t>
      </w:r>
      <w:r w:rsidR="003673F6">
        <w:t>ng</w:t>
      </w:r>
      <w:r w:rsidRPr="007D66D9">
        <w:t xml:space="preserve"> the </w:t>
      </w:r>
      <w:r w:rsidR="009C7BEE">
        <w:t>Double blind Phase</w:t>
      </w:r>
      <w:r w:rsidRPr="007D66D9">
        <w:t xml:space="preserve"> in PANSS (total and subscales), CGI-S, and </w:t>
      </w:r>
      <w:r w:rsidRPr="009C7BEE">
        <w:t>PSP.</w:t>
      </w:r>
    </w:p>
    <w:p w14:paraId="55BF4452" w14:textId="77777777" w:rsidR="007D66D9" w:rsidRPr="007D66D9" w:rsidRDefault="007D66D9" w:rsidP="009C7BEE">
      <w:r w:rsidRPr="007D66D9">
        <w:t>Treatment comparison between Invega Trinza and placebo for the cha</w:t>
      </w:r>
      <w:r w:rsidR="003673F6">
        <w:t>ng</w:t>
      </w:r>
      <w:r w:rsidRPr="007D66D9">
        <w:t>e from baseline to endpoint of PANSS total score, PSP, and CGI-S duri</w:t>
      </w:r>
      <w:r w:rsidR="003673F6">
        <w:t>ng</w:t>
      </w:r>
      <w:r w:rsidRPr="007D66D9">
        <w:t xml:space="preserve"> the </w:t>
      </w:r>
      <w:r w:rsidR="009C7BEE">
        <w:t>Double blind Phase</w:t>
      </w:r>
      <w:r w:rsidRPr="007D66D9">
        <w:t xml:space="preserve"> was to be performed usi</w:t>
      </w:r>
      <w:r w:rsidR="003673F6">
        <w:t>ng</w:t>
      </w:r>
      <w:r w:rsidRPr="007D66D9">
        <w:t xml:space="preserve"> an analysis of covariance model with treatment and country as factors and baseline (</w:t>
      </w:r>
      <w:r w:rsidR="009C7BEE">
        <w:t xml:space="preserve">Double blind Phase) value as a covariate. Least </w:t>
      </w:r>
      <w:r w:rsidRPr="007D66D9">
        <w:t xml:space="preserve">squares estimates of the treatment differences and 95% confidence intervals will be presented. In addition, descriptive statistics of PANSS, CGI-S, and PSP will be summarized for the Transition and </w:t>
      </w:r>
      <w:r w:rsidRPr="009C7BEE">
        <w:t>Maintenance Phases.</w:t>
      </w:r>
    </w:p>
    <w:p w14:paraId="25ACD648" w14:textId="77777777" w:rsidR="007D66D9" w:rsidRPr="004B259C" w:rsidRDefault="007D66D9" w:rsidP="00C04372">
      <w:pPr>
        <w:pStyle w:val="Heading5"/>
      </w:pPr>
      <w:r w:rsidRPr="004B259C">
        <w:lastRenderedPageBreak/>
        <w:t>Randomisation and blindi</w:t>
      </w:r>
      <w:r w:rsidR="003673F6">
        <w:t>ng</w:t>
      </w:r>
      <w:r w:rsidRPr="004B259C">
        <w:t xml:space="preserve"> methods</w:t>
      </w:r>
    </w:p>
    <w:p w14:paraId="72A54F7C" w14:textId="77777777" w:rsidR="007D66D9" w:rsidRPr="007D66D9" w:rsidRDefault="007D66D9" w:rsidP="009C7BEE">
      <w:r w:rsidRPr="007D66D9">
        <w:t>Randomization was based upon a computer-generated schedule, be stratified by study centre to ensure balance of treatment allocation within a centre.</w:t>
      </w:r>
    </w:p>
    <w:p w14:paraId="4AE74540" w14:textId="77777777" w:rsidR="007D66D9" w:rsidRPr="004B259C" w:rsidDel="0081373E" w:rsidRDefault="007D66D9" w:rsidP="00C04372">
      <w:pPr>
        <w:pStyle w:val="Heading5"/>
      </w:pPr>
      <w:r w:rsidRPr="004B259C" w:rsidDel="0081373E">
        <w:t>Sample size</w:t>
      </w:r>
    </w:p>
    <w:p w14:paraId="2558962C" w14:textId="77777777" w:rsidR="007D66D9" w:rsidRPr="009C7BEE" w:rsidRDefault="007D66D9" w:rsidP="00AB1657">
      <w:r w:rsidRPr="009C7BEE">
        <w:t>It was assumed that the 12-month relapse rates for PP3M and placebo would be 20% and 40%, respectively, resulti</w:t>
      </w:r>
      <w:r w:rsidR="003673F6">
        <w:t>ng</w:t>
      </w:r>
      <w:r w:rsidRPr="009C7BEE">
        <w:t xml:space="preserve"> in a relative risk of 0.44. Approximately, 196 subjects were expected to be randomized in the </w:t>
      </w:r>
      <w:r w:rsidR="009C7BEE" w:rsidRPr="009C7BEE">
        <w:t>Double blind Phase</w:t>
      </w:r>
      <w:r w:rsidRPr="009C7BEE">
        <w:t xml:space="preserve"> in a 1:1 ratio to either PP3M or placebo in order to obtain 70 relapse events to show that PP3M was significantly different from placebo at the 2-sided</w:t>
      </w:r>
      <w:r w:rsidR="00AB1657">
        <w:rPr>
          <w:rFonts w:cs="Arial"/>
        </w:rPr>
        <w:t xml:space="preserve"> </w:t>
      </w:r>
      <w:r w:rsidR="00AB1657" w:rsidRPr="009C7BEE">
        <w:t>significance level of 0.05, with 90% power to detect a relative risk</w:t>
      </w:r>
      <w:r w:rsidR="00AB1657" w:rsidRPr="009C7BEE">
        <w:rPr>
          <w:vertAlign w:val="superscript"/>
        </w:rPr>
        <w:footnoteReference w:id="24"/>
      </w:r>
      <w:r w:rsidR="00AB1657" w:rsidRPr="009C7BEE">
        <w:t xml:space="preserve"> of 0.44 (</w:t>
      </w:r>
      <w:r w:rsidR="00785F6E" w:rsidRPr="009C7BEE">
        <w:t>that is</w:t>
      </w:r>
      <w:r w:rsidR="00AB1657" w:rsidRPr="009C7BEE">
        <w:t xml:space="preserve"> hazard rate of PP3M/ </w:t>
      </w:r>
      <w:r w:rsidR="009C7BEE">
        <w:t>hazard rate of Placebo = 0.44).</w:t>
      </w:r>
    </w:p>
    <w:p w14:paraId="5285DB5E" w14:textId="77777777" w:rsidR="007D66D9" w:rsidRPr="007D66D9" w:rsidRDefault="007D66D9" w:rsidP="00AB1657">
      <w:pPr>
        <w:pStyle w:val="Comment"/>
      </w:pPr>
      <w:r w:rsidRPr="007D66D9">
        <w:rPr>
          <w:rFonts w:cs="Arial"/>
          <w:b/>
        </w:rPr>
        <w:t>Comment:</w:t>
      </w:r>
      <w:r w:rsidRPr="007D66D9">
        <w:rPr>
          <w:rFonts w:cs="Arial"/>
        </w:rPr>
        <w:t xml:space="preserve"> 200 subjects randomised 1:1 at 12 months would give 20 + 40 = 60 relapses.</w:t>
      </w:r>
    </w:p>
    <w:p w14:paraId="743D86A1" w14:textId="77777777" w:rsidR="007D66D9" w:rsidRPr="009C7BEE" w:rsidRDefault="007D66D9" w:rsidP="009C7BEE">
      <w:pPr>
        <w:rPr>
          <w:rFonts w:cs="Arial"/>
          <w:i/>
        </w:rPr>
      </w:pPr>
      <w:r w:rsidRPr="009C7BEE">
        <w:rPr>
          <w:rFonts w:cs="Arial"/>
          <w:i/>
        </w:rPr>
        <w:t>‘</w:t>
      </w:r>
      <w:r w:rsidRPr="009C7BEE">
        <w:rPr>
          <w:i/>
        </w:rPr>
        <w:t xml:space="preserve">It was assumed that at least 50% of subjects who entered the Transition Phase would discontinue the study or not meet the criteria for randomization in the </w:t>
      </w:r>
      <w:r w:rsidR="009C7BEE" w:rsidRPr="009C7BEE">
        <w:rPr>
          <w:i/>
        </w:rPr>
        <w:t>Double blind Phase</w:t>
      </w:r>
      <w:r w:rsidRPr="009C7BEE">
        <w:rPr>
          <w:i/>
        </w:rPr>
        <w:t xml:space="preserve">. To meet the expected number of 196 subjects (98 per treatment group) to be randomized in the </w:t>
      </w:r>
      <w:r w:rsidR="009C7BEE" w:rsidRPr="009C7BEE">
        <w:rPr>
          <w:i/>
        </w:rPr>
        <w:t>Double blind Phase</w:t>
      </w:r>
      <w:r w:rsidRPr="009C7BEE">
        <w:rPr>
          <w:i/>
        </w:rPr>
        <w:t xml:space="preserve">, a total of at least 392 subjects were expected to be enrolled. The total number of subjects enrolled would depend on the time that it took to obtain 70 relapse events. Blinded surveillance of the total number of events in the </w:t>
      </w:r>
      <w:r w:rsidR="009C7BEE" w:rsidRPr="009C7BEE">
        <w:rPr>
          <w:i/>
        </w:rPr>
        <w:t>Double blind Phase</w:t>
      </w:r>
      <w:r w:rsidRPr="009C7BEE">
        <w:rPr>
          <w:i/>
        </w:rPr>
        <w:t xml:space="preserve"> was to be performed duri</w:t>
      </w:r>
      <w:r w:rsidR="003673F6">
        <w:rPr>
          <w:i/>
        </w:rPr>
        <w:t>ng</w:t>
      </w:r>
      <w:r w:rsidRPr="009C7BEE">
        <w:rPr>
          <w:i/>
        </w:rPr>
        <w:t xml:space="preserve"> the study to assess the appropriateness of the 50% dropout assumption and the time necessary to obtain 70 relapse events. The total number of subjects enrolled could be increased up to approximately 500.’</w:t>
      </w:r>
    </w:p>
    <w:p w14:paraId="7762B463" w14:textId="77777777" w:rsidR="007D66D9" w:rsidRPr="004B259C" w:rsidRDefault="007D66D9" w:rsidP="00C04372">
      <w:pPr>
        <w:pStyle w:val="Heading5"/>
      </w:pPr>
      <w:r w:rsidRPr="004B259C">
        <w:t>Statistical methods</w:t>
      </w:r>
    </w:p>
    <w:p w14:paraId="20AF3B5E" w14:textId="77777777" w:rsidR="007D66D9" w:rsidRPr="007D66D9" w:rsidRDefault="009C7BEE" w:rsidP="00AB1657">
      <w:r>
        <w:t xml:space="preserve">A 2 </w:t>
      </w:r>
      <w:r w:rsidR="007D66D9" w:rsidRPr="007D66D9">
        <w:t>stage group sequential design with 1 interim analysis was to be implemented to allow for early stoppi</w:t>
      </w:r>
      <w:r w:rsidR="003673F6">
        <w:t>ng</w:t>
      </w:r>
      <w:r w:rsidR="007D66D9" w:rsidRPr="007D66D9">
        <w:t xml:space="preserve"> if there was significant evidence of efficacy based upon the interim analysis after 60% (</w:t>
      </w:r>
      <w:r w:rsidR="00785F6E">
        <w:t>that is</w:t>
      </w:r>
      <w:r w:rsidR="007D66D9" w:rsidRPr="007D66D9">
        <w:t>, 42 events) of the projected relapse events had occurred.</w:t>
      </w:r>
    </w:p>
    <w:p w14:paraId="7D85534C" w14:textId="77777777" w:rsidR="007D66D9" w:rsidRPr="007D66D9" w:rsidRDefault="007D66D9" w:rsidP="009C7BEE">
      <w:r w:rsidRPr="007D66D9">
        <w:t xml:space="preserve">If the </w:t>
      </w:r>
      <w:r w:rsidR="009C7BEE">
        <w:t>p value</w:t>
      </w:r>
      <w:r w:rsidRPr="007D66D9">
        <w:t xml:space="preserve"> from the log-rank test on time to relapse at the planned interim analysis was less than 0.0101, the null hypothesis of no treatment difference in time to relapse was to be rejected and the IDMC was to recommend that the study be terminated for significant efficacy. Otherwise, the study was to continue until 70 relapse events were observed. No stoppi</w:t>
      </w:r>
      <w:r w:rsidR="003673F6">
        <w:t>ng</w:t>
      </w:r>
      <w:r w:rsidRPr="007D66D9">
        <w:t xml:space="preserve"> rules for futility were to be incorporated.</w:t>
      </w:r>
    </w:p>
    <w:p w14:paraId="7ED975C1" w14:textId="77777777" w:rsidR="004A676D" w:rsidRDefault="007D66D9" w:rsidP="009C7BEE">
      <w:r w:rsidRPr="007D66D9">
        <w:t>The O’Brien-Flemi</w:t>
      </w:r>
      <w:r w:rsidR="003673F6">
        <w:t>ng</w:t>
      </w:r>
      <w:r w:rsidRPr="007D66D9">
        <w:t xml:space="preserve"> boundary (correspondi</w:t>
      </w:r>
      <w:r w:rsidR="003673F6">
        <w:t>ng</w:t>
      </w:r>
      <w:r w:rsidRPr="007D66D9">
        <w:t xml:space="preserve"> to the Wa</w:t>
      </w:r>
      <w:r w:rsidR="003673F6">
        <w:t>ng</w:t>
      </w:r>
      <w:r w:rsidRPr="007D66D9">
        <w:t xml:space="preserve"> and </w:t>
      </w:r>
      <w:proofErr w:type="spellStart"/>
      <w:r w:rsidRPr="007D66D9">
        <w:t>Tsiatis</w:t>
      </w:r>
      <w:proofErr w:type="spellEnd"/>
      <w:r w:rsidRPr="007D66D9">
        <w:t xml:space="preserve"> power boundary with shape parameter 0) was to be used for sequential monitori</w:t>
      </w:r>
      <w:r w:rsidR="003673F6">
        <w:t>ng</w:t>
      </w:r>
      <w:r w:rsidR="004A676D">
        <w:t>.</w:t>
      </w:r>
    </w:p>
    <w:p w14:paraId="778763B9" w14:textId="77777777" w:rsidR="007D66D9" w:rsidRPr="007D66D9" w:rsidRDefault="007D66D9" w:rsidP="009C7BEE">
      <w:r w:rsidRPr="007D66D9">
        <w:t xml:space="preserve">The cumulative distribution function of the time to relapse in the </w:t>
      </w:r>
      <w:r w:rsidR="009C7BEE">
        <w:t>Double blind Phase</w:t>
      </w:r>
      <w:r w:rsidRPr="007D66D9">
        <w:t xml:space="preserve"> was estimated by the Kaplan-Meier method, and the treatme</w:t>
      </w:r>
      <w:r w:rsidR="009C7BEE">
        <w:t>nt groups were compared usi</w:t>
      </w:r>
      <w:r w:rsidR="003673F6">
        <w:t>ng</w:t>
      </w:r>
      <w:r w:rsidR="009C7BEE">
        <w:t xml:space="preserve"> 2 </w:t>
      </w:r>
      <w:r w:rsidRPr="007D66D9">
        <w:t>sided log-rank test. CIs for the 25th percentile, 50th percentile (median survival), and 75th percentile of time to relapse were also to be provided.</w:t>
      </w:r>
    </w:p>
    <w:p w14:paraId="20099EBB" w14:textId="77777777" w:rsidR="007D66D9" w:rsidRPr="007D66D9" w:rsidRDefault="007D66D9" w:rsidP="009C7BEE">
      <w:r w:rsidRPr="007D66D9">
        <w:t>No multiplicity adjustments were to be made.</w:t>
      </w:r>
    </w:p>
    <w:p w14:paraId="2C1B1C6A" w14:textId="77777777" w:rsidR="007D66D9" w:rsidRPr="007D66D9" w:rsidRDefault="007D66D9" w:rsidP="009C7BEE">
      <w:r w:rsidRPr="007D66D9">
        <w:t>The PANSS cha</w:t>
      </w:r>
      <w:r w:rsidR="003673F6">
        <w:t>ng</w:t>
      </w:r>
      <w:r w:rsidRPr="007D66D9">
        <w:t>e from Baseline (DB) at each visit, includi</w:t>
      </w:r>
      <w:r w:rsidR="003673F6">
        <w:t>ng</w:t>
      </w:r>
      <w:r w:rsidRPr="007D66D9">
        <w:t xml:space="preserve"> observed case and LOCF data, duri</w:t>
      </w:r>
      <w:r w:rsidR="003673F6">
        <w:t>ng</w:t>
      </w:r>
      <w:r w:rsidRPr="007D66D9">
        <w:t xml:space="preserve"> the </w:t>
      </w:r>
      <w:r w:rsidR="009C7BEE">
        <w:t>Double blind Phase</w:t>
      </w:r>
      <w:r w:rsidRPr="007D66D9">
        <w:t xml:space="preserve"> and at End Point (DB) were to be analysed usi</w:t>
      </w:r>
      <w:r w:rsidR="003673F6">
        <w:t>ng</w:t>
      </w:r>
      <w:r w:rsidRPr="007D66D9">
        <w:t xml:space="preserve"> an ANCOVA model with factors for treatment and country and Baseline (DB) score as a covariate. Least-squares estimates of the treatment differences and 95% CIs were to be presented.</w:t>
      </w:r>
    </w:p>
    <w:p w14:paraId="271DD5FE" w14:textId="77777777" w:rsidR="007D66D9" w:rsidRPr="007D66D9" w:rsidRDefault="007D66D9" w:rsidP="009C7BEE">
      <w:r w:rsidRPr="007D66D9">
        <w:t>The cha</w:t>
      </w:r>
      <w:r w:rsidR="003673F6">
        <w:t>ng</w:t>
      </w:r>
      <w:r w:rsidRPr="007D66D9">
        <w:t>e from Baseline (DB) in PSP score was to be analysed usi</w:t>
      </w:r>
      <w:r w:rsidR="003673F6">
        <w:t>ng</w:t>
      </w:r>
      <w:r w:rsidRPr="007D66D9">
        <w:t xml:space="preserve"> a mixed model repeated measures (MMRM) ANCOVA model.</w:t>
      </w:r>
    </w:p>
    <w:p w14:paraId="3EA72FB0" w14:textId="77777777" w:rsidR="007D66D9" w:rsidRPr="007D66D9" w:rsidRDefault="007D66D9" w:rsidP="009C7BEE">
      <w:r w:rsidRPr="007D66D9">
        <w:t>The CGI-S cha</w:t>
      </w:r>
      <w:r w:rsidR="003673F6">
        <w:t>ng</w:t>
      </w:r>
      <w:r w:rsidRPr="007D66D9">
        <w:t>e from Baseline (DB) at each visit duri</w:t>
      </w:r>
      <w:r w:rsidR="003673F6">
        <w:t>ng</w:t>
      </w:r>
      <w:r w:rsidRPr="007D66D9">
        <w:t xml:space="preserve"> the </w:t>
      </w:r>
      <w:r w:rsidR="009C7BEE">
        <w:t>Double blind Phase</w:t>
      </w:r>
      <w:r w:rsidRPr="007D66D9">
        <w:t xml:space="preserve"> and at End Point (DB) were to be analysed usi</w:t>
      </w:r>
      <w:r w:rsidR="003673F6">
        <w:t>ng</w:t>
      </w:r>
      <w:r w:rsidRPr="007D66D9">
        <w:t xml:space="preserve"> an ANCOVA model with factors for treatment and country and </w:t>
      </w:r>
      <w:r w:rsidRPr="007D66D9">
        <w:lastRenderedPageBreak/>
        <w:t>Baseline (DB) score as a covariate. Least-squares estimates of the treatment differences and 95% CIs were to be presented.</w:t>
      </w:r>
    </w:p>
    <w:p w14:paraId="2EDD588B" w14:textId="77777777" w:rsidR="007D66D9" w:rsidRPr="004B259C" w:rsidRDefault="007D66D9" w:rsidP="00C04372">
      <w:pPr>
        <w:pStyle w:val="Heading5"/>
      </w:pPr>
      <w:r w:rsidRPr="004B259C">
        <w:t>Participant flow</w:t>
      </w:r>
    </w:p>
    <w:p w14:paraId="7C9A8BA8" w14:textId="77777777" w:rsidR="007D66D9" w:rsidRPr="00AB1657" w:rsidRDefault="007D66D9" w:rsidP="005A18C6">
      <w:pPr>
        <w:pStyle w:val="FigureTitle"/>
        <w:keepNext/>
      </w:pPr>
      <w:bookmarkStart w:id="190" w:name="_Toc453055071"/>
      <w:r w:rsidRPr="00531123">
        <w:t xml:space="preserve">Figure </w:t>
      </w:r>
      <w:r w:rsidR="00531123" w:rsidRPr="00531123">
        <w:t>30:</w:t>
      </w:r>
      <w:r w:rsidRPr="00531123">
        <w:t xml:space="preserve"> Study</w:t>
      </w:r>
      <w:r w:rsidRPr="00AB1657">
        <w:t xml:space="preserve"> </w:t>
      </w:r>
      <w:r w:rsidR="00531123" w:rsidRPr="00AB1657">
        <w:t>completion and withdrawal information</w:t>
      </w:r>
      <w:bookmarkEnd w:id="190"/>
    </w:p>
    <w:p w14:paraId="4FECB0F4" w14:textId="77777777" w:rsidR="007D66D9" w:rsidRPr="007D66D9" w:rsidRDefault="007D66D9" w:rsidP="00D56AB0">
      <w:r w:rsidRPr="007D66D9">
        <w:rPr>
          <w:noProof/>
          <w:lang w:eastAsia="en-AU"/>
        </w:rPr>
        <w:drawing>
          <wp:inline distT="0" distB="0" distL="0" distR="0" wp14:anchorId="1652FAA8" wp14:editId="28D8B96A">
            <wp:extent cx="5165597" cy="5559552"/>
            <wp:effectExtent l="0" t="0" r="0" b="3175"/>
            <wp:docPr id="113" name="Picture 113" descr="Figure 30: Study completion and withdrawal information&#10;Screened 620,  506 were enrolled, 379 continued to maintenecae phas, 305 were randomised in the double blind  phase 160 went into PP3M 145 to placebo 270  went tou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172425" cy="5566901"/>
                    </a:xfrm>
                    <a:prstGeom prst="rect">
                      <a:avLst/>
                    </a:prstGeom>
                  </pic:spPr>
                </pic:pic>
              </a:graphicData>
            </a:graphic>
          </wp:inline>
        </w:drawing>
      </w:r>
    </w:p>
    <w:p w14:paraId="464D6379" w14:textId="77777777" w:rsidR="007D66D9" w:rsidRPr="007D66D9" w:rsidRDefault="007D66D9" w:rsidP="009C7BEE">
      <w:r w:rsidRPr="007D66D9">
        <w:t>The mean (SD) extent of exposure duri</w:t>
      </w:r>
      <w:r w:rsidR="003673F6">
        <w:t>ng</w:t>
      </w:r>
      <w:r w:rsidRPr="007D66D9">
        <w:t xml:space="preserve"> the Double-blind phase treatment duration was 150.2 (79.08) days in the Placebo group and 175.1 (90.00) days in the Invega Trinza group. The mean (SD) nominal dose was 400.14 (99.227)</w:t>
      </w:r>
      <w:r w:rsidR="004A676D">
        <w:t xml:space="preserve"> mg</w:t>
      </w:r>
      <w:r w:rsidRPr="007D66D9">
        <w:t xml:space="preserve"> </w:t>
      </w:r>
      <w:r w:rsidR="004A676D">
        <w:t>equivalent</w:t>
      </w:r>
      <w:r w:rsidRPr="007D66D9">
        <w:t xml:space="preserve"> in the Placebo group and 402.00 (104.393)</w:t>
      </w:r>
      <w:r w:rsidR="004A676D">
        <w:t xml:space="preserve"> mg</w:t>
      </w:r>
      <w:r w:rsidRPr="007D66D9">
        <w:t xml:space="preserve"> </w:t>
      </w:r>
      <w:r w:rsidR="004A676D">
        <w:t>equivalent</w:t>
      </w:r>
      <w:r w:rsidRPr="007D66D9">
        <w:t xml:space="preserve"> in the Invega Trinza group. The dose for the Placebo group was a dummy dose.</w:t>
      </w:r>
    </w:p>
    <w:p w14:paraId="21EDE2D7" w14:textId="77777777" w:rsidR="007D66D9" w:rsidRPr="00AB1657" w:rsidRDefault="007D66D9" w:rsidP="00DA386F">
      <w:pPr>
        <w:pStyle w:val="Tabletitle"/>
      </w:pPr>
      <w:bookmarkStart w:id="191" w:name="_Toc453054994"/>
      <w:r w:rsidRPr="00531123">
        <w:lastRenderedPageBreak/>
        <w:t xml:space="preserve">Table </w:t>
      </w:r>
      <w:r w:rsidR="00531123" w:rsidRPr="00531123">
        <w:t>3</w:t>
      </w:r>
      <w:r w:rsidR="00531123">
        <w:t>1:</w:t>
      </w:r>
      <w:r w:rsidRPr="00AB1657">
        <w:t xml:space="preserve"> Number </w:t>
      </w:r>
      <w:r w:rsidR="00531123" w:rsidRPr="00AB1657">
        <w:t>of subjects in each analysis set by study p</w:t>
      </w:r>
      <w:r w:rsidRPr="00AB1657">
        <w:t>hase</w:t>
      </w:r>
      <w:bookmarkEnd w:id="191"/>
    </w:p>
    <w:p w14:paraId="3E240954" w14:textId="77777777" w:rsidR="007D66D9" w:rsidRPr="007D66D9" w:rsidRDefault="007D66D9" w:rsidP="00D56AB0">
      <w:r w:rsidRPr="007D66D9">
        <w:rPr>
          <w:noProof/>
          <w:lang w:eastAsia="en-AU"/>
        </w:rPr>
        <w:drawing>
          <wp:inline distT="0" distB="0" distL="0" distR="0" wp14:anchorId="6B2ADC3D" wp14:editId="664FFD41">
            <wp:extent cx="5574182" cy="1810265"/>
            <wp:effectExtent l="0" t="0" r="7620" b="0"/>
            <wp:docPr id="106" name="Picture 106" descr="Table 31: Number of subjects in each analysis set by study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575816" cy="1810796"/>
                    </a:xfrm>
                    <a:prstGeom prst="rect">
                      <a:avLst/>
                    </a:prstGeom>
                  </pic:spPr>
                </pic:pic>
              </a:graphicData>
            </a:graphic>
          </wp:inline>
        </w:drawing>
      </w:r>
    </w:p>
    <w:p w14:paraId="0786B057" w14:textId="77777777" w:rsidR="00AB1657" w:rsidRDefault="007D66D9" w:rsidP="00D56AB0">
      <w:pPr>
        <w:pStyle w:val="TableDescription"/>
      </w:pPr>
      <w:r w:rsidRPr="00AB1657">
        <w:t xml:space="preserve">Note: </w:t>
      </w:r>
      <w:r w:rsidRPr="00D56AB0">
        <w:t>Percentages</w:t>
      </w:r>
      <w:r w:rsidRPr="00AB1657">
        <w:t xml:space="preserve"> calculated with the number of subjects in each group as denominator.</w:t>
      </w:r>
      <w:r w:rsidR="009C7BEE">
        <w:t xml:space="preserve"> </w:t>
      </w:r>
      <w:r w:rsidR="009C7BEE" w:rsidRPr="009C7BEE">
        <w:rPr>
          <w:vertAlign w:val="superscript"/>
        </w:rPr>
        <w:t>a.</w:t>
      </w:r>
      <w:r w:rsidR="009C7BEE">
        <w:t xml:space="preserve"> </w:t>
      </w:r>
      <w:r w:rsidRPr="00AB1657">
        <w:t>A permuted block size of 4 was used per site for randomization. With varyi</w:t>
      </w:r>
      <w:r w:rsidR="003673F6">
        <w:t>ng</w:t>
      </w:r>
      <w:r w:rsidRPr="00AB1657">
        <w:t xml:space="preserve"> number of subjects recruited per site, randomization was not always balanced at each site, leadi</w:t>
      </w:r>
      <w:r w:rsidR="003673F6">
        <w:t>ng</w:t>
      </w:r>
      <w:r w:rsidRPr="00AB1657">
        <w:t xml:space="preserve"> to imbalance in treatment assignment overall.</w:t>
      </w:r>
    </w:p>
    <w:p w14:paraId="55279E65" w14:textId="77777777" w:rsidR="007D66D9" w:rsidRPr="009C7BEE" w:rsidRDefault="007D66D9" w:rsidP="00AB1657">
      <w:pPr>
        <w:pStyle w:val="Comment"/>
      </w:pPr>
      <w:r w:rsidRPr="00AB1657">
        <w:rPr>
          <w:b/>
        </w:rPr>
        <w:t>Comment:</w:t>
      </w:r>
      <w:r w:rsidRPr="00AB1657">
        <w:t xml:space="preserve"> </w:t>
      </w:r>
      <w:r w:rsidRPr="009C7BEE">
        <w:t>After receivi</w:t>
      </w:r>
      <w:r w:rsidR="003673F6">
        <w:t>ng</w:t>
      </w:r>
      <w:r w:rsidRPr="009C7BEE">
        <w:t xml:space="preserve"> for the Maintenance Phase the initial dose of Invega Trinza, only 9</w:t>
      </w:r>
      <w:proofErr w:type="gramStart"/>
      <w:r w:rsidRPr="009C7BEE">
        <w:t>/(</w:t>
      </w:r>
      <w:proofErr w:type="gramEnd"/>
      <w:r w:rsidRPr="009C7BEE">
        <w:t>305 + 9) or 2.9% withdrew from lack of efficacy. In the Double Blind Phase of those whose treatment with Invega Trinza continued 14</w:t>
      </w:r>
      <w:proofErr w:type="gramStart"/>
      <w:r w:rsidRPr="009C7BEE">
        <w:t>/(</w:t>
      </w:r>
      <w:proofErr w:type="gramEnd"/>
      <w:r w:rsidRPr="009C7BEE">
        <w:t>134 + 14) or 9.5% withdrew from relapse. While there was a lo</w:t>
      </w:r>
      <w:r w:rsidR="003673F6">
        <w:t>ng</w:t>
      </w:r>
      <w:r w:rsidRPr="009C7BEE">
        <w:t>er exposure (mean 175.1 days) in the Double Blind phase</w:t>
      </w:r>
      <w:r w:rsidRPr="009C7BEE">
        <w:rPr>
          <w:vertAlign w:val="superscript"/>
        </w:rPr>
        <w:footnoteReference w:id="25"/>
      </w:r>
      <w:r w:rsidRPr="009C7BEE">
        <w:t xml:space="preserve"> the relapse rate is still greater especially of concern when the PKs results show that exposure gradually increases from the initial dose until steady state is reached </w:t>
      </w:r>
      <w:r w:rsidR="00785F6E" w:rsidRPr="009C7BEE">
        <w:t>that is</w:t>
      </w:r>
      <w:r w:rsidRPr="009C7BEE">
        <w:t xml:space="preserve"> one would expect more relapses to occur earlier.</w:t>
      </w:r>
    </w:p>
    <w:p w14:paraId="6BF469A5" w14:textId="77777777" w:rsidR="007D66D9" w:rsidRPr="00AB1657" w:rsidRDefault="007D66D9" w:rsidP="00AB1657">
      <w:pPr>
        <w:pStyle w:val="Heading5"/>
        <w:rPr>
          <w:szCs w:val="22"/>
        </w:rPr>
      </w:pPr>
      <w:r w:rsidRPr="00AB1657">
        <w:rPr>
          <w:szCs w:val="22"/>
        </w:rPr>
        <w:t>Major protocol violations/deviations</w:t>
      </w:r>
    </w:p>
    <w:p w14:paraId="1A85E0CB" w14:textId="77777777" w:rsidR="007D66D9" w:rsidRPr="00AB1657" w:rsidRDefault="009C7BEE" w:rsidP="009C7BEE">
      <w:r>
        <w:t xml:space="preserve">19 out of </w:t>
      </w:r>
      <w:r w:rsidR="007D66D9" w:rsidRPr="00AB1657">
        <w:t>305 (6%) subjects tested positive for any of the prohibited antipsychotic medications in plasma at any time point duri</w:t>
      </w:r>
      <w:r w:rsidR="003673F6">
        <w:t>ng</w:t>
      </w:r>
      <w:r w:rsidR="007D66D9" w:rsidRPr="00AB1657">
        <w:t xml:space="preserve"> the </w:t>
      </w:r>
      <w:r>
        <w:t>Double blind Phase</w:t>
      </w:r>
      <w:r w:rsidR="007D66D9" w:rsidRPr="00AB1657">
        <w:t>. Subjects with clinically relevant concentrations of prohibited antipsychotic medications in plasma at one or more pre-specified time points were withdrawn from the study or were considered to have met criteria for a protocol deviation.</w:t>
      </w:r>
    </w:p>
    <w:p w14:paraId="1D0D9D58" w14:textId="77777777" w:rsidR="007D66D9" w:rsidRPr="00AB1657" w:rsidRDefault="007D66D9" w:rsidP="009C7BEE">
      <w:r w:rsidRPr="00AB1657">
        <w:t>10 placebo subjects (7%) received Risperidone oral 3 duri</w:t>
      </w:r>
      <w:r w:rsidR="003673F6">
        <w:t>ng</w:t>
      </w:r>
      <w:r w:rsidRPr="00AB1657">
        <w:t xml:space="preserve"> the double blind phase and 3 Invega Trinza subjects (2%).</w:t>
      </w:r>
    </w:p>
    <w:p w14:paraId="2E5A0B64" w14:textId="77777777" w:rsidR="007D66D9" w:rsidRPr="00C04372" w:rsidRDefault="007D66D9" w:rsidP="00DA386F">
      <w:pPr>
        <w:pStyle w:val="Tabletitle"/>
      </w:pPr>
      <w:bookmarkStart w:id="192" w:name="_Toc453054995"/>
      <w:r w:rsidRPr="00531123">
        <w:t xml:space="preserve">Table </w:t>
      </w:r>
      <w:r w:rsidR="00531123" w:rsidRPr="00531123">
        <w:t>32:</w:t>
      </w:r>
      <w:r w:rsidR="00C04372" w:rsidRPr="00531123">
        <w:rPr>
          <w:noProof/>
        </w:rPr>
        <w:t xml:space="preserve"> </w:t>
      </w:r>
      <w:r w:rsidRPr="00531123">
        <w:t xml:space="preserve">Protocol </w:t>
      </w:r>
      <w:r w:rsidR="009C7BEE" w:rsidRPr="00531123">
        <w:t>deviations</w:t>
      </w:r>
      <w:r w:rsidR="009C7BEE" w:rsidRPr="00C04372">
        <w:t xml:space="preserve"> duri</w:t>
      </w:r>
      <w:r w:rsidR="003673F6">
        <w:t>ng</w:t>
      </w:r>
      <w:r w:rsidR="009C7BEE" w:rsidRPr="00C04372">
        <w:t xml:space="preserve"> the study </w:t>
      </w:r>
      <w:r w:rsidRPr="00C04372">
        <w:t>- ITT (DB) Analysis Set</w:t>
      </w:r>
      <w:bookmarkEnd w:id="192"/>
    </w:p>
    <w:p w14:paraId="4F73CDAC" w14:textId="77777777" w:rsidR="007D66D9" w:rsidRPr="007D66D9" w:rsidRDefault="007D66D9" w:rsidP="00DC3589">
      <w:r w:rsidRPr="007D66D9">
        <w:rPr>
          <w:noProof/>
          <w:lang w:eastAsia="en-AU"/>
        </w:rPr>
        <w:drawing>
          <wp:inline distT="0" distB="0" distL="0" distR="0" wp14:anchorId="25B39270" wp14:editId="750594C5">
            <wp:extent cx="5449824" cy="1763042"/>
            <wp:effectExtent l="0" t="0" r="0" b="8890"/>
            <wp:docPr id="114" name="Picture 114" descr="Table 32: Protocol deviations during the study - ITT (DB)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50291" cy="1763193"/>
                    </a:xfrm>
                    <a:prstGeom prst="rect">
                      <a:avLst/>
                    </a:prstGeom>
                  </pic:spPr>
                </pic:pic>
              </a:graphicData>
            </a:graphic>
          </wp:inline>
        </w:drawing>
      </w:r>
    </w:p>
    <w:p w14:paraId="28A6313A" w14:textId="77777777" w:rsidR="004A676D" w:rsidRDefault="007D66D9" w:rsidP="009C7BEE">
      <w:pPr>
        <w:pStyle w:val="TableDescription"/>
      </w:pPr>
      <w:r w:rsidRPr="007D66D9">
        <w:t>Note: Percentages calculated with the number of subjects in each group as denominator</w:t>
      </w:r>
      <w:r w:rsidR="004A676D">
        <w:t>.</w:t>
      </w:r>
    </w:p>
    <w:p w14:paraId="0ABB4D93" w14:textId="77777777" w:rsidR="007D66D9" w:rsidRDefault="00531123" w:rsidP="007D66D9">
      <w:pPr>
        <w:pStyle w:val="Heading5"/>
      </w:pPr>
      <w:r>
        <w:lastRenderedPageBreak/>
        <w:t>Exposure</w:t>
      </w:r>
    </w:p>
    <w:p w14:paraId="4E9BA92A" w14:textId="77777777" w:rsidR="007D66D9" w:rsidRPr="007D66D9" w:rsidRDefault="007D66D9" w:rsidP="007D66D9">
      <w:pPr>
        <w:pStyle w:val="Comment"/>
      </w:pPr>
      <w:r w:rsidRPr="007D66D9">
        <w:rPr>
          <w:b/>
        </w:rPr>
        <w:t>Comment:</w:t>
      </w:r>
      <w:r w:rsidRPr="007D66D9">
        <w:t xml:space="preserve"> It is difficult to assess from the report what doses of Invega Trinza were received as the si</w:t>
      </w:r>
      <w:r w:rsidR="003673F6">
        <w:t>ng</w:t>
      </w:r>
      <w:r w:rsidRPr="007D66D9">
        <w:t>le injection duri</w:t>
      </w:r>
      <w:r w:rsidR="003673F6">
        <w:t>ng</w:t>
      </w:r>
      <w:r w:rsidRPr="007D66D9">
        <w:t xml:space="preserve"> the Maintenance phase by those who subsequently received placebo and those who continued on Invega Trinza in the Double blind phase.</w:t>
      </w:r>
    </w:p>
    <w:p w14:paraId="44B582E7" w14:textId="77777777" w:rsidR="007D66D9" w:rsidRPr="00C04372" w:rsidRDefault="007D66D9" w:rsidP="00DA386F">
      <w:pPr>
        <w:pStyle w:val="Tabletitle"/>
      </w:pPr>
      <w:bookmarkStart w:id="193" w:name="_Toc453054996"/>
      <w:r w:rsidRPr="00531123">
        <w:t xml:space="preserve">Table </w:t>
      </w:r>
      <w:r w:rsidR="00531123" w:rsidRPr="00531123">
        <w:t>33:</w:t>
      </w:r>
      <w:r w:rsidRPr="00531123">
        <w:t xml:space="preserve"> Number</w:t>
      </w:r>
      <w:r w:rsidRPr="00C04372">
        <w:t xml:space="preserve"> </w:t>
      </w:r>
      <w:r w:rsidR="009C7BEE">
        <w:t xml:space="preserve">of injections of double </w:t>
      </w:r>
      <w:r w:rsidR="009C7BEE" w:rsidRPr="00C04372">
        <w:t>blind study drug</w:t>
      </w:r>
      <w:bookmarkEnd w:id="193"/>
    </w:p>
    <w:p w14:paraId="026BBF2C" w14:textId="77777777" w:rsidR="007D66D9" w:rsidRPr="007D66D9" w:rsidRDefault="007D66D9" w:rsidP="007D66D9">
      <w:r w:rsidRPr="007D66D9">
        <w:rPr>
          <w:noProof/>
          <w:lang w:eastAsia="en-AU"/>
        </w:rPr>
        <w:drawing>
          <wp:inline distT="0" distB="0" distL="0" distR="0" wp14:anchorId="722951B5" wp14:editId="36308E9B">
            <wp:extent cx="4820717" cy="1375037"/>
            <wp:effectExtent l="0" t="0" r="0" b="0"/>
            <wp:docPr id="117" name="Picture 117" descr="Table 33: Number of injections of double blind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828440" cy="1377240"/>
                    </a:xfrm>
                    <a:prstGeom prst="rect">
                      <a:avLst/>
                    </a:prstGeom>
                  </pic:spPr>
                </pic:pic>
              </a:graphicData>
            </a:graphic>
          </wp:inline>
        </w:drawing>
      </w:r>
    </w:p>
    <w:p w14:paraId="7A91B9FF" w14:textId="77777777" w:rsidR="007D66D9" w:rsidRPr="007D66D9" w:rsidRDefault="007D66D9" w:rsidP="009C7BEE">
      <w:pPr>
        <w:pStyle w:val="TableDescription"/>
      </w:pPr>
      <w:r w:rsidRPr="007D66D9">
        <w:t>Note: subjects had already had 1 dose of PP3M in Ma</w:t>
      </w:r>
      <w:r w:rsidR="009C7BEE">
        <w:t>intenance Phase</w:t>
      </w:r>
    </w:p>
    <w:p w14:paraId="439962A0" w14:textId="77777777" w:rsidR="007D66D9" w:rsidRPr="00C04372" w:rsidRDefault="007D66D9" w:rsidP="00DA386F">
      <w:pPr>
        <w:pStyle w:val="Tabletitle"/>
      </w:pPr>
      <w:bookmarkStart w:id="194" w:name="_Toc453054997"/>
      <w:r w:rsidRPr="00531123">
        <w:t xml:space="preserve">Table </w:t>
      </w:r>
      <w:r w:rsidR="00531123" w:rsidRPr="00531123">
        <w:t>34</w:t>
      </w:r>
      <w:r w:rsidR="00531123">
        <w:t>:</w:t>
      </w:r>
      <w:r w:rsidRPr="00C04372">
        <w:t xml:space="preserve"> Cumulative </w:t>
      </w:r>
      <w:r w:rsidR="009C7BEE" w:rsidRPr="00C04372">
        <w:t xml:space="preserve">frequency distribution of total drug exposure </w:t>
      </w:r>
      <w:r w:rsidRPr="00C04372">
        <w:t xml:space="preserve">(Days) </w:t>
      </w:r>
      <w:r w:rsidR="009C7BEE" w:rsidRPr="00C04372">
        <w:t>duri</w:t>
      </w:r>
      <w:r w:rsidR="003673F6">
        <w:t>ng</w:t>
      </w:r>
      <w:r w:rsidR="009C7BEE">
        <w:t xml:space="preserve"> double </w:t>
      </w:r>
      <w:r w:rsidR="009C7BEE" w:rsidRPr="00C04372">
        <w:t>blind phase</w:t>
      </w:r>
      <w:bookmarkEnd w:id="194"/>
    </w:p>
    <w:p w14:paraId="6E696FC3" w14:textId="77777777" w:rsidR="007D66D9" w:rsidRPr="007D66D9" w:rsidRDefault="007D66D9" w:rsidP="007D66D9">
      <w:r w:rsidRPr="007D66D9">
        <w:rPr>
          <w:noProof/>
          <w:lang w:eastAsia="en-AU"/>
        </w:rPr>
        <w:drawing>
          <wp:inline distT="0" distB="0" distL="0" distR="0" wp14:anchorId="7FDBA1E7" wp14:editId="27DF13B4">
            <wp:extent cx="4608576" cy="2092051"/>
            <wp:effectExtent l="0" t="0" r="1905" b="3810"/>
            <wp:docPr id="119" name="Picture 119" descr="Table 34: Cumulative frequency distribution of total drug exposure (Days) during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613390" cy="2094236"/>
                    </a:xfrm>
                    <a:prstGeom prst="rect">
                      <a:avLst/>
                    </a:prstGeom>
                  </pic:spPr>
                </pic:pic>
              </a:graphicData>
            </a:graphic>
          </wp:inline>
        </w:drawing>
      </w:r>
    </w:p>
    <w:p w14:paraId="5DF16B4C" w14:textId="77777777" w:rsidR="00C04372" w:rsidRDefault="007D66D9" w:rsidP="009C7BEE">
      <w:pPr>
        <w:pStyle w:val="TableDescription"/>
      </w:pPr>
      <w:r w:rsidRPr="007D66D9">
        <w:t xml:space="preserve">The duration of total exposure is calculated as the total number of days a subject remains in the </w:t>
      </w:r>
      <w:r w:rsidR="009C7BEE">
        <w:t>Double blind Phase</w:t>
      </w:r>
      <w:r w:rsidRPr="007D66D9">
        <w:t xml:space="preserve"> of the study.</w:t>
      </w:r>
      <w:r w:rsidR="009C7BEE">
        <w:t xml:space="preserve"> </w:t>
      </w:r>
      <w:r w:rsidRPr="007D66D9">
        <w:t>Note: subjects had already had 12 weeks after1 dose of PP3M in Maintenance Pha</w:t>
      </w:r>
      <w:r w:rsidR="009C7BEE">
        <w:t>se</w:t>
      </w:r>
    </w:p>
    <w:p w14:paraId="11AE2C56" w14:textId="77777777" w:rsidR="007D66D9" w:rsidRPr="00C04372" w:rsidRDefault="007D66D9" w:rsidP="00DA386F">
      <w:pPr>
        <w:pStyle w:val="Tabletitle"/>
      </w:pPr>
      <w:bookmarkStart w:id="195" w:name="_Toc453054998"/>
      <w:r w:rsidRPr="00531123">
        <w:t xml:space="preserve">Table </w:t>
      </w:r>
      <w:r w:rsidR="00531123" w:rsidRPr="00531123">
        <w:t>35:</w:t>
      </w:r>
      <w:r w:rsidRPr="00C04372">
        <w:t xml:space="preserve"> Dose </w:t>
      </w:r>
      <w:r w:rsidR="009C7BEE" w:rsidRPr="00C04372">
        <w:t>levels over time a</w:t>
      </w:r>
      <w:r w:rsidR="009C7BEE">
        <w:t>nd final dose duri</w:t>
      </w:r>
      <w:r w:rsidR="003673F6">
        <w:t>ng</w:t>
      </w:r>
      <w:r w:rsidR="009C7BEE">
        <w:t xml:space="preserve"> the double </w:t>
      </w:r>
      <w:r w:rsidR="009C7BEE" w:rsidRPr="00C04372">
        <w:t>blind phase</w:t>
      </w:r>
      <w:bookmarkEnd w:id="195"/>
    </w:p>
    <w:p w14:paraId="61E79E08" w14:textId="77777777" w:rsidR="007D66D9" w:rsidRPr="007D66D9" w:rsidRDefault="007D66D9" w:rsidP="007D66D9">
      <w:pPr>
        <w:rPr>
          <w:u w:val="single"/>
        </w:rPr>
      </w:pPr>
      <w:r w:rsidRPr="007D66D9">
        <w:rPr>
          <w:noProof/>
          <w:u w:val="single"/>
          <w:lang w:eastAsia="en-AU"/>
        </w:rPr>
        <w:drawing>
          <wp:inline distT="0" distB="0" distL="0" distR="0" wp14:anchorId="3403B2BD" wp14:editId="0CECC80B">
            <wp:extent cx="5274581" cy="1331366"/>
            <wp:effectExtent l="0" t="0" r="2540" b="2540"/>
            <wp:docPr id="123" name="Picture 123" descr="Table 35: Dose levels over time and final dose during the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5033" cy="1331480"/>
                    </a:xfrm>
                    <a:prstGeom prst="rect">
                      <a:avLst/>
                    </a:prstGeom>
                  </pic:spPr>
                </pic:pic>
              </a:graphicData>
            </a:graphic>
          </wp:inline>
        </w:drawing>
      </w:r>
    </w:p>
    <w:p w14:paraId="0DA67AFE" w14:textId="77777777" w:rsidR="004A676D" w:rsidRDefault="00EA7B92" w:rsidP="00EA7B92">
      <w:pPr>
        <w:pStyle w:val="TableDescription"/>
      </w:pPr>
      <w:r w:rsidRPr="00EA7B92">
        <w:rPr>
          <w:vertAlign w:val="superscript"/>
        </w:rPr>
        <w:t>a.</w:t>
      </w:r>
      <w:r>
        <w:t xml:space="preserve"> </w:t>
      </w:r>
      <w:r w:rsidR="007D66D9" w:rsidRPr="007D66D9">
        <w:t>Within each dose level, the percentages are based on the number of subjects who had injection administrated at this visit</w:t>
      </w:r>
      <w:r w:rsidR="004A676D">
        <w:t>.</w:t>
      </w:r>
    </w:p>
    <w:p w14:paraId="46C90CD5" w14:textId="77777777" w:rsidR="007D66D9" w:rsidRDefault="007D66D9" w:rsidP="007D66D9">
      <w:pPr>
        <w:pStyle w:val="Heading5"/>
      </w:pPr>
      <w:r w:rsidRPr="004B259C">
        <w:t>Baseline data</w:t>
      </w:r>
    </w:p>
    <w:p w14:paraId="29FE27D0" w14:textId="77777777" w:rsidR="007D66D9" w:rsidRPr="007D66D9" w:rsidRDefault="007D66D9" w:rsidP="00EA7B92">
      <w:r w:rsidRPr="007D66D9">
        <w:t>At double blind base line M/F were 110/35 on placebo and 118/42 on Invega Trinza mean age 38.5</w:t>
      </w:r>
      <w:r w:rsidR="00EA7B92">
        <w:t> </w:t>
      </w:r>
      <w:r w:rsidRPr="007D66D9">
        <w:t>y</w:t>
      </w:r>
      <w:r w:rsidR="00EA7B92">
        <w:t>ears</w:t>
      </w:r>
      <w:r w:rsidRPr="007D66D9">
        <w:t xml:space="preserve"> and 37.1</w:t>
      </w:r>
      <w:r w:rsidR="00EA7B92">
        <w:t xml:space="preserve"> </w:t>
      </w:r>
      <w:r w:rsidRPr="007D66D9">
        <w:t>y</w:t>
      </w:r>
      <w:r w:rsidR="00EA7B92">
        <w:t>ears</w:t>
      </w:r>
      <w:r w:rsidRPr="007D66D9">
        <w:t xml:space="preserve"> and mean weight 77.13</w:t>
      </w:r>
      <w:r w:rsidR="00EA7B92">
        <w:t xml:space="preserve"> kg</w:t>
      </w:r>
      <w:r w:rsidRPr="007D66D9">
        <w:t xml:space="preserve"> and 78.1</w:t>
      </w:r>
      <w:r w:rsidR="00EA7B92">
        <w:t xml:space="preserve"> kg</w:t>
      </w:r>
      <w:r w:rsidRPr="007D66D9">
        <w:t xml:space="preserve"> in the placebo and Invega Sustenna groups respectively.</w:t>
      </w:r>
    </w:p>
    <w:p w14:paraId="164A27A3" w14:textId="77777777" w:rsidR="007D66D9" w:rsidRPr="007D66D9" w:rsidRDefault="00EA7B92" w:rsidP="00EA7B92">
      <w:r>
        <w:lastRenderedPageBreak/>
        <w:t>D</w:t>
      </w:r>
      <w:r w:rsidR="007D66D9" w:rsidRPr="007D66D9">
        <w:t xml:space="preserve">iagnosis and psychiatric history </w:t>
      </w:r>
      <w:r>
        <w:t>were provided</w:t>
      </w:r>
      <w:r w:rsidR="007D66D9" w:rsidRPr="007D66D9">
        <w:t>.</w:t>
      </w:r>
    </w:p>
    <w:p w14:paraId="35DF6039" w14:textId="77777777" w:rsidR="007D66D9" w:rsidRDefault="00EA7B92" w:rsidP="007D66D9">
      <w:pPr>
        <w:pStyle w:val="Heading5"/>
      </w:pPr>
      <w:r>
        <w:t>Interim analysis</w:t>
      </w:r>
    </w:p>
    <w:p w14:paraId="557B3389" w14:textId="77777777" w:rsidR="007D66D9" w:rsidRPr="007D66D9" w:rsidRDefault="007D66D9" w:rsidP="00EA7B92">
      <w:r w:rsidRPr="007D66D9">
        <w:t>The interim analysis showed positive results for Invega Trinza so the study was stopped. Thus the interim analysis is the primary analysis. The final analysis includes events after the interim analysis data cut-off (24 January 2014) up to study completion (09 April 2014), and is considered confirmatory.</w:t>
      </w:r>
    </w:p>
    <w:p w14:paraId="7274FDE3" w14:textId="77777777" w:rsidR="007D66D9" w:rsidRPr="007D66D9" w:rsidRDefault="007D66D9" w:rsidP="00EA7B92">
      <w:r w:rsidRPr="007D66D9">
        <w:t>283 subjects (135 subjects randomized to placebo and 148 subjects randomized to Invega Trinza) were included in the interim ITT (DB) analysis set.</w:t>
      </w:r>
    </w:p>
    <w:p w14:paraId="0D3CD59E" w14:textId="77777777" w:rsidR="007D66D9" w:rsidRPr="004B259C" w:rsidRDefault="007D66D9" w:rsidP="007D66D9">
      <w:pPr>
        <w:pStyle w:val="Heading5"/>
      </w:pPr>
      <w:r w:rsidRPr="004B259C">
        <w:t>Results for the primary efficacy outcome</w:t>
      </w:r>
    </w:p>
    <w:p w14:paraId="71DBD474" w14:textId="77777777" w:rsidR="004A676D" w:rsidRDefault="007D66D9" w:rsidP="00EA7B92">
      <w:r w:rsidRPr="007D66D9">
        <w:t>Of the 42 subjects who experienced a relapse event, 31 subjects (23.0%) were in the Placebo group and 11 subjects (7.4%) were in Invega Trinza group, the difference bei</w:t>
      </w:r>
      <w:r w:rsidR="003673F6">
        <w:t>ng</w:t>
      </w:r>
      <w:r w:rsidRPr="007D66D9">
        <w:t xml:space="preserve"> statisti</w:t>
      </w:r>
      <w:r w:rsidR="00EA7B92">
        <w:t>cally significant (p </w:t>
      </w:r>
      <w:r w:rsidRPr="007D66D9">
        <w:t>&lt; 0.001 based on the log-rank test)</w:t>
      </w:r>
      <w:r w:rsidR="004A676D">
        <w:t>.</w:t>
      </w:r>
    </w:p>
    <w:p w14:paraId="19725FFA" w14:textId="77777777" w:rsidR="007D66D9" w:rsidRPr="007D66D9" w:rsidRDefault="007D66D9" w:rsidP="00EA7B92">
      <w:r w:rsidRPr="007D66D9">
        <w:t>The instantaneous risk of relapse of schizophrenia symptoms was 3.45 (95% CI: 1.73, 6.88) times higher for a subject switchi</w:t>
      </w:r>
      <w:r w:rsidR="003673F6">
        <w:t>ng</w:t>
      </w:r>
      <w:r w:rsidRPr="007D66D9">
        <w:t xml:space="preserve"> to placebo than for a subject continui</w:t>
      </w:r>
      <w:r w:rsidR="003673F6">
        <w:t>ng</w:t>
      </w:r>
      <w:r w:rsidRPr="007D66D9">
        <w:t xml:space="preserve"> to receive Invega Trinza in the interim analysis indicati</w:t>
      </w:r>
      <w:r w:rsidR="003673F6">
        <w:t>ng</w:t>
      </w:r>
      <w:r w:rsidRPr="007D66D9">
        <w:t xml:space="preserve"> that there was a 71% decrease in relapse risk with continued Invega </w:t>
      </w:r>
      <w:r w:rsidRPr="00EA7B92">
        <w:t>Trinza treatment.</w:t>
      </w:r>
    </w:p>
    <w:p w14:paraId="53D8BAC8" w14:textId="77777777" w:rsidR="007D66D9" w:rsidRPr="007D66D9" w:rsidRDefault="007D66D9" w:rsidP="007D66D9">
      <w:pPr>
        <w:pStyle w:val="Comment"/>
      </w:pPr>
      <w:r w:rsidRPr="007D66D9">
        <w:rPr>
          <w:b/>
        </w:rPr>
        <w:t>Comment</w:t>
      </w:r>
      <w:r w:rsidRPr="007D66D9">
        <w:t xml:space="preserve">: The sample size was based on 0.44 as a Hazard Ratio (hazard rate of Invega Trinza/ hazard rate of Placebo </w:t>
      </w:r>
      <w:r w:rsidR="00785F6E">
        <w:t>that is</w:t>
      </w:r>
      <w:r w:rsidRPr="007D66D9">
        <w:t xml:space="preserve"> the inverse of this ratio </w:t>
      </w:r>
      <w:proofErr w:type="gramStart"/>
      <w:r w:rsidRPr="007D66D9">
        <w:t>is</w:t>
      </w:r>
      <w:proofErr w:type="gramEnd"/>
      <w:r w:rsidRPr="007D66D9">
        <w:t xml:space="preserve"> used to describe the efficacy result). Inverti</w:t>
      </w:r>
      <w:r w:rsidR="003673F6">
        <w:t>ng</w:t>
      </w:r>
      <w:r w:rsidRPr="007D66D9">
        <w:t xml:space="preserve"> 0.44 gives </w:t>
      </w:r>
      <w:r w:rsidRPr="00C04372">
        <w:t xml:space="preserve">2.27 </w:t>
      </w:r>
      <w:r w:rsidR="00785F6E">
        <w:t xml:space="preserve">that </w:t>
      </w:r>
      <w:proofErr w:type="gramStart"/>
      <w:r w:rsidR="00785F6E">
        <w:t>is</w:t>
      </w:r>
      <w:proofErr w:type="gramEnd"/>
      <w:r w:rsidRPr="00C04372">
        <w:t xml:space="preserve"> greater than the 1.73 </w:t>
      </w:r>
      <w:r w:rsidRPr="007D66D9">
        <w:t>lower bound of the 95% CI of the ratio used to describe the efficacy result.</w:t>
      </w:r>
    </w:p>
    <w:p w14:paraId="3C827701" w14:textId="77777777" w:rsidR="004A676D" w:rsidRDefault="007D66D9" w:rsidP="00EA7B92">
      <w:r w:rsidRPr="007D66D9">
        <w:t>The sensitivity (final) analysis usi</w:t>
      </w:r>
      <w:r w:rsidR="003673F6">
        <w:t>ng</w:t>
      </w:r>
      <w:r w:rsidRPr="007D66D9">
        <w:t xml:space="preserve"> the final results also showed a ratio of the hazard of relapse of schizophrenia symptoms was 3.81 (95% CI: </w:t>
      </w:r>
      <w:r w:rsidRPr="00C04372">
        <w:t>2.08</w:t>
      </w:r>
      <w:r w:rsidRPr="007D66D9">
        <w:t xml:space="preserve">, 6.99 </w:t>
      </w:r>
      <w:r w:rsidR="00785F6E">
        <w:t>that is</w:t>
      </w:r>
      <w:r w:rsidRPr="007D66D9">
        <w:t xml:space="preserve"> a lower bound still less than 2.27) times higher for a subject switchi</w:t>
      </w:r>
      <w:r w:rsidR="003673F6">
        <w:t>ng</w:t>
      </w:r>
      <w:r w:rsidRPr="007D66D9">
        <w:t xml:space="preserve"> to placebo than for a subject continui</w:t>
      </w:r>
      <w:r w:rsidR="003673F6">
        <w:t>ng</w:t>
      </w:r>
      <w:r w:rsidRPr="007D66D9">
        <w:t xml:space="preserve"> to receive Invega Trinza</w:t>
      </w:r>
      <w:r w:rsidR="004A676D">
        <w:t>.</w:t>
      </w:r>
    </w:p>
    <w:p w14:paraId="741C2DDD" w14:textId="77777777" w:rsidR="007D66D9" w:rsidRPr="007D66D9" w:rsidRDefault="007D66D9" w:rsidP="00EA7B92">
      <w:r w:rsidRPr="007D66D9">
        <w:t>The minutes of the Independent Data Monitori</w:t>
      </w:r>
      <w:r w:rsidR="003673F6">
        <w:t>ng</w:t>
      </w:r>
      <w:r w:rsidRPr="007D66D9">
        <w:t xml:space="preserve"> Committee show:</w:t>
      </w:r>
    </w:p>
    <w:p w14:paraId="78186294" w14:textId="77777777" w:rsidR="007D66D9" w:rsidRPr="00EA7B92" w:rsidRDefault="007D66D9" w:rsidP="007D66D9">
      <w:pPr>
        <w:ind w:left="284"/>
        <w:rPr>
          <w:rFonts w:cs="Arial"/>
          <w:i/>
        </w:rPr>
      </w:pPr>
      <w:r w:rsidRPr="00EA7B92">
        <w:rPr>
          <w:rFonts w:cs="Arial"/>
          <w:i/>
        </w:rPr>
        <w:t>IDMC members agreed that the difference between treatment groups in relapse rates was highly statistically significant and met criteria for early study termination.</w:t>
      </w:r>
    </w:p>
    <w:p w14:paraId="5A8ACC2A" w14:textId="77777777" w:rsidR="007D66D9" w:rsidRPr="00EA7B92" w:rsidRDefault="007D66D9" w:rsidP="007D66D9">
      <w:pPr>
        <w:ind w:left="284"/>
        <w:rPr>
          <w:rFonts w:cs="Arial"/>
          <w:i/>
        </w:rPr>
      </w:pPr>
      <w:r w:rsidRPr="00EA7B92">
        <w:rPr>
          <w:rFonts w:cs="Arial"/>
          <w:i/>
        </w:rPr>
        <w:t>Based on the review of the interim analysis of the primary efficacy data, the IDMC members voted unanimously, includi</w:t>
      </w:r>
      <w:r w:rsidR="003673F6">
        <w:rPr>
          <w:rFonts w:cs="Arial"/>
          <w:i/>
        </w:rPr>
        <w:t>ng</w:t>
      </w:r>
      <w:r w:rsidRPr="00EA7B92">
        <w:rPr>
          <w:rFonts w:cs="Arial"/>
          <w:i/>
        </w:rPr>
        <w:t xml:space="preserve"> also Rene Kahn’s vote, to discontinue the study due to established efficacy within the pre-specified significance level.</w:t>
      </w:r>
    </w:p>
    <w:p w14:paraId="19C73F9A" w14:textId="77777777" w:rsidR="004A676D" w:rsidRPr="00EA7B92" w:rsidRDefault="007D66D9" w:rsidP="007D66D9">
      <w:pPr>
        <w:ind w:left="284"/>
        <w:rPr>
          <w:rFonts w:cs="Arial"/>
          <w:i/>
        </w:rPr>
      </w:pPr>
      <w:r w:rsidRPr="00EA7B92">
        <w:rPr>
          <w:rFonts w:cs="Arial"/>
          <w:i/>
        </w:rPr>
        <w:t>Based on these positive results in favour of PP3M, the study was stopped for efficacy in accordance with the recommendation of the IDMC</w:t>
      </w:r>
      <w:r w:rsidR="004A676D" w:rsidRPr="00EA7B92">
        <w:rPr>
          <w:rFonts w:cs="Arial"/>
          <w:i/>
        </w:rPr>
        <w:t>.</w:t>
      </w:r>
    </w:p>
    <w:p w14:paraId="0BDFB058" w14:textId="77777777" w:rsidR="007D66D9" w:rsidRPr="007D66D9" w:rsidRDefault="007D66D9" w:rsidP="00EA7B92">
      <w:r w:rsidRPr="007D66D9">
        <w:t>The minutes do not show that clinical relevance of the difference was discussed.</w:t>
      </w:r>
    </w:p>
    <w:p w14:paraId="1F7CD8B1" w14:textId="77777777" w:rsidR="004A676D" w:rsidRDefault="007D66D9" w:rsidP="00EA7B92">
      <w:r w:rsidRPr="007D66D9">
        <w:t>After receivi</w:t>
      </w:r>
      <w:r w:rsidR="003673F6">
        <w:t>ng</w:t>
      </w:r>
      <w:r w:rsidRPr="007D66D9">
        <w:t xml:space="preserve"> the initial dose of Invega Trinza for the Maintenance Phase mean (SD) duration was 80.9 (15.18) days), only 9/(305 + 9) or 2.9% withdrew from lack of efficacy. In the Double Blind Phase of those whose treatment with Invega Trinza continued 14</w:t>
      </w:r>
      <w:proofErr w:type="gramStart"/>
      <w:r w:rsidRPr="007D66D9">
        <w:t>/(</w:t>
      </w:r>
      <w:proofErr w:type="gramEnd"/>
      <w:r w:rsidRPr="007D66D9">
        <w:t>134 + 14) or 9.5% withdrew from relapse. While there was a lo</w:t>
      </w:r>
      <w:r w:rsidR="003673F6">
        <w:t>ng</w:t>
      </w:r>
      <w:r w:rsidRPr="007D66D9">
        <w:t xml:space="preserve">er exposure (mean 175.1 days) in the </w:t>
      </w:r>
      <w:r w:rsidRPr="00EA7B92">
        <w:t>Double Blind phase</w:t>
      </w:r>
      <w:r w:rsidRPr="00EA7B92">
        <w:rPr>
          <w:vertAlign w:val="superscript"/>
        </w:rPr>
        <w:footnoteReference w:id="26"/>
      </w:r>
      <w:r w:rsidRPr="00EA7B92">
        <w:t xml:space="preserve"> the</w:t>
      </w:r>
      <w:r w:rsidRPr="007D66D9">
        <w:t xml:space="preserve"> relapse rate is still greater, especially of concern when the PKs results show that exposure gradually increases from the initial dose until steady state is reached </w:t>
      </w:r>
      <w:r w:rsidR="00785F6E">
        <w:t>that is</w:t>
      </w:r>
      <w:r w:rsidRPr="007D66D9">
        <w:t xml:space="preserve"> one would expect more relapses to occur earlier</w:t>
      </w:r>
      <w:r w:rsidR="004A676D">
        <w:t>.</w:t>
      </w:r>
    </w:p>
    <w:p w14:paraId="1391C509" w14:textId="77777777" w:rsidR="007D66D9" w:rsidRPr="004B259C" w:rsidRDefault="007D66D9" w:rsidP="007D66D9">
      <w:pPr>
        <w:pStyle w:val="Heading5"/>
      </w:pPr>
      <w:r w:rsidRPr="004B259C">
        <w:t xml:space="preserve">Results for </w:t>
      </w:r>
      <w:r>
        <w:t>secondary</w:t>
      </w:r>
      <w:r w:rsidRPr="004B259C">
        <w:t xml:space="preserve"> efficacy outcomes</w:t>
      </w:r>
    </w:p>
    <w:p w14:paraId="5A40AFBA" w14:textId="77777777" w:rsidR="007D66D9" w:rsidRPr="007D66D9" w:rsidRDefault="007D66D9" w:rsidP="00EA7B92">
      <w:r w:rsidRPr="007D66D9">
        <w:t>No multiplicity adjustments were to be made.</w:t>
      </w:r>
    </w:p>
    <w:p w14:paraId="7EA25B04" w14:textId="77777777" w:rsidR="007D66D9" w:rsidRPr="007D66D9" w:rsidRDefault="007D66D9" w:rsidP="00EA7B92">
      <w:pPr>
        <w:pStyle w:val="ListBullet"/>
      </w:pPr>
      <w:r w:rsidRPr="007D66D9">
        <w:lastRenderedPageBreak/>
        <w:t>PANSS (total) at End point (double blind) mean (SD) cha</w:t>
      </w:r>
      <w:r w:rsidR="003673F6">
        <w:t>ng</w:t>
      </w:r>
      <w:r w:rsidRPr="007D66D9">
        <w:t>e from Baseline was placebo 6.7 (14.40), Invega Trinza -0.5 (8.36).</w:t>
      </w:r>
    </w:p>
    <w:p w14:paraId="358AB099" w14:textId="77777777" w:rsidR="007D66D9" w:rsidRPr="007D66D9" w:rsidRDefault="007D66D9" w:rsidP="00EA7B92">
      <w:pPr>
        <w:pStyle w:val="ListBullet"/>
      </w:pPr>
      <w:r w:rsidRPr="007D66D9">
        <w:t>CGI-S Score at End point (double blind) mean (SD) cha</w:t>
      </w:r>
      <w:r w:rsidR="003673F6">
        <w:t>ng</w:t>
      </w:r>
      <w:r w:rsidRPr="007D66D9">
        <w:t>e from Baseline was placebo 0.4 (0.87), Invega Trinza 0.1 (0.60).</w:t>
      </w:r>
    </w:p>
    <w:p w14:paraId="24A5B912" w14:textId="77777777" w:rsidR="004A676D" w:rsidRDefault="007D66D9" w:rsidP="00EA7B92">
      <w:pPr>
        <w:pStyle w:val="ListBullet"/>
      </w:pPr>
      <w:r w:rsidRPr="007D66D9">
        <w:t>PSP (total) at End point (double blind) mean (SD) cha</w:t>
      </w:r>
      <w:r w:rsidR="003673F6">
        <w:t>ng</w:t>
      </w:r>
      <w:r w:rsidRPr="007D66D9">
        <w:t>e from Baseline was placebo -4.2 (9.70), Invega Trinza-0.5 (6.63)</w:t>
      </w:r>
      <w:r w:rsidR="004A676D">
        <w:t>.</w:t>
      </w:r>
    </w:p>
    <w:p w14:paraId="04B9B911" w14:textId="77777777" w:rsidR="007D66D9" w:rsidRPr="00C04372" w:rsidRDefault="007D66D9" w:rsidP="005A18C6">
      <w:pPr>
        <w:pStyle w:val="FigureTitle"/>
        <w:keepNext/>
      </w:pPr>
      <w:bookmarkStart w:id="196" w:name="_Ref440359631"/>
      <w:bookmarkStart w:id="197" w:name="_Toc453055072"/>
      <w:r w:rsidRPr="00531123">
        <w:t xml:space="preserve">Figure </w:t>
      </w:r>
      <w:r w:rsidR="00531123" w:rsidRPr="00531123">
        <w:t>31:</w:t>
      </w:r>
      <w:r w:rsidRPr="00531123">
        <w:t xml:space="preserve"> Kaplan-Meier </w:t>
      </w:r>
      <w:r w:rsidR="00EA7B92" w:rsidRPr="00531123">
        <w:t>plot</w:t>
      </w:r>
      <w:r w:rsidR="00EA7B92" w:rsidRPr="00C04372">
        <w:t xml:space="preserve"> of time to relapse</w:t>
      </w:r>
      <w:r w:rsidR="00EA7B92">
        <w:t xml:space="preserve">; double </w:t>
      </w:r>
      <w:r w:rsidR="00531123">
        <w:t>blind phase;</w:t>
      </w:r>
      <w:r w:rsidR="00EA7B92" w:rsidRPr="00C04372">
        <w:t xml:space="preserve"> interim analysis</w:t>
      </w:r>
      <w:bookmarkEnd w:id="196"/>
      <w:bookmarkEnd w:id="197"/>
    </w:p>
    <w:p w14:paraId="63FD6643" w14:textId="77777777" w:rsidR="007D66D9" w:rsidRPr="007D66D9" w:rsidRDefault="007D66D9" w:rsidP="007D66D9">
      <w:r w:rsidRPr="007D66D9">
        <w:rPr>
          <w:noProof/>
          <w:lang w:eastAsia="en-AU"/>
        </w:rPr>
        <w:drawing>
          <wp:inline distT="0" distB="0" distL="0" distR="0" wp14:anchorId="72C2F721" wp14:editId="3C8FA27A">
            <wp:extent cx="5332781" cy="3338686"/>
            <wp:effectExtent l="0" t="0" r="1270" b="0"/>
            <wp:docPr id="130" name="Picture 130" descr="Figure 31: Kaplan-Meier plot of time to relapse; double blind phase;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334453" cy="3339733"/>
                    </a:xfrm>
                    <a:prstGeom prst="rect">
                      <a:avLst/>
                    </a:prstGeom>
                  </pic:spPr>
                </pic:pic>
              </a:graphicData>
            </a:graphic>
          </wp:inline>
        </w:drawing>
      </w:r>
    </w:p>
    <w:p w14:paraId="0B49152D" w14:textId="77777777" w:rsidR="007D66D9" w:rsidRPr="00C04372" w:rsidRDefault="007D66D9" w:rsidP="005A18C6">
      <w:pPr>
        <w:pStyle w:val="FigureTitle"/>
        <w:keepNext/>
      </w:pPr>
      <w:bookmarkStart w:id="198" w:name="_Ref440359644"/>
      <w:bookmarkStart w:id="199" w:name="_Toc453055073"/>
      <w:r w:rsidRPr="00531123">
        <w:t xml:space="preserve">Figure </w:t>
      </w:r>
      <w:r w:rsidR="00531123" w:rsidRPr="00531123">
        <w:t>32:</w:t>
      </w:r>
      <w:r w:rsidRPr="00531123">
        <w:t xml:space="preserve"> Kaplan-Meier</w:t>
      </w:r>
      <w:r w:rsidRPr="00C04372">
        <w:t xml:space="preserve"> </w:t>
      </w:r>
      <w:r w:rsidR="00EA7B92" w:rsidRPr="00C04372">
        <w:t>p</w:t>
      </w:r>
      <w:r w:rsidR="00EA7B92">
        <w:t xml:space="preserve">lot of time to relapse; double </w:t>
      </w:r>
      <w:r w:rsidR="00531123">
        <w:t>blind phase;</w:t>
      </w:r>
      <w:r w:rsidR="00EA7B92" w:rsidRPr="00C04372">
        <w:t xml:space="preserve"> final (confirmatory) analysis</w:t>
      </w:r>
      <w:bookmarkEnd w:id="198"/>
      <w:bookmarkEnd w:id="199"/>
    </w:p>
    <w:p w14:paraId="0DBE03FE" w14:textId="77777777" w:rsidR="007D66D9" w:rsidRPr="007D66D9" w:rsidRDefault="007D66D9" w:rsidP="007D66D9">
      <w:r w:rsidRPr="007D66D9">
        <w:rPr>
          <w:noProof/>
          <w:lang w:eastAsia="en-AU"/>
        </w:rPr>
        <w:drawing>
          <wp:inline distT="0" distB="0" distL="0" distR="0" wp14:anchorId="6D58F4F7" wp14:editId="08BA8EFC">
            <wp:extent cx="4929284" cy="3006547"/>
            <wp:effectExtent l="0" t="0" r="5080" b="3810"/>
            <wp:docPr id="131" name="Picture 131" descr="Figure 32: Kaplan-Meier plot of time to relapse; double blind phase; final (confirmato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930186" cy="3007097"/>
                    </a:xfrm>
                    <a:prstGeom prst="rect">
                      <a:avLst/>
                    </a:prstGeom>
                  </pic:spPr>
                </pic:pic>
              </a:graphicData>
            </a:graphic>
          </wp:inline>
        </w:drawing>
      </w:r>
    </w:p>
    <w:p w14:paraId="4DABD3EE" w14:textId="77777777" w:rsidR="007D66D9" w:rsidRPr="00C04372" w:rsidRDefault="007D66D9" w:rsidP="00DA386F">
      <w:pPr>
        <w:pStyle w:val="Tabletitle"/>
      </w:pPr>
      <w:bookmarkStart w:id="200" w:name="_Toc453054999"/>
      <w:r w:rsidRPr="00531123">
        <w:lastRenderedPageBreak/>
        <w:t xml:space="preserve">Table </w:t>
      </w:r>
      <w:r w:rsidR="00531123" w:rsidRPr="00531123">
        <w:t>36:</w:t>
      </w:r>
      <w:r w:rsidRPr="00531123">
        <w:t xml:space="preserve"> Frequency </w:t>
      </w:r>
      <w:r w:rsidR="00EA7B92" w:rsidRPr="00531123">
        <w:t>dis</w:t>
      </w:r>
      <w:r w:rsidR="00EA7B92" w:rsidRPr="00C04372">
        <w:t>tribution of relapse type</w:t>
      </w:r>
      <w:r w:rsidR="00EA7B92">
        <w:t>s and reasons duri</w:t>
      </w:r>
      <w:r w:rsidR="003673F6">
        <w:t>ng</w:t>
      </w:r>
      <w:r w:rsidR="00EA7B92">
        <w:t xml:space="preserve"> the double </w:t>
      </w:r>
      <w:r w:rsidR="00531123">
        <w:t>blind phase;</w:t>
      </w:r>
      <w:r w:rsidR="00EA7B92" w:rsidRPr="00C04372">
        <w:t xml:space="preserve"> interim analys</w:t>
      </w:r>
      <w:r w:rsidRPr="00C04372">
        <w:t>is</w:t>
      </w:r>
      <w:bookmarkEnd w:id="200"/>
    </w:p>
    <w:p w14:paraId="53EE3531" w14:textId="77777777" w:rsidR="007D66D9" w:rsidRPr="007D66D9" w:rsidRDefault="007D66D9" w:rsidP="00DC3589">
      <w:r w:rsidRPr="007D66D9">
        <w:rPr>
          <w:noProof/>
          <w:lang w:eastAsia="en-AU"/>
        </w:rPr>
        <w:drawing>
          <wp:inline distT="0" distB="0" distL="0" distR="0" wp14:anchorId="780C18B5" wp14:editId="031CDCAE">
            <wp:extent cx="4206240" cy="3183100"/>
            <wp:effectExtent l="0" t="0" r="3810" b="0"/>
            <wp:docPr id="132" name="Picture 132" descr="Table 36: Frequency distribution of relapse types and reasons during the double blind phase; interim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205279" cy="3182373"/>
                    </a:xfrm>
                    <a:prstGeom prst="rect">
                      <a:avLst/>
                    </a:prstGeom>
                  </pic:spPr>
                </pic:pic>
              </a:graphicData>
            </a:graphic>
          </wp:inline>
        </w:drawing>
      </w:r>
    </w:p>
    <w:p w14:paraId="747B6992" w14:textId="77777777" w:rsidR="00C04372" w:rsidRDefault="007D66D9" w:rsidP="00EA7B92">
      <w:pPr>
        <w:pStyle w:val="TableDescription"/>
      </w:pPr>
      <w:r w:rsidRPr="007D66D9">
        <w:t>Note: Percentages calculated with the number of subjects in each group as denominator.</w:t>
      </w:r>
    </w:p>
    <w:p w14:paraId="3D8DFEE6" w14:textId="77777777" w:rsidR="007D66D9" w:rsidRPr="003C0A48" w:rsidRDefault="007D66D9" w:rsidP="007D66D9">
      <w:pPr>
        <w:pStyle w:val="Heading4"/>
      </w:pPr>
      <w:bookmarkStart w:id="201" w:name="_Toc453054900"/>
      <w:r w:rsidRPr="003C0A48">
        <w:t>S</w:t>
      </w:r>
      <w:r>
        <w:t>tudy 3011</w:t>
      </w:r>
      <w:bookmarkEnd w:id="201"/>
    </w:p>
    <w:p w14:paraId="0B7896F3" w14:textId="77777777" w:rsidR="007D66D9" w:rsidRPr="003C0A48" w:rsidRDefault="007D66D9" w:rsidP="007D66D9">
      <w:pPr>
        <w:pStyle w:val="Heading5"/>
      </w:pPr>
      <w:r w:rsidRPr="003C0A48">
        <w:t>Study design, objectives, locations and dates</w:t>
      </w:r>
    </w:p>
    <w:p w14:paraId="2C439024" w14:textId="0880BEE6" w:rsidR="007D66D9" w:rsidRPr="007D66D9" w:rsidRDefault="00A81F03" w:rsidP="00EA7B92">
      <w:r>
        <w:t xml:space="preserve">This was </w:t>
      </w:r>
      <w:proofErr w:type="gramStart"/>
      <w:r>
        <w:t xml:space="preserve">a </w:t>
      </w:r>
      <w:r w:rsidR="007D66D9" w:rsidRPr="007D66D9">
        <w:t xml:space="preserve"> randomized</w:t>
      </w:r>
      <w:proofErr w:type="gramEnd"/>
      <w:r w:rsidR="007D66D9" w:rsidRPr="007D66D9">
        <w:t xml:space="preserve">, </w:t>
      </w:r>
      <w:r w:rsidR="00E60DFA">
        <w:t>double blind</w:t>
      </w:r>
      <w:r w:rsidR="007D66D9" w:rsidRPr="007D66D9">
        <w:t xml:space="preserve">, </w:t>
      </w:r>
      <w:r w:rsidR="00E60DFA">
        <w:t>parallel group</w:t>
      </w:r>
      <w:r w:rsidR="007D66D9" w:rsidRPr="007D66D9">
        <w:t>, multicentre non-inferiority study to determine if efficacy of paliperidone palmitate 3 month was non-inferior to the efficacy of 1 month formulation for the treatment of adults with schizophrenia.</w:t>
      </w:r>
    </w:p>
    <w:p w14:paraId="36FD80D5" w14:textId="77777777" w:rsidR="007D66D9" w:rsidRPr="007D66D9" w:rsidRDefault="007D66D9" w:rsidP="00EA7B92">
      <w:r w:rsidRPr="007D66D9">
        <w:t>The study consisted of 3 phases: Screeni</w:t>
      </w:r>
      <w:r w:rsidR="003673F6">
        <w:t>ng</w:t>
      </w:r>
      <w:r w:rsidRPr="007D66D9">
        <w:t xml:space="preserve">/Washout/Tolerability Phase a </w:t>
      </w:r>
      <w:r w:rsidR="00E60DFA">
        <w:t>17 week</w:t>
      </w:r>
      <w:r w:rsidRPr="007D66D9">
        <w:t xml:space="preserve"> flexible dose </w:t>
      </w:r>
      <w:r w:rsidR="004A676D">
        <w:t>Open label</w:t>
      </w:r>
      <w:r w:rsidRPr="007D66D9">
        <w:t xml:space="preserve"> Stabilization Phase (referred to as the </w:t>
      </w:r>
      <w:r w:rsidR="004A676D">
        <w:t>Open label</w:t>
      </w:r>
      <w:r w:rsidR="00EA7B92">
        <w:t xml:space="preserve"> Phase) and a 48 </w:t>
      </w:r>
      <w:r w:rsidRPr="007D66D9">
        <w:t>week</w:t>
      </w:r>
      <w:r w:rsidR="00EA7B92">
        <w:t xml:space="preserve"> randomized, fixed dose, Double </w:t>
      </w:r>
      <w:r w:rsidRPr="007D66D9">
        <w:t xml:space="preserve">blind Controlled Phase (referred to as the </w:t>
      </w:r>
      <w:r w:rsidR="009C7BEE">
        <w:t>Double blind Phase</w:t>
      </w:r>
      <w:r w:rsidRPr="007D66D9">
        <w:t>).</w:t>
      </w:r>
    </w:p>
    <w:p w14:paraId="3644375B" w14:textId="77777777" w:rsidR="007D66D9" w:rsidRPr="007D66D9" w:rsidRDefault="007D66D9" w:rsidP="00EA7B92">
      <w:r w:rsidRPr="007D66D9">
        <w:t>After completion of the Screeni</w:t>
      </w:r>
      <w:r w:rsidR="003673F6">
        <w:t>ng</w:t>
      </w:r>
      <w:r w:rsidRPr="007D66D9">
        <w:t xml:space="preserve"> Phase</w:t>
      </w:r>
      <w:r w:rsidR="00EA7B92">
        <w:t xml:space="preserve"> </w:t>
      </w:r>
      <w:r w:rsidRPr="007D66D9">
        <w:t xml:space="preserve">(up to 21 days), in the subsequent </w:t>
      </w:r>
      <w:r w:rsidR="004A676D">
        <w:t>Open label</w:t>
      </w:r>
      <w:r w:rsidRPr="007D66D9">
        <w:t xml:space="preserve"> Phase, all subjects received (with flexible dosi</w:t>
      </w:r>
      <w:r w:rsidR="003673F6">
        <w:t>ng</w:t>
      </w:r>
      <w:r w:rsidRPr="007D66D9">
        <w:t xml:space="preserve"> at Weeks 5 and 9) paliperidone palmitate </w:t>
      </w:r>
      <w:r w:rsidR="0058163A">
        <w:t>1 month</w:t>
      </w:r>
      <w:r w:rsidRPr="007D66D9">
        <w:t xml:space="preserve"> in</w:t>
      </w:r>
      <w:r w:rsidR="004A21B5">
        <w:t>jection for 17 weeks (120 days).</w:t>
      </w:r>
    </w:p>
    <w:p w14:paraId="720C7EF0" w14:textId="77777777" w:rsidR="007D66D9" w:rsidRPr="007D66D9" w:rsidRDefault="007D66D9" w:rsidP="00EA7B92">
      <w:r w:rsidRPr="007D66D9">
        <w:t xml:space="preserve">In the </w:t>
      </w:r>
      <w:r w:rsidR="009C7BEE">
        <w:t>Double blind Phase</w:t>
      </w:r>
      <w:r w:rsidRPr="007D66D9">
        <w:t xml:space="preserve"> at Week 17 subjects were </w:t>
      </w:r>
      <w:r w:rsidR="00E60DFA">
        <w:t xml:space="preserve">randomly </w:t>
      </w:r>
      <w:r w:rsidRPr="007D66D9">
        <w:t>assigned 1:1 to receive fixed doses of Invega Trinza or Invega Sustenna. Injections occurred every 4 weeks and subjects assigned to Invega Trinza received placebo injections (2 out of 3) to maintain the blind.</w:t>
      </w:r>
    </w:p>
    <w:p w14:paraId="646EB811" w14:textId="77777777" w:rsidR="007D66D9" w:rsidRPr="007D66D9" w:rsidRDefault="007D66D9" w:rsidP="00EA7B92">
      <w:r w:rsidRPr="007D66D9">
        <w:t>Conducted in multiple centres in Argentina (5 sites), Australia (2 sites), Austria (1 site), Belgium (7 sites), Brazil (1 site), Bulgaria (4 sites), Canada (5 sites), China (15 sites), Czech Republic (7 sites), France (4 sites),</w:t>
      </w:r>
      <w:r w:rsidR="004A676D">
        <w:t xml:space="preserve"> </w:t>
      </w:r>
      <w:r w:rsidRPr="007D66D9">
        <w:t>Germany (5 sites), Greece (3 sites), Hu</w:t>
      </w:r>
      <w:r w:rsidR="003673F6">
        <w:t>ng</w:t>
      </w:r>
      <w:r w:rsidRPr="007D66D9">
        <w:t>ary (6 sites), Japan (44 sites), Mexico (4 sites), Poland</w:t>
      </w:r>
      <w:r w:rsidR="004A676D">
        <w:t xml:space="preserve"> </w:t>
      </w:r>
      <w:r w:rsidRPr="007D66D9">
        <w:t>(8 sites), Portugal (5 sites),</w:t>
      </w:r>
      <w:r w:rsidR="004A676D">
        <w:t xml:space="preserve"> </w:t>
      </w:r>
      <w:r w:rsidRPr="007D66D9">
        <w:t>Republic</w:t>
      </w:r>
      <w:r w:rsidR="004A676D">
        <w:t xml:space="preserve"> </w:t>
      </w:r>
      <w:r w:rsidRPr="007D66D9">
        <w:t>of</w:t>
      </w:r>
      <w:r w:rsidR="004A676D">
        <w:t xml:space="preserve"> </w:t>
      </w:r>
      <w:r w:rsidRPr="007D66D9">
        <w:t>Korea</w:t>
      </w:r>
      <w:r w:rsidR="004A676D">
        <w:t xml:space="preserve"> </w:t>
      </w:r>
      <w:r w:rsidRPr="007D66D9">
        <w:t>(4 sites),</w:t>
      </w:r>
      <w:r w:rsidR="004A676D">
        <w:t xml:space="preserve"> </w:t>
      </w:r>
      <w:r w:rsidRPr="007D66D9">
        <w:t>Romania</w:t>
      </w:r>
      <w:r w:rsidR="004A676D">
        <w:t xml:space="preserve"> </w:t>
      </w:r>
      <w:r w:rsidRPr="007D66D9">
        <w:t>(2 sites),</w:t>
      </w:r>
      <w:r w:rsidR="004A676D">
        <w:t xml:space="preserve"> </w:t>
      </w:r>
      <w:r w:rsidRPr="007D66D9">
        <w:t>Russia</w:t>
      </w:r>
      <w:r w:rsidR="004A676D">
        <w:t xml:space="preserve"> </w:t>
      </w:r>
      <w:r w:rsidRPr="007D66D9">
        <w:t>(19</w:t>
      </w:r>
      <w:r w:rsidR="004A676D">
        <w:t xml:space="preserve"> </w:t>
      </w:r>
      <w:r w:rsidRPr="007D66D9">
        <w:t>sites),</w:t>
      </w:r>
      <w:r w:rsidR="004A676D">
        <w:t xml:space="preserve"> </w:t>
      </w:r>
      <w:r w:rsidRPr="007D66D9">
        <w:t>Slovakia</w:t>
      </w:r>
      <w:r w:rsidR="004A676D">
        <w:t xml:space="preserve"> </w:t>
      </w:r>
      <w:r w:rsidRPr="007D66D9">
        <w:t>(4 sites),</w:t>
      </w:r>
      <w:r w:rsidR="004A676D">
        <w:t xml:space="preserve"> </w:t>
      </w:r>
      <w:r w:rsidRPr="007D66D9">
        <w:t>Spain (10 sites), Sweden (1 site), Taiwan (4 sites), Ukraine (8 sites), and USA (24 sites) between 26 April 2012 and 02 March 2015.</w:t>
      </w:r>
    </w:p>
    <w:p w14:paraId="06986030" w14:textId="77777777" w:rsidR="007D66D9" w:rsidRPr="007D66D9" w:rsidRDefault="007D66D9" w:rsidP="00EA7B92">
      <w:r w:rsidRPr="007D66D9">
        <w:t xml:space="preserve">The </w:t>
      </w:r>
      <w:r w:rsidRPr="00C04372">
        <w:t>primary objective</w:t>
      </w:r>
      <w:r w:rsidRPr="007D66D9">
        <w:t xml:space="preserve"> was to demonstrate, in subjects stabilized on the paliperidone palmitate </w:t>
      </w:r>
      <w:r w:rsidR="00EA7B92">
        <w:t>1 </w:t>
      </w:r>
      <w:r w:rsidR="0058163A">
        <w:t>month</w:t>
      </w:r>
      <w:r w:rsidRPr="007D66D9">
        <w:t xml:space="preserve"> formulation, that paliperidone palmitate 3 month formulation was not less effective than Invega Sustenna in the treatment of symptoms of schizophreni</w:t>
      </w:r>
      <w:r w:rsidR="00EA7B92">
        <w:t>a, based on the Kaplan-Meier 48 </w:t>
      </w:r>
      <w:r w:rsidRPr="007D66D9">
        <w:t>week cumulative estimate of survival (</w:t>
      </w:r>
      <w:r w:rsidR="00785F6E">
        <w:t>that is</w:t>
      </w:r>
      <w:r w:rsidRPr="007D66D9">
        <w:t xml:space="preserve"> percentage of subjects remaini</w:t>
      </w:r>
      <w:r w:rsidR="003673F6">
        <w:t>ng</w:t>
      </w:r>
      <w:r w:rsidRPr="007D66D9">
        <w:t xml:space="preserve"> relapse free).</w:t>
      </w:r>
    </w:p>
    <w:p w14:paraId="1EAEB628" w14:textId="77777777" w:rsidR="007D66D9" w:rsidRPr="007D66D9" w:rsidRDefault="007D66D9" w:rsidP="00B06D8A">
      <w:pPr>
        <w:keepNext/>
      </w:pPr>
      <w:r w:rsidRPr="007D66D9">
        <w:lastRenderedPageBreak/>
        <w:t xml:space="preserve">The </w:t>
      </w:r>
      <w:r w:rsidRPr="00C04372">
        <w:t>secondary objectives</w:t>
      </w:r>
      <w:r w:rsidRPr="007D66D9">
        <w:t xml:space="preserve"> were to:</w:t>
      </w:r>
    </w:p>
    <w:p w14:paraId="2F8ED028" w14:textId="77777777" w:rsidR="007D66D9" w:rsidRPr="007D66D9" w:rsidRDefault="007D66D9" w:rsidP="00EA7B92">
      <w:pPr>
        <w:pStyle w:val="ListBullet"/>
      </w:pPr>
      <w:r w:rsidRPr="007D66D9">
        <w:t>Evaluate the cha</w:t>
      </w:r>
      <w:r w:rsidR="003673F6">
        <w:t>ng</w:t>
      </w:r>
      <w:r w:rsidRPr="007D66D9">
        <w:t>e from baseline (</w:t>
      </w:r>
      <w:r w:rsidR="00531123">
        <w:t>double blind phase</w:t>
      </w:r>
      <w:r w:rsidRPr="007D66D9">
        <w:t>) in the positive and negative symptoms of schizophrenia associated with the use of Invega Trinza compared with Invega Sustenna, as measured by the Positive and Negative Syndrome Scale for Schizophrenia (PANSS) total score and subscales.</w:t>
      </w:r>
    </w:p>
    <w:p w14:paraId="14D46E25" w14:textId="77777777" w:rsidR="007D66D9" w:rsidRPr="007D66D9" w:rsidRDefault="007D66D9" w:rsidP="00EA7B92">
      <w:pPr>
        <w:pStyle w:val="ListBullet"/>
      </w:pPr>
      <w:r w:rsidRPr="007D66D9">
        <w:t>Assess the cha</w:t>
      </w:r>
      <w:r w:rsidR="003673F6">
        <w:t>ng</w:t>
      </w:r>
      <w:r w:rsidRPr="007D66D9">
        <w:t>e in the severity of illness associated with the use of Invega Trinza compared with Invega Sustenna as measured by the cha</w:t>
      </w:r>
      <w:r w:rsidR="003673F6">
        <w:t>ng</w:t>
      </w:r>
      <w:r w:rsidRPr="007D66D9">
        <w:t>e in Clinical Global Impression Severity (CGI-S) scale.</w:t>
      </w:r>
    </w:p>
    <w:p w14:paraId="34922C3A" w14:textId="77777777" w:rsidR="007D66D9" w:rsidRPr="007D66D9" w:rsidRDefault="007D66D9" w:rsidP="00EA7B92">
      <w:pPr>
        <w:pStyle w:val="ListBullet"/>
      </w:pPr>
      <w:r w:rsidRPr="007D66D9">
        <w:t>Assess the cha</w:t>
      </w:r>
      <w:r w:rsidR="003673F6">
        <w:t>ng</w:t>
      </w:r>
      <w:r w:rsidRPr="007D66D9">
        <w:t>e in functional status with the use of Invega Trinza compared to Invega Sustenna as measured by the cha</w:t>
      </w:r>
      <w:r w:rsidR="003673F6">
        <w:t>ng</w:t>
      </w:r>
      <w:r w:rsidRPr="007D66D9">
        <w:t>e in personal and social performance scale (PSP).</w:t>
      </w:r>
    </w:p>
    <w:p w14:paraId="66B77C0B" w14:textId="77777777" w:rsidR="007D66D9" w:rsidRPr="007D66D9" w:rsidRDefault="007D66D9" w:rsidP="00EA7B92">
      <w:pPr>
        <w:pStyle w:val="ListBullet"/>
      </w:pPr>
      <w:r w:rsidRPr="007D66D9">
        <w:t>Assess symptomatic remission achieved duri</w:t>
      </w:r>
      <w:r w:rsidR="003673F6">
        <w:t>ng</w:t>
      </w:r>
      <w:r w:rsidRPr="007D66D9">
        <w:t xml:space="preserve"> treatment with Invega Trinza compared to Invega Sustenna.</w:t>
      </w:r>
    </w:p>
    <w:p w14:paraId="281E9D12" w14:textId="77777777" w:rsidR="007D66D9" w:rsidRPr="007D66D9" w:rsidRDefault="007D66D9" w:rsidP="00EA7B92">
      <w:pPr>
        <w:pStyle w:val="ListBullet"/>
      </w:pPr>
      <w:r w:rsidRPr="007D66D9">
        <w:t>Assess the safety and tolerability of Invega Trinza and Invega Sustenna.</w:t>
      </w:r>
    </w:p>
    <w:p w14:paraId="397C84AB" w14:textId="77777777" w:rsidR="007D66D9" w:rsidRPr="007D66D9" w:rsidRDefault="007D66D9" w:rsidP="00EA7B92">
      <w:pPr>
        <w:pStyle w:val="ListBullet"/>
      </w:pPr>
      <w:r w:rsidRPr="007D66D9">
        <w:t>Assess the pharmacokinetics of Invega Trinza, includi</w:t>
      </w:r>
      <w:r w:rsidR="003673F6">
        <w:t>ng</w:t>
      </w:r>
      <w:r w:rsidRPr="007D66D9">
        <w:t xml:space="preserve"> its relationship with demographic and </w:t>
      </w:r>
      <w:r w:rsidR="009F467D">
        <w:t>dose related</w:t>
      </w:r>
      <w:r w:rsidRPr="007D66D9">
        <w:t xml:space="preserve"> variables</w:t>
      </w:r>
      <w:r w:rsidR="004A21B5">
        <w:t>.</w:t>
      </w:r>
    </w:p>
    <w:p w14:paraId="78FA78BF" w14:textId="77777777" w:rsidR="007D66D9" w:rsidRPr="007D66D9" w:rsidRDefault="007D66D9" w:rsidP="007D66D9">
      <w:r w:rsidRPr="007D66D9">
        <w:t xml:space="preserve">There were 5 </w:t>
      </w:r>
      <w:r w:rsidRPr="00C04372">
        <w:t>exploratory objectives</w:t>
      </w:r>
      <w:r w:rsidRPr="007D66D9">
        <w:t>.</w:t>
      </w:r>
    </w:p>
    <w:p w14:paraId="3BF7356B" w14:textId="77777777" w:rsidR="007D66D9" w:rsidRDefault="007D66D9" w:rsidP="007D66D9">
      <w:pPr>
        <w:pStyle w:val="Heading5"/>
      </w:pPr>
      <w:r w:rsidRPr="004B259C">
        <w:t xml:space="preserve">Inclusion </w:t>
      </w:r>
      <w:r w:rsidR="00EA7B92">
        <w:t>criteria</w:t>
      </w:r>
    </w:p>
    <w:p w14:paraId="15C9116E" w14:textId="77777777" w:rsidR="004A676D" w:rsidRPr="00EA7B92" w:rsidRDefault="00EA7B92" w:rsidP="00EA7B92">
      <w:pPr>
        <w:pStyle w:val="ListBullet"/>
      </w:pPr>
      <w:r w:rsidRPr="00EA7B92">
        <w:t>18 to</w:t>
      </w:r>
      <w:r w:rsidR="007D66D9" w:rsidRPr="00EA7B92">
        <w:t xml:space="preserve"> 70 years of age (inclusive)</w:t>
      </w:r>
      <w:r w:rsidR="004A676D" w:rsidRPr="00EA7B92">
        <w:t>.</w:t>
      </w:r>
    </w:p>
    <w:p w14:paraId="5DAE6E58" w14:textId="77777777" w:rsidR="004A676D" w:rsidRPr="00EA7B92" w:rsidRDefault="007D66D9" w:rsidP="00EA7B92">
      <w:pPr>
        <w:pStyle w:val="ListBullet"/>
      </w:pPr>
      <w:r w:rsidRPr="00EA7B92">
        <w:t>A diagnosis of schizophrenia for at least1 year before screeni</w:t>
      </w:r>
      <w:r w:rsidR="003673F6">
        <w:t>ng</w:t>
      </w:r>
      <w:r w:rsidR="004A676D" w:rsidRPr="00EA7B92">
        <w:t>.</w:t>
      </w:r>
    </w:p>
    <w:p w14:paraId="07CC0774" w14:textId="77777777" w:rsidR="007D66D9" w:rsidRPr="00EA7B92" w:rsidRDefault="007D66D9" w:rsidP="00EA7B92">
      <w:pPr>
        <w:pStyle w:val="ListBullet"/>
      </w:pPr>
      <w:r w:rsidRPr="00EA7B92">
        <w:t>A total PANSS score between 70 and 120; and whose symptoms were worseni</w:t>
      </w:r>
      <w:r w:rsidR="003673F6">
        <w:t>ng</w:t>
      </w:r>
      <w:r w:rsidRPr="00EA7B92">
        <w:t>.</w:t>
      </w:r>
    </w:p>
    <w:p w14:paraId="3946ACAE" w14:textId="77777777" w:rsidR="007D66D9" w:rsidRPr="00EA7B92" w:rsidRDefault="007D66D9" w:rsidP="00EA7B92">
      <w:pPr>
        <w:pStyle w:val="ListBullet"/>
      </w:pPr>
      <w:r w:rsidRPr="00EA7B92">
        <w:t>Had a valid reason to discontinue current antipsychotic therapy (includi</w:t>
      </w:r>
      <w:r w:rsidR="003673F6">
        <w:t>ng</w:t>
      </w:r>
      <w:r w:rsidRPr="00EA7B92">
        <w:t xml:space="preserve"> insufficient efficacy with current therapy, safety or tolerability issues, or subject preferen</w:t>
      </w:r>
      <w:r w:rsidR="00C04372" w:rsidRPr="00EA7B92">
        <w:t>ce for injectable medications).</w:t>
      </w:r>
    </w:p>
    <w:p w14:paraId="675B6A3F" w14:textId="77777777" w:rsidR="007D66D9" w:rsidRPr="007D66D9" w:rsidRDefault="007D66D9" w:rsidP="00EA7B92">
      <w:r w:rsidRPr="007D66D9">
        <w:t>To enter double blind phase:</w:t>
      </w:r>
    </w:p>
    <w:p w14:paraId="3907E753" w14:textId="77777777" w:rsidR="007D66D9" w:rsidRPr="007D66D9" w:rsidRDefault="007D66D9" w:rsidP="00EA7B92">
      <w:pPr>
        <w:pStyle w:val="ListBullet"/>
      </w:pPr>
      <w:r w:rsidRPr="007D66D9">
        <w:t>A score of &lt; 70 in the PANSS total score at Visits 7 and 8 (Weeks 14 and 17).</w:t>
      </w:r>
    </w:p>
    <w:p w14:paraId="7F423F54" w14:textId="77777777" w:rsidR="007D66D9" w:rsidRPr="007D66D9" w:rsidRDefault="007D66D9" w:rsidP="00EA7B92">
      <w:pPr>
        <w:pStyle w:val="ListBullet"/>
      </w:pPr>
      <w:r w:rsidRPr="007D66D9">
        <w:t>Scores of ≤ 4 for PANSS items P1 (delusions), P2 (conceptual disorganization), P3 (hallucinatory behaviour), P6 suspiciousness/persecution), P7 (hostility), G8 (uncooperativeness) and G14 (poor impulse control) at Visits 7 and 8 (Weeks 14 and 17).</w:t>
      </w:r>
    </w:p>
    <w:p w14:paraId="2B84741A" w14:textId="77777777" w:rsidR="007D66D9" w:rsidRPr="007D66D9" w:rsidRDefault="007D66D9" w:rsidP="00EA7B92">
      <w:pPr>
        <w:pStyle w:val="ListBullet"/>
      </w:pPr>
      <w:r w:rsidRPr="007D66D9">
        <w:t xml:space="preserve">Reduction in CGI-S score from </w:t>
      </w:r>
      <w:r w:rsidR="004A676D">
        <w:t>open label</w:t>
      </w:r>
      <w:r w:rsidRPr="007D66D9">
        <w:t xml:space="preserve"> baseline of ≥ 1 at Visits 7 and 8 (Weeks 14 and 17).</w:t>
      </w:r>
    </w:p>
    <w:p w14:paraId="1366C338" w14:textId="77777777" w:rsidR="007D66D9" w:rsidRPr="004B259C" w:rsidRDefault="007D66D9" w:rsidP="007D66D9">
      <w:pPr>
        <w:pStyle w:val="Heading5"/>
      </w:pPr>
      <w:r>
        <w:t>E</w:t>
      </w:r>
      <w:r w:rsidRPr="004B259C">
        <w:t>xclusion criteria</w:t>
      </w:r>
    </w:p>
    <w:p w14:paraId="685BF08A" w14:textId="77777777" w:rsidR="007D66D9" w:rsidRPr="007D66D9" w:rsidRDefault="007D66D9" w:rsidP="00EA7B92">
      <w:pPr>
        <w:pStyle w:val="ListBullet"/>
      </w:pPr>
      <w:r w:rsidRPr="007D66D9">
        <w:t>A primary, active Axis I diagnosis other than schizophrenia.</w:t>
      </w:r>
    </w:p>
    <w:p w14:paraId="2A27DCFD" w14:textId="77777777" w:rsidR="007D66D9" w:rsidRPr="007D66D9" w:rsidRDefault="007D66D9" w:rsidP="00EA7B92">
      <w:pPr>
        <w:pStyle w:val="ListBullet"/>
      </w:pPr>
      <w:r w:rsidRPr="007D66D9">
        <w:t>Attempted suicide within 12 months before screeni</w:t>
      </w:r>
      <w:r w:rsidR="003673F6">
        <w:t>ng</w:t>
      </w:r>
      <w:r w:rsidRPr="007D66D9">
        <w:t xml:space="preserve"> or were at imminent risk of suicide or violent behaviour.</w:t>
      </w:r>
    </w:p>
    <w:p w14:paraId="56559D3E" w14:textId="77777777" w:rsidR="007D66D9" w:rsidRPr="007D66D9" w:rsidRDefault="004A21B5" w:rsidP="00EA7B92">
      <w:pPr>
        <w:pStyle w:val="ListBullet"/>
      </w:pPr>
      <w:r>
        <w:t xml:space="preserve">A diagnosis of dementia </w:t>
      </w:r>
      <w:r w:rsidR="007D66D9" w:rsidRPr="007D66D9">
        <w:t>related psychosis.</w:t>
      </w:r>
    </w:p>
    <w:p w14:paraId="2D7E2A5E" w14:textId="77777777" w:rsidR="007D66D9" w:rsidRPr="007D66D9" w:rsidRDefault="007D66D9" w:rsidP="00EA7B92">
      <w:pPr>
        <w:pStyle w:val="ListBullet"/>
      </w:pPr>
      <w:r w:rsidRPr="007D66D9">
        <w:t>Relevant history or current presence of any significant or unstable cardiovascular, respiratory, neurological, renal, hepatic, hematologic, endocrine, i</w:t>
      </w:r>
      <w:r w:rsidR="00EA7B92">
        <w:t>mmunologic, morbid obesity (BMI </w:t>
      </w:r>
      <w:r w:rsidRPr="007D66D9">
        <w:t>&gt;</w:t>
      </w:r>
      <w:r w:rsidR="00EA7B92">
        <w:t> </w:t>
      </w:r>
      <w:r w:rsidRPr="007D66D9">
        <w:t>40</w:t>
      </w:r>
      <w:r w:rsidR="00EA7B92">
        <w:t> kg</w:t>
      </w:r>
      <w:r w:rsidRPr="007D66D9">
        <w:t>/m</w:t>
      </w:r>
      <w:r w:rsidRPr="007D66D9">
        <w:rPr>
          <w:vertAlign w:val="superscript"/>
        </w:rPr>
        <w:t>2</w:t>
      </w:r>
      <w:r w:rsidRPr="007D66D9">
        <w:t xml:space="preserve">), or other systemic disease, </w:t>
      </w:r>
      <w:proofErr w:type="spellStart"/>
      <w:r w:rsidRPr="007D66D9">
        <w:t>encephalopathic</w:t>
      </w:r>
      <w:proofErr w:type="spellEnd"/>
      <w:r w:rsidRPr="007D66D9">
        <w:t xml:space="preserve"> syndrome, mental retardation, risk factors for prolo</w:t>
      </w:r>
      <w:r w:rsidR="003673F6">
        <w:t>ng</w:t>
      </w:r>
      <w:r w:rsidRPr="007D66D9">
        <w:t>ed QT interval, torsade de pointes or sudden death.</w:t>
      </w:r>
    </w:p>
    <w:p w14:paraId="5C2C1FA1" w14:textId="77777777" w:rsidR="007D66D9" w:rsidRPr="007D66D9" w:rsidRDefault="007D66D9" w:rsidP="00EA7B92">
      <w:pPr>
        <w:pStyle w:val="ListBullet"/>
      </w:pPr>
      <w:r w:rsidRPr="007D66D9">
        <w:t>History of treatment resistance as defined by failure to respond to 2 adequate trials with adequate doses of different antipsychotic medications.</w:t>
      </w:r>
    </w:p>
    <w:p w14:paraId="23C64845" w14:textId="77777777" w:rsidR="007D66D9" w:rsidRPr="007D66D9" w:rsidRDefault="007D66D9" w:rsidP="00EA7B92">
      <w:pPr>
        <w:pStyle w:val="ListBullet"/>
      </w:pPr>
      <w:r w:rsidRPr="007D66D9">
        <w:t xml:space="preserve">Known or suspected hypersensitivity or intolerance to risperidone, </w:t>
      </w:r>
      <w:proofErr w:type="spellStart"/>
      <w:r w:rsidRPr="007D66D9">
        <w:t>paliperidone</w:t>
      </w:r>
      <w:proofErr w:type="spellEnd"/>
      <w:r w:rsidRPr="007D66D9">
        <w:t xml:space="preserve">, 20% </w:t>
      </w:r>
      <w:proofErr w:type="spellStart"/>
      <w:r w:rsidRPr="007D66D9">
        <w:t>Intralipid</w:t>
      </w:r>
      <w:proofErr w:type="spellEnd"/>
      <w:r w:rsidRPr="007D66D9">
        <w:t>, or any of their excipients.</w:t>
      </w:r>
    </w:p>
    <w:p w14:paraId="08CF3E4F" w14:textId="77777777" w:rsidR="007D66D9" w:rsidRPr="007D66D9" w:rsidRDefault="007D66D9" w:rsidP="00EA7B92">
      <w:pPr>
        <w:pStyle w:val="ListBullet"/>
      </w:pPr>
      <w:r w:rsidRPr="007D66D9">
        <w:lastRenderedPageBreak/>
        <w:t>History of no response to risperidone or paliperidone when psychotic or acutely psychotic.</w:t>
      </w:r>
    </w:p>
    <w:p w14:paraId="11961BDE" w14:textId="77777777" w:rsidR="007D66D9" w:rsidRPr="004B259C" w:rsidRDefault="007D66D9" w:rsidP="007D66D9">
      <w:pPr>
        <w:pStyle w:val="Heading5"/>
      </w:pPr>
      <w:r w:rsidRPr="004B259C">
        <w:t>Study treatments</w:t>
      </w:r>
    </w:p>
    <w:p w14:paraId="46B7CBD8" w14:textId="77777777" w:rsidR="007D66D9" w:rsidRPr="007D66D9" w:rsidRDefault="007D66D9" w:rsidP="007D66D9">
      <w:r w:rsidRPr="007D66D9">
        <w:t xml:space="preserve">On </w:t>
      </w:r>
      <w:r w:rsidRPr="00C04372">
        <w:t>entry to the study:</w:t>
      </w:r>
    </w:p>
    <w:p w14:paraId="14140027" w14:textId="77777777" w:rsidR="007D66D9" w:rsidRPr="007D66D9" w:rsidRDefault="007D66D9" w:rsidP="00EA7B92">
      <w:pPr>
        <w:pStyle w:val="ListBullet"/>
      </w:pPr>
      <w:r w:rsidRPr="007D66D9">
        <w:t>Subjects without documented exposure to oral or injectable risperidone or paliperidone. An oral tolerability test was conducted with Paliperidone ER 6</w:t>
      </w:r>
      <w:r w:rsidR="004A676D">
        <w:t xml:space="preserve"> mg</w:t>
      </w:r>
      <w:r w:rsidRPr="007D66D9">
        <w:t xml:space="preserve"> tablets were administered for 4 to 6 consecutive days duri</w:t>
      </w:r>
      <w:r w:rsidR="003673F6">
        <w:t>ng</w:t>
      </w:r>
      <w:r w:rsidRPr="007D66D9">
        <w:t xml:space="preserve"> the Screeni</w:t>
      </w:r>
      <w:r w:rsidR="003673F6">
        <w:t>ng</w:t>
      </w:r>
      <w:r w:rsidRPr="007D66D9">
        <w:t xml:space="preserve"> Phase (the last dose to be taken by Day -1)</w:t>
      </w:r>
    </w:p>
    <w:p w14:paraId="5E56941C" w14:textId="77777777" w:rsidR="007D66D9" w:rsidRPr="007D66D9" w:rsidRDefault="007D66D9" w:rsidP="00EA7B92">
      <w:pPr>
        <w:pStyle w:val="ListBullet"/>
      </w:pPr>
      <w:r w:rsidRPr="007D66D9">
        <w:t>Subjects Who Received Other Depot Antipsychotics Prior to Study Entry - the approach varied dependi</w:t>
      </w:r>
      <w:r w:rsidR="003673F6">
        <w:t>ng</w:t>
      </w:r>
      <w:r w:rsidRPr="007D66D9">
        <w:t xml:space="preserve"> on the medication.</w:t>
      </w:r>
    </w:p>
    <w:p w14:paraId="3A7CDC00" w14:textId="77777777" w:rsidR="007D66D9" w:rsidRPr="007D66D9" w:rsidRDefault="007D66D9" w:rsidP="00EA7B92">
      <w:r w:rsidRPr="007D66D9">
        <w:t>Duri</w:t>
      </w:r>
      <w:r w:rsidR="003673F6">
        <w:t>ng</w:t>
      </w:r>
      <w:r w:rsidRPr="007D66D9">
        <w:t xml:space="preserve"> the </w:t>
      </w:r>
      <w:r w:rsidRPr="00C04372">
        <w:t>Open Label Phase</w:t>
      </w:r>
      <w:r w:rsidRPr="007D66D9">
        <w:t>, all subjects received Invega Sustenna injections. All subjects who were not switchi</w:t>
      </w:r>
      <w:r w:rsidR="003673F6">
        <w:t>ng</w:t>
      </w:r>
      <w:r w:rsidRPr="007D66D9">
        <w:t xml:space="preserve"> from other depot antipsychotics received the first injection of 150</w:t>
      </w:r>
      <w:r w:rsidR="004A676D">
        <w:t xml:space="preserve"> mg</w:t>
      </w:r>
      <w:r w:rsidRPr="007D66D9">
        <w:t xml:space="preserve"> </w:t>
      </w:r>
      <w:r w:rsidR="004A676D">
        <w:t>equivalent</w:t>
      </w:r>
      <w:r w:rsidRPr="007D66D9">
        <w:t xml:space="preserve"> on Day 1 and the second injection of 100</w:t>
      </w:r>
      <w:r w:rsidR="004A676D">
        <w:t xml:space="preserve"> mg</w:t>
      </w:r>
      <w:r w:rsidRPr="007D66D9">
        <w:t xml:space="preserve"> </w:t>
      </w:r>
      <w:r w:rsidR="004A676D">
        <w:t>equivalent</w:t>
      </w:r>
      <w:r w:rsidRPr="007D66D9">
        <w:t xml:space="preserve"> on Day 8, both in the deltoid muscle.</w:t>
      </w:r>
    </w:p>
    <w:p w14:paraId="6310C011" w14:textId="77777777" w:rsidR="007D66D9" w:rsidRPr="007D66D9" w:rsidRDefault="007D66D9" w:rsidP="00EA7B92">
      <w:r w:rsidRPr="007D66D9">
        <w:t>The injections at Week 5 (Day 36) and Week 9 (Day 64) were flexibly dosed (50, 75, 100, or 150</w:t>
      </w:r>
      <w:r w:rsidR="004A676D">
        <w:t xml:space="preserve"> mg</w:t>
      </w:r>
      <w:r w:rsidRPr="007D66D9">
        <w:t xml:space="preserve"> </w:t>
      </w:r>
      <w:r w:rsidR="004A676D">
        <w:t>equivalent</w:t>
      </w:r>
      <w:r w:rsidRPr="007D66D9">
        <w:t>). At Week 13 (Day 92) subjects received the same dose of Invega Sustenna that was administered at Week 9.</w:t>
      </w:r>
    </w:p>
    <w:p w14:paraId="14A544BD" w14:textId="77777777" w:rsidR="007D66D9" w:rsidRPr="007D66D9" w:rsidRDefault="007D66D9" w:rsidP="00EA7B92">
      <w:r w:rsidRPr="007D66D9">
        <w:t>Duri</w:t>
      </w:r>
      <w:r w:rsidR="003673F6">
        <w:t>ng</w:t>
      </w:r>
      <w:r w:rsidRPr="007D66D9">
        <w:t xml:space="preserve"> the </w:t>
      </w:r>
      <w:r w:rsidR="009C7BEE">
        <w:t>Double blind Phase</w:t>
      </w:r>
      <w:r w:rsidRPr="007D66D9">
        <w:t xml:space="preserve">, subjects received </w:t>
      </w:r>
      <w:r w:rsidR="009C7BEE">
        <w:t>fixed dose</w:t>
      </w:r>
      <w:r w:rsidRPr="007D66D9">
        <w:t xml:space="preserve"> injections of either Invega Trinza (175, 263, 350, or </w:t>
      </w:r>
      <w:r w:rsidR="0058163A">
        <w:t>525</w:t>
      </w:r>
      <w:r w:rsidR="004A676D">
        <w:t xml:space="preserve"> mg</w:t>
      </w:r>
      <w:r w:rsidRPr="007D66D9">
        <w:t xml:space="preserve"> </w:t>
      </w:r>
      <w:r w:rsidR="004A676D">
        <w:t>equivalent</w:t>
      </w:r>
      <w:r w:rsidRPr="007D66D9">
        <w:t>) or Invega Sustenna (50, 75, 100, or 150</w:t>
      </w:r>
      <w:r w:rsidR="004A676D">
        <w:t xml:space="preserve"> mg</w:t>
      </w:r>
      <w:r w:rsidRPr="007D66D9">
        <w:t xml:space="preserve"> </w:t>
      </w:r>
      <w:r w:rsidR="004A676D">
        <w:t>equivalent</w:t>
      </w:r>
      <w:r w:rsidRPr="007D66D9">
        <w:t xml:space="preserve">). The injection site was the same as that selected at the end of the </w:t>
      </w:r>
      <w:r w:rsidR="004A676D">
        <w:t>Open label</w:t>
      </w:r>
      <w:r w:rsidRPr="007D66D9">
        <w:t xml:space="preserve"> Phase (</w:t>
      </w:r>
      <w:r w:rsidR="00785F6E">
        <w:t>that is</w:t>
      </w:r>
      <w:r w:rsidRPr="007D66D9">
        <w:t>, at Week 13).</w:t>
      </w:r>
    </w:p>
    <w:p w14:paraId="234AC41A" w14:textId="77777777" w:rsidR="007D66D9" w:rsidRPr="007D66D9" w:rsidRDefault="007D66D9" w:rsidP="00EA7B92">
      <w:r w:rsidRPr="007D66D9">
        <w:t>Subjects in the Invega Trinza treatment group received a fixed dose at Weeks 17, 29, 41, and 53 that was a 3</w:t>
      </w:r>
      <w:r w:rsidR="00EA7B92">
        <w:t>.5</w:t>
      </w:r>
      <w:r w:rsidR="009F467D">
        <w:t xml:space="preserve"> fold</w:t>
      </w:r>
      <w:r w:rsidRPr="007D66D9">
        <w:t xml:space="preserve"> multiple of the Invega Sustenna dose administered at Week 9. Subjects received active medication every 3 months and received matched placebo injections (20% </w:t>
      </w:r>
      <w:proofErr w:type="spellStart"/>
      <w:r w:rsidRPr="007D66D9">
        <w:t>Intralipid</w:t>
      </w:r>
      <w:proofErr w:type="spellEnd"/>
      <w:r w:rsidRPr="007D66D9">
        <w:t>) monthly when they did not receive active medication in order to maintain the blind.</w:t>
      </w:r>
    </w:p>
    <w:p w14:paraId="0651F131" w14:textId="77777777" w:rsidR="007D66D9" w:rsidRPr="007D66D9" w:rsidRDefault="007D66D9" w:rsidP="00EA7B92">
      <w:r w:rsidRPr="007D66D9">
        <w:t>Subjects in the Invega Sustenna treatment group received active medication every month at the dose that was administered at Week 9.</w:t>
      </w:r>
    </w:p>
    <w:p w14:paraId="109E8CD1" w14:textId="77777777" w:rsidR="007D66D9" w:rsidRPr="004B259C" w:rsidRDefault="007D66D9" w:rsidP="007D66D9">
      <w:pPr>
        <w:pStyle w:val="Heading5"/>
      </w:pPr>
      <w:r w:rsidRPr="004B259C">
        <w:t>Efficacy variables and outcomes</w:t>
      </w:r>
    </w:p>
    <w:p w14:paraId="2D8CE141" w14:textId="77777777" w:rsidR="004A676D" w:rsidRDefault="007D66D9" w:rsidP="00EA7B92">
      <w:r w:rsidRPr="007D66D9">
        <w:t xml:space="preserve">The </w:t>
      </w:r>
      <w:r w:rsidRPr="00C04372">
        <w:t xml:space="preserve">primary efficacy endpoint </w:t>
      </w:r>
      <w:r w:rsidRPr="007D66D9">
        <w:t>of the study was the percentage of subjects (per protocol) who had no</w:t>
      </w:r>
      <w:r w:rsidR="00EA7B92">
        <w:t xml:space="preserve">t relapsed at the end of the 48 </w:t>
      </w:r>
      <w:r w:rsidRPr="007D66D9">
        <w:t xml:space="preserve">week </w:t>
      </w:r>
      <w:r w:rsidR="009C7BEE">
        <w:t>Double blind Phase</w:t>
      </w:r>
      <w:r w:rsidRPr="007D66D9">
        <w:t>. This was determin</w:t>
      </w:r>
      <w:r w:rsidR="00EA7B92">
        <w:t xml:space="preserve">ed based on the Kaplan-Meier 48 </w:t>
      </w:r>
      <w:r w:rsidRPr="007D66D9">
        <w:t>week cumulative estimate of survival (</w:t>
      </w:r>
      <w:r w:rsidR="00785F6E">
        <w:t>that is</w:t>
      </w:r>
      <w:r w:rsidRPr="007D66D9">
        <w:t>, percentage of subjects remaini</w:t>
      </w:r>
      <w:r w:rsidR="003673F6">
        <w:t>ng</w:t>
      </w:r>
      <w:r w:rsidRPr="007D66D9">
        <w:t xml:space="preserve"> relapse free). The predefined non-inferiority margin proposed for the study was 15%</w:t>
      </w:r>
      <w:r w:rsidR="004A676D">
        <w:t>.</w:t>
      </w:r>
    </w:p>
    <w:p w14:paraId="10AA3E5A" w14:textId="77777777" w:rsidR="007D66D9" w:rsidRPr="007D66D9" w:rsidRDefault="007D66D9" w:rsidP="00EA7B92">
      <w:r w:rsidRPr="007D66D9">
        <w:t>Relapse was defined as in Study 3012.</w:t>
      </w:r>
    </w:p>
    <w:p w14:paraId="6E26BDF6" w14:textId="77777777" w:rsidR="007D66D9" w:rsidRPr="007D66D9" w:rsidRDefault="007D66D9" w:rsidP="00EA7B92">
      <w:r w:rsidRPr="007D66D9">
        <w:t>The date of the relapse was the date of the first assessment for symptoms of relapse (not the date of confirmation).</w:t>
      </w:r>
    </w:p>
    <w:p w14:paraId="5F527A34" w14:textId="77777777" w:rsidR="007D66D9" w:rsidRPr="00C04372" w:rsidRDefault="007D66D9" w:rsidP="00C04372">
      <w:pPr>
        <w:pStyle w:val="Heading6"/>
      </w:pPr>
      <w:r w:rsidRPr="00C04372">
        <w:t>Secondary</w:t>
      </w:r>
      <w:r w:rsidR="00EA7B92">
        <w:t xml:space="preserve"> e</w:t>
      </w:r>
      <w:r w:rsidRPr="00C04372">
        <w:t>ndpoints</w:t>
      </w:r>
    </w:p>
    <w:p w14:paraId="7A271632" w14:textId="77777777" w:rsidR="007D66D9" w:rsidRPr="007D66D9" w:rsidRDefault="007D66D9" w:rsidP="00EA7B92">
      <w:r w:rsidRPr="007D66D9">
        <w:t>No multiplicity adjustments were made.</w:t>
      </w:r>
    </w:p>
    <w:p w14:paraId="488B7F4A" w14:textId="77777777" w:rsidR="004A676D" w:rsidRDefault="007D66D9" w:rsidP="00EA7B92">
      <w:r w:rsidRPr="007D66D9">
        <w:t>Secondary efficacy endpoints included the cha</w:t>
      </w:r>
      <w:r w:rsidR="003673F6">
        <w:t>ng</w:t>
      </w:r>
      <w:r w:rsidRPr="007D66D9">
        <w:t>es from baseline (</w:t>
      </w:r>
      <w:r w:rsidR="009C7BEE">
        <w:t>Double blind Phase</w:t>
      </w:r>
      <w:r w:rsidRPr="007D66D9">
        <w:t>) for PANSS total score, PANSS subscale/factor scores, CGI, and PSP duri</w:t>
      </w:r>
      <w:r w:rsidR="003673F6">
        <w:t>ng</w:t>
      </w:r>
      <w:r w:rsidRPr="007D66D9">
        <w:t xml:space="preserve"> the </w:t>
      </w:r>
      <w:r w:rsidR="009C7BEE">
        <w:t>Double blind Phase</w:t>
      </w:r>
      <w:r w:rsidR="004A676D">
        <w:t>.</w:t>
      </w:r>
    </w:p>
    <w:p w14:paraId="2A9F0EEE" w14:textId="77777777" w:rsidR="007D66D9" w:rsidRPr="007D66D9" w:rsidRDefault="007D66D9" w:rsidP="00EA7B92">
      <w:r w:rsidRPr="007D66D9">
        <w:t xml:space="preserve">Additionally, the proportion of subjects who meet criteria for symptomatic remission (defined as the proportion of subjects with a simultaneous score of mild or less on all selected PANSS items (P1, P2, P3, N1, N4, N6, G5, and G9) maintained from Visit 14 (Week 41) to the end of the </w:t>
      </w:r>
      <w:r w:rsidR="009C7BEE">
        <w:t>Double blind Phase</w:t>
      </w:r>
      <w:r w:rsidRPr="007D66D9">
        <w:t xml:space="preserve"> (Week 65) were to </w:t>
      </w:r>
      <w:r w:rsidRPr="00EA7B92">
        <w:t xml:space="preserve">be </w:t>
      </w:r>
      <w:r w:rsidR="00EA7B92" w:rsidRPr="00EA7B92">
        <w:t>summarized.</w:t>
      </w:r>
    </w:p>
    <w:p w14:paraId="330C7A28" w14:textId="77777777" w:rsidR="007D66D9" w:rsidRPr="004B259C" w:rsidRDefault="007D66D9" w:rsidP="007D66D9">
      <w:pPr>
        <w:pStyle w:val="Heading5"/>
      </w:pPr>
      <w:r w:rsidRPr="004B259C">
        <w:t>Randomisation and blindi</w:t>
      </w:r>
      <w:r w:rsidR="003673F6">
        <w:t>ng</w:t>
      </w:r>
      <w:r w:rsidRPr="004B259C">
        <w:t xml:space="preserve"> methods</w:t>
      </w:r>
    </w:p>
    <w:p w14:paraId="00B72521" w14:textId="77777777" w:rsidR="007D66D9" w:rsidRPr="007D66D9" w:rsidRDefault="007D66D9" w:rsidP="00EA7B92">
      <w:r w:rsidRPr="007D66D9">
        <w:t>The randomization was balanced by usi</w:t>
      </w:r>
      <w:r w:rsidR="003673F6">
        <w:t>ng</w:t>
      </w:r>
      <w:r w:rsidRPr="007D66D9">
        <w:t xml:space="preserve"> </w:t>
      </w:r>
      <w:r w:rsidR="00E60DFA">
        <w:t xml:space="preserve">randomly </w:t>
      </w:r>
      <w:r w:rsidRPr="007D66D9">
        <w:t>permuted blocks and was stratified by centre.</w:t>
      </w:r>
    </w:p>
    <w:p w14:paraId="0D18193D" w14:textId="77777777" w:rsidR="007D66D9" w:rsidRPr="007D66D9" w:rsidRDefault="007D66D9" w:rsidP="00EA7B92">
      <w:r w:rsidRPr="007D66D9">
        <w:t>There was a potential for the study drug administrator to become unblinded to the subject’s treatment assignment due to differences in some of the syri</w:t>
      </w:r>
      <w:r w:rsidR="003673F6">
        <w:t>ng</w:t>
      </w:r>
      <w:r w:rsidRPr="007D66D9">
        <w:t xml:space="preserve">e sizes used between Invega </w:t>
      </w:r>
      <w:r w:rsidRPr="007D66D9">
        <w:lastRenderedPageBreak/>
        <w:t>Sustenna and Invega Trinza. The study drug administrator was allowed to perform only the administration of injections, contacti</w:t>
      </w:r>
      <w:r w:rsidR="003673F6">
        <w:t>ng</w:t>
      </w:r>
      <w:r w:rsidRPr="007D66D9">
        <w:t xml:space="preserve"> interactive web response system, receivi</w:t>
      </w:r>
      <w:r w:rsidR="003673F6">
        <w:t>ng</w:t>
      </w:r>
      <w:r w:rsidRPr="007D66D9">
        <w:t xml:space="preserve"> subject medication kit numbers, and keepi</w:t>
      </w:r>
      <w:r w:rsidR="003673F6">
        <w:t>ng</w:t>
      </w:r>
      <w:r w:rsidRPr="007D66D9">
        <w:t xml:space="preserve"> drug administration and accountability information. The subject and study staff, other than the study drug administrator, was not allowed to view the syri</w:t>
      </w:r>
      <w:r w:rsidR="003673F6">
        <w:t>ng</w:t>
      </w:r>
      <w:r w:rsidRPr="007D66D9">
        <w:t>e or needle or observe the injection.</w:t>
      </w:r>
    </w:p>
    <w:p w14:paraId="708D001E" w14:textId="77777777" w:rsidR="007D66D9" w:rsidRDefault="007D66D9" w:rsidP="007D66D9">
      <w:pPr>
        <w:pStyle w:val="Heading5"/>
      </w:pPr>
      <w:r>
        <w:t>Analysis populations</w:t>
      </w:r>
    </w:p>
    <w:p w14:paraId="6C4A64C3" w14:textId="77777777" w:rsidR="007D66D9" w:rsidRPr="00C04372" w:rsidRDefault="007D66D9" w:rsidP="00EA7B92">
      <w:r w:rsidRPr="007D66D9">
        <w:t xml:space="preserve">The </w:t>
      </w:r>
      <w:r w:rsidRPr="00C04372">
        <w:t>Intent-To-Treat Ope</w:t>
      </w:r>
      <w:r w:rsidR="00EA7B92">
        <w:t>n Label (ITT (OL)) analysis set</w:t>
      </w:r>
      <w:r w:rsidRPr="00C04372">
        <w:t xml:space="preserve"> included all subjects who had received at least 1 dose of </w:t>
      </w:r>
      <w:r w:rsidR="004A676D">
        <w:t>open label</w:t>
      </w:r>
      <w:r w:rsidRPr="00C04372">
        <w:t xml:space="preserve"> study drug.</w:t>
      </w:r>
    </w:p>
    <w:p w14:paraId="7D08779C" w14:textId="77777777" w:rsidR="007D66D9" w:rsidRPr="00C04372" w:rsidRDefault="007D66D9" w:rsidP="00EA7B92">
      <w:r w:rsidRPr="00C04372">
        <w:t xml:space="preserve">The All Randomized Analysis Set included all subjects who were </w:t>
      </w:r>
      <w:r w:rsidR="00E60DFA">
        <w:t xml:space="preserve">randomly </w:t>
      </w:r>
      <w:r w:rsidRPr="00C04372">
        <w:t>assigned to treatment duri</w:t>
      </w:r>
      <w:r w:rsidR="003673F6">
        <w:t>ng</w:t>
      </w:r>
      <w:r w:rsidRPr="00C04372">
        <w:t xml:space="preserve"> the </w:t>
      </w:r>
      <w:r w:rsidR="009C7BEE">
        <w:t>Double blind Phase</w:t>
      </w:r>
      <w:r w:rsidRPr="00C04372">
        <w:t>.</w:t>
      </w:r>
    </w:p>
    <w:p w14:paraId="48E195BB" w14:textId="77777777" w:rsidR="004A676D" w:rsidRDefault="007D66D9" w:rsidP="00EA7B92">
      <w:r w:rsidRPr="00C04372">
        <w:t xml:space="preserve">The Per-Protocol Analysis Set included subjects who were </w:t>
      </w:r>
      <w:r w:rsidR="00E60DFA">
        <w:t xml:space="preserve">randomly </w:t>
      </w:r>
      <w:r w:rsidRPr="00C04372">
        <w:t>assigned to treatment duri</w:t>
      </w:r>
      <w:r w:rsidR="003673F6">
        <w:t>ng</w:t>
      </w:r>
      <w:r w:rsidRPr="00C04372">
        <w:t xml:space="preserve"> the </w:t>
      </w:r>
      <w:r w:rsidR="009C7BEE">
        <w:t>Double blind Phase</w:t>
      </w:r>
      <w:r w:rsidRPr="00C04372">
        <w:t xml:space="preserve"> and received at least 1 dose of </w:t>
      </w:r>
      <w:r w:rsidR="00E60DFA">
        <w:t>double blind</w:t>
      </w:r>
      <w:r w:rsidRPr="00C04372">
        <w:t xml:space="preserve"> study drug and without major protocol deviations that could impact efficacy </w:t>
      </w:r>
      <w:r w:rsidR="009746A1">
        <w:t>for example</w:t>
      </w:r>
      <w:r w:rsidRPr="00C04372">
        <w:t xml:space="preserve"> violations of eligibility criteria for subject enrolment and randomization, errors in treatment assignment, or use of excluded medication</w:t>
      </w:r>
      <w:r w:rsidR="004A676D">
        <w:t>.</w:t>
      </w:r>
    </w:p>
    <w:p w14:paraId="1139FCBB" w14:textId="77777777" w:rsidR="007D66D9" w:rsidRPr="00C04372" w:rsidRDefault="007D66D9" w:rsidP="00EA7B92">
      <w:r w:rsidRPr="00C04372">
        <w:t>The Modified Intent-to-Treat Double Blind Analysis Set, (</w:t>
      </w:r>
      <w:proofErr w:type="spellStart"/>
      <w:r w:rsidRPr="00C04372">
        <w:t>mITT</w:t>
      </w:r>
      <w:proofErr w:type="spellEnd"/>
      <w:r w:rsidRPr="00C04372">
        <w:t xml:space="preserve"> (DB)), included all subjects who were </w:t>
      </w:r>
      <w:r w:rsidR="00E60DFA">
        <w:t xml:space="preserve">randomly </w:t>
      </w:r>
      <w:r w:rsidRPr="00C04372">
        <w:t>assigned to treatment duri</w:t>
      </w:r>
      <w:r w:rsidR="003673F6">
        <w:t>ng</w:t>
      </w:r>
      <w:r w:rsidRPr="00C04372">
        <w:t xml:space="preserve"> the </w:t>
      </w:r>
      <w:r w:rsidR="009C7BEE">
        <w:t>Double blind Phase</w:t>
      </w:r>
      <w:r w:rsidRPr="00C04372">
        <w:t xml:space="preserve">, received at least 1 dose of </w:t>
      </w:r>
      <w:r w:rsidR="00E60DFA">
        <w:t>double blind</w:t>
      </w:r>
      <w:r w:rsidRPr="00C04372">
        <w:t xml:space="preserve"> study drug, and had no errors in the delivery of active treatment due to the manufacturi</w:t>
      </w:r>
      <w:r w:rsidR="003673F6">
        <w:t>ng</w:t>
      </w:r>
      <w:r w:rsidRPr="00C04372">
        <w:t xml:space="preserve"> of the investigational product.</w:t>
      </w:r>
    </w:p>
    <w:p w14:paraId="78A14495" w14:textId="77777777" w:rsidR="007D66D9" w:rsidRPr="007D66D9" w:rsidRDefault="007D66D9" w:rsidP="00EA7B92">
      <w:r w:rsidRPr="00C04372">
        <w:t>Modified Intent-to-Treat (DB) Sensitivity Analysis</w:t>
      </w:r>
      <w:r w:rsidRPr="007D66D9">
        <w:t xml:space="preserve"> Set -subjects who were excluded from the </w:t>
      </w:r>
      <w:proofErr w:type="spellStart"/>
      <w:r w:rsidRPr="007D66D9">
        <w:t>mITT</w:t>
      </w:r>
      <w:proofErr w:type="spellEnd"/>
      <w:r w:rsidRPr="007D66D9">
        <w:t xml:space="preserve"> (DB) analysis set due to the short plu</w:t>
      </w:r>
      <w:r w:rsidR="003673F6">
        <w:t>ng</w:t>
      </w:r>
      <w:r w:rsidRPr="007D66D9">
        <w:t>er manufacturi</w:t>
      </w:r>
      <w:r w:rsidR="003673F6">
        <w:t>ng</w:t>
      </w:r>
      <w:r w:rsidRPr="007D66D9">
        <w:t xml:space="preserve"> issue had been randomized to the Invega Trinza group only. The </w:t>
      </w:r>
      <w:proofErr w:type="spellStart"/>
      <w:r w:rsidRPr="007D66D9">
        <w:t>mITT</w:t>
      </w:r>
      <w:proofErr w:type="spellEnd"/>
      <w:r w:rsidRPr="007D66D9">
        <w:t xml:space="preserve"> (DB) sensitivity analysis set was defined by further excludi</w:t>
      </w:r>
      <w:r w:rsidR="003673F6">
        <w:t>ng</w:t>
      </w:r>
      <w:r w:rsidRPr="007D66D9">
        <w:t xml:space="preserve"> a matched sample of subjects who had been randomized to the Invega Sustenna group at the same site, country, or region, with randomization dates that were closest to those of the 21 subjects excluded from the </w:t>
      </w:r>
      <w:proofErr w:type="spellStart"/>
      <w:r w:rsidRPr="007D66D9">
        <w:t>mITT</w:t>
      </w:r>
      <w:proofErr w:type="spellEnd"/>
      <w:r w:rsidRPr="007D66D9">
        <w:t xml:space="preserve"> (DB) analysis set due to the short plu</w:t>
      </w:r>
      <w:r w:rsidR="003673F6">
        <w:t>ng</w:t>
      </w:r>
      <w:r w:rsidRPr="007D66D9">
        <w:t>er manufacturi</w:t>
      </w:r>
      <w:r w:rsidR="003673F6">
        <w:t>ng</w:t>
      </w:r>
      <w:r w:rsidRPr="007D66D9">
        <w:t xml:space="preserve"> issues.</w:t>
      </w:r>
    </w:p>
    <w:p w14:paraId="5DD1003D" w14:textId="77777777" w:rsidR="007D66D9" w:rsidRPr="004B259C" w:rsidDel="0081373E" w:rsidRDefault="007D66D9" w:rsidP="007D66D9">
      <w:pPr>
        <w:pStyle w:val="Heading5"/>
      </w:pPr>
      <w:r w:rsidRPr="004B259C" w:rsidDel="0081373E">
        <w:t>Sample size</w:t>
      </w:r>
    </w:p>
    <w:p w14:paraId="36030498" w14:textId="77777777" w:rsidR="00EA7B92" w:rsidRDefault="00EA7B92" w:rsidP="00EA7B92">
      <w:r>
        <w:t>Assumi</w:t>
      </w:r>
      <w:r w:rsidR="003673F6">
        <w:t>ng</w:t>
      </w:r>
      <w:r>
        <w:t xml:space="preserve"> that:</w:t>
      </w:r>
    </w:p>
    <w:p w14:paraId="2CD40C4B" w14:textId="77777777" w:rsidR="00EA7B92" w:rsidRDefault="007D66D9" w:rsidP="00EA7B92">
      <w:pPr>
        <w:pStyle w:val="Numberbullet2"/>
      </w:pPr>
      <w:r w:rsidRPr="007D66D9">
        <w:t>the expected survival (percentage of subjects remaini</w:t>
      </w:r>
      <w:r w:rsidR="003673F6">
        <w:t>ng</w:t>
      </w:r>
      <w:r w:rsidRPr="007D66D9">
        <w:t xml:space="preserve"> rela</w:t>
      </w:r>
      <w:r w:rsidR="00EA7B92">
        <w:t>pse-free) rate in PP1M was 70%</w:t>
      </w:r>
    </w:p>
    <w:p w14:paraId="5DE86140" w14:textId="77777777" w:rsidR="00EA7B92" w:rsidRDefault="007D66D9" w:rsidP="00EA7B92">
      <w:pPr>
        <w:pStyle w:val="Numberbullet2"/>
      </w:pPr>
      <w:r w:rsidRPr="007D66D9">
        <w:t>a true difference in survival between PP1M and Invega Trin</w:t>
      </w:r>
      <w:r w:rsidR="00EA7B92">
        <w:t>za of 4% in favour of PP1M</w:t>
      </w:r>
    </w:p>
    <w:p w14:paraId="36E7C372" w14:textId="77777777" w:rsidR="007D66D9" w:rsidRPr="007D66D9" w:rsidRDefault="007D66D9" w:rsidP="00EA7B92">
      <w:pPr>
        <w:pStyle w:val="Numberbullet2"/>
      </w:pPr>
      <w:proofErr w:type="gramStart"/>
      <w:r w:rsidRPr="007D66D9">
        <w:t>a</w:t>
      </w:r>
      <w:proofErr w:type="gramEnd"/>
      <w:r w:rsidRPr="007D66D9">
        <w:t xml:space="preserve"> 1-sided significance level of 2.5%, 380 subjects per treatment group were required to demonstrate with 90% power that PP3M was no worse than PP1M by a non-inferiority margin of 15% for the percentage of subjects remaini</w:t>
      </w:r>
      <w:r w:rsidR="003673F6">
        <w:t>ng</w:t>
      </w:r>
      <w:r w:rsidR="004A21B5">
        <w:t xml:space="preserve"> relapse </w:t>
      </w:r>
      <w:r w:rsidRPr="007D66D9">
        <w:t>free.</w:t>
      </w:r>
    </w:p>
    <w:p w14:paraId="7441B52B" w14:textId="77777777" w:rsidR="007D66D9" w:rsidRPr="007D66D9" w:rsidRDefault="007D66D9" w:rsidP="00EA7B92">
      <w:r w:rsidRPr="007D66D9">
        <w:t>It was expected that approximately 950 to 1</w:t>
      </w:r>
      <w:r w:rsidR="00EA7B92">
        <w:t>,</w:t>
      </w:r>
      <w:r w:rsidRPr="007D66D9">
        <w:t xml:space="preserve">000 subjects were needed to be randomized (approximately 475 to 500 per treatment group) to provide 380 subjects per treatment group who were evaluable for the primary efficacy analysis. Furthermore, it was expected that only 74% of subjects enrolled would be randomized after the </w:t>
      </w:r>
      <w:r w:rsidR="00E60DFA">
        <w:t>17 week</w:t>
      </w:r>
      <w:r w:rsidRPr="007D66D9">
        <w:t xml:space="preserve"> </w:t>
      </w:r>
      <w:r w:rsidR="004A676D">
        <w:t>Open label</w:t>
      </w:r>
      <w:r w:rsidRPr="007D66D9">
        <w:t xml:space="preserve"> Phase. Hence, a maximum of 1</w:t>
      </w:r>
      <w:r w:rsidR="00EA7B92">
        <w:t>,</w:t>
      </w:r>
      <w:r w:rsidRPr="007D66D9">
        <w:t>388 subjects were planned to be enrolled in the study. Additional subjects (n</w:t>
      </w:r>
      <w:r w:rsidR="00EA7B92">
        <w:t xml:space="preserve"> </w:t>
      </w:r>
      <w:r w:rsidRPr="007D66D9">
        <w:t>=</w:t>
      </w:r>
      <w:r w:rsidR="00EA7B92">
        <w:t xml:space="preserve"> </w:t>
      </w:r>
      <w:r w:rsidRPr="007D66D9">
        <w:t>100 increasi</w:t>
      </w:r>
      <w:r w:rsidR="003673F6">
        <w:t>ng</w:t>
      </w:r>
      <w:r w:rsidRPr="007D66D9">
        <w:t xml:space="preserve"> approximate enrolment from 1</w:t>
      </w:r>
      <w:r w:rsidR="00EA7B92">
        <w:t>,</w:t>
      </w:r>
      <w:r w:rsidRPr="007D66D9">
        <w:t>288 to 1</w:t>
      </w:r>
      <w:r w:rsidR="00EA7B92">
        <w:t>,</w:t>
      </w:r>
      <w:r w:rsidRPr="007D66D9">
        <w:t xml:space="preserve">388) were added to the planned number of subjects in the </w:t>
      </w:r>
      <w:r w:rsidR="004A676D">
        <w:t>Open label</w:t>
      </w:r>
      <w:r w:rsidRPr="007D66D9">
        <w:t xml:space="preserve"> Phase after a product quality issue due to short syri</w:t>
      </w:r>
      <w:r w:rsidR="003673F6">
        <w:t>ng</w:t>
      </w:r>
      <w:r w:rsidRPr="007D66D9">
        <w:t>e plu</w:t>
      </w:r>
      <w:r w:rsidR="003673F6">
        <w:t>ng</w:t>
      </w:r>
      <w:r w:rsidRPr="007D66D9">
        <w:t>ers was identified with one lot of study drug supply that resulted in some subjects (estimated to be between 16 and 30 subjects and in the end was 21 subjects) receivi</w:t>
      </w:r>
      <w:r w:rsidR="003673F6">
        <w:t>ng</w:t>
      </w:r>
      <w:r w:rsidRPr="007D66D9">
        <w:t xml:space="preserve"> an incomplete dose on one or more occasions duri</w:t>
      </w:r>
      <w:r w:rsidR="003673F6">
        <w:t>ng</w:t>
      </w:r>
      <w:r w:rsidRPr="007D66D9">
        <w:t xml:space="preserve"> the </w:t>
      </w:r>
      <w:r w:rsidR="009C7BEE">
        <w:t>Double blind Phase</w:t>
      </w:r>
      <w:r w:rsidRPr="007D66D9">
        <w:t xml:space="preserve"> to ensure that there were sufficient number of subjects in the per-protocol analysis set and the study was statistically powered as originally planned.</w:t>
      </w:r>
    </w:p>
    <w:p w14:paraId="17D01AC6" w14:textId="77777777" w:rsidR="007D66D9" w:rsidRDefault="004A21B5" w:rsidP="007D66D9">
      <w:pPr>
        <w:pStyle w:val="Heading5"/>
      </w:pPr>
      <w:r>
        <w:lastRenderedPageBreak/>
        <w:t>Non-inferiority m</w:t>
      </w:r>
      <w:r w:rsidR="007D66D9">
        <w:t>argin</w:t>
      </w:r>
    </w:p>
    <w:p w14:paraId="259FE3FD" w14:textId="77777777" w:rsidR="004A676D" w:rsidRDefault="007D66D9" w:rsidP="00EA7B92">
      <w:r w:rsidRPr="007D66D9">
        <w:t>The non-inferiority margin of 15% was selected based on the followi</w:t>
      </w:r>
      <w:r w:rsidR="003673F6">
        <w:t>ng</w:t>
      </w:r>
      <w:r w:rsidRPr="007D66D9">
        <w:t xml:space="preserve"> evidence and expert advice. In a relapse prevention study (3</w:t>
      </w:r>
      <w:r w:rsidR="00EA7B92">
        <w:t>,</w:t>
      </w:r>
      <w:r w:rsidRPr="007D66D9">
        <w:t>001 in submission 2009-00926)</w:t>
      </w:r>
      <w:r w:rsidRPr="007D66D9">
        <w:rPr>
          <w:rStyle w:val="FootnoteReference"/>
          <w:rFonts w:cs="Arial"/>
        </w:rPr>
        <w:footnoteReference w:id="27"/>
      </w:r>
      <w:r w:rsidRPr="007D66D9">
        <w:t xml:space="preserve"> with PP1M, the percentage o</w:t>
      </w:r>
      <w:r w:rsidR="00EA7B92">
        <w:t xml:space="preserve">f subjects who remained relapse </w:t>
      </w:r>
      <w:r w:rsidRPr="007D66D9">
        <w:t>free at the end of the study was 82.4% in the PP1M group and 52.2% in the placebo group. The estimated benefit of PP1M over placebo (with 95% CI) was 30.2% (21.6%, 38.8%)</w:t>
      </w:r>
      <w:r w:rsidR="004A676D">
        <w:t>.</w:t>
      </w:r>
    </w:p>
    <w:p w14:paraId="01FA3462" w14:textId="77777777" w:rsidR="004A676D" w:rsidRDefault="007D66D9" w:rsidP="00EA7B92">
      <w:r w:rsidRPr="007D66D9">
        <w:t>Based on the outcome of the expert panel consultation as well as the fact that any non-inferiority margin under 20% would be less than the lower bound of the 95% CI for the treatment effec</w:t>
      </w:r>
      <w:r w:rsidR="00C04372">
        <w:t>t, a margin of 15% was chosen</w:t>
      </w:r>
      <w:r w:rsidR="004A676D">
        <w:t>.</w:t>
      </w:r>
    </w:p>
    <w:p w14:paraId="76B85469" w14:textId="77777777" w:rsidR="004A676D" w:rsidRDefault="00C04372" w:rsidP="00C04372">
      <w:pPr>
        <w:pStyle w:val="Comment"/>
      </w:pPr>
      <w:r w:rsidRPr="00C04372">
        <w:rPr>
          <w:b/>
        </w:rPr>
        <w:t>Comment</w:t>
      </w:r>
      <w:r>
        <w:rPr>
          <w:b/>
        </w:rPr>
        <w:t xml:space="preserve">: </w:t>
      </w:r>
      <w:r w:rsidR="00EA7B92" w:rsidRPr="00EA7B92">
        <w:t>Comment in relation to the source of the non-inferiority margin.</w:t>
      </w:r>
      <w:r w:rsidR="00EA7B92">
        <w:t xml:space="preserve"> </w:t>
      </w:r>
      <w:r w:rsidRPr="00EA7B92">
        <w:t>S</w:t>
      </w:r>
      <w:r w:rsidRPr="007D66D9">
        <w:t>tudy 3001 was terminated early because</w:t>
      </w:r>
      <w:r w:rsidRPr="007D66D9">
        <w:rPr>
          <w:rFonts w:cs="TimesNewRomanPSMT"/>
          <w:szCs w:val="18"/>
        </w:rPr>
        <w:t xml:space="preserve"> </w:t>
      </w:r>
      <w:r w:rsidRPr="007D66D9">
        <w:t xml:space="preserve">the </w:t>
      </w:r>
      <w:r w:rsidR="00E60DFA">
        <w:t>double blind</w:t>
      </w:r>
      <w:r w:rsidRPr="007D66D9">
        <w:t xml:space="preserve"> phase ended when superiority of Invega Sustenna over placebo was demonstrated in the interim analysis followi</w:t>
      </w:r>
      <w:r w:rsidR="003673F6">
        <w:t>ng</w:t>
      </w:r>
      <w:r w:rsidRPr="007D66D9">
        <w:t xml:space="preserve"> 68 relapse events</w:t>
      </w:r>
      <w:r w:rsidR="004A676D">
        <w:t>.</w:t>
      </w:r>
    </w:p>
    <w:p w14:paraId="188B44EC" w14:textId="77777777" w:rsidR="00C04372" w:rsidRPr="007D66D9" w:rsidRDefault="00C04372" w:rsidP="00C04372">
      <w:pPr>
        <w:pStyle w:val="Comment"/>
        <w:ind w:firstLine="0"/>
      </w:pPr>
      <w:r w:rsidRPr="007D66D9">
        <w:t>The interim analysis was considered the primary analysis.</w:t>
      </w:r>
      <w:r w:rsidR="00EA7B92" w:rsidRPr="007D66D9">
        <w:t xml:space="preserve"> </w:t>
      </w:r>
      <w:r w:rsidRPr="007D66D9">
        <w:t>The results used above in justifyi</w:t>
      </w:r>
      <w:r w:rsidR="003673F6">
        <w:t>ng</w:t>
      </w:r>
      <w:r w:rsidRPr="007D66D9">
        <w:t xml:space="preserve"> the non-inferiority margin were from the final data set which was considered confirmatory per protocol.</w:t>
      </w:r>
    </w:p>
    <w:p w14:paraId="31DFD732" w14:textId="77777777" w:rsidR="00C04372" w:rsidRPr="007D66D9" w:rsidRDefault="00C04372" w:rsidP="00C04372">
      <w:pPr>
        <w:pStyle w:val="Comment"/>
        <w:ind w:firstLine="0"/>
      </w:pPr>
      <w:r w:rsidRPr="007D66D9">
        <w:t>The primary efficacy variable was the time to the first recurrence event duri</w:t>
      </w:r>
      <w:r w:rsidR="003673F6">
        <w:t>ng</w:t>
      </w:r>
      <w:r w:rsidRPr="007D66D9">
        <w:t xml:space="preserve"> the </w:t>
      </w:r>
      <w:r w:rsidR="00E60DFA">
        <w:t>double blind</w:t>
      </w:r>
      <w:r w:rsidRPr="007D66D9">
        <w:t xml:space="preserve"> relapse prevention phase. The number of relapses was not an endpoint. Some subjects (1/156 placebo and 0/156 Invega Sustenna) had 12 of the monthly injections (includi</w:t>
      </w:r>
      <w:r w:rsidR="003673F6">
        <w:t>ng</w:t>
      </w:r>
      <w:r w:rsidRPr="007D66D9">
        <w:t xml:space="preserve"> the initial </w:t>
      </w:r>
      <w:r w:rsidRPr="00531123">
        <w:t>one). At</w:t>
      </w:r>
      <w:r w:rsidRPr="007D66D9">
        <w:t xml:space="preserve"> the time of the interim analysis only 24% of subjects in the placebo group and 37% of subjects in the Invega Sustenna group had received at least 5 injections (4 months of injections).</w:t>
      </w:r>
    </w:p>
    <w:p w14:paraId="734F5B3F" w14:textId="77777777" w:rsidR="00C04372" w:rsidRPr="007D66D9" w:rsidRDefault="00C04372" w:rsidP="00C04372">
      <w:pPr>
        <w:pStyle w:val="Comment"/>
        <w:ind w:firstLine="0"/>
      </w:pPr>
      <w:r w:rsidRPr="007D66D9">
        <w:t>At the time of the interim analysis, there were 156 subjects on placebo and 156 subjects on Invega Sustenna with 204 (65%) o</w:t>
      </w:r>
      <w:r w:rsidR="003673F6">
        <w:t>ng</w:t>
      </w:r>
      <w:r w:rsidRPr="007D66D9">
        <w:t>oi</w:t>
      </w:r>
      <w:r w:rsidR="003673F6">
        <w:t>ng</w:t>
      </w:r>
      <w:r w:rsidRPr="007D66D9">
        <w:t>, 40 (13%) discontinued and 68 (22%) relapsed. 53 [34%] in the placebo group had a relapse and 15 [10%] in the Invega Sustenna group. This leaves 103 (66%) in the placebo group and 141 (90.4%) in the Invega Sustenna group who remained relapse free in the primary analysis, a benefit of 24.4%. The 95% CI for the benefit in the primary analysis were not found.</w:t>
      </w:r>
    </w:p>
    <w:p w14:paraId="466C8808" w14:textId="77777777" w:rsidR="00C04372" w:rsidRDefault="00C04372" w:rsidP="00C04372">
      <w:pPr>
        <w:pStyle w:val="Comment"/>
        <w:ind w:firstLine="0"/>
      </w:pPr>
      <w:r w:rsidRPr="007D66D9">
        <w:t>In the Final Analysis only 46% of those in the Invega Sustenna group had received at least 7 injections (6months)</w:t>
      </w:r>
      <w:r w:rsidR="00EA7B92">
        <w:t xml:space="preserve"> </w:t>
      </w:r>
      <w:r w:rsidRPr="007D66D9">
        <w:t>and 1% had received 13 injections (12 months).the figures used in derivi</w:t>
      </w:r>
      <w:r w:rsidR="003673F6">
        <w:t>ng</w:t>
      </w:r>
      <w:r w:rsidRPr="007D66D9">
        <w:t xml:space="preserve"> the non-inferiority margin are based on the confirmatory Final Analysis.</w:t>
      </w:r>
    </w:p>
    <w:p w14:paraId="4CAB7665" w14:textId="77777777" w:rsidR="007D66D9" w:rsidRPr="00C04372" w:rsidRDefault="00C04372" w:rsidP="00C04372">
      <w:pPr>
        <w:pStyle w:val="Comment"/>
        <w:ind w:firstLine="0"/>
        <w:rPr>
          <w:rFonts w:cs="Arial"/>
        </w:rPr>
      </w:pPr>
      <w:r w:rsidRPr="007D66D9">
        <w:t xml:space="preserve">In additional justification, a meta-analysis of </w:t>
      </w:r>
      <w:r w:rsidR="00E60DFA">
        <w:t>placebo controlled</w:t>
      </w:r>
      <w:r w:rsidRPr="007D66D9">
        <w:t xml:space="preserve"> relapse studies showed that the overall drug effect over placebo was 29.2% [95% CI: 25.6%, 32.9%]. However the meta-analysis </w:t>
      </w:r>
      <w:r w:rsidRPr="007D66D9">
        <w:rPr>
          <w:rStyle w:val="FootnoteReference"/>
        </w:rPr>
        <w:footnoteReference w:id="28"/>
      </w:r>
      <w:r w:rsidRPr="007D66D9">
        <w:t xml:space="preserve"> was exploratory and did not include trials of paliperidone vs placebo or risperidone </w:t>
      </w:r>
      <w:r w:rsidR="00785F6E">
        <w:t>versus</w:t>
      </w:r>
      <w:r w:rsidRPr="007D66D9">
        <w:t xml:space="preserve"> placebo.</w:t>
      </w:r>
    </w:p>
    <w:p w14:paraId="68E9D236" w14:textId="77777777" w:rsidR="007D66D9" w:rsidRPr="004B259C" w:rsidRDefault="007D66D9" w:rsidP="007D66D9">
      <w:pPr>
        <w:pStyle w:val="Heading5"/>
      </w:pPr>
      <w:r w:rsidRPr="004B259C">
        <w:t>Statistical methods</w:t>
      </w:r>
    </w:p>
    <w:p w14:paraId="6D32536E" w14:textId="77777777" w:rsidR="00C04372" w:rsidRDefault="007D66D9" w:rsidP="00C04372">
      <w:pPr>
        <w:pStyle w:val="Heading6"/>
        <w:rPr>
          <w:b/>
        </w:rPr>
      </w:pPr>
      <w:r w:rsidRPr="00C04372">
        <w:t>Primary endpoint</w:t>
      </w:r>
    </w:p>
    <w:p w14:paraId="3EB79FCB" w14:textId="77777777" w:rsidR="004A676D" w:rsidRDefault="007D66D9" w:rsidP="00EA7B92">
      <w:r w:rsidRPr="007D66D9">
        <w:t>The primary endpoint analysis used the per-protocol population with a pre-specified non-inferiority margin of 15%. The hypotheses was to be tested usi</w:t>
      </w:r>
      <w:r w:rsidR="003673F6">
        <w:t>ng</w:t>
      </w:r>
      <w:r w:rsidRPr="007D66D9">
        <w:t xml:space="preserve"> a one-sided α = 0.025. The Kaplan-Meier method wa</w:t>
      </w:r>
      <w:r w:rsidR="00EA7B92">
        <w:t xml:space="preserve">s to be used to estimate the 48 </w:t>
      </w:r>
      <w:r w:rsidRPr="007D66D9">
        <w:t>week cumulative estimate of survival (</w:t>
      </w:r>
      <w:r w:rsidR="00785F6E">
        <w:t>that is</w:t>
      </w:r>
      <w:r w:rsidRPr="007D66D9">
        <w:t>, percentage of subjects remaini</w:t>
      </w:r>
      <w:r w:rsidR="003673F6">
        <w:t>ng</w:t>
      </w:r>
      <w:r w:rsidRPr="007D66D9">
        <w:t xml:space="preserve"> relapse-free). SE estimates were to be based upon Greenwood’s formula</w:t>
      </w:r>
      <w:r w:rsidR="004A676D">
        <w:t>.</w:t>
      </w:r>
    </w:p>
    <w:p w14:paraId="2579F9E7" w14:textId="77777777" w:rsidR="007D66D9" w:rsidRPr="007D66D9" w:rsidRDefault="007D66D9" w:rsidP="00EA7B92">
      <w:r w:rsidRPr="007D66D9">
        <w:lastRenderedPageBreak/>
        <w:t>Non-inferiority of Invega Trinza to Invega Sustenna would be concluded if the lower limit of the 2-sided 95% CI of the difference in relapse-free rates between Invega Trinza and Invega Sustenna exceeded –15%.</w:t>
      </w:r>
    </w:p>
    <w:p w14:paraId="5374CD83" w14:textId="77777777" w:rsidR="007D66D9" w:rsidRPr="007D66D9" w:rsidRDefault="007D66D9" w:rsidP="00C04372">
      <w:pPr>
        <w:pStyle w:val="Heading6"/>
      </w:pPr>
      <w:r w:rsidRPr="007D66D9">
        <w:t xml:space="preserve">Secondary </w:t>
      </w:r>
      <w:r w:rsidR="00DE548B">
        <w:t>e</w:t>
      </w:r>
      <w:r w:rsidRPr="007D66D9">
        <w:t>ndpoints</w:t>
      </w:r>
    </w:p>
    <w:p w14:paraId="42FCF614" w14:textId="77777777" w:rsidR="007D66D9" w:rsidRPr="007D66D9" w:rsidRDefault="007D66D9" w:rsidP="00EA7B92">
      <w:r w:rsidRPr="007D66D9">
        <w:t>No multiplicity adjustments were made.</w:t>
      </w:r>
    </w:p>
    <w:p w14:paraId="7D792EC9" w14:textId="77777777" w:rsidR="007D66D9" w:rsidRPr="007D66D9" w:rsidRDefault="007D66D9" w:rsidP="00EA7B92">
      <w:r w:rsidRPr="007D66D9">
        <w:t xml:space="preserve">For the </w:t>
      </w:r>
      <w:r w:rsidR="009C7BEE">
        <w:t>Double blind Phase</w:t>
      </w:r>
      <w:r w:rsidRPr="007D66D9">
        <w:t>, cha</w:t>
      </w:r>
      <w:r w:rsidR="003673F6">
        <w:t>ng</w:t>
      </w:r>
      <w:r w:rsidRPr="007D66D9">
        <w:t>es in the secondary efficacy endpoints (PANSS [total and subscale scores], CGI, and PSP) from randomization to each visit and to the end point were to be analysed usi</w:t>
      </w:r>
      <w:r w:rsidR="003673F6">
        <w:t>ng</w:t>
      </w:r>
      <w:r w:rsidRPr="007D66D9">
        <w:t xml:space="preserve"> an ANCOVA model usi</w:t>
      </w:r>
      <w:r w:rsidR="003673F6">
        <w:t>ng</w:t>
      </w:r>
      <w:r w:rsidRPr="007D66D9">
        <w:t xml:space="preserve"> both LOCF and observed cases in the </w:t>
      </w:r>
      <w:proofErr w:type="spellStart"/>
      <w:r w:rsidRPr="007D66D9">
        <w:t>mITT</w:t>
      </w:r>
      <w:proofErr w:type="spellEnd"/>
      <w:r w:rsidRPr="007D66D9">
        <w:t xml:space="preserve"> analysis set. The model was to include treatment and country as factors and score at randomization as a covariate. Treatment effects were to be estimated based upon least square means and the accompanyi</w:t>
      </w:r>
      <w:r w:rsidR="003673F6">
        <w:t>ng</w:t>
      </w:r>
      <w:r w:rsidRPr="007D66D9">
        <w:t xml:space="preserve"> 95% CIs presented.</w:t>
      </w:r>
    </w:p>
    <w:p w14:paraId="2D04C6D6" w14:textId="77777777" w:rsidR="007D66D9" w:rsidRPr="004B259C" w:rsidRDefault="007D66D9" w:rsidP="007D66D9">
      <w:pPr>
        <w:pStyle w:val="Heading5"/>
      </w:pPr>
      <w:r w:rsidRPr="004B259C">
        <w:t>Participant flow</w:t>
      </w:r>
    </w:p>
    <w:p w14:paraId="2B4CD649" w14:textId="77777777" w:rsidR="007D66D9" w:rsidRPr="00C04372" w:rsidRDefault="007D66D9" w:rsidP="00DA386F">
      <w:pPr>
        <w:pStyle w:val="Tabletitle"/>
      </w:pPr>
      <w:bookmarkStart w:id="202" w:name="_Toc453055000"/>
      <w:r w:rsidRPr="00ED2942">
        <w:t xml:space="preserve">Table </w:t>
      </w:r>
      <w:r w:rsidR="00ED2942" w:rsidRPr="00ED2942">
        <w:t>37:</w:t>
      </w:r>
      <w:r w:rsidRPr="00ED2942">
        <w:t xml:space="preserve"> Number of </w:t>
      </w:r>
      <w:r w:rsidR="00EA7B92" w:rsidRPr="00ED2942">
        <w:t>subjects</w:t>
      </w:r>
      <w:r w:rsidR="00EA7B92" w:rsidRPr="00C04372">
        <w:t xml:space="preserve"> in each analysis set by study phase</w:t>
      </w:r>
      <w:bookmarkEnd w:id="202"/>
    </w:p>
    <w:p w14:paraId="3DC5807E" w14:textId="77777777" w:rsidR="007D66D9" w:rsidRPr="007D66D9" w:rsidRDefault="007D66D9" w:rsidP="00DC3589">
      <w:r w:rsidRPr="007D66D9">
        <w:rPr>
          <w:noProof/>
          <w:lang w:eastAsia="en-AU"/>
        </w:rPr>
        <w:drawing>
          <wp:inline distT="0" distB="0" distL="0" distR="0" wp14:anchorId="054ABBAF" wp14:editId="1F0ECC18">
            <wp:extent cx="5757062" cy="1633035"/>
            <wp:effectExtent l="0" t="0" r="0" b="5715"/>
            <wp:docPr id="125" name="Picture 125" descr="Table 37: Number of subjects in each analysis set by study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t="2960"/>
                    <a:stretch/>
                  </pic:blipFill>
                  <pic:spPr bwMode="auto">
                    <a:xfrm>
                      <a:off x="0" y="0"/>
                      <a:ext cx="5787739" cy="1641737"/>
                    </a:xfrm>
                    <a:prstGeom prst="rect">
                      <a:avLst/>
                    </a:prstGeom>
                    <a:ln>
                      <a:noFill/>
                    </a:ln>
                    <a:extLst>
                      <a:ext uri="{53640926-AAD7-44D8-BBD7-CCE9431645EC}">
                        <a14:shadowObscured xmlns:a14="http://schemas.microsoft.com/office/drawing/2010/main"/>
                      </a:ext>
                    </a:extLst>
                  </pic:spPr>
                </pic:pic>
              </a:graphicData>
            </a:graphic>
          </wp:inline>
        </w:drawing>
      </w:r>
    </w:p>
    <w:p w14:paraId="5CDF30AC" w14:textId="77777777" w:rsidR="007D66D9" w:rsidRPr="007D66D9" w:rsidRDefault="007D66D9" w:rsidP="00EA7B92">
      <w:pPr>
        <w:pStyle w:val="TableDescription"/>
        <w:keepLines/>
      </w:pPr>
      <w:r w:rsidRPr="007D66D9">
        <w:t>Percentages calculated with the number of subjects in each group as denominator</w:t>
      </w:r>
      <w:r w:rsidR="00EA7B92">
        <w:t xml:space="preserve">. </w:t>
      </w:r>
      <w:r w:rsidRPr="007D66D9">
        <w:t>All enrolled subjects were included in the Int</w:t>
      </w:r>
      <w:r w:rsidR="00EA7B92">
        <w:t>ent-to-Treat (OL) analysis set.</w:t>
      </w:r>
    </w:p>
    <w:p w14:paraId="795B1A96" w14:textId="77777777" w:rsidR="007D66D9" w:rsidRPr="00C04372" w:rsidRDefault="007D66D9" w:rsidP="005A18C6">
      <w:pPr>
        <w:pStyle w:val="FigureTitle"/>
        <w:keepNext/>
      </w:pPr>
      <w:bookmarkStart w:id="203" w:name="_Toc453055074"/>
      <w:r w:rsidRPr="00ED2942">
        <w:lastRenderedPageBreak/>
        <w:t xml:space="preserve">Figure </w:t>
      </w:r>
      <w:r w:rsidR="00ED2942" w:rsidRPr="00ED2942">
        <w:t>33:</w:t>
      </w:r>
      <w:r w:rsidRPr="00ED2942">
        <w:t xml:space="preserve"> Study </w:t>
      </w:r>
      <w:r w:rsidR="00EA7B92" w:rsidRPr="00ED2942">
        <w:t>completion and withdrawal information</w:t>
      </w:r>
      <w:bookmarkEnd w:id="203"/>
    </w:p>
    <w:p w14:paraId="3717E01B" w14:textId="77777777" w:rsidR="007D66D9" w:rsidRPr="007D66D9" w:rsidRDefault="007D66D9" w:rsidP="007D66D9">
      <w:r w:rsidRPr="007D66D9">
        <w:rPr>
          <w:noProof/>
          <w:lang w:eastAsia="en-AU"/>
        </w:rPr>
        <w:drawing>
          <wp:inline distT="0" distB="0" distL="0" distR="0" wp14:anchorId="15B882F0" wp14:editId="343495DD">
            <wp:extent cx="5238307" cy="4323283"/>
            <wp:effectExtent l="0" t="0" r="635" b="1270"/>
            <wp:docPr id="62" name="Picture 62" descr="Figure 33: Study completion and withdrawal information&#10;1716 screened, 287 failed screening &#10;1,429 enrolled in open label phse, 413 withdrew&#10;1,016 enrolled in the double blind phase, &#10;504 in PP3M and 512 in PP1M&#10;842 total comleted the double blind phase &#10;PP3M 422 completed and 82 withdrew&#10;PP1M 420 completed and 92 withd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42753" cy="4326952"/>
                    </a:xfrm>
                    <a:prstGeom prst="rect">
                      <a:avLst/>
                    </a:prstGeom>
                  </pic:spPr>
                </pic:pic>
              </a:graphicData>
            </a:graphic>
          </wp:inline>
        </w:drawing>
      </w:r>
    </w:p>
    <w:p w14:paraId="29FD5024" w14:textId="77777777" w:rsidR="007D66D9" w:rsidRDefault="007D66D9" w:rsidP="007D66D9">
      <w:pPr>
        <w:pStyle w:val="Heading5"/>
      </w:pPr>
      <w:r>
        <w:t>Major protocol violations/deviations</w:t>
      </w:r>
    </w:p>
    <w:p w14:paraId="75F830DE" w14:textId="77777777" w:rsidR="007D66D9" w:rsidRPr="007D66D9" w:rsidRDefault="007D66D9" w:rsidP="00EA7B92">
      <w:r w:rsidRPr="007D66D9">
        <w:t>For the safety analysis set, 1 or more relevant protocol deviations were recorded for 164 subjects (16%) of the total 1016 subjects. The most common deviations (and ≥ 5%) were noted in the categories of treatment deviation (74 subjects [7%]) and deviations due to other reasons (63 subjects [6%]).</w:t>
      </w:r>
    </w:p>
    <w:p w14:paraId="4D77B2E7" w14:textId="77777777" w:rsidR="007D66D9" w:rsidRPr="00C04372" w:rsidRDefault="007D66D9" w:rsidP="00DA386F">
      <w:pPr>
        <w:pStyle w:val="Tabletitle"/>
      </w:pPr>
      <w:bookmarkStart w:id="204" w:name="_Toc453055001"/>
      <w:r w:rsidRPr="00ED2942">
        <w:t xml:space="preserve">Table </w:t>
      </w:r>
      <w:r w:rsidR="00ED2942" w:rsidRPr="00ED2942">
        <w:t>38:</w:t>
      </w:r>
      <w:r w:rsidRPr="00ED2942">
        <w:t xml:space="preserve"> Major</w:t>
      </w:r>
      <w:r w:rsidRPr="00C04372">
        <w:t xml:space="preserve"> </w:t>
      </w:r>
      <w:r w:rsidR="00CF7186" w:rsidRPr="00C04372">
        <w:t>protocol deviations duri</w:t>
      </w:r>
      <w:r w:rsidR="003673F6">
        <w:t>ng</w:t>
      </w:r>
      <w:r w:rsidR="00CF7186" w:rsidRPr="00C04372">
        <w:t xml:space="preserve"> the study</w:t>
      </w:r>
      <w:bookmarkEnd w:id="204"/>
    </w:p>
    <w:p w14:paraId="0417244F" w14:textId="77777777" w:rsidR="007D66D9" w:rsidRPr="007D66D9" w:rsidRDefault="007D66D9" w:rsidP="00DC3589">
      <w:r w:rsidRPr="007D66D9">
        <w:rPr>
          <w:noProof/>
          <w:lang w:eastAsia="en-AU"/>
        </w:rPr>
        <w:drawing>
          <wp:inline distT="0" distB="0" distL="0" distR="0" wp14:anchorId="7A427FD8" wp14:editId="642F7036">
            <wp:extent cx="4986000" cy="1875600"/>
            <wp:effectExtent l="0" t="0" r="5715" b="0"/>
            <wp:docPr id="138" name="Picture 138" descr="Table 38: Major protocol deviations during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86000" cy="1875600"/>
                    </a:xfrm>
                    <a:prstGeom prst="rect">
                      <a:avLst/>
                    </a:prstGeom>
                    <a:noFill/>
                    <a:ln>
                      <a:noFill/>
                    </a:ln>
                  </pic:spPr>
                </pic:pic>
              </a:graphicData>
            </a:graphic>
          </wp:inline>
        </w:drawing>
      </w:r>
      <w:r w:rsidRPr="007D66D9">
        <w:t xml:space="preserve"> </w:t>
      </w:r>
    </w:p>
    <w:p w14:paraId="06D89CC1" w14:textId="77777777" w:rsidR="007D66D9" w:rsidRPr="007D66D9" w:rsidRDefault="007D66D9" w:rsidP="00DC3589">
      <w:pPr>
        <w:pStyle w:val="TableDescription"/>
      </w:pPr>
      <w:r w:rsidRPr="007D66D9">
        <w:t xml:space="preserve">Note: Percentages calculated with the number of </w:t>
      </w:r>
      <w:r w:rsidRPr="00DC3589">
        <w:t>subjects</w:t>
      </w:r>
      <w:r w:rsidRPr="007D66D9">
        <w:t xml:space="preserve"> in each group a</w:t>
      </w:r>
      <w:r w:rsidR="00CF7186">
        <w:t xml:space="preserve">s denominator. </w:t>
      </w:r>
      <w:r w:rsidRPr="007D66D9">
        <w:t xml:space="preserve">Major protocol deviations occurred in the </w:t>
      </w:r>
      <w:r w:rsidR="004A676D">
        <w:t>Open label</w:t>
      </w:r>
      <w:r w:rsidRPr="007D66D9">
        <w:t xml:space="preserve"> and </w:t>
      </w:r>
      <w:r w:rsidR="009C7BEE">
        <w:t>Double blind Phase</w:t>
      </w:r>
      <w:r w:rsidR="00C04372">
        <w:t>s of the study.</w:t>
      </w:r>
    </w:p>
    <w:p w14:paraId="3F02587A" w14:textId="77777777" w:rsidR="007D66D9" w:rsidRPr="00C04372" w:rsidRDefault="007D66D9" w:rsidP="00DA386F">
      <w:pPr>
        <w:pStyle w:val="Tabletitle"/>
      </w:pPr>
      <w:bookmarkStart w:id="205" w:name="_Toc453055002"/>
      <w:r w:rsidRPr="00ED2942">
        <w:lastRenderedPageBreak/>
        <w:t xml:space="preserve">Table </w:t>
      </w:r>
      <w:r w:rsidR="00ED2942" w:rsidRPr="00ED2942">
        <w:t>3</w:t>
      </w:r>
      <w:r w:rsidR="00ED2942">
        <w:t>9:</w:t>
      </w:r>
      <w:r w:rsidRPr="00C04372">
        <w:t xml:space="preserve"> Major </w:t>
      </w:r>
      <w:r w:rsidR="00CF7186" w:rsidRPr="00C04372">
        <w:t>protocol violations (</w:t>
      </w:r>
      <w:r w:rsidR="00CF7186">
        <w:t>that is</w:t>
      </w:r>
      <w:r w:rsidR="00CF7186" w:rsidRPr="00C04372">
        <w:t>, major protocol deviations that led to exclusion from per- protocol analysis set) duri</w:t>
      </w:r>
      <w:r w:rsidR="003673F6">
        <w:t>ng</w:t>
      </w:r>
      <w:r w:rsidR="00CF7186" w:rsidRPr="00C04372">
        <w:t xml:space="preserve"> the study</w:t>
      </w:r>
      <w:bookmarkEnd w:id="205"/>
    </w:p>
    <w:p w14:paraId="58091B48" w14:textId="77777777" w:rsidR="007D66D9" w:rsidRPr="007D66D9" w:rsidRDefault="007D66D9" w:rsidP="00DC3589">
      <w:r w:rsidRPr="007D66D9">
        <w:rPr>
          <w:noProof/>
          <w:lang w:eastAsia="en-AU"/>
        </w:rPr>
        <w:drawing>
          <wp:inline distT="0" distB="0" distL="0" distR="0" wp14:anchorId="0AF0B371" wp14:editId="4F20B823">
            <wp:extent cx="5796000" cy="1453335"/>
            <wp:effectExtent l="0" t="0" r="0" b="0"/>
            <wp:docPr id="139" name="Picture 139" descr="Table 39: Major protocol violations (that is, major protocol deviations that led to exclusion from per- protocol analysis set) during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96000" cy="1453335"/>
                    </a:xfrm>
                    <a:prstGeom prst="rect">
                      <a:avLst/>
                    </a:prstGeom>
                  </pic:spPr>
                </pic:pic>
              </a:graphicData>
            </a:graphic>
          </wp:inline>
        </w:drawing>
      </w:r>
    </w:p>
    <w:p w14:paraId="706886A0" w14:textId="77777777" w:rsidR="007D66D9" w:rsidRPr="007D66D9" w:rsidRDefault="007D66D9" w:rsidP="00CF7186">
      <w:pPr>
        <w:pStyle w:val="TableDescription"/>
      </w:pPr>
      <w:r w:rsidRPr="007D66D9">
        <w:t>Note: Percentages calculated with the number of subjects in each group as</w:t>
      </w:r>
      <w:r w:rsidR="00CF7186">
        <w:t xml:space="preserve"> denominator.</w:t>
      </w:r>
    </w:p>
    <w:p w14:paraId="7501906C" w14:textId="77777777" w:rsidR="007D66D9" w:rsidRDefault="007D66D9" w:rsidP="007D66D9">
      <w:pPr>
        <w:pStyle w:val="Heading5"/>
      </w:pPr>
      <w:r>
        <w:t xml:space="preserve">Exposure </w:t>
      </w:r>
      <w:r w:rsidR="00CF7186">
        <w:t>double blind phase</w:t>
      </w:r>
    </w:p>
    <w:p w14:paraId="580E7971" w14:textId="77777777" w:rsidR="007D66D9" w:rsidRPr="00C04372" w:rsidRDefault="007D66D9" w:rsidP="00DA386F">
      <w:pPr>
        <w:pStyle w:val="Tabletitle"/>
      </w:pPr>
      <w:bookmarkStart w:id="206" w:name="_Toc453055003"/>
      <w:r w:rsidRPr="00FC0825">
        <w:t xml:space="preserve">Table </w:t>
      </w:r>
      <w:r w:rsidR="00FC0825">
        <w:t>40:</w:t>
      </w:r>
      <w:r w:rsidRPr="00C04372">
        <w:t xml:space="preserve"> Number of </w:t>
      </w:r>
      <w:r w:rsidR="004A21B5">
        <w:t xml:space="preserve">active injections of double </w:t>
      </w:r>
      <w:r w:rsidR="00CF7186" w:rsidRPr="00C04372">
        <w:t>blind study drug</w:t>
      </w:r>
      <w:bookmarkEnd w:id="206"/>
    </w:p>
    <w:p w14:paraId="3E55C7C8" w14:textId="77777777" w:rsidR="007D66D9" w:rsidRPr="007D66D9" w:rsidRDefault="007D66D9" w:rsidP="00DC3589">
      <w:r w:rsidRPr="007D66D9">
        <w:rPr>
          <w:noProof/>
          <w:lang w:eastAsia="en-AU"/>
        </w:rPr>
        <w:drawing>
          <wp:inline distT="0" distB="0" distL="0" distR="0" wp14:anchorId="3544F87F" wp14:editId="31FDFB8D">
            <wp:extent cx="4765954" cy="2055571"/>
            <wp:effectExtent l="0" t="0" r="0" b="1905"/>
            <wp:docPr id="143" name="Picture 143" descr="Table 40: Number of active injections of double-blind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765655" cy="2055442"/>
                    </a:xfrm>
                    <a:prstGeom prst="rect">
                      <a:avLst/>
                    </a:prstGeom>
                  </pic:spPr>
                </pic:pic>
              </a:graphicData>
            </a:graphic>
          </wp:inline>
        </w:drawing>
      </w:r>
    </w:p>
    <w:p w14:paraId="7BDE146D" w14:textId="77777777" w:rsidR="007D66D9" w:rsidRPr="007D66D9" w:rsidRDefault="007D66D9" w:rsidP="00DC3589">
      <w:pPr>
        <w:pStyle w:val="TableDescription"/>
      </w:pPr>
      <w:r w:rsidRPr="007D66D9">
        <w:t xml:space="preserve">Note: </w:t>
      </w:r>
      <w:r w:rsidRPr="00DC3589">
        <w:t>Duri</w:t>
      </w:r>
      <w:r w:rsidR="003673F6" w:rsidRPr="00DC3589">
        <w:t>ng</w:t>
      </w:r>
      <w:r w:rsidRPr="007D66D9">
        <w:t xml:space="preserve"> the </w:t>
      </w:r>
      <w:r w:rsidR="009C7BEE">
        <w:t>Double blind Phase</w:t>
      </w:r>
      <w:r w:rsidRPr="007D66D9">
        <w:t>, in the PP3M group, 4 subjects received placebo when supposed to receive PP3M, 4 subjects received PP3M when supposed to receive placebo, 1 subject received PP1M when supposed to receive placebo; in the PP1M group, 1 subject received PP3M when supposed to receive PP1M, 3 subjects received placebo when supposed to receive PP1M, and 2 subjects re</w:t>
      </w:r>
      <w:r w:rsidR="00CF7186">
        <w:t>ceived wro</w:t>
      </w:r>
      <w:r w:rsidR="003673F6">
        <w:t>ng</w:t>
      </w:r>
      <w:r w:rsidR="00CF7186">
        <w:t xml:space="preserve"> dose of PP1M.</w:t>
      </w:r>
    </w:p>
    <w:p w14:paraId="11C29276" w14:textId="77777777" w:rsidR="007D66D9" w:rsidRPr="00C04372" w:rsidRDefault="007D66D9" w:rsidP="00DA386F">
      <w:pPr>
        <w:pStyle w:val="Tabletitle"/>
        <w:rPr>
          <w:noProof/>
        </w:rPr>
      </w:pPr>
      <w:bookmarkStart w:id="207" w:name="_Toc453055004"/>
      <w:r w:rsidRPr="00FC0825">
        <w:t xml:space="preserve">Table </w:t>
      </w:r>
      <w:r w:rsidR="00FC0825" w:rsidRPr="00FC0825">
        <w:t>41:</w:t>
      </w:r>
      <w:r w:rsidRPr="00FC0825">
        <w:t xml:space="preserve"> Dose </w:t>
      </w:r>
      <w:r w:rsidR="00CF7186" w:rsidRPr="00FC0825">
        <w:t>levels over time duri</w:t>
      </w:r>
      <w:r w:rsidR="003673F6" w:rsidRPr="00FC0825">
        <w:t>ng</w:t>
      </w:r>
      <w:r w:rsidR="00FC0825">
        <w:t xml:space="preserve"> the double </w:t>
      </w:r>
      <w:r w:rsidR="00CF7186" w:rsidRPr="00FC0825">
        <w:t xml:space="preserve">blind phase </w:t>
      </w:r>
      <w:r w:rsidRPr="00FC0825">
        <w:t>(PP3M Group)</w:t>
      </w:r>
      <w:bookmarkEnd w:id="207"/>
    </w:p>
    <w:p w14:paraId="70796BE4" w14:textId="77777777" w:rsidR="007D66D9" w:rsidRPr="007D66D9" w:rsidRDefault="007D66D9" w:rsidP="00DC3589">
      <w:pPr>
        <w:rPr>
          <w:noProof/>
        </w:rPr>
      </w:pPr>
      <w:r w:rsidRPr="007D66D9">
        <w:rPr>
          <w:noProof/>
          <w:lang w:eastAsia="en-AU"/>
        </w:rPr>
        <w:drawing>
          <wp:inline distT="0" distB="0" distL="0" distR="0" wp14:anchorId="77A81AC6" wp14:editId="071813DF">
            <wp:extent cx="5508346" cy="1483016"/>
            <wp:effectExtent l="0" t="0" r="0" b="3175"/>
            <wp:docPr id="144" name="Picture 144" descr="Table 41: Dose levels over time during the double blind phase (PP3M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510764" cy="1483667"/>
                    </a:xfrm>
                    <a:prstGeom prst="rect">
                      <a:avLst/>
                    </a:prstGeom>
                  </pic:spPr>
                </pic:pic>
              </a:graphicData>
            </a:graphic>
          </wp:inline>
        </w:drawing>
      </w:r>
    </w:p>
    <w:p w14:paraId="7D2CFE6A" w14:textId="77777777" w:rsidR="007D66D9" w:rsidRPr="007D66D9" w:rsidRDefault="00CF7186" w:rsidP="00DC3589">
      <w:pPr>
        <w:pStyle w:val="TableDescription"/>
      </w:pPr>
      <w:r w:rsidRPr="00CF7186">
        <w:rPr>
          <w:vertAlign w:val="superscript"/>
        </w:rPr>
        <w:t>a.</w:t>
      </w:r>
      <w:r>
        <w:t xml:space="preserve"> </w:t>
      </w:r>
      <w:r w:rsidR="007D66D9" w:rsidRPr="007D66D9">
        <w:t>Within each dose level, the percentages are based on the number of subjects who had injection administrated at this visit.</w:t>
      </w:r>
      <w:r>
        <w:t xml:space="preserve"> </w:t>
      </w:r>
      <w:r w:rsidR="007D66D9" w:rsidRPr="00DC3589">
        <w:t>Some</w:t>
      </w:r>
      <w:r w:rsidR="007D66D9" w:rsidRPr="007D66D9">
        <w:t xml:space="preserve"> subjects received an incorrect medication kit at various time points duri</w:t>
      </w:r>
      <w:r w:rsidR="003673F6">
        <w:t>ng</w:t>
      </w:r>
      <w:r w:rsidR="007D66D9" w:rsidRPr="007D66D9">
        <w:t xml:space="preserve"> the study. In the PP3M group, 4 subjects received placebo when supposed to receive PP3M, 4 subjects received PP3M when supposed to receive placebo, 1 subject received PP1M when supposed to receive </w:t>
      </w:r>
      <w:r>
        <w:t>placebo.</w:t>
      </w:r>
    </w:p>
    <w:p w14:paraId="42291AA0" w14:textId="77777777" w:rsidR="007D66D9" w:rsidRPr="00C04372" w:rsidRDefault="007D66D9" w:rsidP="00DA386F">
      <w:pPr>
        <w:pStyle w:val="Tabletitle"/>
      </w:pPr>
      <w:bookmarkStart w:id="208" w:name="_Toc453055005"/>
      <w:r w:rsidRPr="00FC0825">
        <w:lastRenderedPageBreak/>
        <w:t xml:space="preserve">Table </w:t>
      </w:r>
      <w:r w:rsidR="00FC0825" w:rsidRPr="00FC0825">
        <w:t>4</w:t>
      </w:r>
      <w:r w:rsidR="00FC0825">
        <w:t>2:</w:t>
      </w:r>
      <w:r w:rsidRPr="00C04372">
        <w:t xml:space="preserve"> Dose </w:t>
      </w:r>
      <w:r w:rsidR="00CF7186" w:rsidRPr="00C04372">
        <w:t>leve</w:t>
      </w:r>
      <w:r w:rsidR="00CF7186">
        <w:t>ls over time duri</w:t>
      </w:r>
      <w:r w:rsidR="003673F6">
        <w:t>ng</w:t>
      </w:r>
      <w:r w:rsidR="00CF7186">
        <w:t xml:space="preserve"> the double </w:t>
      </w:r>
      <w:r w:rsidR="00CF7186" w:rsidRPr="00C04372">
        <w:t xml:space="preserve">blind phase </w:t>
      </w:r>
      <w:r w:rsidRPr="00C04372">
        <w:t>(PP1M Group)</w:t>
      </w:r>
      <w:bookmarkEnd w:id="208"/>
    </w:p>
    <w:p w14:paraId="3DEF382D" w14:textId="77777777" w:rsidR="007D66D9" w:rsidRPr="007D66D9" w:rsidRDefault="007D66D9" w:rsidP="00DC3589">
      <w:r w:rsidRPr="007D66D9">
        <w:rPr>
          <w:noProof/>
          <w:lang w:eastAsia="en-AU"/>
        </w:rPr>
        <w:drawing>
          <wp:inline distT="0" distB="0" distL="0" distR="0" wp14:anchorId="41BF01E4" wp14:editId="57B8644A">
            <wp:extent cx="5457774" cy="2253081"/>
            <wp:effectExtent l="0" t="0" r="0" b="0"/>
            <wp:docPr id="145" name="Picture 145" descr="Table 42: Dose levels over time during the double blind phase (PP1M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64529" cy="2255870"/>
                    </a:xfrm>
                    <a:prstGeom prst="rect">
                      <a:avLst/>
                    </a:prstGeom>
                  </pic:spPr>
                </pic:pic>
              </a:graphicData>
            </a:graphic>
          </wp:inline>
        </w:drawing>
      </w:r>
    </w:p>
    <w:p w14:paraId="1D4AFE33" w14:textId="77777777" w:rsidR="007D66D9" w:rsidRPr="007D66D9" w:rsidRDefault="00CF7186" w:rsidP="00DC3589">
      <w:pPr>
        <w:pStyle w:val="TableDescription"/>
      </w:pPr>
      <w:r w:rsidRPr="00CF7186">
        <w:rPr>
          <w:vertAlign w:val="superscript"/>
        </w:rPr>
        <w:t xml:space="preserve">a. </w:t>
      </w:r>
      <w:r w:rsidR="007D66D9" w:rsidRPr="007D66D9">
        <w:t>Within each dose level, the percentages are based on the number of subjects who had injecti</w:t>
      </w:r>
      <w:r>
        <w:t xml:space="preserve">on administrated at this visit. </w:t>
      </w:r>
      <w:r w:rsidR="007D66D9" w:rsidRPr="007D66D9">
        <w:t xml:space="preserve">Some </w:t>
      </w:r>
      <w:r w:rsidR="007D66D9" w:rsidRPr="00DC3589">
        <w:t>subjects</w:t>
      </w:r>
      <w:r w:rsidR="007D66D9" w:rsidRPr="007D66D9">
        <w:t xml:space="preserve"> received an incorrect medication kit at various time points duri</w:t>
      </w:r>
      <w:r w:rsidR="003673F6">
        <w:t>ng</w:t>
      </w:r>
      <w:r w:rsidR="007D66D9" w:rsidRPr="007D66D9">
        <w:t xml:space="preserve"> the study. In the PP1M group, 1 subject received PP3M when supposed to receive PP1M, 3 subjects received placebo when supposed to receive PP1M, and 2 subjects</w:t>
      </w:r>
      <w:r w:rsidR="00C04372">
        <w:t xml:space="preserve"> </w:t>
      </w:r>
      <w:r>
        <w:t>received wro</w:t>
      </w:r>
      <w:r w:rsidR="003673F6">
        <w:t>ng</w:t>
      </w:r>
      <w:r>
        <w:t xml:space="preserve"> dose of PP1M.</w:t>
      </w:r>
    </w:p>
    <w:p w14:paraId="6106BAEC" w14:textId="77777777" w:rsidR="007D66D9" w:rsidRDefault="007D66D9" w:rsidP="007D66D9">
      <w:pPr>
        <w:pStyle w:val="Heading5"/>
      </w:pPr>
      <w:r w:rsidRPr="004B259C">
        <w:t>Baseline data</w:t>
      </w:r>
    </w:p>
    <w:p w14:paraId="5A3DEC1D" w14:textId="77777777" w:rsidR="007D66D9" w:rsidRPr="007D66D9" w:rsidRDefault="007D66D9" w:rsidP="00CF7186">
      <w:r w:rsidRPr="007D66D9">
        <w:t xml:space="preserve">The demographics and baseline data of the primary analysis group the Per-Protocol </w:t>
      </w:r>
      <w:r w:rsidR="00FC0825">
        <w:t>Analysis Set were not submitted</w:t>
      </w:r>
      <w:r w:rsidRPr="007D66D9">
        <w:rPr>
          <w:bCs/>
        </w:rPr>
        <w:t>.</w:t>
      </w:r>
    </w:p>
    <w:p w14:paraId="14980275" w14:textId="77777777" w:rsidR="007D66D9" w:rsidRPr="00C04372" w:rsidRDefault="007D66D9" w:rsidP="00DA386F">
      <w:pPr>
        <w:pStyle w:val="Tabletitle"/>
      </w:pPr>
      <w:bookmarkStart w:id="209" w:name="_Toc453055006"/>
      <w:r w:rsidRPr="00FC0825">
        <w:t xml:space="preserve">Table </w:t>
      </w:r>
      <w:r w:rsidR="00FC0825" w:rsidRPr="00FC0825">
        <w:t>43:</w:t>
      </w:r>
      <w:r w:rsidRPr="00C04372">
        <w:t xml:space="preserve"> Demographic and </w:t>
      </w:r>
      <w:r w:rsidR="00CF7186" w:rsidRPr="00C04372">
        <w:t>basel</w:t>
      </w:r>
      <w:r w:rsidRPr="00C04372">
        <w:t xml:space="preserve">ine (OL) </w:t>
      </w:r>
      <w:r w:rsidR="00CF7186" w:rsidRPr="00C04372">
        <w:t>ch</w:t>
      </w:r>
      <w:r w:rsidRPr="00C04372">
        <w:t xml:space="preserve">aracteristics for ITT (OL) and </w:t>
      </w:r>
      <w:proofErr w:type="spellStart"/>
      <w:r w:rsidRPr="00C04372">
        <w:t>mITT</w:t>
      </w:r>
      <w:proofErr w:type="spellEnd"/>
      <w:r w:rsidRPr="00C04372">
        <w:t xml:space="preserve"> (DB) Sets</w:t>
      </w:r>
      <w:bookmarkEnd w:id="209"/>
    </w:p>
    <w:p w14:paraId="26A307E4" w14:textId="77777777" w:rsidR="007D66D9" w:rsidRPr="007D66D9" w:rsidRDefault="007D66D9" w:rsidP="007D66D9">
      <w:r w:rsidRPr="007D66D9">
        <w:rPr>
          <w:noProof/>
          <w:lang w:eastAsia="en-AU"/>
        </w:rPr>
        <w:drawing>
          <wp:inline distT="0" distB="0" distL="0" distR="0" wp14:anchorId="57EC4A44" wp14:editId="1EE9F550">
            <wp:extent cx="4857293" cy="3339890"/>
            <wp:effectExtent l="0" t="0" r="635" b="0"/>
            <wp:docPr id="189" name="Picture 189" descr="Table 43: Demographic and baseline (OL) characteristics for ITT (OL) and mITT (DB)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861831" cy="3343010"/>
                    </a:xfrm>
                    <a:prstGeom prst="rect">
                      <a:avLst/>
                    </a:prstGeom>
                  </pic:spPr>
                </pic:pic>
              </a:graphicData>
            </a:graphic>
          </wp:inline>
        </w:drawing>
      </w:r>
    </w:p>
    <w:p w14:paraId="577270F2" w14:textId="77777777" w:rsidR="007D66D9" w:rsidRPr="004B259C" w:rsidRDefault="007D66D9" w:rsidP="007D66D9">
      <w:pPr>
        <w:pStyle w:val="Heading5"/>
      </w:pPr>
      <w:r w:rsidRPr="004B259C">
        <w:t>Results for the primary efficacy outcome</w:t>
      </w:r>
    </w:p>
    <w:p w14:paraId="5C63D9D1" w14:textId="77777777" w:rsidR="007D66D9" w:rsidRPr="007D66D9" w:rsidRDefault="007D66D9" w:rsidP="00DE548B">
      <w:r w:rsidRPr="007D66D9">
        <w:t>37 subjects (8.1%) in the Invega Trinza group and 45 subjects (9.2%) subjects in Invega Sustenna group had a relapse event duri</w:t>
      </w:r>
      <w:r w:rsidR="003673F6">
        <w:t>ng</w:t>
      </w:r>
      <w:r w:rsidRPr="007D66D9">
        <w:t xml:space="preserve"> the </w:t>
      </w:r>
      <w:r w:rsidR="009C7BEE">
        <w:t>Double blind Phase</w:t>
      </w:r>
      <w:r w:rsidRPr="007D66D9">
        <w:t xml:space="preserve">. The difference (95% CI) between the treatment groups (Invega Trinza-Invega Sustenna) in the percentages of subjects who remained </w:t>
      </w:r>
      <w:r w:rsidRPr="007D66D9">
        <w:lastRenderedPageBreak/>
        <w:t>relapse free was 1.2% (-2.7%, 5.1%).</w:t>
      </w:r>
      <w:r w:rsidRPr="007D66D9">
        <w:rPr>
          <w:rStyle w:val="FootnoteReference"/>
        </w:rPr>
        <w:footnoteReference w:id="29"/>
      </w:r>
      <w:r w:rsidR="004A676D">
        <w:t xml:space="preserve"> </w:t>
      </w:r>
      <w:r w:rsidRPr="007D66D9">
        <w:t>The lower bound of the 95% CI was not outside the pre-specified non</w:t>
      </w:r>
      <w:r w:rsidR="00DE548B">
        <w:t>-</w:t>
      </w:r>
      <w:r w:rsidRPr="007D66D9">
        <w:t xml:space="preserve">inferiority margin of -15%, </w:t>
      </w:r>
      <w:r w:rsidR="00785F6E">
        <w:t>that is</w:t>
      </w:r>
      <w:r w:rsidRPr="007D66D9">
        <w:t xml:space="preserve"> Invega Trinza was non-inferior to Invega Sustenna. This was confirmed by the results of the Modified Intent-to-Treat (DB) Sensitivity Analysis result for the difference of 1.5% (-2.3%, 5.3%).</w:t>
      </w:r>
    </w:p>
    <w:p w14:paraId="7DA801F6" w14:textId="77777777" w:rsidR="004A676D" w:rsidRDefault="007D66D9" w:rsidP="007D66D9">
      <w:pPr>
        <w:pStyle w:val="Comment"/>
      </w:pPr>
      <w:r w:rsidRPr="007D66D9">
        <w:rPr>
          <w:b/>
        </w:rPr>
        <w:t>Comment:</w:t>
      </w:r>
      <w:r w:rsidRPr="007D66D9">
        <w:t xml:space="preserve"> The significance of the result rests on a difference of 1.2% from 9.2% relapses on Invega Sustenna at week 48</w:t>
      </w:r>
      <w:r w:rsidR="004A676D">
        <w:t>.</w:t>
      </w:r>
    </w:p>
    <w:p w14:paraId="31602ECF" w14:textId="77777777" w:rsidR="007D66D9" w:rsidRPr="007D66D9" w:rsidRDefault="007D66D9" w:rsidP="00DE548B">
      <w:r w:rsidRPr="007D66D9">
        <w:t>The population size calculations to show with 90% power that PP3M was no worse than PP1M were based on an expected survival (percentage of subjects remaini</w:t>
      </w:r>
      <w:r w:rsidR="003673F6">
        <w:t>ng</w:t>
      </w:r>
      <w:r w:rsidRPr="007D66D9">
        <w:t xml:space="preserve"> relapse-free) rate in PP1M of 70%. </w:t>
      </w:r>
      <w:proofErr w:type="gramStart"/>
      <w:r w:rsidRPr="007D66D9">
        <w:t>Whereas Study 3001 showed a 10% relapse rate on Invega Sustenna at the time of the Interim (primary) Analysis when only 37% of subjects in the Invega Sustenna group had received at least 5 injections (4 months of injections).</w:t>
      </w:r>
      <w:proofErr w:type="gramEnd"/>
    </w:p>
    <w:p w14:paraId="51F0792A" w14:textId="77777777" w:rsidR="007D66D9" w:rsidRPr="007D66D9" w:rsidRDefault="007D66D9" w:rsidP="00DE548B">
      <w:r w:rsidRPr="007D66D9">
        <w:t>The only summary results available were contained within the Clinical Study Report. Efficacy data in the Addenda was confined to listi</w:t>
      </w:r>
      <w:r w:rsidR="003673F6">
        <w:t>ng</w:t>
      </w:r>
      <w:r w:rsidRPr="007D66D9">
        <w:t xml:space="preserve"> of individual results.</w:t>
      </w:r>
    </w:p>
    <w:p w14:paraId="1165226B" w14:textId="77777777" w:rsidR="007D66D9" w:rsidRPr="00FD561B" w:rsidRDefault="007D66D9" w:rsidP="00DA386F">
      <w:pPr>
        <w:pStyle w:val="Tabletitle"/>
      </w:pPr>
      <w:bookmarkStart w:id="210" w:name="_Toc453055007"/>
      <w:r w:rsidRPr="00FC0825">
        <w:t xml:space="preserve">Table </w:t>
      </w:r>
      <w:r w:rsidR="00FC0825">
        <w:t>44:</w:t>
      </w:r>
      <w:r w:rsidRPr="00FD561B">
        <w:t xml:space="preserve"> Time to </w:t>
      </w:r>
      <w:r w:rsidR="00DE548B" w:rsidRPr="00FD561B">
        <w:t>relapse duri</w:t>
      </w:r>
      <w:r w:rsidR="003673F6">
        <w:t>ng</w:t>
      </w:r>
      <w:r w:rsidR="00DE548B" w:rsidRPr="00FD561B">
        <w:t xml:space="preserve"> the </w:t>
      </w:r>
      <w:r w:rsidR="00DE548B">
        <w:t>double blind phase</w:t>
      </w:r>
      <w:r w:rsidR="00DE548B" w:rsidRPr="00FD561B">
        <w:t xml:space="preserve"> and number (%) of subjects that remained relapse free</w:t>
      </w:r>
      <w:bookmarkEnd w:id="210"/>
    </w:p>
    <w:p w14:paraId="6FE61465" w14:textId="77777777" w:rsidR="007D66D9" w:rsidRPr="007D66D9" w:rsidRDefault="007D66D9" w:rsidP="00DC3589">
      <w:r w:rsidRPr="007D66D9">
        <w:rPr>
          <w:noProof/>
          <w:lang w:eastAsia="en-AU"/>
        </w:rPr>
        <w:drawing>
          <wp:inline distT="0" distB="0" distL="0" distR="0" wp14:anchorId="1074B30A" wp14:editId="68054A37">
            <wp:extent cx="5208422" cy="1329451"/>
            <wp:effectExtent l="0" t="0" r="0" b="4445"/>
            <wp:docPr id="175" name="Picture 175" descr="Table 44: Time to relapse during the double blind phase and number (%) of subjects that remained relaps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08355" cy="1329434"/>
                    </a:xfrm>
                    <a:prstGeom prst="rect">
                      <a:avLst/>
                    </a:prstGeom>
                  </pic:spPr>
                </pic:pic>
              </a:graphicData>
            </a:graphic>
          </wp:inline>
        </w:drawing>
      </w:r>
    </w:p>
    <w:p w14:paraId="68A9695D" w14:textId="77777777" w:rsidR="007D66D9" w:rsidRPr="007D66D9" w:rsidRDefault="00DE548B" w:rsidP="00DC3589">
      <w:pPr>
        <w:pStyle w:val="TableDescription"/>
      </w:pPr>
      <w:r w:rsidRPr="00DE548B">
        <w:rPr>
          <w:vertAlign w:val="superscript"/>
        </w:rPr>
        <w:t>a.</w:t>
      </w:r>
      <w:r>
        <w:t xml:space="preserve"> </w:t>
      </w:r>
      <w:r w:rsidR="007D66D9" w:rsidRPr="00DC3589">
        <w:t>Based</w:t>
      </w:r>
      <w:r w:rsidR="007D66D9" w:rsidRPr="007D66D9">
        <w:t xml:space="preserve"> on Kaplan-Meier product l</w:t>
      </w:r>
      <w:r>
        <w:t xml:space="preserve">imit estimates. </w:t>
      </w:r>
      <w:r w:rsidR="007D66D9" w:rsidRPr="007D66D9">
        <w:t xml:space="preserve">* Censored include subjects who completed the </w:t>
      </w:r>
      <w:r w:rsidR="009C7BEE">
        <w:t>Double blind Phase</w:t>
      </w:r>
      <w:r w:rsidR="007D66D9" w:rsidRPr="007D66D9">
        <w:t xml:space="preserve"> without relapses and subjects who withdrew early duri</w:t>
      </w:r>
      <w:r w:rsidR="003673F6">
        <w:t>ng</w:t>
      </w:r>
      <w:r w:rsidR="007D66D9" w:rsidRPr="007D66D9">
        <w:t xml:space="preserve"> the </w:t>
      </w:r>
      <w:r w:rsidR="009C7BEE">
        <w:t>Double blind Phase</w:t>
      </w:r>
      <w:r w:rsidR="007D66D9" w:rsidRPr="007D66D9">
        <w:t>.</w:t>
      </w:r>
    </w:p>
    <w:p w14:paraId="463C0C98" w14:textId="77777777" w:rsidR="007D66D9" w:rsidRPr="00FD561B" w:rsidRDefault="007D66D9" w:rsidP="005A18C6">
      <w:pPr>
        <w:pStyle w:val="FigureTitle"/>
        <w:keepNext/>
      </w:pPr>
      <w:bookmarkStart w:id="211" w:name="_Ref440350735"/>
      <w:bookmarkStart w:id="212" w:name="_Toc453055075"/>
      <w:r w:rsidRPr="00FC0825">
        <w:t xml:space="preserve">Figure </w:t>
      </w:r>
      <w:r w:rsidR="00FC0825" w:rsidRPr="00FC0825">
        <w:t>34:</w:t>
      </w:r>
      <w:r w:rsidRPr="00FC0825">
        <w:t xml:space="preserve"> Kaplan</w:t>
      </w:r>
      <w:r w:rsidRPr="00FD561B">
        <w:t xml:space="preserve">-Meier </w:t>
      </w:r>
      <w:r w:rsidR="00DE548B" w:rsidRPr="00FD561B">
        <w:t>plot of time to relapse duri</w:t>
      </w:r>
      <w:r w:rsidR="003673F6">
        <w:t>ng</w:t>
      </w:r>
      <w:r w:rsidR="00DE548B" w:rsidRPr="00FD561B">
        <w:t xml:space="preserve"> the </w:t>
      </w:r>
      <w:r w:rsidR="00DE548B">
        <w:t>double blind phase</w:t>
      </w:r>
      <w:bookmarkEnd w:id="211"/>
      <w:bookmarkEnd w:id="212"/>
    </w:p>
    <w:p w14:paraId="08BC0E12" w14:textId="77777777" w:rsidR="007D66D9" w:rsidRPr="007D66D9" w:rsidRDefault="007D66D9" w:rsidP="007D66D9">
      <w:r w:rsidRPr="007D66D9">
        <w:rPr>
          <w:noProof/>
          <w:lang w:eastAsia="en-AU"/>
        </w:rPr>
        <w:drawing>
          <wp:inline distT="0" distB="0" distL="0" distR="0" wp14:anchorId="2DFD1A0A" wp14:editId="61DCC759">
            <wp:extent cx="5305117" cy="3284525"/>
            <wp:effectExtent l="0" t="0" r="0" b="0"/>
            <wp:docPr id="152" name="Picture 152" descr="Figure 34: Kaplan-Meier plot of time to relapse during the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309835" cy="3287446"/>
                    </a:xfrm>
                    <a:prstGeom prst="rect">
                      <a:avLst/>
                    </a:prstGeom>
                  </pic:spPr>
                </pic:pic>
              </a:graphicData>
            </a:graphic>
          </wp:inline>
        </w:drawing>
      </w:r>
    </w:p>
    <w:p w14:paraId="31747CC4" w14:textId="77777777" w:rsidR="007D66D9" w:rsidRPr="00FD561B" w:rsidRDefault="007D66D9" w:rsidP="00DA386F">
      <w:pPr>
        <w:pStyle w:val="Tabletitle"/>
      </w:pPr>
      <w:bookmarkStart w:id="213" w:name="_Toc453055008"/>
      <w:r w:rsidRPr="00FC0825">
        <w:lastRenderedPageBreak/>
        <w:t xml:space="preserve">Table </w:t>
      </w:r>
      <w:r w:rsidR="00FC0825" w:rsidRPr="00FC0825">
        <w:t>45:</w:t>
      </w:r>
      <w:r w:rsidRPr="00FC0825">
        <w:t xml:space="preserve"> Frequency</w:t>
      </w:r>
      <w:r w:rsidRPr="00DE548B">
        <w:t xml:space="preserve"> </w:t>
      </w:r>
      <w:r w:rsidR="00DE548B" w:rsidRPr="00DE548B">
        <w:t>distribution of relapse types and reasons duri</w:t>
      </w:r>
      <w:r w:rsidR="003673F6">
        <w:t>ng</w:t>
      </w:r>
      <w:r w:rsidR="00DE548B" w:rsidRPr="00DE548B">
        <w:t xml:space="preserve"> double blind phase </w:t>
      </w:r>
      <w:r w:rsidRPr="00DE548B">
        <w:t>PP</w:t>
      </w:r>
      <w:bookmarkEnd w:id="213"/>
    </w:p>
    <w:p w14:paraId="5CE335D5" w14:textId="77777777" w:rsidR="007D66D9" w:rsidRPr="007D66D9" w:rsidRDefault="007D66D9" w:rsidP="00DC3589">
      <w:r w:rsidRPr="007D66D9">
        <w:rPr>
          <w:noProof/>
          <w:lang w:eastAsia="en-AU"/>
        </w:rPr>
        <w:drawing>
          <wp:inline distT="0" distB="0" distL="0" distR="0" wp14:anchorId="6DD899BD" wp14:editId="298EE3E5">
            <wp:extent cx="5508346" cy="3585056"/>
            <wp:effectExtent l="0" t="0" r="0" b="0"/>
            <wp:docPr id="153" name="Picture 153" descr="Table 45: Frequency distribution of relapse types and reasons during double blind phase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10709" cy="3586594"/>
                    </a:xfrm>
                    <a:prstGeom prst="rect">
                      <a:avLst/>
                    </a:prstGeom>
                    <a:noFill/>
                    <a:ln>
                      <a:noFill/>
                    </a:ln>
                  </pic:spPr>
                </pic:pic>
              </a:graphicData>
            </a:graphic>
          </wp:inline>
        </w:drawing>
      </w:r>
    </w:p>
    <w:p w14:paraId="139502ED" w14:textId="77777777" w:rsidR="007D66D9" w:rsidRPr="007D66D9" w:rsidRDefault="007D66D9" w:rsidP="00DE548B">
      <w:pPr>
        <w:pStyle w:val="TableDescription"/>
      </w:pPr>
      <w:r w:rsidRPr="007D66D9">
        <w:t xml:space="preserve">Percentages calculated with the number of subjects in each group as </w:t>
      </w:r>
      <w:r w:rsidR="00FD561B">
        <w:t>denominator.</w:t>
      </w:r>
    </w:p>
    <w:p w14:paraId="569DE9B4" w14:textId="77777777" w:rsidR="007D66D9" w:rsidRPr="004B259C" w:rsidRDefault="007D66D9" w:rsidP="007D66D9">
      <w:pPr>
        <w:pStyle w:val="Heading5"/>
      </w:pPr>
      <w:r w:rsidRPr="004B259C">
        <w:t>Results for other efficacy outcomes</w:t>
      </w:r>
    </w:p>
    <w:p w14:paraId="031B93A8" w14:textId="77777777" w:rsidR="004A676D" w:rsidRDefault="007D66D9" w:rsidP="00DE548B">
      <w:r w:rsidRPr="007D66D9">
        <w:t xml:space="preserve">The sample size population was based only on the primary endpoint. No multiplicity adjustments were made, </w:t>
      </w:r>
      <w:r w:rsidR="009C7BEE">
        <w:t>p value</w:t>
      </w:r>
      <w:r w:rsidRPr="007D66D9">
        <w:t>s were not given</w:t>
      </w:r>
      <w:r w:rsidR="004A676D">
        <w:t>.</w:t>
      </w:r>
    </w:p>
    <w:p w14:paraId="53FC51C5" w14:textId="77777777" w:rsidR="007D66D9" w:rsidRPr="007D66D9" w:rsidRDefault="007D66D9" w:rsidP="00DE548B">
      <w:r w:rsidRPr="007D66D9">
        <w:t>The study was not powered for the subgroup analyses to demonstrate non-inferiority.</w:t>
      </w:r>
    </w:p>
    <w:p w14:paraId="11D9E630" w14:textId="77777777" w:rsidR="007D66D9" w:rsidRPr="00FD561B" w:rsidRDefault="007D66D9" w:rsidP="00DA386F">
      <w:pPr>
        <w:pStyle w:val="Tabletitle"/>
      </w:pPr>
      <w:bookmarkStart w:id="214" w:name="_Toc453055009"/>
      <w:r w:rsidRPr="00FC0825">
        <w:t xml:space="preserve">Table </w:t>
      </w:r>
      <w:r w:rsidR="00FC0825" w:rsidRPr="00FC0825">
        <w:t>46:</w:t>
      </w:r>
      <w:r w:rsidRPr="00FC0825">
        <w:t xml:space="preserve"> Cha</w:t>
      </w:r>
      <w:r w:rsidR="003673F6" w:rsidRPr="00FC0825">
        <w:t>ng</w:t>
      </w:r>
      <w:r w:rsidRPr="00FC0825">
        <w:t xml:space="preserve">e </w:t>
      </w:r>
      <w:r w:rsidR="00DE548B" w:rsidRPr="00FC0825">
        <w:t xml:space="preserve">from baseline </w:t>
      </w:r>
      <w:r w:rsidRPr="00FC0825">
        <w:t>(DB) at endpoint Positive and Negative Syndrome Scale</w:t>
      </w:r>
      <w:r w:rsidRPr="00FD561B">
        <w:t xml:space="preserve"> (PANSS) Total Score Clinical Global Impression Severity (CGI-S) Score Personal and Social Performance Scale (PSP) (LOCF)</w:t>
      </w:r>
      <w:bookmarkEnd w:id="214"/>
    </w:p>
    <w:p w14:paraId="6F606DF7" w14:textId="77777777" w:rsidR="007D66D9" w:rsidRPr="007D66D9" w:rsidRDefault="007D66D9" w:rsidP="00DC3589">
      <w:pPr>
        <w:rPr>
          <w:vertAlign w:val="superscript"/>
        </w:rPr>
      </w:pPr>
      <w:r w:rsidRPr="007D66D9">
        <w:rPr>
          <w:noProof/>
          <w:lang w:eastAsia="en-AU"/>
        </w:rPr>
        <w:drawing>
          <wp:inline distT="0" distB="0" distL="0" distR="0" wp14:anchorId="69C981F5" wp14:editId="1BB34F00">
            <wp:extent cx="4160599" cy="2033626"/>
            <wp:effectExtent l="0" t="0" r="0" b="5080"/>
            <wp:docPr id="176" name="Picture 176" descr="Table 46: Change from baseline (DB) at endpoint Positive and Negative Syndrome Scale (PANSS) Total Score Clinical Global Impression Severity (CGI-S) Score Personal and Social Performance Scale (PSP)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173283" cy="2039826"/>
                    </a:xfrm>
                    <a:prstGeom prst="rect">
                      <a:avLst/>
                    </a:prstGeom>
                  </pic:spPr>
                </pic:pic>
              </a:graphicData>
            </a:graphic>
          </wp:inline>
        </w:drawing>
      </w:r>
    </w:p>
    <w:p w14:paraId="61679537" w14:textId="77777777" w:rsidR="007D66D9" w:rsidRPr="007D66D9" w:rsidRDefault="00DE548B" w:rsidP="00DC3589">
      <w:pPr>
        <w:pStyle w:val="TableDescription"/>
      </w:pPr>
      <w:r w:rsidRPr="00DE548B">
        <w:rPr>
          <w:vertAlign w:val="superscript"/>
        </w:rPr>
        <w:t>a.</w:t>
      </w:r>
      <w:r>
        <w:t xml:space="preserve"> </w:t>
      </w:r>
      <w:r w:rsidR="007D66D9" w:rsidRPr="007D66D9">
        <w:t>Based on analysis of covariance (ANCOVA) model with treatment and country as factors, and baseline value as a covariate. Diff is for Cha</w:t>
      </w:r>
      <w:r w:rsidR="003673F6">
        <w:t>ng</w:t>
      </w:r>
      <w:r w:rsidR="007D66D9" w:rsidRPr="007D66D9">
        <w:t>e from Baseline, PP3M - PP1M</w:t>
      </w:r>
      <w:r>
        <w:t xml:space="preserve"> </w:t>
      </w:r>
      <w:r w:rsidRPr="00DE548B">
        <w:rPr>
          <w:vertAlign w:val="superscript"/>
        </w:rPr>
        <w:t>b.</w:t>
      </w:r>
      <w:r>
        <w:t xml:space="preserve"> </w:t>
      </w:r>
      <w:proofErr w:type="gramStart"/>
      <w:r w:rsidR="007D66D9" w:rsidRPr="007D66D9">
        <w:t>Based</w:t>
      </w:r>
      <w:proofErr w:type="gramEnd"/>
      <w:r w:rsidR="007D66D9" w:rsidRPr="007D66D9">
        <w:t xml:space="preserve"> on analysis of covariance (ANCOVA) model with treatment (PP1M vs PP3M) and country as factors, and baseline value as a covariate.</w:t>
      </w:r>
      <w:r w:rsidR="004A676D">
        <w:t xml:space="preserve"> </w:t>
      </w:r>
      <w:r w:rsidR="007D66D9" w:rsidRPr="007D66D9">
        <w:t>Diff is for Cha</w:t>
      </w:r>
      <w:r w:rsidR="003673F6">
        <w:t>ng</w:t>
      </w:r>
      <w:r w:rsidR="007D66D9" w:rsidRPr="007D66D9">
        <w:t>e f</w:t>
      </w:r>
      <w:r>
        <w:t>rom Baseline, PP3M - PP1M</w:t>
      </w:r>
    </w:p>
    <w:p w14:paraId="5DD43BD1" w14:textId="77777777" w:rsidR="007D66D9" w:rsidRPr="003C0A48" w:rsidRDefault="007D66D9" w:rsidP="007D66D9">
      <w:pPr>
        <w:pStyle w:val="Heading4"/>
      </w:pPr>
      <w:bookmarkStart w:id="215" w:name="_Toc453054901"/>
      <w:bookmarkStart w:id="216" w:name="_Ref271126605"/>
      <w:bookmarkStart w:id="217" w:name="_Toc272414657"/>
      <w:bookmarkStart w:id="218" w:name="_Toc290846282"/>
      <w:bookmarkStart w:id="219" w:name="_Toc290888819"/>
      <w:r w:rsidRPr="003C0A48">
        <w:lastRenderedPageBreak/>
        <w:t>Evaluator’s conclusions on clinical efficacy</w:t>
      </w:r>
      <w:bookmarkEnd w:id="215"/>
      <w:bookmarkEnd w:id="216"/>
      <w:bookmarkEnd w:id="217"/>
      <w:bookmarkEnd w:id="218"/>
      <w:bookmarkEnd w:id="219"/>
    </w:p>
    <w:p w14:paraId="32079CCA" w14:textId="77777777" w:rsidR="007D66D9" w:rsidRDefault="007D66D9" w:rsidP="007D66D9">
      <w:pPr>
        <w:pStyle w:val="Heading5"/>
      </w:pPr>
      <w:bookmarkStart w:id="220" w:name="_Toc453054902"/>
      <w:r>
        <w:t>Guidance</w:t>
      </w:r>
      <w:bookmarkEnd w:id="220"/>
    </w:p>
    <w:p w14:paraId="6916BF62" w14:textId="77777777" w:rsidR="007D66D9" w:rsidRPr="007D66D9" w:rsidRDefault="007D66D9" w:rsidP="00FD561B">
      <w:pPr>
        <w:pStyle w:val="Heading6"/>
        <w:rPr>
          <w:lang w:val="en"/>
        </w:rPr>
      </w:pPr>
      <w:r w:rsidRPr="007D66D9">
        <w:rPr>
          <w:lang w:val="en"/>
        </w:rPr>
        <w:t xml:space="preserve">CPMP/EWP/482/99 Points </w:t>
      </w:r>
      <w:r w:rsidR="00485B1E" w:rsidRPr="007D66D9">
        <w:rPr>
          <w:lang w:val="en"/>
        </w:rPr>
        <w:t>to consider on switchi</w:t>
      </w:r>
      <w:r w:rsidR="003673F6">
        <w:rPr>
          <w:lang w:val="en"/>
        </w:rPr>
        <w:t>ng</w:t>
      </w:r>
      <w:r w:rsidR="00485B1E" w:rsidRPr="007D66D9">
        <w:rPr>
          <w:lang w:val="en"/>
        </w:rPr>
        <w:t xml:space="preserve"> between superiority and non</w:t>
      </w:r>
      <w:r w:rsidRPr="007D66D9">
        <w:rPr>
          <w:lang w:val="en"/>
        </w:rPr>
        <w:t>-inferiority</w:t>
      </w:r>
    </w:p>
    <w:p w14:paraId="28B8EFD0" w14:textId="77777777" w:rsidR="007D66D9" w:rsidRPr="007D66D9" w:rsidRDefault="007D66D9" w:rsidP="00485B1E">
      <w:pPr>
        <w:rPr>
          <w:lang w:val="en"/>
        </w:rPr>
      </w:pPr>
      <w:r w:rsidRPr="007D66D9">
        <w:rPr>
          <w:lang w:val="en"/>
        </w:rPr>
        <w:t xml:space="preserve">Whether the observed difference is indeed clinically relevant is a matter of </w:t>
      </w:r>
      <w:r w:rsidR="00DE548B" w:rsidRPr="007D66D9">
        <w:rPr>
          <w:lang w:val="en"/>
        </w:rPr>
        <w:t>judgment</w:t>
      </w:r>
      <w:r w:rsidRPr="007D66D9">
        <w:rPr>
          <w:lang w:val="en"/>
        </w:rPr>
        <w:t>. In contrast to an equivalence or non-inferiority trial where clinical relevance is addressed through the pre-study choice of 8 (see II.2 and Il.3), in a superiority trial clinical relevance requires separate consideration: a statistically significant difference may not be clinically relevant. The difference taken as the basis of the power calculation in a superiority trial cannot be assumed to provide a suitable value.</w:t>
      </w:r>
    </w:p>
    <w:p w14:paraId="59D4D6E7" w14:textId="77777777" w:rsidR="007D66D9" w:rsidRPr="007D66D9" w:rsidRDefault="007D66D9" w:rsidP="00FD561B">
      <w:pPr>
        <w:pStyle w:val="Heading6"/>
      </w:pPr>
      <w:r w:rsidRPr="007D66D9">
        <w:rPr>
          <w:lang w:val="en"/>
        </w:rPr>
        <w:t xml:space="preserve">EMEA/CPMP/EWP/2158/99 Guideline on </w:t>
      </w:r>
      <w:r w:rsidR="00485B1E" w:rsidRPr="007D66D9">
        <w:rPr>
          <w:lang w:val="en"/>
        </w:rPr>
        <w:t>the choice of the non-inferiority margin</w:t>
      </w:r>
    </w:p>
    <w:p w14:paraId="55453BAD" w14:textId="77777777" w:rsidR="007D66D9" w:rsidRPr="00662127" w:rsidRDefault="00485B1E" w:rsidP="00662127">
      <w:pPr>
        <w:pStyle w:val="Heading7"/>
        <w:rPr>
          <w:sz w:val="20"/>
        </w:rPr>
      </w:pPr>
      <w:r>
        <w:rPr>
          <w:sz w:val="20"/>
        </w:rPr>
        <w:t>Demonstrati</w:t>
      </w:r>
      <w:r w:rsidR="003673F6">
        <w:rPr>
          <w:sz w:val="20"/>
        </w:rPr>
        <w:t>ng</w:t>
      </w:r>
      <w:r>
        <w:rPr>
          <w:sz w:val="20"/>
        </w:rPr>
        <w:t xml:space="preserve"> efficacy</w:t>
      </w:r>
    </w:p>
    <w:p w14:paraId="5C0F3AEE" w14:textId="77777777" w:rsidR="004A676D" w:rsidRDefault="007D66D9" w:rsidP="00485B1E">
      <w:r w:rsidRPr="007D66D9">
        <w:t>When data from trials designed to show superiority of a test product over placebo are bei</w:t>
      </w:r>
      <w:r w:rsidR="003673F6">
        <w:t>ng</w:t>
      </w:r>
      <w:r w:rsidRPr="007D66D9">
        <w:t xml:space="preserve"> interpreted, an informal two-stage procedure is employed involvi</w:t>
      </w:r>
      <w:r w:rsidR="003673F6">
        <w:t>ng</w:t>
      </w:r>
      <w:r w:rsidRPr="007D66D9">
        <w:t xml:space="preserve"> the consideration of both statistical significance and clinical relevance</w:t>
      </w:r>
      <w:r w:rsidR="004A676D">
        <w:t>.</w:t>
      </w:r>
    </w:p>
    <w:p w14:paraId="4F54A98E" w14:textId="77777777" w:rsidR="007D66D9" w:rsidRPr="007D66D9" w:rsidRDefault="007D66D9" w:rsidP="00485B1E">
      <w:r w:rsidRPr="007D66D9">
        <w:t>In a superiority trial, it would first be expected that the test product demonstrated a statistically significant advantage over placebo. This relates to the ‘statistical reasoni</w:t>
      </w:r>
      <w:r w:rsidR="003673F6">
        <w:t>ng</w:t>
      </w:r>
      <w:r w:rsidRPr="007D66D9">
        <w:t>’ stage of the ICH E10 combination of ‘both statistical reasoni</w:t>
      </w:r>
      <w:r w:rsidR="003673F6">
        <w:t>ng</w:t>
      </w:r>
      <w:r w:rsidRPr="007D66D9">
        <w:t xml:space="preserve"> and clinical judgement’. Statistical significance is generally assessed usi</w:t>
      </w:r>
      <w:r w:rsidR="003673F6">
        <w:t>ng</w:t>
      </w:r>
      <w:r w:rsidRPr="007D66D9">
        <w:t xml:space="preserve"> the two-sided 0.05 level of significance (or one-sided 0.025). An alternative way of stati</w:t>
      </w:r>
      <w:r w:rsidR="003673F6">
        <w:t>ng</w:t>
      </w:r>
      <w:r w:rsidRPr="007D66D9">
        <w:t xml:space="preserve"> this requirement is that the lower bound of the two-sided 95% confidence interval (or one-sided 97.5% interval) for the difference between active and placebo should be above zero.</w:t>
      </w:r>
    </w:p>
    <w:p w14:paraId="7DF99867" w14:textId="77777777" w:rsidR="007D66D9" w:rsidRPr="007D66D9" w:rsidRDefault="007D66D9" w:rsidP="00485B1E">
      <w:r w:rsidRPr="007D66D9">
        <w:t>The next step in interpreti</w:t>
      </w:r>
      <w:r w:rsidR="003673F6">
        <w:t>ng</w:t>
      </w:r>
      <w:r w:rsidRPr="007D66D9">
        <w:t xml:space="preserve"> a superiority trial is to consider whether the difference from placebo is clinically relevant. This is the ‘clinical judgement’ stage of the ICH E10 combination of ‘both statistical reasoni</w:t>
      </w:r>
      <w:r w:rsidR="003673F6">
        <w:t>ng</w:t>
      </w:r>
      <w:r w:rsidRPr="007D66D9">
        <w:t xml:space="preserve"> and clinical judgement’.</w:t>
      </w:r>
    </w:p>
    <w:p w14:paraId="6B58B63B" w14:textId="77777777" w:rsidR="007D66D9" w:rsidRPr="007D66D9" w:rsidRDefault="007D66D9" w:rsidP="00485B1E">
      <w:r w:rsidRPr="007D66D9">
        <w:t>Establishi</w:t>
      </w:r>
      <w:r w:rsidR="003673F6">
        <w:t>ng</w:t>
      </w:r>
      <w:r w:rsidRPr="007D66D9">
        <w:t xml:space="preserve"> a clinically relevant benefit over placebo is accomplished by consideri</w:t>
      </w:r>
      <w:r w:rsidR="003673F6">
        <w:t>ng</w:t>
      </w:r>
      <w:r w:rsidRPr="007D66D9">
        <w:t xml:space="preserve"> the point estimate of the difference between the test product and placebo and assessi</w:t>
      </w:r>
      <w:r w:rsidR="003673F6">
        <w:t>ng</w:t>
      </w:r>
      <w:r w:rsidRPr="007D66D9">
        <w:t xml:space="preserve"> its clinical relevance, either usi</w:t>
      </w:r>
      <w:r w:rsidR="003673F6">
        <w:t>ng</w:t>
      </w:r>
      <w:r w:rsidRPr="007D66D9">
        <w:t xml:space="preserve"> the original scale or by consideri</w:t>
      </w:r>
      <w:r w:rsidR="003673F6">
        <w:t>ng</w:t>
      </w:r>
      <w:r w:rsidRPr="007D66D9">
        <w:t xml:space="preserve"> responder rates. This is a not primarily a statistical issue, but does require an intelligent combination of clinical thinki</w:t>
      </w:r>
      <w:r w:rsidR="003673F6">
        <w:t>ng</w:t>
      </w:r>
      <w:r w:rsidRPr="007D66D9">
        <w:t xml:space="preserve"> and data comprehension.</w:t>
      </w:r>
    </w:p>
    <w:p w14:paraId="4553D75D" w14:textId="77777777" w:rsidR="007D66D9" w:rsidRPr="007D66D9" w:rsidRDefault="007D66D9" w:rsidP="00485B1E">
      <w:r w:rsidRPr="007D66D9">
        <w:t>Statistical significance has already been demonstrated, so the existence of an effect is considered to be established. A judgement must be made regardi</w:t>
      </w:r>
      <w:r w:rsidR="003673F6">
        <w:t>ng</w:t>
      </w:r>
      <w:r w:rsidRPr="007D66D9">
        <w:t xml:space="preserve"> whether the difference seen is clinically useful. This judgement is usually made in the context of the safety profile via an assessment of benefit/risk.</w:t>
      </w:r>
    </w:p>
    <w:p w14:paraId="3C79F436" w14:textId="77777777" w:rsidR="007D66D9" w:rsidRDefault="007D66D9" w:rsidP="007D66D9">
      <w:pPr>
        <w:pStyle w:val="Heading5"/>
      </w:pPr>
      <w:bookmarkStart w:id="221" w:name="_Toc453054903"/>
      <w:r>
        <w:t>Evaluation</w:t>
      </w:r>
      <w:bookmarkEnd w:id="221"/>
    </w:p>
    <w:p w14:paraId="2D9A84E6" w14:textId="77777777" w:rsidR="007D66D9" w:rsidRPr="007D66D9" w:rsidRDefault="007D66D9" w:rsidP="007D66D9">
      <w:r w:rsidRPr="007D66D9">
        <w:t>Statistical significance was shown in the superiority of Invega Trinza over placebo for primary endpoint for Study 3012.</w:t>
      </w:r>
    </w:p>
    <w:p w14:paraId="1BE937C2" w14:textId="77777777" w:rsidR="007D66D9" w:rsidRPr="007D66D9" w:rsidRDefault="007D66D9" w:rsidP="00485B1E">
      <w:r w:rsidRPr="007D66D9">
        <w:t>The Independent Data Monitori</w:t>
      </w:r>
      <w:r w:rsidR="003673F6">
        <w:t>ng</w:t>
      </w:r>
      <w:r w:rsidRPr="007D66D9">
        <w:t xml:space="preserve"> Committee (IDMC) charter has under 7.2.1.1 Interim Efficacy Analysis:</w:t>
      </w:r>
    </w:p>
    <w:p w14:paraId="5D0CDCE6" w14:textId="77777777" w:rsidR="007D66D9" w:rsidRPr="00485B1E" w:rsidRDefault="007D66D9" w:rsidP="007D66D9">
      <w:pPr>
        <w:ind w:left="284"/>
        <w:rPr>
          <w:rFonts w:cs="Arial"/>
          <w:i/>
        </w:rPr>
      </w:pPr>
      <w:r w:rsidRPr="00485B1E">
        <w:rPr>
          <w:rFonts w:cs="Arial"/>
          <w:i/>
        </w:rPr>
        <w:t xml:space="preserve">If the </w:t>
      </w:r>
      <w:r w:rsidR="009C7BEE" w:rsidRPr="00485B1E">
        <w:rPr>
          <w:rFonts w:cs="Arial"/>
          <w:i/>
        </w:rPr>
        <w:t>p value</w:t>
      </w:r>
      <w:r w:rsidRPr="00485B1E">
        <w:rPr>
          <w:rFonts w:cs="Arial"/>
          <w:i/>
        </w:rPr>
        <w:t xml:space="preserve"> from the log-rank test on time to relapse at the planned interim analysis was less than 0.0101, the null hypothesis of no treatment difference in time to relapse was to be rejected and the IDMC was to recommend that the study be terminated for significant efficacy. Otherwise, the study was to continue until 70 relapse events were observed. No stoppi</w:t>
      </w:r>
      <w:r w:rsidR="003673F6">
        <w:rPr>
          <w:rFonts w:cs="Arial"/>
          <w:i/>
        </w:rPr>
        <w:t>ng</w:t>
      </w:r>
      <w:r w:rsidRPr="00485B1E">
        <w:rPr>
          <w:rFonts w:cs="Arial"/>
          <w:i/>
        </w:rPr>
        <w:t xml:space="preserve"> rules for futility were to be incorporated.</w:t>
      </w:r>
    </w:p>
    <w:p w14:paraId="51835213" w14:textId="77777777" w:rsidR="007D66D9" w:rsidRPr="007D66D9" w:rsidRDefault="007D66D9" w:rsidP="00485B1E">
      <w:r w:rsidRPr="007D66D9">
        <w:t>The minutes of the Independent Data Monitori</w:t>
      </w:r>
      <w:r w:rsidR="003673F6">
        <w:t>ng</w:t>
      </w:r>
      <w:r w:rsidRPr="007D66D9">
        <w:t xml:space="preserve"> Committee show:</w:t>
      </w:r>
    </w:p>
    <w:p w14:paraId="35F079AC" w14:textId="77777777" w:rsidR="007D66D9" w:rsidRPr="00485B1E" w:rsidRDefault="007D66D9" w:rsidP="007D66D9">
      <w:pPr>
        <w:ind w:left="284"/>
        <w:rPr>
          <w:rFonts w:cs="Arial"/>
          <w:i/>
        </w:rPr>
      </w:pPr>
      <w:r w:rsidRPr="00485B1E">
        <w:rPr>
          <w:rFonts w:cs="Arial"/>
          <w:i/>
        </w:rPr>
        <w:t>IDMC members agreed that the difference between treatment groups in relapse rates was highly statistically significant and met criteria for early study termination.</w:t>
      </w:r>
    </w:p>
    <w:p w14:paraId="65787BFF" w14:textId="77777777" w:rsidR="007D66D9" w:rsidRPr="00485B1E" w:rsidRDefault="007D66D9" w:rsidP="007D66D9">
      <w:pPr>
        <w:ind w:left="284"/>
        <w:rPr>
          <w:rFonts w:cs="Arial"/>
          <w:i/>
        </w:rPr>
      </w:pPr>
      <w:r w:rsidRPr="00485B1E">
        <w:rPr>
          <w:rFonts w:cs="Arial"/>
          <w:i/>
        </w:rPr>
        <w:lastRenderedPageBreak/>
        <w:t>Based on the review of the interim analysis of the primary efficacy data, the IDMC members voted unanimously, includi</w:t>
      </w:r>
      <w:r w:rsidR="003673F6">
        <w:rPr>
          <w:rFonts w:cs="Arial"/>
          <w:i/>
        </w:rPr>
        <w:t>ng</w:t>
      </w:r>
      <w:r w:rsidRPr="00485B1E">
        <w:rPr>
          <w:rFonts w:cs="Arial"/>
          <w:i/>
        </w:rPr>
        <w:t xml:space="preserve"> also Rene Kahn’s vote, to discontinue the study due to established efficacy within the pre-specified significance level.</w:t>
      </w:r>
    </w:p>
    <w:p w14:paraId="5A39CE89" w14:textId="77777777" w:rsidR="007D66D9" w:rsidRPr="007D66D9" w:rsidRDefault="007D66D9" w:rsidP="00485B1E">
      <w:r w:rsidRPr="007D66D9">
        <w:t>The minutes do not show that clinical relevance of the difference was discussed.</w:t>
      </w:r>
    </w:p>
    <w:p w14:paraId="76B542FF" w14:textId="77777777" w:rsidR="004A676D" w:rsidRDefault="007D66D9" w:rsidP="009746A1">
      <w:r w:rsidRPr="007D66D9">
        <w:t xml:space="preserve">The sponsor has claimed a clinically </w:t>
      </w:r>
      <w:r w:rsidRPr="00485B1E">
        <w:t>significant difference</w:t>
      </w:r>
      <w:r w:rsidRPr="007D66D9">
        <w:t xml:space="preserve"> without givi</w:t>
      </w:r>
      <w:r w:rsidR="003673F6">
        <w:t>ng</w:t>
      </w:r>
      <w:r w:rsidRPr="007D66D9">
        <w:t xml:space="preserve"> reasons for so claimi</w:t>
      </w:r>
      <w:r w:rsidR="003673F6">
        <w:t>ng</w:t>
      </w:r>
      <w:r w:rsidR="004A676D">
        <w:t>.</w:t>
      </w:r>
    </w:p>
    <w:p w14:paraId="22D819B0" w14:textId="609638D3" w:rsidR="004A676D" w:rsidRDefault="007D66D9" w:rsidP="009746A1">
      <w:r w:rsidRPr="007D66D9">
        <w:t>After receivi</w:t>
      </w:r>
      <w:r w:rsidR="003673F6">
        <w:t>ng</w:t>
      </w:r>
      <w:r w:rsidRPr="007D66D9">
        <w:t xml:space="preserve"> for the Maintenance Phase the initial dose of Invega Trinza, only 9</w:t>
      </w:r>
      <w:proofErr w:type="gramStart"/>
      <w:r w:rsidRPr="007D66D9">
        <w:t>/(</w:t>
      </w:r>
      <w:proofErr w:type="gramEnd"/>
      <w:r w:rsidRPr="007D66D9">
        <w:t>305 + 9) or 2.9% withdrew from lack of efficacy. In the Double Blind Phase of those whose treatment with Invega Trinza continued 14</w:t>
      </w:r>
      <w:proofErr w:type="gramStart"/>
      <w:r w:rsidRPr="007D66D9">
        <w:t>/(</w:t>
      </w:r>
      <w:proofErr w:type="gramEnd"/>
      <w:r w:rsidRPr="007D66D9">
        <w:t>134 + 14) or 9.5% withdrew from relapse. While there was a lo</w:t>
      </w:r>
      <w:r w:rsidR="003673F6">
        <w:t>ng</w:t>
      </w:r>
      <w:r w:rsidRPr="007D66D9">
        <w:t xml:space="preserve">er exposure (mean 175.1 days </w:t>
      </w:r>
      <w:r w:rsidR="00785F6E">
        <w:t>versus</w:t>
      </w:r>
      <w:r w:rsidR="009746A1">
        <w:t xml:space="preserve"> 80.9 days</w:t>
      </w:r>
      <w:r w:rsidRPr="007D66D9">
        <w:t>) in the Double Blind phase</w:t>
      </w:r>
      <w:r w:rsidRPr="007D66D9">
        <w:rPr>
          <w:vertAlign w:val="superscript"/>
        </w:rPr>
        <w:footnoteReference w:id="30"/>
      </w:r>
      <w:r w:rsidRPr="007D66D9">
        <w:t xml:space="preserve"> the relapse rate is still greater which is especially of concern when the PKs results show that exposure tends to increase </w:t>
      </w:r>
      <w:r w:rsidRPr="00214167">
        <w:t>(</w:t>
      </w:r>
      <w:proofErr w:type="spellStart"/>
      <w:r w:rsidRPr="00214167">
        <w:t>C</w:t>
      </w:r>
      <w:r w:rsidRPr="00214167">
        <w:rPr>
          <w:vertAlign w:val="subscript"/>
        </w:rPr>
        <w:t>min</w:t>
      </w:r>
      <w:proofErr w:type="spellEnd"/>
      <w:r w:rsidRPr="00214167">
        <w:t xml:space="preserve"> increases </w:t>
      </w:r>
      <w:r w:rsidR="00214167">
        <w:t>Table 12</w:t>
      </w:r>
      <w:r w:rsidRPr="00214167">
        <w:t xml:space="preserve">) from the initial dose until steady state is reached </w:t>
      </w:r>
      <w:r w:rsidR="00785F6E" w:rsidRPr="00214167">
        <w:t>that is</w:t>
      </w:r>
      <w:r w:rsidRPr="00214167">
        <w:t xml:space="preserve"> one would expect</w:t>
      </w:r>
      <w:r w:rsidRPr="007D66D9">
        <w:t xml:space="preserve"> more relapses to occur earlier</w:t>
      </w:r>
      <w:r w:rsidR="004A676D">
        <w:t>.</w:t>
      </w:r>
      <w:r w:rsidR="00152CCE">
        <w:rPr>
          <w:rStyle w:val="FootnoteReference"/>
        </w:rPr>
        <w:footnoteReference w:id="31"/>
      </w:r>
    </w:p>
    <w:p w14:paraId="575E41E3" w14:textId="77777777" w:rsidR="004A676D" w:rsidRDefault="007D66D9" w:rsidP="009746A1">
      <w:r w:rsidRPr="007D66D9">
        <w:t>Of the 42 subjects who experienced a relapse event, 31 subjects (23.0%) were in the Placebo group and 11 subjects (7.4%) were in Invega Trinza group, the difference bei</w:t>
      </w:r>
      <w:r w:rsidR="003673F6">
        <w:t>ng</w:t>
      </w:r>
      <w:r w:rsidR="009746A1">
        <w:t xml:space="preserve"> statistically significant (p </w:t>
      </w:r>
      <w:r w:rsidRPr="007D66D9">
        <w:t>&lt; 0.001 based on the log-rank test)</w:t>
      </w:r>
      <w:r w:rsidR="004A676D">
        <w:t>.</w:t>
      </w:r>
    </w:p>
    <w:p w14:paraId="56129035" w14:textId="77777777" w:rsidR="004A676D" w:rsidRDefault="007D66D9" w:rsidP="009746A1">
      <w:r w:rsidRPr="007D66D9">
        <w:t>The instantaneous risk of relapse of schizophrenia symptoms was 3.45 (95% CI: 1.73, 6.88) times higher for a subject switchi</w:t>
      </w:r>
      <w:r w:rsidR="003673F6">
        <w:t>ng</w:t>
      </w:r>
      <w:r w:rsidRPr="007D66D9">
        <w:t xml:space="preserve"> to placebo than for a subject continui</w:t>
      </w:r>
      <w:r w:rsidR="003673F6">
        <w:t>ng</w:t>
      </w:r>
      <w:r w:rsidRPr="007D66D9">
        <w:t xml:space="preserve"> to receive Invega Trinza in the interim analysis</w:t>
      </w:r>
      <w:r w:rsidR="004A676D">
        <w:t>.</w:t>
      </w:r>
    </w:p>
    <w:p w14:paraId="21332CEE" w14:textId="77777777" w:rsidR="007D66D9" w:rsidRPr="007D66D9" w:rsidRDefault="007D66D9" w:rsidP="009746A1">
      <w:r w:rsidRPr="007D66D9">
        <w:t xml:space="preserve">The sample size was based on 0.44 as a Hazard Ratio (hazard rate of Invega Trinza/ hazard rate of Placebo </w:t>
      </w:r>
      <w:r w:rsidR="00785F6E">
        <w:t>that is</w:t>
      </w:r>
      <w:r w:rsidR="009746A1">
        <w:t>,</w:t>
      </w:r>
      <w:r w:rsidRPr="007D66D9">
        <w:t xml:space="preserve"> the inverse of this ratio </w:t>
      </w:r>
      <w:proofErr w:type="gramStart"/>
      <w:r w:rsidRPr="007D66D9">
        <w:t>is</w:t>
      </w:r>
      <w:proofErr w:type="gramEnd"/>
      <w:r w:rsidRPr="007D66D9">
        <w:t xml:space="preserve"> used to describe the efficacy result). Inverti</w:t>
      </w:r>
      <w:r w:rsidR="003673F6">
        <w:t>ng</w:t>
      </w:r>
      <w:r w:rsidRPr="007D66D9">
        <w:t xml:space="preserve"> 0.44 gives </w:t>
      </w:r>
      <w:r w:rsidRPr="00662127">
        <w:t>2.27</w:t>
      </w:r>
      <w:r w:rsidRPr="007D66D9">
        <w:rPr>
          <w:b/>
        </w:rPr>
        <w:t xml:space="preserve"> </w:t>
      </w:r>
      <w:r w:rsidR="00785F6E">
        <w:t>that is</w:t>
      </w:r>
      <w:r w:rsidR="009746A1">
        <w:t>,</w:t>
      </w:r>
      <w:r w:rsidRPr="007D66D9">
        <w:t xml:space="preserve"> greater than the </w:t>
      </w:r>
      <w:r w:rsidRPr="00662127">
        <w:t>1.73</w:t>
      </w:r>
      <w:r w:rsidRPr="007D66D9">
        <w:t xml:space="preserve"> lower bound of the 95%CI of the ratio used to describe the efficacy result.</w:t>
      </w:r>
    </w:p>
    <w:p w14:paraId="434F5A9C" w14:textId="77777777" w:rsidR="007D66D9" w:rsidRPr="007D66D9" w:rsidRDefault="007D66D9" w:rsidP="009746A1">
      <w:r w:rsidRPr="007D66D9">
        <w:t>The secondar</w:t>
      </w:r>
      <w:r w:rsidR="009746A1">
        <w:t>y endpoints in Study 3012 were:</w:t>
      </w:r>
    </w:p>
    <w:p w14:paraId="5653FCB2" w14:textId="77777777" w:rsidR="004A676D" w:rsidRDefault="007D66D9" w:rsidP="009746A1">
      <w:pPr>
        <w:pStyle w:val="ListBullet"/>
      </w:pPr>
      <w:r w:rsidRPr="007D66D9">
        <w:t>PANSS (total) at End point (double blind) mean (SD) cha</w:t>
      </w:r>
      <w:r w:rsidR="003673F6">
        <w:t>ng</w:t>
      </w:r>
      <w:r w:rsidRPr="007D66D9">
        <w:t>e from Baseline was placebo 6.7 (14.</w:t>
      </w:r>
      <w:r w:rsidR="009746A1">
        <w:t xml:space="preserve">40), Invega Trinza -0.5 (8.36). </w:t>
      </w:r>
      <w:r w:rsidRPr="007D66D9">
        <w:t>That is a difference of 7.2 (4%) from placebo in a 180 point scale</w:t>
      </w:r>
      <w:r w:rsidR="004A676D">
        <w:t>.</w:t>
      </w:r>
    </w:p>
    <w:p w14:paraId="6F121353" w14:textId="77777777" w:rsidR="004A676D" w:rsidRDefault="007D66D9" w:rsidP="009746A1">
      <w:pPr>
        <w:pStyle w:val="ListBullet"/>
      </w:pPr>
      <w:r w:rsidRPr="007D66D9">
        <w:t>CGI-S Score at End point (double blind) mean (SD) cha</w:t>
      </w:r>
      <w:r w:rsidR="003673F6">
        <w:t>ng</w:t>
      </w:r>
      <w:r w:rsidRPr="007D66D9">
        <w:t>e from Baseline was placebo 0.4 (0</w:t>
      </w:r>
      <w:r w:rsidR="009746A1">
        <w:t xml:space="preserve">.87), Invega Trinza 0.1 (0.60). </w:t>
      </w:r>
      <w:r w:rsidRPr="007D66D9">
        <w:t>That is a difference of 0.3 (4%) from placebo in a 7.0 point scale</w:t>
      </w:r>
      <w:r w:rsidR="004A676D">
        <w:t>.</w:t>
      </w:r>
    </w:p>
    <w:p w14:paraId="237C4F1D" w14:textId="77777777" w:rsidR="004A676D" w:rsidRDefault="007D66D9" w:rsidP="009746A1">
      <w:pPr>
        <w:pStyle w:val="ListBullet"/>
      </w:pPr>
      <w:r w:rsidRPr="007D66D9">
        <w:t>PSP (total) at End point (double blind) mean (SD) cha</w:t>
      </w:r>
      <w:r w:rsidR="003673F6">
        <w:t>ng</w:t>
      </w:r>
      <w:r w:rsidRPr="007D66D9">
        <w:t>e from Baseline was placebo -4.2 (9.70</w:t>
      </w:r>
      <w:r w:rsidR="009746A1">
        <w:t xml:space="preserve">), Invega Trinza-0.5 (6.63). </w:t>
      </w:r>
      <w:r w:rsidRPr="007D66D9">
        <w:t>That is a difference of 3.7(4%) from placebo in a 100 point scale</w:t>
      </w:r>
      <w:r w:rsidR="004A676D">
        <w:t>.</w:t>
      </w:r>
    </w:p>
    <w:p w14:paraId="72F3DE07" w14:textId="77777777" w:rsidR="007D66D9" w:rsidRPr="007D66D9" w:rsidRDefault="007D66D9" w:rsidP="009746A1">
      <w:r w:rsidRPr="007D66D9">
        <w:t>No multiplicity adjustments were to be made.</w:t>
      </w:r>
    </w:p>
    <w:p w14:paraId="1099B239" w14:textId="77777777" w:rsidR="004A676D" w:rsidRDefault="007D66D9" w:rsidP="009746A1">
      <w:r w:rsidRPr="007D66D9">
        <w:t>Based on 95% CIs non inferiority was shown for the primary endpoint of Invega Trinza compared to Invega Sustenna in Study 3011. However the percentage of relapses for Invega Sustenna at Week 48 was the similar to that seen at interim (primary) analysis in Study 3001 when only 37% of subjects in the Invega Sustenna group had received at least 5 injections (4 months of injections)</w:t>
      </w:r>
      <w:r w:rsidR="004A676D">
        <w:t>.</w:t>
      </w:r>
    </w:p>
    <w:p w14:paraId="7356FBF6" w14:textId="77777777" w:rsidR="007D66D9" w:rsidRPr="007D66D9" w:rsidRDefault="009746A1" w:rsidP="00662127">
      <w:pPr>
        <w:pStyle w:val="Comment"/>
      </w:pPr>
      <w:r>
        <w:rPr>
          <w:b/>
        </w:rPr>
        <w:t>Comment</w:t>
      </w:r>
      <w:r w:rsidR="007D66D9" w:rsidRPr="007D66D9">
        <w:rPr>
          <w:b/>
        </w:rPr>
        <w:t>:</w:t>
      </w:r>
      <w:r w:rsidR="00662127">
        <w:rPr>
          <w:b/>
        </w:rPr>
        <w:t xml:space="preserve"> </w:t>
      </w:r>
      <w:r w:rsidR="007D66D9" w:rsidRPr="007D66D9">
        <w:t>In the absence of a placebo control, equivalence and non-inferiority trials rely on certain assumptions:</w:t>
      </w:r>
    </w:p>
    <w:p w14:paraId="6B0D029A" w14:textId="77777777" w:rsidR="007D66D9" w:rsidRPr="007D66D9" w:rsidRDefault="007D66D9" w:rsidP="009746A1">
      <w:pPr>
        <w:pStyle w:val="ListBullet"/>
        <w:ind w:left="1491" w:hanging="357"/>
      </w:pPr>
      <w:r w:rsidRPr="007D66D9">
        <w:t>Superior efficacy of the standard treatment over placebo has been convinci</w:t>
      </w:r>
      <w:r w:rsidR="003673F6">
        <w:t>ng</w:t>
      </w:r>
      <w:r w:rsidRPr="007D66D9">
        <w:t>ly proven for a given indication in previous trials.</w:t>
      </w:r>
    </w:p>
    <w:p w14:paraId="6D29C00F" w14:textId="77777777" w:rsidR="007D66D9" w:rsidRPr="007D66D9" w:rsidRDefault="007D66D9" w:rsidP="009746A1">
      <w:pPr>
        <w:pStyle w:val="ListBullet"/>
        <w:ind w:left="1491" w:hanging="357"/>
      </w:pPr>
      <w:r w:rsidRPr="007D66D9">
        <w:lastRenderedPageBreak/>
        <w:t>Efficacy of the standard treatment will be preserved under the conditions of the equivalence or non-inferiority trial.</w:t>
      </w:r>
    </w:p>
    <w:p w14:paraId="75B9F1DD" w14:textId="77777777" w:rsidR="007D66D9" w:rsidRPr="007D66D9" w:rsidRDefault="007D66D9" w:rsidP="009746A1">
      <w:pPr>
        <w:pStyle w:val="ListBullet"/>
        <w:ind w:left="1491" w:hanging="357"/>
      </w:pPr>
      <w:r w:rsidRPr="007D66D9">
        <w:t xml:space="preserve">If the new treatment is shown to have equivalent or non-inferior efficacy, then it too would exhibit superior efficacy to placebo if a </w:t>
      </w:r>
      <w:r w:rsidR="00E60DFA">
        <w:t>placebo controlled</w:t>
      </w:r>
      <w:r w:rsidRPr="007D66D9">
        <w:t xml:space="preserve"> trial were to be performed.</w:t>
      </w:r>
    </w:p>
    <w:p w14:paraId="79809335" w14:textId="77777777" w:rsidR="0085068D" w:rsidRPr="007D66D9" w:rsidRDefault="007D66D9" w:rsidP="009746A1">
      <w:r w:rsidRPr="007D66D9">
        <w:t xml:space="preserve">These assumptions, and the rationale for equivalence or non-inferiority margins, cannot be validated explicitly. Although new and standard treatments may be shown to be equivalent, they could both </w:t>
      </w:r>
      <w:r w:rsidRPr="009746A1">
        <w:t>be ineffective.</w:t>
      </w:r>
      <w:r w:rsidRPr="009746A1">
        <w:rPr>
          <w:vertAlign w:val="superscript"/>
        </w:rPr>
        <w:footnoteReference w:id="32"/>
      </w:r>
    </w:p>
    <w:p w14:paraId="549C560F" w14:textId="77777777" w:rsidR="00C22678" w:rsidRDefault="00C22678" w:rsidP="00C22678">
      <w:pPr>
        <w:pStyle w:val="Heading2"/>
      </w:pPr>
      <w:bookmarkStart w:id="222" w:name="_Toc495583945"/>
      <w:r>
        <w:t>Clinical safety</w:t>
      </w:r>
      <w:bookmarkEnd w:id="222"/>
    </w:p>
    <w:p w14:paraId="0C9E5664" w14:textId="77777777" w:rsidR="007D66D9" w:rsidRPr="007D66D9" w:rsidRDefault="007D66D9" w:rsidP="007D66D9">
      <w:r w:rsidRPr="007D66D9">
        <w:t>The sponsor proposes:</w:t>
      </w:r>
    </w:p>
    <w:p w14:paraId="3165051C" w14:textId="77777777" w:rsidR="004D2F2B" w:rsidRDefault="007D66D9" w:rsidP="009746A1">
      <w:pPr>
        <w:rPr>
          <w:i/>
        </w:rPr>
      </w:pPr>
      <w:r w:rsidRPr="009746A1">
        <w:rPr>
          <w:i/>
        </w:rPr>
        <w:t>Consideri</w:t>
      </w:r>
      <w:r w:rsidR="003673F6">
        <w:rPr>
          <w:i/>
        </w:rPr>
        <w:t>ng</w:t>
      </w:r>
      <w:r w:rsidRPr="009746A1">
        <w:rPr>
          <w:i/>
        </w:rPr>
        <w:t xml:space="preserve"> that PP3M shares the same active moiety as well as the same route of administration and formulation characteristics with the commercially-available PP1M product, the Company believes that the overall extent of exposure (total number of subjects exposed) and the well documented safety profile of PP1M are particularly relevant for PP3M</w:t>
      </w:r>
      <w:r w:rsidR="004D2F2B">
        <w:rPr>
          <w:i/>
        </w:rPr>
        <w:t>.</w:t>
      </w:r>
    </w:p>
    <w:p w14:paraId="0B81C14A" w14:textId="77777777" w:rsidR="007D66D9" w:rsidRDefault="007D66D9" w:rsidP="007D66D9">
      <w:pPr>
        <w:pStyle w:val="Heading3"/>
      </w:pPr>
      <w:bookmarkStart w:id="223" w:name="_Toc241374318"/>
      <w:bookmarkStart w:id="224" w:name="_Ref271196630"/>
      <w:bookmarkStart w:id="225" w:name="_Toc272414662"/>
      <w:bookmarkStart w:id="226" w:name="_Toc290846300"/>
      <w:bookmarkStart w:id="227" w:name="_Toc290888837"/>
      <w:bookmarkStart w:id="228" w:name="_Toc453054905"/>
      <w:bookmarkStart w:id="229" w:name="_Toc495583946"/>
      <w:bookmarkStart w:id="230" w:name="_Ref269204367"/>
      <w:bookmarkStart w:id="231" w:name="_Ref271195835"/>
      <w:bookmarkStart w:id="232" w:name="_Ref271195841"/>
      <w:bookmarkStart w:id="233" w:name="_Toc272414660"/>
      <w:bookmarkStart w:id="234" w:name="_Toc290846285"/>
      <w:bookmarkStart w:id="235" w:name="_Toc290888822"/>
      <w:r>
        <w:t>Patient exposure</w:t>
      </w:r>
      <w:bookmarkEnd w:id="223"/>
      <w:bookmarkEnd w:id="224"/>
      <w:bookmarkEnd w:id="225"/>
      <w:bookmarkEnd w:id="226"/>
      <w:bookmarkEnd w:id="227"/>
      <w:bookmarkEnd w:id="228"/>
      <w:bookmarkEnd w:id="229"/>
    </w:p>
    <w:p w14:paraId="0BE0FD9E" w14:textId="77777777" w:rsidR="007D66D9" w:rsidRPr="007D66D9" w:rsidRDefault="007D66D9" w:rsidP="009746A1">
      <w:r w:rsidRPr="007D66D9">
        <w:t>The combined exposure to Invega Trinza in the 3 studies included in this submission was 567.6 patient-years, based on 1,191 subjects (308 from PSY-1005, 379 from PSY-3012 and 504 from PSY-3011) who received at least 1 dose of Invega Trinza with 319 subjects (291 from PSY-3011 and 28 from PSY-3012) havi</w:t>
      </w:r>
      <w:r w:rsidR="003673F6">
        <w:t>ng</w:t>
      </w:r>
      <w:r w:rsidRPr="007D66D9">
        <w:t xml:space="preserve"> at least 48 weeks of Invega Trinza.</w:t>
      </w:r>
    </w:p>
    <w:p w14:paraId="516E3FAF" w14:textId="77777777" w:rsidR="007D66D9" w:rsidRDefault="007D66D9" w:rsidP="007D66D9">
      <w:pPr>
        <w:pStyle w:val="Heading3"/>
      </w:pPr>
      <w:bookmarkStart w:id="236" w:name="_Toc453054906"/>
      <w:bookmarkStart w:id="237" w:name="_Toc495583947"/>
      <w:r>
        <w:t xml:space="preserve">Pivotal studies </w:t>
      </w:r>
      <w:r w:rsidRPr="00027276">
        <w:t xml:space="preserve">that assessed </w:t>
      </w:r>
      <w:r>
        <w:t>safety as a primary outcome</w:t>
      </w:r>
      <w:bookmarkEnd w:id="236"/>
      <w:bookmarkEnd w:id="237"/>
    </w:p>
    <w:p w14:paraId="0D8DF9A3" w14:textId="77777777" w:rsidR="007D66D9" w:rsidRPr="007D66D9" w:rsidRDefault="007D66D9" w:rsidP="009746A1">
      <w:r w:rsidRPr="007D66D9">
        <w:t xml:space="preserve">The studies’ safety results were not combined </w:t>
      </w:r>
      <w:r w:rsidR="00FC0825" w:rsidRPr="007D66D9">
        <w:t>in summary of clinical safety</w:t>
      </w:r>
      <w:r w:rsidRPr="007D66D9">
        <w:t xml:space="preserve">. Some safety results were combined in the </w:t>
      </w:r>
      <w:r w:rsidR="00FC0825" w:rsidRPr="007D66D9">
        <w:t>clinical overview</w:t>
      </w:r>
      <w:r w:rsidRPr="007D66D9">
        <w:t>.</w:t>
      </w:r>
    </w:p>
    <w:p w14:paraId="1AAEAC9F" w14:textId="77777777" w:rsidR="007D66D9" w:rsidRPr="007D66D9" w:rsidRDefault="007D66D9" w:rsidP="007D66D9">
      <w:pPr>
        <w:rPr>
          <w:rFonts w:cs="Arial"/>
        </w:rPr>
      </w:pPr>
      <w:r w:rsidRPr="009746A1">
        <w:rPr>
          <w:rFonts w:cs="Arial"/>
        </w:rPr>
        <w:t>Safety data from these 3 studies were not pooled due to differences in study design and objectives.</w:t>
      </w:r>
    </w:p>
    <w:p w14:paraId="3A211166" w14:textId="77777777" w:rsidR="007D66D9" w:rsidRPr="007D66D9" w:rsidRDefault="007D66D9" w:rsidP="009746A1">
      <w:r w:rsidRPr="007D66D9">
        <w:t xml:space="preserve">The design of these </w:t>
      </w:r>
      <w:r w:rsidR="009746A1">
        <w:t>Phase III</w:t>
      </w:r>
      <w:r w:rsidRPr="007D66D9">
        <w:t xml:space="preserve"> studies was not intended to support a formal evaluation of the dose response of PP3M for specific safety findi</w:t>
      </w:r>
      <w:r w:rsidR="003673F6">
        <w:t>ng</w:t>
      </w:r>
      <w:r w:rsidRPr="007D66D9">
        <w:t>s (</w:t>
      </w:r>
      <w:r w:rsidR="009746A1">
        <w:t>for example</w:t>
      </w:r>
      <w:r w:rsidRPr="007D66D9">
        <w:t xml:space="preserve"> EPS-related AEs, weight gain) or tolerability. Subjects were not </w:t>
      </w:r>
      <w:r w:rsidR="00E60DFA">
        <w:t xml:space="preserve">randomly </w:t>
      </w:r>
      <w:r w:rsidRPr="007D66D9">
        <w:t>assigned to distinct dose levels of PP3M upon enteri</w:t>
      </w:r>
      <w:r w:rsidR="003673F6">
        <w:t>ng</w:t>
      </w:r>
      <w:r w:rsidRPr="007D66D9">
        <w:t xml:space="preserve"> the </w:t>
      </w:r>
      <w:r w:rsidR="009C7BEE">
        <w:t>Double blind Phase</w:t>
      </w:r>
      <w:r w:rsidRPr="007D66D9">
        <w:t>.</w:t>
      </w:r>
    </w:p>
    <w:p w14:paraId="21A55464" w14:textId="77777777" w:rsidR="007D66D9" w:rsidRPr="007D66D9" w:rsidRDefault="007D66D9" w:rsidP="009746A1">
      <w:r w:rsidRPr="007D66D9">
        <w:t xml:space="preserve">Any conclusion about a differential effect of PP3M dose on the incidence of adverse events in the </w:t>
      </w:r>
      <w:r w:rsidR="009C7BEE">
        <w:t>Double blind Phase</w:t>
      </w:r>
      <w:r w:rsidRPr="007D66D9">
        <w:t xml:space="preserve"> is confounded by the clinical response and tolerability of PP1M for individual subjects in the </w:t>
      </w:r>
      <w:r w:rsidR="004A676D" w:rsidRPr="009746A1">
        <w:t>Open label</w:t>
      </w:r>
      <w:r w:rsidRPr="009746A1">
        <w:t xml:space="preserve"> Phase.</w:t>
      </w:r>
    </w:p>
    <w:p w14:paraId="5EA34E1A" w14:textId="77777777" w:rsidR="007D66D9" w:rsidRDefault="007D66D9" w:rsidP="007D66D9">
      <w:pPr>
        <w:pStyle w:val="Heading4"/>
      </w:pPr>
      <w:bookmarkStart w:id="238" w:name="_Toc453054907"/>
      <w:bookmarkStart w:id="239" w:name="_Ref290844188"/>
      <w:bookmarkStart w:id="240" w:name="_Toc290846286"/>
      <w:bookmarkStart w:id="241" w:name="_Toc290888823"/>
      <w:bookmarkEnd w:id="230"/>
      <w:bookmarkEnd w:id="231"/>
      <w:bookmarkEnd w:id="232"/>
      <w:bookmarkEnd w:id="233"/>
      <w:bookmarkEnd w:id="234"/>
      <w:bookmarkEnd w:id="235"/>
      <w:r>
        <w:t>Study PSY-1005 (PK study)</w:t>
      </w:r>
      <w:bookmarkEnd w:id="238"/>
    </w:p>
    <w:p w14:paraId="39F82A1D" w14:textId="77777777" w:rsidR="007D66D9" w:rsidRPr="007D66D9" w:rsidRDefault="007D66D9" w:rsidP="009746A1">
      <w:r w:rsidRPr="007D66D9">
        <w:t>This study involved 308 patients with various doses from 125</w:t>
      </w:r>
      <w:r w:rsidR="004A676D">
        <w:t xml:space="preserve"> mg</w:t>
      </w:r>
      <w:r w:rsidRPr="007D66D9">
        <w:t xml:space="preserve"> to </w:t>
      </w:r>
      <w:r w:rsidR="0058163A">
        <w:t>525</w:t>
      </w:r>
      <w:r w:rsidR="004A676D">
        <w:t xml:space="preserve"> mg</w:t>
      </w:r>
      <w:r w:rsidRPr="007D66D9">
        <w:t xml:space="preserve"> of the 3 month preparation.</w:t>
      </w:r>
    </w:p>
    <w:p w14:paraId="00747F3E" w14:textId="77777777" w:rsidR="007D66D9" w:rsidRPr="007D66D9" w:rsidRDefault="007D66D9" w:rsidP="009746A1">
      <w:r w:rsidRPr="007D66D9">
        <w:t>Subjects remaini</w:t>
      </w:r>
      <w:r w:rsidR="003673F6">
        <w:t>ng</w:t>
      </w:r>
      <w:r w:rsidRPr="007D66D9">
        <w:t xml:space="preserve"> on antipsychotic medications other than risperidone/paliperidone duri</w:t>
      </w:r>
      <w:r w:rsidR="003673F6">
        <w:t>ng</w:t>
      </w:r>
      <w:r w:rsidRPr="007D66D9">
        <w:t xml:space="preserve"> the study, and the investigators could cha</w:t>
      </w:r>
      <w:r w:rsidR="003673F6">
        <w:t>ng</w:t>
      </w:r>
      <w:r w:rsidRPr="007D66D9">
        <w:t>e the underlyi</w:t>
      </w:r>
      <w:r w:rsidR="003673F6">
        <w:t>ng</w:t>
      </w:r>
      <w:r w:rsidRPr="007D66D9">
        <w:t xml:space="preserve"> psychotropic medication at their discretion.</w:t>
      </w:r>
    </w:p>
    <w:p w14:paraId="104225CC" w14:textId="77777777" w:rsidR="007D66D9" w:rsidRDefault="007D66D9" w:rsidP="007D66D9">
      <w:pPr>
        <w:pStyle w:val="Heading5"/>
      </w:pPr>
      <w:bookmarkStart w:id="242" w:name="_Ref441754023"/>
      <w:bookmarkStart w:id="243" w:name="_Toc453054908"/>
      <w:r w:rsidRPr="00C82468">
        <w:lastRenderedPageBreak/>
        <w:t>Dose dum</w:t>
      </w:r>
      <w:bookmarkStart w:id="244" w:name="Marker"/>
      <w:bookmarkEnd w:id="244"/>
      <w:r w:rsidRPr="00C82468">
        <w:t>pi</w:t>
      </w:r>
      <w:r w:rsidR="003673F6">
        <w:t>ng</w:t>
      </w:r>
      <w:bookmarkEnd w:id="242"/>
      <w:bookmarkEnd w:id="243"/>
    </w:p>
    <w:p w14:paraId="54B0C665" w14:textId="77777777" w:rsidR="007D66D9" w:rsidRDefault="007D66D9" w:rsidP="007D66D9">
      <w:r w:rsidRPr="007D66D9">
        <w:t xml:space="preserve">The primary objectives of the study </w:t>
      </w:r>
      <w:r w:rsidRPr="009746A1">
        <w:t xml:space="preserve">included safety </w:t>
      </w:r>
      <w:r w:rsidR="00E60DFA" w:rsidRPr="009746A1">
        <w:t>and</w:t>
      </w:r>
      <w:r w:rsidRPr="009746A1">
        <w:t xml:space="preserve"> tolerability.</w:t>
      </w:r>
      <w:r w:rsidRPr="009746A1">
        <w:rPr>
          <w:rStyle w:val="FootnoteReference"/>
        </w:rPr>
        <w:footnoteReference w:id="33"/>
      </w:r>
      <w:r w:rsidRPr="009746A1">
        <w:t xml:space="preserve"> Of concern</w:t>
      </w:r>
      <w:r w:rsidRPr="007D66D9">
        <w:t xml:space="preserve"> is the possibility of dose dumpi</w:t>
      </w:r>
      <w:r w:rsidR="003673F6">
        <w:t>ng</w:t>
      </w:r>
      <w:r w:rsidRPr="007D66D9">
        <w:t xml:space="preserve"> or excessive exposure from delayed excretion. The sponsor appeared to have </w:t>
      </w:r>
      <w:r w:rsidRPr="009746A1">
        <w:t>decided that this was represented by paliperidone concentrations ≥ 125</w:t>
      </w:r>
      <w:r w:rsidR="003673F6">
        <w:t xml:space="preserve"> ng</w:t>
      </w:r>
      <w:r w:rsidR="00607328" w:rsidRPr="009746A1">
        <w:t>/</w:t>
      </w:r>
      <w:proofErr w:type="spellStart"/>
      <w:r w:rsidR="00607328" w:rsidRPr="009746A1">
        <w:t>mL</w:t>
      </w:r>
      <w:r w:rsidRPr="009746A1">
        <w:t>.</w:t>
      </w:r>
      <w:proofErr w:type="spellEnd"/>
      <w:r w:rsidRPr="009746A1">
        <w:t xml:space="preserve"> There were 6 patients with plasma concentrations of paliperidone greater or equal </w:t>
      </w:r>
      <w:proofErr w:type="gramStart"/>
      <w:r w:rsidRPr="009746A1">
        <w:t>to 125</w:t>
      </w:r>
      <w:r w:rsidR="003673F6">
        <w:t xml:space="preserve"> ng</w:t>
      </w:r>
      <w:r w:rsidR="00607328" w:rsidRPr="009746A1">
        <w:t>/</w:t>
      </w:r>
      <w:proofErr w:type="spellStart"/>
      <w:r w:rsidR="00607328" w:rsidRPr="009746A1">
        <w:t>mL</w:t>
      </w:r>
      <w:proofErr w:type="gramEnd"/>
      <w:r w:rsidRPr="009746A1">
        <w:t>.</w:t>
      </w:r>
      <w:proofErr w:type="spellEnd"/>
      <w:r w:rsidRPr="009746A1">
        <w:t xml:space="preserve"> However when one reviews the individual plasma concentrations (see </w:t>
      </w:r>
      <w:r w:rsidR="00FA7BDF">
        <w:t xml:space="preserve">Figure 35 </w:t>
      </w:r>
      <w:r w:rsidR="00E60DFA" w:rsidRPr="00FA7BDF">
        <w:t>and</w:t>
      </w:r>
      <w:r w:rsidR="00FA7BDF">
        <w:t xml:space="preserve"> Figure 36</w:t>
      </w:r>
      <w:r w:rsidRPr="00FA7BDF">
        <w:t>),</w:t>
      </w:r>
      <w:r w:rsidRPr="00FA7BDF">
        <w:rPr>
          <w:vertAlign w:val="superscript"/>
        </w:rPr>
        <w:footnoteReference w:id="34"/>
      </w:r>
      <w:r w:rsidRPr="00FA7BDF">
        <w:rPr>
          <w:vertAlign w:val="superscript"/>
        </w:rPr>
        <w:t xml:space="preserve"> </w:t>
      </w:r>
      <w:r w:rsidRPr="00FA7BDF">
        <w:t>t</w:t>
      </w:r>
      <w:r w:rsidRPr="009746A1">
        <w:t xml:space="preserve">here are clearly some other individuals on less than the maximum </w:t>
      </w:r>
      <w:r w:rsidR="0058163A" w:rsidRPr="009746A1">
        <w:t>525</w:t>
      </w:r>
      <w:r w:rsidR="004A676D" w:rsidRPr="009746A1">
        <w:t xml:space="preserve"> mg</w:t>
      </w:r>
      <w:r w:rsidRPr="009746A1">
        <w:t xml:space="preserve"> in which increased </w:t>
      </w:r>
      <w:proofErr w:type="spellStart"/>
      <w:r w:rsidR="009F467D" w:rsidRPr="009746A1">
        <w:t>Cmax</w:t>
      </w:r>
      <w:proofErr w:type="spellEnd"/>
      <w:r w:rsidRPr="009746A1">
        <w:t xml:space="preserve"> appears to occur but a </w:t>
      </w:r>
      <w:proofErr w:type="spellStart"/>
      <w:r w:rsidR="009F467D" w:rsidRPr="009746A1">
        <w:t>C</w:t>
      </w:r>
      <w:r w:rsidR="009F467D" w:rsidRPr="009746A1">
        <w:rPr>
          <w:vertAlign w:val="subscript"/>
        </w:rPr>
        <w:t>max</w:t>
      </w:r>
      <w:proofErr w:type="spellEnd"/>
      <w:r w:rsidR="00662127" w:rsidRPr="009746A1">
        <w:t xml:space="preserve"> of 125</w:t>
      </w:r>
      <w:r w:rsidR="003673F6">
        <w:t xml:space="preserve"> ng</w:t>
      </w:r>
      <w:r w:rsidR="00607328" w:rsidRPr="009746A1">
        <w:t>/mL</w:t>
      </w:r>
      <w:r w:rsidR="00662127" w:rsidRPr="009746A1">
        <w:t xml:space="preserve"> is not reached.</w:t>
      </w:r>
    </w:p>
    <w:p w14:paraId="1CB7FA61" w14:textId="77777777" w:rsidR="002D1724" w:rsidRDefault="002D1724" w:rsidP="00214167">
      <w:pPr>
        <w:pStyle w:val="FigureTitle"/>
        <w:keepNext/>
      </w:pPr>
      <w:r w:rsidRPr="00FA7BDF">
        <w:lastRenderedPageBreak/>
        <w:t xml:space="preserve">Figure </w:t>
      </w:r>
      <w:r w:rsidR="00FA7BDF" w:rsidRPr="00FA7BDF">
        <w:t>35</w:t>
      </w:r>
      <w:r w:rsidRPr="00FA7BDF">
        <w:t>: Combined</w:t>
      </w:r>
      <w:r>
        <w:t xml:space="preserve"> </w:t>
      </w:r>
      <w:r w:rsidR="00214167">
        <w:t>plasma concentration-time profiles of paliperidone</w:t>
      </w:r>
    </w:p>
    <w:p w14:paraId="590D29C3" w14:textId="77777777" w:rsidR="002D1724" w:rsidRDefault="00214167" w:rsidP="002D1724">
      <w:pPr>
        <w:pStyle w:val="FigureTitle"/>
      </w:pPr>
      <w:r>
        <w:rPr>
          <w:noProof/>
          <w:lang w:eastAsia="en-AU"/>
        </w:rPr>
        <w:drawing>
          <wp:inline distT="0" distB="0" distL="0" distR="0" wp14:anchorId="7003A3F3" wp14:editId="38D1AC3D">
            <wp:extent cx="4967021" cy="7459165"/>
            <wp:effectExtent l="0" t="0" r="5080" b="8890"/>
            <wp:docPr id="73" name="Picture 73" descr="Figure 35: Combined plasma concentration-time profiles of paliperi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967021" cy="7459165"/>
                    </a:xfrm>
                    <a:prstGeom prst="rect">
                      <a:avLst/>
                    </a:prstGeom>
                  </pic:spPr>
                </pic:pic>
              </a:graphicData>
            </a:graphic>
          </wp:inline>
        </w:drawing>
      </w:r>
    </w:p>
    <w:p w14:paraId="69080577" w14:textId="77777777" w:rsidR="00214167" w:rsidRDefault="00214167" w:rsidP="00214167">
      <w:pPr>
        <w:pStyle w:val="FigureTitle"/>
        <w:keepNext/>
      </w:pPr>
      <w:r w:rsidRPr="00FA7BDF">
        <w:lastRenderedPageBreak/>
        <w:t xml:space="preserve">Figure </w:t>
      </w:r>
      <w:r w:rsidR="00FA7BDF" w:rsidRPr="00FA7BDF">
        <w:t>3</w:t>
      </w:r>
      <w:r w:rsidRPr="00FA7BDF">
        <w:t>6: Individual and median plasma concentration-time profiles of paliperidone</w:t>
      </w:r>
    </w:p>
    <w:p w14:paraId="73C68815" w14:textId="77777777" w:rsidR="00214167" w:rsidRPr="009746A1" w:rsidRDefault="00214167" w:rsidP="00214167">
      <w:pPr>
        <w:pStyle w:val="FigureTitle"/>
      </w:pPr>
      <w:r>
        <w:rPr>
          <w:noProof/>
          <w:lang w:eastAsia="en-AU"/>
        </w:rPr>
        <w:drawing>
          <wp:inline distT="0" distB="0" distL="0" distR="0" wp14:anchorId="0E3D9D3F" wp14:editId="6CC64437">
            <wp:extent cx="4593946" cy="7340345"/>
            <wp:effectExtent l="0" t="0" r="0" b="0"/>
            <wp:docPr id="74" name="Picture 74" descr="Figure 36: Individual and median plasma concentration-time profiles of paliperi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94467" cy="7341177"/>
                    </a:xfrm>
                    <a:prstGeom prst="rect">
                      <a:avLst/>
                    </a:prstGeom>
                  </pic:spPr>
                </pic:pic>
              </a:graphicData>
            </a:graphic>
          </wp:inline>
        </w:drawing>
      </w:r>
    </w:p>
    <w:p w14:paraId="225F9660" w14:textId="77777777" w:rsidR="007D66D9" w:rsidRDefault="007D66D9" w:rsidP="00DA386F">
      <w:pPr>
        <w:pStyle w:val="Tabletitle"/>
      </w:pPr>
      <w:bookmarkStart w:id="245" w:name="_Toc453055010"/>
      <w:r w:rsidRPr="00FC0825">
        <w:lastRenderedPageBreak/>
        <w:t xml:space="preserve">Table </w:t>
      </w:r>
      <w:r w:rsidR="00FC0825" w:rsidRPr="00FC0825">
        <w:t>47:</w:t>
      </w:r>
      <w:r w:rsidRPr="00FC0825">
        <w:t xml:space="preserve"> Summary </w:t>
      </w:r>
      <w:r w:rsidR="009746A1" w:rsidRPr="00FC0825">
        <w:t xml:space="preserve">table of subjects </w:t>
      </w:r>
      <w:r w:rsidRPr="00FC0825">
        <w:t xml:space="preserve">with </w:t>
      </w:r>
      <w:proofErr w:type="spellStart"/>
      <w:r w:rsidR="009F467D" w:rsidRPr="00FC0825">
        <w:t>C</w:t>
      </w:r>
      <w:r w:rsidR="009F467D" w:rsidRPr="00FC0825">
        <w:rPr>
          <w:vertAlign w:val="subscript"/>
        </w:rPr>
        <w:t>max</w:t>
      </w:r>
      <w:proofErr w:type="spellEnd"/>
      <w:r w:rsidRPr="00FC0825">
        <w:t xml:space="preserve"> &gt; 125</w:t>
      </w:r>
      <w:r w:rsidR="003673F6" w:rsidRPr="00FC0825">
        <w:t xml:space="preserve"> ng</w:t>
      </w:r>
      <w:r w:rsidR="00607328" w:rsidRPr="00FC0825">
        <w:t>/mL</w:t>
      </w:r>
      <w:bookmarkEnd w:id="245"/>
    </w:p>
    <w:p w14:paraId="45B7B90E" w14:textId="0DBCFF78" w:rsidR="00A81F03" w:rsidRPr="00A81F03" w:rsidRDefault="00A81F03" w:rsidP="00B06D8A">
      <w:r>
        <w:rPr>
          <w:noProof/>
          <w:lang w:eastAsia="en-AU"/>
        </w:rPr>
        <w:drawing>
          <wp:inline distT="0" distB="0" distL="0" distR="0" wp14:anchorId="26A15BD0" wp14:editId="6AFAEB5C">
            <wp:extent cx="5925820" cy="1449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25820" cy="1449800"/>
                    </a:xfrm>
                    <a:prstGeom prst="rect">
                      <a:avLst/>
                    </a:prstGeom>
                  </pic:spPr>
                </pic:pic>
              </a:graphicData>
            </a:graphic>
          </wp:inline>
        </w:drawing>
      </w:r>
    </w:p>
    <w:p w14:paraId="71AA89C3" w14:textId="77777777" w:rsidR="007D66D9" w:rsidRPr="007D66D9" w:rsidRDefault="007D66D9" w:rsidP="00DC3589">
      <w:r w:rsidRPr="009746A1">
        <w:t>To put the resulti</w:t>
      </w:r>
      <w:r w:rsidR="003673F6">
        <w:t>ng</w:t>
      </w:r>
      <w:r w:rsidRPr="009746A1">
        <w:t xml:space="preserve"> AUC</w:t>
      </w:r>
      <w:r w:rsidRPr="009746A1">
        <w:rPr>
          <w:vertAlign w:val="subscript"/>
        </w:rPr>
        <w:t>∞</w:t>
      </w:r>
      <w:r w:rsidRPr="009746A1">
        <w:t xml:space="preserve"> in perspective</w:t>
      </w:r>
      <w:r w:rsidRPr="007D66D9">
        <w:t>:</w:t>
      </w:r>
    </w:p>
    <w:p w14:paraId="367404F0" w14:textId="77777777" w:rsidR="007D66D9" w:rsidRPr="007D66D9" w:rsidRDefault="007D66D9" w:rsidP="003673F6">
      <w:pPr>
        <w:pStyle w:val="ListBullet"/>
      </w:pPr>
      <w:r w:rsidRPr="007D66D9">
        <w:t xml:space="preserve">For </w:t>
      </w:r>
      <w:r w:rsidR="0058163A">
        <w:t>525</w:t>
      </w:r>
      <w:r w:rsidR="004A676D">
        <w:t xml:space="preserve"> mg</w:t>
      </w:r>
      <w:r w:rsidRPr="007D66D9">
        <w:t xml:space="preserve"> gluteal Geometric mean AUC</w:t>
      </w:r>
      <w:r w:rsidRPr="007D66D9">
        <w:rPr>
          <w:vertAlign w:val="subscript"/>
        </w:rPr>
        <w:t>∞</w:t>
      </w:r>
      <w:r w:rsidRPr="007D66D9">
        <w:t xml:space="preserve"> was 138191h.</w:t>
      </w:r>
      <w:r w:rsidR="003673F6">
        <w:t xml:space="preserve"> ng</w:t>
      </w:r>
      <w:r w:rsidR="00607328">
        <w:t>/mL</w:t>
      </w:r>
      <w:r w:rsidRPr="007D66D9">
        <w:t xml:space="preserve"> (median 142201)</w:t>
      </w:r>
    </w:p>
    <w:p w14:paraId="1BEE31D9" w14:textId="77777777" w:rsidR="007D66D9" w:rsidRPr="007D66D9" w:rsidRDefault="007D66D9" w:rsidP="003673F6">
      <w:pPr>
        <w:pStyle w:val="ListBullet"/>
      </w:pPr>
      <w:r w:rsidRPr="007D66D9">
        <w:t xml:space="preserve">For </w:t>
      </w:r>
      <w:r w:rsidR="0058163A">
        <w:t>525</w:t>
      </w:r>
      <w:r w:rsidR="004A676D">
        <w:t xml:space="preserve"> mg</w:t>
      </w:r>
      <w:r w:rsidRPr="007D66D9">
        <w:t xml:space="preserve"> deltoid Geometric mean AUC</w:t>
      </w:r>
      <w:r w:rsidRPr="007D66D9">
        <w:rPr>
          <w:vertAlign w:val="subscript"/>
        </w:rPr>
        <w:t>∞</w:t>
      </w:r>
      <w:r w:rsidRPr="007D66D9">
        <w:t xml:space="preserve"> was 139949h.</w:t>
      </w:r>
      <w:r w:rsidR="003673F6">
        <w:t>ng</w:t>
      </w:r>
      <w:r w:rsidR="00607328">
        <w:t>/mL</w:t>
      </w:r>
      <w:r w:rsidRPr="007D66D9">
        <w:t xml:space="preserve"> (median 128969)</w:t>
      </w:r>
    </w:p>
    <w:p w14:paraId="1BFB1053" w14:textId="77777777" w:rsidR="007D66D9" w:rsidRPr="007D66D9" w:rsidRDefault="007D66D9" w:rsidP="007D66D9">
      <w:r w:rsidRPr="007D66D9">
        <w:t xml:space="preserve">The </w:t>
      </w:r>
      <w:r w:rsidRPr="003673F6">
        <w:t>sponsor claims:</w:t>
      </w:r>
    </w:p>
    <w:p w14:paraId="09AE065D" w14:textId="77777777" w:rsidR="007D66D9" w:rsidRPr="003673F6" w:rsidRDefault="007D66D9" w:rsidP="007D66D9">
      <w:pPr>
        <w:ind w:left="284"/>
        <w:rPr>
          <w:rFonts w:cs="Arial"/>
          <w:i/>
        </w:rPr>
      </w:pPr>
      <w:r w:rsidRPr="003673F6">
        <w:rPr>
          <w:rFonts w:cs="Arial"/>
          <w:i/>
        </w:rPr>
        <w:t>There is no undesired, unexpected increase in initial paliperidone plasma concentrations followi</w:t>
      </w:r>
      <w:r w:rsidR="003673F6">
        <w:rPr>
          <w:rFonts w:cs="Arial"/>
          <w:i/>
        </w:rPr>
        <w:t>ng</w:t>
      </w:r>
      <w:r w:rsidRPr="003673F6">
        <w:rPr>
          <w:rFonts w:cs="Arial"/>
          <w:i/>
        </w:rPr>
        <w:t xml:space="preserve"> dosi</w:t>
      </w:r>
      <w:r w:rsidR="003673F6">
        <w:rPr>
          <w:rFonts w:cs="Arial"/>
          <w:i/>
        </w:rPr>
        <w:t>ng</w:t>
      </w:r>
      <w:r w:rsidRPr="003673F6">
        <w:rPr>
          <w:rFonts w:cs="Arial"/>
          <w:i/>
        </w:rPr>
        <w:t>.</w:t>
      </w:r>
    </w:p>
    <w:p w14:paraId="7436D8D3" w14:textId="77777777" w:rsidR="007D66D9" w:rsidRPr="007D66D9" w:rsidRDefault="007D66D9" w:rsidP="003673F6">
      <w:r w:rsidRPr="00662127">
        <w:t xml:space="preserve">Patient </w:t>
      </w:r>
      <w:r w:rsidR="003673F6">
        <w:t>[information redacted]</w:t>
      </w:r>
      <w:r w:rsidRPr="007D66D9">
        <w:t xml:space="preserve"> (wt. 56.1</w:t>
      </w:r>
      <w:r w:rsidR="00EA7B92">
        <w:t xml:space="preserve"> kg</w:t>
      </w:r>
      <w:r w:rsidRPr="007D66D9">
        <w:t xml:space="preserve">) in Panel D received </w:t>
      </w:r>
      <w:r w:rsidR="0058163A">
        <w:t>525</w:t>
      </w:r>
      <w:r w:rsidR="004A676D">
        <w:t xml:space="preserve"> mg</w:t>
      </w:r>
      <w:r w:rsidRPr="007D66D9">
        <w:t xml:space="preserve"> </w:t>
      </w:r>
      <w:r w:rsidR="004A676D">
        <w:t>equivalent</w:t>
      </w:r>
      <w:r w:rsidR="003673F6">
        <w:t xml:space="preserve"> On Days 1 (6 hours post </w:t>
      </w:r>
      <w:r w:rsidRPr="007D66D9">
        <w:t>dose), 2, 4, 6, and 10 of Period 2, she had measured paliperidone concentrations of 153, 416, 243, 195, and 125</w:t>
      </w:r>
      <w:r w:rsidR="003673F6">
        <w:t xml:space="preserve"> ng</w:t>
      </w:r>
      <w:r w:rsidR="00607328">
        <w:t>/mL</w:t>
      </w:r>
      <w:r w:rsidRPr="007D66D9">
        <w:t xml:space="preserve">, respectively. For Panel D mean </w:t>
      </w:r>
      <w:proofErr w:type="spellStart"/>
      <w:r w:rsidR="009F467D" w:rsidRPr="009F467D">
        <w:t>C</w:t>
      </w:r>
      <w:r w:rsidR="009F467D" w:rsidRPr="009F467D">
        <w:rPr>
          <w:vertAlign w:val="subscript"/>
        </w:rPr>
        <w:t>max</w:t>
      </w:r>
      <w:proofErr w:type="spellEnd"/>
      <w:r w:rsidRPr="007D66D9">
        <w:t xml:space="preserve"> deltoid </w:t>
      </w:r>
      <w:r w:rsidR="0058163A">
        <w:t>525</w:t>
      </w:r>
      <w:r w:rsidR="004A676D">
        <w:t xml:space="preserve"> mg</w:t>
      </w:r>
      <w:r w:rsidRPr="007D66D9">
        <w:t xml:space="preserve">. </w:t>
      </w:r>
      <w:r w:rsidR="004A676D">
        <w:t>equivalent</w:t>
      </w:r>
      <w:r w:rsidRPr="007D66D9">
        <w:t xml:space="preserve"> was </w:t>
      </w:r>
      <w:proofErr w:type="gramStart"/>
      <w:r w:rsidRPr="007D66D9">
        <w:t>80</w:t>
      </w:r>
      <w:r w:rsidR="003673F6">
        <w:t xml:space="preserve"> ng</w:t>
      </w:r>
      <w:r w:rsidR="00607328">
        <w:t>/mL</w:t>
      </w:r>
      <w:r w:rsidRPr="007D66D9">
        <w:t xml:space="preserve"> (median 57.9)</w:t>
      </w:r>
      <w:proofErr w:type="gramEnd"/>
      <w:r w:rsidRPr="007D66D9">
        <w:t>.</w:t>
      </w:r>
    </w:p>
    <w:p w14:paraId="77291BF2" w14:textId="77777777" w:rsidR="007D66D9" w:rsidRPr="007D66D9" w:rsidRDefault="007D66D9" w:rsidP="003673F6">
      <w:r w:rsidRPr="007D66D9">
        <w:t>She had a SAS total score of 1 each at baseline and Day 6 of Period 2 (mild tremor), and 2 each on Days 14 and 26 of Period 2 (mild tremor and increased eye blink to glabellar tap). The subject had similar scores at Days 56 and 140 of Period 2 and had a tremor at all other times. She had an increased QTcB on Day 1 of Period 2 (454</w:t>
      </w:r>
      <w:r w:rsidR="003673F6">
        <w:t xml:space="preserve"> </w:t>
      </w:r>
      <w:proofErr w:type="spellStart"/>
      <w:r w:rsidR="003673F6">
        <w:t>ms</w:t>
      </w:r>
      <w:proofErr w:type="spellEnd"/>
      <w:r w:rsidR="003673F6">
        <w:t>);</w:t>
      </w:r>
      <w:r w:rsidRPr="007D66D9">
        <w:t xml:space="preserve"> the QTcB and </w:t>
      </w:r>
      <w:proofErr w:type="spellStart"/>
      <w:r w:rsidRPr="007D66D9">
        <w:t>QTcF</w:t>
      </w:r>
      <w:proofErr w:type="spellEnd"/>
      <w:r w:rsidRPr="007D66D9">
        <w:t xml:space="preserve"> values were below 450</w:t>
      </w:r>
      <w:r w:rsidR="003673F6">
        <w:t xml:space="preserve"> </w:t>
      </w:r>
      <w:proofErr w:type="spellStart"/>
      <w:r w:rsidRPr="007D66D9">
        <w:t>ms</w:t>
      </w:r>
      <w:proofErr w:type="spellEnd"/>
      <w:r w:rsidRPr="007D66D9">
        <w:t xml:space="preserve"> at all other time points in the study.</w:t>
      </w:r>
    </w:p>
    <w:p w14:paraId="7F221882" w14:textId="77777777" w:rsidR="007D66D9" w:rsidRPr="00662127" w:rsidRDefault="007D66D9" w:rsidP="005A18C6">
      <w:pPr>
        <w:pStyle w:val="FigureTitle"/>
        <w:keepNext/>
      </w:pPr>
      <w:bookmarkStart w:id="246" w:name="_Toc453055076"/>
      <w:r w:rsidRPr="00662127">
        <w:t xml:space="preserve">Figure </w:t>
      </w:r>
      <w:r w:rsidR="00FA7BDF">
        <w:t>37</w:t>
      </w:r>
      <w:r w:rsidR="00FC0825">
        <w:t>:</w:t>
      </w:r>
      <w:r w:rsidRPr="00662127">
        <w:t xml:space="preserve"> Patient </w:t>
      </w:r>
      <w:r w:rsidR="003673F6">
        <w:t>[information redacted]</w:t>
      </w:r>
      <w:r w:rsidRPr="00662127">
        <w:t xml:space="preserve"> with Paliperidone ≥ 125</w:t>
      </w:r>
      <w:r w:rsidR="003673F6">
        <w:t xml:space="preserve"> ng</w:t>
      </w:r>
      <w:r w:rsidR="00607328">
        <w:t>/mL</w:t>
      </w:r>
      <w:r w:rsidRPr="00662127">
        <w:t xml:space="preserve"> </w:t>
      </w:r>
      <w:r w:rsidR="003673F6" w:rsidRPr="00662127">
        <w:t xml:space="preserve">plasma concentration </w:t>
      </w:r>
      <w:r w:rsidR="003673F6">
        <w:t>versus</w:t>
      </w:r>
      <w:r w:rsidR="003673F6" w:rsidRPr="00662127">
        <w:t xml:space="preserve"> time</w:t>
      </w:r>
      <w:bookmarkEnd w:id="246"/>
    </w:p>
    <w:p w14:paraId="5A132E55" w14:textId="77777777" w:rsidR="007D66D9" w:rsidRPr="007D66D9" w:rsidRDefault="007D66D9" w:rsidP="007D66D9">
      <w:r w:rsidRPr="007D66D9">
        <w:rPr>
          <w:noProof/>
          <w:lang w:eastAsia="en-AU"/>
        </w:rPr>
        <w:drawing>
          <wp:inline distT="0" distB="0" distL="0" distR="0" wp14:anchorId="77123421" wp14:editId="1066C410">
            <wp:extent cx="5047933" cy="2670048"/>
            <wp:effectExtent l="0" t="0" r="635" b="0"/>
            <wp:docPr id="63" name="Picture 63" descr="Figure 37: Patient [information redacted] with Paliperidone ≥ 125 ng/mL plasma concentration versu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t="7062" r="-55"/>
                    <a:stretch/>
                  </pic:blipFill>
                  <pic:spPr bwMode="auto">
                    <a:xfrm>
                      <a:off x="0" y="0"/>
                      <a:ext cx="5051138" cy="2671743"/>
                    </a:xfrm>
                    <a:prstGeom prst="rect">
                      <a:avLst/>
                    </a:prstGeom>
                    <a:ln>
                      <a:noFill/>
                    </a:ln>
                    <a:extLst>
                      <a:ext uri="{53640926-AAD7-44D8-BBD7-CCE9431645EC}">
                        <a14:shadowObscured xmlns:a14="http://schemas.microsoft.com/office/drawing/2010/main"/>
                      </a:ext>
                    </a:extLst>
                  </pic:spPr>
                </pic:pic>
              </a:graphicData>
            </a:graphic>
          </wp:inline>
        </w:drawing>
      </w:r>
    </w:p>
    <w:p w14:paraId="2CE55D81" w14:textId="77777777" w:rsidR="007D66D9" w:rsidRPr="007D66D9" w:rsidRDefault="007D66D9" w:rsidP="003673F6">
      <w:r w:rsidRPr="00662127">
        <w:t>Note:</w:t>
      </w:r>
      <w:r w:rsidRPr="007D66D9">
        <w:t xml:space="preserve"> The height of the plasma concentration in subsequent figures has been roughly adjusted from the original to reflect the scale height used above. This is to enable an easier visual comparison</w:t>
      </w:r>
    </w:p>
    <w:p w14:paraId="7640E38B" w14:textId="77777777" w:rsidR="007D66D9" w:rsidRPr="00C82468" w:rsidRDefault="003673F6" w:rsidP="007D66D9">
      <w:pPr>
        <w:pStyle w:val="Heading5"/>
      </w:pPr>
      <w:bookmarkStart w:id="247" w:name="_Toc453054909"/>
      <w:r>
        <w:lastRenderedPageBreak/>
        <w:t>Excessive e</w:t>
      </w:r>
      <w:r w:rsidR="007D66D9" w:rsidRPr="00C82468">
        <w:t>xposure</w:t>
      </w:r>
      <w:bookmarkEnd w:id="247"/>
    </w:p>
    <w:p w14:paraId="326648DA" w14:textId="77777777" w:rsidR="004A676D" w:rsidRDefault="007D66D9" w:rsidP="007D66D9">
      <w:r w:rsidRPr="00662127">
        <w:t xml:space="preserve">Patient </w:t>
      </w:r>
      <w:r w:rsidR="003673F6">
        <w:t>[information redacted]</w:t>
      </w:r>
      <w:r w:rsidRPr="007D66D9">
        <w:t xml:space="preserve"> (wt. 86.5</w:t>
      </w:r>
      <w:r w:rsidR="00EA7B92">
        <w:t xml:space="preserve"> kg</w:t>
      </w:r>
      <w:r w:rsidRPr="007D66D9">
        <w:t xml:space="preserve">) in Panel D received </w:t>
      </w:r>
      <w:r w:rsidR="0058163A">
        <w:t>525</w:t>
      </w:r>
      <w:r w:rsidR="004A676D">
        <w:t xml:space="preserve"> mg</w:t>
      </w:r>
      <w:r w:rsidRPr="007D66D9">
        <w:t xml:space="preserve"> </w:t>
      </w:r>
      <w:r w:rsidR="004A676D">
        <w:t>equivalent</w:t>
      </w:r>
      <w:r w:rsidRPr="007D66D9">
        <w:t xml:space="preserve"> On Days 10, 14, and 18 of Period 2, his measured paliperidone concentrations were at 137</w:t>
      </w:r>
      <w:r w:rsidR="003673F6">
        <w:t xml:space="preserve"> ng</w:t>
      </w:r>
      <w:r w:rsidR="00607328">
        <w:t>/mL</w:t>
      </w:r>
      <w:r w:rsidRPr="007D66D9">
        <w:t>, 126</w:t>
      </w:r>
      <w:r w:rsidR="003673F6">
        <w:t xml:space="preserve"> ng</w:t>
      </w:r>
      <w:r w:rsidR="00607328">
        <w:t>/mL</w:t>
      </w:r>
      <w:r w:rsidRPr="007D66D9">
        <w:t>, and 143</w:t>
      </w:r>
      <w:r w:rsidR="003673F6">
        <w:t xml:space="preserve"> ng</w:t>
      </w:r>
      <w:r w:rsidR="00607328">
        <w:t>/</w:t>
      </w:r>
      <w:proofErr w:type="spellStart"/>
      <w:r w:rsidR="00607328">
        <w:t>mL</w:t>
      </w:r>
      <w:r w:rsidRPr="007D66D9">
        <w:t>.</w:t>
      </w:r>
      <w:proofErr w:type="spellEnd"/>
      <w:r w:rsidRPr="007D66D9">
        <w:t xml:space="preserve"> The higher level of paliperidone may have been due to reduced clearance in this subjects as evidenced by a larger AUC duri</w:t>
      </w:r>
      <w:r w:rsidR="003673F6">
        <w:t>ng</w:t>
      </w:r>
      <w:r w:rsidRPr="007D66D9">
        <w:t xml:space="preserve"> Period 1. On Day -1 of Period 1, he had a non</w:t>
      </w:r>
      <w:r w:rsidR="003673F6">
        <w:t>-</w:t>
      </w:r>
      <w:r w:rsidRPr="007D66D9">
        <w:t xml:space="preserve">serious event of blood </w:t>
      </w:r>
      <w:proofErr w:type="spellStart"/>
      <w:r w:rsidRPr="007D66D9">
        <w:t>creatine</w:t>
      </w:r>
      <w:proofErr w:type="spellEnd"/>
      <w:r w:rsidRPr="007D66D9">
        <w:t xml:space="preserve"> phosphokinase increased</w:t>
      </w:r>
      <w:r w:rsidR="004A676D">
        <w:t>.</w:t>
      </w:r>
    </w:p>
    <w:p w14:paraId="1905A8B1" w14:textId="77777777" w:rsidR="007D66D9" w:rsidRPr="00662127" w:rsidRDefault="007D66D9" w:rsidP="005A18C6">
      <w:pPr>
        <w:pStyle w:val="FigureTitle"/>
        <w:keepNext/>
        <w:rPr>
          <w:noProof/>
        </w:rPr>
      </w:pPr>
      <w:bookmarkStart w:id="248" w:name="_Toc453055077"/>
      <w:r w:rsidRPr="00662127">
        <w:t xml:space="preserve">Figure </w:t>
      </w:r>
      <w:r w:rsidR="00FA7BDF">
        <w:t>38</w:t>
      </w:r>
      <w:r w:rsidR="00FC0825">
        <w:t>:</w:t>
      </w:r>
      <w:r w:rsidRPr="00662127">
        <w:t xml:space="preserve"> </w:t>
      </w:r>
      <w:r w:rsidRPr="00662127">
        <w:rPr>
          <w:noProof/>
        </w:rPr>
        <w:t xml:space="preserve">Patient </w:t>
      </w:r>
      <w:r w:rsidR="003673F6">
        <w:t>[information redacted]</w:t>
      </w:r>
      <w:r w:rsidRPr="00662127">
        <w:rPr>
          <w:noProof/>
        </w:rPr>
        <w:t xml:space="preserve"> with Paliperidone ≥ 125</w:t>
      </w:r>
      <w:r w:rsidR="003673F6">
        <w:rPr>
          <w:noProof/>
        </w:rPr>
        <w:t xml:space="preserve"> ng</w:t>
      </w:r>
      <w:r w:rsidR="00607328">
        <w:rPr>
          <w:noProof/>
        </w:rPr>
        <w:t>/mL</w:t>
      </w:r>
      <w:r w:rsidRPr="00662127">
        <w:rPr>
          <w:noProof/>
        </w:rPr>
        <w:t xml:space="preserve"> </w:t>
      </w:r>
      <w:r w:rsidR="003673F6" w:rsidRPr="00662127">
        <w:rPr>
          <w:noProof/>
        </w:rPr>
        <w:t xml:space="preserve">plasma concentration </w:t>
      </w:r>
      <w:r w:rsidR="003673F6">
        <w:rPr>
          <w:noProof/>
        </w:rPr>
        <w:t>versus</w:t>
      </w:r>
      <w:r w:rsidR="003673F6" w:rsidRPr="00662127">
        <w:rPr>
          <w:noProof/>
        </w:rPr>
        <w:t xml:space="preserve"> tim</w:t>
      </w:r>
      <w:r w:rsidRPr="00662127">
        <w:rPr>
          <w:noProof/>
        </w:rPr>
        <w:t>e</w:t>
      </w:r>
      <w:bookmarkEnd w:id="248"/>
    </w:p>
    <w:p w14:paraId="09254B72" w14:textId="77777777" w:rsidR="007D66D9" w:rsidRPr="007D66D9" w:rsidRDefault="007D66D9" w:rsidP="007D66D9">
      <w:r w:rsidRPr="007D66D9">
        <w:rPr>
          <w:noProof/>
          <w:lang w:eastAsia="en-AU"/>
        </w:rPr>
        <w:drawing>
          <wp:inline distT="0" distB="0" distL="0" distR="0" wp14:anchorId="517C46D8" wp14:editId="27B6ACAE">
            <wp:extent cx="5581498" cy="1653235"/>
            <wp:effectExtent l="0" t="0" r="635" b="4445"/>
            <wp:docPr id="96" name="Picture 96" descr="Figure 38: Patient [information redacted] with Paliperidone ≥ 125 ng/mL plasma concentration versus 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t="6235" r="1447"/>
                    <a:stretch/>
                  </pic:blipFill>
                  <pic:spPr bwMode="auto">
                    <a:xfrm>
                      <a:off x="0" y="0"/>
                      <a:ext cx="5587306" cy="1654955"/>
                    </a:xfrm>
                    <a:prstGeom prst="rect">
                      <a:avLst/>
                    </a:prstGeom>
                    <a:ln>
                      <a:noFill/>
                    </a:ln>
                    <a:extLst>
                      <a:ext uri="{53640926-AAD7-44D8-BBD7-CCE9431645EC}">
                        <a14:shadowObscured xmlns:a14="http://schemas.microsoft.com/office/drawing/2010/main"/>
                      </a:ext>
                    </a:extLst>
                  </pic:spPr>
                </pic:pic>
              </a:graphicData>
            </a:graphic>
          </wp:inline>
        </w:drawing>
      </w:r>
      <w:r w:rsidRPr="007D66D9">
        <w:t xml:space="preserve"> </w:t>
      </w:r>
    </w:p>
    <w:p w14:paraId="76CC1047" w14:textId="77777777" w:rsidR="007D66D9" w:rsidRPr="007D66D9" w:rsidRDefault="007D66D9" w:rsidP="007D66D9">
      <w:r w:rsidRPr="007D66D9">
        <w:rPr>
          <w:noProof/>
          <w:lang w:eastAsia="en-AU"/>
        </w:rPr>
        <w:drawing>
          <wp:inline distT="0" distB="0" distL="0" distR="0" wp14:anchorId="260B4B61" wp14:editId="1A579C9C">
            <wp:extent cx="3240000" cy="10109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2090" t="22899" b="14944"/>
                    <a:stretch/>
                  </pic:blipFill>
                  <pic:spPr bwMode="auto">
                    <a:xfrm>
                      <a:off x="0" y="0"/>
                      <a:ext cx="3240000" cy="101095"/>
                    </a:xfrm>
                    <a:prstGeom prst="rect">
                      <a:avLst/>
                    </a:prstGeom>
                    <a:ln>
                      <a:noFill/>
                    </a:ln>
                    <a:extLst>
                      <a:ext uri="{53640926-AAD7-44D8-BBD7-CCE9431645EC}">
                        <a14:shadowObscured xmlns:a14="http://schemas.microsoft.com/office/drawing/2010/main"/>
                      </a:ext>
                    </a:extLst>
                  </pic:spPr>
                </pic:pic>
              </a:graphicData>
            </a:graphic>
          </wp:inline>
        </w:drawing>
      </w:r>
    </w:p>
    <w:p w14:paraId="0D997905" w14:textId="77777777" w:rsidR="007D66D9" w:rsidRPr="007D66D9" w:rsidRDefault="007D66D9" w:rsidP="007D66D9">
      <w:r w:rsidRPr="00662127">
        <w:t xml:space="preserve">Patient </w:t>
      </w:r>
      <w:r w:rsidR="003673F6">
        <w:t>[information redacted]</w:t>
      </w:r>
      <w:r w:rsidRPr="007D66D9">
        <w:t xml:space="preserve"> (wt. 54.1</w:t>
      </w:r>
      <w:r w:rsidR="00EA7B92">
        <w:t xml:space="preserve"> kg</w:t>
      </w:r>
      <w:r w:rsidRPr="007D66D9">
        <w:t xml:space="preserve">) in Panel D received </w:t>
      </w:r>
      <w:r w:rsidR="0058163A">
        <w:t>525</w:t>
      </w:r>
      <w:r w:rsidR="004A676D">
        <w:t xml:space="preserve"> mg</w:t>
      </w:r>
      <w:r w:rsidRPr="007D66D9">
        <w:t xml:space="preserve"> </w:t>
      </w:r>
      <w:r w:rsidR="004A676D">
        <w:t>equivalent</w:t>
      </w:r>
      <w:r w:rsidRPr="007D66D9">
        <w:t xml:space="preserve"> On Day 14 of Period 2, she had a measured paliperidone concentration of 133</w:t>
      </w:r>
      <w:r w:rsidR="003673F6">
        <w:t xml:space="preserve"> ng</w:t>
      </w:r>
      <w:r w:rsidR="00607328">
        <w:t>/</w:t>
      </w:r>
      <w:proofErr w:type="spellStart"/>
      <w:r w:rsidR="00607328">
        <w:t>mL</w:t>
      </w:r>
      <w:r w:rsidRPr="007D66D9">
        <w:t>.</w:t>
      </w:r>
      <w:proofErr w:type="spellEnd"/>
      <w:r w:rsidRPr="007D66D9">
        <w:t xml:space="preserve"> She had a BARS total score of 1 on the same day (mild inner sense of restlessness). This subject may have had higher levels of paliperidone due to an overall slower rate of clearance as seen in Period 1 with the subject havi</w:t>
      </w:r>
      <w:r w:rsidR="003673F6">
        <w:t>ng</w:t>
      </w:r>
      <w:r w:rsidRPr="007D66D9">
        <w:t xml:space="preserve"> a larger AUC (AUC = 519).</w:t>
      </w:r>
    </w:p>
    <w:p w14:paraId="53C466CB" w14:textId="77777777" w:rsidR="007D66D9" w:rsidRPr="007D66D9" w:rsidRDefault="007D66D9" w:rsidP="007D66D9">
      <w:r w:rsidRPr="007D66D9">
        <w:t xml:space="preserve">She also had Period 2, Day 76 mild </w:t>
      </w:r>
      <w:proofErr w:type="spellStart"/>
      <w:r w:rsidRPr="007D66D9">
        <w:t>glossodynia</w:t>
      </w:r>
      <w:proofErr w:type="spellEnd"/>
      <w:r w:rsidRPr="007D66D9">
        <w:t xml:space="preserve"> and pain in extremity (leg). </w:t>
      </w:r>
      <w:proofErr w:type="gramStart"/>
      <w:r w:rsidRPr="007D66D9">
        <w:t xml:space="preserve">On day 308 a mild </w:t>
      </w:r>
      <w:proofErr w:type="spellStart"/>
      <w:r w:rsidRPr="007D66D9">
        <w:t>maculo-papular</w:t>
      </w:r>
      <w:proofErr w:type="spellEnd"/>
      <w:r w:rsidRPr="007D66D9">
        <w:t xml:space="preserve"> rash.</w:t>
      </w:r>
      <w:proofErr w:type="gramEnd"/>
    </w:p>
    <w:p w14:paraId="30A85981" w14:textId="77777777" w:rsidR="007D66D9" w:rsidRPr="00662127" w:rsidRDefault="007D66D9" w:rsidP="005A18C6">
      <w:pPr>
        <w:pStyle w:val="FigureTitle"/>
        <w:keepNext/>
      </w:pPr>
      <w:bookmarkStart w:id="249" w:name="_Toc453055078"/>
      <w:r w:rsidRPr="00662127">
        <w:t>Figure</w:t>
      </w:r>
      <w:r w:rsidR="00FA7BDF">
        <w:t xml:space="preserve"> 39</w:t>
      </w:r>
      <w:r w:rsidR="00FC0825">
        <w:t xml:space="preserve">: </w:t>
      </w:r>
      <w:r w:rsidRPr="00662127">
        <w:t xml:space="preserve">Patient </w:t>
      </w:r>
      <w:r w:rsidR="00FC0825">
        <w:t>[information redacted]</w:t>
      </w:r>
      <w:r w:rsidRPr="00662127">
        <w:t xml:space="preserve"> with Paliperidone ≥ 125</w:t>
      </w:r>
      <w:r w:rsidR="003673F6">
        <w:t xml:space="preserve"> ng</w:t>
      </w:r>
      <w:r w:rsidR="00607328">
        <w:t>/mL</w:t>
      </w:r>
      <w:r w:rsidRPr="00662127">
        <w:t xml:space="preserve"> </w:t>
      </w:r>
      <w:r w:rsidR="00AA267C" w:rsidRPr="00662127">
        <w:t xml:space="preserve">plasma concentration </w:t>
      </w:r>
      <w:r w:rsidR="00AA267C">
        <w:t>versus</w:t>
      </w:r>
      <w:r w:rsidR="00AA267C" w:rsidRPr="00662127">
        <w:t xml:space="preserve"> time</w:t>
      </w:r>
      <w:bookmarkEnd w:id="249"/>
    </w:p>
    <w:p w14:paraId="457E88F3" w14:textId="77777777" w:rsidR="007D66D9" w:rsidRPr="007D66D9" w:rsidRDefault="007D66D9" w:rsidP="007D66D9">
      <w:r w:rsidRPr="007D66D9">
        <w:rPr>
          <w:noProof/>
          <w:lang w:eastAsia="en-AU"/>
        </w:rPr>
        <w:drawing>
          <wp:inline distT="0" distB="0" distL="0" distR="0" wp14:anchorId="2E1FD461" wp14:editId="16236090">
            <wp:extent cx="6013094" cy="2187245"/>
            <wp:effectExtent l="0" t="0" r="6985" b="3810"/>
            <wp:docPr id="97" name="Picture 97" descr="Figure 39: Patient [information redacted] with Paliperidone ≥ 125 ng/mL plasma concentration versus 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t="8499"/>
                    <a:stretch/>
                  </pic:blipFill>
                  <pic:spPr bwMode="auto">
                    <a:xfrm>
                      <a:off x="0" y="0"/>
                      <a:ext cx="6041704" cy="2197652"/>
                    </a:xfrm>
                    <a:prstGeom prst="rect">
                      <a:avLst/>
                    </a:prstGeom>
                    <a:ln>
                      <a:noFill/>
                    </a:ln>
                    <a:extLst>
                      <a:ext uri="{53640926-AAD7-44D8-BBD7-CCE9431645EC}">
                        <a14:shadowObscured xmlns:a14="http://schemas.microsoft.com/office/drawing/2010/main"/>
                      </a:ext>
                    </a:extLst>
                  </pic:spPr>
                </pic:pic>
              </a:graphicData>
            </a:graphic>
          </wp:inline>
        </w:drawing>
      </w:r>
    </w:p>
    <w:p w14:paraId="22589903" w14:textId="77777777" w:rsidR="007D66D9" w:rsidRPr="007D66D9" w:rsidRDefault="007D66D9" w:rsidP="007D66D9">
      <w:r w:rsidRPr="007D66D9">
        <w:rPr>
          <w:noProof/>
          <w:lang w:eastAsia="en-AU"/>
        </w:rPr>
        <w:drawing>
          <wp:inline distT="0" distB="0" distL="0" distR="0" wp14:anchorId="663C2730" wp14:editId="2CB84317">
            <wp:extent cx="3240000" cy="10109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2090" t="22899" b="14944"/>
                    <a:stretch/>
                  </pic:blipFill>
                  <pic:spPr bwMode="auto">
                    <a:xfrm>
                      <a:off x="0" y="0"/>
                      <a:ext cx="3240000" cy="101095"/>
                    </a:xfrm>
                    <a:prstGeom prst="rect">
                      <a:avLst/>
                    </a:prstGeom>
                    <a:ln>
                      <a:noFill/>
                    </a:ln>
                    <a:extLst>
                      <a:ext uri="{53640926-AAD7-44D8-BBD7-CCE9431645EC}">
                        <a14:shadowObscured xmlns:a14="http://schemas.microsoft.com/office/drawing/2010/main"/>
                      </a:ext>
                    </a:extLst>
                  </pic:spPr>
                </pic:pic>
              </a:graphicData>
            </a:graphic>
          </wp:inline>
        </w:drawing>
      </w:r>
    </w:p>
    <w:p w14:paraId="3BF2CD8D" w14:textId="77777777" w:rsidR="007D66D9" w:rsidRPr="007D66D9" w:rsidRDefault="007D66D9" w:rsidP="00AA267C">
      <w:r w:rsidRPr="00662127">
        <w:t xml:space="preserve">Patient </w:t>
      </w:r>
      <w:r w:rsidR="00AA267C">
        <w:t>[information redacted]</w:t>
      </w:r>
      <w:r w:rsidRPr="007D66D9">
        <w:t xml:space="preserve"> (wt. 57</w:t>
      </w:r>
      <w:r w:rsidR="00EA7B92">
        <w:t xml:space="preserve"> kg</w:t>
      </w:r>
      <w:r w:rsidRPr="007D66D9">
        <w:t xml:space="preserve">) in Panel D received </w:t>
      </w:r>
      <w:r w:rsidR="0058163A">
        <w:t>350</w:t>
      </w:r>
      <w:r w:rsidR="004A676D">
        <w:t xml:space="preserve"> mg</w:t>
      </w:r>
      <w:r w:rsidRPr="007D66D9">
        <w:t xml:space="preserve"> </w:t>
      </w:r>
      <w:r w:rsidR="004A676D">
        <w:t>equivalent</w:t>
      </w:r>
      <w:r w:rsidRPr="007D66D9">
        <w:t xml:space="preserve"> On Days 30, 34, 38, and 42 of Period 2, she had measured paliperidone concentrations of 136, 125, 179, and 187</w:t>
      </w:r>
      <w:r w:rsidR="00AA267C">
        <w:t> </w:t>
      </w:r>
      <w:r w:rsidR="003673F6">
        <w:t>ng</w:t>
      </w:r>
      <w:r w:rsidR="00607328">
        <w:t>/mL</w:t>
      </w:r>
      <w:r w:rsidRPr="007D66D9">
        <w:t>, respectively. She had an AIMS score of 3 at baseline of Period 2. This score fluctuated between 4 and 5 for the rest of the study. The rati</w:t>
      </w:r>
      <w:r w:rsidR="003673F6">
        <w:t>ng</w:t>
      </w:r>
      <w:r w:rsidRPr="007D66D9">
        <w:t>s were for minimal abnormal movements, may be the extreme of normal, for various groups throughout Period 2. She had a SAS score of 2 at baseline of Period 2. After Invega Trinza was given, she had a score of 0 at Days 26 and 56 of Period 2, 1 (increased blinki</w:t>
      </w:r>
      <w:r w:rsidR="003673F6">
        <w:t>ng</w:t>
      </w:r>
      <w:r w:rsidRPr="007D66D9">
        <w:t xml:space="preserve"> to glabellar tap) at Days 6 and 14 of Period 2, and 3 (increased blinki</w:t>
      </w:r>
      <w:r w:rsidR="003673F6">
        <w:t>ng</w:t>
      </w:r>
      <w:r w:rsidRPr="007D66D9">
        <w:t xml:space="preserve"> to </w:t>
      </w:r>
      <w:r w:rsidRPr="007D66D9">
        <w:lastRenderedPageBreak/>
        <w:t>glabellar tap, stiffness in arm, diminished arm swi</w:t>
      </w:r>
      <w:r w:rsidR="003673F6">
        <w:t>ng</w:t>
      </w:r>
      <w:r w:rsidRPr="007D66D9">
        <w:t xml:space="preserve"> on walki</w:t>
      </w:r>
      <w:r w:rsidR="003673F6">
        <w:t>ng</w:t>
      </w:r>
      <w:r w:rsidRPr="007D66D9">
        <w:t>) at Day 34 of Period 2. No further movement disorder scales were done. On Day 119 of Period 2, the subject withdrew consent from the study.</w:t>
      </w:r>
    </w:p>
    <w:p w14:paraId="6CC45C4F" w14:textId="77777777" w:rsidR="007D66D9" w:rsidRPr="00662127" w:rsidRDefault="007D66D9" w:rsidP="005A18C6">
      <w:pPr>
        <w:pStyle w:val="FigureTitle"/>
        <w:keepNext/>
      </w:pPr>
      <w:bookmarkStart w:id="250" w:name="_Toc453055079"/>
      <w:r w:rsidRPr="00662127">
        <w:t xml:space="preserve">Figure </w:t>
      </w:r>
      <w:r w:rsidR="00FA7BDF">
        <w:t>40</w:t>
      </w:r>
      <w:r w:rsidR="00FC0825">
        <w:t>:</w:t>
      </w:r>
      <w:r w:rsidRPr="00662127">
        <w:t xml:space="preserve"> Patient </w:t>
      </w:r>
      <w:r w:rsidR="00AA267C">
        <w:t>[information redacted]</w:t>
      </w:r>
      <w:r w:rsidRPr="00662127">
        <w:t xml:space="preserve"> with Paliperidone ≥ 125</w:t>
      </w:r>
      <w:r w:rsidR="003673F6">
        <w:t xml:space="preserve"> ng</w:t>
      </w:r>
      <w:r w:rsidR="00607328">
        <w:t>/mL</w:t>
      </w:r>
      <w:r w:rsidRPr="00662127">
        <w:t xml:space="preserve"> </w:t>
      </w:r>
      <w:r w:rsidR="00AA267C" w:rsidRPr="00662127">
        <w:t xml:space="preserve">plasma concentration </w:t>
      </w:r>
      <w:r w:rsidR="00AA267C">
        <w:t>versus</w:t>
      </w:r>
      <w:r w:rsidR="00AA267C" w:rsidRPr="00662127">
        <w:t xml:space="preserve"> time</w:t>
      </w:r>
      <w:bookmarkEnd w:id="250"/>
    </w:p>
    <w:p w14:paraId="4416247B" w14:textId="77777777" w:rsidR="007D66D9" w:rsidRPr="007D66D9" w:rsidRDefault="007D66D9" w:rsidP="007D66D9">
      <w:r w:rsidRPr="007D66D9">
        <w:rPr>
          <w:noProof/>
          <w:lang w:eastAsia="en-AU"/>
        </w:rPr>
        <w:drawing>
          <wp:inline distT="0" distB="0" distL="0" distR="0" wp14:anchorId="33F29D5A" wp14:editId="7D8B50EB">
            <wp:extent cx="5669280" cy="2553005"/>
            <wp:effectExtent l="0" t="0" r="7620" b="0"/>
            <wp:docPr id="98" name="Picture 98" descr="Figure 40: Patient [information redacted] with Paliperidone ≥ 125 ng/mL plasma concentration versus 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t="9321" r="1125" b="2675"/>
                    <a:stretch/>
                  </pic:blipFill>
                  <pic:spPr bwMode="auto">
                    <a:xfrm>
                      <a:off x="0" y="0"/>
                      <a:ext cx="5672561" cy="2554483"/>
                    </a:xfrm>
                    <a:prstGeom prst="rect">
                      <a:avLst/>
                    </a:prstGeom>
                    <a:ln>
                      <a:noFill/>
                    </a:ln>
                    <a:extLst>
                      <a:ext uri="{53640926-AAD7-44D8-BBD7-CCE9431645EC}">
                        <a14:shadowObscured xmlns:a14="http://schemas.microsoft.com/office/drawing/2010/main"/>
                      </a:ext>
                    </a:extLst>
                  </pic:spPr>
                </pic:pic>
              </a:graphicData>
            </a:graphic>
          </wp:inline>
        </w:drawing>
      </w:r>
    </w:p>
    <w:p w14:paraId="20825E2C" w14:textId="77777777" w:rsidR="007D66D9" w:rsidRPr="007D66D9" w:rsidRDefault="007D66D9" w:rsidP="007D66D9">
      <w:r w:rsidRPr="007D66D9">
        <w:rPr>
          <w:noProof/>
          <w:lang w:eastAsia="en-AU"/>
        </w:rPr>
        <w:drawing>
          <wp:inline distT="0" distB="0" distL="0" distR="0" wp14:anchorId="64AC55A8" wp14:editId="425F0BD6">
            <wp:extent cx="3292475" cy="104775"/>
            <wp:effectExtent l="0" t="0" r="3175" b="9525"/>
            <wp:docPr id="83" name="Picture 83"/>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101"/>
                    <a:srcRect l="41576" t="10407" r="2788" b="86152"/>
                    <a:stretch/>
                  </pic:blipFill>
                  <pic:spPr bwMode="auto">
                    <a:xfrm>
                      <a:off x="0" y="0"/>
                      <a:ext cx="3295441" cy="104869"/>
                    </a:xfrm>
                    <a:prstGeom prst="rect">
                      <a:avLst/>
                    </a:prstGeom>
                    <a:ln>
                      <a:noFill/>
                    </a:ln>
                    <a:extLst>
                      <a:ext uri="{53640926-AAD7-44D8-BBD7-CCE9431645EC}">
                        <a14:shadowObscured xmlns:a14="http://schemas.microsoft.com/office/drawing/2010/main"/>
                      </a:ext>
                    </a:extLst>
                  </pic:spPr>
                </pic:pic>
              </a:graphicData>
            </a:graphic>
          </wp:inline>
        </w:drawing>
      </w:r>
    </w:p>
    <w:p w14:paraId="44638F82" w14:textId="77777777" w:rsidR="007D66D9" w:rsidRPr="007D66D9" w:rsidRDefault="007D66D9" w:rsidP="00AA267C">
      <w:r w:rsidRPr="00662127">
        <w:t xml:space="preserve">Patient </w:t>
      </w:r>
      <w:r w:rsidR="00AA267C">
        <w:t>[information redacted]</w:t>
      </w:r>
      <w:r w:rsidRPr="007D66D9">
        <w:t xml:space="preserve"> (wt. 96</w:t>
      </w:r>
      <w:r w:rsidR="00EA7B92">
        <w:t xml:space="preserve"> kg</w:t>
      </w:r>
      <w:r w:rsidRPr="007D66D9">
        <w:t xml:space="preserve">) in Panel D received </w:t>
      </w:r>
      <w:r w:rsidR="0058163A">
        <w:t>525</w:t>
      </w:r>
      <w:r w:rsidR="004A676D">
        <w:t xml:space="preserve"> mg</w:t>
      </w:r>
      <w:r w:rsidRPr="007D66D9">
        <w:t xml:space="preserve"> </w:t>
      </w:r>
      <w:r w:rsidR="004A676D">
        <w:t>equivalent</w:t>
      </w:r>
      <w:r w:rsidRPr="007D66D9">
        <w:t xml:space="preserve"> On Day 544, after receivi</w:t>
      </w:r>
      <w:r w:rsidR="003673F6">
        <w:t>ng</w:t>
      </w:r>
      <w:r w:rsidRPr="007D66D9">
        <w:t xml:space="preserve"> Invega Trinza, she had a measured paliperidone concentration of 223</w:t>
      </w:r>
      <w:r w:rsidR="003673F6">
        <w:t xml:space="preserve"> ng</w:t>
      </w:r>
      <w:r w:rsidR="00607328">
        <w:t>/</w:t>
      </w:r>
      <w:proofErr w:type="spellStart"/>
      <w:r w:rsidR="00607328">
        <w:t>mL</w:t>
      </w:r>
      <w:r w:rsidRPr="007D66D9">
        <w:t>.</w:t>
      </w:r>
      <w:proofErr w:type="spellEnd"/>
      <w:r w:rsidRPr="007D66D9">
        <w:t xml:space="preserve"> The high level at the end of the study was likely related to subject taki</w:t>
      </w:r>
      <w:r w:rsidR="003673F6">
        <w:t>ng</w:t>
      </w:r>
      <w:r w:rsidRPr="007D66D9">
        <w:t xml:space="preserve"> non-study related paliperidone or risperidone.</w:t>
      </w:r>
    </w:p>
    <w:p w14:paraId="3A8539AE" w14:textId="77777777" w:rsidR="007D66D9" w:rsidRPr="00662127" w:rsidRDefault="007D66D9" w:rsidP="005A18C6">
      <w:pPr>
        <w:pStyle w:val="FigureTitle"/>
        <w:keepNext/>
      </w:pPr>
      <w:bookmarkStart w:id="251" w:name="_Toc453055080"/>
      <w:r w:rsidRPr="00662127">
        <w:t xml:space="preserve">Figure </w:t>
      </w:r>
      <w:r w:rsidR="00FA7BDF">
        <w:t>41</w:t>
      </w:r>
      <w:r w:rsidR="00393A99">
        <w:t>:</w:t>
      </w:r>
      <w:r w:rsidRPr="00662127">
        <w:t xml:space="preserve"> Patient </w:t>
      </w:r>
      <w:r w:rsidR="00AA267C">
        <w:t>[information redacted]</w:t>
      </w:r>
      <w:r w:rsidRPr="00662127">
        <w:t xml:space="preserve"> with Paliperidone ≥ 125</w:t>
      </w:r>
      <w:r w:rsidR="003673F6">
        <w:t xml:space="preserve"> ng</w:t>
      </w:r>
      <w:r w:rsidR="00607328">
        <w:t>/mL</w:t>
      </w:r>
      <w:r w:rsidRPr="00662127">
        <w:t xml:space="preserve"> </w:t>
      </w:r>
      <w:r w:rsidR="00AA267C" w:rsidRPr="00662127">
        <w:t xml:space="preserve">plasma concentration </w:t>
      </w:r>
      <w:r w:rsidR="00AA267C">
        <w:t>versus</w:t>
      </w:r>
      <w:r w:rsidR="00AA267C" w:rsidRPr="00662127">
        <w:t xml:space="preserve"> time</w:t>
      </w:r>
      <w:bookmarkEnd w:id="251"/>
    </w:p>
    <w:p w14:paraId="24029EAE" w14:textId="77777777" w:rsidR="007D66D9" w:rsidRPr="007D66D9" w:rsidRDefault="007D66D9" w:rsidP="007D66D9">
      <w:r w:rsidRPr="007D66D9">
        <w:rPr>
          <w:noProof/>
          <w:lang w:eastAsia="en-AU"/>
        </w:rPr>
        <w:drawing>
          <wp:inline distT="0" distB="0" distL="0" distR="0" wp14:anchorId="5355E99B" wp14:editId="21EFC97C">
            <wp:extent cx="5032858" cy="2479603"/>
            <wp:effectExtent l="0" t="0" r="0" b="0"/>
            <wp:docPr id="99" name="Picture 99" descr="Figure 41: Patient [information redacted] with Paliperidone ≥ 125 ng/mL plasma concentration versu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t="14530" r="1125" b="2402"/>
                    <a:stretch/>
                  </pic:blipFill>
                  <pic:spPr bwMode="auto">
                    <a:xfrm>
                      <a:off x="0" y="0"/>
                      <a:ext cx="5031484" cy="2478926"/>
                    </a:xfrm>
                    <a:prstGeom prst="rect">
                      <a:avLst/>
                    </a:prstGeom>
                    <a:ln>
                      <a:noFill/>
                    </a:ln>
                    <a:extLst>
                      <a:ext uri="{53640926-AAD7-44D8-BBD7-CCE9431645EC}">
                        <a14:shadowObscured xmlns:a14="http://schemas.microsoft.com/office/drawing/2010/main"/>
                      </a:ext>
                    </a:extLst>
                  </pic:spPr>
                </pic:pic>
              </a:graphicData>
            </a:graphic>
          </wp:inline>
        </w:drawing>
      </w:r>
    </w:p>
    <w:p w14:paraId="138E4438" w14:textId="77777777" w:rsidR="007D66D9" w:rsidRPr="007D66D9" w:rsidRDefault="007D66D9" w:rsidP="007D66D9">
      <w:r w:rsidRPr="007D66D9">
        <w:rPr>
          <w:noProof/>
          <w:lang w:eastAsia="en-AU"/>
        </w:rPr>
        <w:drawing>
          <wp:inline distT="0" distB="0" distL="0" distR="0" wp14:anchorId="07115C4A" wp14:editId="400E25E0">
            <wp:extent cx="3292475" cy="98425"/>
            <wp:effectExtent l="0" t="0" r="3175" b="0"/>
            <wp:docPr id="94" name="Picture 94"/>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97"/>
                    <a:srcRect l="41393" t="9322" r="3004" b="87759"/>
                    <a:stretch/>
                  </pic:blipFill>
                  <pic:spPr bwMode="auto">
                    <a:xfrm>
                      <a:off x="0" y="0"/>
                      <a:ext cx="3292475" cy="98425"/>
                    </a:xfrm>
                    <a:prstGeom prst="rect">
                      <a:avLst/>
                    </a:prstGeom>
                    <a:ln>
                      <a:noFill/>
                    </a:ln>
                    <a:extLst>
                      <a:ext uri="{53640926-AAD7-44D8-BBD7-CCE9431645EC}">
                        <a14:shadowObscured xmlns:a14="http://schemas.microsoft.com/office/drawing/2010/main"/>
                      </a:ext>
                    </a:extLst>
                  </pic:spPr>
                </pic:pic>
              </a:graphicData>
            </a:graphic>
          </wp:inline>
        </w:drawing>
      </w:r>
    </w:p>
    <w:p w14:paraId="53DBC500" w14:textId="77777777" w:rsidR="004A676D" w:rsidRDefault="007D66D9" w:rsidP="007D66D9">
      <w:r w:rsidRPr="00662127">
        <w:t xml:space="preserve">Patient </w:t>
      </w:r>
      <w:r w:rsidR="00AA267C">
        <w:t>[information redacted]</w:t>
      </w:r>
      <w:r w:rsidR="00AA267C" w:rsidRPr="007D66D9">
        <w:t xml:space="preserve"> </w:t>
      </w:r>
      <w:r w:rsidRPr="007D66D9">
        <w:t>(wt. 91.2</w:t>
      </w:r>
      <w:r w:rsidR="00EA7B92">
        <w:t xml:space="preserve"> kg</w:t>
      </w:r>
      <w:r w:rsidRPr="007D66D9">
        <w:t xml:space="preserve">) in Panel D received </w:t>
      </w:r>
      <w:r w:rsidR="0058163A">
        <w:t>525</w:t>
      </w:r>
      <w:r w:rsidR="004A676D">
        <w:t xml:space="preserve"> mg</w:t>
      </w:r>
      <w:r w:rsidRPr="007D66D9">
        <w:t xml:space="preserve"> </w:t>
      </w:r>
      <w:r w:rsidR="004A676D">
        <w:t>equivalent</w:t>
      </w:r>
      <w:r w:rsidRPr="007D66D9">
        <w:t xml:space="preserve"> On Days 26, 30, and 42 of Period 2, he had measured paliperidone concentration of 132, 136, and 132</w:t>
      </w:r>
      <w:r w:rsidR="003673F6">
        <w:t xml:space="preserve"> ng</w:t>
      </w:r>
      <w:r w:rsidR="00607328">
        <w:t>/mL</w:t>
      </w:r>
      <w:r w:rsidRPr="007D66D9">
        <w:t>, respectively. He had a SAS score of 1 (tremor) on Days -1, 6, 14, 34, 140; score of 2 (tremor, slight wrist stiffness) on Days 56 and 224 and 0 at other time points in Period 2 includi</w:t>
      </w:r>
      <w:r w:rsidR="003673F6">
        <w:t>ng</w:t>
      </w:r>
      <w:r w:rsidRPr="007D66D9">
        <w:t xml:space="preserve"> Day 26</w:t>
      </w:r>
      <w:r w:rsidR="004A676D">
        <w:t>.</w:t>
      </w:r>
    </w:p>
    <w:p w14:paraId="312174BB" w14:textId="77777777" w:rsidR="007D66D9" w:rsidRPr="00662127" w:rsidRDefault="007D66D9" w:rsidP="005A18C6">
      <w:pPr>
        <w:pStyle w:val="FigureTitle"/>
        <w:keepNext/>
      </w:pPr>
      <w:bookmarkStart w:id="252" w:name="_Toc453055081"/>
      <w:r w:rsidRPr="00662127">
        <w:lastRenderedPageBreak/>
        <w:t xml:space="preserve">Figure </w:t>
      </w:r>
      <w:r w:rsidR="00FA7BDF">
        <w:t>42</w:t>
      </w:r>
      <w:r w:rsidR="00393A99">
        <w:t>:</w:t>
      </w:r>
      <w:r w:rsidRPr="00662127">
        <w:t xml:space="preserve"> Patient </w:t>
      </w:r>
      <w:r w:rsidR="00AA267C">
        <w:t>[information redacted]</w:t>
      </w:r>
      <w:r w:rsidRPr="00662127">
        <w:t xml:space="preserve"> with Paliperidone ≥ 125</w:t>
      </w:r>
      <w:r w:rsidR="003673F6">
        <w:t xml:space="preserve"> ng</w:t>
      </w:r>
      <w:r w:rsidR="00607328">
        <w:t>/</w:t>
      </w:r>
      <w:r w:rsidR="00AA267C">
        <w:t>ml</w:t>
      </w:r>
      <w:r w:rsidR="00AA267C" w:rsidRPr="00662127">
        <w:t xml:space="preserve"> plasma concentration </w:t>
      </w:r>
      <w:r w:rsidR="00AA267C">
        <w:t>versus</w:t>
      </w:r>
      <w:r w:rsidR="00AA267C" w:rsidRPr="00662127">
        <w:t xml:space="preserve"> tim</w:t>
      </w:r>
      <w:r w:rsidRPr="00662127">
        <w:t>e</w:t>
      </w:r>
      <w:bookmarkEnd w:id="252"/>
    </w:p>
    <w:p w14:paraId="6B87FAB4" w14:textId="77777777" w:rsidR="007D66D9" w:rsidRPr="007D66D9" w:rsidRDefault="007D66D9" w:rsidP="007D66D9">
      <w:r w:rsidRPr="007D66D9">
        <w:rPr>
          <w:noProof/>
          <w:lang w:eastAsia="en-AU"/>
        </w:rPr>
        <w:drawing>
          <wp:inline distT="0" distB="0" distL="0" distR="0" wp14:anchorId="79CFD58B" wp14:editId="3540272A">
            <wp:extent cx="5669280" cy="2421331"/>
            <wp:effectExtent l="0" t="0" r="7620" b="0"/>
            <wp:docPr id="100" name="Picture 100" descr="Figure 42: Patient [information redacted] with Paliperidone ≥ 125 ng/ml plasma concentration versus ti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1" t="9046" r="803" b="1854"/>
                    <a:stretch/>
                  </pic:blipFill>
                  <pic:spPr bwMode="auto">
                    <a:xfrm>
                      <a:off x="0" y="0"/>
                      <a:ext cx="5677328" cy="2424768"/>
                    </a:xfrm>
                    <a:prstGeom prst="rect">
                      <a:avLst/>
                    </a:prstGeom>
                    <a:ln>
                      <a:noFill/>
                    </a:ln>
                    <a:extLst>
                      <a:ext uri="{53640926-AAD7-44D8-BBD7-CCE9431645EC}">
                        <a14:shadowObscured xmlns:a14="http://schemas.microsoft.com/office/drawing/2010/main"/>
                      </a:ext>
                    </a:extLst>
                  </pic:spPr>
                </pic:pic>
              </a:graphicData>
            </a:graphic>
          </wp:inline>
        </w:drawing>
      </w:r>
    </w:p>
    <w:p w14:paraId="5AA9C440" w14:textId="77777777" w:rsidR="007D66D9" w:rsidRPr="007D66D9" w:rsidRDefault="007D66D9" w:rsidP="007D66D9">
      <w:r w:rsidRPr="007D66D9">
        <w:rPr>
          <w:noProof/>
          <w:lang w:eastAsia="en-AU"/>
        </w:rPr>
        <w:drawing>
          <wp:inline distT="0" distB="0" distL="0" distR="0" wp14:anchorId="792B3EDC" wp14:editId="0B177E81">
            <wp:extent cx="3238500" cy="1047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cstate="print">
                      <a:extLst>
                        <a:ext uri="{28A0092B-C50C-407E-A947-70E740481C1C}">
                          <a14:useLocalDpi xmlns:a14="http://schemas.microsoft.com/office/drawing/2010/main" val="0"/>
                        </a:ext>
                      </a:extLst>
                    </a:blip>
                    <a:srcRect l="2090" t="22899" b="14944"/>
                    <a:stretch>
                      <a:fillRect/>
                    </a:stretch>
                  </pic:blipFill>
                  <pic:spPr bwMode="auto">
                    <a:xfrm>
                      <a:off x="0" y="0"/>
                      <a:ext cx="3238500" cy="104775"/>
                    </a:xfrm>
                    <a:prstGeom prst="rect">
                      <a:avLst/>
                    </a:prstGeom>
                    <a:noFill/>
                    <a:ln>
                      <a:noFill/>
                    </a:ln>
                  </pic:spPr>
                </pic:pic>
              </a:graphicData>
            </a:graphic>
          </wp:inline>
        </w:drawing>
      </w:r>
    </w:p>
    <w:p w14:paraId="3DDAA4A4" w14:textId="77777777" w:rsidR="007D66D9" w:rsidRDefault="007D66D9" w:rsidP="007D66D9">
      <w:pPr>
        <w:pStyle w:val="Heading5"/>
      </w:pPr>
      <w:bookmarkStart w:id="253" w:name="_Toc453054910"/>
      <w:r>
        <w:t>TEAEs</w:t>
      </w:r>
      <w:bookmarkEnd w:id="253"/>
    </w:p>
    <w:p w14:paraId="07EAF5CF" w14:textId="77777777" w:rsidR="007D66D9" w:rsidRPr="007D66D9" w:rsidRDefault="007D66D9" w:rsidP="007D66D9">
      <w:r w:rsidRPr="007D66D9">
        <w:t xml:space="preserve">The most commonly </w:t>
      </w:r>
      <w:r w:rsidRPr="00AA267C">
        <w:t>reported TEAEs:</w:t>
      </w:r>
    </w:p>
    <w:p w14:paraId="5BE4AB96" w14:textId="77777777" w:rsidR="007D66D9" w:rsidRPr="007D66D9" w:rsidRDefault="007D66D9" w:rsidP="00AA267C">
      <w:pPr>
        <w:pStyle w:val="ListBullet"/>
      </w:pPr>
      <w:r w:rsidRPr="007D66D9">
        <w:t>In Panel A were headache and insomnia (each reported in 5.6% subjects) in Period 1; and headache and nasophary</w:t>
      </w:r>
      <w:r w:rsidR="003673F6">
        <w:t>ng</w:t>
      </w:r>
      <w:r w:rsidRPr="007D66D9">
        <w:t>itis (each reported in 13.6% subjects), and toothache (6.1%) in Period 2.</w:t>
      </w:r>
    </w:p>
    <w:p w14:paraId="6E978BD5" w14:textId="77777777" w:rsidR="007D66D9" w:rsidRPr="007D66D9" w:rsidRDefault="007D66D9" w:rsidP="00AA267C">
      <w:pPr>
        <w:pStyle w:val="ListBullet"/>
      </w:pPr>
      <w:r w:rsidRPr="007D66D9">
        <w:t>In Panel B were headache (4.7%), anxiety and constipation (each reported in 3.1% subjects) in Period 1; nasophary</w:t>
      </w:r>
      <w:r w:rsidR="003673F6">
        <w:t>ng</w:t>
      </w:r>
      <w:r w:rsidRPr="007D66D9">
        <w:t>itis (12.5%); headache (11.7%); anxiety (10.0%); insomnia, diarrhoea, toothache, and weight increased (each reported in 7.5% subjects), abdominal pain and back pain (each reported in 6.7% subjects), weight decreased and tachycardia (each reported in 5.8% subjects), and depression, psychotic disorder, and schizophrenia in Period 2 (each reported in 5% subjects).</w:t>
      </w:r>
    </w:p>
    <w:p w14:paraId="46DC4B43" w14:textId="77777777" w:rsidR="007D66D9" w:rsidRPr="007D66D9" w:rsidRDefault="007D66D9" w:rsidP="00AA267C">
      <w:pPr>
        <w:pStyle w:val="ListBullet"/>
      </w:pPr>
      <w:r w:rsidRPr="007D66D9">
        <w:t>In Panel C was headache (8.0%) in Period 1; and upper respiratory tract infection (25.0%), headache (16.7%), constipation (12.5%), vomiti</w:t>
      </w:r>
      <w:r w:rsidR="003673F6">
        <w:t>ng</w:t>
      </w:r>
      <w:r w:rsidRPr="007D66D9">
        <w:t>, dystonia, injection site warmth, back pain, and diabetes mellitus (each reported in 8.3% subjects) in Period 2.</w:t>
      </w:r>
    </w:p>
    <w:p w14:paraId="0C401DF0" w14:textId="77777777" w:rsidR="007D66D9" w:rsidRPr="007D66D9" w:rsidRDefault="007D66D9" w:rsidP="00AA267C">
      <w:pPr>
        <w:pStyle w:val="ListBullet"/>
      </w:pPr>
      <w:r w:rsidRPr="007D66D9">
        <w:t>In Panel D was insomnia and anxiety (each 3.0%) in Period 1; and nasophary</w:t>
      </w:r>
      <w:r w:rsidR="003673F6">
        <w:t>ng</w:t>
      </w:r>
      <w:r w:rsidRPr="007D66D9">
        <w:t>itis (10.2%), headache (7.1%), back pain (6.1%); dizziness, and weight increased (each reported in 5.1% subjects) in Period 2.</w:t>
      </w:r>
    </w:p>
    <w:p w14:paraId="12C93670" w14:textId="77777777" w:rsidR="007D66D9" w:rsidRDefault="007D66D9" w:rsidP="007D66D9">
      <w:pPr>
        <w:pStyle w:val="Heading5"/>
      </w:pPr>
      <w:bookmarkStart w:id="254" w:name="_Toc453054911"/>
      <w:r>
        <w:t>Discontinuations due to AEs</w:t>
      </w:r>
      <w:bookmarkEnd w:id="254"/>
    </w:p>
    <w:p w14:paraId="4C3A2DA5" w14:textId="77777777" w:rsidR="007D66D9" w:rsidRPr="007D66D9" w:rsidRDefault="007D66D9" w:rsidP="00AA267C">
      <w:r w:rsidRPr="007D66D9">
        <w:t>In Panel A two discontinued the study agent due to the TEAEs of anxiety and suicidal ideation, (considered to be doubtfully related), and 1 subject discontinued due to a TEAE of hypertension, which was considered by the investigator to be possibly related to the study agent.</w:t>
      </w:r>
    </w:p>
    <w:p w14:paraId="6EF5ED4D" w14:textId="77777777" w:rsidR="007D66D9" w:rsidRPr="007D66D9" w:rsidRDefault="007D66D9" w:rsidP="00AA267C">
      <w:r w:rsidRPr="007D66D9">
        <w:t xml:space="preserve">Panel B three discontinued the study agent due to TEAEs of myocardial ischaemia, psychotic disorder, and metastatic malignant melanoma (each reported in 1 subject, and which were considered not related to the study agent). The TEAEs of muscle spasticity and </w:t>
      </w:r>
      <w:proofErr w:type="spellStart"/>
      <w:r w:rsidRPr="007D66D9">
        <w:t>dysphemia</w:t>
      </w:r>
      <w:proofErr w:type="spellEnd"/>
      <w:r w:rsidRPr="007D66D9">
        <w:t xml:space="preserve"> (each reported in 1 subject) were considered by the investigator to be very likely related to the study agent.</w:t>
      </w:r>
    </w:p>
    <w:p w14:paraId="6B9DA56C" w14:textId="77777777" w:rsidR="007D66D9" w:rsidRPr="007D66D9" w:rsidRDefault="007D66D9" w:rsidP="00AA267C">
      <w:r w:rsidRPr="007D66D9">
        <w:t>Panel C had no subjects discontinued.</w:t>
      </w:r>
    </w:p>
    <w:p w14:paraId="19E00338" w14:textId="77777777" w:rsidR="007D66D9" w:rsidRPr="007D66D9" w:rsidRDefault="007D66D9" w:rsidP="00AA267C">
      <w:r w:rsidRPr="007D66D9">
        <w:t xml:space="preserve">Panel D had one discontinued due to the TEAE of psychotic disorder, which was considered by the investigator to be not related to the study </w:t>
      </w:r>
      <w:r w:rsidRPr="00AA267C">
        <w:t>agent.</w:t>
      </w:r>
    </w:p>
    <w:p w14:paraId="41E82CDF" w14:textId="77777777" w:rsidR="007D66D9" w:rsidRDefault="007D66D9" w:rsidP="007D66D9">
      <w:pPr>
        <w:pStyle w:val="Heading5"/>
      </w:pPr>
      <w:bookmarkStart w:id="255" w:name="_Toc453054912"/>
      <w:r>
        <w:lastRenderedPageBreak/>
        <w:t xml:space="preserve">Serious </w:t>
      </w:r>
      <w:r w:rsidR="00AA267C">
        <w:t>adverse events</w:t>
      </w:r>
      <w:bookmarkEnd w:id="255"/>
    </w:p>
    <w:p w14:paraId="030E4354" w14:textId="77777777" w:rsidR="007D66D9" w:rsidRPr="007D66D9" w:rsidRDefault="007D66D9" w:rsidP="00AA267C">
      <w:r w:rsidRPr="007D66D9">
        <w:t>In Panel A</w:t>
      </w:r>
      <w:r w:rsidR="00AA267C">
        <w:t>,</w:t>
      </w:r>
      <w:r w:rsidRPr="007D66D9">
        <w:t xml:space="preserve"> all </w:t>
      </w:r>
      <w:r w:rsidR="00AA267C">
        <w:t>treatment emergent</w:t>
      </w:r>
      <w:r w:rsidRPr="007D66D9">
        <w:t xml:space="preserve"> SAEs were considered not related or doubtfu</w:t>
      </w:r>
      <w:r w:rsidR="00662127">
        <w:t xml:space="preserve">lly related to the study agent. </w:t>
      </w:r>
      <w:r w:rsidRPr="007D66D9">
        <w:t xml:space="preserve">In Panel B dystonia (1 subject) was considered possibly related to the study agent and an ectopic pregnancy was considered doubtfully related to the study agent otherwise most </w:t>
      </w:r>
      <w:r w:rsidR="00AA267C">
        <w:t>treatment emergent</w:t>
      </w:r>
      <w:r w:rsidRPr="007D66D9">
        <w:t xml:space="preserve"> SAEs were considered n</w:t>
      </w:r>
      <w:r w:rsidR="00662127">
        <w:t xml:space="preserve">ot related to the study agent. </w:t>
      </w:r>
      <w:r w:rsidRPr="007D66D9">
        <w:t>In Panel C the only</w:t>
      </w:r>
      <w:r w:rsidR="004A676D">
        <w:t xml:space="preserve"> </w:t>
      </w:r>
      <w:r w:rsidR="00AA267C">
        <w:t>treatment emergent</w:t>
      </w:r>
      <w:r w:rsidRPr="007D66D9">
        <w:t xml:space="preserve"> SAE was considered by the investigator to be </w:t>
      </w:r>
      <w:r w:rsidR="00662127">
        <w:t xml:space="preserve">not related to the study agent. </w:t>
      </w:r>
      <w:r w:rsidRPr="007D66D9">
        <w:t xml:space="preserve">In Panel D all </w:t>
      </w:r>
      <w:r w:rsidR="00AA267C">
        <w:t xml:space="preserve">treatment </w:t>
      </w:r>
      <w:r w:rsidRPr="007D66D9">
        <w:t>emergent SAEs were considered by the investigator to be not related to the study agent.</w:t>
      </w:r>
    </w:p>
    <w:p w14:paraId="55399899" w14:textId="77777777" w:rsidR="007D66D9" w:rsidRPr="007D66D9" w:rsidRDefault="007D66D9" w:rsidP="00AA267C">
      <w:r w:rsidRPr="007D66D9">
        <w:t xml:space="preserve">The only </w:t>
      </w:r>
      <w:r w:rsidRPr="00662127">
        <w:t xml:space="preserve">death </w:t>
      </w:r>
      <w:r w:rsidR="00AA267C">
        <w:t>was in panel B;</w:t>
      </w:r>
      <w:r w:rsidRPr="007D66D9">
        <w:t xml:space="preserve"> malignant melanoma.</w:t>
      </w:r>
    </w:p>
    <w:p w14:paraId="1DA0106F" w14:textId="77777777" w:rsidR="007D66D9" w:rsidRDefault="007D66D9" w:rsidP="007D66D9">
      <w:pPr>
        <w:pStyle w:val="Heading5"/>
      </w:pPr>
      <w:bookmarkStart w:id="256" w:name="_Toc453054913"/>
      <w:r>
        <w:t xml:space="preserve">Treatment </w:t>
      </w:r>
      <w:r w:rsidR="00AA267C">
        <w:t>r</w:t>
      </w:r>
      <w:r>
        <w:t>elated AEs</w:t>
      </w:r>
      <w:bookmarkEnd w:id="256"/>
    </w:p>
    <w:p w14:paraId="20A33D8E" w14:textId="77777777" w:rsidR="007D66D9" w:rsidRPr="007D66D9" w:rsidRDefault="007D66D9" w:rsidP="007D66D9">
      <w:r w:rsidRPr="007D66D9">
        <w:t>The TEAEs considered by the investigator to be very likely related to the study agent were:</w:t>
      </w:r>
    </w:p>
    <w:p w14:paraId="317D3226" w14:textId="77777777" w:rsidR="007D66D9" w:rsidRPr="007D66D9" w:rsidRDefault="007D66D9" w:rsidP="00AA267C">
      <w:pPr>
        <w:pStyle w:val="Heading6"/>
      </w:pPr>
      <w:r w:rsidRPr="007D66D9">
        <w:t>Panel A</w:t>
      </w:r>
      <w:r w:rsidR="00AA267C">
        <w:t>:</w:t>
      </w:r>
    </w:p>
    <w:p w14:paraId="2AF9B32C" w14:textId="77777777" w:rsidR="004A676D" w:rsidRDefault="007D66D9" w:rsidP="007D66D9">
      <w:r w:rsidRPr="007D66D9">
        <w:t>Duri</w:t>
      </w:r>
      <w:r w:rsidR="003673F6">
        <w:t>ng</w:t>
      </w:r>
      <w:r w:rsidRPr="007D66D9">
        <w:t xml:space="preserve"> Period 1: dry mouth (1 subject)</w:t>
      </w:r>
      <w:r w:rsidR="004A676D">
        <w:t>.</w:t>
      </w:r>
    </w:p>
    <w:p w14:paraId="485B70E1" w14:textId="77777777" w:rsidR="007D66D9" w:rsidRPr="007D66D9" w:rsidRDefault="007D66D9" w:rsidP="007D66D9">
      <w:r w:rsidRPr="007D66D9">
        <w:t>Duri</w:t>
      </w:r>
      <w:r w:rsidR="003673F6">
        <w:t>ng</w:t>
      </w:r>
      <w:r w:rsidRPr="007D66D9">
        <w:t xml:space="preserve"> Period 2:</w:t>
      </w:r>
    </w:p>
    <w:p w14:paraId="77065608" w14:textId="6B8B3CB8" w:rsidR="007D66D9" w:rsidRPr="007D66D9" w:rsidRDefault="007D66D9" w:rsidP="00AA267C">
      <w:pPr>
        <w:pStyle w:val="ListBullet"/>
      </w:pPr>
      <w:r w:rsidRPr="007D66D9">
        <w:t>in the 300</w:t>
      </w:r>
      <w:r w:rsidR="004A676D">
        <w:t xml:space="preserve"> mg</w:t>
      </w:r>
      <w:r w:rsidRPr="007D66D9">
        <w:t xml:space="preserve"> </w:t>
      </w:r>
      <w:proofErr w:type="spellStart"/>
      <w:r w:rsidR="004A676D">
        <w:t>equivalent</w:t>
      </w:r>
      <w:r w:rsidRPr="007D66D9">
        <w:t>group</w:t>
      </w:r>
      <w:proofErr w:type="spellEnd"/>
      <w:r w:rsidRPr="007D66D9">
        <w:t xml:space="preserve"> – sinus bradycardia, injection site irritation, and injection site pain (each reported in 1 subject)</w:t>
      </w:r>
    </w:p>
    <w:p w14:paraId="491F5922" w14:textId="7ACC88AD" w:rsidR="007D66D9" w:rsidRPr="007D66D9" w:rsidRDefault="007D66D9" w:rsidP="00AA267C">
      <w:pPr>
        <w:pStyle w:val="ListBullet"/>
      </w:pPr>
      <w:proofErr w:type="gramStart"/>
      <w:r w:rsidRPr="007D66D9">
        <w:t>in</w:t>
      </w:r>
      <w:proofErr w:type="gramEnd"/>
      <w:r w:rsidRPr="007D66D9">
        <w:t xml:space="preserve"> the 300</w:t>
      </w:r>
      <w:r w:rsidR="004A676D">
        <w:t xml:space="preserve"> mg</w:t>
      </w:r>
      <w:r w:rsidRPr="007D66D9">
        <w:t xml:space="preserve"> </w:t>
      </w:r>
      <w:r w:rsidR="004A676D">
        <w:t>equivalent</w:t>
      </w:r>
      <w:r w:rsidRPr="007D66D9">
        <w:t xml:space="preserve"> group - </w:t>
      </w:r>
      <w:r w:rsidR="00AA267C">
        <w:t>injection site pain (1 subject).</w:t>
      </w:r>
    </w:p>
    <w:p w14:paraId="52AB3A4D" w14:textId="77777777" w:rsidR="007D66D9" w:rsidRPr="007D66D9" w:rsidRDefault="007D66D9" w:rsidP="00662127">
      <w:pPr>
        <w:pStyle w:val="Heading6"/>
      </w:pPr>
      <w:r w:rsidRPr="007D66D9">
        <w:t>Panel B</w:t>
      </w:r>
    </w:p>
    <w:p w14:paraId="0DE88AB8" w14:textId="77777777" w:rsidR="007D66D9" w:rsidRPr="007D66D9" w:rsidRDefault="007D66D9" w:rsidP="00AA267C">
      <w:pPr>
        <w:pStyle w:val="ListBullet"/>
      </w:pPr>
      <w:r w:rsidRPr="007D66D9">
        <w:t>Duri</w:t>
      </w:r>
      <w:r w:rsidR="003673F6">
        <w:t>ng</w:t>
      </w:r>
      <w:r w:rsidRPr="007D66D9">
        <w:t xml:space="preserve"> Period 1: tremor (2 subjects); vertigo, abdominal pain, diarrhoea, injection site pain, </w:t>
      </w:r>
      <w:proofErr w:type="spellStart"/>
      <w:r w:rsidRPr="007D66D9">
        <w:t>dysphemia</w:t>
      </w:r>
      <w:proofErr w:type="spellEnd"/>
      <w:r w:rsidRPr="007D66D9">
        <w:t xml:space="preserve">, muscle spasticity, and </w:t>
      </w:r>
      <w:proofErr w:type="spellStart"/>
      <w:r w:rsidRPr="007D66D9">
        <w:t>hypoaesthesia</w:t>
      </w:r>
      <w:proofErr w:type="spellEnd"/>
      <w:r w:rsidRPr="007D66D9">
        <w:t xml:space="preserve"> (each reported in 1 subject).</w:t>
      </w:r>
    </w:p>
    <w:p w14:paraId="2D1E7A27" w14:textId="77777777" w:rsidR="007D66D9" w:rsidRPr="007D66D9" w:rsidRDefault="007D66D9" w:rsidP="007D66D9">
      <w:r w:rsidRPr="007D66D9">
        <w:t>Duri</w:t>
      </w:r>
      <w:r w:rsidR="003673F6">
        <w:t>ng</w:t>
      </w:r>
      <w:r w:rsidRPr="007D66D9">
        <w:t xml:space="preserve"> Period 2:</w:t>
      </w:r>
    </w:p>
    <w:p w14:paraId="054104AF" w14:textId="77777777" w:rsidR="004A676D" w:rsidRDefault="007D66D9" w:rsidP="00AA267C">
      <w:pPr>
        <w:pStyle w:val="ListBullet"/>
      </w:pPr>
      <w:r w:rsidRPr="007D66D9">
        <w:t>In the 75</w:t>
      </w:r>
      <w:r w:rsidR="004A676D">
        <w:t xml:space="preserve"> mg</w:t>
      </w:r>
      <w:r w:rsidRPr="007D66D9">
        <w:t xml:space="preserve"> </w:t>
      </w:r>
      <w:r w:rsidR="004A676D">
        <w:t>equivalent</w:t>
      </w:r>
      <w:r w:rsidR="00AA267C">
        <w:t xml:space="preserve"> gluteal group; </w:t>
      </w:r>
      <w:r w:rsidRPr="007D66D9">
        <w:t>nausea, dizziness postural, headache, somnolence, insomnia, and hot flush (each reported in 1 subject)</w:t>
      </w:r>
      <w:r w:rsidR="004A676D">
        <w:t>.</w:t>
      </w:r>
    </w:p>
    <w:p w14:paraId="2A5D713C" w14:textId="77777777" w:rsidR="004A676D" w:rsidRDefault="007D66D9" w:rsidP="00AA267C">
      <w:pPr>
        <w:pStyle w:val="ListBullet"/>
      </w:pPr>
      <w:r w:rsidRPr="007D66D9">
        <w:t>In the 150</w:t>
      </w:r>
      <w:r w:rsidR="004A676D">
        <w:t xml:space="preserve"> mg</w:t>
      </w:r>
      <w:r w:rsidRPr="007D66D9">
        <w:t xml:space="preserve"> </w:t>
      </w:r>
      <w:r w:rsidR="004A676D">
        <w:t>equivalent</w:t>
      </w:r>
      <w:r w:rsidR="00AA267C">
        <w:t xml:space="preserve"> gluteal group; </w:t>
      </w:r>
      <w:r w:rsidRPr="007D66D9">
        <w:t>weight increased (reported in 1 subject)</w:t>
      </w:r>
      <w:r w:rsidR="004A676D">
        <w:t>.</w:t>
      </w:r>
    </w:p>
    <w:p w14:paraId="5DCDE575" w14:textId="77777777" w:rsidR="004A676D" w:rsidRDefault="007D66D9" w:rsidP="00AA267C">
      <w:pPr>
        <w:pStyle w:val="ListBullet"/>
      </w:pPr>
      <w:r w:rsidRPr="007D66D9">
        <w:t>In the 300</w:t>
      </w:r>
      <w:r w:rsidR="004A676D">
        <w:t xml:space="preserve"> mg</w:t>
      </w:r>
      <w:r w:rsidRPr="007D66D9">
        <w:t xml:space="preserve"> </w:t>
      </w:r>
      <w:r w:rsidR="004A676D">
        <w:t>equivalent</w:t>
      </w:r>
      <w:r w:rsidR="00AA267C">
        <w:t xml:space="preserve"> deltoid group; </w:t>
      </w:r>
      <w:r w:rsidRPr="007D66D9">
        <w:t>constipation, injection site erythema, injection site induration, injection site pain, and sedation (each reported in 1 subject)</w:t>
      </w:r>
      <w:r w:rsidR="004A676D">
        <w:t>.</w:t>
      </w:r>
    </w:p>
    <w:p w14:paraId="3EE8B177" w14:textId="77777777" w:rsidR="007D66D9" w:rsidRPr="007D66D9" w:rsidRDefault="007D66D9" w:rsidP="00AA267C">
      <w:pPr>
        <w:pStyle w:val="ListBullet"/>
      </w:pPr>
      <w:r w:rsidRPr="007D66D9">
        <w:t>In the 450</w:t>
      </w:r>
      <w:r w:rsidR="004A676D">
        <w:t xml:space="preserve"> mg</w:t>
      </w:r>
      <w:r w:rsidRPr="007D66D9">
        <w:t xml:space="preserve"> </w:t>
      </w:r>
      <w:r w:rsidR="004A676D">
        <w:t>equivalent</w:t>
      </w:r>
      <w:r w:rsidR="00AA267C">
        <w:t xml:space="preserve"> gluteal group;</w:t>
      </w:r>
      <w:r w:rsidRPr="007D66D9">
        <w:t xml:space="preserve"> weight increased (1 subject).</w:t>
      </w:r>
    </w:p>
    <w:p w14:paraId="7FECF4A6" w14:textId="77777777" w:rsidR="004A676D" w:rsidRDefault="007D66D9" w:rsidP="00AA267C">
      <w:pPr>
        <w:pStyle w:val="ListBullet"/>
      </w:pPr>
      <w:r w:rsidRPr="007D66D9">
        <w:t>In the 450</w:t>
      </w:r>
      <w:r w:rsidR="004A676D">
        <w:t xml:space="preserve"> mg</w:t>
      </w:r>
      <w:r w:rsidRPr="007D66D9">
        <w:t xml:space="preserve"> </w:t>
      </w:r>
      <w:r w:rsidR="004A676D">
        <w:t>equivalent</w:t>
      </w:r>
      <w:r w:rsidR="00AA267C">
        <w:t xml:space="preserve"> deltoid group;</w:t>
      </w:r>
      <w:r w:rsidRPr="007D66D9">
        <w:t xml:space="preserve"> injection site induration (2 subjects); injection site mass, injection site pruritus, injection site swelli</w:t>
      </w:r>
      <w:r w:rsidR="003673F6">
        <w:t>ng</w:t>
      </w:r>
      <w:r w:rsidRPr="007D66D9">
        <w:t>, weight increased, ejaculation disorder, and erectile dysfunction (each reported in 1 subject)</w:t>
      </w:r>
      <w:r w:rsidR="004A676D">
        <w:t>.</w:t>
      </w:r>
    </w:p>
    <w:p w14:paraId="40727D04" w14:textId="77777777" w:rsidR="007D66D9" w:rsidRPr="007D66D9" w:rsidRDefault="007D66D9" w:rsidP="00662127">
      <w:pPr>
        <w:pStyle w:val="Heading6"/>
      </w:pPr>
      <w:r w:rsidRPr="007D66D9">
        <w:t>Panel C</w:t>
      </w:r>
    </w:p>
    <w:p w14:paraId="0332CDE9" w14:textId="77777777" w:rsidR="007D66D9" w:rsidRPr="007D66D9" w:rsidRDefault="007D66D9" w:rsidP="00AA267C">
      <w:pPr>
        <w:pStyle w:val="ListBullet"/>
      </w:pPr>
      <w:r w:rsidRPr="007D66D9">
        <w:t>Duri</w:t>
      </w:r>
      <w:r w:rsidR="003673F6">
        <w:t>ng</w:t>
      </w:r>
      <w:r w:rsidRPr="007D66D9">
        <w:t xml:space="preserve"> Period 2 in the 150</w:t>
      </w:r>
      <w:r w:rsidR="004A676D">
        <w:t xml:space="preserve"> mg</w:t>
      </w:r>
      <w:r w:rsidRPr="007D66D9">
        <w:t xml:space="preserve"> </w:t>
      </w:r>
      <w:r w:rsidR="004A676D">
        <w:t>equivalent</w:t>
      </w:r>
      <w:r w:rsidRPr="007D66D9">
        <w:t xml:space="preserve"> group injection site: warmth (1 subject).</w:t>
      </w:r>
    </w:p>
    <w:p w14:paraId="4F1213BF" w14:textId="77777777" w:rsidR="007D66D9" w:rsidRPr="007D66D9" w:rsidRDefault="007D66D9" w:rsidP="00662127">
      <w:pPr>
        <w:pStyle w:val="Heading6"/>
      </w:pPr>
      <w:r w:rsidRPr="007D66D9">
        <w:t>Panel D</w:t>
      </w:r>
    </w:p>
    <w:p w14:paraId="038C77C2" w14:textId="77777777" w:rsidR="007D66D9" w:rsidRPr="007D66D9" w:rsidRDefault="007D66D9" w:rsidP="007D66D9">
      <w:r w:rsidRPr="007D66D9">
        <w:t>Duri</w:t>
      </w:r>
      <w:r w:rsidR="003673F6">
        <w:t>ng</w:t>
      </w:r>
      <w:r w:rsidRPr="007D66D9">
        <w:t xml:space="preserve"> Period 2:</w:t>
      </w:r>
    </w:p>
    <w:p w14:paraId="3EDB1123" w14:textId="77777777" w:rsidR="004A676D" w:rsidRDefault="007D66D9" w:rsidP="00AA267C">
      <w:pPr>
        <w:pStyle w:val="ListBullet"/>
      </w:pPr>
      <w:r w:rsidRPr="007D66D9">
        <w:t xml:space="preserve">In the </w:t>
      </w:r>
      <w:r w:rsidR="0058163A">
        <w:t>175</w:t>
      </w:r>
      <w:r w:rsidR="004A676D">
        <w:t xml:space="preserve"> mg</w:t>
      </w:r>
      <w:r w:rsidRPr="007D66D9">
        <w:t xml:space="preserve"> </w:t>
      </w:r>
      <w:r w:rsidR="004A676D">
        <w:t>equivalent</w:t>
      </w:r>
      <w:r w:rsidR="00AA267C">
        <w:t xml:space="preserve"> deltoid group; </w:t>
      </w:r>
      <w:r w:rsidRPr="007D66D9">
        <w:t>injection site induration, injection site nodule, and injection site pain (each reported in 1 subject)</w:t>
      </w:r>
      <w:r w:rsidR="004A676D">
        <w:t>.</w:t>
      </w:r>
    </w:p>
    <w:p w14:paraId="752D4660" w14:textId="77777777" w:rsidR="007D66D9" w:rsidRPr="007D66D9" w:rsidRDefault="007D66D9" w:rsidP="00AA267C">
      <w:pPr>
        <w:pStyle w:val="ListBullet"/>
      </w:pPr>
      <w:r w:rsidRPr="007D66D9">
        <w:t xml:space="preserve">In the </w:t>
      </w:r>
      <w:r w:rsidR="0058163A">
        <w:t>525</w:t>
      </w:r>
      <w:r w:rsidR="004A676D">
        <w:t xml:space="preserve"> mg</w:t>
      </w:r>
      <w:r w:rsidRPr="007D66D9">
        <w:t xml:space="preserve"> </w:t>
      </w:r>
      <w:r w:rsidR="004A676D">
        <w:t>equivalent</w:t>
      </w:r>
      <w:r w:rsidR="00AA267C">
        <w:t xml:space="preserve"> deltoid group;</w:t>
      </w:r>
      <w:r w:rsidRPr="007D66D9">
        <w:t xml:space="preserve"> injection site induration (reported in 2 subjects), injection site erythema, injection site pain, injection site swelli</w:t>
      </w:r>
      <w:r w:rsidR="003673F6">
        <w:t>ng</w:t>
      </w:r>
      <w:r w:rsidRPr="007D66D9">
        <w:t>, and restlessness (each reported in 1 subject).</w:t>
      </w:r>
    </w:p>
    <w:p w14:paraId="64F1C8D5" w14:textId="77777777" w:rsidR="007D66D9" w:rsidRPr="0088025C" w:rsidRDefault="007D66D9" w:rsidP="007D66D9">
      <w:pPr>
        <w:pStyle w:val="Heading5"/>
      </w:pPr>
      <w:bookmarkStart w:id="257" w:name="_Toc453054914"/>
      <w:r w:rsidRPr="0088025C">
        <w:t>Severe AEs</w:t>
      </w:r>
      <w:bookmarkEnd w:id="257"/>
    </w:p>
    <w:p w14:paraId="2AB28C3D" w14:textId="77777777" w:rsidR="007D66D9" w:rsidRPr="007D66D9" w:rsidRDefault="007D66D9" w:rsidP="00AA267C">
      <w:r w:rsidRPr="007D66D9">
        <w:t>Most AEs were moderate or mild. The followi</w:t>
      </w:r>
      <w:r w:rsidR="003673F6">
        <w:t>ng</w:t>
      </w:r>
      <w:r w:rsidRPr="007D66D9">
        <w:t xml:space="preserve"> TEAEs were reported as severe:</w:t>
      </w:r>
    </w:p>
    <w:p w14:paraId="1EBAD97A" w14:textId="77777777" w:rsidR="007D66D9" w:rsidRPr="007D66D9" w:rsidRDefault="007D66D9" w:rsidP="00662127">
      <w:pPr>
        <w:pStyle w:val="Heading6"/>
      </w:pPr>
      <w:r w:rsidRPr="007D66D9">
        <w:lastRenderedPageBreak/>
        <w:t>Panel A</w:t>
      </w:r>
    </w:p>
    <w:p w14:paraId="0135E495" w14:textId="77777777" w:rsidR="007D66D9" w:rsidRPr="007D66D9" w:rsidRDefault="00AA267C" w:rsidP="007D66D9">
      <w:r>
        <w:t>Period 2:</w:t>
      </w:r>
    </w:p>
    <w:p w14:paraId="0B8ED1A5" w14:textId="15CEA11D" w:rsidR="004A676D" w:rsidRDefault="007D66D9" w:rsidP="00AA267C">
      <w:pPr>
        <w:pStyle w:val="ListBullet"/>
      </w:pPr>
      <w:r w:rsidRPr="007D66D9">
        <w:t>In the 300</w:t>
      </w:r>
      <w:r w:rsidR="004A676D">
        <w:t xml:space="preserve"> mg</w:t>
      </w:r>
      <w:r w:rsidRPr="007D66D9">
        <w:t xml:space="preserve"> </w:t>
      </w:r>
      <w:r w:rsidR="004A676D">
        <w:t>equivalent</w:t>
      </w:r>
      <w:r w:rsidR="00387A5A">
        <w:t xml:space="preserve"> g</w:t>
      </w:r>
      <w:r w:rsidR="004A21B5">
        <w:t xml:space="preserve">luteal group; </w:t>
      </w:r>
      <w:r w:rsidRPr="007D66D9">
        <w:t>depression and suicidal ideation (each reported in 3 subjects), diabetic ketoacidosis, type 2 diabetes mellitus, agitation, drug abuser, paranoia, and schizophrenia (each reported in 1 subject)</w:t>
      </w:r>
      <w:r w:rsidR="004A676D">
        <w:t>.</w:t>
      </w:r>
    </w:p>
    <w:p w14:paraId="010D4C30" w14:textId="472DBB13" w:rsidR="004A676D" w:rsidRDefault="007D66D9" w:rsidP="00AA267C">
      <w:pPr>
        <w:pStyle w:val="ListBullet"/>
      </w:pPr>
      <w:r w:rsidRPr="007D66D9">
        <w:t>In the 300</w:t>
      </w:r>
      <w:r w:rsidR="004A676D">
        <w:t xml:space="preserve"> mg</w:t>
      </w:r>
      <w:r w:rsidRPr="007D66D9">
        <w:t xml:space="preserve"> </w:t>
      </w:r>
      <w:r w:rsidR="004A676D">
        <w:t>equivalent</w:t>
      </w:r>
      <w:r w:rsidRPr="007D66D9">
        <w:t xml:space="preserve"> gluteal group, - upper limb fracture, </w:t>
      </w:r>
      <w:proofErr w:type="spellStart"/>
      <w:r w:rsidRPr="007D66D9">
        <w:t>akathesia</w:t>
      </w:r>
      <w:proofErr w:type="spellEnd"/>
      <w:r w:rsidRPr="007D66D9">
        <w:t>, and psychotic disorder (each reported in 1 subject)</w:t>
      </w:r>
      <w:r w:rsidR="004A676D">
        <w:t>.</w:t>
      </w:r>
    </w:p>
    <w:p w14:paraId="7630709D" w14:textId="77777777" w:rsidR="007D66D9" w:rsidRPr="007D66D9" w:rsidRDefault="007D66D9" w:rsidP="00662127">
      <w:pPr>
        <w:pStyle w:val="Heading6"/>
      </w:pPr>
      <w:r w:rsidRPr="007D66D9">
        <w:t>Panel B</w:t>
      </w:r>
    </w:p>
    <w:p w14:paraId="3B5D2ECF" w14:textId="77777777" w:rsidR="007D66D9" w:rsidRPr="007D66D9" w:rsidRDefault="00AA267C" w:rsidP="007D66D9">
      <w:r>
        <w:t>Period 2:</w:t>
      </w:r>
    </w:p>
    <w:p w14:paraId="00D99AE3" w14:textId="77777777" w:rsidR="007D66D9" w:rsidRPr="007D66D9" w:rsidRDefault="007D66D9" w:rsidP="00AA267C">
      <w:pPr>
        <w:pStyle w:val="ListBullet"/>
      </w:pPr>
      <w:r w:rsidRPr="007D66D9">
        <w:t>In the 75</w:t>
      </w:r>
      <w:r w:rsidR="004A676D">
        <w:t xml:space="preserve"> mg</w:t>
      </w:r>
      <w:r w:rsidRPr="007D66D9">
        <w:t xml:space="preserve"> </w:t>
      </w:r>
      <w:r w:rsidR="004A676D">
        <w:t>equivalent</w:t>
      </w:r>
      <w:r w:rsidR="00AA267C">
        <w:t xml:space="preserve"> gluteal group;</w:t>
      </w:r>
      <w:r w:rsidRPr="007D66D9">
        <w:t xml:space="preserve"> metastatic malignant melanoma, psychomotor hyperactivity, delusion, major depression, psychotic disorder, and schizophrenia (each reported in 1 subject).</w:t>
      </w:r>
    </w:p>
    <w:p w14:paraId="3717A838" w14:textId="77777777" w:rsidR="007D66D9" w:rsidRPr="007D66D9" w:rsidRDefault="007D66D9" w:rsidP="00AA267C">
      <w:pPr>
        <w:pStyle w:val="ListBullet"/>
      </w:pPr>
      <w:r w:rsidRPr="007D66D9">
        <w:t>In the 150</w:t>
      </w:r>
      <w:r w:rsidR="004A676D">
        <w:t xml:space="preserve"> mg</w:t>
      </w:r>
      <w:r w:rsidRPr="007D66D9">
        <w:t xml:space="preserve"> </w:t>
      </w:r>
      <w:r w:rsidR="004A676D">
        <w:t>equivalent</w:t>
      </w:r>
      <w:r w:rsidR="00AA267C">
        <w:t xml:space="preserve"> gluteal group; </w:t>
      </w:r>
      <w:r w:rsidRPr="007D66D9">
        <w:t>erectile dysfunction and pleurisy (each reported in 1 subject).</w:t>
      </w:r>
    </w:p>
    <w:p w14:paraId="219D3733" w14:textId="77777777" w:rsidR="007D66D9" w:rsidRPr="007D66D9" w:rsidRDefault="007D66D9" w:rsidP="00AA267C">
      <w:pPr>
        <w:pStyle w:val="ListBullet"/>
      </w:pPr>
      <w:r w:rsidRPr="007D66D9">
        <w:t>In the 300</w:t>
      </w:r>
      <w:r w:rsidR="004A676D">
        <w:t xml:space="preserve"> mg</w:t>
      </w:r>
      <w:r w:rsidRPr="007D66D9">
        <w:t xml:space="preserve"> </w:t>
      </w:r>
      <w:r w:rsidR="004A676D">
        <w:t>equivalent</w:t>
      </w:r>
      <w:r w:rsidR="00AA267C">
        <w:t xml:space="preserve"> deltoid group;</w:t>
      </w:r>
      <w:r w:rsidRPr="007D66D9">
        <w:t xml:space="preserve"> ectopic pregnancy.</w:t>
      </w:r>
    </w:p>
    <w:p w14:paraId="275B7014" w14:textId="77777777" w:rsidR="004A676D" w:rsidRDefault="007D66D9" w:rsidP="00AA267C">
      <w:pPr>
        <w:pStyle w:val="ListBullet"/>
      </w:pPr>
      <w:r w:rsidRPr="007D66D9">
        <w:t>In the 450</w:t>
      </w:r>
      <w:r w:rsidR="004A676D">
        <w:t xml:space="preserve"> mg</w:t>
      </w:r>
      <w:r w:rsidRPr="007D66D9">
        <w:t xml:space="preserve"> </w:t>
      </w:r>
      <w:r w:rsidR="004A676D">
        <w:t>equivalent</w:t>
      </w:r>
      <w:r w:rsidR="00AA267C">
        <w:t xml:space="preserve"> deltoid group;</w:t>
      </w:r>
      <w:r w:rsidRPr="007D66D9">
        <w:t xml:space="preserve"> weight increased and ejaculation disorder (each reported in 1 subject)</w:t>
      </w:r>
      <w:r w:rsidR="004A676D">
        <w:t>.</w:t>
      </w:r>
    </w:p>
    <w:p w14:paraId="79E76CDA" w14:textId="77777777" w:rsidR="007D66D9" w:rsidRPr="007D66D9" w:rsidRDefault="007D66D9" w:rsidP="00662127">
      <w:pPr>
        <w:pStyle w:val="Heading6"/>
      </w:pPr>
      <w:r w:rsidRPr="007D66D9">
        <w:t>Panel C</w:t>
      </w:r>
    </w:p>
    <w:p w14:paraId="3E47F33D" w14:textId="77777777" w:rsidR="007D66D9" w:rsidRPr="007D66D9" w:rsidRDefault="007D66D9" w:rsidP="00AA267C">
      <w:pPr>
        <w:pStyle w:val="ListBullet"/>
      </w:pPr>
      <w:r w:rsidRPr="007D66D9">
        <w:t>Duri</w:t>
      </w:r>
      <w:r w:rsidR="003673F6">
        <w:t>ng</w:t>
      </w:r>
      <w:r w:rsidRPr="007D66D9">
        <w:t xml:space="preserve"> Period 2, in the 150</w:t>
      </w:r>
      <w:r w:rsidR="004A676D">
        <w:t xml:space="preserve"> mg</w:t>
      </w:r>
      <w:r w:rsidRPr="007D66D9">
        <w:t xml:space="preserve"> </w:t>
      </w:r>
      <w:r w:rsidR="004A676D">
        <w:t>equivalent</w:t>
      </w:r>
      <w:r w:rsidR="00AA267C">
        <w:t xml:space="preserve"> gluteal group; suicide attempt (1 subject).</w:t>
      </w:r>
    </w:p>
    <w:p w14:paraId="694B315E" w14:textId="77777777" w:rsidR="007D66D9" w:rsidRPr="007D66D9" w:rsidRDefault="007D66D9" w:rsidP="00662127">
      <w:pPr>
        <w:pStyle w:val="Heading6"/>
      </w:pPr>
      <w:r w:rsidRPr="007D66D9">
        <w:t>Panel D</w:t>
      </w:r>
    </w:p>
    <w:p w14:paraId="04B1C48F" w14:textId="77777777" w:rsidR="007D66D9" w:rsidRPr="007D66D9" w:rsidRDefault="00AA267C" w:rsidP="007D66D9">
      <w:r>
        <w:t>Period 2:</w:t>
      </w:r>
    </w:p>
    <w:p w14:paraId="32CE5A85" w14:textId="77777777" w:rsidR="007D66D9" w:rsidRPr="007D66D9" w:rsidRDefault="007D66D9" w:rsidP="00AA267C">
      <w:pPr>
        <w:pStyle w:val="ListBullet"/>
      </w:pPr>
      <w:r w:rsidRPr="007D66D9">
        <w:t xml:space="preserve">In the </w:t>
      </w:r>
      <w:r w:rsidR="0058163A">
        <w:t>175</w:t>
      </w:r>
      <w:r w:rsidR="004A676D">
        <w:t xml:space="preserve"> mg</w:t>
      </w:r>
      <w:r w:rsidRPr="007D66D9">
        <w:t xml:space="preserve"> </w:t>
      </w:r>
      <w:r w:rsidR="004A676D">
        <w:t>equivalent</w:t>
      </w:r>
      <w:r w:rsidR="00AA267C">
        <w:t xml:space="preserve"> deltoid group; </w:t>
      </w:r>
      <w:r w:rsidRPr="007D66D9">
        <w:t>diarrhoea and depression (each reported in 1 subject).</w:t>
      </w:r>
    </w:p>
    <w:p w14:paraId="31737F7A" w14:textId="77777777" w:rsidR="007D66D9" w:rsidRPr="007D66D9" w:rsidRDefault="007D66D9" w:rsidP="00AA267C">
      <w:pPr>
        <w:pStyle w:val="ListBullet"/>
      </w:pPr>
      <w:r w:rsidRPr="007D66D9">
        <w:t xml:space="preserve">In the </w:t>
      </w:r>
      <w:r w:rsidR="0058163A">
        <w:t>350</w:t>
      </w:r>
      <w:r w:rsidR="004A676D">
        <w:t xml:space="preserve"> mg</w:t>
      </w:r>
      <w:r w:rsidRPr="007D66D9">
        <w:t xml:space="preserve"> </w:t>
      </w:r>
      <w:r w:rsidR="004A676D">
        <w:t>equivalent</w:t>
      </w:r>
      <w:r w:rsidR="00AA267C">
        <w:t xml:space="preserve"> gluteal group;</w:t>
      </w:r>
      <w:r w:rsidRPr="007D66D9">
        <w:t xml:space="preserve"> gastric ulcer haemorrhage, acute psychosis and schizophrenia (each reported in 1 subject).</w:t>
      </w:r>
    </w:p>
    <w:p w14:paraId="36EE3906" w14:textId="77777777" w:rsidR="004A676D" w:rsidRDefault="007D66D9" w:rsidP="00AA267C">
      <w:pPr>
        <w:pStyle w:val="ListBullet"/>
      </w:pPr>
      <w:r w:rsidRPr="007D66D9">
        <w:t xml:space="preserve">In the </w:t>
      </w:r>
      <w:r w:rsidR="0058163A">
        <w:t>525</w:t>
      </w:r>
      <w:r w:rsidR="004A676D">
        <w:t xml:space="preserve"> mg</w:t>
      </w:r>
      <w:r w:rsidRPr="007D66D9">
        <w:t xml:space="preserve"> </w:t>
      </w:r>
      <w:r w:rsidR="004A676D">
        <w:t>equivalent</w:t>
      </w:r>
      <w:r w:rsidRPr="007D66D9">
        <w:t xml:space="preserve"> glu</w:t>
      </w:r>
      <w:r w:rsidR="00AA267C">
        <w:t>teal group;</w:t>
      </w:r>
      <w:r w:rsidRPr="007D66D9">
        <w:t xml:space="preserve"> psychotic disorder (reported in 1 subject)</w:t>
      </w:r>
      <w:r w:rsidR="004A676D">
        <w:t>.</w:t>
      </w:r>
    </w:p>
    <w:p w14:paraId="6C0E5C84" w14:textId="77777777" w:rsidR="007D66D9" w:rsidRPr="0088025C" w:rsidRDefault="007D66D9" w:rsidP="007D66D9">
      <w:pPr>
        <w:pStyle w:val="Heading5"/>
      </w:pPr>
      <w:bookmarkStart w:id="258" w:name="_Toc453054915"/>
      <w:r w:rsidRPr="0088025C">
        <w:t xml:space="preserve">Laboratory </w:t>
      </w:r>
      <w:r w:rsidR="00AA267C">
        <w:t>e</w:t>
      </w:r>
      <w:r w:rsidRPr="0088025C">
        <w:t>valuation</w:t>
      </w:r>
      <w:bookmarkEnd w:id="258"/>
    </w:p>
    <w:p w14:paraId="7E001CC6" w14:textId="77777777" w:rsidR="007D66D9" w:rsidRPr="007D66D9" w:rsidRDefault="007D66D9" w:rsidP="00AA267C">
      <w:r w:rsidRPr="007D66D9">
        <w:t>Overall, there were no clinically relevant cha</w:t>
      </w:r>
      <w:r w:rsidR="003673F6">
        <w:t>ng</w:t>
      </w:r>
      <w:r w:rsidRPr="007D66D9">
        <w:t xml:space="preserve">es in any of the haematology, chemistry, and urinalysis parameters evaluated in </w:t>
      </w:r>
      <w:r w:rsidRPr="00AA267C">
        <w:t>Panels A, B, C, and D.</w:t>
      </w:r>
    </w:p>
    <w:p w14:paraId="655CDCA0" w14:textId="77777777" w:rsidR="007D66D9" w:rsidRPr="007D66D9" w:rsidRDefault="007D66D9" w:rsidP="00AA267C">
      <w:r w:rsidRPr="007D66D9">
        <w:t xml:space="preserve">Mean increases in </w:t>
      </w:r>
      <w:proofErr w:type="spellStart"/>
      <w:r w:rsidRPr="007D66D9">
        <w:t>creatine</w:t>
      </w:r>
      <w:proofErr w:type="spellEnd"/>
      <w:r w:rsidRPr="007D66D9">
        <w:t xml:space="preserve"> kinase levels were seen in most groups but </w:t>
      </w:r>
      <w:r w:rsidRPr="007D66D9">
        <w:rPr>
          <w:rFonts w:cs="Arial"/>
        </w:rPr>
        <w:t>not considered clinically meani</w:t>
      </w:r>
      <w:r w:rsidR="003673F6">
        <w:rPr>
          <w:rFonts w:cs="Arial"/>
        </w:rPr>
        <w:t>ng</w:t>
      </w:r>
      <w:r w:rsidRPr="007D66D9">
        <w:rPr>
          <w:rFonts w:cs="Arial"/>
        </w:rPr>
        <w:t>ful</w:t>
      </w:r>
      <w:r w:rsidRPr="007D66D9">
        <w:t>.</w:t>
      </w:r>
    </w:p>
    <w:p w14:paraId="3688DA57" w14:textId="77777777" w:rsidR="007D66D9" w:rsidRPr="007D66D9" w:rsidRDefault="007D66D9" w:rsidP="00AA267C">
      <w:r w:rsidRPr="007D66D9">
        <w:t>One subject in the 300</w:t>
      </w:r>
      <w:r w:rsidR="004A676D">
        <w:t xml:space="preserve"> mg</w:t>
      </w:r>
      <w:r w:rsidRPr="007D66D9">
        <w:t xml:space="preserve"> </w:t>
      </w:r>
      <w:r w:rsidR="004A676D">
        <w:t>equivalent</w:t>
      </w:r>
      <w:r w:rsidRPr="007D66D9">
        <w:t xml:space="preserve"> F015 wet paliperidone palmitate in the deltoid region treatment group reported a </w:t>
      </w:r>
      <w:r w:rsidR="00AA267C">
        <w:t>treatment emergent</w:t>
      </w:r>
      <w:r w:rsidRPr="007D66D9">
        <w:t xml:space="preserve"> SAE of hyponatremia of mild severity, which was considered by the investigator to be not related to the </w:t>
      </w:r>
      <w:r w:rsidRPr="00AA267C">
        <w:t>study agent.</w:t>
      </w:r>
    </w:p>
    <w:p w14:paraId="3B2D0AE1" w14:textId="77777777" w:rsidR="007D66D9" w:rsidRPr="009A4555" w:rsidRDefault="00AA267C" w:rsidP="007D66D9">
      <w:pPr>
        <w:pStyle w:val="Heading5"/>
      </w:pPr>
      <w:bookmarkStart w:id="259" w:name="_Toc453054916"/>
      <w:r>
        <w:t>Orthostatic h</w:t>
      </w:r>
      <w:r w:rsidR="007D66D9" w:rsidRPr="009A4555">
        <w:t>ypotension</w:t>
      </w:r>
      <w:bookmarkEnd w:id="259"/>
    </w:p>
    <w:p w14:paraId="4A073A52" w14:textId="77777777" w:rsidR="007D66D9" w:rsidRPr="007D66D9" w:rsidRDefault="007D66D9" w:rsidP="00AA267C">
      <w:r w:rsidRPr="007D66D9">
        <w:t>At some point duri</w:t>
      </w:r>
      <w:r w:rsidR="003673F6">
        <w:t>ng</w:t>
      </w:r>
      <w:r w:rsidRPr="007D66D9">
        <w:t xml:space="preserve"> the study the followi</w:t>
      </w:r>
      <w:r w:rsidR="003673F6">
        <w:t>ng</w:t>
      </w:r>
      <w:r w:rsidRPr="007D66D9">
        <w:t xml:space="preserve"> had had </w:t>
      </w:r>
      <w:r w:rsidR="00AA267C">
        <w:t>treatment emergent</w:t>
      </w:r>
      <w:r w:rsidRPr="007D66D9">
        <w:t xml:space="preserve"> orthostatic hypotension:</w:t>
      </w:r>
    </w:p>
    <w:p w14:paraId="12553ACD" w14:textId="77777777" w:rsidR="007D66D9" w:rsidRPr="007D66D9" w:rsidRDefault="007D66D9" w:rsidP="007D66D9">
      <w:r w:rsidRPr="007D66D9">
        <w:t>Panel A</w:t>
      </w:r>
    </w:p>
    <w:p w14:paraId="6ABD8A3C" w14:textId="1F325A02" w:rsidR="004A676D" w:rsidRDefault="007D66D9" w:rsidP="00AA267C">
      <w:pPr>
        <w:pStyle w:val="ListBullet"/>
      </w:pPr>
      <w:r w:rsidRPr="007D66D9">
        <w:t>4 subjects in the 300</w:t>
      </w:r>
      <w:r w:rsidR="004A676D">
        <w:t xml:space="preserve"> mg</w:t>
      </w:r>
      <w:r w:rsidRPr="007D66D9">
        <w:t xml:space="preserve"> </w:t>
      </w:r>
      <w:r w:rsidR="004A676D">
        <w:t>equivalent</w:t>
      </w:r>
      <w:r w:rsidRPr="007D66D9">
        <w:t xml:space="preserve"> luteal group</w:t>
      </w:r>
      <w:r w:rsidR="004A676D">
        <w:t>.</w:t>
      </w:r>
    </w:p>
    <w:p w14:paraId="046D0FBE" w14:textId="37F8D949" w:rsidR="007D66D9" w:rsidRPr="007D66D9" w:rsidRDefault="007D66D9" w:rsidP="00AA267C">
      <w:pPr>
        <w:pStyle w:val="ListBullet"/>
      </w:pPr>
      <w:r w:rsidRPr="007D66D9">
        <w:t>2 subjects in the 300</w:t>
      </w:r>
      <w:r w:rsidR="004A676D">
        <w:t xml:space="preserve"> mg</w:t>
      </w:r>
      <w:r w:rsidRPr="007D66D9">
        <w:t xml:space="preserve"> </w:t>
      </w:r>
      <w:r w:rsidR="004A676D" w:rsidRPr="00387A5A">
        <w:t>equivalent</w:t>
      </w:r>
      <w:r w:rsidRPr="00387A5A">
        <w:t xml:space="preserve"> </w:t>
      </w:r>
      <w:r w:rsidR="00387A5A" w:rsidRPr="00B06D8A">
        <w:t>g</w:t>
      </w:r>
      <w:r w:rsidRPr="00387A5A">
        <w:t>luteal</w:t>
      </w:r>
      <w:r w:rsidRPr="007D66D9">
        <w:t xml:space="preserve"> group.</w:t>
      </w:r>
    </w:p>
    <w:p w14:paraId="6701ADBC" w14:textId="77777777" w:rsidR="007D66D9" w:rsidRPr="007D66D9" w:rsidRDefault="007D66D9" w:rsidP="007D66D9">
      <w:r w:rsidRPr="007D66D9">
        <w:t>Panel B</w:t>
      </w:r>
    </w:p>
    <w:p w14:paraId="4672EA9A" w14:textId="77777777" w:rsidR="007D66D9" w:rsidRPr="007D66D9" w:rsidRDefault="007D66D9" w:rsidP="00AA267C">
      <w:pPr>
        <w:pStyle w:val="ListBullet"/>
      </w:pPr>
      <w:r w:rsidRPr="007D66D9">
        <w:t>4 subjects in the 75</w:t>
      </w:r>
      <w:r w:rsidR="004A676D">
        <w:t xml:space="preserve"> mg</w:t>
      </w:r>
      <w:r w:rsidRPr="007D66D9">
        <w:t xml:space="preserve"> </w:t>
      </w:r>
      <w:r w:rsidR="004A676D">
        <w:t>equivalent</w:t>
      </w:r>
      <w:r w:rsidRPr="007D66D9">
        <w:t xml:space="preserve"> gluteal group.</w:t>
      </w:r>
    </w:p>
    <w:p w14:paraId="419EDF9A" w14:textId="77777777" w:rsidR="007D66D9" w:rsidRPr="007D66D9" w:rsidRDefault="007D66D9" w:rsidP="00AA267C">
      <w:pPr>
        <w:pStyle w:val="ListBullet"/>
      </w:pPr>
      <w:r w:rsidRPr="007D66D9">
        <w:lastRenderedPageBreak/>
        <w:t>5 subjects in the 150</w:t>
      </w:r>
      <w:r w:rsidR="004A676D">
        <w:t xml:space="preserve"> mg</w:t>
      </w:r>
      <w:r w:rsidRPr="007D66D9">
        <w:t xml:space="preserve"> </w:t>
      </w:r>
      <w:r w:rsidR="004A676D">
        <w:t>equivalent</w:t>
      </w:r>
      <w:r w:rsidRPr="007D66D9">
        <w:t xml:space="preserve"> gluteal group.</w:t>
      </w:r>
    </w:p>
    <w:p w14:paraId="06F4DFA1" w14:textId="77777777" w:rsidR="007D66D9" w:rsidRPr="007D66D9" w:rsidRDefault="007D66D9" w:rsidP="00AA267C">
      <w:pPr>
        <w:pStyle w:val="ListBullet"/>
      </w:pPr>
      <w:r w:rsidRPr="007D66D9">
        <w:t>1 subject in the 300</w:t>
      </w:r>
      <w:r w:rsidR="004A676D">
        <w:t xml:space="preserve"> mg</w:t>
      </w:r>
      <w:r w:rsidRPr="007D66D9">
        <w:t xml:space="preserve"> </w:t>
      </w:r>
      <w:r w:rsidR="004A676D">
        <w:t>equivalent</w:t>
      </w:r>
      <w:r w:rsidRPr="007D66D9">
        <w:t xml:space="preserve"> deltoid group.</w:t>
      </w:r>
    </w:p>
    <w:p w14:paraId="7B33DE4E" w14:textId="77777777" w:rsidR="007D66D9" w:rsidRPr="007D66D9" w:rsidRDefault="007D66D9" w:rsidP="00AA267C">
      <w:pPr>
        <w:pStyle w:val="ListBullet"/>
      </w:pPr>
      <w:r w:rsidRPr="007D66D9">
        <w:t>3 subjects in the 450</w:t>
      </w:r>
      <w:r w:rsidR="004A676D">
        <w:t xml:space="preserve"> mg</w:t>
      </w:r>
      <w:r w:rsidRPr="007D66D9">
        <w:t xml:space="preserve"> </w:t>
      </w:r>
      <w:r w:rsidR="004A676D">
        <w:t>equivalent</w:t>
      </w:r>
      <w:r w:rsidRPr="007D66D9">
        <w:t xml:space="preserve"> gluteal group.</w:t>
      </w:r>
    </w:p>
    <w:p w14:paraId="0FE446BB" w14:textId="77777777" w:rsidR="004A676D" w:rsidRDefault="007D66D9" w:rsidP="00AA267C">
      <w:pPr>
        <w:pStyle w:val="ListBullet"/>
      </w:pPr>
      <w:r w:rsidRPr="007D66D9">
        <w:t>4 subjects in the 450</w:t>
      </w:r>
      <w:r w:rsidR="004A676D">
        <w:t xml:space="preserve"> mg</w:t>
      </w:r>
      <w:r w:rsidRPr="007D66D9">
        <w:t xml:space="preserve"> </w:t>
      </w:r>
      <w:r w:rsidR="004A676D">
        <w:t>equivalent</w:t>
      </w:r>
      <w:r w:rsidRPr="007D66D9">
        <w:t xml:space="preserve"> deltoid group</w:t>
      </w:r>
      <w:r w:rsidR="004A676D">
        <w:t>.</w:t>
      </w:r>
    </w:p>
    <w:p w14:paraId="437A3918" w14:textId="77777777" w:rsidR="007D66D9" w:rsidRPr="007D66D9" w:rsidRDefault="007D66D9" w:rsidP="007D66D9">
      <w:r w:rsidRPr="007D66D9">
        <w:t>Panel C</w:t>
      </w:r>
    </w:p>
    <w:p w14:paraId="42ED1A4C" w14:textId="77777777" w:rsidR="004A676D" w:rsidRDefault="007D66D9" w:rsidP="00AA267C">
      <w:pPr>
        <w:pStyle w:val="ListBullet"/>
      </w:pPr>
      <w:r w:rsidRPr="007D66D9">
        <w:t>8 subjects in the 150</w:t>
      </w:r>
      <w:r w:rsidR="004A676D">
        <w:t xml:space="preserve"> mg</w:t>
      </w:r>
      <w:r w:rsidRPr="007D66D9">
        <w:t xml:space="preserve"> </w:t>
      </w:r>
      <w:r w:rsidR="004A676D">
        <w:t>equivalent</w:t>
      </w:r>
      <w:r w:rsidRPr="007D66D9">
        <w:t xml:space="preserve"> gluteal group</w:t>
      </w:r>
      <w:r w:rsidR="004A676D">
        <w:t>.</w:t>
      </w:r>
    </w:p>
    <w:p w14:paraId="1D16A184" w14:textId="77777777" w:rsidR="007D66D9" w:rsidRPr="007D66D9" w:rsidRDefault="007D66D9" w:rsidP="007D66D9">
      <w:r w:rsidRPr="007D66D9">
        <w:t>Panel D</w:t>
      </w:r>
    </w:p>
    <w:p w14:paraId="083EF882" w14:textId="77777777" w:rsidR="007D66D9" w:rsidRPr="007D66D9" w:rsidRDefault="007D66D9" w:rsidP="00AA267C">
      <w:pPr>
        <w:pStyle w:val="ListBullet"/>
      </w:pPr>
      <w:r w:rsidRPr="007D66D9">
        <w:t xml:space="preserve">1 subject in the </w:t>
      </w:r>
      <w:r w:rsidR="0058163A">
        <w:t>175</w:t>
      </w:r>
      <w:r w:rsidR="004A676D">
        <w:t xml:space="preserve"> mg</w:t>
      </w:r>
      <w:r w:rsidRPr="007D66D9">
        <w:t xml:space="preserve"> </w:t>
      </w:r>
      <w:r w:rsidR="004A676D">
        <w:t>equivalent</w:t>
      </w:r>
      <w:r w:rsidRPr="007D66D9">
        <w:t xml:space="preserve"> deltoid group.</w:t>
      </w:r>
    </w:p>
    <w:p w14:paraId="72D04580" w14:textId="77777777" w:rsidR="007D66D9" w:rsidRPr="007D66D9" w:rsidRDefault="007D66D9" w:rsidP="00AA267C">
      <w:pPr>
        <w:pStyle w:val="ListBullet"/>
      </w:pPr>
      <w:r w:rsidRPr="007D66D9">
        <w:t xml:space="preserve">3 subjects in the </w:t>
      </w:r>
      <w:r w:rsidR="0058163A">
        <w:t>350</w:t>
      </w:r>
      <w:r w:rsidR="004A676D">
        <w:t xml:space="preserve"> mg</w:t>
      </w:r>
      <w:r w:rsidRPr="007D66D9">
        <w:t xml:space="preserve"> </w:t>
      </w:r>
      <w:r w:rsidR="004A676D">
        <w:t>equivalent</w:t>
      </w:r>
      <w:r w:rsidRPr="007D66D9">
        <w:t xml:space="preserve"> gluteal group.</w:t>
      </w:r>
    </w:p>
    <w:p w14:paraId="3B073B22" w14:textId="77777777" w:rsidR="007D66D9" w:rsidRPr="007D66D9" w:rsidRDefault="007D66D9" w:rsidP="00AA267C">
      <w:pPr>
        <w:pStyle w:val="ListBullet"/>
      </w:pPr>
      <w:r w:rsidRPr="007D66D9">
        <w:t xml:space="preserve">3 subjects in the </w:t>
      </w:r>
      <w:r w:rsidR="0058163A">
        <w:t>525</w:t>
      </w:r>
      <w:r w:rsidR="004A676D">
        <w:t xml:space="preserve"> mg</w:t>
      </w:r>
      <w:r w:rsidRPr="007D66D9">
        <w:t xml:space="preserve"> </w:t>
      </w:r>
      <w:r w:rsidR="004A676D">
        <w:t>equivalent</w:t>
      </w:r>
      <w:r w:rsidRPr="007D66D9">
        <w:t xml:space="preserve"> gluteal group.</w:t>
      </w:r>
    </w:p>
    <w:p w14:paraId="1F74561A" w14:textId="77777777" w:rsidR="007D66D9" w:rsidRPr="007D66D9" w:rsidRDefault="007D66D9" w:rsidP="00AA267C">
      <w:pPr>
        <w:pStyle w:val="ListBullet"/>
      </w:pPr>
      <w:r w:rsidRPr="007D66D9">
        <w:t xml:space="preserve">4 subjects in the </w:t>
      </w:r>
      <w:r w:rsidR="0058163A">
        <w:t>525</w:t>
      </w:r>
      <w:r w:rsidR="004A676D">
        <w:t xml:space="preserve"> mg</w:t>
      </w:r>
      <w:r w:rsidRPr="007D66D9">
        <w:t xml:space="preserve"> </w:t>
      </w:r>
      <w:r w:rsidR="004A676D">
        <w:t>equivalent</w:t>
      </w:r>
      <w:r w:rsidRPr="007D66D9">
        <w:t xml:space="preserve"> deltoid group.</w:t>
      </w:r>
    </w:p>
    <w:p w14:paraId="4D17F99D" w14:textId="77777777" w:rsidR="007D66D9" w:rsidRPr="009A4555" w:rsidRDefault="007D66D9" w:rsidP="007D66D9">
      <w:pPr>
        <w:pStyle w:val="Heading5"/>
      </w:pPr>
      <w:bookmarkStart w:id="260" w:name="_Toc453054917"/>
      <w:r w:rsidRPr="009A4555">
        <w:t>Electrocardiograms</w:t>
      </w:r>
      <w:bookmarkEnd w:id="260"/>
    </w:p>
    <w:p w14:paraId="2BCFD188" w14:textId="77777777" w:rsidR="007D66D9" w:rsidRPr="007D66D9" w:rsidRDefault="007D66D9" w:rsidP="00662127">
      <w:pPr>
        <w:pStyle w:val="Heading6"/>
      </w:pPr>
      <w:r w:rsidRPr="007D66D9">
        <w:t>Panel A</w:t>
      </w:r>
    </w:p>
    <w:p w14:paraId="5EA60B8C" w14:textId="77777777" w:rsidR="007D66D9" w:rsidRPr="007D66D9" w:rsidRDefault="007D66D9" w:rsidP="00AA267C">
      <w:pPr>
        <w:pStyle w:val="ListBullet"/>
      </w:pPr>
      <w:r w:rsidRPr="007D66D9">
        <w:t>Duri</w:t>
      </w:r>
      <w:r w:rsidR="003673F6">
        <w:t>ng</w:t>
      </w:r>
      <w:r w:rsidRPr="007D66D9">
        <w:t xml:space="preserve"> Period 2, 2 subjects in the 300</w:t>
      </w:r>
      <w:r w:rsidR="004A676D">
        <w:t xml:space="preserve"> mg</w:t>
      </w:r>
      <w:r w:rsidRPr="007D66D9">
        <w:t xml:space="preserve"> </w:t>
      </w:r>
      <w:r w:rsidR="004A676D">
        <w:t>equivalent</w:t>
      </w:r>
      <w:r w:rsidRPr="007D66D9">
        <w:t xml:space="preserve"> wet gluteal group had a cha</w:t>
      </w:r>
      <w:r w:rsidR="003673F6">
        <w:t>ng</w:t>
      </w:r>
      <w:r w:rsidRPr="007D66D9">
        <w:t xml:space="preserve">e from baseline in QTcB interval of &gt; 60 </w:t>
      </w:r>
      <w:proofErr w:type="spellStart"/>
      <w:r w:rsidRPr="007D66D9">
        <w:t>msec</w:t>
      </w:r>
      <w:proofErr w:type="spellEnd"/>
      <w:r w:rsidRPr="007D66D9">
        <w:t xml:space="preserve"> at the end of study visit.</w:t>
      </w:r>
    </w:p>
    <w:p w14:paraId="2315DC18" w14:textId="77777777" w:rsidR="007D66D9" w:rsidRPr="007D66D9" w:rsidRDefault="007D66D9" w:rsidP="00662127">
      <w:pPr>
        <w:pStyle w:val="Heading6"/>
      </w:pPr>
      <w:r w:rsidRPr="007D66D9">
        <w:t>Panel B</w:t>
      </w:r>
    </w:p>
    <w:p w14:paraId="18A93D38" w14:textId="77777777" w:rsidR="007D66D9" w:rsidRPr="007D66D9" w:rsidRDefault="007D66D9" w:rsidP="00AA267C">
      <w:r w:rsidRPr="007D66D9">
        <w:t>At one or more post baseline assessments duri</w:t>
      </w:r>
      <w:r w:rsidR="003673F6">
        <w:t>ng</w:t>
      </w:r>
      <w:r w:rsidRPr="007D66D9">
        <w:t xml:space="preserve"> Period 2:</w:t>
      </w:r>
    </w:p>
    <w:p w14:paraId="2F9E3F2C" w14:textId="77777777" w:rsidR="004A676D" w:rsidRDefault="007D66D9" w:rsidP="00AA267C">
      <w:pPr>
        <w:pStyle w:val="ListBullet"/>
      </w:pPr>
      <w:r w:rsidRPr="007D66D9">
        <w:t>3 subjects in the 300</w:t>
      </w:r>
      <w:r w:rsidR="004A676D">
        <w:t xml:space="preserve"> mg</w:t>
      </w:r>
      <w:r w:rsidRPr="007D66D9">
        <w:t xml:space="preserve"> </w:t>
      </w:r>
      <w:r w:rsidR="004A676D">
        <w:t>equivalent</w:t>
      </w:r>
      <w:r w:rsidRPr="007D66D9">
        <w:t xml:space="preserve"> deltoid group had a QTcB of &gt; 480 </w:t>
      </w:r>
      <w:proofErr w:type="spellStart"/>
      <w:r w:rsidRPr="007D66D9">
        <w:t>msec</w:t>
      </w:r>
      <w:proofErr w:type="spellEnd"/>
      <w:r w:rsidRPr="007D66D9">
        <w:t xml:space="preserve"> of which 1 subject had a QTcB and </w:t>
      </w:r>
      <w:proofErr w:type="spellStart"/>
      <w:r w:rsidRPr="007D66D9">
        <w:t>QTcF</w:t>
      </w:r>
      <w:proofErr w:type="spellEnd"/>
      <w:r w:rsidRPr="007D66D9">
        <w:t xml:space="preserve"> &gt; 500 </w:t>
      </w:r>
      <w:proofErr w:type="spellStart"/>
      <w:r w:rsidRPr="007D66D9">
        <w:t>msec</w:t>
      </w:r>
      <w:proofErr w:type="spellEnd"/>
      <w:r w:rsidRPr="007D66D9">
        <w:t xml:space="preserve"> (occurri</w:t>
      </w:r>
      <w:r w:rsidR="003673F6">
        <w:t>ng</w:t>
      </w:r>
      <w:r w:rsidRPr="007D66D9">
        <w:t xml:space="preserve"> at Day 140 and below 450 </w:t>
      </w:r>
      <w:proofErr w:type="spellStart"/>
      <w:r w:rsidRPr="007D66D9">
        <w:t>msec</w:t>
      </w:r>
      <w:proofErr w:type="spellEnd"/>
      <w:r w:rsidRPr="007D66D9">
        <w:t xml:space="preserve"> at the next assessment on Day 224)</w:t>
      </w:r>
      <w:r w:rsidR="004A676D">
        <w:t>.</w:t>
      </w:r>
    </w:p>
    <w:p w14:paraId="64EA4CCE" w14:textId="77777777" w:rsidR="007D66D9" w:rsidRPr="007D66D9" w:rsidRDefault="007D66D9" w:rsidP="00AA267C">
      <w:pPr>
        <w:pStyle w:val="ListBullet"/>
      </w:pPr>
      <w:r w:rsidRPr="007D66D9">
        <w:t>2 subjects in the 450</w:t>
      </w:r>
      <w:r w:rsidR="004A676D">
        <w:t xml:space="preserve"> mg</w:t>
      </w:r>
      <w:r w:rsidRPr="007D66D9">
        <w:t xml:space="preserve"> </w:t>
      </w:r>
      <w:r w:rsidR="004A676D">
        <w:t>equivalent</w:t>
      </w:r>
      <w:r w:rsidRPr="007D66D9">
        <w:t xml:space="preserve"> deltoid group (both on Day 140) had a QTcB &gt; 480</w:t>
      </w:r>
      <w:r w:rsidR="00AA267C">
        <w:t xml:space="preserve"> </w:t>
      </w:r>
      <w:proofErr w:type="spellStart"/>
      <w:r w:rsidRPr="007D66D9">
        <w:t>msec</w:t>
      </w:r>
      <w:proofErr w:type="spellEnd"/>
      <w:r w:rsidRPr="007D66D9">
        <w:t xml:space="preserve"> and &lt; 500</w:t>
      </w:r>
      <w:r w:rsidR="00AA267C">
        <w:t xml:space="preserve"> </w:t>
      </w:r>
      <w:proofErr w:type="spellStart"/>
      <w:r w:rsidRPr="007D66D9">
        <w:t>msec</w:t>
      </w:r>
      <w:proofErr w:type="spellEnd"/>
      <w:r w:rsidRPr="007D66D9">
        <w:t xml:space="preserve"> 1 subject in the 75</w:t>
      </w:r>
      <w:r w:rsidR="004A676D">
        <w:t xml:space="preserve"> mg</w:t>
      </w:r>
      <w:r w:rsidRPr="007D66D9">
        <w:t xml:space="preserve"> </w:t>
      </w:r>
      <w:r w:rsidR="004A676D">
        <w:t>equivalent</w:t>
      </w:r>
      <w:r w:rsidRPr="007D66D9">
        <w:t xml:space="preserve"> gluteal g</w:t>
      </w:r>
      <w:r w:rsidR="00AA267C">
        <w:t xml:space="preserve">roup had a QTcB &gt; 480 </w:t>
      </w:r>
      <w:proofErr w:type="spellStart"/>
      <w:r w:rsidR="00AA267C">
        <w:t>msec</w:t>
      </w:r>
      <w:proofErr w:type="spellEnd"/>
      <w:r w:rsidR="00AA267C">
        <w:t xml:space="preserve"> and &lt; </w:t>
      </w:r>
      <w:r w:rsidRPr="007D66D9">
        <w:t>500</w:t>
      </w:r>
      <w:r w:rsidR="00AA267C">
        <w:t xml:space="preserve"> </w:t>
      </w:r>
      <w:proofErr w:type="spellStart"/>
      <w:r w:rsidRPr="007D66D9">
        <w:t>msec</w:t>
      </w:r>
      <w:proofErr w:type="spellEnd"/>
      <w:r w:rsidRPr="007D66D9">
        <w:t xml:space="preserve"> (on Day 56 and Day 140).</w:t>
      </w:r>
    </w:p>
    <w:p w14:paraId="0B91622A" w14:textId="77777777" w:rsidR="004A676D" w:rsidRDefault="007D66D9" w:rsidP="00AA267C">
      <w:pPr>
        <w:pStyle w:val="ListBullet"/>
      </w:pPr>
      <w:r w:rsidRPr="007D66D9">
        <w:t>One subject in the 300</w:t>
      </w:r>
      <w:r w:rsidR="004A676D">
        <w:t xml:space="preserve"> mg</w:t>
      </w:r>
      <w:r w:rsidRPr="007D66D9">
        <w:t xml:space="preserve"> </w:t>
      </w:r>
      <w:r w:rsidR="004A676D">
        <w:t>equivalent</w:t>
      </w:r>
      <w:r w:rsidRPr="007D66D9">
        <w:t xml:space="preserve"> deltoid group had a cha</w:t>
      </w:r>
      <w:r w:rsidR="003673F6">
        <w:t>ng</w:t>
      </w:r>
      <w:r w:rsidRPr="007D66D9">
        <w:t xml:space="preserve">e in QTcB &gt; 60 </w:t>
      </w:r>
      <w:proofErr w:type="spellStart"/>
      <w:r w:rsidRPr="007D66D9">
        <w:t>msec</w:t>
      </w:r>
      <w:proofErr w:type="spellEnd"/>
      <w:r w:rsidRPr="007D66D9">
        <w:t xml:space="preserve"> from baseline (on Day 140)</w:t>
      </w:r>
      <w:r w:rsidR="004A676D">
        <w:t>.</w:t>
      </w:r>
    </w:p>
    <w:p w14:paraId="636FAB3D" w14:textId="77777777" w:rsidR="007D66D9" w:rsidRPr="007D66D9" w:rsidRDefault="007D66D9" w:rsidP="00662127">
      <w:pPr>
        <w:pStyle w:val="Heading6"/>
      </w:pPr>
      <w:r w:rsidRPr="007D66D9">
        <w:t>Panel C</w:t>
      </w:r>
    </w:p>
    <w:p w14:paraId="4E093606" w14:textId="77777777" w:rsidR="007D66D9" w:rsidRPr="007D66D9" w:rsidRDefault="007D66D9" w:rsidP="00AA267C">
      <w:pPr>
        <w:pStyle w:val="ListBullet"/>
      </w:pPr>
      <w:r w:rsidRPr="007D66D9">
        <w:t xml:space="preserve">One subject had QTcB value &gt; 480 </w:t>
      </w:r>
      <w:proofErr w:type="spellStart"/>
      <w:r w:rsidRPr="007D66D9">
        <w:t>msec</w:t>
      </w:r>
      <w:proofErr w:type="spellEnd"/>
      <w:r w:rsidRPr="007D66D9">
        <w:t xml:space="preserve"> and &lt; 500 </w:t>
      </w:r>
      <w:proofErr w:type="spellStart"/>
      <w:r w:rsidRPr="007D66D9">
        <w:t>msec</w:t>
      </w:r>
      <w:proofErr w:type="spellEnd"/>
      <w:r w:rsidRPr="007D66D9">
        <w:t xml:space="preserve"> at Day 308 and Day 364 (EOS visit) duri</w:t>
      </w:r>
      <w:r w:rsidR="003673F6">
        <w:t>ng</w:t>
      </w:r>
      <w:r w:rsidRPr="007D66D9">
        <w:t xml:space="preserve"> Period 2.</w:t>
      </w:r>
    </w:p>
    <w:p w14:paraId="526A6F7A" w14:textId="77777777" w:rsidR="00662127" w:rsidRDefault="00AA267C" w:rsidP="00662127">
      <w:pPr>
        <w:pStyle w:val="Heading6"/>
      </w:pPr>
      <w:r>
        <w:t>Panel D</w:t>
      </w:r>
    </w:p>
    <w:p w14:paraId="5843795B" w14:textId="77777777" w:rsidR="007D66D9" w:rsidRPr="007D66D9" w:rsidRDefault="007D66D9" w:rsidP="00AA267C">
      <w:r w:rsidRPr="007D66D9">
        <w:t>Duri</w:t>
      </w:r>
      <w:r w:rsidR="003673F6">
        <w:t>ng</w:t>
      </w:r>
      <w:r w:rsidR="00AA267C">
        <w:t xml:space="preserve"> Period 2</w:t>
      </w:r>
    </w:p>
    <w:p w14:paraId="2F937053" w14:textId="77777777" w:rsidR="007D66D9" w:rsidRPr="007D66D9" w:rsidRDefault="007D66D9" w:rsidP="00AA267C">
      <w:pPr>
        <w:pStyle w:val="ListBullet"/>
      </w:pPr>
      <w:r w:rsidRPr="007D66D9">
        <w:t xml:space="preserve">1 subject in the </w:t>
      </w:r>
      <w:r w:rsidR="0058163A">
        <w:t>525</w:t>
      </w:r>
      <w:r w:rsidR="004A676D">
        <w:t xml:space="preserve"> mg</w:t>
      </w:r>
      <w:r w:rsidRPr="007D66D9">
        <w:t xml:space="preserve"> </w:t>
      </w:r>
      <w:r w:rsidR="004A676D">
        <w:t>equivalent</w:t>
      </w:r>
      <w:r w:rsidRPr="007D66D9">
        <w:t xml:space="preserve"> gluteal group had a QTcB &gt; 500 </w:t>
      </w:r>
      <w:proofErr w:type="spellStart"/>
      <w:r w:rsidRPr="007D66D9">
        <w:t>msec</w:t>
      </w:r>
      <w:proofErr w:type="spellEnd"/>
      <w:r w:rsidRPr="007D66D9">
        <w:t xml:space="preserve"> and a </w:t>
      </w:r>
      <w:proofErr w:type="spellStart"/>
      <w:r w:rsidRPr="007D66D9">
        <w:t>QTcF</w:t>
      </w:r>
      <w:proofErr w:type="spellEnd"/>
      <w:r w:rsidRPr="007D66D9">
        <w:t xml:space="preserve"> &gt; 480 </w:t>
      </w:r>
      <w:proofErr w:type="spellStart"/>
      <w:r w:rsidRPr="007D66D9">
        <w:t>msec</w:t>
      </w:r>
      <w:proofErr w:type="spellEnd"/>
      <w:r w:rsidRPr="007D66D9">
        <w:t xml:space="preserve"> and &lt; 500 </w:t>
      </w:r>
      <w:proofErr w:type="spellStart"/>
      <w:r w:rsidRPr="007D66D9">
        <w:t>msec</w:t>
      </w:r>
      <w:proofErr w:type="spellEnd"/>
      <w:r w:rsidRPr="007D66D9">
        <w:t xml:space="preserve"> on Day 224, which was &gt; 450 </w:t>
      </w:r>
      <w:proofErr w:type="spellStart"/>
      <w:r w:rsidRPr="007D66D9">
        <w:t>msec</w:t>
      </w:r>
      <w:proofErr w:type="spellEnd"/>
      <w:r w:rsidRPr="007D66D9">
        <w:t xml:space="preserve"> at the Day 308 assessment.</w:t>
      </w:r>
    </w:p>
    <w:p w14:paraId="4648F8F1" w14:textId="77777777" w:rsidR="007D66D9" w:rsidRPr="007D66D9" w:rsidRDefault="007D66D9" w:rsidP="00AA267C">
      <w:pPr>
        <w:pStyle w:val="ListBullet"/>
      </w:pPr>
      <w:r w:rsidRPr="007D66D9">
        <w:t xml:space="preserve">2 additional subjects in the </w:t>
      </w:r>
      <w:r w:rsidR="0058163A">
        <w:t>525</w:t>
      </w:r>
      <w:r w:rsidR="004A676D">
        <w:t xml:space="preserve"> mg</w:t>
      </w:r>
      <w:r w:rsidRPr="007D66D9">
        <w:t xml:space="preserve"> </w:t>
      </w:r>
      <w:r w:rsidR="00AA267C">
        <w:t>equivalent</w:t>
      </w:r>
      <w:r w:rsidRPr="007D66D9">
        <w:t xml:space="preserve"> gluteal group</w:t>
      </w:r>
      <w:r w:rsidR="006004CE">
        <w:t xml:space="preserve"> had a post baseline QTcB &gt; 480 </w:t>
      </w:r>
      <w:proofErr w:type="spellStart"/>
      <w:r w:rsidRPr="007D66D9">
        <w:t>msec</w:t>
      </w:r>
      <w:proofErr w:type="spellEnd"/>
      <w:r w:rsidRPr="007D66D9">
        <w:t xml:space="preserve"> and</w:t>
      </w:r>
      <w:r w:rsidR="00AA267C">
        <w:t xml:space="preserve"> &lt; </w:t>
      </w:r>
      <w:r w:rsidRPr="007D66D9">
        <w:t xml:space="preserve">500 </w:t>
      </w:r>
      <w:proofErr w:type="spellStart"/>
      <w:r w:rsidRPr="007D66D9">
        <w:t>msec</w:t>
      </w:r>
      <w:proofErr w:type="spellEnd"/>
      <w:r w:rsidRPr="007D66D9">
        <w:t xml:space="preserve"> (Day 224 for one subject, EOS visit for other subject).</w:t>
      </w:r>
    </w:p>
    <w:p w14:paraId="788318C1" w14:textId="77777777" w:rsidR="007D66D9" w:rsidRPr="007D66D9" w:rsidRDefault="007D66D9" w:rsidP="00AA267C">
      <w:pPr>
        <w:pStyle w:val="ListBullet"/>
      </w:pPr>
      <w:r w:rsidRPr="007D66D9">
        <w:t xml:space="preserve">1 subject in the </w:t>
      </w:r>
      <w:r w:rsidR="0058163A">
        <w:t>350</w:t>
      </w:r>
      <w:r w:rsidR="004A676D">
        <w:t xml:space="preserve"> mg</w:t>
      </w:r>
      <w:r w:rsidRPr="007D66D9">
        <w:t xml:space="preserve"> </w:t>
      </w:r>
      <w:r w:rsidR="004A676D">
        <w:t>equivalent</w:t>
      </w:r>
      <w:r w:rsidRPr="007D66D9">
        <w:t xml:space="preserve"> gluteal group had a cha</w:t>
      </w:r>
      <w:r w:rsidR="003673F6">
        <w:t>ng</w:t>
      </w:r>
      <w:r w:rsidRPr="007D66D9">
        <w:t>e of &gt; 60</w:t>
      </w:r>
      <w:r w:rsidR="00AA267C">
        <w:t xml:space="preserve"> </w:t>
      </w:r>
      <w:proofErr w:type="spellStart"/>
      <w:r w:rsidRPr="007D66D9">
        <w:t>ms</w:t>
      </w:r>
      <w:proofErr w:type="spellEnd"/>
      <w:r w:rsidRPr="007D66D9">
        <w:t xml:space="preserve"> in QTcB and </w:t>
      </w:r>
      <w:proofErr w:type="spellStart"/>
      <w:r w:rsidRPr="007D66D9">
        <w:t>QTcF</w:t>
      </w:r>
      <w:proofErr w:type="spellEnd"/>
      <w:r w:rsidRPr="007D66D9">
        <w:t xml:space="preserve"> from baseline (on Day 224).</w:t>
      </w:r>
    </w:p>
    <w:p w14:paraId="585990D5" w14:textId="77777777" w:rsidR="007D66D9" w:rsidRPr="00B4497C" w:rsidRDefault="007D66D9" w:rsidP="007D66D9">
      <w:pPr>
        <w:pStyle w:val="Heading5"/>
      </w:pPr>
      <w:bookmarkStart w:id="261" w:name="_Toc453054918"/>
      <w:r w:rsidRPr="009A4555">
        <w:t xml:space="preserve">Injection </w:t>
      </w:r>
      <w:r w:rsidR="00AA267C" w:rsidRPr="009A4555">
        <w:t xml:space="preserve">site </w:t>
      </w:r>
      <w:r w:rsidR="00AA267C">
        <w:t>r</w:t>
      </w:r>
      <w:r>
        <w:t>eactions</w:t>
      </w:r>
      <w:bookmarkEnd w:id="261"/>
    </w:p>
    <w:p w14:paraId="7F162ACB" w14:textId="77777777" w:rsidR="007D66D9" w:rsidRPr="007D66D9" w:rsidRDefault="007D66D9" w:rsidP="00AA267C">
      <w:r w:rsidRPr="007D66D9">
        <w:t>None of them were severe in intensity or SAEs or AEs resulti</w:t>
      </w:r>
      <w:r w:rsidR="003673F6">
        <w:t>ng</w:t>
      </w:r>
      <w:r w:rsidRPr="007D66D9">
        <w:t xml:space="preserve"> in discontinuation except in 1 Panel D subject who reported severe pain in the </w:t>
      </w:r>
      <w:r w:rsidR="0058163A">
        <w:t>175</w:t>
      </w:r>
      <w:r w:rsidR="004A676D">
        <w:t xml:space="preserve"> mg</w:t>
      </w:r>
      <w:r w:rsidRPr="007D66D9">
        <w:t xml:space="preserve"> </w:t>
      </w:r>
      <w:proofErr w:type="spellStart"/>
      <w:r w:rsidRPr="007D66D9">
        <w:t>eq</w:t>
      </w:r>
      <w:proofErr w:type="spellEnd"/>
      <w:r w:rsidRPr="007D66D9">
        <w:t xml:space="preserve"> deltoid group on Day 1 of Period 2.</w:t>
      </w:r>
    </w:p>
    <w:p w14:paraId="1074B1C6" w14:textId="77777777" w:rsidR="007D66D9" w:rsidRPr="007D66D9" w:rsidRDefault="007D66D9" w:rsidP="00835887">
      <w:pPr>
        <w:pStyle w:val="Heading6"/>
      </w:pPr>
      <w:r w:rsidRPr="007D66D9">
        <w:lastRenderedPageBreak/>
        <w:t>Panel A</w:t>
      </w:r>
    </w:p>
    <w:p w14:paraId="67D4AE80" w14:textId="77777777" w:rsidR="007D66D9" w:rsidRPr="007D66D9" w:rsidRDefault="007D66D9" w:rsidP="00AA267C">
      <w:pPr>
        <w:pStyle w:val="ListBullet"/>
      </w:pPr>
      <w:r w:rsidRPr="007D66D9">
        <w:t>1 subject in the 1</w:t>
      </w:r>
      <w:r w:rsidR="004A676D">
        <w:t xml:space="preserve"> mg</w:t>
      </w:r>
      <w:r w:rsidRPr="007D66D9">
        <w:t xml:space="preserve"> group.</w:t>
      </w:r>
    </w:p>
    <w:p w14:paraId="65375FD4" w14:textId="0AD12F6D" w:rsidR="007D66D9" w:rsidRPr="007D66D9" w:rsidRDefault="007D66D9" w:rsidP="00AA267C">
      <w:pPr>
        <w:pStyle w:val="ListBullet"/>
      </w:pPr>
      <w:r w:rsidRPr="007D66D9">
        <w:t>2 subjects in the 300</w:t>
      </w:r>
      <w:r w:rsidR="004A676D">
        <w:t xml:space="preserve"> mg</w:t>
      </w:r>
      <w:r w:rsidRPr="007D66D9">
        <w:t xml:space="preserve"> </w:t>
      </w:r>
      <w:proofErr w:type="gramStart"/>
      <w:r w:rsidR="004A676D">
        <w:t>equivalent</w:t>
      </w:r>
      <w:r w:rsidRPr="007D66D9">
        <w:t xml:space="preserve">  gluteal</w:t>
      </w:r>
      <w:proofErr w:type="gramEnd"/>
      <w:r w:rsidRPr="007D66D9">
        <w:t xml:space="preserve"> group.</w:t>
      </w:r>
    </w:p>
    <w:p w14:paraId="18644779" w14:textId="45163D3A" w:rsidR="007D66D9" w:rsidRPr="007D66D9" w:rsidRDefault="007D66D9" w:rsidP="00AA267C">
      <w:pPr>
        <w:pStyle w:val="ListBullet"/>
      </w:pPr>
      <w:r w:rsidRPr="007D66D9">
        <w:t>3 subjects in the 300</w:t>
      </w:r>
      <w:r w:rsidR="004A676D">
        <w:t xml:space="preserve"> mg</w:t>
      </w:r>
      <w:r w:rsidRPr="007D66D9">
        <w:t xml:space="preserve"> </w:t>
      </w:r>
      <w:proofErr w:type="gramStart"/>
      <w:r w:rsidR="004A676D">
        <w:t>equivalent</w:t>
      </w:r>
      <w:r w:rsidRPr="007D66D9">
        <w:t xml:space="preserve">  gluteal</w:t>
      </w:r>
      <w:proofErr w:type="gramEnd"/>
      <w:r w:rsidRPr="007D66D9">
        <w:t xml:space="preserve"> group.</w:t>
      </w:r>
    </w:p>
    <w:p w14:paraId="5A169F4F" w14:textId="77777777" w:rsidR="004A676D" w:rsidRDefault="00835887" w:rsidP="00AA267C">
      <w:pPr>
        <w:pStyle w:val="ListBullet"/>
      </w:pPr>
      <w:r>
        <w:t>H</w:t>
      </w:r>
      <w:r w:rsidR="007D66D9" w:rsidRPr="007D66D9">
        <w:t>ad TEAEs related to injection site reactions (pain, irritation, or rash)</w:t>
      </w:r>
      <w:proofErr w:type="gramStart"/>
      <w:r w:rsidR="004A676D">
        <w:t>.</w:t>
      </w:r>
      <w:proofErr w:type="gramEnd"/>
    </w:p>
    <w:p w14:paraId="30EA75F0" w14:textId="77777777" w:rsidR="007D66D9" w:rsidRPr="007D66D9" w:rsidRDefault="007D66D9" w:rsidP="00835887">
      <w:pPr>
        <w:pStyle w:val="Heading6"/>
      </w:pPr>
      <w:r w:rsidRPr="007D66D9">
        <w:t>Panel B</w:t>
      </w:r>
    </w:p>
    <w:p w14:paraId="2DBB42AB" w14:textId="77777777" w:rsidR="007D66D9" w:rsidRPr="007D66D9" w:rsidRDefault="007D66D9" w:rsidP="00AA267C">
      <w:pPr>
        <w:pStyle w:val="ListBullet"/>
      </w:pPr>
      <w:r w:rsidRPr="007D66D9">
        <w:t>1 subject in the 1</w:t>
      </w:r>
      <w:r w:rsidR="004A676D">
        <w:t xml:space="preserve"> mg</w:t>
      </w:r>
      <w:r w:rsidRPr="007D66D9">
        <w:t xml:space="preserve"> group.</w:t>
      </w:r>
    </w:p>
    <w:p w14:paraId="03F962BB" w14:textId="77777777" w:rsidR="007D66D9" w:rsidRPr="007D66D9" w:rsidRDefault="007D66D9" w:rsidP="00AA267C">
      <w:pPr>
        <w:pStyle w:val="ListBullet"/>
      </w:pPr>
      <w:r w:rsidRPr="007D66D9">
        <w:t>3 subjects in the 300</w:t>
      </w:r>
      <w:r w:rsidR="004A676D">
        <w:t xml:space="preserve"> mg</w:t>
      </w:r>
      <w:r w:rsidRPr="007D66D9">
        <w:t xml:space="preserve"> </w:t>
      </w:r>
      <w:r w:rsidR="004A676D">
        <w:t>equivalent</w:t>
      </w:r>
      <w:r w:rsidRPr="007D66D9">
        <w:t xml:space="preserve"> deltoid group.</w:t>
      </w:r>
    </w:p>
    <w:p w14:paraId="114D53CA" w14:textId="77777777" w:rsidR="004A676D" w:rsidRDefault="007D66D9" w:rsidP="00AA267C">
      <w:pPr>
        <w:pStyle w:val="ListBullet"/>
      </w:pPr>
      <w:r w:rsidRPr="007D66D9">
        <w:t>5 subjects in the 450</w:t>
      </w:r>
      <w:r w:rsidR="004A676D">
        <w:t xml:space="preserve"> mg</w:t>
      </w:r>
      <w:r w:rsidRPr="007D66D9">
        <w:t xml:space="preserve"> </w:t>
      </w:r>
      <w:r w:rsidR="004A676D">
        <w:t>equivalent</w:t>
      </w:r>
      <w:r w:rsidRPr="007D66D9">
        <w:t xml:space="preserve"> deltoid group</w:t>
      </w:r>
      <w:r w:rsidR="004A676D">
        <w:t>.</w:t>
      </w:r>
    </w:p>
    <w:p w14:paraId="5E94142B" w14:textId="77777777" w:rsidR="004A676D" w:rsidRDefault="00835887" w:rsidP="00AA267C">
      <w:pPr>
        <w:pStyle w:val="ListBullet"/>
      </w:pPr>
      <w:r>
        <w:t>H</w:t>
      </w:r>
      <w:r w:rsidR="007D66D9" w:rsidRPr="007D66D9">
        <w:t>ad TEAEs related to injection site reactions (mass, pruritus, pain, induration, illness, erythema, or swelli</w:t>
      </w:r>
      <w:r w:rsidR="003673F6">
        <w:t>ng</w:t>
      </w:r>
      <w:r w:rsidR="007D66D9" w:rsidRPr="007D66D9">
        <w:t>)</w:t>
      </w:r>
      <w:r w:rsidR="004A676D">
        <w:t>.</w:t>
      </w:r>
    </w:p>
    <w:p w14:paraId="71D6A0C4" w14:textId="77777777" w:rsidR="007D66D9" w:rsidRPr="007D66D9" w:rsidRDefault="007D66D9" w:rsidP="00835887">
      <w:pPr>
        <w:pStyle w:val="Heading6"/>
      </w:pPr>
      <w:r w:rsidRPr="007D66D9">
        <w:t>Panel C</w:t>
      </w:r>
    </w:p>
    <w:p w14:paraId="51E275AA" w14:textId="77777777" w:rsidR="007D66D9" w:rsidRPr="00AA267C" w:rsidRDefault="007D66D9" w:rsidP="00AA267C">
      <w:pPr>
        <w:pStyle w:val="ListBullet"/>
      </w:pPr>
      <w:r w:rsidRPr="00AA267C">
        <w:t>2 subjects had TEAEs related to injection site reactions (warmth).</w:t>
      </w:r>
    </w:p>
    <w:p w14:paraId="77C8DB56" w14:textId="77777777" w:rsidR="007D66D9" w:rsidRPr="007D66D9" w:rsidRDefault="007D66D9" w:rsidP="00835887">
      <w:pPr>
        <w:pStyle w:val="Heading6"/>
      </w:pPr>
      <w:r w:rsidRPr="007D66D9">
        <w:t>Panel D</w:t>
      </w:r>
    </w:p>
    <w:p w14:paraId="6F93779D" w14:textId="77777777" w:rsidR="004A676D" w:rsidRPr="00AA267C" w:rsidRDefault="007D66D9" w:rsidP="00AA267C">
      <w:pPr>
        <w:pStyle w:val="ListBullet"/>
      </w:pPr>
      <w:r w:rsidRPr="00AA267C">
        <w:t xml:space="preserve">5 subjects in the </w:t>
      </w:r>
      <w:r w:rsidR="0058163A" w:rsidRPr="00AA267C">
        <w:t>175</w:t>
      </w:r>
      <w:r w:rsidR="004A676D" w:rsidRPr="00AA267C">
        <w:t xml:space="preserve"> mg</w:t>
      </w:r>
      <w:r w:rsidRPr="00AA267C">
        <w:t xml:space="preserve"> </w:t>
      </w:r>
      <w:r w:rsidR="004A676D" w:rsidRPr="00AA267C">
        <w:t>equivalent</w:t>
      </w:r>
      <w:r w:rsidRPr="00AA267C">
        <w:t xml:space="preserve"> deltoid group</w:t>
      </w:r>
      <w:r w:rsidR="004A676D" w:rsidRPr="00AA267C">
        <w:t>.</w:t>
      </w:r>
    </w:p>
    <w:p w14:paraId="0760A82B" w14:textId="77777777" w:rsidR="004A676D" w:rsidRPr="00AA267C" w:rsidRDefault="007D66D9" w:rsidP="00AA267C">
      <w:pPr>
        <w:pStyle w:val="ListBullet"/>
      </w:pPr>
      <w:r w:rsidRPr="00AA267C">
        <w:t xml:space="preserve">5 subjects in the </w:t>
      </w:r>
      <w:r w:rsidR="0058163A" w:rsidRPr="00AA267C">
        <w:t>525</w:t>
      </w:r>
      <w:r w:rsidR="004A676D" w:rsidRPr="00AA267C">
        <w:t xml:space="preserve"> mg</w:t>
      </w:r>
      <w:r w:rsidRPr="00AA267C">
        <w:t xml:space="preserve"> </w:t>
      </w:r>
      <w:r w:rsidR="004A676D" w:rsidRPr="00AA267C">
        <w:t>equivalent</w:t>
      </w:r>
      <w:r w:rsidRPr="00AA267C">
        <w:t xml:space="preserve"> deltoid group</w:t>
      </w:r>
      <w:r w:rsidR="004A676D" w:rsidRPr="00AA267C">
        <w:t>.</w:t>
      </w:r>
    </w:p>
    <w:p w14:paraId="22201CEA" w14:textId="77777777" w:rsidR="004A676D" w:rsidRDefault="007D66D9" w:rsidP="00AA267C">
      <w:proofErr w:type="gramStart"/>
      <w:r w:rsidRPr="007D66D9">
        <w:t>had</w:t>
      </w:r>
      <w:proofErr w:type="gramEnd"/>
      <w:r w:rsidRPr="007D66D9">
        <w:t xml:space="preserve"> TEAEs related to injection site reactions (pain, nodule, erythema, swelli</w:t>
      </w:r>
      <w:r w:rsidR="003673F6">
        <w:t>ng</w:t>
      </w:r>
      <w:r w:rsidRPr="007D66D9">
        <w:t>, induration)</w:t>
      </w:r>
      <w:r w:rsidR="004A676D">
        <w:t>.</w:t>
      </w:r>
    </w:p>
    <w:p w14:paraId="450205B0" w14:textId="77777777" w:rsidR="007D66D9" w:rsidRPr="00835887" w:rsidRDefault="007D66D9" w:rsidP="00835887">
      <w:pPr>
        <w:pStyle w:val="Heading5"/>
      </w:pPr>
      <w:r w:rsidRPr="00835887">
        <w:t xml:space="preserve">Maximum </w:t>
      </w:r>
      <w:r w:rsidR="00AA267C" w:rsidRPr="00835887">
        <w:t>pai</w:t>
      </w:r>
      <w:r w:rsidR="00393A99">
        <w:t>n in period 2</w:t>
      </w:r>
    </w:p>
    <w:p w14:paraId="79A1121E" w14:textId="77777777" w:rsidR="004A676D" w:rsidRDefault="007D66D9" w:rsidP="00AA267C">
      <w:r w:rsidRPr="007D66D9">
        <w:t>While mean pain scores were low, some patients had considerable pain</w:t>
      </w:r>
      <w:r w:rsidR="004A676D">
        <w:t>.</w:t>
      </w:r>
    </w:p>
    <w:p w14:paraId="3340F94B" w14:textId="77777777" w:rsidR="007D66D9" w:rsidRPr="007D66D9" w:rsidRDefault="007D66D9" w:rsidP="00835887">
      <w:pPr>
        <w:pStyle w:val="Heading6"/>
      </w:pPr>
      <w:r w:rsidRPr="007D66D9">
        <w:t>Panel A</w:t>
      </w:r>
    </w:p>
    <w:p w14:paraId="5EA87767" w14:textId="509C07B6" w:rsidR="007D66D9" w:rsidRPr="007D66D9" w:rsidRDefault="007D66D9" w:rsidP="00AA267C">
      <w:pPr>
        <w:pStyle w:val="ListBullet"/>
      </w:pPr>
      <w:r w:rsidRPr="007D66D9">
        <w:t>52/100 Day 6 300</w:t>
      </w:r>
      <w:r w:rsidR="004A676D">
        <w:t xml:space="preserve"> mg</w:t>
      </w:r>
      <w:r w:rsidRPr="007D66D9">
        <w:t xml:space="preserve"> gluteal </w:t>
      </w:r>
    </w:p>
    <w:p w14:paraId="7FF99D5B" w14:textId="25BA2BB9" w:rsidR="007D66D9" w:rsidRPr="007D66D9" w:rsidRDefault="007D66D9" w:rsidP="00AA267C">
      <w:pPr>
        <w:pStyle w:val="ListBullet"/>
      </w:pPr>
      <w:r w:rsidRPr="007D66D9">
        <w:t>63/100 Day 2 300</w:t>
      </w:r>
      <w:r w:rsidR="004A676D">
        <w:t xml:space="preserve"> mg</w:t>
      </w:r>
      <w:r w:rsidRPr="007D66D9">
        <w:t xml:space="preserve"> gluteal </w:t>
      </w:r>
    </w:p>
    <w:p w14:paraId="26169E53" w14:textId="77777777" w:rsidR="007D66D9" w:rsidRPr="007D66D9" w:rsidRDefault="007D66D9" w:rsidP="00835887">
      <w:pPr>
        <w:pStyle w:val="Heading6"/>
      </w:pPr>
      <w:r w:rsidRPr="007D66D9">
        <w:t>Panel B</w:t>
      </w:r>
    </w:p>
    <w:p w14:paraId="4CC4B024" w14:textId="77777777" w:rsidR="007D66D9" w:rsidRPr="007D66D9" w:rsidRDefault="007D66D9" w:rsidP="00AA267C">
      <w:pPr>
        <w:pStyle w:val="ListBullet"/>
      </w:pPr>
      <w:r w:rsidRPr="007D66D9">
        <w:t>88/100 6 H Post-dose 75</w:t>
      </w:r>
      <w:r w:rsidR="004A676D">
        <w:t xml:space="preserve"> mg</w:t>
      </w:r>
      <w:r w:rsidRPr="007D66D9">
        <w:t xml:space="preserve"> </w:t>
      </w:r>
      <w:r w:rsidR="004A676D">
        <w:t>equivalent</w:t>
      </w:r>
      <w:r w:rsidRPr="007D66D9">
        <w:t xml:space="preserve"> Gluteal.</w:t>
      </w:r>
    </w:p>
    <w:p w14:paraId="30A634B0" w14:textId="77777777" w:rsidR="007D66D9" w:rsidRPr="007D66D9" w:rsidRDefault="007D66D9" w:rsidP="00AA267C">
      <w:pPr>
        <w:pStyle w:val="ListBullet"/>
      </w:pPr>
      <w:r w:rsidRPr="007D66D9">
        <w:t>45/100 6 H Post-dose 150</w:t>
      </w:r>
      <w:r w:rsidR="004A676D">
        <w:t xml:space="preserve"> mg</w:t>
      </w:r>
      <w:r w:rsidRPr="007D66D9">
        <w:t xml:space="preserve"> </w:t>
      </w:r>
      <w:r w:rsidR="004A676D">
        <w:t>equivalent</w:t>
      </w:r>
      <w:r w:rsidRPr="007D66D9">
        <w:t xml:space="preserve"> Gluteal.</w:t>
      </w:r>
    </w:p>
    <w:p w14:paraId="73401515" w14:textId="77777777" w:rsidR="007D66D9" w:rsidRPr="007D66D9" w:rsidRDefault="007D66D9" w:rsidP="00AA267C">
      <w:pPr>
        <w:pStyle w:val="ListBullet"/>
      </w:pPr>
      <w:r w:rsidRPr="007D66D9">
        <w:t>48/100 6 H Post-dose 300</w:t>
      </w:r>
      <w:r w:rsidR="004A676D">
        <w:t xml:space="preserve"> mg</w:t>
      </w:r>
      <w:r w:rsidRPr="007D66D9">
        <w:t xml:space="preserve"> </w:t>
      </w:r>
      <w:r w:rsidR="004A676D">
        <w:t>equivalent</w:t>
      </w:r>
      <w:r w:rsidRPr="007D66D9">
        <w:t xml:space="preserve"> Deltoid.</w:t>
      </w:r>
    </w:p>
    <w:p w14:paraId="7C75BBF7" w14:textId="77777777" w:rsidR="007D66D9" w:rsidRPr="00AA267C" w:rsidRDefault="007D66D9" w:rsidP="00AA267C">
      <w:pPr>
        <w:pStyle w:val="ListBullet"/>
      </w:pPr>
      <w:r w:rsidRPr="007D66D9">
        <w:t>86/100 6 H Post-dose 450</w:t>
      </w:r>
      <w:r w:rsidR="004A676D">
        <w:t xml:space="preserve"> mg</w:t>
      </w:r>
      <w:r w:rsidRPr="007D66D9">
        <w:t xml:space="preserve"> </w:t>
      </w:r>
      <w:r w:rsidR="004A676D" w:rsidRPr="00AA267C">
        <w:t>equivalent</w:t>
      </w:r>
      <w:r w:rsidRPr="00AA267C">
        <w:t xml:space="preserve"> Gluteal.</w:t>
      </w:r>
      <w:r w:rsidRPr="00AA267C">
        <w:rPr>
          <w:rStyle w:val="FootnoteReference"/>
        </w:rPr>
        <w:footnoteReference w:id="35"/>
      </w:r>
    </w:p>
    <w:p w14:paraId="4BB8DDF4" w14:textId="77777777" w:rsidR="007D66D9" w:rsidRPr="00AA267C" w:rsidRDefault="007D66D9" w:rsidP="00AA267C">
      <w:pPr>
        <w:pStyle w:val="ListBullet"/>
      </w:pPr>
      <w:r w:rsidRPr="00AA267C">
        <w:t>80/100 6 H Post-dose 450</w:t>
      </w:r>
      <w:r w:rsidR="004A676D" w:rsidRPr="00AA267C">
        <w:t xml:space="preserve"> mg</w:t>
      </w:r>
      <w:r w:rsidRPr="00AA267C">
        <w:t xml:space="preserve"> </w:t>
      </w:r>
      <w:r w:rsidR="004A676D" w:rsidRPr="00AA267C">
        <w:t>equivalent</w:t>
      </w:r>
      <w:r w:rsidRPr="00AA267C">
        <w:t xml:space="preserve"> Deltoid.</w:t>
      </w:r>
      <w:r w:rsidRPr="00AA267C">
        <w:rPr>
          <w:rStyle w:val="FootnoteReference"/>
        </w:rPr>
        <w:footnoteReference w:id="36"/>
      </w:r>
    </w:p>
    <w:p w14:paraId="0E27B0C9" w14:textId="77777777" w:rsidR="007D66D9" w:rsidRPr="007D66D9" w:rsidRDefault="007D66D9" w:rsidP="00835887">
      <w:pPr>
        <w:pStyle w:val="Heading6"/>
      </w:pPr>
      <w:r w:rsidRPr="007D66D9">
        <w:t>Panel C</w:t>
      </w:r>
    </w:p>
    <w:p w14:paraId="23B5CC03" w14:textId="77777777" w:rsidR="007D66D9" w:rsidRPr="00AA267C" w:rsidRDefault="007D66D9" w:rsidP="00AA267C">
      <w:pPr>
        <w:pStyle w:val="ListBullet"/>
      </w:pPr>
      <w:r w:rsidRPr="007D66D9">
        <w:t>33/100 Day 2 150</w:t>
      </w:r>
      <w:r w:rsidR="004A676D">
        <w:t xml:space="preserve"> mg</w:t>
      </w:r>
      <w:r w:rsidRPr="007D66D9">
        <w:t xml:space="preserve"> </w:t>
      </w:r>
      <w:r w:rsidRPr="00AA267C">
        <w:t>gluteal 100</w:t>
      </w:r>
      <w:r w:rsidR="004A676D" w:rsidRPr="00AA267C">
        <w:t xml:space="preserve"> mg</w:t>
      </w:r>
      <w:r w:rsidR="00607328" w:rsidRPr="00AA267C">
        <w:t>/</w:t>
      </w:r>
      <w:proofErr w:type="spellStart"/>
      <w:r w:rsidR="00607328" w:rsidRPr="00AA267C">
        <w:t>mL</w:t>
      </w:r>
      <w:r w:rsidRPr="00AA267C">
        <w:t>.</w:t>
      </w:r>
      <w:proofErr w:type="spellEnd"/>
      <w:r w:rsidRPr="00AA267C">
        <w:rPr>
          <w:rStyle w:val="FootnoteReference"/>
        </w:rPr>
        <w:footnoteReference w:id="37"/>
      </w:r>
    </w:p>
    <w:p w14:paraId="10606363" w14:textId="77777777" w:rsidR="007D66D9" w:rsidRPr="007D66D9" w:rsidRDefault="007D66D9" w:rsidP="00835887">
      <w:pPr>
        <w:pStyle w:val="Heading6"/>
      </w:pPr>
      <w:r w:rsidRPr="007D66D9">
        <w:t>Panel D</w:t>
      </w:r>
    </w:p>
    <w:p w14:paraId="5CD18DB4" w14:textId="77777777" w:rsidR="007D66D9" w:rsidRPr="007D66D9" w:rsidRDefault="007D66D9" w:rsidP="00835887">
      <w:pPr>
        <w:pStyle w:val="Style1"/>
      </w:pPr>
      <w:r w:rsidRPr="007D66D9">
        <w:t xml:space="preserve">80/100 6 H Post-dose </w:t>
      </w:r>
      <w:r w:rsidR="0058163A">
        <w:t>175</w:t>
      </w:r>
      <w:r w:rsidR="004A676D">
        <w:t xml:space="preserve"> mg</w:t>
      </w:r>
      <w:r w:rsidRPr="007D66D9">
        <w:t xml:space="preserve"> </w:t>
      </w:r>
      <w:r w:rsidR="004A676D">
        <w:t>equivalent</w:t>
      </w:r>
      <w:r w:rsidRPr="007D66D9">
        <w:t xml:space="preserve"> Deltoid.</w:t>
      </w:r>
    </w:p>
    <w:p w14:paraId="6E3609D4" w14:textId="77777777" w:rsidR="007D66D9" w:rsidRPr="007D66D9" w:rsidRDefault="007D66D9" w:rsidP="00835887">
      <w:pPr>
        <w:pStyle w:val="Style1"/>
      </w:pPr>
      <w:r w:rsidRPr="007D66D9">
        <w:t xml:space="preserve">44/100 6 H Post-dose </w:t>
      </w:r>
      <w:r w:rsidR="0058163A">
        <w:t>350</w:t>
      </w:r>
      <w:r w:rsidR="004A676D">
        <w:t xml:space="preserve"> mg</w:t>
      </w:r>
      <w:r w:rsidRPr="007D66D9">
        <w:t xml:space="preserve"> </w:t>
      </w:r>
      <w:r w:rsidR="004A676D">
        <w:t>equivalent</w:t>
      </w:r>
      <w:r w:rsidRPr="007D66D9">
        <w:t xml:space="preserve"> Gluteal.</w:t>
      </w:r>
    </w:p>
    <w:p w14:paraId="2A24093F" w14:textId="77777777" w:rsidR="007D66D9" w:rsidRPr="007D66D9" w:rsidRDefault="007D66D9" w:rsidP="00835887">
      <w:pPr>
        <w:pStyle w:val="Style1"/>
      </w:pPr>
      <w:r w:rsidRPr="007D66D9">
        <w:t xml:space="preserve">21/100 6 H Post-dose </w:t>
      </w:r>
      <w:r w:rsidR="0058163A">
        <w:t>525</w:t>
      </w:r>
      <w:r w:rsidR="004A676D">
        <w:t xml:space="preserve"> mg</w:t>
      </w:r>
      <w:r w:rsidRPr="007D66D9">
        <w:t xml:space="preserve"> </w:t>
      </w:r>
      <w:r w:rsidR="004A676D">
        <w:t>equivalent</w:t>
      </w:r>
      <w:r w:rsidR="00AA267C">
        <w:t xml:space="preserve"> </w:t>
      </w:r>
      <w:r w:rsidRPr="007D66D9">
        <w:t>Gluteal.</w:t>
      </w:r>
    </w:p>
    <w:p w14:paraId="438379D9" w14:textId="77777777" w:rsidR="007D66D9" w:rsidRPr="007D66D9" w:rsidRDefault="007D66D9" w:rsidP="00835887">
      <w:pPr>
        <w:pStyle w:val="Style1"/>
      </w:pPr>
      <w:r w:rsidRPr="007D66D9">
        <w:lastRenderedPageBreak/>
        <w:t xml:space="preserve">94/100 6 H Post-dose </w:t>
      </w:r>
      <w:r w:rsidR="0058163A">
        <w:t>525</w:t>
      </w:r>
      <w:r w:rsidR="004A676D">
        <w:t xml:space="preserve"> mg</w:t>
      </w:r>
      <w:r w:rsidRPr="007D66D9">
        <w:t xml:space="preserve"> </w:t>
      </w:r>
      <w:r w:rsidR="004A676D">
        <w:t>equivalent</w:t>
      </w:r>
      <w:r w:rsidRPr="007D66D9">
        <w:t xml:space="preserve"> Deltoid.</w:t>
      </w:r>
    </w:p>
    <w:p w14:paraId="25E64A02" w14:textId="77777777" w:rsidR="007D66D9" w:rsidRPr="007D66D9" w:rsidRDefault="007D66D9" w:rsidP="007D66D9">
      <w:pPr>
        <w:pStyle w:val="Comment"/>
      </w:pPr>
      <w:r w:rsidRPr="007D66D9">
        <w:rPr>
          <w:b/>
        </w:rPr>
        <w:t xml:space="preserve">Comment: </w:t>
      </w:r>
      <w:r w:rsidRPr="007D66D9">
        <w:t>In some instances the maximum pain predose was greater than post dose values suggesti</w:t>
      </w:r>
      <w:r w:rsidR="003673F6">
        <w:t>ng</w:t>
      </w:r>
      <w:r w:rsidRPr="007D66D9">
        <w:t xml:space="preserve"> considerable anxiety overlay.</w:t>
      </w:r>
    </w:p>
    <w:p w14:paraId="0EB1EFD8" w14:textId="77777777" w:rsidR="007D66D9" w:rsidRDefault="007D66D9" w:rsidP="007D66D9">
      <w:pPr>
        <w:pStyle w:val="Heading4"/>
      </w:pPr>
      <w:bookmarkStart w:id="262" w:name="_Ref441754080"/>
      <w:bookmarkStart w:id="263" w:name="_Toc453054919"/>
      <w:r w:rsidRPr="00B20756">
        <w:t xml:space="preserve">Study </w:t>
      </w:r>
      <w:bookmarkEnd w:id="239"/>
      <w:bookmarkEnd w:id="240"/>
      <w:bookmarkEnd w:id="241"/>
      <w:r>
        <w:t>3012</w:t>
      </w:r>
      <w:bookmarkEnd w:id="262"/>
      <w:bookmarkEnd w:id="263"/>
    </w:p>
    <w:p w14:paraId="5B4ADF06" w14:textId="77777777" w:rsidR="007D66D9" w:rsidRPr="007D66D9" w:rsidRDefault="007D66D9" w:rsidP="00AA267C">
      <w:r w:rsidRPr="007D66D9">
        <w:t xml:space="preserve">This was a </w:t>
      </w:r>
      <w:r w:rsidR="00E60DFA">
        <w:t>Phase</w:t>
      </w:r>
      <w:r w:rsidRPr="007D66D9">
        <w:t xml:space="preserve"> III randomized, </w:t>
      </w:r>
      <w:r w:rsidR="00E60DFA">
        <w:t>double blind</w:t>
      </w:r>
      <w:r w:rsidRPr="007D66D9">
        <w:t xml:space="preserve">, </w:t>
      </w:r>
      <w:r w:rsidR="00E60DFA">
        <w:t>parallel group</w:t>
      </w:r>
      <w:r w:rsidRPr="007D66D9">
        <w:t xml:space="preserve">, </w:t>
      </w:r>
      <w:r w:rsidR="00E60DFA">
        <w:t>placebo controlled</w:t>
      </w:r>
      <w:r w:rsidRPr="007D66D9">
        <w:t>, multicentre study to determine the efficacy and safety of Invega Trinza in the prevention of relapse of schizophrenia.</w:t>
      </w:r>
    </w:p>
    <w:p w14:paraId="625AD3CD" w14:textId="77777777" w:rsidR="007D66D9" w:rsidRPr="007D66D9" w:rsidRDefault="007D66D9" w:rsidP="00AA267C">
      <w:r w:rsidRPr="007D66D9">
        <w:t>The study consists of 4 phases: a Screeni</w:t>
      </w:r>
      <w:r w:rsidR="003673F6">
        <w:t>ng</w:t>
      </w:r>
      <w:r w:rsidRPr="007D66D9">
        <w:t xml:space="preserve"> Phase (up to 3 weeks); a </w:t>
      </w:r>
      <w:r w:rsidR="00E60DFA">
        <w:t>17 week</w:t>
      </w:r>
      <w:r w:rsidRPr="007D66D9">
        <w:t xml:space="preserve"> flexible dose </w:t>
      </w:r>
      <w:r w:rsidR="004A676D">
        <w:t>open label</w:t>
      </w:r>
      <w:r w:rsidRPr="007D66D9">
        <w:t xml:space="preserve"> Transition Phase; a </w:t>
      </w:r>
      <w:r w:rsidR="00E60DFA">
        <w:t xml:space="preserve">12 week </w:t>
      </w:r>
      <w:r w:rsidRPr="007D66D9">
        <w:t xml:space="preserve">fixed dose </w:t>
      </w:r>
      <w:r w:rsidR="004A676D">
        <w:t>open label</w:t>
      </w:r>
      <w:r w:rsidRPr="007D66D9">
        <w:t xml:space="preserve"> Maintenance Phase; and a randomized, </w:t>
      </w:r>
      <w:r w:rsidR="00E60DFA">
        <w:t>double blind</w:t>
      </w:r>
      <w:r w:rsidRPr="007D66D9">
        <w:t xml:space="preserve">, fixed dose, </w:t>
      </w:r>
      <w:r w:rsidR="00E60DFA">
        <w:t>placebo controlled</w:t>
      </w:r>
      <w:r w:rsidRPr="007D66D9">
        <w:t xml:space="preserve"> relapse prevention phase duri</w:t>
      </w:r>
      <w:r w:rsidR="003673F6">
        <w:t>ng</w:t>
      </w:r>
      <w:r w:rsidRPr="007D66D9">
        <w:t xml:space="preserve"> which subjects were </w:t>
      </w:r>
      <w:r w:rsidR="00E60DFA">
        <w:t xml:space="preserve">randomly </w:t>
      </w:r>
      <w:r w:rsidRPr="007D66D9">
        <w:t xml:space="preserve">assigned, in a 1:1 ratio, to receive either a fixed dose of Invega Trinza or placebo. The </w:t>
      </w:r>
      <w:r w:rsidR="009C7BEE">
        <w:t>Double blind Phase</w:t>
      </w:r>
      <w:r w:rsidRPr="007D66D9">
        <w:t xml:space="preserve"> was of variable duration; subjects could remain in the study for as lo</w:t>
      </w:r>
      <w:r w:rsidR="003673F6">
        <w:t>ng</w:t>
      </w:r>
      <w:r w:rsidRPr="007D66D9">
        <w:t xml:space="preserve"> as they were clinically stable.</w:t>
      </w:r>
    </w:p>
    <w:p w14:paraId="517C4B85" w14:textId="77777777" w:rsidR="007D66D9" w:rsidRPr="00AA267C" w:rsidRDefault="007D66D9" w:rsidP="007D66D9">
      <w:pPr>
        <w:pStyle w:val="Heading5"/>
      </w:pPr>
      <w:bookmarkStart w:id="264" w:name="_Toc453054920"/>
      <w:r w:rsidRPr="00AA267C">
        <w:t>Dose dumpi</w:t>
      </w:r>
      <w:r w:rsidR="003673F6" w:rsidRPr="00AA267C">
        <w:t>ng</w:t>
      </w:r>
      <w:bookmarkEnd w:id="264"/>
      <w:r w:rsidRPr="00AA267C">
        <w:rPr>
          <w:rStyle w:val="FootnoteReference"/>
        </w:rPr>
        <w:footnoteReference w:id="38"/>
      </w:r>
    </w:p>
    <w:p w14:paraId="286A044F" w14:textId="77777777" w:rsidR="004A676D" w:rsidRDefault="007D66D9" w:rsidP="00AA267C">
      <w:r w:rsidRPr="007D66D9">
        <w:t xml:space="preserve">There were 14 subjects with a </w:t>
      </w:r>
      <w:proofErr w:type="spellStart"/>
      <w:r w:rsidR="009F467D" w:rsidRPr="00AA267C">
        <w:t>C</w:t>
      </w:r>
      <w:r w:rsidR="009F467D" w:rsidRPr="00AA267C">
        <w:rPr>
          <w:vertAlign w:val="subscript"/>
        </w:rPr>
        <w:t>max</w:t>
      </w:r>
      <w:proofErr w:type="spellEnd"/>
      <w:r w:rsidRPr="00AA267C">
        <w:t xml:space="preserve"> &gt; 125</w:t>
      </w:r>
      <w:r w:rsidR="003673F6" w:rsidRPr="00AA267C">
        <w:t xml:space="preserve"> ng</w:t>
      </w:r>
      <w:r w:rsidR="00607328" w:rsidRPr="00AA267C">
        <w:t>/</w:t>
      </w:r>
      <w:proofErr w:type="spellStart"/>
      <w:r w:rsidR="00607328" w:rsidRPr="00AA267C">
        <w:t>mL</w:t>
      </w:r>
      <w:r w:rsidRPr="00AA267C">
        <w:t>.</w:t>
      </w:r>
      <w:proofErr w:type="spellEnd"/>
      <w:r w:rsidRPr="00AA267C">
        <w:t xml:space="preserve"> Based</w:t>
      </w:r>
      <w:r w:rsidRPr="007D66D9">
        <w:t xml:space="preserve"> on the appearance of the concentration curves 3 subjects (63801202, 60017109 </w:t>
      </w:r>
      <w:r w:rsidR="00E60DFA">
        <w:t>and</w:t>
      </w:r>
      <w:r w:rsidRPr="007D66D9">
        <w:t xml:space="preserve"> 60400605) with high concentrations suggested the possibility of rapid initial absorption after an injection in that the other injections in the same subjects were not associated with similar high rises </w:t>
      </w:r>
      <w:r w:rsidRPr="002D1724">
        <w:t>(see</w:t>
      </w:r>
      <w:r w:rsidR="00FA7BDF">
        <w:t xml:space="preserve"> Figure 43</w:t>
      </w:r>
      <w:r w:rsidRPr="007D66D9">
        <w:t>). The infrequency of sampli</w:t>
      </w:r>
      <w:r w:rsidR="003673F6">
        <w:t>ng</w:t>
      </w:r>
      <w:r w:rsidRPr="007D66D9">
        <w:t xml:space="preserve"> precludes more definite explanation</w:t>
      </w:r>
      <w:r w:rsidR="004A676D">
        <w:t>.</w:t>
      </w:r>
    </w:p>
    <w:p w14:paraId="0634201F" w14:textId="77777777" w:rsidR="007D66D9" w:rsidRDefault="007D66D9" w:rsidP="005A18C6">
      <w:pPr>
        <w:pStyle w:val="FigureTitle"/>
        <w:keepNext/>
      </w:pPr>
      <w:bookmarkStart w:id="265" w:name="_Ref437423864"/>
      <w:bookmarkStart w:id="266" w:name="_Ref437423855"/>
      <w:bookmarkStart w:id="267" w:name="_Toc453055082"/>
      <w:r w:rsidRPr="002B4669">
        <w:lastRenderedPageBreak/>
        <w:t xml:space="preserve">Figure </w:t>
      </w:r>
      <w:bookmarkEnd w:id="265"/>
      <w:r w:rsidR="00FA7BDF">
        <w:t>43</w:t>
      </w:r>
      <w:r w:rsidR="00393A99" w:rsidRPr="002B4669">
        <w:t>:</w:t>
      </w:r>
      <w:r w:rsidRPr="002B4669">
        <w:t xml:space="preserve"> Individual</w:t>
      </w:r>
      <w:r w:rsidRPr="00835887">
        <w:t xml:space="preserve"> concentration curves with high </w:t>
      </w:r>
      <w:proofErr w:type="spellStart"/>
      <w:r w:rsidR="009F467D" w:rsidRPr="009F467D">
        <w:t>C</w:t>
      </w:r>
      <w:r w:rsidR="009F467D" w:rsidRPr="009F467D">
        <w:rPr>
          <w:vertAlign w:val="subscript"/>
        </w:rPr>
        <w:t>max</w:t>
      </w:r>
      <w:proofErr w:type="spellEnd"/>
      <w:r w:rsidRPr="00835887">
        <w:t xml:space="preserve"> for 1 injection</w:t>
      </w:r>
      <w:bookmarkEnd w:id="266"/>
      <w:bookmarkEnd w:id="267"/>
    </w:p>
    <w:p w14:paraId="18C0FB70" w14:textId="77777777" w:rsidR="007D66D9" w:rsidRPr="007D66D9" w:rsidRDefault="00AA267C" w:rsidP="00DC3589">
      <w:r>
        <w:rPr>
          <w:noProof/>
          <w:lang w:eastAsia="en-AU"/>
        </w:rPr>
        <w:drawing>
          <wp:inline distT="0" distB="0" distL="0" distR="0" wp14:anchorId="1F5CC2A7" wp14:editId="44A44574">
            <wp:extent cx="4705350" cy="7858125"/>
            <wp:effectExtent l="0" t="0" r="0" b="9525"/>
            <wp:docPr id="66" name="Picture 66" descr="Figure 43: Individual concentration curves with high Cmax for 1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705350" cy="7858125"/>
                    </a:xfrm>
                    <a:prstGeom prst="rect">
                      <a:avLst/>
                    </a:prstGeom>
                  </pic:spPr>
                </pic:pic>
              </a:graphicData>
            </a:graphic>
          </wp:inline>
        </w:drawing>
      </w:r>
    </w:p>
    <w:p w14:paraId="3E7AB7AD" w14:textId="77777777" w:rsidR="007D66D9" w:rsidRPr="007D66D9" w:rsidRDefault="00E60DFA" w:rsidP="00DC3589">
      <w:pPr>
        <w:pStyle w:val="FigureDescription"/>
      </w:pPr>
      <w:r>
        <w:t xml:space="preserve">12 week </w:t>
      </w:r>
      <w:r w:rsidR="007D66D9" w:rsidRPr="007D66D9">
        <w:t>maintenance phase at Day 120: si</w:t>
      </w:r>
      <w:r w:rsidR="003673F6">
        <w:t>ng</w:t>
      </w:r>
      <w:r w:rsidR="007D66D9" w:rsidRPr="007D66D9">
        <w:t xml:space="preserve">le injection of </w:t>
      </w:r>
      <w:r w:rsidR="0058163A">
        <w:t>525</w:t>
      </w:r>
      <w:r w:rsidR="004A676D">
        <w:t xml:space="preserve"> mg</w:t>
      </w:r>
      <w:r w:rsidR="007D66D9" w:rsidRPr="007D66D9">
        <w:t xml:space="preserve"> </w:t>
      </w:r>
      <w:r w:rsidR="004A676D">
        <w:t>equivalent</w:t>
      </w:r>
      <w:r w:rsidR="007D66D9" w:rsidRPr="007D66D9">
        <w:t xml:space="preserve"> PP3M followed by a double blind phase at Day 204: si</w:t>
      </w:r>
      <w:r w:rsidR="003673F6">
        <w:t>ng</w:t>
      </w:r>
      <w:r w:rsidR="007D66D9" w:rsidRPr="007D66D9">
        <w:t xml:space="preserve">le injection of </w:t>
      </w:r>
      <w:r w:rsidR="0058163A">
        <w:t>525</w:t>
      </w:r>
      <w:r w:rsidR="004A676D">
        <w:t xml:space="preserve"> mg</w:t>
      </w:r>
      <w:r w:rsidR="007D66D9" w:rsidRPr="007D66D9">
        <w:t xml:space="preserve"> </w:t>
      </w:r>
      <w:r w:rsidR="004A676D">
        <w:t>equivalent</w:t>
      </w:r>
      <w:r w:rsidR="006004CE">
        <w:t xml:space="preserve"> PP3M every 12 weeks.</w:t>
      </w:r>
    </w:p>
    <w:p w14:paraId="04E54656" w14:textId="77777777" w:rsidR="007D66D9" w:rsidRDefault="00AA267C" w:rsidP="007D66D9">
      <w:pPr>
        <w:pStyle w:val="Heading5"/>
      </w:pPr>
      <w:bookmarkStart w:id="268" w:name="_Toc453054921"/>
      <w:r>
        <w:lastRenderedPageBreak/>
        <w:t>Adverse e</w:t>
      </w:r>
      <w:r w:rsidR="007D66D9">
        <w:t>vents</w:t>
      </w:r>
      <w:bookmarkEnd w:id="268"/>
    </w:p>
    <w:p w14:paraId="6AC80697" w14:textId="77777777" w:rsidR="007D66D9" w:rsidRPr="007D66D9" w:rsidRDefault="007D66D9" w:rsidP="00AA267C">
      <w:r w:rsidRPr="007D66D9">
        <w:t>While the number of subjects havi</w:t>
      </w:r>
      <w:r w:rsidR="003673F6">
        <w:t>ng</w:t>
      </w:r>
      <w:r w:rsidRPr="007D66D9">
        <w:t xml:space="preserve"> an AE were similar URTI </w:t>
      </w:r>
      <w:r w:rsidR="00E60DFA">
        <w:t>and</w:t>
      </w:r>
      <w:r w:rsidRPr="007D66D9">
        <w:t xml:space="preserve"> nasophary</w:t>
      </w:r>
      <w:r w:rsidR="003673F6">
        <w:t>ng</w:t>
      </w:r>
      <w:r w:rsidRPr="007D66D9">
        <w:t xml:space="preserve">itis were 9.4% for Invega Trinza </w:t>
      </w:r>
      <w:r w:rsidR="00785F6E">
        <w:t>versus</w:t>
      </w:r>
      <w:r w:rsidRPr="007D66D9">
        <w:t xml:space="preserve"> 3.5% for placebo in the DB phase, weight increase was 8.8% </w:t>
      </w:r>
      <w:r w:rsidR="00785F6E">
        <w:t>versus</w:t>
      </w:r>
      <w:r w:rsidRPr="007D66D9">
        <w:t xml:space="preserve"> 3.4%, headache was 8.8% </w:t>
      </w:r>
      <w:r w:rsidR="00785F6E">
        <w:t>versus</w:t>
      </w:r>
      <w:r w:rsidRPr="007D66D9">
        <w:t xml:space="preserve"> 4.1% and </w:t>
      </w:r>
      <w:proofErr w:type="spellStart"/>
      <w:r w:rsidRPr="007D66D9">
        <w:t>akathesia</w:t>
      </w:r>
      <w:proofErr w:type="spellEnd"/>
      <w:r w:rsidRPr="007D66D9">
        <w:t xml:space="preserve"> 4.4%</w:t>
      </w:r>
      <w:r w:rsidR="004A676D">
        <w:t xml:space="preserve"> </w:t>
      </w:r>
      <w:r w:rsidR="00785F6E">
        <w:t>versus</w:t>
      </w:r>
      <w:r w:rsidRPr="007D66D9">
        <w:t xml:space="preserve"> 0.7%.</w:t>
      </w:r>
    </w:p>
    <w:p w14:paraId="16B1B549" w14:textId="77777777" w:rsidR="007D66D9" w:rsidRPr="00835887" w:rsidRDefault="007D66D9" w:rsidP="00DA386F">
      <w:pPr>
        <w:pStyle w:val="Tabletitle"/>
      </w:pPr>
      <w:bookmarkStart w:id="269" w:name="_Toc453055011"/>
      <w:r w:rsidRPr="002B4669">
        <w:t xml:space="preserve">Table </w:t>
      </w:r>
      <w:r w:rsidR="002B4669" w:rsidRPr="002B4669">
        <w:t>48</w:t>
      </w:r>
      <w:r w:rsidR="002B4669">
        <w:t>:</w:t>
      </w:r>
      <w:r w:rsidRPr="00835887">
        <w:t xml:space="preserve"> Overall </w:t>
      </w:r>
      <w:r w:rsidR="00AA267C" w:rsidRPr="00835887">
        <w:t xml:space="preserve">summary of </w:t>
      </w:r>
      <w:r w:rsidR="00AA267C">
        <w:t>treatment emergent</w:t>
      </w:r>
      <w:r w:rsidR="002B4669">
        <w:t xml:space="preserve"> adverse events;</w:t>
      </w:r>
      <w:r w:rsidR="00AA267C" w:rsidRPr="00835887">
        <w:t xml:space="preserve"> </w:t>
      </w:r>
      <w:r w:rsidR="00AA267C">
        <w:t>open label and double </w:t>
      </w:r>
      <w:r w:rsidR="00AA267C" w:rsidRPr="00835887">
        <w:t>blind phas</w:t>
      </w:r>
      <w:r w:rsidRPr="00835887">
        <w:t>es</w:t>
      </w:r>
      <w:bookmarkEnd w:id="269"/>
    </w:p>
    <w:p w14:paraId="3A8470AF" w14:textId="77777777" w:rsidR="007D66D9" w:rsidRPr="007D66D9" w:rsidRDefault="007D66D9" w:rsidP="00DC3589">
      <w:r w:rsidRPr="007D66D9">
        <w:rPr>
          <w:noProof/>
          <w:lang w:eastAsia="en-AU"/>
        </w:rPr>
        <w:drawing>
          <wp:inline distT="0" distB="0" distL="0" distR="0" wp14:anchorId="6D09433D" wp14:editId="65826EDB">
            <wp:extent cx="5632704" cy="1497240"/>
            <wp:effectExtent l="0" t="0" r="6350" b="8255"/>
            <wp:docPr id="101" name="Picture 101" descr="Table 48: Overall summary of treatment emergent adverse events; open label and double blind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41249" cy="1499511"/>
                    </a:xfrm>
                    <a:prstGeom prst="rect">
                      <a:avLst/>
                    </a:prstGeom>
                  </pic:spPr>
                </pic:pic>
              </a:graphicData>
            </a:graphic>
          </wp:inline>
        </w:drawing>
      </w:r>
    </w:p>
    <w:p w14:paraId="05E3C823" w14:textId="77777777" w:rsidR="004A676D" w:rsidRDefault="007D66D9" w:rsidP="00DC3589">
      <w:pPr>
        <w:pStyle w:val="TableDescription"/>
      </w:pPr>
      <w:r w:rsidRPr="007D66D9">
        <w:t xml:space="preserve">Study drug </w:t>
      </w:r>
      <w:r w:rsidRPr="00DC3589">
        <w:t>relationships</w:t>
      </w:r>
      <w:r w:rsidRPr="007D66D9">
        <w:t xml:space="preserve"> of possible, probable, and very likely</w:t>
      </w:r>
      <w:r w:rsidR="00835887">
        <w:t xml:space="preserve"> are included in this category</w:t>
      </w:r>
      <w:r w:rsidR="00AA267C">
        <w:t xml:space="preserve">. </w:t>
      </w:r>
      <w:r w:rsidRPr="007D66D9">
        <w:t>Note: Incidence is based on the number of subjects experienci</w:t>
      </w:r>
      <w:r w:rsidR="003673F6">
        <w:t>ng</w:t>
      </w:r>
      <w:r w:rsidRPr="007D66D9">
        <w:t xml:space="preserve"> at least one adverse ev</w:t>
      </w:r>
      <w:r w:rsidR="00835887">
        <w:t>ent, not the number of events</w:t>
      </w:r>
      <w:r w:rsidR="004A676D">
        <w:t>.</w:t>
      </w:r>
    </w:p>
    <w:p w14:paraId="0E81A309" w14:textId="77777777" w:rsidR="007D66D9" w:rsidRPr="00835887" w:rsidRDefault="007D66D9" w:rsidP="00DA386F">
      <w:pPr>
        <w:pStyle w:val="Tabletitle"/>
      </w:pPr>
      <w:bookmarkStart w:id="270" w:name="_Toc453055012"/>
      <w:r w:rsidRPr="002B4669">
        <w:t xml:space="preserve">Table </w:t>
      </w:r>
      <w:r w:rsidR="002B4669" w:rsidRPr="002B4669">
        <w:t>49:</w:t>
      </w:r>
      <w:r w:rsidRPr="00835887">
        <w:t xml:space="preserve"> </w:t>
      </w:r>
      <w:r w:rsidR="00AA267C">
        <w:t>Treatment emergent</w:t>
      </w:r>
      <w:r w:rsidR="00AA267C" w:rsidRPr="00835887">
        <w:t xml:space="preserve"> adverse events in at least 2% of subjects in either treatment group b</w:t>
      </w:r>
      <w:r w:rsidRPr="00835887">
        <w:t xml:space="preserve">y </w:t>
      </w:r>
      <w:proofErr w:type="spellStart"/>
      <w:r w:rsidRPr="00835887">
        <w:t>MedDRA</w:t>
      </w:r>
      <w:proofErr w:type="spellEnd"/>
      <w:r w:rsidRPr="00835887">
        <w:t xml:space="preserve"> </w:t>
      </w:r>
      <w:r w:rsidR="00AA267C" w:rsidRPr="00835887">
        <w:t>system organ class and preferred term duri</w:t>
      </w:r>
      <w:r w:rsidR="00AA267C">
        <w:t>ng</w:t>
      </w:r>
      <w:r w:rsidR="002B4669">
        <w:t xml:space="preserve"> the double </w:t>
      </w:r>
      <w:r w:rsidR="00AA267C" w:rsidRPr="00835887">
        <w:t>blind phase</w:t>
      </w:r>
      <w:bookmarkEnd w:id="270"/>
    </w:p>
    <w:p w14:paraId="1E584C37" w14:textId="77777777" w:rsidR="007D66D9" w:rsidRPr="007D66D9" w:rsidRDefault="007D66D9" w:rsidP="00DC3589">
      <w:r w:rsidRPr="007D66D9">
        <w:rPr>
          <w:noProof/>
          <w:lang w:eastAsia="en-AU"/>
        </w:rPr>
        <w:drawing>
          <wp:inline distT="0" distB="0" distL="0" distR="0" wp14:anchorId="267A872A" wp14:editId="45A01A25">
            <wp:extent cx="5040173" cy="4920631"/>
            <wp:effectExtent l="0" t="0" r="8255" b="0"/>
            <wp:docPr id="102" name="Picture 102" descr="Table 49: Treatment emergent adverse events in at least 2% of subjects in either treatment group by MedDRA system organ class and preferred term during the double bli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040605" cy="4921053"/>
                    </a:xfrm>
                    <a:prstGeom prst="rect">
                      <a:avLst/>
                    </a:prstGeom>
                  </pic:spPr>
                </pic:pic>
              </a:graphicData>
            </a:graphic>
          </wp:inline>
        </w:drawing>
      </w:r>
    </w:p>
    <w:p w14:paraId="3C709972" w14:textId="77777777" w:rsidR="007D66D9" w:rsidRPr="007D66D9" w:rsidRDefault="007D66D9" w:rsidP="00DC3589">
      <w:pPr>
        <w:pStyle w:val="TableDescription"/>
      </w:pPr>
      <w:r w:rsidRPr="007D66D9">
        <w:lastRenderedPageBreak/>
        <w:t xml:space="preserve">Note: </w:t>
      </w:r>
      <w:r w:rsidRPr="00DC3589">
        <w:t>Incidence</w:t>
      </w:r>
      <w:r w:rsidRPr="007D66D9">
        <w:t xml:space="preserve"> is based on the number of subjects experienci</w:t>
      </w:r>
      <w:r w:rsidR="003673F6">
        <w:t>ng</w:t>
      </w:r>
      <w:r w:rsidRPr="007D66D9">
        <w:t xml:space="preserve"> at least one adverse event, no</w:t>
      </w:r>
      <w:r w:rsidR="006004CE">
        <w:t>t the number of events.</w:t>
      </w:r>
    </w:p>
    <w:p w14:paraId="46BB7E7C" w14:textId="77777777" w:rsidR="007D66D9" w:rsidRDefault="007D66D9" w:rsidP="00DA386F">
      <w:pPr>
        <w:pStyle w:val="Tabletitle"/>
      </w:pPr>
      <w:bookmarkStart w:id="271" w:name="_Toc453055013"/>
      <w:r w:rsidRPr="002D1724">
        <w:t xml:space="preserve">Table </w:t>
      </w:r>
      <w:r w:rsidR="002B4669" w:rsidRPr="002D1724">
        <w:t>5</w:t>
      </w:r>
      <w:r w:rsidR="002B4669">
        <w:t>0</w:t>
      </w:r>
      <w:r w:rsidR="002D1724">
        <w:t>:</w:t>
      </w:r>
      <w:r w:rsidRPr="00835887">
        <w:t xml:space="preserve"> Subjects </w:t>
      </w:r>
      <w:r w:rsidR="00AA267C" w:rsidRPr="00835887">
        <w:t>with plasma concentrations &gt; 125</w:t>
      </w:r>
      <w:r w:rsidR="00AA267C">
        <w:t xml:space="preserve"> </w:t>
      </w:r>
      <w:r w:rsidR="003673F6">
        <w:t>ng</w:t>
      </w:r>
      <w:r w:rsidR="00607328">
        <w:t>/mL</w:t>
      </w:r>
      <w:r w:rsidRPr="00835887">
        <w:t xml:space="preserve"> AEs </w:t>
      </w:r>
      <w:r w:rsidR="00AA267C" w:rsidRPr="00835887">
        <w:t>near the high concentration</w:t>
      </w:r>
      <w:bookmarkEnd w:id="271"/>
    </w:p>
    <w:p w14:paraId="21F02D3F" w14:textId="77777777" w:rsidR="007D66D9" w:rsidRPr="007D66D9" w:rsidRDefault="002B4669" w:rsidP="00DC3589">
      <w:r>
        <w:rPr>
          <w:noProof/>
          <w:lang w:eastAsia="en-AU"/>
        </w:rPr>
        <w:drawing>
          <wp:inline distT="0" distB="0" distL="0" distR="0" wp14:anchorId="2A17C6A6" wp14:editId="6D2C9389">
            <wp:extent cx="5419725" cy="7924800"/>
            <wp:effectExtent l="0" t="0" r="9525" b="0"/>
            <wp:docPr id="28" name="Picture 28" descr="Table 50: Subjects with plasma concentrations &gt; 125 ng/mL AEs near the high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19725" cy="7924800"/>
                    </a:xfrm>
                    <a:prstGeom prst="rect">
                      <a:avLst/>
                    </a:prstGeom>
                  </pic:spPr>
                </pic:pic>
              </a:graphicData>
            </a:graphic>
          </wp:inline>
        </w:drawing>
      </w:r>
    </w:p>
    <w:p w14:paraId="16048755" w14:textId="77777777" w:rsidR="00835887" w:rsidRDefault="00AA267C" w:rsidP="00DC3589">
      <w:pPr>
        <w:pStyle w:val="TableDescription"/>
      </w:pPr>
      <w:r>
        <w:lastRenderedPageBreak/>
        <w:t xml:space="preserve">a. </w:t>
      </w:r>
      <w:r w:rsidR="007D66D9" w:rsidRPr="007D66D9">
        <w:t xml:space="preserve">AEs </w:t>
      </w:r>
      <w:r w:rsidR="007D66D9" w:rsidRPr="00DC3589">
        <w:t>occurri</w:t>
      </w:r>
      <w:r w:rsidR="003673F6" w:rsidRPr="00DC3589">
        <w:t>ng</w:t>
      </w:r>
      <w:r w:rsidR="007D66D9" w:rsidRPr="007D66D9">
        <w:t xml:space="preserve"> after first occurrence of paliperidone plasma concentration ≥</w:t>
      </w:r>
      <w:r>
        <w:t xml:space="preserve"> </w:t>
      </w:r>
      <w:r w:rsidR="007D66D9" w:rsidRPr="007D66D9">
        <w:t xml:space="preserve">125 </w:t>
      </w:r>
      <w:r w:rsidR="003673F6">
        <w:t>ng</w:t>
      </w:r>
      <w:r w:rsidR="00607328">
        <w:t>/mL</w:t>
      </w:r>
      <w:r w:rsidR="007D66D9" w:rsidRPr="007D66D9">
        <w:t>, or AEs occurri</w:t>
      </w:r>
      <w:r w:rsidR="003673F6">
        <w:t>ng</w:t>
      </w:r>
      <w:r w:rsidR="007D66D9" w:rsidRPr="007D66D9">
        <w:t xml:space="preserve"> before first occurrence of paliperidone plasma concentration ≥</w:t>
      </w:r>
      <w:r>
        <w:t xml:space="preserve"> </w:t>
      </w:r>
      <w:proofErr w:type="gramStart"/>
      <w:r w:rsidR="007D66D9" w:rsidRPr="007D66D9">
        <w:t xml:space="preserve">125 </w:t>
      </w:r>
      <w:r w:rsidR="003673F6">
        <w:t>ng</w:t>
      </w:r>
      <w:r w:rsidR="00607328">
        <w:t>/mL</w:t>
      </w:r>
      <w:proofErr w:type="gramEnd"/>
      <w:r w:rsidR="007D66D9" w:rsidRPr="007D66D9">
        <w:t xml:space="preserve"> and resolvi</w:t>
      </w:r>
      <w:r w:rsidR="003673F6">
        <w:t>ng</w:t>
      </w:r>
      <w:r w:rsidR="007D66D9" w:rsidRPr="007D66D9">
        <w:t xml:space="preserve"> thereafter or any unresolved AEs.</w:t>
      </w:r>
      <w:r>
        <w:t xml:space="preserve"> b. </w:t>
      </w:r>
      <w:r w:rsidR="007D66D9" w:rsidRPr="007D66D9">
        <w:t>This AE was resolved before the scheduled sampli</w:t>
      </w:r>
      <w:r w:rsidR="003673F6">
        <w:t>ng</w:t>
      </w:r>
      <w:r w:rsidR="007D66D9" w:rsidRPr="007D66D9">
        <w:t xml:space="preserve"> day 568. NA = Not </w:t>
      </w:r>
      <w:r w:rsidR="006004CE">
        <w:t>available, NR = Not recovered.</w:t>
      </w:r>
    </w:p>
    <w:p w14:paraId="46C87942" w14:textId="77777777" w:rsidR="007D66D9" w:rsidRDefault="007D66D9" w:rsidP="007D66D9">
      <w:pPr>
        <w:pStyle w:val="Heading4"/>
      </w:pPr>
      <w:bookmarkStart w:id="272" w:name="_Toc453054922"/>
      <w:r>
        <w:t>Study 3011</w:t>
      </w:r>
      <w:bookmarkEnd w:id="272"/>
    </w:p>
    <w:p w14:paraId="13E0A75B" w14:textId="77777777" w:rsidR="007D66D9" w:rsidRPr="007D66D9" w:rsidRDefault="007D66D9" w:rsidP="00251962">
      <w:r w:rsidRPr="007D66D9">
        <w:t xml:space="preserve">This was a randomized, </w:t>
      </w:r>
      <w:r w:rsidR="00E60DFA">
        <w:t>double blind</w:t>
      </w:r>
      <w:r w:rsidRPr="007D66D9">
        <w:t xml:space="preserve">, </w:t>
      </w:r>
      <w:r w:rsidR="00E60DFA">
        <w:t>parallel group</w:t>
      </w:r>
      <w:r w:rsidRPr="007D66D9">
        <w:t>, multicentre non-inferiority study to determine if efficacy of paliperidone palmitate 3 month was non-inferior to the efficacy of 1 month formulation for the treatment of adults with schizophrenia.</w:t>
      </w:r>
    </w:p>
    <w:p w14:paraId="2C810163" w14:textId="77777777" w:rsidR="007D66D9" w:rsidRPr="007D66D9" w:rsidRDefault="007D66D9" w:rsidP="00251962">
      <w:r w:rsidRPr="007D66D9">
        <w:t>The study consisted of 3 phases: Screeni</w:t>
      </w:r>
      <w:r w:rsidR="003673F6">
        <w:t>ng</w:t>
      </w:r>
      <w:r w:rsidRPr="007D66D9">
        <w:t xml:space="preserve">/Washout/Tolerability Phase a </w:t>
      </w:r>
      <w:r w:rsidR="00E60DFA">
        <w:t>17 week</w:t>
      </w:r>
      <w:r w:rsidRPr="007D66D9">
        <w:t xml:space="preserve"> flexible dose </w:t>
      </w:r>
      <w:r w:rsidR="004A676D">
        <w:t>Open label</w:t>
      </w:r>
      <w:r w:rsidRPr="007D66D9">
        <w:t xml:space="preserve"> Stabilization Phase (referred to as the </w:t>
      </w:r>
      <w:r w:rsidR="004A676D">
        <w:t>Open label</w:t>
      </w:r>
      <w:r w:rsidR="00251962">
        <w:t xml:space="preserve"> Phase) and a 48 </w:t>
      </w:r>
      <w:r w:rsidRPr="007D66D9">
        <w:t>week rand</w:t>
      </w:r>
      <w:r w:rsidR="00251962">
        <w:t xml:space="preserve">omized, fixed dose, Double </w:t>
      </w:r>
      <w:r w:rsidRPr="007D66D9">
        <w:t xml:space="preserve">blind Controlled Phase (referred to as the </w:t>
      </w:r>
      <w:r w:rsidR="009C7BEE">
        <w:t>Double blind Phase</w:t>
      </w:r>
      <w:r w:rsidRPr="007D66D9">
        <w:t>).</w:t>
      </w:r>
    </w:p>
    <w:p w14:paraId="6C1EF6B3" w14:textId="77777777" w:rsidR="007D66D9" w:rsidRDefault="007D66D9" w:rsidP="007D66D9">
      <w:pPr>
        <w:pStyle w:val="Heading5"/>
      </w:pPr>
      <w:bookmarkStart w:id="273" w:name="_Toc453054923"/>
      <w:r>
        <w:t>Dose dumpi</w:t>
      </w:r>
      <w:r w:rsidR="003673F6">
        <w:t>ng</w:t>
      </w:r>
      <w:bookmarkEnd w:id="273"/>
    </w:p>
    <w:p w14:paraId="7AEB12A8" w14:textId="77777777" w:rsidR="004A676D" w:rsidRDefault="007D66D9" w:rsidP="00251962">
      <w:r w:rsidRPr="007D66D9">
        <w:t xml:space="preserve">There were 19 subjects whose </w:t>
      </w:r>
      <w:proofErr w:type="spellStart"/>
      <w:r w:rsidR="009F467D" w:rsidRPr="009F467D">
        <w:t>C</w:t>
      </w:r>
      <w:r w:rsidR="009F467D" w:rsidRPr="009F467D">
        <w:rPr>
          <w:vertAlign w:val="subscript"/>
        </w:rPr>
        <w:t>max</w:t>
      </w:r>
      <w:proofErr w:type="spellEnd"/>
      <w:r w:rsidRPr="007D66D9">
        <w:t xml:space="preserve"> suggested the possibility of rapid initial absorption after an injection in that other injections in the same subjects were not associated with similar high rises (</w:t>
      </w:r>
      <w:r w:rsidRPr="002B4669">
        <w:t>see</w:t>
      </w:r>
      <w:r w:rsidR="00FA7BDF">
        <w:t xml:space="preserve"> Figure 44 </w:t>
      </w:r>
      <w:r w:rsidR="002B4669" w:rsidRPr="002B4669">
        <w:t xml:space="preserve">Individual concentration curves with high </w:t>
      </w:r>
      <w:proofErr w:type="spellStart"/>
      <w:r w:rsidR="002B4669" w:rsidRPr="002B4669">
        <w:t>C</w:t>
      </w:r>
      <w:r w:rsidR="002B4669" w:rsidRPr="002B4669">
        <w:rPr>
          <w:vertAlign w:val="subscript"/>
        </w:rPr>
        <w:t>max</w:t>
      </w:r>
      <w:proofErr w:type="spellEnd"/>
      <w:r w:rsidR="002B4669">
        <w:t xml:space="preserve"> </w:t>
      </w:r>
      <w:r w:rsidR="002B4669" w:rsidRPr="002B4669">
        <w:t>for 1 (or some) injections</w:t>
      </w:r>
      <w:r w:rsidRPr="002B4669">
        <w:t>). The</w:t>
      </w:r>
      <w:r w:rsidRPr="007D66D9">
        <w:t xml:space="preserve"> infrequency of sampli</w:t>
      </w:r>
      <w:r w:rsidR="003673F6">
        <w:t>ng</w:t>
      </w:r>
      <w:r w:rsidRPr="007D66D9">
        <w:t xml:space="preserve"> precludes more definite explanation</w:t>
      </w:r>
      <w:r w:rsidR="004A676D">
        <w:t>.</w:t>
      </w:r>
    </w:p>
    <w:p w14:paraId="2737AAF2" w14:textId="77777777" w:rsidR="007D66D9" w:rsidRDefault="007D66D9" w:rsidP="005A18C6">
      <w:pPr>
        <w:pStyle w:val="FigureTitle"/>
        <w:keepNext/>
      </w:pPr>
      <w:bookmarkStart w:id="274" w:name="_Ref444511659"/>
      <w:bookmarkStart w:id="275" w:name="_Toc453055083"/>
      <w:r w:rsidRPr="002B4669">
        <w:lastRenderedPageBreak/>
        <w:t xml:space="preserve">Figure </w:t>
      </w:r>
      <w:r w:rsidR="00FA7BDF">
        <w:t>44</w:t>
      </w:r>
      <w:r w:rsidR="002B4669" w:rsidRPr="002B4669">
        <w:t>:</w:t>
      </w:r>
      <w:r w:rsidRPr="002B4669">
        <w:t xml:space="preserve"> Individual</w:t>
      </w:r>
      <w:r w:rsidRPr="00835887">
        <w:t xml:space="preserve"> concentration curves with high </w:t>
      </w:r>
      <w:proofErr w:type="spellStart"/>
      <w:r w:rsidR="009F467D" w:rsidRPr="009F467D">
        <w:t>C</w:t>
      </w:r>
      <w:r w:rsidR="009F467D" w:rsidRPr="009F467D">
        <w:rPr>
          <w:vertAlign w:val="subscript"/>
        </w:rPr>
        <w:t>max</w:t>
      </w:r>
      <w:proofErr w:type="spellEnd"/>
      <w:r w:rsidRPr="00835887">
        <w:t xml:space="preserve"> for 1 (or some) injections</w:t>
      </w:r>
      <w:bookmarkEnd w:id="274"/>
      <w:r w:rsidRPr="00835887">
        <w:t xml:space="preserve"> (given at days 120, 204, 288, 372 ± 7days)</w:t>
      </w:r>
      <w:bookmarkEnd w:id="275"/>
    </w:p>
    <w:p w14:paraId="1DA5DFC1" w14:textId="77777777" w:rsidR="00EE152C" w:rsidRDefault="00251962" w:rsidP="00EE152C">
      <w:pPr>
        <w:pStyle w:val="FigureTitle"/>
      </w:pPr>
      <w:r>
        <w:rPr>
          <w:noProof/>
          <w:lang w:eastAsia="en-AU"/>
        </w:rPr>
        <w:drawing>
          <wp:inline distT="0" distB="0" distL="0" distR="0" wp14:anchorId="6224E8AD" wp14:editId="3CFF2311">
            <wp:extent cx="5396621" cy="8315325"/>
            <wp:effectExtent l="0" t="0" r="0" b="0"/>
            <wp:docPr id="68" name="Picture 68" descr="Figure 44: Individual concentration curves with high Cmax for 1 (or some) injections (given at days 120, 204, 288, 372 ± 7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405844" cy="8329536"/>
                    </a:xfrm>
                    <a:prstGeom prst="rect">
                      <a:avLst/>
                    </a:prstGeom>
                  </pic:spPr>
                </pic:pic>
              </a:graphicData>
            </a:graphic>
          </wp:inline>
        </w:drawing>
      </w:r>
    </w:p>
    <w:p w14:paraId="7F85C0C8" w14:textId="77777777" w:rsidR="009D4825" w:rsidRDefault="009D4825" w:rsidP="009D4825">
      <w:pPr>
        <w:pStyle w:val="FigureTitle"/>
        <w:keepNext/>
      </w:pPr>
      <w:r w:rsidRPr="002B4669">
        <w:lastRenderedPageBreak/>
        <w:t xml:space="preserve">Figure </w:t>
      </w:r>
      <w:r w:rsidR="00FA7BDF">
        <w:t xml:space="preserve">44 </w:t>
      </w:r>
      <w:r>
        <w:rPr>
          <w:noProof/>
        </w:rPr>
        <w:t>(continued)</w:t>
      </w:r>
      <w:r w:rsidR="00FA7BDF">
        <w:rPr>
          <w:noProof/>
        </w:rPr>
        <w:t>:</w:t>
      </w:r>
      <w:r>
        <w:rPr>
          <w:noProof/>
        </w:rPr>
        <w:t xml:space="preserve"> </w:t>
      </w:r>
      <w:r w:rsidRPr="00835887">
        <w:t xml:space="preserve">Individual concentration curves with high </w:t>
      </w:r>
      <w:proofErr w:type="spellStart"/>
      <w:r w:rsidRPr="009F467D">
        <w:t>C</w:t>
      </w:r>
      <w:r w:rsidRPr="009F467D">
        <w:rPr>
          <w:vertAlign w:val="subscript"/>
        </w:rPr>
        <w:t>max</w:t>
      </w:r>
      <w:proofErr w:type="spellEnd"/>
      <w:r w:rsidRPr="00835887">
        <w:t xml:space="preserve"> for 1 (or some) injections (given at days 120, 204, 288, 372 ± 7days)</w:t>
      </w:r>
    </w:p>
    <w:p w14:paraId="4941B869" w14:textId="77777777" w:rsidR="009D4825" w:rsidRDefault="009D4825" w:rsidP="00EE152C">
      <w:pPr>
        <w:pStyle w:val="FigureTitle"/>
      </w:pPr>
      <w:r>
        <w:rPr>
          <w:noProof/>
          <w:lang w:eastAsia="en-AU"/>
        </w:rPr>
        <w:drawing>
          <wp:inline distT="0" distB="0" distL="0" distR="0" wp14:anchorId="22F1246F" wp14:editId="180F8753">
            <wp:extent cx="5059045" cy="8229600"/>
            <wp:effectExtent l="0" t="0" r="8255" b="0"/>
            <wp:docPr id="72" name="Picture 72" descr="Figure 44:(continued)  Individual concentration curves with high Cmax for 1 (or some) injections (given at days 120, 204, 288, 372 ± 7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059045" cy="8229600"/>
                    </a:xfrm>
                    <a:prstGeom prst="rect">
                      <a:avLst/>
                    </a:prstGeom>
                  </pic:spPr>
                </pic:pic>
              </a:graphicData>
            </a:graphic>
          </wp:inline>
        </w:drawing>
      </w:r>
    </w:p>
    <w:p w14:paraId="794C6271" w14:textId="77777777" w:rsidR="00A33895" w:rsidRDefault="00A33895" w:rsidP="00A33895">
      <w:pPr>
        <w:pStyle w:val="FigureTitle"/>
        <w:keepNext/>
      </w:pPr>
      <w:r w:rsidRPr="002B4669">
        <w:lastRenderedPageBreak/>
        <w:t xml:space="preserve">Figure </w:t>
      </w:r>
      <w:r w:rsidR="002B4669" w:rsidRPr="002B4669">
        <w:t>4</w:t>
      </w:r>
      <w:r w:rsidR="00FA7BDF">
        <w:t>4</w:t>
      </w:r>
      <w:r w:rsidR="002B4669">
        <w:t xml:space="preserve"> </w:t>
      </w:r>
      <w:r w:rsidR="002B4669">
        <w:rPr>
          <w:noProof/>
        </w:rPr>
        <w:t>(continued):</w:t>
      </w:r>
      <w:r w:rsidRPr="00835887">
        <w:t xml:space="preserve"> Individual concentration curves with high </w:t>
      </w:r>
      <w:proofErr w:type="spellStart"/>
      <w:r w:rsidRPr="009F467D">
        <w:t>C</w:t>
      </w:r>
      <w:r w:rsidRPr="009F467D">
        <w:rPr>
          <w:vertAlign w:val="subscript"/>
        </w:rPr>
        <w:t>max</w:t>
      </w:r>
      <w:proofErr w:type="spellEnd"/>
      <w:r w:rsidRPr="00835887">
        <w:t xml:space="preserve"> for 1 (or some) injections (given at days 120, 204, 288, 372 ± 7days)</w:t>
      </w:r>
    </w:p>
    <w:p w14:paraId="02698224" w14:textId="77777777" w:rsidR="007D66D9" w:rsidRPr="007D66D9" w:rsidRDefault="009D4825" w:rsidP="009D4825">
      <w:pPr>
        <w:rPr>
          <w:noProof/>
        </w:rPr>
      </w:pPr>
      <w:r>
        <w:rPr>
          <w:noProof/>
          <w:lang w:eastAsia="en-AU"/>
        </w:rPr>
        <w:drawing>
          <wp:inline distT="0" distB="0" distL="0" distR="0" wp14:anchorId="26C73C31" wp14:editId="445CF0C1">
            <wp:extent cx="5070475" cy="8229600"/>
            <wp:effectExtent l="0" t="0" r="0" b="0"/>
            <wp:docPr id="76" name="Picture 76" descr="Figure 44 (continued): Individual concentration curves with high Cmax for 1 (or some) injections (given at days 120, 204, 288, 372 ± 7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070475" cy="8229600"/>
                    </a:xfrm>
                    <a:prstGeom prst="rect">
                      <a:avLst/>
                    </a:prstGeom>
                  </pic:spPr>
                </pic:pic>
              </a:graphicData>
            </a:graphic>
          </wp:inline>
        </w:drawing>
      </w:r>
    </w:p>
    <w:p w14:paraId="24B24093" w14:textId="77777777" w:rsidR="007D66D9" w:rsidRPr="007D66D9" w:rsidRDefault="00A33895" w:rsidP="00A33895">
      <w:pPr>
        <w:pStyle w:val="FigureTitle"/>
        <w:keepNext/>
      </w:pPr>
      <w:r w:rsidRPr="002B4669">
        <w:lastRenderedPageBreak/>
        <w:t xml:space="preserve">Figure </w:t>
      </w:r>
      <w:r w:rsidR="00FA7BDF">
        <w:t>44</w:t>
      </w:r>
      <w:r w:rsidR="002B4669">
        <w:t xml:space="preserve"> </w:t>
      </w:r>
      <w:r w:rsidRPr="002B4669">
        <w:rPr>
          <w:noProof/>
        </w:rPr>
        <w:t>(continued)</w:t>
      </w:r>
      <w:r w:rsidR="002B4669" w:rsidRPr="002B4669">
        <w:rPr>
          <w:noProof/>
        </w:rPr>
        <w:t>:</w:t>
      </w:r>
      <w:r w:rsidRPr="002B4669">
        <w:rPr>
          <w:noProof/>
        </w:rPr>
        <w:t xml:space="preserve"> </w:t>
      </w:r>
      <w:r w:rsidRPr="002B4669">
        <w:t xml:space="preserve">Individual concentration curves with high </w:t>
      </w:r>
      <w:proofErr w:type="spellStart"/>
      <w:r w:rsidRPr="002B4669">
        <w:t>C</w:t>
      </w:r>
      <w:r w:rsidRPr="002B4669">
        <w:rPr>
          <w:vertAlign w:val="subscript"/>
        </w:rPr>
        <w:t>max</w:t>
      </w:r>
      <w:proofErr w:type="spellEnd"/>
      <w:r w:rsidRPr="002B4669">
        <w:t xml:space="preserve"> for 1 (or some)</w:t>
      </w:r>
      <w:r w:rsidRPr="00835887">
        <w:t xml:space="preserve"> injections (given at days 120, 204, 288, 372 ± 7days)</w:t>
      </w:r>
    </w:p>
    <w:p w14:paraId="6564024C" w14:textId="77777777" w:rsidR="007D66D9" w:rsidRPr="007D66D9" w:rsidRDefault="009D4825" w:rsidP="009D4825">
      <w:pPr>
        <w:rPr>
          <w:noProof/>
        </w:rPr>
      </w:pPr>
      <w:r>
        <w:rPr>
          <w:noProof/>
          <w:lang w:eastAsia="en-AU"/>
        </w:rPr>
        <w:drawing>
          <wp:inline distT="0" distB="0" distL="0" distR="0" wp14:anchorId="3C8CE47F" wp14:editId="0426A173">
            <wp:extent cx="5131435" cy="8229600"/>
            <wp:effectExtent l="0" t="0" r="0" b="0"/>
            <wp:docPr id="80" name="Picture 80" descr="Figure 44 (continued): Individual concentration curves with high Cmax for 1 (or some) injections (given at days 120, 204, 288, 372 ± 7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131435" cy="8229600"/>
                    </a:xfrm>
                    <a:prstGeom prst="rect">
                      <a:avLst/>
                    </a:prstGeom>
                  </pic:spPr>
                </pic:pic>
              </a:graphicData>
            </a:graphic>
          </wp:inline>
        </w:drawing>
      </w:r>
    </w:p>
    <w:p w14:paraId="48B9059C" w14:textId="77777777" w:rsidR="007D66D9" w:rsidRPr="007D66D9" w:rsidRDefault="002B4669" w:rsidP="00A33895">
      <w:pPr>
        <w:pStyle w:val="FigureTitle"/>
        <w:keepNext/>
      </w:pPr>
      <w:r w:rsidRPr="002B4669">
        <w:lastRenderedPageBreak/>
        <w:t>Figure 4</w:t>
      </w:r>
      <w:r w:rsidR="00FA7BDF">
        <w:t>4</w:t>
      </w:r>
      <w:r>
        <w:t xml:space="preserve"> </w:t>
      </w:r>
      <w:r>
        <w:rPr>
          <w:noProof/>
        </w:rPr>
        <w:t>(continued):</w:t>
      </w:r>
      <w:r w:rsidR="00A33895" w:rsidRPr="00835887">
        <w:t xml:space="preserve"> Individual concentration curves with high </w:t>
      </w:r>
      <w:proofErr w:type="spellStart"/>
      <w:r w:rsidR="00A33895" w:rsidRPr="009F467D">
        <w:t>C</w:t>
      </w:r>
      <w:r w:rsidR="00A33895" w:rsidRPr="009F467D">
        <w:rPr>
          <w:vertAlign w:val="subscript"/>
        </w:rPr>
        <w:t>max</w:t>
      </w:r>
      <w:proofErr w:type="spellEnd"/>
      <w:r w:rsidR="00A33895" w:rsidRPr="00835887">
        <w:t xml:space="preserve"> for 1 (or some) injections (given at days 120, 204, 288, 372 ± 7days)</w:t>
      </w:r>
    </w:p>
    <w:p w14:paraId="7D191001" w14:textId="77777777" w:rsidR="007D66D9" w:rsidRPr="007D66D9" w:rsidRDefault="00560D35" w:rsidP="009D4825">
      <w:pPr>
        <w:rPr>
          <w:noProof/>
        </w:rPr>
      </w:pPr>
      <w:r>
        <w:rPr>
          <w:noProof/>
          <w:lang w:eastAsia="en-AU"/>
        </w:rPr>
        <w:drawing>
          <wp:inline distT="0" distB="0" distL="0" distR="0" wp14:anchorId="590C6CED" wp14:editId="4CBBAA1F">
            <wp:extent cx="5045075" cy="8229600"/>
            <wp:effectExtent l="0" t="0" r="3175" b="0"/>
            <wp:docPr id="85" name="Picture 85" descr="Figure 44 (continued): Individual concentration curves with high Cmax for 1 (or some) injections (given at days 120, 204, 288, 372 ± 7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45075" cy="8229600"/>
                    </a:xfrm>
                    <a:prstGeom prst="rect">
                      <a:avLst/>
                    </a:prstGeom>
                  </pic:spPr>
                </pic:pic>
              </a:graphicData>
            </a:graphic>
          </wp:inline>
        </w:drawing>
      </w:r>
    </w:p>
    <w:p w14:paraId="4587EA81" w14:textId="77777777" w:rsidR="007D66D9" w:rsidRPr="007D66D9" w:rsidRDefault="00A33895" w:rsidP="00A33895">
      <w:pPr>
        <w:pStyle w:val="FigureTitle"/>
        <w:keepNext/>
      </w:pPr>
      <w:r w:rsidRPr="00FC40CC">
        <w:lastRenderedPageBreak/>
        <w:t xml:space="preserve">Figure </w:t>
      </w:r>
      <w:r w:rsidR="00FC40CC" w:rsidRPr="00FC40CC">
        <w:t>4</w:t>
      </w:r>
      <w:r w:rsidR="00FA7BDF">
        <w:t>4</w:t>
      </w:r>
      <w:r w:rsidR="00FC40CC">
        <w:t xml:space="preserve"> </w:t>
      </w:r>
      <w:r w:rsidR="00FC40CC">
        <w:rPr>
          <w:noProof/>
        </w:rPr>
        <w:t>(continued):</w:t>
      </w:r>
      <w:r w:rsidRPr="00835887">
        <w:t xml:space="preserve"> Individual concentration curves with high </w:t>
      </w:r>
      <w:proofErr w:type="spellStart"/>
      <w:r w:rsidRPr="009F467D">
        <w:t>C</w:t>
      </w:r>
      <w:r w:rsidRPr="009F467D">
        <w:rPr>
          <w:vertAlign w:val="subscript"/>
        </w:rPr>
        <w:t>max</w:t>
      </w:r>
      <w:proofErr w:type="spellEnd"/>
      <w:r w:rsidRPr="00835887">
        <w:t xml:space="preserve"> for 1 (or some) injections (given at days 120, 204, 288, 372 ± 7days)</w:t>
      </w:r>
    </w:p>
    <w:p w14:paraId="0A3C1F53" w14:textId="77777777" w:rsidR="00560D35" w:rsidRPr="007D66D9" w:rsidRDefault="00560D35" w:rsidP="007D66D9">
      <w:pPr>
        <w:rPr>
          <w:noProof/>
        </w:rPr>
      </w:pPr>
      <w:r>
        <w:rPr>
          <w:noProof/>
          <w:lang w:eastAsia="en-AU"/>
        </w:rPr>
        <w:drawing>
          <wp:inline distT="0" distB="0" distL="0" distR="0" wp14:anchorId="567A41ED" wp14:editId="2B3FF2B2">
            <wp:extent cx="4893945" cy="8229600"/>
            <wp:effectExtent l="0" t="0" r="1905" b="0"/>
            <wp:docPr id="89" name="Picture 89" descr="Figure 44 (continued): Individual concentration curves with high Cmax for 1 (or some) injections (given at days 120, 204, 288, 372 ± 7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893945" cy="8229600"/>
                    </a:xfrm>
                    <a:prstGeom prst="rect">
                      <a:avLst/>
                    </a:prstGeom>
                  </pic:spPr>
                </pic:pic>
              </a:graphicData>
            </a:graphic>
          </wp:inline>
        </w:drawing>
      </w:r>
    </w:p>
    <w:p w14:paraId="3F8A5911" w14:textId="77777777" w:rsidR="007D66D9" w:rsidRDefault="00FC40CC" w:rsidP="007D66D9">
      <w:pPr>
        <w:pStyle w:val="Heading5"/>
      </w:pPr>
      <w:bookmarkStart w:id="276" w:name="_Toc453054924"/>
      <w:r>
        <w:lastRenderedPageBreak/>
        <w:t>Adverse e</w:t>
      </w:r>
      <w:r w:rsidR="007D66D9">
        <w:t>vents</w:t>
      </w:r>
      <w:bookmarkEnd w:id="276"/>
    </w:p>
    <w:p w14:paraId="3987B792" w14:textId="77777777" w:rsidR="007D66D9" w:rsidRPr="007D66D9" w:rsidRDefault="007D66D9" w:rsidP="007D66D9">
      <w:r w:rsidRPr="007D66D9">
        <w:t>The 2 open label phase deaths were considered o</w:t>
      </w:r>
      <w:r w:rsidR="00A33895">
        <w:t>f doubtful relationship to the s</w:t>
      </w:r>
      <w:r w:rsidRPr="007D66D9">
        <w:t>tudy drug, one was a sudden cardiac arrest in a 34y old female on Day 8. The 1 death on Invega Tr</w:t>
      </w:r>
      <w:r w:rsidR="00A33895">
        <w:t>inza was due to hepatocellular carcinom</w:t>
      </w:r>
      <w:r w:rsidRPr="007D66D9">
        <w:t>a on Day 316</w:t>
      </w:r>
      <w:r w:rsidR="006004CE">
        <w:t>.</w:t>
      </w:r>
    </w:p>
    <w:p w14:paraId="269A2013" w14:textId="77777777" w:rsidR="007D66D9" w:rsidRPr="00A33895" w:rsidRDefault="007D66D9" w:rsidP="00A33895">
      <w:pPr>
        <w:pStyle w:val="Tabletitle"/>
      </w:pPr>
      <w:bookmarkStart w:id="277" w:name="_Toc453055014"/>
      <w:r w:rsidRPr="00FC40CC">
        <w:t xml:space="preserve">Table </w:t>
      </w:r>
      <w:r w:rsidR="00FC40CC" w:rsidRPr="00FC40CC">
        <w:t>50</w:t>
      </w:r>
      <w:r w:rsidR="00FC40CC">
        <w:t>:</w:t>
      </w:r>
      <w:r w:rsidRPr="00A33895">
        <w:t xml:space="preserve"> Overall </w:t>
      </w:r>
      <w:r w:rsidR="00A33895" w:rsidRPr="00A33895">
        <w:t>summary of tre</w:t>
      </w:r>
      <w:r w:rsidR="006004CE">
        <w:t>atment emergent adverse events;</w:t>
      </w:r>
      <w:r w:rsidR="00A33895" w:rsidRPr="00A33895">
        <w:t xml:space="preserve"> open labe</w:t>
      </w:r>
      <w:r w:rsidR="006004CE">
        <w:t xml:space="preserve">l and double </w:t>
      </w:r>
      <w:r w:rsidR="00A33895" w:rsidRPr="00A33895">
        <w:t xml:space="preserve">blind phases </w:t>
      </w:r>
      <w:r w:rsidRPr="00A33895">
        <w:t xml:space="preserve">(ITT (OL) </w:t>
      </w:r>
      <w:r w:rsidR="00A33895" w:rsidRPr="00A33895">
        <w:t>analysis s</w:t>
      </w:r>
      <w:r w:rsidRPr="00A33895">
        <w:t>et)</w:t>
      </w:r>
      <w:bookmarkEnd w:id="277"/>
    </w:p>
    <w:p w14:paraId="01CD500C" w14:textId="77777777" w:rsidR="007D66D9" w:rsidRPr="007D66D9" w:rsidRDefault="007D66D9" w:rsidP="00DC3589">
      <w:r w:rsidRPr="007D66D9">
        <w:rPr>
          <w:noProof/>
          <w:lang w:eastAsia="en-AU"/>
        </w:rPr>
        <w:drawing>
          <wp:inline distT="0" distB="0" distL="0" distR="0" wp14:anchorId="4F4E6916" wp14:editId="0E224357">
            <wp:extent cx="5544000" cy="1383627"/>
            <wp:effectExtent l="0" t="0" r="0" b="7620"/>
            <wp:docPr id="103" name="Picture 103" descr="Table 50: Overall summary of treatment emergent adverse events - open label and double-blind phases (ITT (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544000" cy="1383627"/>
                    </a:xfrm>
                    <a:prstGeom prst="rect">
                      <a:avLst/>
                    </a:prstGeom>
                  </pic:spPr>
                </pic:pic>
              </a:graphicData>
            </a:graphic>
          </wp:inline>
        </w:drawing>
      </w:r>
    </w:p>
    <w:p w14:paraId="3C84995A" w14:textId="77777777" w:rsidR="007D66D9" w:rsidRPr="007D66D9" w:rsidRDefault="00A33895" w:rsidP="00DC3589">
      <w:pPr>
        <w:pStyle w:val="TableDescription"/>
      </w:pPr>
      <w:r>
        <w:t xml:space="preserve">a. </w:t>
      </w:r>
      <w:r w:rsidR="007D66D9" w:rsidRPr="007D66D9">
        <w:t xml:space="preserve">An </w:t>
      </w:r>
      <w:r w:rsidR="007D66D9" w:rsidRPr="00DC3589">
        <w:t>adverse</w:t>
      </w:r>
      <w:r w:rsidR="007D66D9" w:rsidRPr="007D66D9">
        <w:t xml:space="preserve"> event that started in the </w:t>
      </w:r>
      <w:r w:rsidR="004A676D">
        <w:t>Open label</w:t>
      </w:r>
      <w:r w:rsidR="007D66D9" w:rsidRPr="007D66D9">
        <w:t xml:space="preserve"> Phase and resulted in study drug bei</w:t>
      </w:r>
      <w:r w:rsidR="003673F6">
        <w:t>ng</w:t>
      </w:r>
      <w:r w:rsidR="007D66D9" w:rsidRPr="007D66D9">
        <w:t xml:space="preserve"> discontinued in the </w:t>
      </w:r>
      <w:r w:rsidR="009C7BEE">
        <w:t>Double blind Phase</w:t>
      </w:r>
      <w:r w:rsidR="007D66D9" w:rsidRPr="007D66D9">
        <w:t xml:space="preserve"> is counted as </w:t>
      </w:r>
      <w:r w:rsidR="00AA267C">
        <w:t>treatment emergent</w:t>
      </w:r>
      <w:r w:rsidR="007D66D9" w:rsidRPr="007D66D9">
        <w:t xml:space="preserve"> in the </w:t>
      </w:r>
      <w:r w:rsidR="004A676D">
        <w:t>Open label</w:t>
      </w:r>
      <w:r w:rsidR="007D66D9" w:rsidRPr="007D66D9">
        <w:t xml:space="preserve"> Phase.</w:t>
      </w:r>
    </w:p>
    <w:p w14:paraId="45FBE5FE" w14:textId="1280E8F6" w:rsidR="007D66D9" w:rsidRPr="00835887" w:rsidRDefault="007D66D9" w:rsidP="00DA386F">
      <w:pPr>
        <w:pStyle w:val="Tabletitle"/>
      </w:pPr>
      <w:bookmarkStart w:id="278" w:name="_Toc453055015"/>
      <w:r w:rsidRPr="00835887">
        <w:t xml:space="preserve">Table </w:t>
      </w:r>
      <w:r w:rsidR="00FC40CC">
        <w:t>51:</w:t>
      </w:r>
      <w:r w:rsidRPr="00835887">
        <w:t xml:space="preserve"> </w:t>
      </w:r>
      <w:r w:rsidR="00AA267C">
        <w:t xml:space="preserve">Treatment </w:t>
      </w:r>
      <w:r w:rsidR="00A33895">
        <w:t>emergent</w:t>
      </w:r>
      <w:r w:rsidR="00A33895" w:rsidRPr="00835887">
        <w:t xml:space="preserve"> extrapyramidal symptom </w:t>
      </w:r>
      <w:r w:rsidRPr="00835887">
        <w:t>(EPS)-</w:t>
      </w:r>
      <w:r w:rsidR="00A33895" w:rsidRPr="00835887">
        <w:t>related adverse events duri</w:t>
      </w:r>
      <w:r w:rsidR="00A33895">
        <w:t>ng</w:t>
      </w:r>
      <w:r w:rsidR="00A33895" w:rsidRPr="00835887">
        <w:t xml:space="preserve"> the </w:t>
      </w:r>
      <w:r w:rsidR="00A33895">
        <w:t>double blind phase</w:t>
      </w:r>
      <w:r w:rsidRPr="00835887">
        <w:t xml:space="preserve"> (</w:t>
      </w:r>
      <w:r w:rsidR="00B06D8A" w:rsidRPr="00835887">
        <w:t>safety analysis set</w:t>
      </w:r>
      <w:r w:rsidRPr="00835887">
        <w:t>)</w:t>
      </w:r>
      <w:bookmarkEnd w:id="278"/>
    </w:p>
    <w:p w14:paraId="6BB31903" w14:textId="77777777" w:rsidR="007D66D9" w:rsidRPr="007D66D9" w:rsidRDefault="007D66D9" w:rsidP="00DC3589">
      <w:r w:rsidRPr="007D66D9">
        <w:rPr>
          <w:noProof/>
          <w:lang w:eastAsia="en-AU"/>
        </w:rPr>
        <w:drawing>
          <wp:inline distT="0" distB="0" distL="0" distR="0" wp14:anchorId="537E2BFC" wp14:editId="2A6A320C">
            <wp:extent cx="5184000" cy="4732056"/>
            <wp:effectExtent l="0" t="0" r="0" b="0"/>
            <wp:docPr id="104" name="Picture 104" descr="Table 51: Treatment emergent extrapyramidal symptom (EPS)-related adverse events during the double blind phas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184000" cy="4732056"/>
                    </a:xfrm>
                    <a:prstGeom prst="rect">
                      <a:avLst/>
                    </a:prstGeom>
                  </pic:spPr>
                </pic:pic>
              </a:graphicData>
            </a:graphic>
          </wp:inline>
        </w:drawing>
      </w:r>
    </w:p>
    <w:p w14:paraId="50D37CD4" w14:textId="77777777" w:rsidR="007D66D9" w:rsidRPr="007D66D9" w:rsidRDefault="007D66D9" w:rsidP="00A33895">
      <w:pPr>
        <w:pStyle w:val="TableDescription"/>
      </w:pPr>
      <w:r w:rsidRPr="007D66D9">
        <w:t>Incidence is based on the number of subjects experienci</w:t>
      </w:r>
      <w:r w:rsidR="003673F6">
        <w:t>ng</w:t>
      </w:r>
      <w:r w:rsidRPr="007D66D9">
        <w:t xml:space="preserve"> at least one adverse event, not the num</w:t>
      </w:r>
      <w:r w:rsidR="00A33895">
        <w:t>ber of events.</w:t>
      </w:r>
    </w:p>
    <w:p w14:paraId="5C68AADA" w14:textId="77777777" w:rsidR="007D66D9" w:rsidRDefault="007D66D9" w:rsidP="00DA386F">
      <w:pPr>
        <w:pStyle w:val="Tabletitle"/>
      </w:pPr>
      <w:bookmarkStart w:id="279" w:name="_Toc453055016"/>
      <w:r w:rsidRPr="00835887">
        <w:lastRenderedPageBreak/>
        <w:t xml:space="preserve">Table </w:t>
      </w:r>
      <w:r w:rsidR="00FC40CC">
        <w:t>52:</w:t>
      </w:r>
      <w:r w:rsidRPr="00835887">
        <w:t xml:space="preserve"> </w:t>
      </w:r>
      <w:r w:rsidR="00AA267C">
        <w:t xml:space="preserve">Treatment </w:t>
      </w:r>
      <w:r w:rsidR="00A33895">
        <w:t>emergent</w:t>
      </w:r>
      <w:r w:rsidR="00A33895" w:rsidRPr="00835887">
        <w:t xml:space="preserve"> adverse events leadi</w:t>
      </w:r>
      <w:r w:rsidR="00A33895">
        <w:t>ng</w:t>
      </w:r>
      <w:r w:rsidR="00A33895" w:rsidRPr="00835887">
        <w:t xml:space="preserve"> to study drug discontinuation duri</w:t>
      </w:r>
      <w:r w:rsidR="00A33895">
        <w:t>ng</w:t>
      </w:r>
      <w:r w:rsidR="00A33895" w:rsidRPr="00835887">
        <w:t xml:space="preserve"> the </w:t>
      </w:r>
      <w:r w:rsidR="00A33895">
        <w:t>double blind phase (</w:t>
      </w:r>
      <w:r w:rsidR="00A33895" w:rsidRPr="00835887">
        <w:t>safety analysis set</w:t>
      </w:r>
      <w:r w:rsidRPr="00835887">
        <w:t>)</w:t>
      </w:r>
      <w:bookmarkEnd w:id="279"/>
    </w:p>
    <w:p w14:paraId="366F653B" w14:textId="77777777" w:rsidR="007D66D9" w:rsidRPr="007D66D9" w:rsidRDefault="00A33895" w:rsidP="00DC3589">
      <w:r>
        <w:rPr>
          <w:noProof/>
          <w:lang w:eastAsia="en-AU"/>
        </w:rPr>
        <w:drawing>
          <wp:inline distT="0" distB="0" distL="0" distR="0" wp14:anchorId="470EC57C" wp14:editId="1CBAF8B2">
            <wp:extent cx="5388104" cy="6005779"/>
            <wp:effectExtent l="0" t="0" r="3175" b="0"/>
            <wp:docPr id="13" name="Picture 13" descr="Table 52: Treatment emergent adverse events leading to study drug discontinuation during the double blind phas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388566" cy="6006294"/>
                    </a:xfrm>
                    <a:prstGeom prst="rect">
                      <a:avLst/>
                    </a:prstGeom>
                  </pic:spPr>
                </pic:pic>
              </a:graphicData>
            </a:graphic>
          </wp:inline>
        </w:drawing>
      </w:r>
    </w:p>
    <w:p w14:paraId="6A8B61D2" w14:textId="77777777" w:rsidR="007D66D9" w:rsidRPr="007D66D9" w:rsidRDefault="007D66D9" w:rsidP="00DC3589">
      <w:pPr>
        <w:pStyle w:val="TableDescription"/>
      </w:pPr>
      <w:r w:rsidRPr="00DC3589">
        <w:t>Incidence</w:t>
      </w:r>
      <w:r w:rsidRPr="007D66D9">
        <w:t xml:space="preserve"> is based on the number of subjects experienci</w:t>
      </w:r>
      <w:r w:rsidR="003673F6">
        <w:t>ng</w:t>
      </w:r>
      <w:r w:rsidRPr="007D66D9">
        <w:t xml:space="preserve"> at least one adverse event,</w:t>
      </w:r>
      <w:r w:rsidR="00835887">
        <w:t xml:space="preserve"> not the number of ev</w:t>
      </w:r>
      <w:r w:rsidR="00A33895">
        <w:t xml:space="preserve">ents. </w:t>
      </w:r>
      <w:r w:rsidRPr="007D66D9">
        <w:t xml:space="preserve">An adverse event that started in the </w:t>
      </w:r>
      <w:r w:rsidR="004A676D">
        <w:t>Open label</w:t>
      </w:r>
      <w:r w:rsidRPr="007D66D9">
        <w:t xml:space="preserve"> Phase and resulted in study drug bei</w:t>
      </w:r>
      <w:r w:rsidR="003673F6">
        <w:t>ng</w:t>
      </w:r>
      <w:r w:rsidRPr="007D66D9">
        <w:t xml:space="preserve"> discontinued in the </w:t>
      </w:r>
      <w:r w:rsidR="009C7BEE">
        <w:t>Double blind Phase</w:t>
      </w:r>
      <w:r w:rsidRPr="007D66D9">
        <w:t xml:space="preserve"> is counted as </w:t>
      </w:r>
      <w:r w:rsidR="00AA267C">
        <w:t>treatment emergent</w:t>
      </w:r>
      <w:r w:rsidR="00835887">
        <w:t xml:space="preserve"> in the </w:t>
      </w:r>
      <w:r w:rsidR="004A676D">
        <w:t>Open label</w:t>
      </w:r>
      <w:r w:rsidR="00835887">
        <w:t xml:space="preserve"> Phase.</w:t>
      </w:r>
    </w:p>
    <w:p w14:paraId="0034A9E2" w14:textId="231DBBDB" w:rsidR="007D66D9" w:rsidRPr="00835887" w:rsidRDefault="007D66D9" w:rsidP="00DA386F">
      <w:pPr>
        <w:pStyle w:val="Tabletitle"/>
      </w:pPr>
      <w:bookmarkStart w:id="280" w:name="_Toc453055017"/>
      <w:r w:rsidRPr="00FC40CC">
        <w:lastRenderedPageBreak/>
        <w:t xml:space="preserve">Table </w:t>
      </w:r>
      <w:r w:rsidR="00FC40CC">
        <w:t>53:</w:t>
      </w:r>
      <w:r w:rsidRPr="00835887">
        <w:t xml:space="preserve"> </w:t>
      </w:r>
      <w:r w:rsidR="00AA267C">
        <w:t xml:space="preserve">Treatment </w:t>
      </w:r>
      <w:r w:rsidR="00FC40CC">
        <w:t>emergent</w:t>
      </w:r>
      <w:r w:rsidR="00FC40CC" w:rsidRPr="00835887">
        <w:t xml:space="preserve"> potentially prolactin-related adverse events </w:t>
      </w:r>
      <w:r w:rsidRPr="00835887">
        <w:t xml:space="preserve">by </w:t>
      </w:r>
      <w:proofErr w:type="spellStart"/>
      <w:r w:rsidRPr="00835887">
        <w:t>MedDRA</w:t>
      </w:r>
      <w:proofErr w:type="spellEnd"/>
      <w:r w:rsidRPr="00835887">
        <w:t xml:space="preserve"> </w:t>
      </w:r>
      <w:r w:rsidR="00FC40CC" w:rsidRPr="00835887">
        <w:t>preferred term and sex duri</w:t>
      </w:r>
      <w:r w:rsidR="00FC40CC">
        <w:t xml:space="preserve">ng the double </w:t>
      </w:r>
      <w:r w:rsidR="00FC40CC" w:rsidRPr="00835887">
        <w:t xml:space="preserve">blind phase </w:t>
      </w:r>
      <w:r w:rsidRPr="00835887">
        <w:t>(</w:t>
      </w:r>
      <w:r w:rsidR="00B06D8A" w:rsidRPr="00835887">
        <w:t>safety analysis set</w:t>
      </w:r>
      <w:r w:rsidRPr="00835887">
        <w:t>)</w:t>
      </w:r>
      <w:bookmarkEnd w:id="280"/>
    </w:p>
    <w:p w14:paraId="7F65E87D" w14:textId="77777777" w:rsidR="007D66D9" w:rsidRPr="007D66D9" w:rsidRDefault="007D66D9" w:rsidP="00DC3589">
      <w:r w:rsidRPr="007D66D9">
        <w:rPr>
          <w:noProof/>
          <w:lang w:eastAsia="en-AU"/>
        </w:rPr>
        <w:drawing>
          <wp:inline distT="0" distB="0" distL="0" distR="0" wp14:anchorId="4BE3858D" wp14:editId="72875799">
            <wp:extent cx="5561558" cy="2772461"/>
            <wp:effectExtent l="0" t="0" r="1270" b="8890"/>
            <wp:docPr id="108" name="Picture 108" descr="Table 53: Treatment emergent potentially prolactin-related adverse events by MedDRA preferred term and sex during the double blind phas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562035" cy="2772699"/>
                    </a:xfrm>
                    <a:prstGeom prst="rect">
                      <a:avLst/>
                    </a:prstGeom>
                  </pic:spPr>
                </pic:pic>
              </a:graphicData>
            </a:graphic>
          </wp:inline>
        </w:drawing>
      </w:r>
    </w:p>
    <w:p w14:paraId="0394F5C2" w14:textId="77777777" w:rsidR="007D66D9" w:rsidRPr="007D66D9" w:rsidRDefault="007D66D9" w:rsidP="00A33895">
      <w:pPr>
        <w:pStyle w:val="TableDescription"/>
      </w:pPr>
      <w:r w:rsidRPr="007D66D9">
        <w:t>Incidence is based on the number of subjects experienci</w:t>
      </w:r>
      <w:r w:rsidR="003673F6">
        <w:t>ng</w:t>
      </w:r>
      <w:r w:rsidRPr="007D66D9">
        <w:t xml:space="preserve"> at least one adverse event, not the num</w:t>
      </w:r>
      <w:r w:rsidR="00A33895">
        <w:t>ber of events.</w:t>
      </w:r>
    </w:p>
    <w:p w14:paraId="04A4B606" w14:textId="77777777" w:rsidR="007D66D9" w:rsidRPr="007D66D9" w:rsidRDefault="00DE450D" w:rsidP="00DE450D">
      <w:r>
        <w:t xml:space="preserve">Glucose </w:t>
      </w:r>
      <w:r w:rsidR="007D66D9" w:rsidRPr="007D66D9">
        <w:t xml:space="preserve">related AEs occurred at a higher frequency in the Invega Sustenna group compared with the Invega Trinza group (25 subjects [4.9%] </w:t>
      </w:r>
      <w:r w:rsidR="00785F6E">
        <w:t>versus</w:t>
      </w:r>
      <w:r w:rsidR="007D66D9" w:rsidRPr="007D66D9">
        <w:t xml:space="preserve"> 13 subjects [2.6%]).</w:t>
      </w:r>
    </w:p>
    <w:p w14:paraId="3DE7AD8A" w14:textId="77777777" w:rsidR="007D66D9" w:rsidRDefault="007D66D9" w:rsidP="00DA386F">
      <w:pPr>
        <w:pStyle w:val="Tabletitle"/>
      </w:pPr>
      <w:bookmarkStart w:id="281" w:name="_Toc453055018"/>
      <w:r w:rsidRPr="00FC40CC">
        <w:t xml:space="preserve">Table </w:t>
      </w:r>
      <w:r w:rsidR="00FC40CC" w:rsidRPr="00FC40CC">
        <w:t>54</w:t>
      </w:r>
      <w:r w:rsidR="00FC40CC">
        <w:t xml:space="preserve">: </w:t>
      </w:r>
      <w:r w:rsidR="00AA267C">
        <w:t xml:space="preserve">Treatment </w:t>
      </w:r>
      <w:r w:rsidR="00DE450D">
        <w:t>emergent</w:t>
      </w:r>
      <w:r w:rsidR="00DE450D" w:rsidRPr="00835887">
        <w:t xml:space="preserve"> adverse events related to injection site duri</w:t>
      </w:r>
      <w:r w:rsidR="00DE450D">
        <w:t>ng</w:t>
      </w:r>
      <w:r w:rsidR="00FC40CC">
        <w:t xml:space="preserve"> the double </w:t>
      </w:r>
      <w:r w:rsidR="00DE450D" w:rsidRPr="00835887">
        <w:t>blind phase (safety analysis set)</w:t>
      </w:r>
      <w:bookmarkEnd w:id="281"/>
    </w:p>
    <w:p w14:paraId="7BF96B29" w14:textId="77777777" w:rsidR="007D66D9" w:rsidRPr="007D66D9" w:rsidRDefault="00DE450D" w:rsidP="00DC3589">
      <w:r>
        <w:rPr>
          <w:noProof/>
          <w:lang w:eastAsia="en-AU"/>
        </w:rPr>
        <w:drawing>
          <wp:inline distT="0" distB="0" distL="0" distR="0" wp14:anchorId="4D387F91" wp14:editId="0B82C89A">
            <wp:extent cx="5515661" cy="3264611"/>
            <wp:effectExtent l="0" t="0" r="8890" b="0"/>
            <wp:docPr id="23" name="Picture 23" descr="Table 54: Treatment emergent adverse events related to injection site during the double blind phas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521005" cy="3267774"/>
                    </a:xfrm>
                    <a:prstGeom prst="rect">
                      <a:avLst/>
                    </a:prstGeom>
                  </pic:spPr>
                </pic:pic>
              </a:graphicData>
            </a:graphic>
          </wp:inline>
        </w:drawing>
      </w:r>
    </w:p>
    <w:p w14:paraId="2A90F08B" w14:textId="77777777" w:rsidR="007D66D9" w:rsidRPr="007D66D9" w:rsidRDefault="007D66D9" w:rsidP="00DE450D">
      <w:pPr>
        <w:pStyle w:val="TableDescription"/>
      </w:pPr>
      <w:r w:rsidRPr="007D66D9">
        <w:t>Incidence is based on the number of subjects experienci</w:t>
      </w:r>
      <w:r w:rsidR="003673F6">
        <w:t>ng</w:t>
      </w:r>
      <w:r w:rsidRPr="007D66D9">
        <w:t xml:space="preserve"> at least one adverse event, not the num</w:t>
      </w:r>
      <w:r w:rsidR="00DE450D">
        <w:t>ber of events.</w:t>
      </w:r>
    </w:p>
    <w:p w14:paraId="1568C6A9" w14:textId="77777777" w:rsidR="007D66D9" w:rsidRDefault="007D66D9" w:rsidP="007D66D9">
      <w:pPr>
        <w:pStyle w:val="Heading3"/>
      </w:pPr>
      <w:bookmarkStart w:id="282" w:name="_Toc241374319"/>
      <w:bookmarkStart w:id="283" w:name="_Ref271044764"/>
      <w:bookmarkStart w:id="284" w:name="_Toc272414663"/>
      <w:bookmarkStart w:id="285" w:name="_Toc290846301"/>
      <w:bookmarkStart w:id="286" w:name="_Toc290888838"/>
      <w:bookmarkStart w:id="287" w:name="_Toc453054925"/>
      <w:bookmarkStart w:id="288" w:name="_Toc495583948"/>
      <w:r>
        <w:t xml:space="preserve">Adverse </w:t>
      </w:r>
      <w:r w:rsidR="00DE450D">
        <w:t xml:space="preserve">drug </w:t>
      </w:r>
      <w:bookmarkEnd w:id="282"/>
      <w:bookmarkEnd w:id="283"/>
      <w:bookmarkEnd w:id="284"/>
      <w:bookmarkEnd w:id="285"/>
      <w:bookmarkEnd w:id="286"/>
      <w:r w:rsidR="00DE450D">
        <w:t>reactions</w:t>
      </w:r>
      <w:bookmarkEnd w:id="287"/>
      <w:bookmarkEnd w:id="288"/>
    </w:p>
    <w:p w14:paraId="6F9A03C7" w14:textId="77777777" w:rsidR="007D66D9" w:rsidRPr="007D66D9" w:rsidRDefault="007D66D9" w:rsidP="007D66D9">
      <w:r w:rsidRPr="007D66D9">
        <w:t xml:space="preserve">Two separate ADR analyses were conducted. The first analysis was conducted based on data from the </w:t>
      </w:r>
      <w:r w:rsidR="00E60DFA">
        <w:t>placebo controlled</w:t>
      </w:r>
      <w:r w:rsidRPr="007D66D9">
        <w:t xml:space="preserve">, </w:t>
      </w:r>
      <w:r w:rsidR="009746A1">
        <w:t>Phase III</w:t>
      </w:r>
      <w:r w:rsidRPr="007D66D9">
        <w:t xml:space="preserve"> Study PSY-3012 and the Phase </w:t>
      </w:r>
      <w:r w:rsidR="00DE450D">
        <w:t>I</w:t>
      </w:r>
      <w:r w:rsidRPr="007D66D9">
        <w:t xml:space="preserve"> study PSY-1005, while the second </w:t>
      </w:r>
      <w:r w:rsidRPr="007D66D9">
        <w:lastRenderedPageBreak/>
        <w:t xml:space="preserve">analysis was conducted based on data from the </w:t>
      </w:r>
      <w:r w:rsidR="009746A1">
        <w:t>Phase III</w:t>
      </w:r>
      <w:r w:rsidRPr="007D66D9">
        <w:t>, active-controlled Study PSY-3011. Those ADRs identified from the first analysis were considered as ADRs in the second analysis.</w:t>
      </w:r>
    </w:p>
    <w:p w14:paraId="028FE6F4" w14:textId="77777777" w:rsidR="007D66D9" w:rsidRPr="00835887" w:rsidRDefault="007D66D9" w:rsidP="00DA386F">
      <w:pPr>
        <w:pStyle w:val="Tabletitle"/>
      </w:pPr>
      <w:bookmarkStart w:id="289" w:name="_Toc453055019"/>
      <w:r w:rsidRPr="00FC40CC">
        <w:t xml:space="preserve">Table </w:t>
      </w:r>
      <w:r w:rsidR="00FC40CC" w:rsidRPr="00FC40CC">
        <w:t>5</w:t>
      </w:r>
      <w:r w:rsidR="00FC40CC">
        <w:t>5:</w:t>
      </w:r>
      <w:r w:rsidRPr="00835887">
        <w:t xml:space="preserve"> ADRs identified for PP3M summarized by </w:t>
      </w:r>
      <w:proofErr w:type="spellStart"/>
      <w:r w:rsidRPr="00835887">
        <w:t>MedDRA</w:t>
      </w:r>
      <w:proofErr w:type="spellEnd"/>
      <w:r w:rsidRPr="00835887">
        <w:t xml:space="preserve"> SOC</w:t>
      </w:r>
      <w:bookmarkEnd w:id="289"/>
    </w:p>
    <w:p w14:paraId="659BC347" w14:textId="77777777" w:rsidR="007D66D9" w:rsidRPr="007D66D9" w:rsidRDefault="007D66D9" w:rsidP="00DC3589">
      <w:r w:rsidRPr="007D66D9">
        <w:rPr>
          <w:noProof/>
          <w:lang w:eastAsia="en-AU"/>
        </w:rPr>
        <w:drawing>
          <wp:inline distT="0" distB="0" distL="0" distR="0" wp14:anchorId="33567724" wp14:editId="17256697">
            <wp:extent cx="5400000" cy="3703799"/>
            <wp:effectExtent l="0" t="0" r="0" b="0"/>
            <wp:docPr id="178" name="Picture 178" descr="Table 55: ADRs identified for PP3M summarized by MedDRA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t="1158"/>
                    <a:stretch/>
                  </pic:blipFill>
                  <pic:spPr bwMode="auto">
                    <a:xfrm>
                      <a:off x="0" y="0"/>
                      <a:ext cx="5400000" cy="3703799"/>
                    </a:xfrm>
                    <a:prstGeom prst="rect">
                      <a:avLst/>
                    </a:prstGeom>
                    <a:ln>
                      <a:noFill/>
                    </a:ln>
                    <a:extLst>
                      <a:ext uri="{53640926-AAD7-44D8-BBD7-CCE9431645EC}">
                        <a14:shadowObscured xmlns:a14="http://schemas.microsoft.com/office/drawing/2010/main"/>
                      </a:ext>
                    </a:extLst>
                  </pic:spPr>
                </pic:pic>
              </a:graphicData>
            </a:graphic>
          </wp:inline>
        </w:drawing>
      </w:r>
    </w:p>
    <w:p w14:paraId="239F742E" w14:textId="77777777" w:rsidR="007D66D9" w:rsidRPr="007D66D9" w:rsidRDefault="007D66D9" w:rsidP="00DC3589">
      <w:pPr>
        <w:pStyle w:val="TableDescription"/>
      </w:pPr>
      <w:r w:rsidRPr="007D66D9">
        <w:t>Individual preferred terms belo</w:t>
      </w:r>
      <w:r w:rsidR="003673F6">
        <w:t>ng</w:t>
      </w:r>
      <w:r w:rsidRPr="007D66D9">
        <w:t>i</w:t>
      </w:r>
      <w:r w:rsidR="003673F6">
        <w:t>ng</w:t>
      </w:r>
      <w:r w:rsidRPr="007D66D9">
        <w:t xml:space="preserve"> to the same medical concept were grouped together and ar</w:t>
      </w:r>
      <w:r w:rsidR="00835887">
        <w:t>e</w:t>
      </w:r>
      <w:r w:rsidR="00DE450D">
        <w:t xml:space="preserve"> indicated in </w:t>
      </w:r>
      <w:r w:rsidR="00DE450D" w:rsidRPr="00DC3589">
        <w:t>underlined</w:t>
      </w:r>
      <w:r w:rsidR="00DE450D">
        <w:t xml:space="preserve"> text</w:t>
      </w:r>
    </w:p>
    <w:p w14:paraId="3738DD15" w14:textId="77777777" w:rsidR="007D66D9" w:rsidRPr="00C27CB6" w:rsidRDefault="007D66D9" w:rsidP="007D66D9">
      <w:pPr>
        <w:pStyle w:val="Heading3"/>
      </w:pPr>
      <w:bookmarkStart w:id="290" w:name="_Ref272317284"/>
      <w:bookmarkStart w:id="291" w:name="_Ref272333565"/>
      <w:bookmarkStart w:id="292" w:name="_Toc272414664"/>
      <w:bookmarkStart w:id="293" w:name="_Toc290846302"/>
      <w:bookmarkStart w:id="294" w:name="_Toc290888839"/>
      <w:bookmarkStart w:id="295" w:name="_Toc453054926"/>
      <w:bookmarkStart w:id="296" w:name="_Toc495583949"/>
      <w:r>
        <w:t>All adverse events (irrespective of relationship to study treatment)</w:t>
      </w:r>
      <w:bookmarkEnd w:id="290"/>
      <w:bookmarkEnd w:id="291"/>
      <w:bookmarkEnd w:id="292"/>
      <w:bookmarkEnd w:id="293"/>
      <w:bookmarkEnd w:id="294"/>
      <w:bookmarkEnd w:id="295"/>
      <w:bookmarkEnd w:id="296"/>
    </w:p>
    <w:p w14:paraId="1B863656" w14:textId="77777777" w:rsidR="007D66D9" w:rsidRPr="007D66D9" w:rsidRDefault="007D66D9" w:rsidP="00DE450D">
      <w:r w:rsidRPr="007D66D9">
        <w:t xml:space="preserve">Overall, the types and rates of clinically significant AEs of special interest in subjects treated with PP3M were consistent with the safety profile of </w:t>
      </w:r>
      <w:r w:rsidRPr="00DE450D">
        <w:t>PP1M.</w:t>
      </w:r>
    </w:p>
    <w:p w14:paraId="06DF5491" w14:textId="77777777" w:rsidR="007D66D9" w:rsidRDefault="007D66D9" w:rsidP="007D66D9">
      <w:pPr>
        <w:pStyle w:val="Heading4"/>
      </w:pPr>
      <w:bookmarkStart w:id="297" w:name="_Toc241374321"/>
      <w:bookmarkStart w:id="298" w:name="_Ref271044780"/>
      <w:bookmarkStart w:id="299" w:name="_Ref271196640"/>
      <w:bookmarkStart w:id="300" w:name="_Ref272333085"/>
      <w:bookmarkStart w:id="301" w:name="_Toc272414668"/>
      <w:bookmarkStart w:id="302" w:name="_Toc290846306"/>
      <w:bookmarkStart w:id="303" w:name="_Toc290888843"/>
      <w:bookmarkStart w:id="304" w:name="_Toc453054927"/>
      <w:r>
        <w:t>Laboratory tests</w:t>
      </w:r>
      <w:bookmarkEnd w:id="297"/>
      <w:bookmarkEnd w:id="298"/>
      <w:bookmarkEnd w:id="299"/>
      <w:bookmarkEnd w:id="300"/>
      <w:bookmarkEnd w:id="301"/>
      <w:bookmarkEnd w:id="302"/>
      <w:bookmarkEnd w:id="303"/>
      <w:bookmarkEnd w:id="304"/>
    </w:p>
    <w:p w14:paraId="40BBF18D" w14:textId="77777777" w:rsidR="007D66D9" w:rsidRDefault="007D66D9" w:rsidP="007D66D9">
      <w:pPr>
        <w:pStyle w:val="Heading5"/>
      </w:pPr>
      <w:bookmarkStart w:id="305" w:name="_Toc453054928"/>
      <w:bookmarkStart w:id="306" w:name="_Toc272414669"/>
      <w:bookmarkStart w:id="307" w:name="_Toc290846307"/>
      <w:bookmarkStart w:id="308" w:name="_Toc290888844"/>
      <w:r>
        <w:t>Prolactin levels</w:t>
      </w:r>
      <w:bookmarkEnd w:id="305"/>
    </w:p>
    <w:p w14:paraId="052E94E1" w14:textId="77777777" w:rsidR="007D66D9" w:rsidRPr="007D66D9" w:rsidRDefault="007D66D9" w:rsidP="00DE450D">
      <w:r w:rsidRPr="007D66D9">
        <w:t xml:space="preserve">Increases in mean prolactin concentrations from </w:t>
      </w:r>
      <w:r w:rsidR="004A676D">
        <w:t>open label</w:t>
      </w:r>
      <w:r w:rsidRPr="007D66D9">
        <w:t xml:space="preserve"> baseline were seen duri</w:t>
      </w:r>
      <w:r w:rsidR="003673F6">
        <w:t>ng</w:t>
      </w:r>
      <w:r w:rsidRPr="007D66D9">
        <w:t xml:space="preserve"> the </w:t>
      </w:r>
      <w:r w:rsidR="004A676D">
        <w:t>Open label</w:t>
      </w:r>
      <w:r w:rsidRPr="007D66D9">
        <w:t xml:space="preserve"> Phase of Study 3011 on Invega Sustenna and Study 3012 on Invega Sustenna/Invega Trinza. The mean increases from </w:t>
      </w:r>
      <w:r w:rsidR="004A676D">
        <w:t>open label</w:t>
      </w:r>
      <w:r w:rsidRPr="007D66D9">
        <w:t xml:space="preserve"> baseline in prolactin were greater in female compared with male subjects who received Invega Trinza.</w:t>
      </w:r>
    </w:p>
    <w:p w14:paraId="6712295E" w14:textId="77777777" w:rsidR="004A676D" w:rsidRDefault="007D66D9" w:rsidP="00DE450D">
      <w:r w:rsidRPr="007D66D9">
        <w:t>After randomization to Invega Trinza or Invega Sustenna in Study 3011, mean values in both treatment groups remained generally stable in both genders, with the mean cha</w:t>
      </w:r>
      <w:r w:rsidR="003673F6">
        <w:t>ng</w:t>
      </w:r>
      <w:r w:rsidRPr="007D66D9">
        <w:t xml:space="preserve">e in serum prolactin from DB baseline to DB end point in the Invega Trinza group of </w:t>
      </w:r>
      <w:proofErr w:type="gramStart"/>
      <w:r w:rsidRPr="007D66D9">
        <w:t xml:space="preserve">-1.28 </w:t>
      </w:r>
      <w:r w:rsidR="003673F6">
        <w:t>ng</w:t>
      </w:r>
      <w:r w:rsidR="00607328">
        <w:t>/mL</w:t>
      </w:r>
      <w:r w:rsidRPr="007D66D9">
        <w:t xml:space="preserve"> for males</w:t>
      </w:r>
      <w:proofErr w:type="gramEnd"/>
      <w:r w:rsidRPr="007D66D9">
        <w:t xml:space="preserve"> and -3.37 </w:t>
      </w:r>
      <w:r w:rsidR="003673F6">
        <w:t>ng</w:t>
      </w:r>
      <w:r w:rsidR="00607328">
        <w:t>/mL</w:t>
      </w:r>
      <w:r w:rsidRPr="007D66D9">
        <w:t xml:space="preserve"> for females</w:t>
      </w:r>
      <w:r w:rsidR="004A676D">
        <w:t>.</w:t>
      </w:r>
    </w:p>
    <w:p w14:paraId="3EC9ECBD" w14:textId="77777777" w:rsidR="007D66D9" w:rsidRPr="007D66D9" w:rsidRDefault="007D66D9" w:rsidP="00DE450D">
      <w:r w:rsidRPr="007D66D9">
        <w:t>Duri</w:t>
      </w:r>
      <w:r w:rsidR="003673F6">
        <w:t>ng</w:t>
      </w:r>
      <w:r w:rsidRPr="007D66D9">
        <w:t xml:space="preserve"> the DB Phase of Study 3012, median prolactin concentrations stabilized or continued to rise for subjects who remained on Invega Trinza treatment, but declined in subjects randomized to placebo.</w:t>
      </w:r>
    </w:p>
    <w:p w14:paraId="638BF695" w14:textId="77777777" w:rsidR="007D66D9" w:rsidRPr="007D66D9" w:rsidRDefault="007D66D9" w:rsidP="00DE450D">
      <w:r w:rsidRPr="007D66D9">
        <w:t>In the Invega Trinza group, the mean cha</w:t>
      </w:r>
      <w:r w:rsidR="003673F6">
        <w:t>ng</w:t>
      </w:r>
      <w:r w:rsidRPr="007D66D9">
        <w:t xml:space="preserve">es in prolactin concentrations from DB baseline to DB end point were 2.90 and 7.48 </w:t>
      </w:r>
      <w:r w:rsidR="003673F6">
        <w:t>ng</w:t>
      </w:r>
      <w:r w:rsidR="00607328">
        <w:t>/mL</w:t>
      </w:r>
      <w:r w:rsidRPr="007D66D9">
        <w:t xml:space="preserve"> in male and female subjects, respectively.</w:t>
      </w:r>
    </w:p>
    <w:p w14:paraId="0B7FAFDD" w14:textId="77777777" w:rsidR="007D66D9" w:rsidRDefault="007D66D9" w:rsidP="007D66D9">
      <w:pPr>
        <w:pStyle w:val="Heading4"/>
      </w:pPr>
      <w:bookmarkStart w:id="309" w:name="_Toc453054929"/>
      <w:bookmarkEnd w:id="306"/>
      <w:bookmarkEnd w:id="307"/>
      <w:bookmarkEnd w:id="308"/>
      <w:r>
        <w:lastRenderedPageBreak/>
        <w:t>Weight</w:t>
      </w:r>
      <w:bookmarkEnd w:id="309"/>
    </w:p>
    <w:p w14:paraId="3C8A5CD2" w14:textId="722C2096" w:rsidR="007D66D9" w:rsidRPr="007D66D9" w:rsidRDefault="007D66D9" w:rsidP="00DE450D">
      <w:r w:rsidRPr="007D66D9">
        <w:t>The proportion of subjects with an increase of ≥ 7</w:t>
      </w:r>
      <w:r w:rsidR="00DE450D" w:rsidRPr="007D66D9">
        <w:t>%</w:t>
      </w:r>
      <w:r w:rsidRPr="007D66D9">
        <w:t xml:space="preserve"> occurred at similar rates for the Invega Trinza and Invega Sustenna groups from DB baseline to end point (15% and 16%, respectively) in Study 3011. In Study 3012, a weight gain of ≥</w:t>
      </w:r>
      <w:r w:rsidR="00FC40CC">
        <w:t xml:space="preserve"> </w:t>
      </w:r>
      <w:r w:rsidRPr="007D66D9">
        <w:t>7% from DB baseline to end point was noted for 10% of subjects in the Invega Trinza group compared with 1% of subjects receivi</w:t>
      </w:r>
      <w:r w:rsidR="003673F6">
        <w:t>ng</w:t>
      </w:r>
      <w:r w:rsidRPr="007D66D9">
        <w:t xml:space="preserve"> placebo. The percentages of subjects who experienced a weight decrease of ≥7% from DB baseline to end point were 7% and 4% for the Invega Trinza and Invega Sustenna gro</w:t>
      </w:r>
      <w:r w:rsidR="00DE450D">
        <w:t>ups, respectively, in Study PSY</w:t>
      </w:r>
      <w:r w:rsidR="00DE450D">
        <w:noBreakHyphen/>
      </w:r>
      <w:r w:rsidRPr="007D66D9">
        <w:t>3011 and 1% and 8% in the Invega Trinza and placebo groups, respectively, in Study</w:t>
      </w:r>
      <w:r w:rsidR="00B06D8A">
        <w:t> </w:t>
      </w:r>
      <w:r w:rsidRPr="007D66D9">
        <w:t>3012.</w:t>
      </w:r>
    </w:p>
    <w:p w14:paraId="2317AC39" w14:textId="77777777" w:rsidR="007D66D9" w:rsidRDefault="007D66D9" w:rsidP="007D66D9">
      <w:pPr>
        <w:pStyle w:val="Heading3"/>
      </w:pPr>
      <w:bookmarkStart w:id="310" w:name="_Toc272414686"/>
      <w:bookmarkStart w:id="311" w:name="_Ref273005527"/>
      <w:bookmarkStart w:id="312" w:name="_Toc290846324"/>
      <w:bookmarkStart w:id="313" w:name="_Toc290888861"/>
      <w:bookmarkStart w:id="314" w:name="_Toc453054930"/>
      <w:bookmarkStart w:id="315" w:name="_Toc495583950"/>
      <w:r w:rsidRPr="000C26B6">
        <w:t>Other safety issues</w:t>
      </w:r>
      <w:bookmarkEnd w:id="310"/>
      <w:bookmarkEnd w:id="311"/>
      <w:bookmarkEnd w:id="312"/>
      <w:bookmarkEnd w:id="313"/>
      <w:bookmarkEnd w:id="314"/>
      <w:bookmarkEnd w:id="315"/>
    </w:p>
    <w:p w14:paraId="5E36C891" w14:textId="77777777" w:rsidR="007D66D9" w:rsidRPr="000C26B6" w:rsidRDefault="007D66D9" w:rsidP="007D66D9">
      <w:pPr>
        <w:pStyle w:val="Heading4"/>
      </w:pPr>
      <w:bookmarkStart w:id="316" w:name="_Toc272414684"/>
      <w:bookmarkStart w:id="317" w:name="_Toc290846322"/>
      <w:bookmarkStart w:id="318" w:name="_Toc290888859"/>
      <w:bookmarkStart w:id="319" w:name="_Toc453054931"/>
      <w:r w:rsidRPr="000C26B6">
        <w:t>Cardiovascular safety</w:t>
      </w:r>
      <w:bookmarkEnd w:id="316"/>
      <w:bookmarkEnd w:id="317"/>
      <w:bookmarkEnd w:id="318"/>
      <w:bookmarkEnd w:id="319"/>
    </w:p>
    <w:p w14:paraId="76B955EA" w14:textId="77777777" w:rsidR="007D66D9" w:rsidRPr="007D66D9" w:rsidRDefault="007D66D9" w:rsidP="00DE450D">
      <w:r w:rsidRPr="007D66D9">
        <w:t>AEs related to QT prolo</w:t>
      </w:r>
      <w:r w:rsidR="003673F6">
        <w:t>ng</w:t>
      </w:r>
      <w:r w:rsidRPr="007D66D9">
        <w:t>ation duri</w:t>
      </w:r>
      <w:r w:rsidR="003673F6">
        <w:t>ng</w:t>
      </w:r>
      <w:r w:rsidRPr="007D66D9">
        <w:t xml:space="preserve"> the DB Phases of study 3011was 0.4% each in Invega Trinza and Invega Sustenna groups; with none in 3012: DB Phase. All reported events related to QT prolo</w:t>
      </w:r>
      <w:r w:rsidR="003673F6">
        <w:t>ng</w:t>
      </w:r>
      <w:r w:rsidRPr="007D66D9">
        <w:t>ation in the DB Phase were non-serious.</w:t>
      </w:r>
    </w:p>
    <w:p w14:paraId="3F21D9C9" w14:textId="77777777" w:rsidR="004A676D" w:rsidRDefault="00DE450D" w:rsidP="00DE450D">
      <w:r>
        <w:t xml:space="preserve">Rates of tachycardia </w:t>
      </w:r>
      <w:r w:rsidR="007D66D9" w:rsidRPr="007D66D9">
        <w:t>related AEs duri</w:t>
      </w:r>
      <w:r w:rsidR="003673F6">
        <w:t>ng</w:t>
      </w:r>
      <w:r w:rsidR="007D66D9" w:rsidRPr="007D66D9">
        <w:t xml:space="preserve"> the DB Phase for Invega Trinza and Invega Sustenna were 2.0% and 1.8%, respectively in study 3011, and for Invega Trinza and placebo (1 subject each, &lt;</w:t>
      </w:r>
      <w:r>
        <w:t> </w:t>
      </w:r>
      <w:r w:rsidR="007D66D9" w:rsidRPr="007D66D9">
        <w:t>1%) in study 3012 DB phase</w:t>
      </w:r>
      <w:r w:rsidR="004A676D">
        <w:t>.</w:t>
      </w:r>
    </w:p>
    <w:p w14:paraId="10ACBD87" w14:textId="77777777" w:rsidR="004A676D" w:rsidRDefault="007D66D9" w:rsidP="00DE450D">
      <w:r w:rsidRPr="007D66D9">
        <w:t>Duri</w:t>
      </w:r>
      <w:r w:rsidR="003673F6">
        <w:t>ng</w:t>
      </w:r>
      <w:r w:rsidRPr="007D66D9">
        <w:t xml:space="preserve"> the DB Phase of study 3011, AEs related to orthostatic hypotension were 0.4% in the Invega Trinza group compared with 1.4% in the Invega Sustenna group. There were no AE reports of orthostatic hypotension in the Invega Trinza group duri</w:t>
      </w:r>
      <w:r w:rsidR="003673F6">
        <w:t>ng</w:t>
      </w:r>
      <w:r w:rsidRPr="007D66D9">
        <w:t xml:space="preserve"> the DB Phase of Study 3012</w:t>
      </w:r>
      <w:r w:rsidR="004A676D">
        <w:t>.</w:t>
      </w:r>
    </w:p>
    <w:p w14:paraId="4DEF9EC9" w14:textId="77777777" w:rsidR="007D66D9" w:rsidRPr="000C26B6" w:rsidRDefault="007D66D9" w:rsidP="007D66D9">
      <w:pPr>
        <w:pStyle w:val="Heading4"/>
      </w:pPr>
      <w:bookmarkStart w:id="320" w:name="_Toc272414675"/>
      <w:bookmarkStart w:id="321" w:name="_Toc290846313"/>
      <w:bookmarkStart w:id="322" w:name="_Toc290888850"/>
      <w:bookmarkStart w:id="323" w:name="_Toc453054932"/>
      <w:r w:rsidRPr="000C26B6">
        <w:t>Electrocardiograph</w:t>
      </w:r>
      <w:bookmarkEnd w:id="320"/>
      <w:bookmarkEnd w:id="321"/>
      <w:bookmarkEnd w:id="322"/>
      <w:bookmarkEnd w:id="323"/>
    </w:p>
    <w:p w14:paraId="7CAB6E71" w14:textId="77777777" w:rsidR="007D66D9" w:rsidRPr="007D66D9" w:rsidRDefault="007D66D9" w:rsidP="00DE450D">
      <w:r w:rsidRPr="007D66D9">
        <w:t>In Studies 3011 and 3012, the incidence of abnormal ECG parameters (PR, QRS, and QT intervals) was ≤</w:t>
      </w:r>
      <w:r w:rsidR="00DE450D">
        <w:t xml:space="preserve"> </w:t>
      </w:r>
      <w:r w:rsidRPr="007D66D9">
        <w:t>3% duri</w:t>
      </w:r>
      <w:r w:rsidR="003673F6">
        <w:t>ng</w:t>
      </w:r>
      <w:r w:rsidRPr="007D66D9">
        <w:t xml:space="preserve"> the DB Phases in the Invega Trinza groups. In addition, abnormal increases in heart rate occurred at the same rate (6%) duri</w:t>
      </w:r>
      <w:r w:rsidR="003673F6">
        <w:t>ng</w:t>
      </w:r>
      <w:r w:rsidRPr="007D66D9">
        <w:t xml:space="preserve"> DB treatment for the Invega Trinza and Invega Sustenna groups of Study 3011, and at a lower rate duri</w:t>
      </w:r>
      <w:r w:rsidR="003673F6">
        <w:t>ng</w:t>
      </w:r>
      <w:r w:rsidRPr="007D66D9">
        <w:t xml:space="preserve"> the DB Phase in the Invega Trinza group (2%) compared to placebo (7%) in Study 3012. In both studies, abnormal decreases in heart rate occurred at similar rates in both DB treatment groups.</w:t>
      </w:r>
    </w:p>
    <w:p w14:paraId="57B8D4B1" w14:textId="77777777" w:rsidR="007D66D9" w:rsidRPr="007D66D9" w:rsidRDefault="007D66D9" w:rsidP="00DE450D">
      <w:r w:rsidRPr="007D66D9">
        <w:t xml:space="preserve">No subject in the Invega Trinza groups for either </w:t>
      </w:r>
      <w:r w:rsidR="009746A1">
        <w:t>Phase III</w:t>
      </w:r>
      <w:r w:rsidRPr="007D66D9">
        <w:t xml:space="preserve"> study had a </w:t>
      </w:r>
      <w:proofErr w:type="spellStart"/>
      <w:r w:rsidRPr="007D66D9">
        <w:t>QTcLD</w:t>
      </w:r>
      <w:proofErr w:type="spellEnd"/>
      <w:r w:rsidRPr="007D66D9">
        <w:t xml:space="preserve"> value above 480</w:t>
      </w:r>
      <w:r w:rsidR="00DE450D">
        <w:t xml:space="preserve"> </w:t>
      </w:r>
      <w:r w:rsidRPr="007D66D9">
        <w:t>msec.</w:t>
      </w:r>
    </w:p>
    <w:p w14:paraId="68C47D04" w14:textId="77777777" w:rsidR="004A676D" w:rsidRDefault="007D66D9" w:rsidP="00DE450D">
      <w:r w:rsidRPr="007D66D9">
        <w:t>In Study 3011, 1 subject each in the Invega Trinza and Invega Sustenna groups had a cha</w:t>
      </w:r>
      <w:r w:rsidR="003673F6">
        <w:t>ng</w:t>
      </w:r>
      <w:r w:rsidRPr="007D66D9">
        <w:t xml:space="preserve">e in the </w:t>
      </w:r>
      <w:proofErr w:type="spellStart"/>
      <w:r w:rsidRPr="007D66D9">
        <w:t>QTcLD</w:t>
      </w:r>
      <w:proofErr w:type="spellEnd"/>
      <w:r w:rsidRPr="007D66D9">
        <w:t xml:space="preserve"> value of &gt;</w:t>
      </w:r>
      <w:r w:rsidR="00DE450D">
        <w:t xml:space="preserve"> </w:t>
      </w:r>
      <w:r w:rsidRPr="007D66D9">
        <w:t>60</w:t>
      </w:r>
      <w:r w:rsidR="00DE450D">
        <w:t xml:space="preserve"> </w:t>
      </w:r>
      <w:proofErr w:type="spellStart"/>
      <w:r w:rsidRPr="007D66D9">
        <w:t>msec</w:t>
      </w:r>
      <w:proofErr w:type="spellEnd"/>
      <w:r w:rsidRPr="007D66D9">
        <w:t xml:space="preserve"> duri</w:t>
      </w:r>
      <w:r w:rsidR="003673F6">
        <w:t>ng</w:t>
      </w:r>
      <w:r w:rsidRPr="007D66D9">
        <w:t xml:space="preserve"> the DB Phase relative to the average predose value. In the Invega Trinza subject, the absolute </w:t>
      </w:r>
      <w:proofErr w:type="spellStart"/>
      <w:r w:rsidRPr="007D66D9">
        <w:t>QTcLD</w:t>
      </w:r>
      <w:proofErr w:type="spellEnd"/>
      <w:r w:rsidRPr="007D66D9">
        <w:t xml:space="preserve"> value at the time of the increase was &lt; 480</w:t>
      </w:r>
      <w:r w:rsidR="00DE450D">
        <w:t xml:space="preserve"> </w:t>
      </w:r>
      <w:proofErr w:type="spellStart"/>
      <w:r w:rsidRPr="007D66D9">
        <w:t>msec</w:t>
      </w:r>
      <w:proofErr w:type="spellEnd"/>
      <w:r w:rsidRPr="007D66D9">
        <w:t xml:space="preserve">, and all </w:t>
      </w:r>
      <w:proofErr w:type="spellStart"/>
      <w:r w:rsidRPr="007D66D9">
        <w:t>QTc</w:t>
      </w:r>
      <w:proofErr w:type="spellEnd"/>
      <w:r w:rsidRPr="007D66D9">
        <w:t xml:space="preserve"> interval values were normal at the next study visit</w:t>
      </w:r>
      <w:r w:rsidR="004A676D">
        <w:t>.</w:t>
      </w:r>
    </w:p>
    <w:p w14:paraId="54FCDFD0" w14:textId="77777777" w:rsidR="004A676D" w:rsidRDefault="007D66D9" w:rsidP="00DE450D">
      <w:r w:rsidRPr="007D66D9">
        <w:t>In Study 3012, no subject had a cha</w:t>
      </w:r>
      <w:r w:rsidR="003673F6">
        <w:t>ng</w:t>
      </w:r>
      <w:r w:rsidRPr="007D66D9">
        <w:t xml:space="preserve">e in the </w:t>
      </w:r>
      <w:proofErr w:type="spellStart"/>
      <w:r w:rsidRPr="007D66D9">
        <w:t>QTcLD</w:t>
      </w:r>
      <w:proofErr w:type="spellEnd"/>
      <w:r w:rsidRPr="007D66D9">
        <w:t xml:space="preserve"> value of &gt; 60</w:t>
      </w:r>
      <w:r w:rsidR="00EC7736">
        <w:t xml:space="preserve"> </w:t>
      </w:r>
      <w:proofErr w:type="spellStart"/>
      <w:r w:rsidRPr="007D66D9">
        <w:t>msec</w:t>
      </w:r>
      <w:proofErr w:type="spellEnd"/>
      <w:r w:rsidRPr="007D66D9">
        <w:t xml:space="preserve"> duri</w:t>
      </w:r>
      <w:r w:rsidR="003673F6">
        <w:t>ng</w:t>
      </w:r>
      <w:r w:rsidRPr="007D66D9">
        <w:t xml:space="preserve"> the DB Phase relative to the average predose value. Duri</w:t>
      </w:r>
      <w:r w:rsidR="003673F6">
        <w:t>ng</w:t>
      </w:r>
      <w:r w:rsidRPr="007D66D9">
        <w:t xml:space="preserve"> </w:t>
      </w:r>
      <w:r w:rsidR="00EC7736" w:rsidRPr="007D66D9">
        <w:t xml:space="preserve">the </w:t>
      </w:r>
      <w:r w:rsidR="00EC7736">
        <w:t>open label</w:t>
      </w:r>
      <w:r w:rsidR="00EC7736" w:rsidRPr="007D66D9">
        <w:t xml:space="preserve"> phase </w:t>
      </w:r>
      <w:r w:rsidRPr="007D66D9">
        <w:t xml:space="preserve">of this study (on Invega Sustenna/Invega Trinza), no subject had a </w:t>
      </w:r>
      <w:proofErr w:type="spellStart"/>
      <w:r w:rsidRPr="007D66D9">
        <w:t>QTcLD</w:t>
      </w:r>
      <w:proofErr w:type="spellEnd"/>
      <w:r w:rsidRPr="007D66D9">
        <w:t xml:space="preserve"> value &gt; 480</w:t>
      </w:r>
      <w:r w:rsidR="00EC7736">
        <w:t xml:space="preserve"> </w:t>
      </w:r>
      <w:proofErr w:type="spellStart"/>
      <w:r w:rsidRPr="007D66D9">
        <w:t>msec</w:t>
      </w:r>
      <w:proofErr w:type="spellEnd"/>
      <w:r w:rsidRPr="007D66D9">
        <w:t xml:space="preserve">, but 1 subject had increases in </w:t>
      </w:r>
      <w:proofErr w:type="spellStart"/>
      <w:r w:rsidRPr="007D66D9">
        <w:t>QTcLD</w:t>
      </w:r>
      <w:proofErr w:type="spellEnd"/>
      <w:r w:rsidRPr="007D66D9">
        <w:t xml:space="preserve"> interval of &gt; 60 msec. This subject had a history of mitral valve prolapse and incomplete right bundle branch block, and the elevated </w:t>
      </w:r>
      <w:proofErr w:type="spellStart"/>
      <w:r w:rsidRPr="007D66D9">
        <w:t>QTcLD</w:t>
      </w:r>
      <w:proofErr w:type="spellEnd"/>
      <w:r w:rsidRPr="007D66D9">
        <w:t xml:space="preserve"> values did not recur in subsequent visits duri</w:t>
      </w:r>
      <w:r w:rsidR="003673F6">
        <w:t>ng</w:t>
      </w:r>
      <w:r w:rsidRPr="007D66D9">
        <w:t xml:space="preserve"> the DB Phase where the subject received Invega Trinza</w:t>
      </w:r>
      <w:r w:rsidR="004A676D">
        <w:t>.</w:t>
      </w:r>
    </w:p>
    <w:p w14:paraId="042314D8" w14:textId="77777777" w:rsidR="007D66D9" w:rsidRDefault="007D66D9" w:rsidP="007D66D9">
      <w:pPr>
        <w:pStyle w:val="Heading4"/>
      </w:pPr>
      <w:bookmarkStart w:id="324" w:name="_Toc453054933"/>
      <w:bookmarkStart w:id="325" w:name="_Toc241374322"/>
      <w:bookmarkStart w:id="326" w:name="_Ref272331212"/>
      <w:bookmarkStart w:id="327" w:name="_Toc272414687"/>
      <w:bookmarkStart w:id="328" w:name="_Toc290846325"/>
      <w:bookmarkStart w:id="329" w:name="_Toc290888862"/>
      <w:r>
        <w:t>Suicidality</w:t>
      </w:r>
      <w:bookmarkEnd w:id="324"/>
    </w:p>
    <w:p w14:paraId="50E3539F" w14:textId="77777777" w:rsidR="007D66D9" w:rsidRPr="007D66D9" w:rsidRDefault="007D66D9" w:rsidP="00EC7736">
      <w:r w:rsidRPr="007D66D9">
        <w:t>There were no completed suicides in Invega Trinza treated subjects in the completed clinical studies, 3011, 3012, or 1005. There was 1 death due to suicide attempt (overdose of clozapine) duri</w:t>
      </w:r>
      <w:r w:rsidR="003673F6">
        <w:t>ng</w:t>
      </w:r>
      <w:r w:rsidRPr="007D66D9">
        <w:t xml:space="preserve"> the DB Phase of Study PSY-3011 in the Invega Sustenna group; a second death in the Invega Sustenna group in this study was a possible suicide attempt (</w:t>
      </w:r>
      <w:r w:rsidR="00785F6E">
        <w:t>that is</w:t>
      </w:r>
      <w:r w:rsidRPr="007D66D9">
        <w:t>, toxicity to i</w:t>
      </w:r>
      <w:r w:rsidR="003673F6">
        <w:t>ng</w:t>
      </w:r>
      <w:r w:rsidRPr="007D66D9">
        <w:t>estion of various agents).</w:t>
      </w:r>
    </w:p>
    <w:p w14:paraId="3C0BDA98" w14:textId="77777777" w:rsidR="007D66D9" w:rsidRPr="007D66D9" w:rsidRDefault="007D66D9" w:rsidP="00EC7736">
      <w:r w:rsidRPr="007D66D9">
        <w:lastRenderedPageBreak/>
        <w:t>Duri</w:t>
      </w:r>
      <w:r w:rsidR="003673F6">
        <w:t>ng</w:t>
      </w:r>
      <w:r w:rsidRPr="007D66D9">
        <w:t xml:space="preserve"> the DB Phases, suicidality-related TEAEs were reported for 1.8% of subjects each (n = 9 each) in the Invega Trinza and Invega Sustenna groups in Study 3011, and for 1.3% (n = 2) and 2.1% (n = 3) of subjects in the Invega Trinza and placebo groups, respectively, in Study 3012. Most of these events consisted of suicidal ideation. Suicidality-related events led to study drug discontinuation for 1 subject each in the Invega Trinza and Invega Sustenna groups in 3011.</w:t>
      </w:r>
    </w:p>
    <w:p w14:paraId="2DCDDF46" w14:textId="77777777" w:rsidR="007D66D9" w:rsidRDefault="007D66D9" w:rsidP="007D66D9">
      <w:pPr>
        <w:pStyle w:val="Heading4"/>
      </w:pPr>
      <w:bookmarkStart w:id="330" w:name="_Toc453054934"/>
      <w:r w:rsidRPr="00040B61">
        <w:t>Extrapyramidal symptoms</w:t>
      </w:r>
      <w:bookmarkEnd w:id="330"/>
    </w:p>
    <w:p w14:paraId="4DFB430A" w14:textId="77777777" w:rsidR="007D66D9" w:rsidRPr="007D66D9" w:rsidRDefault="007D66D9" w:rsidP="00EC7736">
      <w:r w:rsidRPr="007D66D9">
        <w:t>In Study PSY-3011, the overall frequency of Extrapyramidal symptoms related TEAEs duri</w:t>
      </w:r>
      <w:r w:rsidR="003673F6">
        <w:t>ng</w:t>
      </w:r>
      <w:r w:rsidRPr="007D66D9">
        <w:t xml:space="preserve"> the DB Phase was similar for PP3M and PP1M, and differences between the 2 treatment groups in the rates for s</w:t>
      </w:r>
      <w:r w:rsidR="00EC7736">
        <w:t xml:space="preserve">pecific Extrapyramidal symptoms </w:t>
      </w:r>
      <w:r w:rsidRPr="007D66D9">
        <w:t>related events were all &lt;</w:t>
      </w:r>
      <w:r w:rsidR="00EC7736">
        <w:t xml:space="preserve"> </w:t>
      </w:r>
      <w:r w:rsidRPr="007D66D9">
        <w:t>2%. There was a si</w:t>
      </w:r>
      <w:r w:rsidR="003673F6">
        <w:t>ng</w:t>
      </w:r>
      <w:r w:rsidRPr="007D66D9">
        <w:t>le report of new-onset tardive dyskinesia with PP3M across the completed studies which resolved after discontinuation of study drug.</w:t>
      </w:r>
    </w:p>
    <w:p w14:paraId="3B47C2D4" w14:textId="77777777" w:rsidR="007D66D9" w:rsidRPr="007D66D9" w:rsidRDefault="007D66D9" w:rsidP="00EC7736">
      <w:r w:rsidRPr="007D66D9">
        <w:t>The rates of reported Extrapyramidal symptoms-related TEAEs were consistent with the findi</w:t>
      </w:r>
      <w:r w:rsidR="003673F6">
        <w:t>ng</w:t>
      </w:r>
      <w:r w:rsidRPr="007D66D9">
        <w:t>s based on Extrapyramidal symptoms rati</w:t>
      </w:r>
      <w:r w:rsidR="003673F6">
        <w:t>ng</w:t>
      </w:r>
      <w:r w:rsidRPr="007D66D9">
        <w:t xml:space="preserve"> scales, and there was no discernible increase in the use of anticholinergic medications relative to pre-study levels duri</w:t>
      </w:r>
      <w:r w:rsidR="003673F6">
        <w:t>ng</w:t>
      </w:r>
      <w:r w:rsidRPr="007D66D9">
        <w:t xml:space="preserve"> treatment with PP3M in either </w:t>
      </w:r>
      <w:r w:rsidR="009746A1">
        <w:t>Phase III</w:t>
      </w:r>
      <w:r w:rsidRPr="007D66D9">
        <w:t xml:space="preserve"> study.</w:t>
      </w:r>
    </w:p>
    <w:p w14:paraId="4B0A23F2" w14:textId="77777777" w:rsidR="007D66D9" w:rsidRDefault="007D66D9" w:rsidP="007D66D9">
      <w:pPr>
        <w:pStyle w:val="Heading3"/>
      </w:pPr>
      <w:bookmarkStart w:id="331" w:name="_Toc241374328"/>
      <w:bookmarkStart w:id="332" w:name="_Toc272414691"/>
      <w:bookmarkStart w:id="333" w:name="_Toc290846329"/>
      <w:bookmarkStart w:id="334" w:name="_Toc290888866"/>
      <w:bookmarkStart w:id="335" w:name="_Toc453054935"/>
      <w:bookmarkStart w:id="336" w:name="_Toc495583951"/>
      <w:bookmarkEnd w:id="325"/>
      <w:bookmarkEnd w:id="326"/>
      <w:bookmarkEnd w:id="327"/>
      <w:bookmarkEnd w:id="328"/>
      <w:bookmarkEnd w:id="329"/>
      <w:r>
        <w:t>Evaluator’s overall conclusions on clinical safety</w:t>
      </w:r>
      <w:bookmarkEnd w:id="331"/>
      <w:bookmarkEnd w:id="332"/>
      <w:bookmarkEnd w:id="333"/>
      <w:bookmarkEnd w:id="334"/>
      <w:bookmarkEnd w:id="335"/>
      <w:bookmarkEnd w:id="336"/>
    </w:p>
    <w:p w14:paraId="5F11C817" w14:textId="21EB062B" w:rsidR="007D66D9" w:rsidRPr="006004CE" w:rsidRDefault="007D66D9" w:rsidP="00EC7736">
      <w:r w:rsidRPr="006004CE">
        <w:t>The possibility of dose dumpi</w:t>
      </w:r>
      <w:r w:rsidR="003673F6" w:rsidRPr="006004CE">
        <w:t>ng</w:t>
      </w:r>
      <w:r w:rsidRPr="006004CE">
        <w:t xml:space="preserve"> is of concern. Of the 48 patients receivi</w:t>
      </w:r>
      <w:r w:rsidR="003673F6" w:rsidRPr="006004CE">
        <w:t>ng</w:t>
      </w:r>
      <w:r w:rsidRPr="006004CE">
        <w:t xml:space="preserve"> </w:t>
      </w:r>
      <w:r w:rsidR="0058163A" w:rsidRPr="006004CE">
        <w:t>525</w:t>
      </w:r>
      <w:r w:rsidR="004A676D" w:rsidRPr="006004CE">
        <w:t xml:space="preserve"> mg</w:t>
      </w:r>
      <w:r w:rsidRPr="006004CE">
        <w:t>, the 24 receivi</w:t>
      </w:r>
      <w:r w:rsidR="003673F6" w:rsidRPr="006004CE">
        <w:t>ng</w:t>
      </w:r>
      <w:r w:rsidRPr="006004CE">
        <w:t xml:space="preserve"> it in the deltoid showed a </w:t>
      </w:r>
      <w:proofErr w:type="spellStart"/>
      <w:r w:rsidR="009F467D" w:rsidRPr="006004CE">
        <w:t>C</w:t>
      </w:r>
      <w:r w:rsidR="009F467D" w:rsidRPr="006004CE">
        <w:rPr>
          <w:vertAlign w:val="subscript"/>
        </w:rPr>
        <w:t>max</w:t>
      </w:r>
      <w:proofErr w:type="spellEnd"/>
      <w:r w:rsidRPr="006004CE">
        <w:t xml:space="preserve"> mean of 12.0</w:t>
      </w:r>
      <w:r w:rsidR="003673F6" w:rsidRPr="006004CE">
        <w:t xml:space="preserve"> ng</w:t>
      </w:r>
      <w:r w:rsidR="00607328" w:rsidRPr="006004CE">
        <w:t>/mL</w:t>
      </w:r>
      <w:r w:rsidRPr="006004CE">
        <w:t xml:space="preserve"> </w:t>
      </w:r>
      <w:proofErr w:type="gramStart"/>
      <w:r w:rsidRPr="006004CE">
        <w:t>(median 11.6</w:t>
      </w:r>
      <w:r w:rsidR="003673F6" w:rsidRPr="006004CE">
        <w:t xml:space="preserve"> ng</w:t>
      </w:r>
      <w:r w:rsidR="00607328" w:rsidRPr="006004CE">
        <w:t>/mL</w:t>
      </w:r>
      <w:r w:rsidRPr="006004CE">
        <w:t>)</w:t>
      </w:r>
      <w:proofErr w:type="gramEnd"/>
      <w:r w:rsidRPr="006004CE">
        <w:t>. Patient</w:t>
      </w:r>
      <w:r w:rsidR="00EC7736" w:rsidRPr="006004CE">
        <w:t xml:space="preserve"> 605113 on Days 1 (6 hours post </w:t>
      </w:r>
      <w:r w:rsidRPr="006004CE">
        <w:t xml:space="preserve">dose), 2, 4, 6, and 10 of Period 2, had measured paliperidone concentrations of 153, 416, 243, 195, and </w:t>
      </w:r>
      <w:proofErr w:type="gramStart"/>
      <w:r w:rsidRPr="006004CE">
        <w:t>125</w:t>
      </w:r>
      <w:r w:rsidR="003673F6" w:rsidRPr="006004CE">
        <w:t xml:space="preserve"> ng</w:t>
      </w:r>
      <w:r w:rsidR="00607328" w:rsidRPr="006004CE">
        <w:t>/mL</w:t>
      </w:r>
      <w:r w:rsidRPr="006004CE">
        <w:t xml:space="preserve"> respectively</w:t>
      </w:r>
      <w:proofErr w:type="gramEnd"/>
      <w:r w:rsidRPr="006004CE">
        <w:t>.</w:t>
      </w:r>
    </w:p>
    <w:p w14:paraId="4835F7A4" w14:textId="77777777" w:rsidR="007D66D9" w:rsidRPr="006004CE" w:rsidRDefault="007D66D9" w:rsidP="00EC7736">
      <w:r w:rsidRPr="006004CE">
        <w:t>Based the appearance of the concentration curves for the 160 subjects receivi</w:t>
      </w:r>
      <w:r w:rsidR="003673F6" w:rsidRPr="006004CE">
        <w:t>ng</w:t>
      </w:r>
      <w:r w:rsidRPr="006004CE">
        <w:t xml:space="preserve"> Invega Trinza in Study 3012 3 subjects (63801202, 60017109 </w:t>
      </w:r>
      <w:r w:rsidR="00E60DFA" w:rsidRPr="006004CE">
        <w:t>and</w:t>
      </w:r>
      <w:r w:rsidRPr="006004CE">
        <w:t xml:space="preserve"> 60400605) with high concentrations suggested the possibility of rapid initial absorption after an injection in that the other injections in the same subjects were not associated with similar high rises. Similar events were seen in 19 of the 446 subjects receivi</w:t>
      </w:r>
      <w:r w:rsidR="003673F6" w:rsidRPr="006004CE">
        <w:t>ng</w:t>
      </w:r>
      <w:r w:rsidRPr="006004CE">
        <w:t xml:space="preserve"> Invega Trinza in Study 3011.</w:t>
      </w:r>
    </w:p>
    <w:p w14:paraId="596A2DE3" w14:textId="77777777" w:rsidR="007D66D9" w:rsidRPr="006004CE" w:rsidRDefault="007D66D9" w:rsidP="00EC7736">
      <w:r w:rsidRPr="006004CE">
        <w:t>Also of concern is the possibility of extended periods of low plasma paliperidone concentrations. The sponsor argues that clusteri</w:t>
      </w:r>
      <w:r w:rsidR="003673F6" w:rsidRPr="006004CE">
        <w:t>ng</w:t>
      </w:r>
      <w:r w:rsidRPr="006004CE">
        <w:t xml:space="preserve"> of relapses was not seen at a time when plasma levels would expect to be low. An alternative exploration is to compare the incidence in the first 3 month treatment period with those at steady state. (</w:t>
      </w:r>
      <w:proofErr w:type="gramStart"/>
      <w:r w:rsidRPr="006004CE">
        <w:t>see</w:t>
      </w:r>
      <w:proofErr w:type="gramEnd"/>
      <w:r w:rsidRPr="006004CE">
        <w:t xml:space="preserve"> also</w:t>
      </w:r>
      <w:r w:rsidR="00FA7BDF">
        <w:t xml:space="preserve"> Figure 45</w:t>
      </w:r>
      <w:r w:rsidR="002D1724" w:rsidRPr="006004CE">
        <w:t>)</w:t>
      </w:r>
      <w:r w:rsidRPr="006004CE">
        <w:t>.</w:t>
      </w:r>
    </w:p>
    <w:p w14:paraId="596F391A" w14:textId="77777777" w:rsidR="0085068D" w:rsidRDefault="007D66D9" w:rsidP="00EC7736">
      <w:pPr>
        <w:rPr>
          <w:rFonts w:cs="Arial"/>
        </w:rPr>
      </w:pPr>
      <w:r w:rsidRPr="006004CE">
        <w:rPr>
          <w:rFonts w:cs="Arial"/>
        </w:rPr>
        <w:t xml:space="preserve">Any conclusion about a differential effect of PP3M dose on the incidence of adverse events in the </w:t>
      </w:r>
      <w:r w:rsidR="009C7BEE" w:rsidRPr="006004CE">
        <w:rPr>
          <w:rFonts w:cs="Arial"/>
        </w:rPr>
        <w:t>Double blind Phase</w:t>
      </w:r>
      <w:r w:rsidRPr="006004CE">
        <w:rPr>
          <w:rFonts w:cs="Arial"/>
        </w:rPr>
        <w:t xml:space="preserve"> is confounded by the clinical response and tolerability of PP1M for individual subjects in </w:t>
      </w:r>
      <w:r w:rsidR="00FC40CC" w:rsidRPr="006004CE">
        <w:rPr>
          <w:rFonts w:cs="Arial"/>
        </w:rPr>
        <w:t>the open label phase</w:t>
      </w:r>
      <w:r w:rsidRPr="006004CE">
        <w:rPr>
          <w:rFonts w:cs="Arial"/>
        </w:rPr>
        <w:t>.</w:t>
      </w:r>
    </w:p>
    <w:p w14:paraId="1AEE79E8" w14:textId="77777777" w:rsidR="008E4777" w:rsidRDefault="008E4777" w:rsidP="002D1724">
      <w:pPr>
        <w:pStyle w:val="FigureTitle"/>
        <w:keepNext/>
      </w:pPr>
      <w:r w:rsidRPr="008E4777">
        <w:lastRenderedPageBreak/>
        <w:t xml:space="preserve">Figure </w:t>
      </w:r>
      <w:r w:rsidR="002D1724">
        <w:t>4</w:t>
      </w:r>
      <w:r w:rsidR="00FA7BDF">
        <w:t>5</w:t>
      </w:r>
      <w:r w:rsidR="002D1724">
        <w:t>:</w:t>
      </w:r>
      <w:r w:rsidRPr="008E4777">
        <w:t xml:space="preserve"> </w:t>
      </w:r>
      <w:bookmarkStart w:id="337" w:name="_Ref440872146"/>
      <w:bookmarkStart w:id="338" w:name="_Toc453055092"/>
      <w:r w:rsidRPr="008E4777">
        <w:t>Paliperidone Concentration-Time Profiles for subjects with &lt; 7.5ng/mL</w:t>
      </w:r>
      <w:bookmarkEnd w:id="337"/>
      <w:bookmarkEnd w:id="338"/>
    </w:p>
    <w:p w14:paraId="04FFC4FE" w14:textId="67C5F486" w:rsidR="008E4777" w:rsidRPr="00CB4ED6" w:rsidRDefault="002D1724" w:rsidP="00CB4ED6">
      <w:pPr>
        <w:pStyle w:val="FigureTitle"/>
      </w:pPr>
      <w:r>
        <w:rPr>
          <w:noProof/>
          <w:lang w:eastAsia="en-AU"/>
        </w:rPr>
        <w:drawing>
          <wp:inline distT="0" distB="0" distL="0" distR="0" wp14:anchorId="10DD5F6A" wp14:editId="17A20D99">
            <wp:extent cx="5066030" cy="8229600"/>
            <wp:effectExtent l="0" t="0" r="1270" b="0"/>
            <wp:docPr id="71" name="Picture 71" descr="Figure 45: Paliperidone Concentration-Time Profiles for subjects with &lt; 7.5ng/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066030" cy="8229600"/>
                    </a:xfrm>
                    <a:prstGeom prst="rect">
                      <a:avLst/>
                    </a:prstGeom>
                  </pic:spPr>
                </pic:pic>
              </a:graphicData>
            </a:graphic>
          </wp:inline>
        </w:drawing>
      </w:r>
      <w:r>
        <w:rPr>
          <w:noProof/>
          <w:lang w:eastAsia="en-AU"/>
        </w:rPr>
        <mc:AlternateContent>
          <mc:Choice Requires="wps">
            <w:drawing>
              <wp:anchor distT="0" distB="0" distL="114300" distR="114300" simplePos="0" relativeHeight="251661312" behindDoc="0" locked="0" layoutInCell="1" allowOverlap="1" wp14:anchorId="3EF060E0" wp14:editId="26C1575B">
                <wp:simplePos x="0" y="0"/>
                <wp:positionH relativeFrom="column">
                  <wp:posOffset>848563</wp:posOffset>
                </wp:positionH>
                <wp:positionV relativeFrom="paragraph">
                  <wp:posOffset>5452923</wp:posOffset>
                </wp:positionV>
                <wp:extent cx="541325" cy="131673"/>
                <wp:effectExtent l="0" t="0" r="11430" b="20955"/>
                <wp:wrapNone/>
                <wp:docPr id="70" name="Text Box 70"/>
                <wp:cNvGraphicFramePr/>
                <a:graphic xmlns:a="http://schemas.openxmlformats.org/drawingml/2006/main">
                  <a:graphicData uri="http://schemas.microsoft.com/office/word/2010/wordprocessingShape">
                    <wps:wsp>
                      <wps:cNvSpPr txBox="1"/>
                      <wps:spPr>
                        <a:xfrm>
                          <a:off x="0" y="0"/>
                          <a:ext cx="541325" cy="1316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881A66" w14:textId="77777777" w:rsidR="00D56AB0" w:rsidRDefault="00D56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0" o:spid="_x0000_s1026" type="#_x0000_t202" style="position:absolute;margin-left:66.8pt;margin-top:429.35pt;width:42.6pt;height:1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" fillcolor="white [3201]" strokeweight=".5pt">
                <v:textbox>
                  <w:txbxContent>
                    <w:p w14:paraId="26881A66" w14:textId="77777777" w:rsidR="00D56AB0" w:rsidRDefault="00D56AB0"/>
                  </w:txbxContent>
                </v:textbox>
              </v:shape>
            </w:pict>
          </mc:Fallback>
        </mc:AlternateContent>
      </w:r>
      <w:r w:rsidR="008E4777">
        <w:rPr>
          <w:noProof/>
          <w:lang w:eastAsia="en-AU"/>
        </w:rPr>
        <mc:AlternateContent>
          <mc:Choice Requires="wps">
            <w:drawing>
              <wp:anchor distT="0" distB="0" distL="114300" distR="114300" simplePos="0" relativeHeight="251660288" behindDoc="0" locked="0" layoutInCell="1" allowOverlap="1" wp14:anchorId="6240F9B3" wp14:editId="71B83858">
                <wp:simplePos x="0" y="0"/>
                <wp:positionH relativeFrom="column">
                  <wp:posOffset>848563</wp:posOffset>
                </wp:positionH>
                <wp:positionV relativeFrom="paragraph">
                  <wp:posOffset>2673147</wp:posOffset>
                </wp:positionV>
                <wp:extent cx="584835" cy="146304"/>
                <wp:effectExtent l="0" t="0" r="24765" b="25400"/>
                <wp:wrapNone/>
                <wp:docPr id="69" name="Text Box 69"/>
                <wp:cNvGraphicFramePr/>
                <a:graphic xmlns:a="http://schemas.openxmlformats.org/drawingml/2006/main">
                  <a:graphicData uri="http://schemas.microsoft.com/office/word/2010/wordprocessingShape">
                    <wps:wsp>
                      <wps:cNvSpPr txBox="1"/>
                      <wps:spPr>
                        <a:xfrm>
                          <a:off x="0" y="0"/>
                          <a:ext cx="584835" cy="1463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B2F02D" w14:textId="77777777" w:rsidR="00D56AB0" w:rsidRDefault="00D56A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27" type="#_x0000_t202" style="position:absolute;margin-left:66.8pt;margin-top:210.5pt;width:46.05pt;height:1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" fillcolor="white [3201]" strokeweight=".5pt">
                <v:textbox>
                  <w:txbxContent>
                    <w:p w14:paraId="42B2F02D" w14:textId="77777777" w:rsidR="00D56AB0" w:rsidRDefault="00D56AB0"/>
                  </w:txbxContent>
                </v:textbox>
              </v:shape>
            </w:pict>
          </mc:Fallback>
        </mc:AlternateContent>
      </w:r>
    </w:p>
    <w:p w14:paraId="6335083B" w14:textId="77777777" w:rsidR="00C22678" w:rsidRDefault="00C22678" w:rsidP="00C22678">
      <w:pPr>
        <w:pStyle w:val="Heading2"/>
      </w:pPr>
      <w:bookmarkStart w:id="339" w:name="_Toc495583952"/>
      <w:r>
        <w:lastRenderedPageBreak/>
        <w:t>First round benefit-risk assessment</w:t>
      </w:r>
      <w:bookmarkEnd w:id="339"/>
    </w:p>
    <w:p w14:paraId="0489B5F9" w14:textId="77777777" w:rsidR="007D66D9" w:rsidRDefault="007D66D9" w:rsidP="007D66D9">
      <w:pPr>
        <w:pStyle w:val="Heading3"/>
      </w:pPr>
      <w:bookmarkStart w:id="340" w:name="_Toc236802592"/>
      <w:bookmarkStart w:id="341" w:name="_Toc241374331"/>
      <w:bookmarkStart w:id="342" w:name="_Ref272160836"/>
      <w:bookmarkStart w:id="343" w:name="_Toc272414693"/>
      <w:bookmarkStart w:id="344" w:name="_Toc290846331"/>
      <w:bookmarkStart w:id="345" w:name="_Toc290888868"/>
      <w:bookmarkStart w:id="346" w:name="_Toc453054937"/>
      <w:bookmarkStart w:id="347" w:name="_Toc495583953"/>
      <w:r>
        <w:t>First round assessment of benefits</w:t>
      </w:r>
      <w:bookmarkEnd w:id="340"/>
      <w:bookmarkEnd w:id="341"/>
      <w:bookmarkEnd w:id="342"/>
      <w:bookmarkEnd w:id="343"/>
      <w:bookmarkEnd w:id="344"/>
      <w:bookmarkEnd w:id="345"/>
      <w:bookmarkEnd w:id="346"/>
      <w:bookmarkEnd w:id="347"/>
    </w:p>
    <w:p w14:paraId="3216D292" w14:textId="77777777" w:rsidR="004A676D" w:rsidRPr="006723BE" w:rsidRDefault="007D66D9" w:rsidP="006723BE">
      <w:r w:rsidRPr="006723BE">
        <w:t>Efficacy of the currently registered one monthly formulation was based on conventional efficacy studies, with subsequent amendments to the Dosage based on PopPK studies</w:t>
      </w:r>
      <w:r w:rsidR="004A676D" w:rsidRPr="006723BE">
        <w:t>.</w:t>
      </w:r>
    </w:p>
    <w:p w14:paraId="3098FEF6" w14:textId="77777777" w:rsidR="007D66D9" w:rsidRPr="006723BE" w:rsidRDefault="007D66D9" w:rsidP="006723BE">
      <w:r w:rsidRPr="006723BE">
        <w:t>This submission included a PopPK study of the plasma paliperidone levels resulti</w:t>
      </w:r>
      <w:r w:rsidR="003673F6" w:rsidRPr="006723BE">
        <w:t>ng</w:t>
      </w:r>
      <w:r w:rsidRPr="006723BE">
        <w:t xml:space="preserve"> from Invega Sustenna treatment which found that the model used previously (to support amended dosage) only fitted the current data if 10% uncertainties were assigned to the parameters.</w:t>
      </w:r>
    </w:p>
    <w:p w14:paraId="7879E7A0" w14:textId="77777777" w:rsidR="007D66D9" w:rsidRPr="006723BE" w:rsidRDefault="007D66D9" w:rsidP="006723BE">
      <w:r w:rsidRPr="006723BE">
        <w:t>The existi</w:t>
      </w:r>
      <w:r w:rsidR="003673F6" w:rsidRPr="006723BE">
        <w:t>ng</w:t>
      </w:r>
      <w:r w:rsidRPr="006723BE">
        <w:t xml:space="preserve"> model did not fit the Invega Trinza absorption data and a two compartment model rather than a one compartment model was necessary.</w:t>
      </w:r>
    </w:p>
    <w:p w14:paraId="77B7D12B" w14:textId="77777777" w:rsidR="007D66D9" w:rsidRPr="006723BE" w:rsidRDefault="007D66D9" w:rsidP="006723BE">
      <w:r w:rsidRPr="006723BE">
        <w:t>That is based on the PopPK analyses the new formulation behaves differently from the existi</w:t>
      </w:r>
      <w:r w:rsidR="003673F6" w:rsidRPr="006723BE">
        <w:t>ng</w:t>
      </w:r>
      <w:r w:rsidRPr="006723BE">
        <w:t xml:space="preserve"> Invega Sustenna formulation.</w:t>
      </w:r>
    </w:p>
    <w:p w14:paraId="61E05C20" w14:textId="77777777" w:rsidR="007D66D9" w:rsidRPr="006723BE" w:rsidRDefault="007D66D9" w:rsidP="006723BE">
      <w:r w:rsidRPr="006723BE">
        <w:t>Evidence for efficacy rests on 2 studies:</w:t>
      </w:r>
    </w:p>
    <w:p w14:paraId="773B1B0D" w14:textId="505853D8" w:rsidR="004A676D" w:rsidRDefault="007D66D9" w:rsidP="006723BE">
      <w:pPr>
        <w:pStyle w:val="ListBullet"/>
      </w:pPr>
      <w:r w:rsidRPr="007D66D9">
        <w:t>3012 was a placebo controlled study that was stopped at the interim analysis because it showed statistical significance of Invega Trinza over placebo</w:t>
      </w:r>
      <w:r w:rsidR="004A676D">
        <w:t>.</w:t>
      </w:r>
    </w:p>
    <w:p w14:paraId="3189C35A" w14:textId="77777777" w:rsidR="007D66D9" w:rsidRPr="007D66D9" w:rsidRDefault="007D66D9" w:rsidP="006723BE">
      <w:pPr>
        <w:pStyle w:val="ListBullet"/>
      </w:pPr>
      <w:r w:rsidRPr="007D66D9">
        <w:t xml:space="preserve">3011 was a non-inferiority study of the new formulation against the currently registered active Invega Sustenna formulation. The study did not have a placebo control. It showed non-inferiority in the primary variable. But, based on the sample size, was not powered for the secondary variables and their </w:t>
      </w:r>
      <w:r w:rsidR="009C7BEE">
        <w:t>p value</w:t>
      </w:r>
      <w:r w:rsidRPr="007D66D9">
        <w:t>s were not given.</w:t>
      </w:r>
    </w:p>
    <w:p w14:paraId="0D181077" w14:textId="77777777" w:rsidR="007D66D9" w:rsidRPr="007D66D9" w:rsidRDefault="007D66D9" w:rsidP="006723BE">
      <w:r w:rsidRPr="007D66D9">
        <w:t>Clinical significance was claimed compared to placebo in Study 3012. However it was not discussed. The Lower bound of the 95% CI for the primary variable was less than the Hazard Ratio used to determine the sample size. The secondary variables all showed a 4% difference from placebo.</w:t>
      </w:r>
    </w:p>
    <w:p w14:paraId="6F3C649E" w14:textId="77777777" w:rsidR="007D66D9" w:rsidRPr="007D66D9" w:rsidRDefault="007D66D9" w:rsidP="006723BE">
      <w:r w:rsidRPr="007D66D9">
        <w:t>The benefits the sponsor claims in the proposed usage are:</w:t>
      </w:r>
    </w:p>
    <w:p w14:paraId="7AECF4DC" w14:textId="77777777" w:rsidR="007D66D9" w:rsidRPr="005D23E6" w:rsidRDefault="007D66D9" w:rsidP="006723BE">
      <w:pPr>
        <w:pStyle w:val="ListBullet"/>
      </w:pPr>
      <w:r w:rsidRPr="005D23E6">
        <w:t xml:space="preserve">The PP3M formulation is expected to have advantages in terms of medication adherence and ease of use </w:t>
      </w:r>
    </w:p>
    <w:p w14:paraId="6F7A98AD" w14:textId="77777777" w:rsidR="007D66D9" w:rsidRPr="005D23E6" w:rsidRDefault="007D66D9" w:rsidP="006723BE">
      <w:pPr>
        <w:pStyle w:val="ListBullet"/>
      </w:pPr>
      <w:r w:rsidRPr="005D23E6">
        <w:t>These benefits are likely to be particularly valuable for patients who prefer less frequent injections, those with limited access to healthcare, those who live in an underserved rural or inner city setti</w:t>
      </w:r>
      <w:r w:rsidR="003673F6">
        <w:t>ng</w:t>
      </w:r>
      <w:r w:rsidRPr="005D23E6">
        <w:t>, and those who cannot coordinate</w:t>
      </w:r>
      <w:r w:rsidR="006723BE">
        <w:t xml:space="preserve"> bi-weekly or once </w:t>
      </w:r>
      <w:r w:rsidRPr="005D23E6">
        <w:t>monthly transportation for injection visits</w:t>
      </w:r>
    </w:p>
    <w:p w14:paraId="4D400F52" w14:textId="77777777" w:rsidR="007D66D9" w:rsidRPr="005D23E6" w:rsidRDefault="007D66D9" w:rsidP="006723BE">
      <w:pPr>
        <w:pStyle w:val="ListBullet"/>
      </w:pPr>
      <w:r w:rsidRPr="005D23E6">
        <w:t>PP3M reduces the time needed for monitori</w:t>
      </w:r>
      <w:r w:rsidR="003673F6">
        <w:t>ng</w:t>
      </w:r>
      <w:r w:rsidRPr="005D23E6">
        <w:t xml:space="preserve"> and follow-up of patients for medication adherence, potentially providi</w:t>
      </w:r>
      <w:r w:rsidR="003673F6">
        <w:t>ng</w:t>
      </w:r>
      <w:r w:rsidRPr="005D23E6">
        <w:t xml:space="preserve"> health care providers with additional time for implementi</w:t>
      </w:r>
      <w:r w:rsidR="003673F6">
        <w:t>ng</w:t>
      </w:r>
      <w:r w:rsidRPr="005D23E6">
        <w:t xml:space="preserve"> or monitori</w:t>
      </w:r>
      <w:r w:rsidR="003673F6">
        <w:t>ng</w:t>
      </w:r>
      <w:r w:rsidRPr="005D23E6">
        <w:t xml:space="preserve"> psychosocial programs.</w:t>
      </w:r>
    </w:p>
    <w:p w14:paraId="2D989AFA" w14:textId="77777777" w:rsidR="004A676D" w:rsidRDefault="007D66D9" w:rsidP="006723BE">
      <w:pPr>
        <w:pStyle w:val="ListBullet"/>
      </w:pPr>
      <w:r w:rsidRPr="005D23E6">
        <w:t>PP3M is supplied in prefilled syri</w:t>
      </w:r>
      <w:r w:rsidR="003673F6">
        <w:t>ng</w:t>
      </w:r>
      <w:r w:rsidRPr="005D23E6">
        <w:t>es that do not require reconstitution or refrigeration, further enhanci</w:t>
      </w:r>
      <w:r w:rsidR="003673F6">
        <w:t>ng</w:t>
      </w:r>
      <w:r w:rsidRPr="005D23E6">
        <w:t xml:space="preserve"> the ease of use of this LAI antipsychotic, especially in remote areas with limited healthcare provisions</w:t>
      </w:r>
      <w:r w:rsidR="004A676D">
        <w:t>.</w:t>
      </w:r>
    </w:p>
    <w:p w14:paraId="527E28A9" w14:textId="77777777" w:rsidR="007D66D9" w:rsidRDefault="007D66D9" w:rsidP="006723BE">
      <w:pPr>
        <w:pStyle w:val="Heading3"/>
      </w:pPr>
      <w:bookmarkStart w:id="348" w:name="_Toc453054938"/>
      <w:bookmarkStart w:id="349" w:name="_Toc495583954"/>
      <w:r w:rsidRPr="006723BE">
        <w:t>First</w:t>
      </w:r>
      <w:r>
        <w:t xml:space="preserve"> round assessment of risks</w:t>
      </w:r>
      <w:bookmarkEnd w:id="348"/>
      <w:bookmarkEnd w:id="349"/>
    </w:p>
    <w:p w14:paraId="4CEAABF1" w14:textId="77777777" w:rsidR="007D66D9" w:rsidRPr="007D66D9" w:rsidRDefault="007D66D9" w:rsidP="006723BE">
      <w:r w:rsidRPr="007D66D9">
        <w:t>It is of concern that the PK model used for simulations to justify dosi</w:t>
      </w:r>
      <w:r w:rsidR="003673F6">
        <w:t>ng</w:t>
      </w:r>
      <w:r w:rsidRPr="007D66D9">
        <w:t xml:space="preserve"> regimens does not include data from the lo</w:t>
      </w:r>
      <w:r w:rsidR="003673F6">
        <w:t>ng</w:t>
      </w:r>
      <w:r w:rsidRPr="007D66D9">
        <w:t xml:space="preserve"> term Study 3011 bei</w:t>
      </w:r>
      <w:r w:rsidR="003673F6">
        <w:t>ng</w:t>
      </w:r>
      <w:r w:rsidRPr="007D66D9">
        <w:t xml:space="preserve"> based on the si</w:t>
      </w:r>
      <w:r w:rsidR="003673F6">
        <w:t>ng</w:t>
      </w:r>
      <w:r w:rsidRPr="007D66D9">
        <w:t>le dose Study 1005 and Study 3012 where 160 received 2 injections of Invega Trinza only 18 received 3 injections.</w:t>
      </w:r>
    </w:p>
    <w:p w14:paraId="61D32081" w14:textId="77777777" w:rsidR="007D66D9" w:rsidRPr="007D66D9" w:rsidRDefault="007D66D9" w:rsidP="006723BE">
      <w:r w:rsidRPr="007D66D9">
        <w:t>The possibility of dose dumpi</w:t>
      </w:r>
      <w:r w:rsidR="003673F6">
        <w:t>ng</w:t>
      </w:r>
      <w:r w:rsidRPr="007D66D9">
        <w:t xml:space="preserve"> is also of concern. In study 1005 one of the 48 patients receivi</w:t>
      </w:r>
      <w:r w:rsidR="003673F6">
        <w:t>ng</w:t>
      </w:r>
      <w:r w:rsidRPr="007D66D9">
        <w:t xml:space="preserve"> </w:t>
      </w:r>
      <w:r w:rsidR="0058163A">
        <w:t>525</w:t>
      </w:r>
      <w:r w:rsidR="004A676D">
        <w:t xml:space="preserve"> mg</w:t>
      </w:r>
      <w:r w:rsidRPr="007D66D9">
        <w:t xml:space="preserve"> </w:t>
      </w:r>
      <w:r w:rsidR="004A676D">
        <w:t>equivalent</w:t>
      </w:r>
      <w:r w:rsidRPr="007D66D9">
        <w:t xml:space="preserve"> had this occur. In study 3012 in the 160 subjects receivi</w:t>
      </w:r>
      <w:r w:rsidR="003673F6">
        <w:t>ng</w:t>
      </w:r>
      <w:r w:rsidRPr="007D66D9">
        <w:t xml:space="preserve"> Invega Trinza a further 3 possible events were seen and in Study 3011 similar events were seen in 19 of the 446 </w:t>
      </w:r>
      <w:r w:rsidRPr="007D66D9">
        <w:lastRenderedPageBreak/>
        <w:t>subjects receivi</w:t>
      </w:r>
      <w:r w:rsidR="003673F6">
        <w:t>ng</w:t>
      </w:r>
      <w:r w:rsidR="006723BE">
        <w:t xml:space="preserve"> Invega Trinza;</w:t>
      </w:r>
      <w:r w:rsidRPr="007D66D9">
        <w:t xml:space="preserve"> the infrequency of paliperidone measurement precluded clearer evaluation.</w:t>
      </w:r>
    </w:p>
    <w:p w14:paraId="7B92DA8A" w14:textId="77777777" w:rsidR="007D66D9" w:rsidRPr="007D66D9" w:rsidRDefault="007D66D9" w:rsidP="006723BE">
      <w:r w:rsidRPr="007D66D9">
        <w:t>The PopPK studies did show the possibility of below therapeutic levels occurri</w:t>
      </w:r>
      <w:r w:rsidR="003673F6">
        <w:t>ng</w:t>
      </w:r>
      <w:r w:rsidRPr="007D66D9">
        <w:t xml:space="preserve"> in some patients with some dosage regimens, and some subjects did show this.</w:t>
      </w:r>
    </w:p>
    <w:p w14:paraId="4BD6CCA1" w14:textId="77777777" w:rsidR="007D66D9" w:rsidRPr="007D66D9" w:rsidRDefault="007D66D9" w:rsidP="006723BE">
      <w:r w:rsidRPr="007D66D9">
        <w:t>The sponsor argues that clusteri</w:t>
      </w:r>
      <w:r w:rsidR="003673F6">
        <w:t>ng</w:t>
      </w:r>
      <w:r w:rsidRPr="007D66D9">
        <w:t xml:space="preserve"> of relapses was not seen at a time when plasma levels would expect to be </w:t>
      </w:r>
      <w:r w:rsidRPr="006723BE">
        <w:t>low.</w:t>
      </w:r>
    </w:p>
    <w:p w14:paraId="0A7516EE" w14:textId="77777777" w:rsidR="007D66D9" w:rsidRPr="006723BE" w:rsidRDefault="006723BE" w:rsidP="006723BE">
      <w:pPr>
        <w:ind w:left="720"/>
        <w:rPr>
          <w:i/>
        </w:rPr>
      </w:pPr>
      <w:r>
        <w:rPr>
          <w:i/>
        </w:rPr>
        <w:t>‘</w:t>
      </w:r>
      <w:r w:rsidR="007D66D9" w:rsidRPr="006723BE">
        <w:rPr>
          <w:i/>
        </w:rPr>
        <w:t xml:space="preserve">Any conclusion about a differential effect of PP3M dose on the incidence of adverse events in the </w:t>
      </w:r>
      <w:r w:rsidRPr="006723BE">
        <w:rPr>
          <w:i/>
        </w:rPr>
        <w:t>double blind ph</w:t>
      </w:r>
      <w:r w:rsidR="009C7BEE" w:rsidRPr="006723BE">
        <w:rPr>
          <w:i/>
        </w:rPr>
        <w:t>ase</w:t>
      </w:r>
      <w:r w:rsidR="007D66D9" w:rsidRPr="006723BE">
        <w:rPr>
          <w:i/>
        </w:rPr>
        <w:t xml:space="preserve"> is confounded by the clinical response and tolerability of PP1M for individual subjects in the </w:t>
      </w:r>
      <w:r w:rsidRPr="006723BE">
        <w:rPr>
          <w:i/>
        </w:rPr>
        <w:t>o</w:t>
      </w:r>
      <w:r w:rsidR="004A676D" w:rsidRPr="006723BE">
        <w:rPr>
          <w:i/>
        </w:rPr>
        <w:t>pen label</w:t>
      </w:r>
      <w:r w:rsidR="007D66D9" w:rsidRPr="006723BE">
        <w:rPr>
          <w:i/>
        </w:rPr>
        <w:t xml:space="preserve"> </w:t>
      </w:r>
      <w:r w:rsidRPr="006723BE">
        <w:rPr>
          <w:i/>
        </w:rPr>
        <w:t>p</w:t>
      </w:r>
      <w:r w:rsidR="007D66D9" w:rsidRPr="006723BE">
        <w:rPr>
          <w:i/>
        </w:rPr>
        <w:t>hase.</w:t>
      </w:r>
      <w:r>
        <w:rPr>
          <w:i/>
        </w:rPr>
        <w:t>’</w:t>
      </w:r>
    </w:p>
    <w:p w14:paraId="48FD6527" w14:textId="77777777" w:rsidR="007D66D9" w:rsidRPr="007D66D9" w:rsidRDefault="007D66D9" w:rsidP="006723BE">
      <w:r w:rsidRPr="007D66D9">
        <w:t>The sponsor proposes:</w:t>
      </w:r>
    </w:p>
    <w:p w14:paraId="3C1E67F4" w14:textId="77777777" w:rsidR="004A676D" w:rsidRPr="006723BE" w:rsidRDefault="006723BE" w:rsidP="006723BE">
      <w:pPr>
        <w:ind w:left="720"/>
        <w:rPr>
          <w:i/>
        </w:rPr>
      </w:pPr>
      <w:r>
        <w:rPr>
          <w:i/>
        </w:rPr>
        <w:t>‘</w:t>
      </w:r>
      <w:r w:rsidR="007D66D9" w:rsidRPr="006723BE">
        <w:rPr>
          <w:i/>
        </w:rPr>
        <w:t>PP3M shares the same active moiety as well as the same route of administration and formulation characteristics with the commercially-available PP1M product, the Company believes that the overall extent of exposure (total number of subjects exposed) and the well documented safety profile of PP1M are particularly relevant for PP3M</w:t>
      </w:r>
      <w:r w:rsidR="004A676D" w:rsidRPr="006723BE">
        <w:rPr>
          <w:i/>
        </w:rPr>
        <w:t>.</w:t>
      </w:r>
      <w:r>
        <w:rPr>
          <w:i/>
        </w:rPr>
        <w:t>’</w:t>
      </w:r>
    </w:p>
    <w:p w14:paraId="7586CCDC" w14:textId="77777777" w:rsidR="007D66D9" w:rsidRPr="007D66D9" w:rsidRDefault="007D66D9" w:rsidP="006723BE">
      <w:r w:rsidRPr="007D66D9">
        <w:t>However the PopPK models submitted differ between the existi</w:t>
      </w:r>
      <w:r w:rsidR="003673F6">
        <w:t>ng</w:t>
      </w:r>
      <w:r w:rsidRPr="007D66D9">
        <w:t xml:space="preserve"> registered Invega Sustenna and this proposed good (Invega Trinza) </w:t>
      </w:r>
      <w:r w:rsidR="00785F6E">
        <w:t>that is</w:t>
      </w:r>
      <w:r w:rsidRPr="007D66D9">
        <w:t xml:space="preserve"> they show an </w:t>
      </w:r>
      <w:r w:rsidRPr="007D66D9">
        <w:rPr>
          <w:i/>
        </w:rPr>
        <w:t>in vivo</w:t>
      </w:r>
      <w:r w:rsidRPr="007D66D9">
        <w:t xml:space="preserve"> difference in absorption and covariates between the two.</w:t>
      </w:r>
    </w:p>
    <w:p w14:paraId="4F6E103A" w14:textId="77777777" w:rsidR="004A676D" w:rsidRDefault="007D66D9" w:rsidP="006723BE">
      <w:r w:rsidRPr="007D66D9">
        <w:t>Most of the comparisons for Safety the sponsor makes are between Invega Sustenna and Invega Trinza rather than with placebo</w:t>
      </w:r>
      <w:r w:rsidR="004A676D">
        <w:t>.</w:t>
      </w:r>
    </w:p>
    <w:p w14:paraId="4C716819" w14:textId="77777777" w:rsidR="007D66D9" w:rsidRPr="007D66D9" w:rsidRDefault="007D66D9" w:rsidP="006723BE">
      <w:r w:rsidRPr="007D66D9">
        <w:t>In study 3012 (Placebo 145 subjects, Invega Trinza 160), while the overall number of subjects havi</w:t>
      </w:r>
      <w:r w:rsidR="003673F6">
        <w:t>ng</w:t>
      </w:r>
      <w:r w:rsidRPr="007D66D9">
        <w:t xml:space="preserve"> an AE were similar, URTI </w:t>
      </w:r>
      <w:r w:rsidR="00E60DFA">
        <w:t>and</w:t>
      </w:r>
      <w:r w:rsidRPr="007D66D9">
        <w:t xml:space="preserve"> nasophary</w:t>
      </w:r>
      <w:r w:rsidR="003673F6">
        <w:t>ng</w:t>
      </w:r>
      <w:r w:rsidRPr="007D66D9">
        <w:t xml:space="preserve">itis were 9.4% for Invega Trinza </w:t>
      </w:r>
      <w:r w:rsidR="00785F6E">
        <w:t>versus</w:t>
      </w:r>
      <w:r w:rsidRPr="007D66D9">
        <w:t xml:space="preserve"> 3.5% for placebo in the DB phase, weight increase was 8.8% </w:t>
      </w:r>
      <w:r w:rsidR="00785F6E">
        <w:t>versus</w:t>
      </w:r>
      <w:r w:rsidRPr="007D66D9">
        <w:t xml:space="preserve"> 3.4%, headache was 8.8% </w:t>
      </w:r>
      <w:r w:rsidR="00785F6E">
        <w:t>versus</w:t>
      </w:r>
      <w:r w:rsidRPr="007D66D9">
        <w:t xml:space="preserve"> 4.1% and </w:t>
      </w:r>
      <w:proofErr w:type="spellStart"/>
      <w:r w:rsidRPr="007D66D9">
        <w:t>akathesia</w:t>
      </w:r>
      <w:proofErr w:type="spellEnd"/>
      <w:r w:rsidRPr="007D66D9">
        <w:t xml:space="preserve"> 4.4%</w:t>
      </w:r>
      <w:r w:rsidR="004A676D">
        <w:t xml:space="preserve"> </w:t>
      </w:r>
      <w:r w:rsidR="00785F6E">
        <w:t>versus</w:t>
      </w:r>
      <w:r w:rsidRPr="007D66D9">
        <w:t xml:space="preserve"> 0.7%. The psychiatric events relevant to schizophrenia were higher in the placebo group.</w:t>
      </w:r>
    </w:p>
    <w:p w14:paraId="35B3578E" w14:textId="77777777" w:rsidR="007D66D9" w:rsidRDefault="007D66D9" w:rsidP="007D66D9">
      <w:pPr>
        <w:pStyle w:val="Heading3"/>
      </w:pPr>
      <w:bookmarkStart w:id="350" w:name="_Toc236802597"/>
      <w:bookmarkStart w:id="351" w:name="_Toc241374335"/>
      <w:bookmarkStart w:id="352" w:name="_Toc272414695"/>
      <w:bookmarkStart w:id="353" w:name="_Toc290846333"/>
      <w:bookmarkStart w:id="354" w:name="_Toc290888870"/>
      <w:bookmarkStart w:id="355" w:name="_Toc453054939"/>
      <w:bookmarkStart w:id="356" w:name="_Toc495583955"/>
      <w:r>
        <w:t>First round assessment of benefit-risk balance</w:t>
      </w:r>
      <w:bookmarkEnd w:id="350"/>
      <w:bookmarkEnd w:id="351"/>
      <w:bookmarkEnd w:id="352"/>
      <w:bookmarkEnd w:id="353"/>
      <w:bookmarkEnd w:id="354"/>
      <w:bookmarkEnd w:id="355"/>
      <w:bookmarkEnd w:id="356"/>
    </w:p>
    <w:p w14:paraId="3C32BF93" w14:textId="77777777" w:rsidR="007D66D9" w:rsidRPr="007D66D9" w:rsidRDefault="007D66D9" w:rsidP="00835887">
      <w:pPr>
        <w:pStyle w:val="Heading4"/>
      </w:pPr>
      <w:r w:rsidRPr="007D66D9">
        <w:rPr>
          <w:lang w:val="en"/>
        </w:rPr>
        <w:t>From CPMP/EWP/49/01</w:t>
      </w:r>
    </w:p>
    <w:p w14:paraId="01EC2DD8" w14:textId="77777777" w:rsidR="007D66D9" w:rsidRPr="007D66D9" w:rsidRDefault="007D66D9" w:rsidP="006723BE">
      <w:r w:rsidRPr="007D66D9">
        <w:t>Lo</w:t>
      </w:r>
      <w:r w:rsidR="003673F6">
        <w:t>ng</w:t>
      </w:r>
      <w:r w:rsidRPr="007D66D9">
        <w:t>-acti</w:t>
      </w:r>
      <w:r w:rsidR="003673F6">
        <w:t>ng</w:t>
      </w:r>
      <w:r w:rsidRPr="007D66D9">
        <w:t xml:space="preserve"> parenteral antipsychotic medications have several advantages over short-acti</w:t>
      </w:r>
      <w:r w:rsidR="003673F6">
        <w:t>ng</w:t>
      </w:r>
      <w:r w:rsidRPr="007D66D9">
        <w:t xml:space="preserve"> oral or intra-muscular agents when administered for the treatment of chronic schizophrenia. The major advantage is the assurance of compliance leadi</w:t>
      </w:r>
      <w:r w:rsidR="003673F6">
        <w:t>ng</w:t>
      </w:r>
      <w:r w:rsidRPr="007D66D9">
        <w:t xml:space="preserve"> to fewer relapses and re-hospitalisations.</w:t>
      </w:r>
    </w:p>
    <w:p w14:paraId="5CA756DD" w14:textId="6BEE6368" w:rsidR="007D66D9" w:rsidRPr="007D66D9" w:rsidRDefault="007D66D9" w:rsidP="006723BE">
      <w:r w:rsidRPr="007D66D9">
        <w:t>As the efficacy and safety of the immediate formulation is accepted</w:t>
      </w:r>
      <w:r w:rsidR="00387A5A">
        <w:t>,</w:t>
      </w:r>
      <w:r w:rsidRPr="007D66D9">
        <w:t xml:space="preserve"> in line with the modified release guideline, a </w:t>
      </w:r>
      <w:r w:rsidRPr="00835887">
        <w:t>bridgi</w:t>
      </w:r>
      <w:r w:rsidR="003673F6">
        <w:t>ng</w:t>
      </w:r>
      <w:r w:rsidRPr="00835887">
        <w:t xml:space="preserve"> program</w:t>
      </w:r>
      <w:r w:rsidRPr="007D66D9">
        <w:t xml:space="preserve"> should be performed to support the indication.</w:t>
      </w:r>
    </w:p>
    <w:p w14:paraId="1ABC3A40" w14:textId="77777777" w:rsidR="007D66D9" w:rsidRPr="007D66D9" w:rsidRDefault="007D66D9" w:rsidP="006723BE">
      <w:r w:rsidRPr="007D66D9">
        <w:t>The purpose of the development is:</w:t>
      </w:r>
    </w:p>
    <w:p w14:paraId="42136B30" w14:textId="77777777" w:rsidR="007D66D9" w:rsidRPr="007D66D9" w:rsidRDefault="007D66D9" w:rsidP="006723BE">
      <w:pPr>
        <w:pStyle w:val="ListBullet"/>
      </w:pPr>
      <w:r w:rsidRPr="007D66D9">
        <w:t>to establish the full pharmacokinetics of the novel formulation includi</w:t>
      </w:r>
      <w:r w:rsidR="003673F6">
        <w:t>ng</w:t>
      </w:r>
      <w:r w:rsidRPr="007D66D9">
        <w:t xml:space="preserve"> the relevant release properties and thus to show </w:t>
      </w:r>
      <w:r w:rsidR="006723BE">
        <w:t>that the formulation is a depot</w:t>
      </w:r>
    </w:p>
    <w:p w14:paraId="7E03E447" w14:textId="77777777" w:rsidR="007D66D9" w:rsidRPr="007D66D9" w:rsidRDefault="007D66D9" w:rsidP="006723BE">
      <w:pPr>
        <w:pStyle w:val="ListBullet"/>
      </w:pPr>
      <w:r w:rsidRPr="007D66D9">
        <w:t>to compare bioavailability of the active i</w:t>
      </w:r>
      <w:r w:rsidR="003673F6">
        <w:t>ng</w:t>
      </w:r>
      <w:r w:rsidRPr="007D66D9">
        <w:t>redient from the depot versus the oral formulation, to assess the duration of an acceptable level of the active i</w:t>
      </w:r>
      <w:r w:rsidR="003673F6">
        <w:t>ng</w:t>
      </w:r>
      <w:r w:rsidR="006723BE">
        <w:t>redient</w:t>
      </w:r>
    </w:p>
    <w:p w14:paraId="765981CF" w14:textId="77777777" w:rsidR="007D66D9" w:rsidRPr="007D66D9" w:rsidRDefault="007D66D9" w:rsidP="006723BE">
      <w:pPr>
        <w:pStyle w:val="ListBullet"/>
      </w:pPr>
      <w:r w:rsidRPr="007D66D9">
        <w:t>to compare the efficacy versus the oral formulation in stabilised patients</w:t>
      </w:r>
    </w:p>
    <w:p w14:paraId="62D5D284" w14:textId="77777777" w:rsidR="007D66D9" w:rsidRPr="007D66D9" w:rsidRDefault="007D66D9" w:rsidP="006723BE">
      <w:pPr>
        <w:pStyle w:val="ListBullet"/>
      </w:pPr>
      <w:r w:rsidRPr="007D66D9">
        <w:t>to address switchi</w:t>
      </w:r>
      <w:r w:rsidR="003673F6">
        <w:t>ng</w:t>
      </w:r>
      <w:r w:rsidRPr="007D66D9">
        <w:t xml:space="preserve"> fro</w:t>
      </w:r>
      <w:r w:rsidR="006723BE">
        <w:t>m oral to the depot formulation</w:t>
      </w:r>
    </w:p>
    <w:p w14:paraId="3FF9F695" w14:textId="77777777" w:rsidR="007D66D9" w:rsidRPr="007D66D9" w:rsidRDefault="007D66D9" w:rsidP="006723BE">
      <w:pPr>
        <w:pStyle w:val="ListBullet"/>
      </w:pPr>
      <w:proofErr w:type="gramStart"/>
      <w:r w:rsidRPr="007D66D9">
        <w:t>to</w:t>
      </w:r>
      <w:proofErr w:type="gramEnd"/>
      <w:r w:rsidRPr="007D66D9">
        <w:t xml:space="preserve"> assess safety issues specific to the depot formulation</w:t>
      </w:r>
      <w:r w:rsidR="006723BE">
        <w:t>.</w:t>
      </w:r>
    </w:p>
    <w:p w14:paraId="737589CB" w14:textId="77777777" w:rsidR="007D66D9" w:rsidRPr="007D66D9" w:rsidRDefault="007D66D9" w:rsidP="00835887">
      <w:r w:rsidRPr="007D66D9">
        <w:t>It has been discussed whether these points could be addressed by pharmacokinetic studies and safety data alone. For this the relation between PK and effect should be known.</w:t>
      </w:r>
    </w:p>
    <w:p w14:paraId="7F341E83" w14:textId="77777777" w:rsidR="007D66D9" w:rsidRPr="007D66D9" w:rsidRDefault="007D66D9" w:rsidP="007D66D9">
      <w:r w:rsidRPr="007D66D9">
        <w:t>Most of these dot points have been fulfilled.</w:t>
      </w:r>
    </w:p>
    <w:p w14:paraId="0D838BD7" w14:textId="77777777" w:rsidR="007D66D9" w:rsidRPr="007D66D9" w:rsidRDefault="007D66D9" w:rsidP="006723BE">
      <w:pPr>
        <w:pStyle w:val="Numberbullet0"/>
        <w:numPr>
          <w:ilvl w:val="0"/>
          <w:numId w:val="50"/>
        </w:numPr>
      </w:pPr>
      <w:r w:rsidRPr="007D66D9">
        <w:lastRenderedPageBreak/>
        <w:t xml:space="preserve">To compare the efficacy versus the oral </w:t>
      </w:r>
      <w:r w:rsidRPr="006723BE">
        <w:t xml:space="preserve">(in this case 1month </w:t>
      </w:r>
      <w:r w:rsidR="00785F6E" w:rsidRPr="006723BE">
        <w:t>versus</w:t>
      </w:r>
      <w:r w:rsidRPr="006723BE">
        <w:t xml:space="preserve"> 3month) formulation</w:t>
      </w:r>
      <w:r w:rsidRPr="007D66D9">
        <w:t xml:space="preserve"> in stabilised patients. This was conducted in Study 3011. To quote the guideline ‘Placebo, as an additional arm would ensure assay sensitivity.’ 37 subjects (8.1%) in the Invega Trinza group and 45 subjects (9.2%) subjects in Invega Sustenna group had a relapse event duri</w:t>
      </w:r>
      <w:r w:rsidR="003673F6">
        <w:t>ng</w:t>
      </w:r>
      <w:r w:rsidRPr="007D66D9">
        <w:t xml:space="preserve"> the </w:t>
      </w:r>
      <w:r w:rsidR="009C7BEE">
        <w:t>Double blind Phase</w:t>
      </w:r>
      <w:r w:rsidRPr="007D66D9">
        <w:t>. In interpreti</w:t>
      </w:r>
      <w:r w:rsidR="003673F6">
        <w:t>ng</w:t>
      </w:r>
      <w:r w:rsidRPr="007D66D9">
        <w:t xml:space="preserve"> the non- inferiority result the population size calculations to show with 90% power that PP3M was no worse than PP1M were based on an expected survival (percentage of subjects remaini</w:t>
      </w:r>
      <w:r w:rsidR="003673F6">
        <w:t>ng</w:t>
      </w:r>
      <w:r w:rsidRPr="007D66D9">
        <w:t xml:space="preserve"> relapse-free) rat</w:t>
      </w:r>
      <w:r w:rsidR="006723BE">
        <w:t>e in PP1M of 70%. Whereas Study </w:t>
      </w:r>
      <w:r w:rsidRPr="007D66D9">
        <w:t>3001 showed a 10% relapse rate (90% survival) on Invega Sustenna at the time of the Interim (primary) Analysis when only 37% of subjects in the Invega Sustenna group had received at least 5 injections (4 months of injections).</w:t>
      </w:r>
    </w:p>
    <w:p w14:paraId="0A988183" w14:textId="77777777" w:rsidR="007D66D9" w:rsidRPr="007D66D9" w:rsidRDefault="007D66D9" w:rsidP="006723BE">
      <w:pPr>
        <w:pStyle w:val="Numberbullet0"/>
      </w:pPr>
      <w:r w:rsidRPr="007D66D9">
        <w:t>To assess safety issues specific to the depot formulation. The sponsor undertook adequate le</w:t>
      </w:r>
      <w:r w:rsidR="003673F6">
        <w:t>ng</w:t>
      </w:r>
      <w:r w:rsidRPr="007D66D9">
        <w:t>th of exposure showi</w:t>
      </w:r>
      <w:r w:rsidR="003673F6">
        <w:t>ng</w:t>
      </w:r>
      <w:r w:rsidRPr="007D66D9">
        <w:t xml:space="preserve"> there </w:t>
      </w:r>
      <w:proofErr w:type="gramStart"/>
      <w:r w:rsidRPr="007D66D9">
        <w:t>exists</w:t>
      </w:r>
      <w:proofErr w:type="gramEnd"/>
      <w:r w:rsidRPr="007D66D9">
        <w:t xml:space="preserve"> an approximate 2% risk of dose dumpi</w:t>
      </w:r>
      <w:r w:rsidR="003673F6">
        <w:t>ng</w:t>
      </w:r>
      <w:r w:rsidRPr="007D66D9">
        <w:t xml:space="preserve"> (high initial levels of paliperidone).</w:t>
      </w:r>
      <w:r w:rsidR="00835887">
        <w:t xml:space="preserve"> </w:t>
      </w:r>
      <w:r w:rsidRPr="007D66D9">
        <w:t>The sponsor has generally reviewed the risk of increased AEs against those of the existi</w:t>
      </w:r>
      <w:r w:rsidR="003673F6">
        <w:t>ng</w:t>
      </w:r>
      <w:r w:rsidRPr="007D66D9">
        <w:t xml:space="preserve"> approved formulation.</w:t>
      </w:r>
    </w:p>
    <w:p w14:paraId="17AD403B" w14:textId="77777777" w:rsidR="004A676D" w:rsidRDefault="007D66D9" w:rsidP="007D66D9">
      <w:r w:rsidRPr="007D66D9">
        <w:t>Against these deficiencies the sponsor has the results of a physicians’ survey that showed a willi</w:t>
      </w:r>
      <w:r w:rsidR="003673F6">
        <w:t>ng</w:t>
      </w:r>
      <w:r w:rsidRPr="007D66D9">
        <w:t>ness by physicians to accept a decrease in efficacy for patients with a history of poor adherence to dosi</w:t>
      </w:r>
      <w:r w:rsidR="003673F6">
        <w:t>ng</w:t>
      </w:r>
      <w:r w:rsidR="004A676D">
        <w:t>.</w:t>
      </w:r>
    </w:p>
    <w:p w14:paraId="6C85CF67" w14:textId="77777777" w:rsidR="000142FD" w:rsidRPr="007D66D9" w:rsidRDefault="007D66D9" w:rsidP="000142FD">
      <w:r w:rsidRPr="007D66D9">
        <w:t>This evaluator finds the benefit-risk balance of Invega Trinza, given the proposed usage, and based on the guideline is favourable but with some reservations in relation to the</w:t>
      </w:r>
      <w:r w:rsidR="00835887">
        <w:t xml:space="preserve"> </w:t>
      </w:r>
      <w:r w:rsidR="004A676D">
        <w:t>approximately</w:t>
      </w:r>
      <w:r w:rsidR="00835887">
        <w:t>2% incidence of dose dumpi</w:t>
      </w:r>
      <w:r w:rsidR="003673F6">
        <w:t>ng</w:t>
      </w:r>
      <w:r w:rsidR="00835887">
        <w:t>.</w:t>
      </w:r>
    </w:p>
    <w:p w14:paraId="6472968E" w14:textId="77777777" w:rsidR="00C22678" w:rsidRDefault="00C22678" w:rsidP="00C22678">
      <w:pPr>
        <w:pStyle w:val="Heading2"/>
      </w:pPr>
      <w:bookmarkStart w:id="357" w:name="_Toc495583956"/>
      <w:r>
        <w:t>First round recommendation regardi</w:t>
      </w:r>
      <w:r w:rsidR="003673F6">
        <w:t>ng</w:t>
      </w:r>
      <w:r>
        <w:t xml:space="preserve"> authorisation</w:t>
      </w:r>
      <w:bookmarkEnd w:id="357"/>
    </w:p>
    <w:p w14:paraId="1B06B468" w14:textId="77777777" w:rsidR="0085068D" w:rsidRPr="006723BE" w:rsidRDefault="007D66D9" w:rsidP="006723BE">
      <w:r w:rsidRPr="006723BE">
        <w:t>It is recommended that authorisation of registration occur, but with the proviso that the PI c</w:t>
      </w:r>
      <w:r w:rsidR="00835887" w:rsidRPr="006723BE">
        <w:t>arry a warni</w:t>
      </w:r>
      <w:r w:rsidR="003673F6" w:rsidRPr="006723BE">
        <w:t>ng</w:t>
      </w:r>
      <w:r w:rsidR="00835887" w:rsidRPr="006723BE">
        <w:t xml:space="preserve"> on dose dumpi</w:t>
      </w:r>
      <w:r w:rsidR="003673F6" w:rsidRPr="006723BE">
        <w:t>ng</w:t>
      </w:r>
      <w:r w:rsidR="00835887" w:rsidRPr="006723BE">
        <w:t>.</w:t>
      </w:r>
    </w:p>
    <w:p w14:paraId="6B43C60E" w14:textId="77777777" w:rsidR="00C22678" w:rsidRDefault="00C22678" w:rsidP="00C22678">
      <w:pPr>
        <w:pStyle w:val="Heading2"/>
      </w:pPr>
      <w:bookmarkStart w:id="358" w:name="_Toc495583957"/>
      <w:r>
        <w:t>Clinical questions</w:t>
      </w:r>
      <w:bookmarkEnd w:id="358"/>
    </w:p>
    <w:p w14:paraId="221203D8" w14:textId="77777777" w:rsidR="007D66D9" w:rsidRPr="00872461" w:rsidRDefault="007D66D9" w:rsidP="007D66D9">
      <w:pPr>
        <w:pStyle w:val="Heading3"/>
      </w:pPr>
      <w:bookmarkStart w:id="359" w:name="_Ref269908779"/>
      <w:bookmarkStart w:id="360" w:name="_Toc272414701"/>
      <w:bookmarkStart w:id="361" w:name="_Toc290846341"/>
      <w:bookmarkStart w:id="362" w:name="_Toc290888878"/>
      <w:bookmarkStart w:id="363" w:name="_Toc453054946"/>
      <w:bookmarkStart w:id="364" w:name="_Toc495583958"/>
      <w:r w:rsidRPr="00872461">
        <w:t>Clinical questions</w:t>
      </w:r>
      <w:bookmarkEnd w:id="359"/>
      <w:bookmarkEnd w:id="360"/>
      <w:bookmarkEnd w:id="361"/>
      <w:bookmarkEnd w:id="362"/>
      <w:bookmarkEnd w:id="363"/>
      <w:bookmarkEnd w:id="364"/>
    </w:p>
    <w:p w14:paraId="282A3995" w14:textId="77777777" w:rsidR="007D66D9" w:rsidRPr="00872461" w:rsidRDefault="007D66D9" w:rsidP="007D66D9">
      <w:pPr>
        <w:pStyle w:val="Heading4"/>
      </w:pPr>
      <w:bookmarkStart w:id="365" w:name="_Toc272414702"/>
      <w:bookmarkStart w:id="366" w:name="_Toc290846342"/>
      <w:bookmarkStart w:id="367" w:name="_Toc290888879"/>
      <w:bookmarkStart w:id="368" w:name="_Toc453054947"/>
      <w:r w:rsidRPr="00872461">
        <w:t>Pharmacokinetics</w:t>
      </w:r>
      <w:bookmarkEnd w:id="365"/>
      <w:bookmarkEnd w:id="366"/>
      <w:bookmarkEnd w:id="367"/>
      <w:bookmarkEnd w:id="368"/>
    </w:p>
    <w:p w14:paraId="76EFC0DF" w14:textId="77777777" w:rsidR="007D66D9" w:rsidRPr="007D66D9" w:rsidRDefault="007D66D9" w:rsidP="00835887">
      <w:pPr>
        <w:pStyle w:val="Numberbullet0"/>
        <w:numPr>
          <w:ilvl w:val="0"/>
          <w:numId w:val="38"/>
        </w:numPr>
      </w:pPr>
      <w:r w:rsidRPr="007D66D9">
        <w:t>Submission 2014-03466 relied on simulations performed usi</w:t>
      </w:r>
      <w:r w:rsidR="003673F6">
        <w:t>ng</w:t>
      </w:r>
      <w:r w:rsidRPr="007D66D9">
        <w:t xml:space="preserve"> the then accepted PopPK model. The followi</w:t>
      </w:r>
      <w:r w:rsidR="003673F6">
        <w:t>ng</w:t>
      </w:r>
      <w:r w:rsidRPr="007D66D9">
        <w:t xml:space="preserve"> tables are based on simulations usi</w:t>
      </w:r>
      <w:r w:rsidR="003673F6">
        <w:t>ng</w:t>
      </w:r>
      <w:r w:rsidRPr="007D66D9">
        <w:t xml:space="preserve"> that model.</w:t>
      </w:r>
      <w:r w:rsidR="00835887">
        <w:t xml:space="preserve"> </w:t>
      </w:r>
      <w:r w:rsidRPr="007D66D9">
        <w:t>Please update the followi</w:t>
      </w:r>
      <w:r w:rsidR="003673F6">
        <w:t>ng</w:t>
      </w:r>
      <w:r w:rsidRPr="007D66D9">
        <w:t xml:space="preserve"> tables usi</w:t>
      </w:r>
      <w:r w:rsidR="003673F6">
        <w:t>ng</w:t>
      </w:r>
      <w:r w:rsidRPr="007D66D9">
        <w:t xml:space="preserve"> the final model achieved for this submission (as in REP-1-JAN-PAL-PMX-1).</w:t>
      </w:r>
    </w:p>
    <w:p w14:paraId="66C7309B" w14:textId="77777777" w:rsidR="007D66D9" w:rsidRPr="006723BE" w:rsidRDefault="007D66D9" w:rsidP="006723BE">
      <w:pPr>
        <w:pStyle w:val="Tabletitle"/>
      </w:pPr>
      <w:bookmarkStart w:id="369" w:name="_Toc427232547"/>
      <w:bookmarkStart w:id="370" w:name="_Toc453055022"/>
      <w:r w:rsidRPr="006723BE">
        <w:t xml:space="preserve">Table </w:t>
      </w:r>
      <w:r w:rsidR="00FC40CC">
        <w:t>56:</w:t>
      </w:r>
      <w:r w:rsidRPr="006723BE">
        <w:t xml:space="preserve"> Percentages of patients will have levels </w:t>
      </w:r>
      <w:proofErr w:type="gramStart"/>
      <w:r w:rsidRPr="006723BE">
        <w:t>below 7.5</w:t>
      </w:r>
      <w:r w:rsidR="003673F6" w:rsidRPr="006723BE">
        <w:t xml:space="preserve"> ng</w:t>
      </w:r>
      <w:r w:rsidR="00607328" w:rsidRPr="006723BE">
        <w:t>/mL</w:t>
      </w:r>
      <w:r w:rsidRPr="006723BE">
        <w:t xml:space="preserve"> predose (</w:t>
      </w:r>
      <w:r w:rsidR="00785F6E" w:rsidRPr="006723BE">
        <w:t>that is</w:t>
      </w:r>
      <w:r w:rsidRPr="006723BE">
        <w:t xml:space="preserve"> potentially sub-therapeutic concentrations)</w:t>
      </w:r>
      <w:proofErr w:type="gramEnd"/>
      <w:r w:rsidRPr="006723BE">
        <w:t xml:space="preserve"> early in treatment in those patients who have ceased taki</w:t>
      </w:r>
      <w:r w:rsidR="003673F6" w:rsidRPr="006723BE">
        <w:t>ng</w:t>
      </w:r>
      <w:r w:rsidRPr="006723BE">
        <w:t xml:space="preserve"> medication </w:t>
      </w:r>
      <w:r w:rsidR="00785F6E" w:rsidRPr="006723BE">
        <w:t>that is</w:t>
      </w:r>
      <w:r w:rsidRPr="006723BE">
        <w:t xml:space="preserve"> with no recent prior medication</w:t>
      </w:r>
      <w:bookmarkEnd w:id="369"/>
      <w:bookmarkEnd w:id="370"/>
    </w:p>
    <w:tbl>
      <w:tblPr>
        <w:tblStyle w:val="TableTGAblue"/>
        <w:tblW w:w="0" w:type="auto"/>
        <w:tblLook w:val="04A0" w:firstRow="1" w:lastRow="0" w:firstColumn="1" w:lastColumn="0" w:noHBand="0" w:noVBand="1"/>
      </w:tblPr>
      <w:tblGrid>
        <w:gridCol w:w="2072"/>
        <w:gridCol w:w="1870"/>
        <w:gridCol w:w="1944"/>
        <w:gridCol w:w="1988"/>
      </w:tblGrid>
      <w:tr w:rsidR="007D66D9" w:rsidRPr="006004CE" w14:paraId="04B37BEE" w14:textId="77777777" w:rsidTr="00CB4E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2A0A56B" w14:textId="77777777" w:rsidR="007D66D9" w:rsidRPr="006004CE" w:rsidRDefault="007D66D9" w:rsidP="002F28A2">
            <w:pPr>
              <w:rPr>
                <w:sz w:val="20"/>
                <w:lang w:val="en"/>
              </w:rPr>
            </w:pPr>
            <w:r w:rsidRPr="006004CE">
              <w:rPr>
                <w:sz w:val="20"/>
                <w:lang w:val="en"/>
              </w:rPr>
              <w:t>Second injection</w:t>
            </w:r>
          </w:p>
        </w:tc>
        <w:tc>
          <w:tcPr>
            <w:tcW w:w="0" w:type="auto"/>
            <w:hideMark/>
          </w:tcPr>
          <w:p w14:paraId="67F6BE0E" w14:textId="77777777" w:rsidR="007D66D9" w:rsidRPr="006004CE" w:rsidRDefault="007D66D9" w:rsidP="002F28A2">
            <w:pPr>
              <w:cnfStyle w:val="100000000000" w:firstRow="1" w:lastRow="0" w:firstColumn="0" w:lastColumn="0" w:oddVBand="0" w:evenVBand="0" w:oddHBand="0" w:evenHBand="0" w:firstRowFirstColumn="0" w:firstRowLastColumn="0" w:lastRowFirstColumn="0" w:lastRowLastColumn="0"/>
              <w:rPr>
                <w:sz w:val="20"/>
                <w:lang w:val="en"/>
              </w:rPr>
            </w:pPr>
            <w:r w:rsidRPr="006004CE">
              <w:rPr>
                <w:sz w:val="20"/>
                <w:lang w:val="en"/>
              </w:rPr>
              <w:t>Predose Day 8</w:t>
            </w:r>
          </w:p>
        </w:tc>
        <w:tc>
          <w:tcPr>
            <w:tcW w:w="0" w:type="auto"/>
            <w:hideMark/>
          </w:tcPr>
          <w:p w14:paraId="7FE6042A" w14:textId="77777777" w:rsidR="007D66D9" w:rsidRPr="006004CE" w:rsidRDefault="007D66D9" w:rsidP="002F28A2">
            <w:pPr>
              <w:cnfStyle w:val="100000000000" w:firstRow="1" w:lastRow="0" w:firstColumn="0" w:lastColumn="0" w:oddVBand="0" w:evenVBand="0" w:oddHBand="0" w:evenHBand="0" w:firstRowFirstColumn="0" w:firstRowLastColumn="0" w:lastRowFirstColumn="0" w:lastRowLastColumn="0"/>
              <w:rPr>
                <w:sz w:val="20"/>
                <w:lang w:val="en"/>
              </w:rPr>
            </w:pPr>
            <w:r w:rsidRPr="006004CE">
              <w:rPr>
                <w:sz w:val="20"/>
                <w:lang w:val="en"/>
              </w:rPr>
              <w:t>Predose Day10</w:t>
            </w:r>
          </w:p>
        </w:tc>
        <w:tc>
          <w:tcPr>
            <w:tcW w:w="0" w:type="auto"/>
            <w:hideMark/>
          </w:tcPr>
          <w:p w14:paraId="363AB160" w14:textId="77777777" w:rsidR="007D66D9" w:rsidRPr="006004CE" w:rsidRDefault="007D66D9" w:rsidP="002F28A2">
            <w:pPr>
              <w:cnfStyle w:val="100000000000" w:firstRow="1" w:lastRow="0" w:firstColumn="0" w:lastColumn="0" w:oddVBand="0" w:evenVBand="0" w:oddHBand="0" w:evenHBand="0" w:firstRowFirstColumn="0" w:firstRowLastColumn="0" w:lastRowFirstColumn="0" w:lastRowLastColumn="0"/>
              <w:rPr>
                <w:sz w:val="20"/>
                <w:lang w:val="en"/>
              </w:rPr>
            </w:pPr>
            <w:r w:rsidRPr="006004CE">
              <w:rPr>
                <w:sz w:val="20"/>
                <w:lang w:val="en"/>
              </w:rPr>
              <w:t>Predose Day 12</w:t>
            </w:r>
          </w:p>
        </w:tc>
      </w:tr>
      <w:tr w:rsidR="007D66D9" w:rsidRPr="006004CE" w14:paraId="06DD2A88" w14:textId="77777777" w:rsidTr="007D66D9">
        <w:tc>
          <w:tcPr>
            <w:cnfStyle w:val="001000000000" w:firstRow="0" w:lastRow="0" w:firstColumn="1" w:lastColumn="0" w:oddVBand="0" w:evenVBand="0" w:oddHBand="0" w:evenHBand="0" w:firstRowFirstColumn="0" w:firstRowLastColumn="0" w:lastRowFirstColumn="0" w:lastRowLastColumn="0"/>
            <w:tcW w:w="0" w:type="auto"/>
            <w:hideMark/>
          </w:tcPr>
          <w:p w14:paraId="74A61AF2" w14:textId="77777777" w:rsidR="007D66D9" w:rsidRPr="006004CE" w:rsidRDefault="007D66D9" w:rsidP="002F28A2">
            <w:pPr>
              <w:rPr>
                <w:sz w:val="20"/>
                <w:lang w:val="en"/>
              </w:rPr>
            </w:pPr>
            <w:r w:rsidRPr="006004CE">
              <w:rPr>
                <w:sz w:val="20"/>
                <w:lang w:val="en"/>
              </w:rPr>
              <w:t>On Day 8</w:t>
            </w:r>
          </w:p>
        </w:tc>
        <w:tc>
          <w:tcPr>
            <w:tcW w:w="0" w:type="auto"/>
            <w:hideMark/>
          </w:tcPr>
          <w:p w14:paraId="2364ACAD"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r w:rsidRPr="006004CE">
              <w:rPr>
                <w:sz w:val="20"/>
                <w:lang w:val="en"/>
              </w:rPr>
              <w:t>16</w:t>
            </w:r>
          </w:p>
        </w:tc>
        <w:tc>
          <w:tcPr>
            <w:tcW w:w="0" w:type="auto"/>
          </w:tcPr>
          <w:p w14:paraId="68413EF0"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p>
        </w:tc>
        <w:tc>
          <w:tcPr>
            <w:tcW w:w="0" w:type="auto"/>
          </w:tcPr>
          <w:p w14:paraId="2A187214"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p>
        </w:tc>
      </w:tr>
      <w:tr w:rsidR="007D66D9" w:rsidRPr="006004CE" w14:paraId="58159994" w14:textId="77777777" w:rsidTr="007D66D9">
        <w:tc>
          <w:tcPr>
            <w:cnfStyle w:val="001000000000" w:firstRow="0" w:lastRow="0" w:firstColumn="1" w:lastColumn="0" w:oddVBand="0" w:evenVBand="0" w:oddHBand="0" w:evenHBand="0" w:firstRowFirstColumn="0" w:firstRowLastColumn="0" w:lastRowFirstColumn="0" w:lastRowLastColumn="0"/>
            <w:tcW w:w="0" w:type="auto"/>
            <w:hideMark/>
          </w:tcPr>
          <w:p w14:paraId="6DB55EE6" w14:textId="77777777" w:rsidR="007D66D9" w:rsidRPr="006004CE" w:rsidRDefault="007D66D9" w:rsidP="002F28A2">
            <w:pPr>
              <w:rPr>
                <w:sz w:val="20"/>
                <w:lang w:val="en"/>
              </w:rPr>
            </w:pPr>
            <w:r w:rsidRPr="006004CE">
              <w:rPr>
                <w:sz w:val="20"/>
                <w:lang w:val="en"/>
              </w:rPr>
              <w:t>On Day 10</w:t>
            </w:r>
          </w:p>
        </w:tc>
        <w:tc>
          <w:tcPr>
            <w:tcW w:w="0" w:type="auto"/>
          </w:tcPr>
          <w:p w14:paraId="62067FEF"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p>
        </w:tc>
        <w:tc>
          <w:tcPr>
            <w:tcW w:w="0" w:type="auto"/>
            <w:hideMark/>
          </w:tcPr>
          <w:p w14:paraId="2E66E0B2"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r w:rsidRPr="006004CE">
              <w:rPr>
                <w:sz w:val="20"/>
                <w:lang w:val="en"/>
              </w:rPr>
              <w:t>15</w:t>
            </w:r>
          </w:p>
        </w:tc>
        <w:tc>
          <w:tcPr>
            <w:tcW w:w="0" w:type="auto"/>
          </w:tcPr>
          <w:p w14:paraId="3BC6E395"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p>
        </w:tc>
      </w:tr>
      <w:tr w:rsidR="007D66D9" w:rsidRPr="006004CE" w14:paraId="6A6414D1" w14:textId="77777777" w:rsidTr="007D66D9">
        <w:tc>
          <w:tcPr>
            <w:cnfStyle w:val="001000000000" w:firstRow="0" w:lastRow="0" w:firstColumn="1" w:lastColumn="0" w:oddVBand="0" w:evenVBand="0" w:oddHBand="0" w:evenHBand="0" w:firstRowFirstColumn="0" w:firstRowLastColumn="0" w:lastRowFirstColumn="0" w:lastRowLastColumn="0"/>
            <w:tcW w:w="0" w:type="auto"/>
            <w:hideMark/>
          </w:tcPr>
          <w:p w14:paraId="4FB1A36C" w14:textId="77777777" w:rsidR="007D66D9" w:rsidRPr="006004CE" w:rsidRDefault="007D66D9" w:rsidP="002F28A2">
            <w:pPr>
              <w:rPr>
                <w:sz w:val="20"/>
                <w:lang w:val="en"/>
              </w:rPr>
            </w:pPr>
            <w:r w:rsidRPr="006004CE">
              <w:rPr>
                <w:sz w:val="20"/>
                <w:lang w:val="en"/>
              </w:rPr>
              <w:t>On Day 12</w:t>
            </w:r>
          </w:p>
        </w:tc>
        <w:tc>
          <w:tcPr>
            <w:tcW w:w="0" w:type="auto"/>
          </w:tcPr>
          <w:p w14:paraId="6CD74C36"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p>
        </w:tc>
        <w:tc>
          <w:tcPr>
            <w:tcW w:w="0" w:type="auto"/>
          </w:tcPr>
          <w:p w14:paraId="1A9395A0"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p>
        </w:tc>
        <w:tc>
          <w:tcPr>
            <w:tcW w:w="0" w:type="auto"/>
            <w:hideMark/>
          </w:tcPr>
          <w:p w14:paraId="2ADFE515"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r w:rsidRPr="006004CE">
              <w:rPr>
                <w:sz w:val="20"/>
                <w:lang w:val="en"/>
              </w:rPr>
              <w:t>13</w:t>
            </w:r>
          </w:p>
        </w:tc>
      </w:tr>
    </w:tbl>
    <w:p w14:paraId="64509170" w14:textId="77777777" w:rsidR="007D66D9" w:rsidRPr="00835887" w:rsidRDefault="007D66D9" w:rsidP="00DA386F">
      <w:pPr>
        <w:pStyle w:val="Tabletitle"/>
      </w:pPr>
      <w:bookmarkStart w:id="371" w:name="_Toc427232548"/>
      <w:bookmarkStart w:id="372" w:name="_Toc453055023"/>
      <w:r w:rsidRPr="00FC40CC">
        <w:lastRenderedPageBreak/>
        <w:t xml:space="preserve">Table </w:t>
      </w:r>
      <w:r w:rsidR="00FC40CC" w:rsidRPr="00FC40CC">
        <w:t>57:</w:t>
      </w:r>
      <w:r w:rsidRPr="00FC40CC">
        <w:t xml:space="preserve"> Percentages</w:t>
      </w:r>
      <w:r w:rsidRPr="00835887">
        <w:t xml:space="preserve"> of patients will have levels </w:t>
      </w:r>
      <w:proofErr w:type="gramStart"/>
      <w:r w:rsidRPr="00835887">
        <w:t>below 7.5</w:t>
      </w:r>
      <w:r w:rsidR="003673F6">
        <w:t xml:space="preserve"> ng</w:t>
      </w:r>
      <w:r w:rsidR="00607328">
        <w:t>/mL</w:t>
      </w:r>
      <w:r w:rsidRPr="00835887">
        <w:t xml:space="preserve"> predose (</w:t>
      </w:r>
      <w:r w:rsidR="00785F6E">
        <w:t>that is</w:t>
      </w:r>
      <w:r w:rsidRPr="00835887">
        <w:t xml:space="preserve"> potentially sub-therapeutic concentrations)</w:t>
      </w:r>
      <w:proofErr w:type="gramEnd"/>
      <w:r w:rsidRPr="00835887">
        <w:t xml:space="preserve"> late in the first treatment cycle in those patients who have ceased taki</w:t>
      </w:r>
      <w:r w:rsidR="003673F6">
        <w:t>ng</w:t>
      </w:r>
      <w:r w:rsidRPr="00835887">
        <w:t xml:space="preserve"> medication </w:t>
      </w:r>
      <w:r w:rsidR="00785F6E">
        <w:t>that is</w:t>
      </w:r>
      <w:r w:rsidRPr="00835887">
        <w:t xml:space="preserve"> with no recent prior medication</w:t>
      </w:r>
      <w:bookmarkEnd w:id="371"/>
      <w:bookmarkEnd w:id="372"/>
    </w:p>
    <w:tbl>
      <w:tblPr>
        <w:tblStyle w:val="TableTGAblue"/>
        <w:tblW w:w="0" w:type="auto"/>
        <w:tblLook w:val="04A0" w:firstRow="1" w:lastRow="0" w:firstColumn="1" w:lastColumn="0" w:noHBand="0" w:noVBand="1"/>
      </w:tblPr>
      <w:tblGrid>
        <w:gridCol w:w="2072"/>
        <w:gridCol w:w="1192"/>
        <w:gridCol w:w="1192"/>
        <w:gridCol w:w="1192"/>
      </w:tblGrid>
      <w:tr w:rsidR="007D66D9" w:rsidRPr="006004CE" w14:paraId="44F766FF" w14:textId="77777777" w:rsidTr="002441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1E85321" w14:textId="77777777" w:rsidR="007D66D9" w:rsidRPr="006004CE" w:rsidRDefault="007D66D9" w:rsidP="002F28A2">
            <w:pPr>
              <w:rPr>
                <w:sz w:val="20"/>
                <w:lang w:val="en"/>
              </w:rPr>
            </w:pPr>
            <w:r w:rsidRPr="006004CE">
              <w:rPr>
                <w:sz w:val="20"/>
                <w:lang w:val="en"/>
              </w:rPr>
              <w:t>Second injection</w:t>
            </w:r>
          </w:p>
        </w:tc>
        <w:tc>
          <w:tcPr>
            <w:tcW w:w="0" w:type="auto"/>
            <w:hideMark/>
          </w:tcPr>
          <w:p w14:paraId="48C9B982" w14:textId="77777777" w:rsidR="007D66D9" w:rsidRPr="006004CE" w:rsidRDefault="007D66D9" w:rsidP="002F28A2">
            <w:pPr>
              <w:cnfStyle w:val="100000000000" w:firstRow="1" w:lastRow="0" w:firstColumn="0" w:lastColumn="0" w:oddVBand="0" w:evenVBand="0" w:oddHBand="0" w:evenHBand="0" w:firstRowFirstColumn="0" w:firstRowLastColumn="0" w:lastRowFirstColumn="0" w:lastRowLastColumn="0"/>
              <w:rPr>
                <w:sz w:val="20"/>
                <w:lang w:val="en"/>
              </w:rPr>
            </w:pPr>
            <w:r w:rsidRPr="006004CE">
              <w:rPr>
                <w:sz w:val="20"/>
                <w:lang w:val="en"/>
              </w:rPr>
              <w:t>Day 22</w:t>
            </w:r>
          </w:p>
        </w:tc>
        <w:tc>
          <w:tcPr>
            <w:tcW w:w="0" w:type="auto"/>
            <w:hideMark/>
          </w:tcPr>
          <w:p w14:paraId="7DDE839F" w14:textId="77777777" w:rsidR="007D66D9" w:rsidRPr="006004CE" w:rsidRDefault="007D66D9" w:rsidP="002F28A2">
            <w:pPr>
              <w:cnfStyle w:val="100000000000" w:firstRow="1" w:lastRow="0" w:firstColumn="0" w:lastColumn="0" w:oddVBand="0" w:evenVBand="0" w:oddHBand="0" w:evenHBand="0" w:firstRowFirstColumn="0" w:firstRowLastColumn="0" w:lastRowFirstColumn="0" w:lastRowLastColumn="0"/>
              <w:rPr>
                <w:sz w:val="20"/>
                <w:lang w:val="en"/>
              </w:rPr>
            </w:pPr>
            <w:r w:rsidRPr="006004CE">
              <w:rPr>
                <w:sz w:val="20"/>
                <w:lang w:val="en"/>
              </w:rPr>
              <w:t>Day 29</w:t>
            </w:r>
          </w:p>
        </w:tc>
        <w:tc>
          <w:tcPr>
            <w:tcW w:w="0" w:type="auto"/>
            <w:hideMark/>
          </w:tcPr>
          <w:p w14:paraId="5C6C61F9" w14:textId="77777777" w:rsidR="007D66D9" w:rsidRPr="006004CE" w:rsidRDefault="007D66D9" w:rsidP="002F28A2">
            <w:pPr>
              <w:cnfStyle w:val="100000000000" w:firstRow="1" w:lastRow="0" w:firstColumn="0" w:lastColumn="0" w:oddVBand="0" w:evenVBand="0" w:oddHBand="0" w:evenHBand="0" w:firstRowFirstColumn="0" w:firstRowLastColumn="0" w:lastRowFirstColumn="0" w:lastRowLastColumn="0"/>
              <w:rPr>
                <w:sz w:val="20"/>
                <w:lang w:val="en"/>
              </w:rPr>
            </w:pPr>
            <w:r w:rsidRPr="006004CE">
              <w:rPr>
                <w:sz w:val="20"/>
                <w:lang w:val="en"/>
              </w:rPr>
              <w:t>Day 36</w:t>
            </w:r>
          </w:p>
        </w:tc>
      </w:tr>
      <w:tr w:rsidR="007D66D9" w:rsidRPr="006004CE" w14:paraId="46515ABD" w14:textId="77777777" w:rsidTr="007D66D9">
        <w:tc>
          <w:tcPr>
            <w:cnfStyle w:val="001000000000" w:firstRow="0" w:lastRow="0" w:firstColumn="1" w:lastColumn="0" w:oddVBand="0" w:evenVBand="0" w:oddHBand="0" w:evenHBand="0" w:firstRowFirstColumn="0" w:firstRowLastColumn="0" w:lastRowFirstColumn="0" w:lastRowLastColumn="0"/>
            <w:tcW w:w="0" w:type="auto"/>
            <w:hideMark/>
          </w:tcPr>
          <w:p w14:paraId="623720CC" w14:textId="77777777" w:rsidR="007D66D9" w:rsidRPr="006004CE" w:rsidRDefault="007D66D9" w:rsidP="002F28A2">
            <w:pPr>
              <w:rPr>
                <w:sz w:val="20"/>
                <w:lang w:val="en"/>
              </w:rPr>
            </w:pPr>
            <w:r w:rsidRPr="006004CE">
              <w:rPr>
                <w:sz w:val="20"/>
                <w:lang w:val="en"/>
              </w:rPr>
              <w:t>Day 4</w:t>
            </w:r>
          </w:p>
        </w:tc>
        <w:tc>
          <w:tcPr>
            <w:tcW w:w="0" w:type="auto"/>
            <w:hideMark/>
          </w:tcPr>
          <w:p w14:paraId="77F21BFB"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r w:rsidRPr="006004CE">
              <w:rPr>
                <w:sz w:val="20"/>
                <w:lang w:val="en"/>
              </w:rPr>
              <w:t>8</w:t>
            </w:r>
          </w:p>
        </w:tc>
        <w:tc>
          <w:tcPr>
            <w:tcW w:w="0" w:type="auto"/>
            <w:hideMark/>
          </w:tcPr>
          <w:p w14:paraId="1E285F47"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r w:rsidRPr="006004CE">
              <w:rPr>
                <w:sz w:val="20"/>
                <w:lang w:val="en"/>
              </w:rPr>
              <w:t>13</w:t>
            </w:r>
          </w:p>
        </w:tc>
        <w:tc>
          <w:tcPr>
            <w:tcW w:w="0" w:type="auto"/>
            <w:hideMark/>
          </w:tcPr>
          <w:p w14:paraId="0DDBDA46"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r w:rsidRPr="006004CE">
              <w:rPr>
                <w:sz w:val="20"/>
                <w:lang w:val="en"/>
              </w:rPr>
              <w:t>16</w:t>
            </w:r>
          </w:p>
        </w:tc>
      </w:tr>
      <w:tr w:rsidR="007D66D9" w:rsidRPr="006004CE" w14:paraId="097C7474" w14:textId="77777777" w:rsidTr="007D66D9">
        <w:tc>
          <w:tcPr>
            <w:cnfStyle w:val="001000000000" w:firstRow="0" w:lastRow="0" w:firstColumn="1" w:lastColumn="0" w:oddVBand="0" w:evenVBand="0" w:oddHBand="0" w:evenHBand="0" w:firstRowFirstColumn="0" w:firstRowLastColumn="0" w:lastRowFirstColumn="0" w:lastRowLastColumn="0"/>
            <w:tcW w:w="0" w:type="auto"/>
            <w:hideMark/>
          </w:tcPr>
          <w:p w14:paraId="3A12DE0D" w14:textId="77777777" w:rsidR="007D66D9" w:rsidRPr="006004CE" w:rsidRDefault="007D66D9" w:rsidP="002F28A2">
            <w:pPr>
              <w:rPr>
                <w:sz w:val="20"/>
                <w:lang w:val="en"/>
              </w:rPr>
            </w:pPr>
            <w:r w:rsidRPr="006004CE">
              <w:rPr>
                <w:sz w:val="20"/>
                <w:lang w:val="en"/>
              </w:rPr>
              <w:t>Day 6</w:t>
            </w:r>
          </w:p>
        </w:tc>
        <w:tc>
          <w:tcPr>
            <w:tcW w:w="0" w:type="auto"/>
            <w:hideMark/>
          </w:tcPr>
          <w:p w14:paraId="00DD66F4"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r w:rsidRPr="006004CE">
              <w:rPr>
                <w:sz w:val="20"/>
                <w:lang w:val="en"/>
              </w:rPr>
              <w:t>7</w:t>
            </w:r>
          </w:p>
        </w:tc>
        <w:tc>
          <w:tcPr>
            <w:tcW w:w="0" w:type="auto"/>
            <w:hideMark/>
          </w:tcPr>
          <w:p w14:paraId="48C34408"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r w:rsidRPr="006004CE">
              <w:rPr>
                <w:sz w:val="20"/>
                <w:lang w:val="en"/>
              </w:rPr>
              <w:t>12</w:t>
            </w:r>
          </w:p>
        </w:tc>
        <w:tc>
          <w:tcPr>
            <w:tcW w:w="0" w:type="auto"/>
            <w:hideMark/>
          </w:tcPr>
          <w:p w14:paraId="0615B2E3"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r w:rsidRPr="006004CE">
              <w:rPr>
                <w:sz w:val="20"/>
                <w:lang w:val="en"/>
              </w:rPr>
              <w:t>15</w:t>
            </w:r>
          </w:p>
        </w:tc>
      </w:tr>
      <w:tr w:rsidR="007D66D9" w:rsidRPr="006004CE" w14:paraId="1AE82B03" w14:textId="77777777" w:rsidTr="007D66D9">
        <w:tc>
          <w:tcPr>
            <w:cnfStyle w:val="001000000000" w:firstRow="0" w:lastRow="0" w:firstColumn="1" w:lastColumn="0" w:oddVBand="0" w:evenVBand="0" w:oddHBand="0" w:evenHBand="0" w:firstRowFirstColumn="0" w:firstRowLastColumn="0" w:lastRowFirstColumn="0" w:lastRowLastColumn="0"/>
            <w:tcW w:w="0" w:type="auto"/>
            <w:hideMark/>
          </w:tcPr>
          <w:p w14:paraId="068C2C48" w14:textId="77777777" w:rsidR="007D66D9" w:rsidRPr="006004CE" w:rsidRDefault="007D66D9" w:rsidP="002F28A2">
            <w:pPr>
              <w:rPr>
                <w:sz w:val="20"/>
                <w:lang w:val="en"/>
              </w:rPr>
            </w:pPr>
            <w:r w:rsidRPr="006004CE">
              <w:rPr>
                <w:sz w:val="20"/>
                <w:lang w:val="en"/>
              </w:rPr>
              <w:t>Day 8</w:t>
            </w:r>
          </w:p>
        </w:tc>
        <w:tc>
          <w:tcPr>
            <w:tcW w:w="0" w:type="auto"/>
            <w:hideMark/>
          </w:tcPr>
          <w:p w14:paraId="4A8B8B17"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r w:rsidRPr="006004CE">
              <w:rPr>
                <w:sz w:val="20"/>
                <w:lang w:val="en"/>
              </w:rPr>
              <w:t>4</w:t>
            </w:r>
          </w:p>
        </w:tc>
        <w:tc>
          <w:tcPr>
            <w:tcW w:w="0" w:type="auto"/>
            <w:hideMark/>
          </w:tcPr>
          <w:p w14:paraId="6663CF63"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r w:rsidRPr="006004CE">
              <w:rPr>
                <w:sz w:val="20"/>
                <w:lang w:val="en"/>
              </w:rPr>
              <w:t>11</w:t>
            </w:r>
          </w:p>
        </w:tc>
        <w:tc>
          <w:tcPr>
            <w:tcW w:w="0" w:type="auto"/>
            <w:hideMark/>
          </w:tcPr>
          <w:p w14:paraId="1E180799" w14:textId="77777777" w:rsidR="007D66D9" w:rsidRPr="006004CE" w:rsidRDefault="007D66D9" w:rsidP="002F28A2">
            <w:pPr>
              <w:cnfStyle w:val="000000000000" w:firstRow="0" w:lastRow="0" w:firstColumn="0" w:lastColumn="0" w:oddVBand="0" w:evenVBand="0" w:oddHBand="0" w:evenHBand="0" w:firstRowFirstColumn="0" w:firstRowLastColumn="0" w:lastRowFirstColumn="0" w:lastRowLastColumn="0"/>
              <w:rPr>
                <w:sz w:val="20"/>
                <w:lang w:val="en"/>
              </w:rPr>
            </w:pPr>
            <w:r w:rsidRPr="006004CE">
              <w:rPr>
                <w:sz w:val="20"/>
                <w:lang w:val="en"/>
              </w:rPr>
              <w:t>15</w:t>
            </w:r>
          </w:p>
        </w:tc>
      </w:tr>
    </w:tbl>
    <w:p w14:paraId="00FD6D30" w14:textId="77777777" w:rsidR="007D66D9" w:rsidRPr="00835887" w:rsidRDefault="007D66D9" w:rsidP="00DA386F">
      <w:pPr>
        <w:pStyle w:val="Tabletitle"/>
      </w:pPr>
      <w:bookmarkStart w:id="373" w:name="_Toc427232549"/>
      <w:bookmarkStart w:id="374" w:name="_Toc453055024"/>
      <w:r w:rsidRPr="00FC40CC">
        <w:t xml:space="preserve">Table </w:t>
      </w:r>
      <w:r w:rsidR="00FC40CC" w:rsidRPr="00FC40CC">
        <w:t>58</w:t>
      </w:r>
      <w:r w:rsidR="00FC40CC">
        <w:t>:</w:t>
      </w:r>
      <w:r w:rsidRPr="00835887">
        <w:t xml:space="preserve"> Maximum exposure (</w:t>
      </w:r>
      <w:proofErr w:type="spellStart"/>
      <w:r w:rsidR="009F467D" w:rsidRPr="009F467D">
        <w:t>C</w:t>
      </w:r>
      <w:r w:rsidR="009F467D" w:rsidRPr="009F467D">
        <w:rPr>
          <w:vertAlign w:val="subscript"/>
        </w:rPr>
        <w:t>max</w:t>
      </w:r>
      <w:proofErr w:type="spellEnd"/>
      <w:r w:rsidRPr="00835887">
        <w:t>) in patients on oral paliperidone PR 6</w:t>
      </w:r>
      <w:r w:rsidR="004A676D">
        <w:t xml:space="preserve"> mg</w:t>
      </w:r>
      <w:r w:rsidRPr="00835887">
        <w:t xml:space="preserve"> for 5days (</w:t>
      </w:r>
      <w:r w:rsidR="00785F6E">
        <w:t>that is</w:t>
      </w:r>
      <w:r w:rsidRPr="00835887">
        <w:t xml:space="preserve"> as per PI for patients not previously exposed) usi</w:t>
      </w:r>
      <w:r w:rsidR="003673F6">
        <w:t>ng</w:t>
      </w:r>
      <w:r w:rsidRPr="00835887">
        <w:t xml:space="preserve"> the upper 90% limit for plasma concentration as pre dose level at initial injection</w:t>
      </w:r>
      <w:bookmarkEnd w:id="373"/>
      <w:bookmarkEnd w:id="374"/>
    </w:p>
    <w:tbl>
      <w:tblPr>
        <w:tblStyle w:val="TableTGAblue"/>
        <w:tblW w:w="0" w:type="auto"/>
        <w:tblLook w:val="04A0" w:firstRow="1" w:lastRow="0" w:firstColumn="1" w:lastColumn="0" w:noHBand="0" w:noVBand="1"/>
      </w:tblPr>
      <w:tblGrid>
        <w:gridCol w:w="2686"/>
        <w:gridCol w:w="1583"/>
      </w:tblGrid>
      <w:tr w:rsidR="007D66D9" w:rsidRPr="0024415C" w14:paraId="124225B5" w14:textId="77777777" w:rsidTr="007D6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526D0F" w14:textId="77777777" w:rsidR="007D66D9" w:rsidRPr="0024415C" w:rsidRDefault="007D66D9" w:rsidP="0024415C">
            <w:pPr>
              <w:rPr>
                <w:sz w:val="20"/>
                <w:szCs w:val="20"/>
                <w:lang w:val="en"/>
              </w:rPr>
            </w:pPr>
            <w:r w:rsidRPr="0024415C">
              <w:rPr>
                <w:sz w:val="20"/>
                <w:szCs w:val="20"/>
                <w:lang w:val="en"/>
              </w:rPr>
              <w:t>Second injection</w:t>
            </w:r>
          </w:p>
        </w:tc>
        <w:tc>
          <w:tcPr>
            <w:tcW w:w="0" w:type="auto"/>
            <w:hideMark/>
          </w:tcPr>
          <w:p w14:paraId="162E88C8" w14:textId="77777777" w:rsidR="007D66D9" w:rsidRPr="0024415C" w:rsidRDefault="009F467D" w:rsidP="0024415C">
            <w:pPr>
              <w:cnfStyle w:val="100000000000" w:firstRow="1" w:lastRow="0" w:firstColumn="0" w:lastColumn="0" w:oddVBand="0" w:evenVBand="0" w:oddHBand="0" w:evenHBand="0" w:firstRowFirstColumn="0" w:firstRowLastColumn="0" w:lastRowFirstColumn="0" w:lastRowLastColumn="0"/>
              <w:rPr>
                <w:sz w:val="20"/>
                <w:szCs w:val="20"/>
                <w:lang w:val="en"/>
              </w:rPr>
            </w:pPr>
            <w:proofErr w:type="spellStart"/>
            <w:r w:rsidRPr="0024415C">
              <w:rPr>
                <w:sz w:val="20"/>
                <w:szCs w:val="20"/>
              </w:rPr>
              <w:t>C</w:t>
            </w:r>
            <w:r w:rsidRPr="0024415C">
              <w:rPr>
                <w:sz w:val="20"/>
                <w:szCs w:val="20"/>
                <w:vertAlign w:val="subscript"/>
              </w:rPr>
              <w:t>max</w:t>
            </w:r>
            <w:proofErr w:type="spellEnd"/>
            <w:r w:rsidR="007D66D9" w:rsidRPr="0024415C">
              <w:rPr>
                <w:sz w:val="20"/>
                <w:szCs w:val="20"/>
                <w:lang w:val="en"/>
              </w:rPr>
              <w:t xml:space="preserve"> </w:t>
            </w:r>
            <w:r w:rsidR="003673F6" w:rsidRPr="0024415C">
              <w:rPr>
                <w:sz w:val="20"/>
                <w:szCs w:val="20"/>
                <w:lang w:val="en"/>
              </w:rPr>
              <w:t>ng</w:t>
            </w:r>
            <w:r w:rsidR="00607328" w:rsidRPr="0024415C">
              <w:rPr>
                <w:sz w:val="20"/>
                <w:szCs w:val="20"/>
                <w:lang w:val="en"/>
              </w:rPr>
              <w:t>/mL</w:t>
            </w:r>
          </w:p>
        </w:tc>
      </w:tr>
      <w:tr w:rsidR="007D66D9" w:rsidRPr="0024415C" w14:paraId="469FA7D0" w14:textId="77777777" w:rsidTr="007D66D9">
        <w:tc>
          <w:tcPr>
            <w:cnfStyle w:val="001000000000" w:firstRow="0" w:lastRow="0" w:firstColumn="1" w:lastColumn="0" w:oddVBand="0" w:evenVBand="0" w:oddHBand="0" w:evenHBand="0" w:firstRowFirstColumn="0" w:firstRowLastColumn="0" w:lastRowFirstColumn="0" w:lastRowLastColumn="0"/>
            <w:tcW w:w="0" w:type="auto"/>
            <w:hideMark/>
          </w:tcPr>
          <w:p w14:paraId="0EAD3FB3" w14:textId="77777777" w:rsidR="007D66D9" w:rsidRPr="0024415C" w:rsidRDefault="007D66D9" w:rsidP="0024415C">
            <w:pPr>
              <w:rPr>
                <w:sz w:val="20"/>
                <w:szCs w:val="20"/>
                <w:lang w:val="en"/>
              </w:rPr>
            </w:pPr>
            <w:r w:rsidRPr="0024415C">
              <w:rPr>
                <w:sz w:val="20"/>
                <w:szCs w:val="20"/>
                <w:lang w:val="en"/>
              </w:rPr>
              <w:t>On Day 4</w:t>
            </w:r>
          </w:p>
        </w:tc>
        <w:tc>
          <w:tcPr>
            <w:tcW w:w="0" w:type="auto"/>
            <w:hideMark/>
          </w:tcPr>
          <w:p w14:paraId="277174EE" w14:textId="77777777" w:rsidR="007D66D9" w:rsidRPr="0024415C" w:rsidRDefault="007D66D9" w:rsidP="0024415C">
            <w:pPr>
              <w:cnfStyle w:val="000000000000" w:firstRow="0" w:lastRow="0" w:firstColumn="0" w:lastColumn="0" w:oddVBand="0" w:evenVBand="0" w:oddHBand="0" w:evenHBand="0" w:firstRowFirstColumn="0" w:firstRowLastColumn="0" w:lastRowFirstColumn="0" w:lastRowLastColumn="0"/>
              <w:rPr>
                <w:sz w:val="20"/>
                <w:szCs w:val="20"/>
                <w:lang w:val="en"/>
              </w:rPr>
            </w:pPr>
            <w:r w:rsidRPr="0024415C">
              <w:rPr>
                <w:sz w:val="20"/>
                <w:szCs w:val="20"/>
                <w:lang w:val="en"/>
              </w:rPr>
              <w:t>49.34</w:t>
            </w:r>
          </w:p>
        </w:tc>
      </w:tr>
      <w:tr w:rsidR="007D66D9" w:rsidRPr="0024415C" w14:paraId="70CD33FF" w14:textId="77777777" w:rsidTr="007D66D9">
        <w:tc>
          <w:tcPr>
            <w:cnfStyle w:val="001000000000" w:firstRow="0" w:lastRow="0" w:firstColumn="1" w:lastColumn="0" w:oddVBand="0" w:evenVBand="0" w:oddHBand="0" w:evenHBand="0" w:firstRowFirstColumn="0" w:firstRowLastColumn="0" w:lastRowFirstColumn="0" w:lastRowLastColumn="0"/>
            <w:tcW w:w="0" w:type="auto"/>
            <w:hideMark/>
          </w:tcPr>
          <w:p w14:paraId="75F5B47B" w14:textId="77777777" w:rsidR="007D66D9" w:rsidRPr="0024415C" w:rsidRDefault="007D66D9" w:rsidP="0024415C">
            <w:pPr>
              <w:rPr>
                <w:sz w:val="20"/>
                <w:szCs w:val="20"/>
                <w:lang w:val="en"/>
              </w:rPr>
            </w:pPr>
            <w:r w:rsidRPr="0024415C">
              <w:rPr>
                <w:sz w:val="20"/>
                <w:szCs w:val="20"/>
                <w:lang w:val="en"/>
              </w:rPr>
              <w:t>On Day 6</w:t>
            </w:r>
          </w:p>
        </w:tc>
        <w:tc>
          <w:tcPr>
            <w:tcW w:w="0" w:type="auto"/>
            <w:hideMark/>
          </w:tcPr>
          <w:p w14:paraId="6E19DA00" w14:textId="77777777" w:rsidR="007D66D9" w:rsidRPr="0024415C" w:rsidRDefault="007D66D9" w:rsidP="0024415C">
            <w:pPr>
              <w:cnfStyle w:val="000000000000" w:firstRow="0" w:lastRow="0" w:firstColumn="0" w:lastColumn="0" w:oddVBand="0" w:evenVBand="0" w:oddHBand="0" w:evenHBand="0" w:firstRowFirstColumn="0" w:firstRowLastColumn="0" w:lastRowFirstColumn="0" w:lastRowLastColumn="0"/>
              <w:rPr>
                <w:sz w:val="20"/>
                <w:szCs w:val="20"/>
                <w:lang w:val="en"/>
              </w:rPr>
            </w:pPr>
            <w:r w:rsidRPr="0024415C">
              <w:rPr>
                <w:sz w:val="20"/>
                <w:szCs w:val="20"/>
                <w:lang w:val="en"/>
              </w:rPr>
              <w:t>47.95</w:t>
            </w:r>
          </w:p>
        </w:tc>
      </w:tr>
      <w:tr w:rsidR="007D66D9" w:rsidRPr="0024415C" w14:paraId="67B4A53E" w14:textId="77777777" w:rsidTr="007D66D9">
        <w:tc>
          <w:tcPr>
            <w:cnfStyle w:val="001000000000" w:firstRow="0" w:lastRow="0" w:firstColumn="1" w:lastColumn="0" w:oddVBand="0" w:evenVBand="0" w:oddHBand="0" w:evenHBand="0" w:firstRowFirstColumn="0" w:firstRowLastColumn="0" w:lastRowFirstColumn="0" w:lastRowLastColumn="0"/>
            <w:tcW w:w="0" w:type="auto"/>
            <w:hideMark/>
          </w:tcPr>
          <w:p w14:paraId="0B50C38A" w14:textId="77777777" w:rsidR="007D66D9" w:rsidRPr="0024415C" w:rsidRDefault="007D66D9" w:rsidP="0024415C">
            <w:pPr>
              <w:rPr>
                <w:sz w:val="20"/>
                <w:szCs w:val="20"/>
                <w:lang w:val="en"/>
              </w:rPr>
            </w:pPr>
            <w:r w:rsidRPr="0024415C">
              <w:rPr>
                <w:sz w:val="20"/>
                <w:szCs w:val="20"/>
                <w:lang w:val="en"/>
              </w:rPr>
              <w:t>on Day 8</w:t>
            </w:r>
          </w:p>
        </w:tc>
        <w:tc>
          <w:tcPr>
            <w:tcW w:w="0" w:type="auto"/>
            <w:hideMark/>
          </w:tcPr>
          <w:p w14:paraId="346A2906" w14:textId="77777777" w:rsidR="007D66D9" w:rsidRPr="0024415C" w:rsidRDefault="007D66D9" w:rsidP="0024415C">
            <w:pPr>
              <w:cnfStyle w:val="000000000000" w:firstRow="0" w:lastRow="0" w:firstColumn="0" w:lastColumn="0" w:oddVBand="0" w:evenVBand="0" w:oddHBand="0" w:evenHBand="0" w:firstRowFirstColumn="0" w:firstRowLastColumn="0" w:lastRowFirstColumn="0" w:lastRowLastColumn="0"/>
              <w:rPr>
                <w:sz w:val="20"/>
                <w:szCs w:val="20"/>
                <w:lang w:val="en"/>
              </w:rPr>
            </w:pPr>
            <w:r w:rsidRPr="0024415C">
              <w:rPr>
                <w:sz w:val="20"/>
                <w:szCs w:val="20"/>
                <w:lang w:val="en"/>
              </w:rPr>
              <w:t>46.22</w:t>
            </w:r>
          </w:p>
        </w:tc>
      </w:tr>
      <w:tr w:rsidR="007D66D9" w:rsidRPr="0024415C" w14:paraId="46A44D4E" w14:textId="77777777" w:rsidTr="007D66D9">
        <w:tc>
          <w:tcPr>
            <w:cnfStyle w:val="001000000000" w:firstRow="0" w:lastRow="0" w:firstColumn="1" w:lastColumn="0" w:oddVBand="0" w:evenVBand="0" w:oddHBand="0" w:evenHBand="0" w:firstRowFirstColumn="0" w:firstRowLastColumn="0" w:lastRowFirstColumn="0" w:lastRowLastColumn="0"/>
            <w:tcW w:w="0" w:type="auto"/>
            <w:hideMark/>
          </w:tcPr>
          <w:p w14:paraId="1834221A" w14:textId="77777777" w:rsidR="007D66D9" w:rsidRPr="0024415C" w:rsidRDefault="007D66D9" w:rsidP="0024415C">
            <w:pPr>
              <w:rPr>
                <w:sz w:val="20"/>
                <w:szCs w:val="20"/>
                <w:vertAlign w:val="superscript"/>
                <w:lang w:val="en"/>
              </w:rPr>
            </w:pPr>
            <w:proofErr w:type="spellStart"/>
            <w:r w:rsidRPr="0024415C">
              <w:rPr>
                <w:sz w:val="20"/>
                <w:szCs w:val="20"/>
                <w:lang w:val="en"/>
              </w:rPr>
              <w:t>Prev</w:t>
            </w:r>
            <w:proofErr w:type="spellEnd"/>
            <w:r w:rsidRPr="0024415C">
              <w:rPr>
                <w:sz w:val="20"/>
                <w:szCs w:val="20"/>
                <w:lang w:val="en"/>
              </w:rPr>
              <w:t xml:space="preserve"> max from 150/150</w:t>
            </w:r>
            <w:r w:rsidRPr="0024415C">
              <w:rPr>
                <w:sz w:val="20"/>
                <w:szCs w:val="20"/>
                <w:vertAlign w:val="superscript"/>
                <w:lang w:val="en"/>
              </w:rPr>
              <w:t>a</w:t>
            </w:r>
          </w:p>
        </w:tc>
        <w:tc>
          <w:tcPr>
            <w:tcW w:w="0" w:type="auto"/>
            <w:hideMark/>
          </w:tcPr>
          <w:p w14:paraId="230D0C79" w14:textId="77777777" w:rsidR="007D66D9" w:rsidRPr="0024415C" w:rsidRDefault="007D66D9" w:rsidP="0024415C">
            <w:pPr>
              <w:cnfStyle w:val="000000000000" w:firstRow="0" w:lastRow="0" w:firstColumn="0" w:lastColumn="0" w:oddVBand="0" w:evenVBand="0" w:oddHBand="0" w:evenHBand="0" w:firstRowFirstColumn="0" w:firstRowLastColumn="0" w:lastRowFirstColumn="0" w:lastRowLastColumn="0"/>
              <w:rPr>
                <w:sz w:val="20"/>
                <w:szCs w:val="20"/>
                <w:lang w:val="en"/>
              </w:rPr>
            </w:pPr>
            <w:r w:rsidRPr="0024415C">
              <w:rPr>
                <w:sz w:val="20"/>
                <w:szCs w:val="20"/>
                <w:lang w:val="en"/>
              </w:rPr>
              <w:t>49.34</w:t>
            </w:r>
          </w:p>
        </w:tc>
      </w:tr>
    </w:tbl>
    <w:p w14:paraId="283690E3" w14:textId="77777777" w:rsidR="00341788" w:rsidRPr="007D66D9" w:rsidRDefault="007D66D9" w:rsidP="005233A2">
      <w:pPr>
        <w:pStyle w:val="TableDescription"/>
      </w:pPr>
      <w:r w:rsidRPr="007D66D9">
        <w:t>From Study R092670-PSY-1008 and -3</w:t>
      </w:r>
      <w:r w:rsidR="00835887">
        <w:t>006 150/150</w:t>
      </w:r>
      <w:r w:rsidR="004A676D">
        <w:t xml:space="preserve"> mg</w:t>
      </w:r>
      <w:r w:rsidR="00835887">
        <w:t xml:space="preserve"> </w:t>
      </w:r>
      <w:proofErr w:type="spellStart"/>
      <w:r w:rsidR="00835887">
        <w:t>eq</w:t>
      </w:r>
      <w:proofErr w:type="spellEnd"/>
      <w:r w:rsidR="00835887">
        <w:t xml:space="preserve"> on Day 1/Day 8</w:t>
      </w:r>
    </w:p>
    <w:p w14:paraId="50612F5A" w14:textId="77777777" w:rsidR="00C618F7" w:rsidRDefault="00C618F7" w:rsidP="00C618F7">
      <w:pPr>
        <w:pStyle w:val="Heading2"/>
      </w:pPr>
      <w:bookmarkStart w:id="375" w:name="_Toc495583959"/>
      <w:r>
        <w:t>Second round evaluation of clinical data submitted in response to questions</w:t>
      </w:r>
      <w:bookmarkEnd w:id="375"/>
    </w:p>
    <w:p w14:paraId="3B627633" w14:textId="77777777" w:rsidR="007D66D9" w:rsidRPr="00835887" w:rsidRDefault="00835887" w:rsidP="007D66D9">
      <w:pPr>
        <w:rPr>
          <w:b/>
          <w:i/>
        </w:rPr>
      </w:pPr>
      <w:r>
        <w:rPr>
          <w:b/>
          <w:i/>
        </w:rPr>
        <w:t>Sponsor response:</w:t>
      </w:r>
    </w:p>
    <w:p w14:paraId="4B5D4896" w14:textId="77777777" w:rsidR="004A676D" w:rsidRPr="00B06D8A" w:rsidRDefault="007D66D9" w:rsidP="005233A2">
      <w:r w:rsidRPr="00B06D8A">
        <w:t xml:space="preserve">The PP1M population PK model, as published by </w:t>
      </w:r>
      <w:proofErr w:type="spellStart"/>
      <w:r w:rsidRPr="00B06D8A">
        <w:t>Samtani</w:t>
      </w:r>
      <w:proofErr w:type="spellEnd"/>
      <w:r w:rsidRPr="00B06D8A">
        <w:t xml:space="preserve"> et al. and described in the submitted PP1M population PK </w:t>
      </w:r>
      <w:r w:rsidR="00FC40CC" w:rsidRPr="00B06D8A">
        <w:t>report</w:t>
      </w:r>
      <w:r w:rsidRPr="00B06D8A">
        <w:t xml:space="preserve"> should then be considered the representative description of paliperidone PK after PP1M administration. Therefore, the PK simulations performed usi</w:t>
      </w:r>
      <w:r w:rsidR="003673F6" w:rsidRPr="00B06D8A">
        <w:t>ng</w:t>
      </w:r>
      <w:r w:rsidRPr="00B06D8A">
        <w:t xml:space="preserve"> that model, includi</w:t>
      </w:r>
      <w:r w:rsidR="003673F6" w:rsidRPr="00B06D8A">
        <w:t>ng</w:t>
      </w:r>
      <w:r w:rsidR="00FC40CC" w:rsidRPr="00B06D8A">
        <w:t xml:space="preserve"> those mentioned by the e</w:t>
      </w:r>
      <w:r w:rsidR="002170D1" w:rsidRPr="00B06D8A">
        <w:t xml:space="preserve">valuator </w:t>
      </w:r>
      <w:r w:rsidRPr="00B06D8A">
        <w:t>sho</w:t>
      </w:r>
      <w:r w:rsidR="00835887" w:rsidRPr="00B06D8A">
        <w:t>uld be still considered valid</w:t>
      </w:r>
      <w:r w:rsidR="004A676D" w:rsidRPr="00B06D8A">
        <w:t>.</w:t>
      </w:r>
    </w:p>
    <w:p w14:paraId="54B675F6" w14:textId="77777777" w:rsidR="005233A2" w:rsidRPr="006004CE" w:rsidRDefault="005233A2" w:rsidP="005233A2">
      <w:pPr>
        <w:rPr>
          <w:b/>
          <w:i/>
        </w:rPr>
      </w:pPr>
      <w:r w:rsidRPr="006004CE">
        <w:rPr>
          <w:b/>
          <w:i/>
        </w:rPr>
        <w:t>Evaluation of the response:</w:t>
      </w:r>
    </w:p>
    <w:p w14:paraId="76D8458A" w14:textId="77777777" w:rsidR="005233A2" w:rsidRPr="00B06D8A" w:rsidRDefault="005233A2" w:rsidP="005233A2">
      <w:r w:rsidRPr="00B06D8A">
        <w:t>The sponsor’s response was satisfactory.</w:t>
      </w:r>
    </w:p>
    <w:p w14:paraId="61F0C3E7" w14:textId="77777777" w:rsidR="000142FD" w:rsidRDefault="00C618F7" w:rsidP="000142FD">
      <w:pPr>
        <w:pStyle w:val="Heading2"/>
      </w:pPr>
      <w:bookmarkStart w:id="376" w:name="_Toc495583960"/>
      <w:r>
        <w:t>Second round benefit-risk assessment</w:t>
      </w:r>
      <w:bookmarkEnd w:id="376"/>
    </w:p>
    <w:p w14:paraId="6C987006" w14:textId="77777777" w:rsidR="007D66D9" w:rsidRPr="00325A49" w:rsidRDefault="007D66D9" w:rsidP="007D66D9">
      <w:pPr>
        <w:pStyle w:val="Heading3"/>
      </w:pPr>
      <w:bookmarkStart w:id="377" w:name="_Toc272414709"/>
      <w:bookmarkStart w:id="378" w:name="_Toc290846349"/>
      <w:bookmarkStart w:id="379" w:name="_Toc290888886"/>
      <w:bookmarkStart w:id="380" w:name="_Toc315264274"/>
      <w:bookmarkStart w:id="381" w:name="_Toc495583961"/>
      <w:r w:rsidRPr="00325A49">
        <w:t>Second round assessment of benefits</w:t>
      </w:r>
      <w:bookmarkEnd w:id="377"/>
      <w:bookmarkEnd w:id="378"/>
      <w:bookmarkEnd w:id="379"/>
      <w:bookmarkEnd w:id="380"/>
      <w:bookmarkEnd w:id="381"/>
    </w:p>
    <w:p w14:paraId="2F0E80BB" w14:textId="77777777" w:rsidR="007D66D9" w:rsidRPr="007D66D9" w:rsidRDefault="007D66D9" w:rsidP="007D66D9">
      <w:r w:rsidRPr="007D66D9">
        <w:t>No new clinical information was submitted in response to questions. Accordi</w:t>
      </w:r>
      <w:r w:rsidR="003673F6">
        <w:t>ng</w:t>
      </w:r>
      <w:r w:rsidRPr="007D66D9">
        <w:t>ly, the risks are uncha</w:t>
      </w:r>
      <w:r w:rsidR="003673F6">
        <w:t>ng</w:t>
      </w:r>
      <w:r w:rsidRPr="007D66D9">
        <w:t xml:space="preserve">ed from those identified in </w:t>
      </w:r>
      <w:r w:rsidR="005233A2">
        <w:t>the first round assessment of benefits</w:t>
      </w:r>
      <w:r w:rsidRPr="007D66D9">
        <w:t>.</w:t>
      </w:r>
    </w:p>
    <w:p w14:paraId="5A6D44CC" w14:textId="77777777" w:rsidR="007D66D9" w:rsidRPr="00325A49" w:rsidRDefault="007D66D9" w:rsidP="007D66D9">
      <w:pPr>
        <w:pStyle w:val="Heading3"/>
      </w:pPr>
      <w:bookmarkStart w:id="382" w:name="_Toc315264275"/>
      <w:bookmarkStart w:id="383" w:name="_Toc290888887"/>
      <w:bookmarkStart w:id="384" w:name="_Toc290846350"/>
      <w:bookmarkStart w:id="385" w:name="_Toc272414710"/>
      <w:bookmarkStart w:id="386" w:name="_Toc453054950"/>
      <w:bookmarkStart w:id="387" w:name="_Toc495583962"/>
      <w:r w:rsidRPr="00325A49">
        <w:t>Second round assessment of risks</w:t>
      </w:r>
      <w:bookmarkEnd w:id="382"/>
      <w:bookmarkEnd w:id="383"/>
      <w:bookmarkEnd w:id="384"/>
      <w:bookmarkEnd w:id="385"/>
      <w:bookmarkEnd w:id="386"/>
      <w:bookmarkEnd w:id="387"/>
    </w:p>
    <w:p w14:paraId="2CF52F29" w14:textId="77777777" w:rsidR="007D66D9" w:rsidRPr="007D66D9" w:rsidRDefault="007D66D9" w:rsidP="007D66D9">
      <w:r w:rsidRPr="007D66D9">
        <w:t>No new clinical information was submitted in response to questions. Accordi</w:t>
      </w:r>
      <w:r w:rsidR="003673F6">
        <w:t>ng</w:t>
      </w:r>
      <w:r w:rsidRPr="007D66D9">
        <w:t>ly, the risks are uncha</w:t>
      </w:r>
      <w:r w:rsidR="003673F6">
        <w:t>ng</w:t>
      </w:r>
      <w:r w:rsidRPr="007D66D9">
        <w:t xml:space="preserve">ed from those identified in </w:t>
      </w:r>
      <w:r w:rsidR="005233A2">
        <w:t>the first round assessment of risks.</w:t>
      </w:r>
    </w:p>
    <w:p w14:paraId="551F04B2" w14:textId="77777777" w:rsidR="007D66D9" w:rsidRPr="00325A49" w:rsidRDefault="007D66D9" w:rsidP="007D66D9">
      <w:pPr>
        <w:pStyle w:val="Heading3"/>
      </w:pPr>
      <w:bookmarkStart w:id="388" w:name="_Toc315264276"/>
      <w:bookmarkStart w:id="389" w:name="_Toc290888888"/>
      <w:bookmarkStart w:id="390" w:name="_Toc290846351"/>
      <w:bookmarkStart w:id="391" w:name="_Toc272414711"/>
      <w:bookmarkStart w:id="392" w:name="_Toc453054951"/>
      <w:bookmarkStart w:id="393" w:name="_Toc495583963"/>
      <w:r w:rsidRPr="00325A49">
        <w:lastRenderedPageBreak/>
        <w:t>Second round assessment of benefit-risk balance</w:t>
      </w:r>
      <w:bookmarkEnd w:id="388"/>
      <w:bookmarkEnd w:id="389"/>
      <w:bookmarkEnd w:id="390"/>
      <w:bookmarkEnd w:id="391"/>
      <w:bookmarkEnd w:id="392"/>
      <w:bookmarkEnd w:id="393"/>
    </w:p>
    <w:p w14:paraId="22040179" w14:textId="77777777" w:rsidR="0085068D" w:rsidRPr="007D66D9" w:rsidRDefault="007D66D9" w:rsidP="0085068D">
      <w:r w:rsidRPr="007D66D9">
        <w:t>The benefit-risk balanc</w:t>
      </w:r>
      <w:r w:rsidR="00835887">
        <w:t>e is thus considered uncha</w:t>
      </w:r>
      <w:r w:rsidR="003673F6">
        <w:t>ng</w:t>
      </w:r>
      <w:r w:rsidR="00835887">
        <w:t>ed.</w:t>
      </w:r>
    </w:p>
    <w:p w14:paraId="0EB94C83" w14:textId="77777777" w:rsidR="00C618F7" w:rsidRDefault="00C618F7" w:rsidP="00C618F7">
      <w:pPr>
        <w:pStyle w:val="Heading2"/>
      </w:pPr>
      <w:bookmarkStart w:id="394" w:name="_Toc495583964"/>
      <w:r>
        <w:t>Second round recommendation regardi</w:t>
      </w:r>
      <w:r w:rsidR="003673F6">
        <w:t>ng</w:t>
      </w:r>
      <w:r>
        <w:t xml:space="preserve"> authorisation</w:t>
      </w:r>
      <w:bookmarkEnd w:id="394"/>
    </w:p>
    <w:p w14:paraId="75B8F0FD" w14:textId="77777777" w:rsidR="004A676D" w:rsidRDefault="007D66D9" w:rsidP="00E6609C">
      <w:r w:rsidRPr="007D66D9">
        <w:t>In commenti</w:t>
      </w:r>
      <w:r w:rsidR="003673F6">
        <w:t>ng</w:t>
      </w:r>
      <w:r w:rsidRPr="007D66D9">
        <w:t xml:space="preserve"> on this evaluator’s recommendations concerni</w:t>
      </w:r>
      <w:r w:rsidR="003673F6">
        <w:t>ng</w:t>
      </w:r>
      <w:r w:rsidRPr="007D66D9">
        <w:t xml:space="preserve"> the proposed PI the sponsor objected to the use of the term ‘dose dumpi</w:t>
      </w:r>
      <w:r w:rsidR="003673F6">
        <w:t>ng</w:t>
      </w:r>
      <w:r w:rsidRPr="007D66D9">
        <w:t>. The recommendation regardi</w:t>
      </w:r>
      <w:r w:rsidR="003673F6">
        <w:t>ng</w:t>
      </w:r>
      <w:r w:rsidRPr="007D66D9">
        <w:t xml:space="preserve"> authorisation is recommended accordi</w:t>
      </w:r>
      <w:r w:rsidR="003673F6">
        <w:t>ng</w:t>
      </w:r>
      <w:r w:rsidRPr="007D66D9">
        <w:t>ly</w:t>
      </w:r>
      <w:r w:rsidR="004A676D">
        <w:t>.</w:t>
      </w:r>
    </w:p>
    <w:p w14:paraId="53020AFA" w14:textId="77777777" w:rsidR="004A676D" w:rsidRDefault="007D66D9" w:rsidP="00E6609C">
      <w:r w:rsidRPr="007D66D9">
        <w:t>It is recommended that authorisation of registration occur, but with the proviso that the PI carry a warni</w:t>
      </w:r>
      <w:r w:rsidR="003673F6">
        <w:t>ng</w:t>
      </w:r>
      <w:r w:rsidRPr="007D66D9">
        <w:t xml:space="preserve"> of the possibil</w:t>
      </w:r>
      <w:r w:rsidR="00835887">
        <w:t>ity of early rapid absorption</w:t>
      </w:r>
      <w:r w:rsidR="004A676D">
        <w:t>.</w:t>
      </w:r>
    </w:p>
    <w:p w14:paraId="106BF669" w14:textId="77777777" w:rsidR="009C740E" w:rsidRDefault="009C740E" w:rsidP="009C740E"/>
    <w:p w14:paraId="18D8C89A" w14:textId="77777777" w:rsidR="00E6609C" w:rsidRPr="007D66D9" w:rsidRDefault="00E6609C" w:rsidP="009C740E">
      <w:pPr>
        <w:sectPr w:rsidR="00E6609C" w:rsidRPr="007D66D9" w:rsidSect="004D2F2B">
          <w:headerReference w:type="even" r:id="rId122"/>
          <w:footerReference w:type="even" r:id="rId123"/>
          <w:headerReference w:type="first" r:id="rId124"/>
          <w:footerReference w:type="first" r:id="rId125"/>
          <w:endnotePr>
            <w:numFmt w:val="decimal"/>
          </w:endnotePr>
          <w:type w:val="continuous"/>
          <w:pgSz w:w="11906" w:h="16838" w:code="9"/>
          <w:pgMar w:top="1134" w:right="1134" w:bottom="1134" w:left="1440" w:header="737" w:footer="737" w:gutter="0"/>
          <w:cols w:space="72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16E6E" w:rsidRPr="007D66D9" w14:paraId="100FAB0B" w14:textId="77777777" w:rsidTr="00B06D8A">
        <w:trPr>
          <w:cantSplit/>
          <w:trHeight w:hRule="exact" w:val="564"/>
        </w:trPr>
        <w:tc>
          <w:tcPr>
            <w:tcW w:w="9175" w:type="dxa"/>
          </w:tcPr>
          <w:bookmarkEnd w:id="3"/>
          <w:bookmarkEnd w:id="2"/>
          <w:bookmarkEnd w:id="1"/>
          <w:p w14:paraId="4F948719" w14:textId="4BC79ECC" w:rsidR="00B16E6E" w:rsidRPr="00487162" w:rsidRDefault="00B16E6E" w:rsidP="009021F5">
            <w:pPr>
              <w:pStyle w:val="TGASignoff"/>
            </w:pPr>
            <w:r w:rsidRPr="00487162">
              <w:lastRenderedPageBreak/>
              <w:t>Therapeutic Goods Administration</w:t>
            </w:r>
          </w:p>
        </w:tc>
      </w:tr>
      <w:tr w:rsidR="00B16E6E" w:rsidRPr="007D66D9" w14:paraId="113D026D" w14:textId="77777777" w:rsidTr="00B06D8A">
        <w:trPr>
          <w:cantSplit/>
          <w:trHeight w:val="1221"/>
        </w:trPr>
        <w:tc>
          <w:tcPr>
            <w:tcW w:w="9175" w:type="dxa"/>
            <w:tcMar>
              <w:top w:w="28" w:type="dxa"/>
            </w:tcMar>
          </w:tcPr>
          <w:p w14:paraId="125BE550" w14:textId="77777777" w:rsidR="00B16E6E" w:rsidRPr="00487162" w:rsidRDefault="00B16E6E" w:rsidP="003B3D73">
            <w:pPr>
              <w:pStyle w:val="Address"/>
            </w:pPr>
            <w:r w:rsidRPr="00487162">
              <w:t>PO Box 100 Woden ACT 2606 Australia</w:t>
            </w:r>
          </w:p>
          <w:p w14:paraId="6A78FB50" w14:textId="77777777" w:rsidR="00B16E6E" w:rsidRPr="00FC40CC" w:rsidRDefault="00B16E6E" w:rsidP="003B3D73">
            <w:pPr>
              <w:pStyle w:val="Address"/>
            </w:pPr>
            <w:r w:rsidRPr="00FC40CC">
              <w:t xml:space="preserve">Email: </w:t>
            </w:r>
            <w:hyperlink r:id="rId126" w:history="1">
              <w:r w:rsidRPr="00FC40CC">
                <w:rPr>
                  <w:rStyle w:val="Hyperlink"/>
                </w:rPr>
                <w:t>info@tga.gov.au</w:t>
              </w:r>
            </w:hyperlink>
            <w:r w:rsidRPr="00FC40CC">
              <w:t xml:space="preserve"> Phone: 1800 020 653 Fax: 02 6232 8605</w:t>
            </w:r>
          </w:p>
          <w:p w14:paraId="43619279" w14:textId="36FEBCA3" w:rsidR="00B16E6E" w:rsidRPr="007D66D9" w:rsidRDefault="00F82740" w:rsidP="009021F5">
            <w:pPr>
              <w:pStyle w:val="Address"/>
              <w:spacing w:line="260" w:lineRule="atLeast"/>
              <w:rPr>
                <w:b/>
                <w:color w:val="0000FF"/>
                <w:highlight w:val="yellow"/>
                <w:u w:val="single"/>
              </w:rPr>
            </w:pPr>
            <w:hyperlink r:id="rId127" w:history="1">
              <w:r w:rsidR="00B16E6E" w:rsidRPr="00FC40CC">
                <w:rPr>
                  <w:rStyle w:val="Hyperlink"/>
                </w:rPr>
                <w:t>https://www.tga.gov.au</w:t>
              </w:r>
            </w:hyperlink>
          </w:p>
        </w:tc>
      </w:tr>
    </w:tbl>
    <w:p w14:paraId="6C92DA99" w14:textId="77777777" w:rsidR="00774E1D" w:rsidRPr="007D66D9" w:rsidRDefault="00774E1D"/>
    <w:sectPr w:rsidR="00774E1D" w:rsidRPr="007D66D9" w:rsidSect="00B3567E">
      <w:headerReference w:type="even" r:id="rId128"/>
      <w:headerReference w:type="default" r:id="rId129"/>
      <w:footerReference w:type="default" r:id="rId130"/>
      <w:headerReference w:type="first" r:id="rId131"/>
      <w:footerReference w:type="first" r:id="rId132"/>
      <w:endnotePr>
        <w:numFmt w:val="decimal"/>
      </w:endnotePr>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B54CA4" w15:done="0"/>
  <w15:commentEx w15:paraId="274D3660" w15:done="0"/>
  <w15:commentEx w15:paraId="4F61BA2B" w15:done="0"/>
  <w15:commentEx w15:paraId="2CA8DDC8" w15:done="0"/>
  <w15:commentEx w15:paraId="5B171E9A" w15:done="0"/>
  <w15:commentEx w15:paraId="6F5AAEB1" w15:done="0"/>
  <w15:commentEx w15:paraId="555E1629" w15:done="0"/>
  <w15:commentEx w15:paraId="771889D3" w15:done="0"/>
  <w15:commentEx w15:paraId="6649AD71" w15:done="0"/>
  <w15:commentEx w15:paraId="6545A780" w15:done="0"/>
  <w15:commentEx w15:paraId="5F1F3FEC" w15:done="0"/>
  <w15:commentEx w15:paraId="08586300" w15:done="0"/>
  <w15:commentEx w15:paraId="0829CC00" w15:done="0"/>
  <w15:commentEx w15:paraId="348C818A" w15:done="0"/>
  <w15:commentEx w15:paraId="7E443E33" w15:done="0"/>
  <w15:commentEx w15:paraId="6CB6E876" w15:done="0"/>
  <w15:commentEx w15:paraId="34D80F8B" w15:done="0"/>
  <w15:commentEx w15:paraId="3813E390" w15:done="0"/>
  <w15:commentEx w15:paraId="5E461014" w15:done="0"/>
  <w15:commentEx w15:paraId="18FF6B0F" w15:done="0"/>
  <w15:commentEx w15:paraId="4076E682" w15:done="0"/>
  <w15:commentEx w15:paraId="550D23F2" w15:done="0"/>
  <w15:commentEx w15:paraId="112936D3" w15:done="0"/>
  <w15:commentEx w15:paraId="60BA5A6C" w15:done="0"/>
  <w15:commentEx w15:paraId="59A34A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DE749" w14:textId="77777777" w:rsidR="00D56AB0" w:rsidRDefault="00D56AB0" w:rsidP="00C40A36">
      <w:pPr>
        <w:spacing w:after="0"/>
      </w:pPr>
      <w:r>
        <w:separator/>
      </w:r>
    </w:p>
  </w:endnote>
  <w:endnote w:type="continuationSeparator" w:id="0">
    <w:p w14:paraId="3D732A6D" w14:textId="77777777" w:rsidR="00D56AB0" w:rsidRDefault="00D56AB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6E135" w14:textId="77777777" w:rsidR="00D56AB0" w:rsidRDefault="00D56AB0" w:rsidP="007D66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5A87A5" w14:textId="77777777" w:rsidR="00D56AB0" w:rsidRDefault="00D56AB0"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4A45F" w14:textId="77777777" w:rsidR="00D56AB0" w:rsidRDefault="00D56AB0" w:rsidP="002F28A2">
    <w:pPr>
      <w:pStyle w:val="Footer"/>
      <w:framePr w:wrap="around" w:vAnchor="text" w:hAnchor="margin" w:xAlign="right" w:y="1"/>
      <w:rPr>
        <w:rStyle w:val="PageNumber"/>
      </w:rPr>
    </w:pPr>
  </w:p>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56AB0" w:rsidRPr="00487162" w14:paraId="5E0DC186" w14:textId="77777777" w:rsidTr="00E8387F">
      <w:trPr>
        <w:trHeight w:val="269"/>
      </w:trPr>
      <w:tc>
        <w:tcPr>
          <w:tcW w:w="7371" w:type="dxa"/>
          <w:tcMar>
            <w:top w:w="142" w:type="dxa"/>
            <w:bottom w:w="0" w:type="dxa"/>
          </w:tcMar>
        </w:tcPr>
        <w:p w14:paraId="3D42C2DA" w14:textId="75E8D08D" w:rsidR="00D56AB0" w:rsidRPr="00487162" w:rsidRDefault="00D56AB0" w:rsidP="00A835F2">
          <w:pPr>
            <w:pStyle w:val="Footer"/>
          </w:pPr>
          <w:r>
            <w:t>AusPAR Attachment 2 INVEGA TRINZA/TREVICTA – paliperidone (as palmitate) – Janssen-</w:t>
          </w:r>
          <w:proofErr w:type="spellStart"/>
          <w:r>
            <w:t>Cilag</w:t>
          </w:r>
          <w:proofErr w:type="spellEnd"/>
          <w:r>
            <w:t xml:space="preserve"> Pty Ltd - </w:t>
          </w:r>
          <w:r w:rsidRPr="00487162">
            <w:t>PM-20</w:t>
          </w:r>
          <w:r>
            <w:t>15-02788-1-1 - Extract from the Clinical Evaluation Report FINAL  12 October 2017</w:t>
          </w:r>
        </w:p>
      </w:tc>
      <w:tc>
        <w:tcPr>
          <w:tcW w:w="1490" w:type="dxa"/>
          <w:tcMar>
            <w:top w:w="142" w:type="dxa"/>
            <w:bottom w:w="0" w:type="dxa"/>
          </w:tcMar>
        </w:tcPr>
        <w:p w14:paraId="453A063A" w14:textId="15B3ADCC" w:rsidR="00D56AB0" w:rsidRPr="00981D66" w:rsidRDefault="00D56AB0" w:rsidP="00E85493">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F82740">
            <w:rPr>
              <w:noProof/>
            </w:rPr>
            <w:t>16</w:t>
          </w:r>
          <w:r w:rsidRPr="00981D66">
            <w:fldChar w:fldCharType="end"/>
          </w:r>
          <w:r w:rsidRPr="00981D66">
            <w:t xml:space="preserve"> of </w:t>
          </w:r>
          <w:r w:rsidR="00F82740">
            <w:fldChar w:fldCharType="begin"/>
          </w:r>
          <w:r w:rsidR="00F82740">
            <w:instrText xml:space="preserve"> NUMPAGES  \* Arabic  \* MERGEFORMAT </w:instrText>
          </w:r>
          <w:r w:rsidR="00F82740">
            <w:fldChar w:fldCharType="separate"/>
          </w:r>
          <w:r w:rsidR="00F82740">
            <w:rPr>
              <w:noProof/>
            </w:rPr>
            <w:t>113</w:t>
          </w:r>
          <w:r w:rsidR="00F82740">
            <w:rPr>
              <w:noProof/>
            </w:rPr>
            <w:fldChar w:fldCharType="end"/>
          </w:r>
        </w:p>
      </w:tc>
    </w:tr>
  </w:tbl>
  <w:p w14:paraId="50C62571" w14:textId="77777777" w:rsidR="00D56AB0" w:rsidRPr="007D66D9" w:rsidRDefault="00D56AB0" w:rsidP="00E8387F">
    <w:pPr>
      <w:pStyle w:val="Footer"/>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6B8C4" w14:textId="77777777" w:rsidR="00D56AB0" w:rsidRPr="00086428" w:rsidRDefault="00D56AB0" w:rsidP="00086428">
    <w:pPr>
      <w:pStyle w:val="Footer"/>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B8F83" w14:textId="77777777" w:rsidR="00D56AB0" w:rsidRDefault="00D56AB0" w:rsidP="007D66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2D746D" w14:textId="77777777" w:rsidR="00D56AB0" w:rsidRDefault="00D56AB0" w:rsidP="007D66D9">
    <w:pPr>
      <w:pStyle w:val="Footer"/>
      <w:ind w:right="360"/>
    </w:pPr>
  </w:p>
  <w:p w14:paraId="24D8394A" w14:textId="77777777" w:rsidR="00D56AB0" w:rsidRDefault="00D56AB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26B98" w14:textId="77777777" w:rsidR="00D56AB0" w:rsidRDefault="00D56AB0">
    <w:pPr>
      <w:pStyle w:val="Footer"/>
    </w:pPr>
  </w:p>
  <w:p w14:paraId="49867E8F" w14:textId="77777777" w:rsidR="00D56AB0" w:rsidRDefault="00D56AB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A5817" w14:textId="77777777" w:rsidR="00D56AB0" w:rsidRDefault="00D56AB0" w:rsidP="002F28A2">
    <w:pPr>
      <w:pStyle w:val="Footer"/>
      <w:framePr w:wrap="around" w:vAnchor="text" w:hAnchor="margin" w:xAlign="right" w:y="1"/>
      <w:rPr>
        <w:rStyle w:val="PageNumber"/>
      </w:rPr>
    </w:pPr>
  </w:p>
  <w:p w14:paraId="1B8AFD01" w14:textId="77777777" w:rsidR="00D56AB0" w:rsidRPr="007D66D9" w:rsidRDefault="00D56AB0" w:rsidP="00E8387F">
    <w:pPr>
      <w:pStyle w:val="Footer"/>
      <w:ind w:right="360"/>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56AB0" w14:paraId="23AFA329" w14:textId="77777777" w:rsidTr="0010601F">
      <w:trPr>
        <w:trHeight w:val="108"/>
      </w:trPr>
      <w:tc>
        <w:tcPr>
          <w:tcW w:w="8875" w:type="dxa"/>
          <w:gridSpan w:val="2"/>
          <w:tcBorders>
            <w:bottom w:val="single" w:sz="4" w:space="0" w:color="auto"/>
          </w:tcBorders>
          <w:tcMar>
            <w:right w:w="284" w:type="dxa"/>
          </w:tcMar>
        </w:tcPr>
        <w:p w14:paraId="068CD8F5" w14:textId="77777777" w:rsidR="00D56AB0" w:rsidRDefault="00D56AB0" w:rsidP="006E08B3">
          <w:pPr>
            <w:pStyle w:val="Heading3"/>
          </w:pPr>
          <w:r>
            <w:t>Copyright</w:t>
          </w:r>
        </w:p>
        <w:p w14:paraId="646BE0E7" w14:textId="77777777" w:rsidR="00D56AB0" w:rsidRDefault="00D56AB0" w:rsidP="006E08B3">
          <w:r>
            <w:t>© Commonwealth of Australia [add year]</w:t>
          </w:r>
        </w:p>
        <w:p w14:paraId="199FFD13" w14:textId="77777777" w:rsidR="00D56AB0" w:rsidRDefault="00D56AB0" w:rsidP="006E08B3"/>
        <w:p w14:paraId="29BC7EBF" w14:textId="77777777" w:rsidR="00D56AB0" w:rsidRDefault="00D56AB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F572BBF" w14:textId="77777777" w:rsidR="00D56AB0" w:rsidRDefault="00D56AB0" w:rsidP="006E08B3"/>
        <w:p w14:paraId="0E36075F" w14:textId="77777777" w:rsidR="00D56AB0" w:rsidRDefault="00D56AB0" w:rsidP="006E08B3">
          <w:pPr>
            <w:pStyle w:val="Heading3"/>
          </w:pPr>
          <w:r>
            <w:t>Confidentiality</w:t>
          </w:r>
        </w:p>
        <w:p w14:paraId="49C577D7" w14:textId="77777777" w:rsidR="00D56AB0" w:rsidRDefault="00D56AB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7935304" w14:textId="77777777" w:rsidR="00D56AB0" w:rsidRDefault="00D56AB0" w:rsidP="006E08B3"/>
        <w:p w14:paraId="29E4871D" w14:textId="77777777" w:rsidR="00D56AB0" w:rsidRDefault="00D56AB0" w:rsidP="006E08B3">
          <w:r>
            <w:t>For submission made by individuals, all personal details, other than your name, will be removed from your submission before it is published on the TGA’s Internet site.</w:t>
          </w:r>
        </w:p>
        <w:p w14:paraId="3F202207" w14:textId="77777777" w:rsidR="00D56AB0" w:rsidRDefault="00D56AB0" w:rsidP="006E08B3"/>
        <w:p w14:paraId="4EC62CC0" w14:textId="77777777" w:rsidR="00D56AB0" w:rsidRDefault="00D56AB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56AB0" w14:paraId="6E210E3E" w14:textId="77777777" w:rsidTr="0010601F">
      <w:trPr>
        <w:trHeight w:val="417"/>
      </w:trPr>
      <w:tc>
        <w:tcPr>
          <w:tcW w:w="4519" w:type="dxa"/>
          <w:tcBorders>
            <w:top w:val="single" w:sz="4" w:space="0" w:color="auto"/>
          </w:tcBorders>
          <w:tcMar>
            <w:top w:w="142" w:type="dxa"/>
            <w:bottom w:w="0" w:type="dxa"/>
          </w:tcMar>
        </w:tcPr>
        <w:p w14:paraId="24131478" w14:textId="77777777" w:rsidR="00D56AB0" w:rsidRDefault="00D56AB0" w:rsidP="006E08B3">
          <w:r>
            <w:t>Document title, Part #, Section # - Section title</w:t>
          </w:r>
        </w:p>
        <w:p w14:paraId="0B04F865" w14:textId="77777777" w:rsidR="00D56AB0" w:rsidRDefault="00D56AB0" w:rsidP="006E08B3">
          <w:r>
            <w:t>V1.0 October 2010</w:t>
          </w:r>
        </w:p>
      </w:tc>
      <w:tc>
        <w:tcPr>
          <w:tcW w:w="4356" w:type="dxa"/>
          <w:tcBorders>
            <w:top w:val="single" w:sz="4" w:space="0" w:color="auto"/>
          </w:tcBorders>
          <w:tcMar>
            <w:top w:w="142" w:type="dxa"/>
            <w:bottom w:w="0" w:type="dxa"/>
          </w:tcMar>
        </w:tcPr>
        <w:p w14:paraId="58B9E207" w14:textId="77777777" w:rsidR="00D56AB0" w:rsidRDefault="00D56AB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14:paraId="052C495A" w14:textId="77777777" w:rsidR="00D56AB0" w:rsidRDefault="00D56A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8D14E2" w14:textId="77777777" w:rsidR="00D56AB0" w:rsidRDefault="00D56AB0" w:rsidP="00C40A36">
      <w:pPr>
        <w:spacing w:after="0"/>
      </w:pPr>
      <w:r>
        <w:separator/>
      </w:r>
    </w:p>
  </w:footnote>
  <w:footnote w:type="continuationSeparator" w:id="0">
    <w:p w14:paraId="30501E1D" w14:textId="77777777" w:rsidR="00D56AB0" w:rsidRDefault="00D56AB0" w:rsidP="00C40A36">
      <w:pPr>
        <w:spacing w:after="0"/>
      </w:pPr>
      <w:r>
        <w:continuationSeparator/>
      </w:r>
    </w:p>
  </w:footnote>
  <w:footnote w:id="1">
    <w:p w14:paraId="1F6782D0" w14:textId="77777777" w:rsidR="00D56AB0" w:rsidRPr="00886955" w:rsidRDefault="00D56AB0" w:rsidP="007D66D9">
      <w:pPr>
        <w:pStyle w:val="FootnoteText"/>
        <w:rPr>
          <w:sz w:val="18"/>
          <w:szCs w:val="18"/>
        </w:rPr>
      </w:pPr>
      <w:r w:rsidRPr="00886955">
        <w:rPr>
          <w:rStyle w:val="FootnoteReference"/>
          <w:sz w:val="18"/>
          <w:szCs w:val="18"/>
        </w:rPr>
        <w:footnoteRef/>
      </w:r>
      <w:r w:rsidRPr="00886955">
        <w:rPr>
          <w:sz w:val="18"/>
          <w:szCs w:val="18"/>
        </w:rPr>
        <w:t xml:space="preserve"> This departure from proposed recommended dosage timing is based on PopPK study</w:t>
      </w:r>
    </w:p>
  </w:footnote>
  <w:footnote w:id="2">
    <w:p w14:paraId="61123103" w14:textId="77777777" w:rsidR="00D56AB0" w:rsidRPr="00886955" w:rsidRDefault="00D56AB0" w:rsidP="007D66D9">
      <w:pPr>
        <w:pStyle w:val="FootnoteText"/>
        <w:rPr>
          <w:sz w:val="18"/>
          <w:szCs w:val="18"/>
        </w:rPr>
      </w:pPr>
      <w:r w:rsidRPr="00886955">
        <w:rPr>
          <w:rStyle w:val="FootnoteReference"/>
          <w:sz w:val="18"/>
          <w:szCs w:val="18"/>
        </w:rPr>
        <w:footnoteRef/>
      </w:r>
      <w:r w:rsidRPr="00886955">
        <w:rPr>
          <w:sz w:val="18"/>
          <w:szCs w:val="18"/>
        </w:rPr>
        <w:t xml:space="preserve"> REP-1-JAN-PAL-PMX-1</w:t>
      </w:r>
    </w:p>
  </w:footnote>
  <w:footnote w:id="3">
    <w:p w14:paraId="077AFBF2" w14:textId="77777777" w:rsidR="00D56AB0" w:rsidRPr="009F485A" w:rsidRDefault="00D56AB0" w:rsidP="00886955">
      <w:pPr>
        <w:pStyle w:val="Style1"/>
        <w:numPr>
          <w:ilvl w:val="0"/>
          <w:numId w:val="0"/>
        </w:numPr>
        <w:rPr>
          <w:sz w:val="18"/>
          <w:szCs w:val="18"/>
        </w:rPr>
      </w:pPr>
      <w:r w:rsidRPr="009F485A">
        <w:rPr>
          <w:rStyle w:val="FootnoteReference"/>
          <w:sz w:val="18"/>
          <w:szCs w:val="18"/>
        </w:rPr>
        <w:footnoteRef/>
      </w:r>
      <w:r w:rsidRPr="009F485A">
        <w:rPr>
          <w:sz w:val="18"/>
          <w:szCs w:val="18"/>
        </w:rPr>
        <w:t xml:space="preserve"> The Positive and Negative Syndrome Scale (PANSS) was used to assess neuropsychiatric symptoms of schizophrenia. It has a 30-item scale that provides a total score (sum of the scores of all 30 items; 30-210) and scores for 3 subscales, the positive subscale (7 items), the negative subscale (7 items), and the general psychopathology subscale (16 items). Each scale was rated 1 (absent) to 7 (extreme). This gives a range of 180 points (30 to 210).</w:t>
      </w:r>
    </w:p>
    <w:p w14:paraId="14201D54" w14:textId="77777777" w:rsidR="00D56AB0" w:rsidRPr="00886955" w:rsidRDefault="00D56AB0">
      <w:pPr>
        <w:pStyle w:val="FootnoteText"/>
        <w:rPr>
          <w:lang w:val="en-US"/>
        </w:rPr>
      </w:pPr>
    </w:p>
  </w:footnote>
  <w:footnote w:id="4">
    <w:p w14:paraId="2F11CBA6" w14:textId="0217C573" w:rsidR="00D56AB0" w:rsidRDefault="00D56AB0" w:rsidP="007D66D9">
      <w:pPr>
        <w:pStyle w:val="FootnoteText"/>
      </w:pPr>
      <w:r>
        <w:rPr>
          <w:rStyle w:val="FootnoteReference"/>
        </w:rPr>
        <w:footnoteRef/>
      </w:r>
      <w:r>
        <w:t xml:space="preserve"> </w:t>
      </w:r>
      <w:r w:rsidRPr="00E60DFA">
        <w:t>stated in the protocol as to be excluded</w:t>
      </w:r>
    </w:p>
  </w:footnote>
  <w:footnote w:id="5">
    <w:p w14:paraId="58BE789E" w14:textId="77777777" w:rsidR="00D56AB0" w:rsidRPr="009F485A" w:rsidRDefault="00D56AB0" w:rsidP="007D66D9">
      <w:pPr>
        <w:pStyle w:val="FootnoteText"/>
        <w:rPr>
          <w:sz w:val="18"/>
          <w:szCs w:val="18"/>
        </w:rPr>
      </w:pPr>
      <w:r w:rsidRPr="009F485A">
        <w:rPr>
          <w:rStyle w:val="FootnoteReference"/>
          <w:sz w:val="18"/>
          <w:szCs w:val="18"/>
        </w:rPr>
        <w:footnoteRef/>
      </w:r>
      <w:r w:rsidRPr="009F485A">
        <w:rPr>
          <w:sz w:val="18"/>
          <w:szCs w:val="18"/>
        </w:rPr>
        <w:t xml:space="preserve"> Comment: Invega Trinza is both a greater volume and a higher concentration than Invega Sustenna</w:t>
      </w:r>
    </w:p>
  </w:footnote>
  <w:footnote w:id="6">
    <w:p w14:paraId="1E263305" w14:textId="77777777" w:rsidR="00D56AB0" w:rsidRPr="009F485A" w:rsidRDefault="00D56AB0" w:rsidP="007D66D9">
      <w:pPr>
        <w:pStyle w:val="FootnoteText"/>
        <w:rPr>
          <w:sz w:val="18"/>
          <w:szCs w:val="18"/>
        </w:rPr>
      </w:pPr>
      <w:r w:rsidRPr="009F485A">
        <w:rPr>
          <w:rStyle w:val="FootnoteReference"/>
          <w:sz w:val="18"/>
          <w:szCs w:val="18"/>
        </w:rPr>
        <w:footnoteRef/>
      </w:r>
      <w:r w:rsidRPr="009F485A">
        <w:rPr>
          <w:sz w:val="18"/>
          <w:szCs w:val="18"/>
        </w:rPr>
        <w:t xml:space="preserve"> </w:t>
      </w:r>
      <w:proofErr w:type="gramStart"/>
      <w:r w:rsidRPr="009F485A">
        <w:rPr>
          <w:sz w:val="18"/>
          <w:szCs w:val="18"/>
        </w:rPr>
        <w:t>Absolute conditional weighted residuals &gt; 5.</w:t>
      </w:r>
      <w:proofErr w:type="gramEnd"/>
    </w:p>
  </w:footnote>
  <w:footnote w:id="7">
    <w:p w14:paraId="3A8016B1" w14:textId="77777777" w:rsidR="00D56AB0" w:rsidRPr="009F485A" w:rsidRDefault="00D56AB0" w:rsidP="007D66D9">
      <w:pPr>
        <w:pStyle w:val="FootnoteText"/>
        <w:rPr>
          <w:sz w:val="18"/>
          <w:szCs w:val="18"/>
        </w:rPr>
      </w:pPr>
      <w:r>
        <w:rPr>
          <w:rStyle w:val="FootnoteReference"/>
        </w:rPr>
        <w:footnoteRef/>
      </w:r>
      <w:r>
        <w:t xml:space="preserve"> </w:t>
      </w:r>
      <w:r>
        <w:rPr>
          <w:sz w:val="18"/>
          <w:szCs w:val="18"/>
        </w:rPr>
        <w:t>T</w:t>
      </w:r>
      <w:r w:rsidRPr="009F485A">
        <w:rPr>
          <w:sz w:val="18"/>
          <w:szCs w:val="18"/>
        </w:rPr>
        <w:t>he model was refitted with no more than 10% uncertainty in the model parameters.</w:t>
      </w:r>
    </w:p>
  </w:footnote>
  <w:footnote w:id="8">
    <w:p w14:paraId="5EF34FE7" w14:textId="77777777" w:rsidR="00D56AB0" w:rsidRDefault="00D56AB0" w:rsidP="007D66D9">
      <w:pPr>
        <w:pStyle w:val="FootnoteText"/>
      </w:pPr>
      <w:r>
        <w:rPr>
          <w:rStyle w:val="FootnoteReference"/>
        </w:rPr>
        <w:footnoteRef/>
      </w:r>
      <w:r>
        <w:t xml:space="preserve"> Table 4 </w:t>
      </w:r>
      <w:r w:rsidRPr="00A63B0D">
        <w:t>POP-PK Report PSY-3007 1Oct2008</w:t>
      </w:r>
    </w:p>
  </w:footnote>
  <w:footnote w:id="9">
    <w:p w14:paraId="374D3553" w14:textId="77777777" w:rsidR="00D56AB0" w:rsidRDefault="00D56AB0" w:rsidP="007D66D9">
      <w:pPr>
        <w:pStyle w:val="FootnoteText"/>
      </w:pPr>
      <w:r>
        <w:rPr>
          <w:rStyle w:val="FootnoteReference"/>
        </w:rPr>
        <w:footnoteRef/>
      </w:r>
      <w:r>
        <w:t xml:space="preserve"> Table 4 </w:t>
      </w:r>
      <w:r w:rsidRPr="00A63B0D">
        <w:t>REP-1-JAN-PAL-PMX-1</w:t>
      </w:r>
    </w:p>
  </w:footnote>
  <w:footnote w:id="10">
    <w:p w14:paraId="280373EA" w14:textId="77777777" w:rsidR="00D56AB0" w:rsidRDefault="00D56AB0" w:rsidP="007D66D9">
      <w:pPr>
        <w:pStyle w:val="FootnoteText"/>
      </w:pPr>
      <w:r>
        <w:rPr>
          <w:rStyle w:val="FootnoteReference"/>
        </w:rPr>
        <w:footnoteRef/>
      </w:r>
      <w:r>
        <w:t xml:space="preserve"> Table 6 </w:t>
      </w:r>
      <w:r w:rsidRPr="00CB0A33">
        <w:t>REP-1-JAN-PAL-PMX-1</w:t>
      </w:r>
    </w:p>
  </w:footnote>
  <w:footnote w:id="11">
    <w:p w14:paraId="2782ABC8" w14:textId="77777777" w:rsidR="00D56AB0" w:rsidRPr="00070306" w:rsidRDefault="00D56AB0" w:rsidP="007D66D9">
      <w:pPr>
        <w:pStyle w:val="FootnoteText"/>
        <w:rPr>
          <w:sz w:val="18"/>
        </w:rPr>
      </w:pPr>
      <w:r w:rsidRPr="00070306">
        <w:rPr>
          <w:rStyle w:val="FootnoteReference"/>
          <w:sz w:val="18"/>
        </w:rPr>
        <w:footnoteRef/>
      </w:r>
      <w:r w:rsidRPr="00070306">
        <w:rPr>
          <w:sz w:val="18"/>
        </w:rPr>
        <w:t xml:space="preserve"> There was a second such case but this evaluator considered it to be dose-dumping.</w:t>
      </w:r>
    </w:p>
  </w:footnote>
  <w:footnote w:id="12">
    <w:p w14:paraId="5B04CDFA" w14:textId="77777777" w:rsidR="00D56AB0" w:rsidRPr="00070306" w:rsidRDefault="00D56AB0" w:rsidP="007D66D9">
      <w:pPr>
        <w:pStyle w:val="FootnoteText"/>
        <w:rPr>
          <w:sz w:val="18"/>
        </w:rPr>
      </w:pPr>
      <w:r w:rsidRPr="00070306">
        <w:rPr>
          <w:rStyle w:val="FootnoteReference"/>
          <w:sz w:val="18"/>
        </w:rPr>
        <w:footnoteRef/>
      </w:r>
      <w:r w:rsidRPr="00070306">
        <w:rPr>
          <w:sz w:val="18"/>
        </w:rPr>
        <w:t xml:space="preserve"> below the therapeutic threshold see also submissions 2009-00926 and 2014-03466</w:t>
      </w:r>
    </w:p>
  </w:footnote>
  <w:footnote w:id="13">
    <w:p w14:paraId="625EE41B" w14:textId="77777777" w:rsidR="00D56AB0" w:rsidRPr="00070306" w:rsidRDefault="00D56AB0" w:rsidP="007D66D9">
      <w:pPr>
        <w:pStyle w:val="FootnoteText"/>
        <w:rPr>
          <w:sz w:val="18"/>
        </w:rPr>
      </w:pPr>
      <w:r w:rsidRPr="00070306">
        <w:rPr>
          <w:rStyle w:val="FootnoteReference"/>
          <w:sz w:val="18"/>
        </w:rPr>
        <w:footnoteRef/>
      </w:r>
      <w:r w:rsidRPr="00070306">
        <w:rPr>
          <w:sz w:val="18"/>
        </w:rPr>
        <w:t xml:space="preserve"> A 17 week transition phase: 150mg eq. PP1M on Day 1, 100mg eq. PP1M on Day 8, flexible dose on Day 36 and Day 64 (50, 75, 100, or 150mg eq.), dose of Day 92 is the s</w:t>
      </w:r>
      <w:r>
        <w:rPr>
          <w:sz w:val="18"/>
        </w:rPr>
        <w:t xml:space="preserve">ame as Day 64, followed by a 12 </w:t>
      </w:r>
      <w:r w:rsidRPr="00070306">
        <w:rPr>
          <w:sz w:val="18"/>
        </w:rPr>
        <w:t>week maintenance phase: single injection of a fixed dose of PP3M (175, 263, 350 or 525mg eq.), followed by a double blind phase: single injection of a fixed dose of PP3M (175, 263, 350 or 525mg eq.) or placebo.</w:t>
      </w:r>
    </w:p>
  </w:footnote>
  <w:footnote w:id="14">
    <w:p w14:paraId="6D61DC69" w14:textId="77777777" w:rsidR="00D56AB0" w:rsidRPr="0045231F" w:rsidRDefault="00D56AB0" w:rsidP="007D66D9">
      <w:pPr>
        <w:pStyle w:val="FootnoteText"/>
      </w:pPr>
      <w:r w:rsidRPr="00070306">
        <w:rPr>
          <w:rStyle w:val="FootnoteReference"/>
          <w:sz w:val="18"/>
        </w:rPr>
        <w:footnoteRef/>
      </w:r>
      <w:r w:rsidRPr="00070306">
        <w:rPr>
          <w:sz w:val="18"/>
        </w:rPr>
        <w:t xml:space="preserve"> below the therapeutic threshold see also submissions 2009-00926 and 2014-03466</w:t>
      </w:r>
    </w:p>
  </w:footnote>
  <w:footnote w:id="15">
    <w:p w14:paraId="5E51AAF8" w14:textId="77777777" w:rsidR="00D56AB0" w:rsidRPr="00070306" w:rsidRDefault="00D56AB0" w:rsidP="007D66D9">
      <w:pPr>
        <w:pStyle w:val="FootnoteText"/>
        <w:rPr>
          <w:sz w:val="18"/>
        </w:rPr>
      </w:pPr>
      <w:r w:rsidRPr="00070306">
        <w:rPr>
          <w:rStyle w:val="FootnoteReference"/>
          <w:sz w:val="18"/>
        </w:rPr>
        <w:footnoteRef/>
      </w:r>
      <w:r w:rsidRPr="00070306">
        <w:rPr>
          <w:sz w:val="18"/>
        </w:rPr>
        <w:t xml:space="preserve"> Below the therapeutic threshold see also submissions 2009-00926 and 2014-03466.</w:t>
      </w:r>
    </w:p>
  </w:footnote>
  <w:footnote w:id="16">
    <w:p w14:paraId="7E18CBA0" w14:textId="77777777" w:rsidR="00D56AB0" w:rsidRPr="00070306" w:rsidRDefault="00D56AB0" w:rsidP="007D66D9">
      <w:pPr>
        <w:pStyle w:val="FootnoteText"/>
        <w:rPr>
          <w:sz w:val="18"/>
        </w:rPr>
      </w:pPr>
      <w:r w:rsidRPr="00070306">
        <w:rPr>
          <w:rStyle w:val="FootnoteReference"/>
          <w:sz w:val="18"/>
        </w:rPr>
        <w:footnoteRef/>
      </w:r>
      <w:r w:rsidRPr="00070306">
        <w:rPr>
          <w:sz w:val="18"/>
        </w:rPr>
        <w:t xml:space="preserve"> According to the submission this level (7.5ng/mL) is thought to represent 60% D</w:t>
      </w:r>
      <w:r w:rsidRPr="00070306">
        <w:rPr>
          <w:sz w:val="18"/>
          <w:vertAlign w:val="subscript"/>
        </w:rPr>
        <w:t>2</w:t>
      </w:r>
      <w:r w:rsidRPr="00070306">
        <w:rPr>
          <w:sz w:val="18"/>
        </w:rPr>
        <w:t xml:space="preserve"> receptor occupancy but it was the level rather than the occupancy that was assessed.</w:t>
      </w:r>
    </w:p>
  </w:footnote>
  <w:footnote w:id="17">
    <w:p w14:paraId="557B3B47" w14:textId="77777777" w:rsidR="00D56AB0" w:rsidRPr="00B06D8A" w:rsidRDefault="00D56AB0" w:rsidP="00152CCE">
      <w:pPr>
        <w:rPr>
          <w:rStyle w:val="FootnoteTextChar"/>
          <w:rFonts w:eastAsia="Cambria"/>
          <w:sz w:val="18"/>
          <w:szCs w:val="18"/>
        </w:rPr>
      </w:pPr>
      <w:r w:rsidRPr="00B06D8A">
        <w:rPr>
          <w:rStyle w:val="FootnoteReference"/>
          <w:sz w:val="18"/>
          <w:szCs w:val="18"/>
        </w:rPr>
        <w:footnoteRef/>
      </w:r>
      <w:r w:rsidRPr="00B06D8A">
        <w:rPr>
          <w:sz w:val="18"/>
          <w:szCs w:val="18"/>
        </w:rPr>
        <w:t xml:space="preserve"> </w:t>
      </w:r>
      <w:r w:rsidRPr="00B06D8A">
        <w:rPr>
          <w:rStyle w:val="FootnoteTextChar"/>
          <w:rFonts w:eastAsia="Cambria"/>
          <w:sz w:val="18"/>
          <w:szCs w:val="18"/>
        </w:rPr>
        <w:t>Clarification PSY-</w:t>
      </w:r>
      <w:proofErr w:type="gramStart"/>
      <w:r w:rsidRPr="00B06D8A">
        <w:rPr>
          <w:rStyle w:val="FootnoteTextChar"/>
          <w:rFonts w:eastAsia="Cambria"/>
          <w:sz w:val="18"/>
          <w:szCs w:val="18"/>
        </w:rPr>
        <w:t>1005,</w:t>
      </w:r>
      <w:proofErr w:type="gramEnd"/>
      <w:r w:rsidRPr="00B06D8A">
        <w:rPr>
          <w:rStyle w:val="FootnoteTextChar"/>
          <w:rFonts w:eastAsia="Cambria"/>
          <w:sz w:val="18"/>
          <w:szCs w:val="18"/>
        </w:rPr>
        <w:t xml:space="preserve"> is a single dose study in which patients had not been treated with PP1M prior to the PP3M injection. This is different than the clinical situation since all patients will be at or near steady state with PP1M before PP3M is initiated. This allows PP3M to achieve near steady state levels. If PP3M is started without this initial PP1M treatment, it would take several cycles to achieve steady state.</w:t>
      </w:r>
    </w:p>
    <w:p w14:paraId="35905FEE" w14:textId="337D95C7" w:rsidR="00D56AB0" w:rsidRPr="00B06D8A" w:rsidRDefault="00D56AB0">
      <w:pPr>
        <w:pStyle w:val="FootnoteText"/>
        <w:rPr>
          <w:lang w:val="en-US"/>
        </w:rPr>
      </w:pPr>
    </w:p>
  </w:footnote>
  <w:footnote w:id="18">
    <w:p w14:paraId="1848A9AC" w14:textId="77777777" w:rsidR="00D56AB0" w:rsidRPr="00531123" w:rsidRDefault="00D56AB0" w:rsidP="007D66D9">
      <w:pPr>
        <w:pStyle w:val="FootnoteText"/>
        <w:rPr>
          <w:sz w:val="18"/>
        </w:rPr>
      </w:pPr>
      <w:r w:rsidRPr="00531123">
        <w:rPr>
          <w:rStyle w:val="FootnoteReference"/>
          <w:sz w:val="18"/>
        </w:rPr>
        <w:footnoteRef/>
      </w:r>
      <w:r w:rsidRPr="00531123">
        <w:rPr>
          <w:sz w:val="18"/>
        </w:rPr>
        <w:t xml:space="preserve"> </w:t>
      </w:r>
      <w:proofErr w:type="gramStart"/>
      <w:r w:rsidRPr="00531123">
        <w:rPr>
          <w:bCs/>
          <w:sz w:val="18"/>
        </w:rPr>
        <w:t>except</w:t>
      </w:r>
      <w:proofErr w:type="gramEnd"/>
      <w:r w:rsidRPr="00531123">
        <w:rPr>
          <w:bCs/>
          <w:sz w:val="18"/>
        </w:rPr>
        <w:t xml:space="preserve"> the results of subject [information redacted] which showed a dramatic rise at the end of the study.</w:t>
      </w:r>
    </w:p>
  </w:footnote>
  <w:footnote w:id="19">
    <w:p w14:paraId="36A1D85E" w14:textId="77777777" w:rsidR="00D56AB0" w:rsidRPr="00531123" w:rsidRDefault="00D56AB0" w:rsidP="007D66D9">
      <w:pPr>
        <w:pStyle w:val="FootnoteText"/>
        <w:rPr>
          <w:sz w:val="18"/>
        </w:rPr>
      </w:pPr>
      <w:r w:rsidRPr="00531123">
        <w:rPr>
          <w:rStyle w:val="FootnoteReference"/>
          <w:sz w:val="18"/>
        </w:rPr>
        <w:footnoteRef/>
      </w:r>
      <w:r w:rsidRPr="00531123">
        <w:rPr>
          <w:sz w:val="18"/>
        </w:rPr>
        <w:t xml:space="preserve"> </w:t>
      </w:r>
      <w:proofErr w:type="gramStart"/>
      <w:r w:rsidRPr="00531123">
        <w:rPr>
          <w:sz w:val="18"/>
        </w:rPr>
        <w:t>the</w:t>
      </w:r>
      <w:proofErr w:type="gramEnd"/>
      <w:r w:rsidRPr="00531123">
        <w:rPr>
          <w:sz w:val="18"/>
        </w:rPr>
        <w:t xml:space="preserve"> model was refitted with no more than 10% uncertainty in the model parameters.</w:t>
      </w:r>
    </w:p>
  </w:footnote>
  <w:footnote w:id="20">
    <w:p w14:paraId="79F6606B" w14:textId="77777777" w:rsidR="00D56AB0" w:rsidRPr="00531123" w:rsidRDefault="00D56AB0" w:rsidP="007D66D9">
      <w:pPr>
        <w:pStyle w:val="FootnoteText"/>
        <w:rPr>
          <w:rFonts w:asciiTheme="minorHAnsi" w:hAnsiTheme="minorHAnsi"/>
          <w:sz w:val="18"/>
        </w:rPr>
      </w:pPr>
      <w:r w:rsidRPr="00531123">
        <w:rPr>
          <w:rStyle w:val="FootnoteReference"/>
          <w:sz w:val="18"/>
        </w:rPr>
        <w:footnoteRef/>
      </w:r>
      <w:r w:rsidRPr="00531123">
        <w:rPr>
          <w:sz w:val="18"/>
        </w:rPr>
        <w:t xml:space="preserve"> </w:t>
      </w:r>
      <w:r w:rsidRPr="00531123">
        <w:rPr>
          <w:rFonts w:asciiTheme="minorHAnsi" w:hAnsiTheme="minorHAnsi" w:cs="Arial"/>
          <w:sz w:val="18"/>
        </w:rPr>
        <w:t>The relatively higher relapse rates observed in Japanese centres may be explained by a variety of factors, including differences in medical practice with regards to polypharmacy, differences in clinical judgment and determination of relapse events (possibly associated to cultural factors)</w:t>
      </w:r>
    </w:p>
  </w:footnote>
  <w:footnote w:id="21">
    <w:p w14:paraId="7BDDD3A4" w14:textId="77777777" w:rsidR="00D56AB0" w:rsidRDefault="00D56AB0" w:rsidP="00531123">
      <w:pPr>
        <w:pStyle w:val="FootnoteText"/>
      </w:pPr>
      <w:r>
        <w:rPr>
          <w:rStyle w:val="FootnoteReference"/>
        </w:rPr>
        <w:footnoteRef/>
      </w:r>
      <w:r>
        <w:t xml:space="preserve"> These were not mentioned in the body of the Clinical Study Report</w:t>
      </w:r>
    </w:p>
  </w:footnote>
  <w:footnote w:id="22">
    <w:p w14:paraId="080D34A4" w14:textId="77777777" w:rsidR="00D56AB0" w:rsidRPr="00531123" w:rsidRDefault="00D56AB0" w:rsidP="00531123">
      <w:pPr>
        <w:pStyle w:val="FootnoteText"/>
      </w:pPr>
      <w:r w:rsidRPr="00531123">
        <w:rPr>
          <w:rStyle w:val="FootnoteReference"/>
        </w:rPr>
        <w:footnoteRef/>
      </w:r>
      <w:r w:rsidRPr="00531123">
        <w:t xml:space="preserve"> The Clinical Global Impression-Severity (CGI-S) rating scale was used to rate the severity of a subject’s overall clinical condition on a 7-point scale ranging from 1 (no</w:t>
      </w:r>
      <w:r>
        <w:t>t ill) to 7 (extremely severe).</w:t>
      </w:r>
    </w:p>
  </w:footnote>
  <w:footnote w:id="23">
    <w:p w14:paraId="7DA92701" w14:textId="77777777" w:rsidR="00D56AB0" w:rsidRPr="00531123" w:rsidRDefault="00D56AB0" w:rsidP="00F634A2">
      <w:pPr>
        <w:pStyle w:val="FootnoteText"/>
        <w:keepLines/>
      </w:pPr>
      <w:r w:rsidRPr="00531123">
        <w:rPr>
          <w:rStyle w:val="FootnoteReference"/>
        </w:rPr>
        <w:footnoteRef/>
      </w:r>
      <w:r w:rsidRPr="00531123">
        <w:t xml:space="preserve"> The Personal and Social Performance Scale (PSP scale) assessed the degree of difficulty a subject exhibits over a 7-day period within 4 domains of behaviour (1) socially useful activities, (2) personal and social relationships, (3) self-care, and (4) disturbing and aggressive behaviour. The results are</w:t>
      </w:r>
      <w:r>
        <w:t xml:space="preserve"> totalled in a 100 point scale.</w:t>
      </w:r>
    </w:p>
  </w:footnote>
  <w:footnote w:id="24">
    <w:p w14:paraId="5D4A50BD" w14:textId="77777777" w:rsidR="00D56AB0" w:rsidRPr="00531123" w:rsidRDefault="00D56AB0" w:rsidP="00AB1657">
      <w:pPr>
        <w:pStyle w:val="FootnoteText"/>
        <w:rPr>
          <w:sz w:val="18"/>
        </w:rPr>
      </w:pPr>
      <w:r>
        <w:rPr>
          <w:rStyle w:val="FootnoteReference"/>
        </w:rPr>
        <w:footnoteRef/>
      </w:r>
      <w:r>
        <w:t xml:space="preserve"> </w:t>
      </w:r>
      <w:r w:rsidRPr="00531123">
        <w:rPr>
          <w:sz w:val="18"/>
        </w:rPr>
        <w:t>This would appear to be the Hazard Ratio – Interpreting risks and ratios in therapy trials  Scott Australian Prescriber 31:1 Feb 2008 and  Hazard Ratio in Clinical Trials</w:t>
      </w:r>
      <w:r w:rsidRPr="00531123">
        <w:rPr>
          <w:i/>
          <w:sz w:val="18"/>
        </w:rPr>
        <w:t xml:space="preserve"> </w:t>
      </w:r>
      <w:r w:rsidRPr="00531123">
        <w:rPr>
          <w:sz w:val="18"/>
        </w:rPr>
        <w:t xml:space="preserve"> Spruance et al Antimicrobial Agents and Chemotherapy Aug 2004 p2787</w:t>
      </w:r>
    </w:p>
  </w:footnote>
  <w:footnote w:id="25">
    <w:p w14:paraId="07085AC6" w14:textId="77777777" w:rsidR="00D56AB0" w:rsidRPr="00531123" w:rsidRDefault="00D56AB0" w:rsidP="007D66D9">
      <w:pPr>
        <w:pStyle w:val="FootnoteText"/>
        <w:rPr>
          <w:sz w:val="18"/>
        </w:rPr>
      </w:pPr>
      <w:r w:rsidRPr="00531123">
        <w:rPr>
          <w:rStyle w:val="FootnoteReference"/>
          <w:sz w:val="18"/>
        </w:rPr>
        <w:footnoteRef/>
      </w:r>
      <w:r w:rsidRPr="00531123">
        <w:rPr>
          <w:sz w:val="18"/>
        </w:rPr>
        <w:t xml:space="preserve"> Only 18 or 11% received a second PP3M injection in that phase</w:t>
      </w:r>
    </w:p>
  </w:footnote>
  <w:footnote w:id="26">
    <w:p w14:paraId="668F17EC" w14:textId="77777777" w:rsidR="00D56AB0" w:rsidRDefault="00D56AB0" w:rsidP="007D66D9">
      <w:pPr>
        <w:pStyle w:val="FootnoteText"/>
      </w:pPr>
      <w:r>
        <w:rPr>
          <w:rStyle w:val="FootnoteReference"/>
        </w:rPr>
        <w:footnoteRef/>
      </w:r>
      <w:r>
        <w:t xml:space="preserve"> </w:t>
      </w:r>
      <w:r w:rsidRPr="00A81F03">
        <w:t>18 or 11% received a second PP3M injection in that phase</w:t>
      </w:r>
    </w:p>
  </w:footnote>
  <w:footnote w:id="27">
    <w:p w14:paraId="1A95A934" w14:textId="77777777" w:rsidR="00D56AB0" w:rsidRPr="00531123" w:rsidRDefault="00D56AB0" w:rsidP="007D66D9">
      <w:pPr>
        <w:pStyle w:val="FootnoteText"/>
        <w:rPr>
          <w:sz w:val="18"/>
        </w:rPr>
      </w:pPr>
      <w:r>
        <w:rPr>
          <w:rStyle w:val="FootnoteReference"/>
        </w:rPr>
        <w:footnoteRef/>
      </w:r>
      <w:r>
        <w:t xml:space="preserve"> </w:t>
      </w:r>
      <w:r w:rsidRPr="00531123">
        <w:rPr>
          <w:sz w:val="18"/>
        </w:rPr>
        <w:t>CSR R10/33865</w:t>
      </w:r>
    </w:p>
  </w:footnote>
  <w:footnote w:id="28">
    <w:p w14:paraId="7A88FC04" w14:textId="77777777" w:rsidR="00D56AB0" w:rsidRPr="00531123" w:rsidRDefault="00D56AB0" w:rsidP="00C04372">
      <w:pPr>
        <w:pStyle w:val="FootnoteText"/>
        <w:rPr>
          <w:sz w:val="18"/>
        </w:rPr>
      </w:pPr>
      <w:r w:rsidRPr="00531123">
        <w:rPr>
          <w:rStyle w:val="FootnoteReference"/>
          <w:sz w:val="18"/>
        </w:rPr>
        <w:footnoteRef/>
      </w:r>
      <w:r w:rsidRPr="00531123">
        <w:rPr>
          <w:sz w:val="18"/>
        </w:rPr>
        <w:t xml:space="preserve"> </w:t>
      </w:r>
      <w:proofErr w:type="spellStart"/>
      <w:r w:rsidRPr="00531123">
        <w:rPr>
          <w:sz w:val="18"/>
        </w:rPr>
        <w:t>Leucht</w:t>
      </w:r>
      <w:proofErr w:type="spellEnd"/>
      <w:r w:rsidRPr="00531123">
        <w:rPr>
          <w:sz w:val="18"/>
        </w:rPr>
        <w:t xml:space="preserve"> S, et al. Recurrence prevention in schizophrenia with new-generation antipsychotics: a systematic review and exploratory meta-analysis of randomized, controlled trials. </w:t>
      </w:r>
      <w:proofErr w:type="gramStart"/>
      <w:r w:rsidRPr="00531123">
        <w:rPr>
          <w:i/>
          <w:sz w:val="18"/>
        </w:rPr>
        <w:t>Am</w:t>
      </w:r>
      <w:proofErr w:type="gramEnd"/>
      <w:r w:rsidRPr="00531123">
        <w:rPr>
          <w:i/>
          <w:sz w:val="18"/>
        </w:rPr>
        <w:t xml:space="preserve"> J Psychiatry</w:t>
      </w:r>
      <w:r w:rsidRPr="00531123">
        <w:rPr>
          <w:sz w:val="18"/>
        </w:rPr>
        <w:t xml:space="preserve"> 2003; 160: 1209-1222.</w:t>
      </w:r>
    </w:p>
  </w:footnote>
  <w:footnote w:id="29">
    <w:p w14:paraId="74391445" w14:textId="77777777" w:rsidR="00D56AB0" w:rsidRPr="00FC0825" w:rsidRDefault="00D56AB0" w:rsidP="007D66D9">
      <w:pPr>
        <w:pStyle w:val="FootnoteText"/>
        <w:rPr>
          <w:sz w:val="18"/>
        </w:rPr>
      </w:pPr>
      <w:r w:rsidRPr="00FC0825">
        <w:rPr>
          <w:rStyle w:val="FootnoteReference"/>
          <w:sz w:val="18"/>
        </w:rPr>
        <w:footnoteRef/>
      </w:r>
      <w:r w:rsidRPr="00FC0825">
        <w:rPr>
          <w:sz w:val="18"/>
        </w:rPr>
        <w:t xml:space="preserve"> Kaplan-Meier estimate</w:t>
      </w:r>
    </w:p>
  </w:footnote>
  <w:footnote w:id="30">
    <w:p w14:paraId="4CCB8DC8" w14:textId="77777777" w:rsidR="00D56AB0" w:rsidRPr="00FC0825" w:rsidRDefault="00D56AB0" w:rsidP="007D66D9">
      <w:pPr>
        <w:pStyle w:val="FootnoteText"/>
        <w:rPr>
          <w:sz w:val="18"/>
        </w:rPr>
      </w:pPr>
      <w:r w:rsidRPr="00FC0825">
        <w:rPr>
          <w:rStyle w:val="FootnoteReference"/>
          <w:sz w:val="18"/>
        </w:rPr>
        <w:footnoteRef/>
      </w:r>
      <w:r w:rsidRPr="00FC0825">
        <w:rPr>
          <w:sz w:val="18"/>
        </w:rPr>
        <w:t xml:space="preserve"> 18 or 11% received a second PP3M injection in that phase</w:t>
      </w:r>
    </w:p>
  </w:footnote>
  <w:footnote w:id="31">
    <w:p w14:paraId="7E0EE1B9" w14:textId="52C66813" w:rsidR="00D56AB0" w:rsidRPr="00B06D8A" w:rsidRDefault="00D56AB0">
      <w:pPr>
        <w:pStyle w:val="FootnoteText"/>
        <w:rPr>
          <w:sz w:val="18"/>
        </w:rPr>
      </w:pPr>
      <w:r>
        <w:rPr>
          <w:rStyle w:val="FootnoteReference"/>
        </w:rPr>
        <w:footnoteRef/>
      </w:r>
      <w:r>
        <w:t xml:space="preserve"> </w:t>
      </w:r>
      <w:r w:rsidRPr="00B06D8A">
        <w:rPr>
          <w:sz w:val="18"/>
        </w:rPr>
        <w:t>Clarification; some of the difference might be accounted for by the less rigid investigator’s opinion criteria used in the Maintenance Phase.</w:t>
      </w:r>
    </w:p>
  </w:footnote>
  <w:footnote w:id="32">
    <w:p w14:paraId="380B0F18" w14:textId="77777777" w:rsidR="00D56AB0" w:rsidRPr="009746A1" w:rsidRDefault="00D56AB0" w:rsidP="009746A1">
      <w:pPr>
        <w:pStyle w:val="FootnoteText"/>
        <w:rPr>
          <w:rFonts w:cstheme="minorBidi"/>
          <w:sz w:val="18"/>
          <w:szCs w:val="18"/>
        </w:rPr>
      </w:pPr>
      <w:r w:rsidRPr="009746A1">
        <w:rPr>
          <w:rStyle w:val="FootnoteReference"/>
          <w:sz w:val="18"/>
          <w:szCs w:val="18"/>
        </w:rPr>
        <w:footnoteRef/>
      </w:r>
      <w:r w:rsidRPr="009746A1">
        <w:rPr>
          <w:sz w:val="18"/>
          <w:szCs w:val="18"/>
        </w:rPr>
        <w:t xml:space="preserve">Non-inferiority trials: determining whether alternative treatments are good enough Ian A Scott </w:t>
      </w:r>
      <w:r w:rsidRPr="009746A1">
        <w:rPr>
          <w:i/>
          <w:sz w:val="18"/>
          <w:szCs w:val="18"/>
        </w:rPr>
        <w:t xml:space="preserve">Med J </w:t>
      </w:r>
      <w:proofErr w:type="spellStart"/>
      <w:r w:rsidRPr="009746A1">
        <w:rPr>
          <w:i/>
          <w:sz w:val="18"/>
          <w:szCs w:val="18"/>
        </w:rPr>
        <w:t>Aust</w:t>
      </w:r>
      <w:proofErr w:type="spellEnd"/>
      <w:r>
        <w:rPr>
          <w:sz w:val="18"/>
          <w:szCs w:val="18"/>
        </w:rPr>
        <w:t xml:space="preserve"> 2009; </w:t>
      </w:r>
      <w:proofErr w:type="gramStart"/>
      <w:r>
        <w:rPr>
          <w:sz w:val="18"/>
          <w:szCs w:val="18"/>
        </w:rPr>
        <w:t xml:space="preserve">190 </w:t>
      </w:r>
      <w:r w:rsidRPr="009746A1">
        <w:rPr>
          <w:sz w:val="18"/>
          <w:szCs w:val="18"/>
        </w:rPr>
        <w:t>:</w:t>
      </w:r>
      <w:proofErr w:type="gramEnd"/>
      <w:r w:rsidRPr="009746A1">
        <w:rPr>
          <w:sz w:val="18"/>
          <w:szCs w:val="18"/>
        </w:rPr>
        <w:t xml:space="preserve"> 326-330.</w:t>
      </w:r>
    </w:p>
  </w:footnote>
  <w:footnote w:id="33">
    <w:p w14:paraId="1B4ED29A" w14:textId="77777777" w:rsidR="00D56AB0" w:rsidRPr="00FC0825" w:rsidRDefault="00D56AB0" w:rsidP="007D66D9">
      <w:pPr>
        <w:pStyle w:val="FootnoteText"/>
        <w:rPr>
          <w:sz w:val="18"/>
        </w:rPr>
      </w:pPr>
      <w:r w:rsidRPr="00FC0825">
        <w:rPr>
          <w:rStyle w:val="FootnoteReference"/>
          <w:sz w:val="18"/>
        </w:rPr>
        <w:footnoteRef/>
      </w:r>
      <w:r w:rsidRPr="00FC0825">
        <w:rPr>
          <w:sz w:val="18"/>
        </w:rPr>
        <w:t xml:space="preserve"> (1) to evaluate the pharmacokinetics (PK), safety, and tolerability of a 3-month injection interval formulation of paliperidone palmitate (F015), manufactured using a wet and dry milling technique, at a single dose of 300mg eq. administered in the gluteal muscle in subjects with schizophrenia (Panel A); </w:t>
      </w:r>
    </w:p>
    <w:p w14:paraId="39F23157" w14:textId="77777777" w:rsidR="00D56AB0" w:rsidRPr="00FC0825" w:rsidRDefault="00D56AB0" w:rsidP="007D66D9">
      <w:pPr>
        <w:pStyle w:val="FootnoteText"/>
        <w:rPr>
          <w:sz w:val="18"/>
        </w:rPr>
      </w:pPr>
      <w:r w:rsidRPr="00FC0825">
        <w:rPr>
          <w:sz w:val="18"/>
        </w:rPr>
        <w:t xml:space="preserve">(2) </w:t>
      </w:r>
      <w:proofErr w:type="gramStart"/>
      <w:r w:rsidRPr="00FC0825">
        <w:rPr>
          <w:sz w:val="18"/>
        </w:rPr>
        <w:t>to</w:t>
      </w:r>
      <w:proofErr w:type="gramEnd"/>
      <w:r w:rsidRPr="00FC0825">
        <w:rPr>
          <w:sz w:val="18"/>
        </w:rPr>
        <w:t xml:space="preserve"> evaluate the PK, safety, and tolerability of single escalating doses of the 3-month injection interval formulation of paliperidone palmitate administered in the gluteal and deltoid muscle in subjects with schizophrenia (Panels B and D).</w:t>
      </w:r>
    </w:p>
  </w:footnote>
  <w:footnote w:id="34">
    <w:p w14:paraId="1B5BB6D1" w14:textId="77777777" w:rsidR="00D56AB0" w:rsidRPr="00FC0825" w:rsidRDefault="00D56AB0" w:rsidP="007D66D9">
      <w:pPr>
        <w:pStyle w:val="FootnoteText"/>
        <w:rPr>
          <w:sz w:val="18"/>
        </w:rPr>
      </w:pPr>
      <w:r w:rsidRPr="00FC0825">
        <w:rPr>
          <w:rStyle w:val="FootnoteReference"/>
          <w:sz w:val="18"/>
        </w:rPr>
        <w:footnoteRef/>
      </w:r>
      <w:r w:rsidRPr="00FC0825">
        <w:rPr>
          <w:sz w:val="18"/>
        </w:rPr>
        <w:t xml:space="preserve"> The scales for concentration differ between figures</w:t>
      </w:r>
    </w:p>
  </w:footnote>
  <w:footnote w:id="35">
    <w:p w14:paraId="28812C18" w14:textId="77777777" w:rsidR="00D56AB0" w:rsidRPr="00393A99" w:rsidRDefault="00D56AB0" w:rsidP="007D66D9">
      <w:pPr>
        <w:pStyle w:val="FootnoteText"/>
        <w:rPr>
          <w:sz w:val="18"/>
        </w:rPr>
      </w:pPr>
      <w:r>
        <w:rPr>
          <w:rStyle w:val="FootnoteReference"/>
        </w:rPr>
        <w:footnoteRef/>
      </w:r>
      <w:r>
        <w:t xml:space="preserve"> </w:t>
      </w:r>
      <w:r w:rsidRPr="00393A99">
        <w:rPr>
          <w:sz w:val="18"/>
        </w:rPr>
        <w:t xml:space="preserve">93/100 predose </w:t>
      </w:r>
    </w:p>
  </w:footnote>
  <w:footnote w:id="36">
    <w:p w14:paraId="7E856916" w14:textId="77777777" w:rsidR="00D56AB0" w:rsidRPr="00393A99" w:rsidRDefault="00D56AB0" w:rsidP="007D66D9">
      <w:pPr>
        <w:pStyle w:val="FootnoteText"/>
        <w:rPr>
          <w:sz w:val="18"/>
        </w:rPr>
      </w:pPr>
      <w:r w:rsidRPr="00393A99">
        <w:rPr>
          <w:rStyle w:val="FootnoteReference"/>
          <w:sz w:val="18"/>
        </w:rPr>
        <w:footnoteRef/>
      </w:r>
      <w:r w:rsidRPr="00393A99">
        <w:rPr>
          <w:sz w:val="18"/>
        </w:rPr>
        <w:t xml:space="preserve"> 79/100 predose</w:t>
      </w:r>
    </w:p>
  </w:footnote>
  <w:footnote w:id="37">
    <w:p w14:paraId="5F1D5F0F" w14:textId="77777777" w:rsidR="00D56AB0" w:rsidRPr="00393A99" w:rsidRDefault="00D56AB0" w:rsidP="007D66D9">
      <w:pPr>
        <w:pStyle w:val="FootnoteText"/>
        <w:rPr>
          <w:sz w:val="18"/>
        </w:rPr>
      </w:pPr>
      <w:r w:rsidRPr="00393A99">
        <w:rPr>
          <w:rStyle w:val="FootnoteReference"/>
          <w:sz w:val="18"/>
        </w:rPr>
        <w:footnoteRef/>
      </w:r>
      <w:r w:rsidRPr="00393A99">
        <w:rPr>
          <w:sz w:val="18"/>
        </w:rPr>
        <w:t xml:space="preserve"> 57/100 predose</w:t>
      </w:r>
    </w:p>
  </w:footnote>
  <w:footnote w:id="38">
    <w:p w14:paraId="04D4BC36" w14:textId="77777777" w:rsidR="00D56AB0" w:rsidRPr="00393A99" w:rsidRDefault="00D56AB0" w:rsidP="00AA267C">
      <w:pPr>
        <w:pStyle w:val="FootnoteText"/>
        <w:rPr>
          <w:sz w:val="18"/>
          <w:lang w:val="en"/>
        </w:rPr>
      </w:pPr>
      <w:r w:rsidRPr="00393A99">
        <w:rPr>
          <w:rStyle w:val="FootnoteReference"/>
          <w:sz w:val="18"/>
        </w:rPr>
        <w:footnoteRef/>
      </w:r>
      <w:r w:rsidRPr="00393A99">
        <w:rPr>
          <w:sz w:val="18"/>
        </w:rPr>
        <w:t xml:space="preserve"> </w:t>
      </w:r>
      <w:r w:rsidRPr="00393A99">
        <w:rPr>
          <w:sz w:val="18"/>
          <w:lang w:val="en"/>
        </w:rPr>
        <w:t>On the FDA website</w:t>
      </w:r>
      <w:r w:rsidRPr="00393A99">
        <w:rPr>
          <w:sz w:val="18"/>
          <w:vertAlign w:val="superscript"/>
          <w:lang w:val="en"/>
        </w:rPr>
        <w:footnoteRef/>
      </w:r>
      <w:r w:rsidRPr="00393A99">
        <w:rPr>
          <w:sz w:val="18"/>
          <w:lang w:val="en"/>
        </w:rPr>
        <w:t xml:space="preserve"> the following was found: </w:t>
      </w:r>
      <w:r w:rsidRPr="00393A99">
        <w:rPr>
          <w:sz w:val="18"/>
          <w:lang w:val="en-US"/>
        </w:rPr>
        <w:t>“The term “dose dumping” is frequently used and often indiscriminately: Describes accelerated drug release from modified release  formulations (MRF) The term is non-quantitative and implies actual clinical importance Based historically on PK data; for most CNS drugs PK is highly variable and there is a poor correlation of PK and PD”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80088" w14:textId="77777777" w:rsidR="00D56AB0" w:rsidRDefault="00D56AB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AE778" w14:textId="77777777" w:rsidR="00D56AB0" w:rsidRDefault="00D56AB0">
    <w:pPr>
      <w:rPr>
        <w:noProof/>
        <w:lang w:eastAsia="en-AU"/>
      </w:rPr>
    </w:pPr>
    <w:r w:rsidRPr="002D545C">
      <w:rPr>
        <w:noProof/>
        <w:lang w:eastAsia="en-AU"/>
      </w:rPr>
      <w:drawing>
        <wp:anchor distT="0" distB="0" distL="114300" distR="114300" simplePos="0" relativeHeight="251659264" behindDoc="1" locked="0" layoutInCell="1" allowOverlap="1" wp14:anchorId="762F19DC" wp14:editId="07FFF1A1">
          <wp:simplePos x="0" y="0"/>
          <wp:positionH relativeFrom="column">
            <wp:posOffset>-1089660</wp:posOffset>
          </wp:positionH>
          <wp:positionV relativeFrom="paragraph">
            <wp:posOffset>-585470</wp:posOffset>
          </wp:positionV>
          <wp:extent cx="7572375" cy="10706100"/>
          <wp:effectExtent l="19050" t="0" r="0" b="0"/>
          <wp:wrapNone/>
          <wp:docPr id="1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14:paraId="52CEC35B" w14:textId="77777777" w:rsidR="00D56AB0" w:rsidRDefault="00D56AB0" w:rsidP="00593AD1">
    <w:pPr>
      <w:pStyle w:val="HeaderNoLine"/>
    </w:pPr>
    <w:r>
      <w:rPr>
        <w:noProof/>
        <w:lang w:eastAsia="en-AU"/>
      </w:rPr>
      <w:drawing>
        <wp:inline distT="0" distB="0" distL="0" distR="0" wp14:anchorId="00E565C3" wp14:editId="7B7DAD1F">
          <wp:extent cx="5400675" cy="7639050"/>
          <wp:effectExtent l="0" t="0" r="9525" b="0"/>
          <wp:docPr id="127" name="Picture 12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CE1B6" w14:textId="77777777" w:rsidR="00D56AB0" w:rsidRDefault="00D56AB0">
    <w:pPr>
      <w:pStyle w:val="Header"/>
    </w:pPr>
  </w:p>
  <w:p w14:paraId="5E1BD11E" w14:textId="77777777" w:rsidR="00D56AB0" w:rsidRDefault="00D56AB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97AFA" w14:textId="77777777" w:rsidR="00D56AB0" w:rsidRDefault="00D56AB0">
    <w:pPr>
      <w:pStyle w:val="Header"/>
    </w:pPr>
  </w:p>
  <w:p w14:paraId="194F7E52" w14:textId="77777777" w:rsidR="00D56AB0" w:rsidRDefault="00D56AB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AE5D7" w14:textId="77777777" w:rsidR="00D56AB0" w:rsidRDefault="00D56AB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81091" w14:textId="77777777" w:rsidR="00D56AB0" w:rsidRPr="00B06D8A" w:rsidRDefault="00D56AB0" w:rsidP="00B06D8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DB6A0" w14:textId="77777777" w:rsidR="00D56AB0" w:rsidRDefault="00D56AB0" w:rsidP="006E08B3">
    <w:r>
      <w:t>Therapeutic Goods Administration</w:t>
    </w:r>
  </w:p>
  <w:p w14:paraId="74C3CD2C" w14:textId="77777777" w:rsidR="00D56AB0" w:rsidRDefault="00D56AB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11E14F2"/>
    <w:lvl w:ilvl="0">
      <w:start w:val="1"/>
      <w:numFmt w:val="decimal"/>
      <w:lvlText w:val="%1."/>
      <w:lvlJc w:val="left"/>
      <w:pPr>
        <w:tabs>
          <w:tab w:val="num" w:pos="1492"/>
        </w:tabs>
        <w:ind w:left="1492" w:hanging="360"/>
      </w:pPr>
    </w:lvl>
  </w:abstractNum>
  <w:abstractNum w:abstractNumId="1">
    <w:nsid w:val="FFFFFF7D"/>
    <w:multiLevelType w:val="singleLevel"/>
    <w:tmpl w:val="4D94B268"/>
    <w:lvl w:ilvl="0">
      <w:start w:val="1"/>
      <w:numFmt w:val="decimal"/>
      <w:lvlText w:val="%1."/>
      <w:lvlJc w:val="left"/>
      <w:pPr>
        <w:tabs>
          <w:tab w:val="num" w:pos="1209"/>
        </w:tabs>
        <w:ind w:left="1209" w:hanging="360"/>
      </w:pPr>
    </w:lvl>
  </w:abstractNum>
  <w:abstractNum w:abstractNumId="2">
    <w:nsid w:val="FFFFFF7E"/>
    <w:multiLevelType w:val="singleLevel"/>
    <w:tmpl w:val="A234378C"/>
    <w:lvl w:ilvl="0">
      <w:start w:val="1"/>
      <w:numFmt w:val="decimal"/>
      <w:lvlText w:val="%1."/>
      <w:lvlJc w:val="left"/>
      <w:pPr>
        <w:tabs>
          <w:tab w:val="num" w:pos="926"/>
        </w:tabs>
        <w:ind w:left="926" w:hanging="360"/>
      </w:pPr>
    </w:lvl>
  </w:abstractNum>
  <w:abstractNum w:abstractNumId="3">
    <w:nsid w:val="FFFFFF7F"/>
    <w:multiLevelType w:val="singleLevel"/>
    <w:tmpl w:val="FEF6AB66"/>
    <w:lvl w:ilvl="0">
      <w:start w:val="1"/>
      <w:numFmt w:val="decimal"/>
      <w:lvlText w:val="%1."/>
      <w:lvlJc w:val="left"/>
      <w:pPr>
        <w:tabs>
          <w:tab w:val="num" w:pos="643"/>
        </w:tabs>
        <w:ind w:left="643" w:hanging="360"/>
      </w:pPr>
    </w:lvl>
  </w:abstractNum>
  <w:abstractNum w:abstractNumId="4">
    <w:nsid w:val="FFFFFF80"/>
    <w:multiLevelType w:val="singleLevel"/>
    <w:tmpl w:val="95B4C6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E90D770"/>
    <w:lvl w:ilvl="0">
      <w:start w:val="1"/>
      <w:numFmt w:val="bullet"/>
      <w:lvlText w:val=""/>
      <w:lvlJc w:val="left"/>
      <w:pPr>
        <w:tabs>
          <w:tab w:val="num" w:pos="1209"/>
        </w:tabs>
        <w:ind w:left="1209" w:hanging="360"/>
      </w:pPr>
      <w:rPr>
        <w:rFonts w:ascii="Symbol" w:hAnsi="Symbol" w:hint="default"/>
      </w:rPr>
    </w:lvl>
  </w:abstractNum>
  <w:abstractNum w:abstractNumId="6">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7">
    <w:nsid w:val="FFFFFF88"/>
    <w:multiLevelType w:val="singleLevel"/>
    <w:tmpl w:val="C6346D5A"/>
    <w:lvl w:ilvl="0">
      <w:start w:val="1"/>
      <w:numFmt w:val="decimal"/>
      <w:lvlText w:val="%1."/>
      <w:lvlJc w:val="left"/>
      <w:pPr>
        <w:tabs>
          <w:tab w:val="num" w:pos="360"/>
        </w:tabs>
        <w:ind w:left="360" w:hanging="360"/>
      </w:pPr>
    </w:lvl>
  </w:abstractNum>
  <w:abstractNum w:abstractNumId="8">
    <w:nsid w:val="FFFFFF89"/>
    <w:multiLevelType w:val="singleLevel"/>
    <w:tmpl w:val="06C2AAB0"/>
    <w:lvl w:ilvl="0">
      <w:start w:val="1"/>
      <w:numFmt w:val="bullet"/>
      <w:pStyle w:val="Style1"/>
      <w:lvlText w:val=""/>
      <w:lvlJc w:val="left"/>
      <w:pPr>
        <w:tabs>
          <w:tab w:val="num" w:pos="360"/>
        </w:tabs>
        <w:ind w:left="360" w:hanging="360"/>
      </w:pPr>
      <w:rPr>
        <w:rFonts w:ascii="Symbol" w:hAnsi="Symbol" w:hint="default"/>
      </w:rPr>
    </w:lvl>
  </w:abstractNum>
  <w:abstractNum w:abstractNumId="9">
    <w:nsid w:val="05EA0664"/>
    <w:multiLevelType w:val="hybridMultilevel"/>
    <w:tmpl w:val="955A4A12"/>
    <w:lvl w:ilvl="0" w:tplc="ACD274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nsid w:val="09E01192"/>
    <w:multiLevelType w:val="hybridMultilevel"/>
    <w:tmpl w:val="9CA60CFC"/>
    <w:lvl w:ilvl="0" w:tplc="856C1162">
      <w:start w:val="1"/>
      <w:numFmt w:val="bullet"/>
      <w:lvlText w:val="•"/>
      <w:lvlJc w:val="left"/>
      <w:pPr>
        <w:tabs>
          <w:tab w:val="num" w:pos="720"/>
        </w:tabs>
        <w:ind w:left="720" w:hanging="360"/>
      </w:pPr>
      <w:rPr>
        <w:rFonts w:ascii="Times New Roman" w:hAnsi="Times New Roman" w:hint="default"/>
      </w:rPr>
    </w:lvl>
    <w:lvl w:ilvl="1" w:tplc="4A946136" w:tentative="1">
      <w:start w:val="1"/>
      <w:numFmt w:val="bullet"/>
      <w:lvlText w:val="•"/>
      <w:lvlJc w:val="left"/>
      <w:pPr>
        <w:tabs>
          <w:tab w:val="num" w:pos="1440"/>
        </w:tabs>
        <w:ind w:left="1440" w:hanging="360"/>
      </w:pPr>
      <w:rPr>
        <w:rFonts w:ascii="Times New Roman" w:hAnsi="Times New Roman" w:hint="default"/>
      </w:rPr>
    </w:lvl>
    <w:lvl w:ilvl="2" w:tplc="DB96A418">
      <w:start w:val="2702"/>
      <w:numFmt w:val="bullet"/>
      <w:lvlText w:val="•"/>
      <w:lvlJc w:val="left"/>
      <w:pPr>
        <w:tabs>
          <w:tab w:val="num" w:pos="2160"/>
        </w:tabs>
        <w:ind w:left="2160" w:hanging="360"/>
      </w:pPr>
      <w:rPr>
        <w:rFonts w:ascii="Times New Roman" w:hAnsi="Times New Roman" w:hint="default"/>
      </w:rPr>
    </w:lvl>
    <w:lvl w:ilvl="3" w:tplc="987A25D6" w:tentative="1">
      <w:start w:val="1"/>
      <w:numFmt w:val="bullet"/>
      <w:lvlText w:val="•"/>
      <w:lvlJc w:val="left"/>
      <w:pPr>
        <w:tabs>
          <w:tab w:val="num" w:pos="2880"/>
        </w:tabs>
        <w:ind w:left="2880" w:hanging="360"/>
      </w:pPr>
      <w:rPr>
        <w:rFonts w:ascii="Times New Roman" w:hAnsi="Times New Roman" w:hint="default"/>
      </w:rPr>
    </w:lvl>
    <w:lvl w:ilvl="4" w:tplc="F0209760" w:tentative="1">
      <w:start w:val="1"/>
      <w:numFmt w:val="bullet"/>
      <w:lvlText w:val="•"/>
      <w:lvlJc w:val="left"/>
      <w:pPr>
        <w:tabs>
          <w:tab w:val="num" w:pos="3600"/>
        </w:tabs>
        <w:ind w:left="3600" w:hanging="360"/>
      </w:pPr>
      <w:rPr>
        <w:rFonts w:ascii="Times New Roman" w:hAnsi="Times New Roman" w:hint="default"/>
      </w:rPr>
    </w:lvl>
    <w:lvl w:ilvl="5" w:tplc="A864B7C0" w:tentative="1">
      <w:start w:val="1"/>
      <w:numFmt w:val="bullet"/>
      <w:lvlText w:val="•"/>
      <w:lvlJc w:val="left"/>
      <w:pPr>
        <w:tabs>
          <w:tab w:val="num" w:pos="4320"/>
        </w:tabs>
        <w:ind w:left="4320" w:hanging="360"/>
      </w:pPr>
      <w:rPr>
        <w:rFonts w:ascii="Times New Roman" w:hAnsi="Times New Roman" w:hint="default"/>
      </w:rPr>
    </w:lvl>
    <w:lvl w:ilvl="6" w:tplc="DDBAD06A" w:tentative="1">
      <w:start w:val="1"/>
      <w:numFmt w:val="bullet"/>
      <w:lvlText w:val="•"/>
      <w:lvlJc w:val="left"/>
      <w:pPr>
        <w:tabs>
          <w:tab w:val="num" w:pos="5040"/>
        </w:tabs>
        <w:ind w:left="5040" w:hanging="360"/>
      </w:pPr>
      <w:rPr>
        <w:rFonts w:ascii="Times New Roman" w:hAnsi="Times New Roman" w:hint="default"/>
      </w:rPr>
    </w:lvl>
    <w:lvl w:ilvl="7" w:tplc="00AAD588" w:tentative="1">
      <w:start w:val="1"/>
      <w:numFmt w:val="bullet"/>
      <w:lvlText w:val="•"/>
      <w:lvlJc w:val="left"/>
      <w:pPr>
        <w:tabs>
          <w:tab w:val="num" w:pos="5760"/>
        </w:tabs>
        <w:ind w:left="5760" w:hanging="360"/>
      </w:pPr>
      <w:rPr>
        <w:rFonts w:ascii="Times New Roman" w:hAnsi="Times New Roman" w:hint="default"/>
      </w:rPr>
    </w:lvl>
    <w:lvl w:ilvl="8" w:tplc="844A94E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28E0818"/>
    <w:multiLevelType w:val="hybridMultilevel"/>
    <w:tmpl w:val="53CE5E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8F13E9"/>
    <w:multiLevelType w:val="multilevel"/>
    <w:tmpl w:val="DA360B98"/>
    <w:styleLink w:val="ListBullets"/>
    <w:lvl w:ilvl="0">
      <w:start w:val="1"/>
      <w:numFmt w:val="bullet"/>
      <w:pStyle w:val="ListBullet"/>
      <w:lvlText w:val=""/>
      <w:lvlJc w:val="left"/>
      <w:pPr>
        <w:ind w:left="644"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8AB0F38"/>
    <w:multiLevelType w:val="multilevel"/>
    <w:tmpl w:val="3B5A38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20307ADD"/>
    <w:multiLevelType w:val="hybridMultilevel"/>
    <w:tmpl w:val="A27849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0D77D12"/>
    <w:multiLevelType w:val="hybridMultilevel"/>
    <w:tmpl w:val="9806B486"/>
    <w:lvl w:ilvl="0" w:tplc="F0C678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333"/>
        </w:tabs>
        <w:ind w:left="1333"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2">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72CB3543"/>
    <w:multiLevelType w:val="hybridMultilevel"/>
    <w:tmpl w:val="024EA180"/>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abstractNumId w:val="8"/>
  </w:num>
  <w:num w:numId="2">
    <w:abstractNumId w:val="6"/>
  </w:num>
  <w:num w:numId="3">
    <w:abstractNumId w:val="14"/>
  </w:num>
  <w:num w:numId="4">
    <w:abstractNumId w:val="14"/>
  </w:num>
  <w:num w:numId="5">
    <w:abstractNumId w:val="12"/>
  </w:num>
  <w:num w:numId="6">
    <w:abstractNumId w:val="14"/>
  </w:num>
  <w:num w:numId="7">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21"/>
  </w:num>
  <w:num w:numId="9">
    <w:abstractNumId w:val="18"/>
  </w:num>
  <w:num w:numId="10">
    <w:abstractNumId w:val="19"/>
  </w:num>
  <w:num w:numId="11">
    <w:abstractNumId w:val="22"/>
  </w:num>
  <w:num w:numId="12">
    <w:abstractNumId w:val="10"/>
  </w:num>
  <w:num w:numId="13">
    <w:abstractNumId w:val="20"/>
  </w:num>
  <w:num w:numId="14">
    <w:abstractNumId w:val="13"/>
  </w:num>
  <w:num w:numId="15">
    <w:abstractNumId w:val="16"/>
  </w:num>
  <w:num w:numId="16">
    <w:abstractNumId w:val="15"/>
  </w:num>
  <w:num w:numId="17">
    <w:abstractNumId w:val="11"/>
  </w:num>
  <w:num w:numId="18">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7"/>
  </w:num>
  <w:num w:numId="28">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9"/>
  </w:num>
  <w:num w:numId="34">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5"/>
  </w:num>
  <w:num w:numId="40">
    <w:abstractNumId w:val="4"/>
  </w:num>
  <w:num w:numId="41">
    <w:abstractNumId w:val="7"/>
  </w:num>
  <w:num w:numId="42">
    <w:abstractNumId w:val="3"/>
  </w:num>
  <w:num w:numId="43">
    <w:abstractNumId w:val="2"/>
  </w:num>
  <w:num w:numId="44">
    <w:abstractNumId w:val="1"/>
  </w:num>
  <w:num w:numId="45">
    <w:abstractNumId w:val="0"/>
  </w:num>
  <w:num w:numId="4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14"/>
  </w:num>
  <w:num w:numId="48">
    <w:abstractNumId w:val="23"/>
  </w:num>
  <w:num w:numId="49">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50">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uccolotto, Peter [JACAU]">
    <w15:presenceInfo w15:providerId="AD" w15:userId="S-1-5-21-3394736580-1411037809-1917133209-1024421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4734"/>
    <w:rsid w:val="00004D58"/>
    <w:rsid w:val="00006B22"/>
    <w:rsid w:val="00010694"/>
    <w:rsid w:val="0001276A"/>
    <w:rsid w:val="000142FD"/>
    <w:rsid w:val="0001458C"/>
    <w:rsid w:val="00017585"/>
    <w:rsid w:val="00021EC4"/>
    <w:rsid w:val="000246AE"/>
    <w:rsid w:val="000252E7"/>
    <w:rsid w:val="00025C67"/>
    <w:rsid w:val="00037C49"/>
    <w:rsid w:val="00040ACB"/>
    <w:rsid w:val="00041D5A"/>
    <w:rsid w:val="00042D6A"/>
    <w:rsid w:val="000513E3"/>
    <w:rsid w:val="00051CF4"/>
    <w:rsid w:val="0005559E"/>
    <w:rsid w:val="00056A91"/>
    <w:rsid w:val="000603AB"/>
    <w:rsid w:val="00066B24"/>
    <w:rsid w:val="00070306"/>
    <w:rsid w:val="0007174C"/>
    <w:rsid w:val="0007331E"/>
    <w:rsid w:val="0007635C"/>
    <w:rsid w:val="000771AD"/>
    <w:rsid w:val="00077775"/>
    <w:rsid w:val="00086428"/>
    <w:rsid w:val="00090471"/>
    <w:rsid w:val="00094D64"/>
    <w:rsid w:val="00097B5E"/>
    <w:rsid w:val="000A3AED"/>
    <w:rsid w:val="000A3EAA"/>
    <w:rsid w:val="000A4528"/>
    <w:rsid w:val="000A63AF"/>
    <w:rsid w:val="000A7194"/>
    <w:rsid w:val="000B3532"/>
    <w:rsid w:val="000B3A75"/>
    <w:rsid w:val="000B3AB3"/>
    <w:rsid w:val="000C3FB8"/>
    <w:rsid w:val="000C4D24"/>
    <w:rsid w:val="000C690F"/>
    <w:rsid w:val="000D1295"/>
    <w:rsid w:val="000D382B"/>
    <w:rsid w:val="000D391B"/>
    <w:rsid w:val="000D3D6D"/>
    <w:rsid w:val="000D4FC7"/>
    <w:rsid w:val="000D51B4"/>
    <w:rsid w:val="000D635A"/>
    <w:rsid w:val="000D69EF"/>
    <w:rsid w:val="000D776B"/>
    <w:rsid w:val="000E4778"/>
    <w:rsid w:val="000E71F1"/>
    <w:rsid w:val="000F02F9"/>
    <w:rsid w:val="000F0C1F"/>
    <w:rsid w:val="000F4869"/>
    <w:rsid w:val="000F4BF7"/>
    <w:rsid w:val="000F4F8C"/>
    <w:rsid w:val="000F5B42"/>
    <w:rsid w:val="000F6E6F"/>
    <w:rsid w:val="0010193C"/>
    <w:rsid w:val="00104613"/>
    <w:rsid w:val="0010601F"/>
    <w:rsid w:val="0010788A"/>
    <w:rsid w:val="00107A31"/>
    <w:rsid w:val="00110419"/>
    <w:rsid w:val="00110EA5"/>
    <w:rsid w:val="0011104D"/>
    <w:rsid w:val="001111C5"/>
    <w:rsid w:val="00112F56"/>
    <w:rsid w:val="001147F1"/>
    <w:rsid w:val="0011710C"/>
    <w:rsid w:val="00117F9E"/>
    <w:rsid w:val="00125318"/>
    <w:rsid w:val="001278AC"/>
    <w:rsid w:val="001305A2"/>
    <w:rsid w:val="00133238"/>
    <w:rsid w:val="00134970"/>
    <w:rsid w:val="00136E00"/>
    <w:rsid w:val="0014197B"/>
    <w:rsid w:val="00144770"/>
    <w:rsid w:val="001447CD"/>
    <w:rsid w:val="001516B1"/>
    <w:rsid w:val="00152CCE"/>
    <w:rsid w:val="001534C9"/>
    <w:rsid w:val="00153F35"/>
    <w:rsid w:val="00154EBB"/>
    <w:rsid w:val="00156316"/>
    <w:rsid w:val="001641DB"/>
    <w:rsid w:val="00164784"/>
    <w:rsid w:val="00165389"/>
    <w:rsid w:val="00166DA5"/>
    <w:rsid w:val="0017078F"/>
    <w:rsid w:val="00170E51"/>
    <w:rsid w:val="00173A78"/>
    <w:rsid w:val="0017693F"/>
    <w:rsid w:val="00180048"/>
    <w:rsid w:val="0018110E"/>
    <w:rsid w:val="00181684"/>
    <w:rsid w:val="001843C6"/>
    <w:rsid w:val="001850E0"/>
    <w:rsid w:val="00190DFC"/>
    <w:rsid w:val="001A2158"/>
    <w:rsid w:val="001A3385"/>
    <w:rsid w:val="001A525F"/>
    <w:rsid w:val="001A6CF1"/>
    <w:rsid w:val="001A7A4D"/>
    <w:rsid w:val="001B02A1"/>
    <w:rsid w:val="001B09F9"/>
    <w:rsid w:val="001B2555"/>
    <w:rsid w:val="001B5D98"/>
    <w:rsid w:val="001B6448"/>
    <w:rsid w:val="001C0996"/>
    <w:rsid w:val="001C409D"/>
    <w:rsid w:val="001C657B"/>
    <w:rsid w:val="001C77BD"/>
    <w:rsid w:val="001C7C11"/>
    <w:rsid w:val="001D5B09"/>
    <w:rsid w:val="001D6441"/>
    <w:rsid w:val="001D6DF0"/>
    <w:rsid w:val="001E07CF"/>
    <w:rsid w:val="001E59F1"/>
    <w:rsid w:val="001F497A"/>
    <w:rsid w:val="001F49EB"/>
    <w:rsid w:val="001F6CBA"/>
    <w:rsid w:val="00201D4E"/>
    <w:rsid w:val="0020560E"/>
    <w:rsid w:val="002076C9"/>
    <w:rsid w:val="00212720"/>
    <w:rsid w:val="00212818"/>
    <w:rsid w:val="00214167"/>
    <w:rsid w:val="00215B0F"/>
    <w:rsid w:val="002170D1"/>
    <w:rsid w:val="00220B8A"/>
    <w:rsid w:val="00223595"/>
    <w:rsid w:val="002257F3"/>
    <w:rsid w:val="0023188E"/>
    <w:rsid w:val="00233456"/>
    <w:rsid w:val="002339A5"/>
    <w:rsid w:val="00233D5D"/>
    <w:rsid w:val="00243A2F"/>
    <w:rsid w:val="0024415C"/>
    <w:rsid w:val="002462D3"/>
    <w:rsid w:val="00251962"/>
    <w:rsid w:val="00256002"/>
    <w:rsid w:val="00256D80"/>
    <w:rsid w:val="00257329"/>
    <w:rsid w:val="00257848"/>
    <w:rsid w:val="00261552"/>
    <w:rsid w:val="00264580"/>
    <w:rsid w:val="00264F16"/>
    <w:rsid w:val="002666AC"/>
    <w:rsid w:val="0027084A"/>
    <w:rsid w:val="0027708E"/>
    <w:rsid w:val="002832BB"/>
    <w:rsid w:val="00286434"/>
    <w:rsid w:val="00286C59"/>
    <w:rsid w:val="002901F4"/>
    <w:rsid w:val="00292113"/>
    <w:rsid w:val="002942D1"/>
    <w:rsid w:val="0029501A"/>
    <w:rsid w:val="0029517C"/>
    <w:rsid w:val="00295C34"/>
    <w:rsid w:val="00296CD6"/>
    <w:rsid w:val="002A23D9"/>
    <w:rsid w:val="002A6A6E"/>
    <w:rsid w:val="002B1638"/>
    <w:rsid w:val="002B4669"/>
    <w:rsid w:val="002B5366"/>
    <w:rsid w:val="002C03EC"/>
    <w:rsid w:val="002C0BE5"/>
    <w:rsid w:val="002C3314"/>
    <w:rsid w:val="002C63ED"/>
    <w:rsid w:val="002D1724"/>
    <w:rsid w:val="002D3FD1"/>
    <w:rsid w:val="002D545C"/>
    <w:rsid w:val="002D6161"/>
    <w:rsid w:val="002D67E5"/>
    <w:rsid w:val="002E4C9A"/>
    <w:rsid w:val="002E6BC0"/>
    <w:rsid w:val="002F11F8"/>
    <w:rsid w:val="002F28A2"/>
    <w:rsid w:val="002F3F56"/>
    <w:rsid w:val="002F44B5"/>
    <w:rsid w:val="00301A4D"/>
    <w:rsid w:val="00305C83"/>
    <w:rsid w:val="00311AC0"/>
    <w:rsid w:val="00314D2F"/>
    <w:rsid w:val="003155C5"/>
    <w:rsid w:val="00315D29"/>
    <w:rsid w:val="0031771C"/>
    <w:rsid w:val="0032583B"/>
    <w:rsid w:val="00326BFE"/>
    <w:rsid w:val="00327883"/>
    <w:rsid w:val="003353DF"/>
    <w:rsid w:val="00335504"/>
    <w:rsid w:val="0033645C"/>
    <w:rsid w:val="00341788"/>
    <w:rsid w:val="0034419A"/>
    <w:rsid w:val="00344879"/>
    <w:rsid w:val="003453BF"/>
    <w:rsid w:val="003521E8"/>
    <w:rsid w:val="00354BDB"/>
    <w:rsid w:val="0036029B"/>
    <w:rsid w:val="00365AFE"/>
    <w:rsid w:val="003673F6"/>
    <w:rsid w:val="003728F3"/>
    <w:rsid w:val="00373A6F"/>
    <w:rsid w:val="0037496E"/>
    <w:rsid w:val="0037623D"/>
    <w:rsid w:val="00376824"/>
    <w:rsid w:val="00380FD6"/>
    <w:rsid w:val="003825E8"/>
    <w:rsid w:val="00386150"/>
    <w:rsid w:val="003874CE"/>
    <w:rsid w:val="00387A5A"/>
    <w:rsid w:val="00390900"/>
    <w:rsid w:val="00393A99"/>
    <w:rsid w:val="0039691C"/>
    <w:rsid w:val="00396C92"/>
    <w:rsid w:val="003A26A8"/>
    <w:rsid w:val="003A7F6C"/>
    <w:rsid w:val="003B0849"/>
    <w:rsid w:val="003B1113"/>
    <w:rsid w:val="003B3D73"/>
    <w:rsid w:val="003B4D60"/>
    <w:rsid w:val="003B634F"/>
    <w:rsid w:val="003B7E39"/>
    <w:rsid w:val="003C39EF"/>
    <w:rsid w:val="003C43AE"/>
    <w:rsid w:val="003C58DC"/>
    <w:rsid w:val="003C7180"/>
    <w:rsid w:val="003D0712"/>
    <w:rsid w:val="003D0A18"/>
    <w:rsid w:val="003D0A3B"/>
    <w:rsid w:val="003D0D2F"/>
    <w:rsid w:val="003D1513"/>
    <w:rsid w:val="003D1E62"/>
    <w:rsid w:val="003D6695"/>
    <w:rsid w:val="003E2486"/>
    <w:rsid w:val="003E3208"/>
    <w:rsid w:val="003E5D1C"/>
    <w:rsid w:val="003E657A"/>
    <w:rsid w:val="003F0B04"/>
    <w:rsid w:val="0040134E"/>
    <w:rsid w:val="00403E6C"/>
    <w:rsid w:val="00415D59"/>
    <w:rsid w:val="0041712E"/>
    <w:rsid w:val="0042301C"/>
    <w:rsid w:val="00425863"/>
    <w:rsid w:val="00431DF4"/>
    <w:rsid w:val="0043797D"/>
    <w:rsid w:val="004401CD"/>
    <w:rsid w:val="00440A2D"/>
    <w:rsid w:val="004446C4"/>
    <w:rsid w:val="004564A7"/>
    <w:rsid w:val="004617BF"/>
    <w:rsid w:val="00463658"/>
    <w:rsid w:val="004642D3"/>
    <w:rsid w:val="00466059"/>
    <w:rsid w:val="004722CC"/>
    <w:rsid w:val="00472608"/>
    <w:rsid w:val="00474B25"/>
    <w:rsid w:val="004764BB"/>
    <w:rsid w:val="004806C6"/>
    <w:rsid w:val="00480A5B"/>
    <w:rsid w:val="00482C2F"/>
    <w:rsid w:val="0048569B"/>
    <w:rsid w:val="00485B1E"/>
    <w:rsid w:val="00486049"/>
    <w:rsid w:val="004910B2"/>
    <w:rsid w:val="004936E4"/>
    <w:rsid w:val="00494E60"/>
    <w:rsid w:val="004950D9"/>
    <w:rsid w:val="00497487"/>
    <w:rsid w:val="004A1D4B"/>
    <w:rsid w:val="004A21B5"/>
    <w:rsid w:val="004A270C"/>
    <w:rsid w:val="004A3C55"/>
    <w:rsid w:val="004A5EBC"/>
    <w:rsid w:val="004A676D"/>
    <w:rsid w:val="004A7E13"/>
    <w:rsid w:val="004B0A27"/>
    <w:rsid w:val="004B3C07"/>
    <w:rsid w:val="004B7B76"/>
    <w:rsid w:val="004C160E"/>
    <w:rsid w:val="004C1D75"/>
    <w:rsid w:val="004C2DCA"/>
    <w:rsid w:val="004C3EC7"/>
    <w:rsid w:val="004D00E8"/>
    <w:rsid w:val="004D2F2B"/>
    <w:rsid w:val="004D44AE"/>
    <w:rsid w:val="004D6564"/>
    <w:rsid w:val="004E4E6F"/>
    <w:rsid w:val="004F0F38"/>
    <w:rsid w:val="004F4AF5"/>
    <w:rsid w:val="004F4F56"/>
    <w:rsid w:val="004F5424"/>
    <w:rsid w:val="00501921"/>
    <w:rsid w:val="00506026"/>
    <w:rsid w:val="00507897"/>
    <w:rsid w:val="00522831"/>
    <w:rsid w:val="00522AED"/>
    <w:rsid w:val="005233A2"/>
    <w:rsid w:val="005277A7"/>
    <w:rsid w:val="00530354"/>
    <w:rsid w:val="00530957"/>
    <w:rsid w:val="00531123"/>
    <w:rsid w:val="0053625B"/>
    <w:rsid w:val="0054127A"/>
    <w:rsid w:val="005419D3"/>
    <w:rsid w:val="005434C6"/>
    <w:rsid w:val="00543B39"/>
    <w:rsid w:val="005457EF"/>
    <w:rsid w:val="00546F4F"/>
    <w:rsid w:val="00550096"/>
    <w:rsid w:val="00550F30"/>
    <w:rsid w:val="00557FF9"/>
    <w:rsid w:val="00560D35"/>
    <w:rsid w:val="0056452C"/>
    <w:rsid w:val="0057256B"/>
    <w:rsid w:val="00576378"/>
    <w:rsid w:val="00577945"/>
    <w:rsid w:val="00577E38"/>
    <w:rsid w:val="0058163A"/>
    <w:rsid w:val="00581D36"/>
    <w:rsid w:val="00584F1D"/>
    <w:rsid w:val="00585322"/>
    <w:rsid w:val="005857C6"/>
    <w:rsid w:val="00586F98"/>
    <w:rsid w:val="005873F4"/>
    <w:rsid w:val="00591667"/>
    <w:rsid w:val="00592F6E"/>
    <w:rsid w:val="00593AD1"/>
    <w:rsid w:val="00595BD5"/>
    <w:rsid w:val="005A05BC"/>
    <w:rsid w:val="005A18C6"/>
    <w:rsid w:val="005A2348"/>
    <w:rsid w:val="005A68B6"/>
    <w:rsid w:val="005A7B91"/>
    <w:rsid w:val="005B3372"/>
    <w:rsid w:val="005B6120"/>
    <w:rsid w:val="005C5570"/>
    <w:rsid w:val="005C79A4"/>
    <w:rsid w:val="005D2B97"/>
    <w:rsid w:val="005D3290"/>
    <w:rsid w:val="005D3D6C"/>
    <w:rsid w:val="005D5442"/>
    <w:rsid w:val="005D6F72"/>
    <w:rsid w:val="005E056A"/>
    <w:rsid w:val="005E1326"/>
    <w:rsid w:val="005F0849"/>
    <w:rsid w:val="005F391D"/>
    <w:rsid w:val="005F3C81"/>
    <w:rsid w:val="005F4483"/>
    <w:rsid w:val="006004CE"/>
    <w:rsid w:val="00601377"/>
    <w:rsid w:val="00603F32"/>
    <w:rsid w:val="00605611"/>
    <w:rsid w:val="00607328"/>
    <w:rsid w:val="0061214C"/>
    <w:rsid w:val="0061357C"/>
    <w:rsid w:val="006170F0"/>
    <w:rsid w:val="00620406"/>
    <w:rsid w:val="00620CD3"/>
    <w:rsid w:val="00621781"/>
    <w:rsid w:val="00632398"/>
    <w:rsid w:val="006336EF"/>
    <w:rsid w:val="006354AD"/>
    <w:rsid w:val="00636E45"/>
    <w:rsid w:val="00640FC3"/>
    <w:rsid w:val="0064112E"/>
    <w:rsid w:val="00642020"/>
    <w:rsid w:val="00645A13"/>
    <w:rsid w:val="00646206"/>
    <w:rsid w:val="0065102C"/>
    <w:rsid w:val="0065337B"/>
    <w:rsid w:val="006538BF"/>
    <w:rsid w:val="0065419D"/>
    <w:rsid w:val="00656D19"/>
    <w:rsid w:val="006604D8"/>
    <w:rsid w:val="006605C5"/>
    <w:rsid w:val="00662127"/>
    <w:rsid w:val="0066222F"/>
    <w:rsid w:val="00663EC7"/>
    <w:rsid w:val="00664A5B"/>
    <w:rsid w:val="006717EC"/>
    <w:rsid w:val="006718BB"/>
    <w:rsid w:val="006723BE"/>
    <w:rsid w:val="00673819"/>
    <w:rsid w:val="0067397A"/>
    <w:rsid w:val="006745B7"/>
    <w:rsid w:val="00674D51"/>
    <w:rsid w:val="006763D2"/>
    <w:rsid w:val="00680C08"/>
    <w:rsid w:val="00680DCD"/>
    <w:rsid w:val="006901FD"/>
    <w:rsid w:val="006931B1"/>
    <w:rsid w:val="006A15C0"/>
    <w:rsid w:val="006A2830"/>
    <w:rsid w:val="006A3B00"/>
    <w:rsid w:val="006B24FD"/>
    <w:rsid w:val="006B4C50"/>
    <w:rsid w:val="006B6288"/>
    <w:rsid w:val="006C130C"/>
    <w:rsid w:val="006C17D1"/>
    <w:rsid w:val="006C3733"/>
    <w:rsid w:val="006C3E2A"/>
    <w:rsid w:val="006C4853"/>
    <w:rsid w:val="006C4B74"/>
    <w:rsid w:val="006C642F"/>
    <w:rsid w:val="006D03E5"/>
    <w:rsid w:val="006D19FE"/>
    <w:rsid w:val="006D4218"/>
    <w:rsid w:val="006D5D3E"/>
    <w:rsid w:val="006E08B3"/>
    <w:rsid w:val="006E1752"/>
    <w:rsid w:val="006E4779"/>
    <w:rsid w:val="006F17AC"/>
    <w:rsid w:val="006F1D37"/>
    <w:rsid w:val="006F26D0"/>
    <w:rsid w:val="006F2796"/>
    <w:rsid w:val="006F2C2C"/>
    <w:rsid w:val="006F572E"/>
    <w:rsid w:val="006F7CDC"/>
    <w:rsid w:val="00702530"/>
    <w:rsid w:val="007046D6"/>
    <w:rsid w:val="00705DB0"/>
    <w:rsid w:val="0070629B"/>
    <w:rsid w:val="0070702D"/>
    <w:rsid w:val="00711A1C"/>
    <w:rsid w:val="007129EC"/>
    <w:rsid w:val="007164AB"/>
    <w:rsid w:val="00720731"/>
    <w:rsid w:val="00721E92"/>
    <w:rsid w:val="00722B57"/>
    <w:rsid w:val="00726A2C"/>
    <w:rsid w:val="00727081"/>
    <w:rsid w:val="00730E9B"/>
    <w:rsid w:val="0073458D"/>
    <w:rsid w:val="007366B7"/>
    <w:rsid w:val="007419F8"/>
    <w:rsid w:val="0074253D"/>
    <w:rsid w:val="0074429B"/>
    <w:rsid w:val="0074521B"/>
    <w:rsid w:val="007513B4"/>
    <w:rsid w:val="0075195F"/>
    <w:rsid w:val="007615BC"/>
    <w:rsid w:val="00762DE4"/>
    <w:rsid w:val="00762F05"/>
    <w:rsid w:val="007652FF"/>
    <w:rsid w:val="00770EF1"/>
    <w:rsid w:val="007715BA"/>
    <w:rsid w:val="00771894"/>
    <w:rsid w:val="00773EF7"/>
    <w:rsid w:val="00774E1D"/>
    <w:rsid w:val="007760AE"/>
    <w:rsid w:val="0077657E"/>
    <w:rsid w:val="0077675A"/>
    <w:rsid w:val="00780355"/>
    <w:rsid w:val="00780A89"/>
    <w:rsid w:val="00785721"/>
    <w:rsid w:val="00785F6E"/>
    <w:rsid w:val="00787410"/>
    <w:rsid w:val="00791C25"/>
    <w:rsid w:val="0079223C"/>
    <w:rsid w:val="00792286"/>
    <w:rsid w:val="00793A59"/>
    <w:rsid w:val="00793E91"/>
    <w:rsid w:val="007A077C"/>
    <w:rsid w:val="007A1665"/>
    <w:rsid w:val="007A1D7E"/>
    <w:rsid w:val="007A1EF9"/>
    <w:rsid w:val="007A323C"/>
    <w:rsid w:val="007A5DE5"/>
    <w:rsid w:val="007B24DF"/>
    <w:rsid w:val="007B2962"/>
    <w:rsid w:val="007B2B8D"/>
    <w:rsid w:val="007B43DB"/>
    <w:rsid w:val="007B6E9F"/>
    <w:rsid w:val="007C1216"/>
    <w:rsid w:val="007C1AF7"/>
    <w:rsid w:val="007C3E2E"/>
    <w:rsid w:val="007C58DE"/>
    <w:rsid w:val="007D0C25"/>
    <w:rsid w:val="007D1300"/>
    <w:rsid w:val="007D66D9"/>
    <w:rsid w:val="007E0D2F"/>
    <w:rsid w:val="007E401A"/>
    <w:rsid w:val="007E6E27"/>
    <w:rsid w:val="007E7176"/>
    <w:rsid w:val="007F22AF"/>
    <w:rsid w:val="007F3E00"/>
    <w:rsid w:val="007F4C35"/>
    <w:rsid w:val="00805D27"/>
    <w:rsid w:val="00810D5B"/>
    <w:rsid w:val="008134C8"/>
    <w:rsid w:val="00821776"/>
    <w:rsid w:val="00821C1D"/>
    <w:rsid w:val="00827D3C"/>
    <w:rsid w:val="008321F5"/>
    <w:rsid w:val="00832369"/>
    <w:rsid w:val="00834660"/>
    <w:rsid w:val="00835887"/>
    <w:rsid w:val="00836BC2"/>
    <w:rsid w:val="008414A0"/>
    <w:rsid w:val="008435FD"/>
    <w:rsid w:val="00844289"/>
    <w:rsid w:val="008448BF"/>
    <w:rsid w:val="00844BB4"/>
    <w:rsid w:val="008461E7"/>
    <w:rsid w:val="00850113"/>
    <w:rsid w:val="0085068D"/>
    <w:rsid w:val="0085641B"/>
    <w:rsid w:val="0085684A"/>
    <w:rsid w:val="00857136"/>
    <w:rsid w:val="00863ABC"/>
    <w:rsid w:val="00875618"/>
    <w:rsid w:val="00876811"/>
    <w:rsid w:val="00880372"/>
    <w:rsid w:val="00886893"/>
    <w:rsid w:val="00886955"/>
    <w:rsid w:val="00886D15"/>
    <w:rsid w:val="00887DD8"/>
    <w:rsid w:val="008911A1"/>
    <w:rsid w:val="00896018"/>
    <w:rsid w:val="008960DD"/>
    <w:rsid w:val="0089635C"/>
    <w:rsid w:val="008A2B9D"/>
    <w:rsid w:val="008A39A8"/>
    <w:rsid w:val="008A5458"/>
    <w:rsid w:val="008A5C7C"/>
    <w:rsid w:val="008A5E0B"/>
    <w:rsid w:val="008A6D59"/>
    <w:rsid w:val="008A79FA"/>
    <w:rsid w:val="008B2C45"/>
    <w:rsid w:val="008B365B"/>
    <w:rsid w:val="008B4B03"/>
    <w:rsid w:val="008B596F"/>
    <w:rsid w:val="008B5A3E"/>
    <w:rsid w:val="008C04E9"/>
    <w:rsid w:val="008C159F"/>
    <w:rsid w:val="008C1623"/>
    <w:rsid w:val="008C1850"/>
    <w:rsid w:val="008C220A"/>
    <w:rsid w:val="008C51A9"/>
    <w:rsid w:val="008D770F"/>
    <w:rsid w:val="008D7DFD"/>
    <w:rsid w:val="008E4777"/>
    <w:rsid w:val="008E7846"/>
    <w:rsid w:val="008F052A"/>
    <w:rsid w:val="008F1CCC"/>
    <w:rsid w:val="008F2967"/>
    <w:rsid w:val="008F6943"/>
    <w:rsid w:val="008F69AF"/>
    <w:rsid w:val="008F6AA9"/>
    <w:rsid w:val="009021F5"/>
    <w:rsid w:val="00902447"/>
    <w:rsid w:val="00902A21"/>
    <w:rsid w:val="00906445"/>
    <w:rsid w:val="00911D8C"/>
    <w:rsid w:val="00913DB1"/>
    <w:rsid w:val="00916B5E"/>
    <w:rsid w:val="0091704B"/>
    <w:rsid w:val="00920330"/>
    <w:rsid w:val="009207AF"/>
    <w:rsid w:val="009219D7"/>
    <w:rsid w:val="00922D53"/>
    <w:rsid w:val="00923B70"/>
    <w:rsid w:val="00924482"/>
    <w:rsid w:val="00924D13"/>
    <w:rsid w:val="00925759"/>
    <w:rsid w:val="0092677E"/>
    <w:rsid w:val="00927D2A"/>
    <w:rsid w:val="00930237"/>
    <w:rsid w:val="0093094F"/>
    <w:rsid w:val="00932E50"/>
    <w:rsid w:val="0093418D"/>
    <w:rsid w:val="00935764"/>
    <w:rsid w:val="009438E8"/>
    <w:rsid w:val="00944227"/>
    <w:rsid w:val="00944E3C"/>
    <w:rsid w:val="0094614A"/>
    <w:rsid w:val="00946EA5"/>
    <w:rsid w:val="0095160F"/>
    <w:rsid w:val="0095714D"/>
    <w:rsid w:val="00963C08"/>
    <w:rsid w:val="00966BEA"/>
    <w:rsid w:val="0096796D"/>
    <w:rsid w:val="00967C91"/>
    <w:rsid w:val="00970403"/>
    <w:rsid w:val="00973683"/>
    <w:rsid w:val="009746A1"/>
    <w:rsid w:val="00974C0F"/>
    <w:rsid w:val="00977A4F"/>
    <w:rsid w:val="00981D66"/>
    <w:rsid w:val="00982A0E"/>
    <w:rsid w:val="0098585A"/>
    <w:rsid w:val="0098669D"/>
    <w:rsid w:val="00990250"/>
    <w:rsid w:val="00991768"/>
    <w:rsid w:val="00994C95"/>
    <w:rsid w:val="009961F4"/>
    <w:rsid w:val="009A4C16"/>
    <w:rsid w:val="009A4CED"/>
    <w:rsid w:val="009A690D"/>
    <w:rsid w:val="009B1D12"/>
    <w:rsid w:val="009B3100"/>
    <w:rsid w:val="009B38A1"/>
    <w:rsid w:val="009B416B"/>
    <w:rsid w:val="009B49D4"/>
    <w:rsid w:val="009C4BD5"/>
    <w:rsid w:val="009C5C72"/>
    <w:rsid w:val="009C6216"/>
    <w:rsid w:val="009C740E"/>
    <w:rsid w:val="009C7BEE"/>
    <w:rsid w:val="009D25A2"/>
    <w:rsid w:val="009D2CA4"/>
    <w:rsid w:val="009D4825"/>
    <w:rsid w:val="009D4DCD"/>
    <w:rsid w:val="009D54B8"/>
    <w:rsid w:val="009D7B77"/>
    <w:rsid w:val="009E0BB0"/>
    <w:rsid w:val="009E3FBB"/>
    <w:rsid w:val="009F278F"/>
    <w:rsid w:val="009F2C7A"/>
    <w:rsid w:val="009F467D"/>
    <w:rsid w:val="009F485A"/>
    <w:rsid w:val="009F62A7"/>
    <w:rsid w:val="00A02401"/>
    <w:rsid w:val="00A102E4"/>
    <w:rsid w:val="00A12018"/>
    <w:rsid w:val="00A12C42"/>
    <w:rsid w:val="00A14DF7"/>
    <w:rsid w:val="00A177F9"/>
    <w:rsid w:val="00A2006A"/>
    <w:rsid w:val="00A2171E"/>
    <w:rsid w:val="00A235D9"/>
    <w:rsid w:val="00A2590C"/>
    <w:rsid w:val="00A2680A"/>
    <w:rsid w:val="00A3246D"/>
    <w:rsid w:val="00A33895"/>
    <w:rsid w:val="00A33FB4"/>
    <w:rsid w:val="00A36FA7"/>
    <w:rsid w:val="00A4521E"/>
    <w:rsid w:val="00A46801"/>
    <w:rsid w:val="00A475B7"/>
    <w:rsid w:val="00A47AF7"/>
    <w:rsid w:val="00A47C3E"/>
    <w:rsid w:val="00A50226"/>
    <w:rsid w:val="00A562C2"/>
    <w:rsid w:val="00A56AC0"/>
    <w:rsid w:val="00A6065C"/>
    <w:rsid w:val="00A60BAD"/>
    <w:rsid w:val="00A738FB"/>
    <w:rsid w:val="00A74D8A"/>
    <w:rsid w:val="00A7593F"/>
    <w:rsid w:val="00A80A5B"/>
    <w:rsid w:val="00A81F03"/>
    <w:rsid w:val="00A827BB"/>
    <w:rsid w:val="00A835F2"/>
    <w:rsid w:val="00A84BC9"/>
    <w:rsid w:val="00A93B04"/>
    <w:rsid w:val="00A96444"/>
    <w:rsid w:val="00A964D1"/>
    <w:rsid w:val="00A966C6"/>
    <w:rsid w:val="00AA0ED0"/>
    <w:rsid w:val="00AA267C"/>
    <w:rsid w:val="00AA2D8E"/>
    <w:rsid w:val="00AA3499"/>
    <w:rsid w:val="00AA42DD"/>
    <w:rsid w:val="00AA52D5"/>
    <w:rsid w:val="00AB1657"/>
    <w:rsid w:val="00AB465B"/>
    <w:rsid w:val="00AB5983"/>
    <w:rsid w:val="00AB70CA"/>
    <w:rsid w:val="00AC2B40"/>
    <w:rsid w:val="00AC2BB2"/>
    <w:rsid w:val="00AC2C3C"/>
    <w:rsid w:val="00AC2E8D"/>
    <w:rsid w:val="00AC340D"/>
    <w:rsid w:val="00AC512D"/>
    <w:rsid w:val="00AD34FE"/>
    <w:rsid w:val="00AD5A71"/>
    <w:rsid w:val="00AD6F54"/>
    <w:rsid w:val="00AD7815"/>
    <w:rsid w:val="00AE01C2"/>
    <w:rsid w:val="00AE33A0"/>
    <w:rsid w:val="00AE52DB"/>
    <w:rsid w:val="00AE65EB"/>
    <w:rsid w:val="00AE67A7"/>
    <w:rsid w:val="00AE716B"/>
    <w:rsid w:val="00AF08B9"/>
    <w:rsid w:val="00AF11CA"/>
    <w:rsid w:val="00AF1D94"/>
    <w:rsid w:val="00AF2299"/>
    <w:rsid w:val="00AF2A3B"/>
    <w:rsid w:val="00AF60C5"/>
    <w:rsid w:val="00B009C6"/>
    <w:rsid w:val="00B01548"/>
    <w:rsid w:val="00B02208"/>
    <w:rsid w:val="00B06D8A"/>
    <w:rsid w:val="00B1228A"/>
    <w:rsid w:val="00B122AD"/>
    <w:rsid w:val="00B12BEC"/>
    <w:rsid w:val="00B1425E"/>
    <w:rsid w:val="00B14DF1"/>
    <w:rsid w:val="00B1523F"/>
    <w:rsid w:val="00B16E6E"/>
    <w:rsid w:val="00B21D29"/>
    <w:rsid w:val="00B23CBC"/>
    <w:rsid w:val="00B24F0B"/>
    <w:rsid w:val="00B25034"/>
    <w:rsid w:val="00B27195"/>
    <w:rsid w:val="00B275F4"/>
    <w:rsid w:val="00B27A1A"/>
    <w:rsid w:val="00B30181"/>
    <w:rsid w:val="00B33588"/>
    <w:rsid w:val="00B33863"/>
    <w:rsid w:val="00B3428C"/>
    <w:rsid w:val="00B34787"/>
    <w:rsid w:val="00B3567E"/>
    <w:rsid w:val="00B37D17"/>
    <w:rsid w:val="00B4175E"/>
    <w:rsid w:val="00B452CE"/>
    <w:rsid w:val="00B46316"/>
    <w:rsid w:val="00B50545"/>
    <w:rsid w:val="00B54C25"/>
    <w:rsid w:val="00B63962"/>
    <w:rsid w:val="00B66EA5"/>
    <w:rsid w:val="00B6730B"/>
    <w:rsid w:val="00B72334"/>
    <w:rsid w:val="00B748B6"/>
    <w:rsid w:val="00B74A82"/>
    <w:rsid w:val="00B74CC4"/>
    <w:rsid w:val="00B75A7B"/>
    <w:rsid w:val="00B76B91"/>
    <w:rsid w:val="00B77BE0"/>
    <w:rsid w:val="00B77EB1"/>
    <w:rsid w:val="00B80A4E"/>
    <w:rsid w:val="00B811C6"/>
    <w:rsid w:val="00B85A87"/>
    <w:rsid w:val="00B92E08"/>
    <w:rsid w:val="00B93B96"/>
    <w:rsid w:val="00B96EBE"/>
    <w:rsid w:val="00BA2C62"/>
    <w:rsid w:val="00BB2B65"/>
    <w:rsid w:val="00BC00DE"/>
    <w:rsid w:val="00BC1ED0"/>
    <w:rsid w:val="00BC4666"/>
    <w:rsid w:val="00BC622A"/>
    <w:rsid w:val="00BD4189"/>
    <w:rsid w:val="00BD45E3"/>
    <w:rsid w:val="00BE05B2"/>
    <w:rsid w:val="00BE0A78"/>
    <w:rsid w:val="00BE254B"/>
    <w:rsid w:val="00BE32A6"/>
    <w:rsid w:val="00BE50EB"/>
    <w:rsid w:val="00BE55F6"/>
    <w:rsid w:val="00BE5B4E"/>
    <w:rsid w:val="00BE6252"/>
    <w:rsid w:val="00BE79F0"/>
    <w:rsid w:val="00BF046D"/>
    <w:rsid w:val="00BF1190"/>
    <w:rsid w:val="00BF39D2"/>
    <w:rsid w:val="00BF4FAD"/>
    <w:rsid w:val="00BF54F4"/>
    <w:rsid w:val="00BF5D04"/>
    <w:rsid w:val="00BF6B48"/>
    <w:rsid w:val="00BF6F1F"/>
    <w:rsid w:val="00C00746"/>
    <w:rsid w:val="00C02533"/>
    <w:rsid w:val="00C04372"/>
    <w:rsid w:val="00C05A68"/>
    <w:rsid w:val="00C07B6F"/>
    <w:rsid w:val="00C1164D"/>
    <w:rsid w:val="00C12C76"/>
    <w:rsid w:val="00C137CE"/>
    <w:rsid w:val="00C16762"/>
    <w:rsid w:val="00C16861"/>
    <w:rsid w:val="00C1687C"/>
    <w:rsid w:val="00C16E08"/>
    <w:rsid w:val="00C22678"/>
    <w:rsid w:val="00C23AC2"/>
    <w:rsid w:val="00C24259"/>
    <w:rsid w:val="00C24BF9"/>
    <w:rsid w:val="00C26F4F"/>
    <w:rsid w:val="00C31B4E"/>
    <w:rsid w:val="00C404A6"/>
    <w:rsid w:val="00C40A36"/>
    <w:rsid w:val="00C42ED0"/>
    <w:rsid w:val="00C44419"/>
    <w:rsid w:val="00C44E2F"/>
    <w:rsid w:val="00C45E7B"/>
    <w:rsid w:val="00C4625F"/>
    <w:rsid w:val="00C471B1"/>
    <w:rsid w:val="00C61364"/>
    <w:rsid w:val="00C618F7"/>
    <w:rsid w:val="00C620F5"/>
    <w:rsid w:val="00C6316B"/>
    <w:rsid w:val="00C634A9"/>
    <w:rsid w:val="00C64586"/>
    <w:rsid w:val="00C66B0C"/>
    <w:rsid w:val="00C70D53"/>
    <w:rsid w:val="00C72D19"/>
    <w:rsid w:val="00C73D0B"/>
    <w:rsid w:val="00C766FC"/>
    <w:rsid w:val="00C772FF"/>
    <w:rsid w:val="00C77954"/>
    <w:rsid w:val="00C801AF"/>
    <w:rsid w:val="00C80256"/>
    <w:rsid w:val="00C811C0"/>
    <w:rsid w:val="00C81CA2"/>
    <w:rsid w:val="00C83D84"/>
    <w:rsid w:val="00C87E20"/>
    <w:rsid w:val="00C91437"/>
    <w:rsid w:val="00C94C92"/>
    <w:rsid w:val="00CA0420"/>
    <w:rsid w:val="00CA0F8D"/>
    <w:rsid w:val="00CA3D86"/>
    <w:rsid w:val="00CB2D7E"/>
    <w:rsid w:val="00CB4ED6"/>
    <w:rsid w:val="00CB6BC0"/>
    <w:rsid w:val="00CC1B7C"/>
    <w:rsid w:val="00CC6492"/>
    <w:rsid w:val="00CC727F"/>
    <w:rsid w:val="00CD4733"/>
    <w:rsid w:val="00CD5AB6"/>
    <w:rsid w:val="00CD5AC0"/>
    <w:rsid w:val="00CD74AB"/>
    <w:rsid w:val="00CE46EB"/>
    <w:rsid w:val="00CF031C"/>
    <w:rsid w:val="00CF078D"/>
    <w:rsid w:val="00CF095C"/>
    <w:rsid w:val="00CF15C3"/>
    <w:rsid w:val="00CF2B6F"/>
    <w:rsid w:val="00CF323B"/>
    <w:rsid w:val="00CF58B6"/>
    <w:rsid w:val="00CF7186"/>
    <w:rsid w:val="00D00520"/>
    <w:rsid w:val="00D017ED"/>
    <w:rsid w:val="00D0231E"/>
    <w:rsid w:val="00D040D3"/>
    <w:rsid w:val="00D04C65"/>
    <w:rsid w:val="00D070DB"/>
    <w:rsid w:val="00D10524"/>
    <w:rsid w:val="00D12929"/>
    <w:rsid w:val="00D16DD2"/>
    <w:rsid w:val="00D1733A"/>
    <w:rsid w:val="00D224FE"/>
    <w:rsid w:val="00D22AB5"/>
    <w:rsid w:val="00D256D3"/>
    <w:rsid w:val="00D260FF"/>
    <w:rsid w:val="00D37CB6"/>
    <w:rsid w:val="00D41EFE"/>
    <w:rsid w:val="00D53A31"/>
    <w:rsid w:val="00D56AB0"/>
    <w:rsid w:val="00D60751"/>
    <w:rsid w:val="00D645C7"/>
    <w:rsid w:val="00D6493E"/>
    <w:rsid w:val="00D7301E"/>
    <w:rsid w:val="00D82798"/>
    <w:rsid w:val="00D83AE1"/>
    <w:rsid w:val="00D855D4"/>
    <w:rsid w:val="00D862B3"/>
    <w:rsid w:val="00D86547"/>
    <w:rsid w:val="00D87961"/>
    <w:rsid w:val="00D93466"/>
    <w:rsid w:val="00DA1124"/>
    <w:rsid w:val="00DA386F"/>
    <w:rsid w:val="00DA6480"/>
    <w:rsid w:val="00DA71CC"/>
    <w:rsid w:val="00DB1790"/>
    <w:rsid w:val="00DB31CD"/>
    <w:rsid w:val="00DB4914"/>
    <w:rsid w:val="00DB4C17"/>
    <w:rsid w:val="00DB75B7"/>
    <w:rsid w:val="00DC156B"/>
    <w:rsid w:val="00DC2B5F"/>
    <w:rsid w:val="00DC3589"/>
    <w:rsid w:val="00DC5361"/>
    <w:rsid w:val="00DC6E02"/>
    <w:rsid w:val="00DD0AD2"/>
    <w:rsid w:val="00DD553F"/>
    <w:rsid w:val="00DE02AE"/>
    <w:rsid w:val="00DE223E"/>
    <w:rsid w:val="00DE255F"/>
    <w:rsid w:val="00DE450D"/>
    <w:rsid w:val="00DE45BC"/>
    <w:rsid w:val="00DE4967"/>
    <w:rsid w:val="00DE548B"/>
    <w:rsid w:val="00DF1D7F"/>
    <w:rsid w:val="00DF1DD2"/>
    <w:rsid w:val="00DF3DFC"/>
    <w:rsid w:val="00DF4BE4"/>
    <w:rsid w:val="00DF5C2C"/>
    <w:rsid w:val="00DF763E"/>
    <w:rsid w:val="00E02FB4"/>
    <w:rsid w:val="00E07F15"/>
    <w:rsid w:val="00E10B9E"/>
    <w:rsid w:val="00E131C1"/>
    <w:rsid w:val="00E202DE"/>
    <w:rsid w:val="00E20571"/>
    <w:rsid w:val="00E235F7"/>
    <w:rsid w:val="00E23659"/>
    <w:rsid w:val="00E239D4"/>
    <w:rsid w:val="00E2424F"/>
    <w:rsid w:val="00E242B7"/>
    <w:rsid w:val="00E243A4"/>
    <w:rsid w:val="00E25C48"/>
    <w:rsid w:val="00E26130"/>
    <w:rsid w:val="00E2741C"/>
    <w:rsid w:val="00E31AFA"/>
    <w:rsid w:val="00E35488"/>
    <w:rsid w:val="00E407A3"/>
    <w:rsid w:val="00E40B22"/>
    <w:rsid w:val="00E426F9"/>
    <w:rsid w:val="00E45619"/>
    <w:rsid w:val="00E4588F"/>
    <w:rsid w:val="00E46DA3"/>
    <w:rsid w:val="00E51857"/>
    <w:rsid w:val="00E51BB1"/>
    <w:rsid w:val="00E5789A"/>
    <w:rsid w:val="00E60DFA"/>
    <w:rsid w:val="00E6213A"/>
    <w:rsid w:val="00E624A5"/>
    <w:rsid w:val="00E6492D"/>
    <w:rsid w:val="00E65623"/>
    <w:rsid w:val="00E6609C"/>
    <w:rsid w:val="00E709F7"/>
    <w:rsid w:val="00E71111"/>
    <w:rsid w:val="00E7344E"/>
    <w:rsid w:val="00E76E3D"/>
    <w:rsid w:val="00E77B22"/>
    <w:rsid w:val="00E8387F"/>
    <w:rsid w:val="00E85493"/>
    <w:rsid w:val="00E912FA"/>
    <w:rsid w:val="00E936E3"/>
    <w:rsid w:val="00E979F4"/>
    <w:rsid w:val="00EA7B92"/>
    <w:rsid w:val="00EB0798"/>
    <w:rsid w:val="00EB23FC"/>
    <w:rsid w:val="00EB27C6"/>
    <w:rsid w:val="00EB2B60"/>
    <w:rsid w:val="00EB30D2"/>
    <w:rsid w:val="00EB40AD"/>
    <w:rsid w:val="00EB4658"/>
    <w:rsid w:val="00EB5144"/>
    <w:rsid w:val="00EB586E"/>
    <w:rsid w:val="00EB5FC8"/>
    <w:rsid w:val="00EB7086"/>
    <w:rsid w:val="00EC0890"/>
    <w:rsid w:val="00EC3EC8"/>
    <w:rsid w:val="00EC7215"/>
    <w:rsid w:val="00EC7736"/>
    <w:rsid w:val="00ED2942"/>
    <w:rsid w:val="00ED35B5"/>
    <w:rsid w:val="00ED3CAD"/>
    <w:rsid w:val="00ED5A41"/>
    <w:rsid w:val="00ED7B07"/>
    <w:rsid w:val="00EE152C"/>
    <w:rsid w:val="00EE1DE8"/>
    <w:rsid w:val="00EE24C5"/>
    <w:rsid w:val="00EE47DB"/>
    <w:rsid w:val="00EF1D3B"/>
    <w:rsid w:val="00EF2434"/>
    <w:rsid w:val="00EF4038"/>
    <w:rsid w:val="00EF7198"/>
    <w:rsid w:val="00F01007"/>
    <w:rsid w:val="00F0152F"/>
    <w:rsid w:val="00F02A54"/>
    <w:rsid w:val="00F033EC"/>
    <w:rsid w:val="00F03A87"/>
    <w:rsid w:val="00F04F68"/>
    <w:rsid w:val="00F0668F"/>
    <w:rsid w:val="00F12670"/>
    <w:rsid w:val="00F14B27"/>
    <w:rsid w:val="00F207B3"/>
    <w:rsid w:val="00F2255E"/>
    <w:rsid w:val="00F242EE"/>
    <w:rsid w:val="00F24FBD"/>
    <w:rsid w:val="00F3148D"/>
    <w:rsid w:val="00F325C5"/>
    <w:rsid w:val="00F32FE0"/>
    <w:rsid w:val="00F35298"/>
    <w:rsid w:val="00F35B51"/>
    <w:rsid w:val="00F40D0B"/>
    <w:rsid w:val="00F413F7"/>
    <w:rsid w:val="00F4267E"/>
    <w:rsid w:val="00F458EC"/>
    <w:rsid w:val="00F47333"/>
    <w:rsid w:val="00F47E37"/>
    <w:rsid w:val="00F51B3D"/>
    <w:rsid w:val="00F53C07"/>
    <w:rsid w:val="00F54B65"/>
    <w:rsid w:val="00F555AA"/>
    <w:rsid w:val="00F562B2"/>
    <w:rsid w:val="00F57D39"/>
    <w:rsid w:val="00F61FA8"/>
    <w:rsid w:val="00F624FE"/>
    <w:rsid w:val="00F63152"/>
    <w:rsid w:val="00F634A2"/>
    <w:rsid w:val="00F63744"/>
    <w:rsid w:val="00F640B6"/>
    <w:rsid w:val="00F716B9"/>
    <w:rsid w:val="00F7213E"/>
    <w:rsid w:val="00F75831"/>
    <w:rsid w:val="00F75B73"/>
    <w:rsid w:val="00F80E40"/>
    <w:rsid w:val="00F81496"/>
    <w:rsid w:val="00F8171B"/>
    <w:rsid w:val="00F81E90"/>
    <w:rsid w:val="00F822F2"/>
    <w:rsid w:val="00F82740"/>
    <w:rsid w:val="00F82F7B"/>
    <w:rsid w:val="00F848D9"/>
    <w:rsid w:val="00F87E50"/>
    <w:rsid w:val="00F905A6"/>
    <w:rsid w:val="00F93C9C"/>
    <w:rsid w:val="00F94110"/>
    <w:rsid w:val="00F94604"/>
    <w:rsid w:val="00F948E8"/>
    <w:rsid w:val="00F95F47"/>
    <w:rsid w:val="00F96131"/>
    <w:rsid w:val="00FA5B82"/>
    <w:rsid w:val="00FA5CFB"/>
    <w:rsid w:val="00FA639A"/>
    <w:rsid w:val="00FA639E"/>
    <w:rsid w:val="00FA7BDF"/>
    <w:rsid w:val="00FB047B"/>
    <w:rsid w:val="00FB0FC4"/>
    <w:rsid w:val="00FB4A28"/>
    <w:rsid w:val="00FC0825"/>
    <w:rsid w:val="00FC25E4"/>
    <w:rsid w:val="00FC40CC"/>
    <w:rsid w:val="00FC4EF7"/>
    <w:rsid w:val="00FD24F4"/>
    <w:rsid w:val="00FD561B"/>
    <w:rsid w:val="00FD791C"/>
    <w:rsid w:val="00FE0CE6"/>
    <w:rsid w:val="00FE1DEE"/>
    <w:rsid w:val="00FE25A7"/>
    <w:rsid w:val="00FF2126"/>
    <w:rsid w:val="00FF403E"/>
    <w:rsid w:val="00FF5755"/>
    <w:rsid w:val="00FF5F8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3387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Salutation" w:uiPriority="0"/>
    <w:lsdException w:name="Date" w:semiHidden="0" w:unhideWhenUsed="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88695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ind w:left="360"/>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0"/>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aliases w:val="Car"/>
    <w:basedOn w:val="Normal"/>
    <w:link w:val="FootnoteTex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aliases w:val="Car Char"/>
    <w:basedOn w:val="DefaultParagraphFont"/>
    <w:link w:val="FootnoteText"/>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2"/>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numbering" w:customStyle="1" w:styleId="NoList3">
    <w:name w:val="No List3"/>
    <w:next w:val="NoList"/>
    <w:uiPriority w:val="99"/>
    <w:semiHidden/>
    <w:unhideWhenUsed/>
    <w:rsid w:val="007D66D9"/>
  </w:style>
  <w:style w:type="table" w:customStyle="1" w:styleId="TableGrid7">
    <w:name w:val="Table Grid7"/>
    <w:basedOn w:val="TableNormal"/>
    <w:next w:val="TableGrid"/>
    <w:rsid w:val="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0">
    <w:name w:val="Table normal"/>
    <w:basedOn w:val="Normal"/>
    <w:rsid w:val="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eastAsia="Times New Roman"/>
      <w:kern w:val="16"/>
      <w:sz w:val="20"/>
      <w:szCs w:val="20"/>
      <w:lang w:eastAsia="en-AU"/>
    </w:rPr>
  </w:style>
  <w:style w:type="paragraph" w:customStyle="1" w:styleId="TabletextrowsAgency">
    <w:name w:val="Table text rows (Agency)"/>
    <w:basedOn w:val="Normal"/>
    <w:qFormat/>
    <w:rsid w:val="00645A13"/>
    <w:pPr>
      <w:spacing w:before="0" w:after="0" w:line="280" w:lineRule="exact"/>
    </w:pPr>
    <w:rPr>
      <w:rFonts w:ascii="Verdana" w:eastAsia="Times New Roman" w:hAnsi="Verdana"/>
      <w:sz w:val="18"/>
      <w:szCs w:val="18"/>
      <w:lang w:val="en-GB" w:eastAsia="en-GB"/>
    </w:rPr>
  </w:style>
  <w:style w:type="paragraph" w:styleId="Salutation">
    <w:name w:val="Salutation"/>
    <w:basedOn w:val="Normal"/>
    <w:next w:val="Normal"/>
    <w:link w:val="SalutationChar"/>
    <w:semiHidden/>
    <w:rsid w:val="008D7DFD"/>
    <w:pPr>
      <w:spacing w:before="0" w:after="0" w:line="240" w:lineRule="auto"/>
    </w:pPr>
    <w:rPr>
      <w:rFonts w:ascii="Verdana" w:eastAsia="SimSun" w:hAnsi="Verdana"/>
      <w:sz w:val="18"/>
      <w:szCs w:val="18"/>
      <w:lang w:val="en-GB" w:eastAsia="en-GB"/>
    </w:rPr>
  </w:style>
  <w:style w:type="character" w:customStyle="1" w:styleId="SalutationChar">
    <w:name w:val="Salutation Char"/>
    <w:basedOn w:val="DefaultParagraphFont"/>
    <w:link w:val="Salutation"/>
    <w:semiHidden/>
    <w:rsid w:val="008D7DFD"/>
    <w:rPr>
      <w:rFonts w:ascii="Verdana" w:eastAsia="SimSun" w:hAnsi="Verdana" w:cs="Times New Roman"/>
      <w:sz w:val="18"/>
      <w:szCs w:val="18"/>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Salutation" w:uiPriority="0"/>
    <w:lsdException w:name="Date" w:semiHidden="0" w:unhideWhenUsed="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88695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ind w:left="360"/>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0"/>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aliases w:val="Car"/>
    <w:basedOn w:val="Normal"/>
    <w:link w:val="FootnoteTex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aliases w:val="Car Char"/>
    <w:basedOn w:val="DefaultParagraphFont"/>
    <w:link w:val="FootnoteText"/>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2"/>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numbering" w:customStyle="1" w:styleId="NoList3">
    <w:name w:val="No List3"/>
    <w:next w:val="NoList"/>
    <w:uiPriority w:val="99"/>
    <w:semiHidden/>
    <w:unhideWhenUsed/>
    <w:rsid w:val="007D66D9"/>
  </w:style>
  <w:style w:type="table" w:customStyle="1" w:styleId="TableGrid7">
    <w:name w:val="Table Grid7"/>
    <w:basedOn w:val="TableNormal"/>
    <w:next w:val="TableGrid"/>
    <w:rsid w:val="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rmal0">
    <w:name w:val="Table normal"/>
    <w:basedOn w:val="Normal"/>
    <w:rsid w:val="007D6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rPr>
      <w:rFonts w:eastAsia="Times New Roman"/>
      <w:kern w:val="16"/>
      <w:sz w:val="20"/>
      <w:szCs w:val="20"/>
      <w:lang w:eastAsia="en-AU"/>
    </w:rPr>
  </w:style>
  <w:style w:type="paragraph" w:customStyle="1" w:styleId="TabletextrowsAgency">
    <w:name w:val="Table text rows (Agency)"/>
    <w:basedOn w:val="Normal"/>
    <w:qFormat/>
    <w:rsid w:val="00645A13"/>
    <w:pPr>
      <w:spacing w:before="0" w:after="0" w:line="280" w:lineRule="exact"/>
    </w:pPr>
    <w:rPr>
      <w:rFonts w:ascii="Verdana" w:eastAsia="Times New Roman" w:hAnsi="Verdana"/>
      <w:sz w:val="18"/>
      <w:szCs w:val="18"/>
      <w:lang w:val="en-GB" w:eastAsia="en-GB"/>
    </w:rPr>
  </w:style>
  <w:style w:type="paragraph" w:styleId="Salutation">
    <w:name w:val="Salutation"/>
    <w:basedOn w:val="Normal"/>
    <w:next w:val="Normal"/>
    <w:link w:val="SalutationChar"/>
    <w:semiHidden/>
    <w:rsid w:val="008D7DFD"/>
    <w:pPr>
      <w:spacing w:before="0" w:after="0" w:line="240" w:lineRule="auto"/>
    </w:pPr>
    <w:rPr>
      <w:rFonts w:ascii="Verdana" w:eastAsia="SimSun" w:hAnsi="Verdana"/>
      <w:sz w:val="18"/>
      <w:szCs w:val="18"/>
      <w:lang w:val="en-GB" w:eastAsia="en-GB"/>
    </w:rPr>
  </w:style>
  <w:style w:type="character" w:customStyle="1" w:styleId="SalutationChar">
    <w:name w:val="Salutation Char"/>
    <w:basedOn w:val="DefaultParagraphFont"/>
    <w:link w:val="Salutation"/>
    <w:semiHidden/>
    <w:rsid w:val="008D7DFD"/>
    <w:rPr>
      <w:rFonts w:ascii="Verdana" w:eastAsia="SimSun" w:hAnsi="Verdana"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emf"/><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image" Target="media/image93.png"/><Relationship Id="rId11" Type="http://schemas.openxmlformats.org/officeDocument/2006/relationships/hyperlink" Target="mailto:tga.copyright@tga.gov.au"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footer" Target="footer4.xml"/><Relationship Id="rId128" Type="http://schemas.openxmlformats.org/officeDocument/2006/relationships/header" Target="header5.xm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hyperlink" Target="mailto:info@tga.gov.au" TargetMode="External"/><Relationship Id="rId134" Type="http://schemas.openxmlformats.org/officeDocument/2006/relationships/glossaryDocument" Target="glossary/document.xml"/><Relationship Id="rId139"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header" Target="header4.xml"/><Relationship Id="rId129"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footer" Target="footer7.xml"/><Relationship Id="rId14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hyperlink" Target="https://www.tga.gov.au" TargetMode="External"/><Relationship Id="rId10" Type="http://schemas.openxmlformats.org/officeDocument/2006/relationships/hyperlink" Target="https://www.tga.gov.au/product-information-pi"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header" Target="header3.xml"/><Relationship Id="rId130" Type="http://schemas.openxmlformats.org/officeDocument/2006/relationships/footer" Target="footer6.xm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header" Target="header7.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08E44FD2-3F85-4AFB-A0CD-9CD104742263}"/>
      </w:docPartPr>
      <w:docPartBody>
        <w:p w:rsidR="005C587F" w:rsidRDefault="00A82851">
          <w:r w:rsidRPr="00354045">
            <w:rPr>
              <w:rStyle w:val="PlaceholderText"/>
            </w:rPr>
            <w:t>Click here to enter text.</w:t>
          </w:r>
        </w:p>
      </w:docPartBody>
    </w:docPart>
    <w:docPart>
      <w:docPartPr>
        <w:name w:val="E46D3D8A3284483EA7D7D150AAF27E26"/>
        <w:category>
          <w:name w:val="General"/>
          <w:gallery w:val="placeholder"/>
        </w:category>
        <w:types>
          <w:type w:val="bbPlcHdr"/>
        </w:types>
        <w:behaviors>
          <w:behavior w:val="content"/>
        </w:behaviors>
        <w:guid w:val="{3EC424B7-A119-4F38-8BA0-BAC649FA048E}"/>
      </w:docPartPr>
      <w:docPartBody>
        <w:p w:rsidR="000E2EED" w:rsidRDefault="002125CB" w:rsidP="002125CB">
          <w:pPr>
            <w:pStyle w:val="E46D3D8A3284483EA7D7D150AAF27E26"/>
          </w:pPr>
          <w:r w:rsidRPr="0035404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39E"/>
    <w:rsid w:val="00057F85"/>
    <w:rsid w:val="000E0150"/>
    <w:rsid w:val="000E2EED"/>
    <w:rsid w:val="0012546E"/>
    <w:rsid w:val="00134DEB"/>
    <w:rsid w:val="00173899"/>
    <w:rsid w:val="001C507B"/>
    <w:rsid w:val="001D4503"/>
    <w:rsid w:val="002125CB"/>
    <w:rsid w:val="00227F2E"/>
    <w:rsid w:val="002526A9"/>
    <w:rsid w:val="00263271"/>
    <w:rsid w:val="002A1B2E"/>
    <w:rsid w:val="002D5509"/>
    <w:rsid w:val="002E0C3D"/>
    <w:rsid w:val="00373CA6"/>
    <w:rsid w:val="003B376D"/>
    <w:rsid w:val="003C6526"/>
    <w:rsid w:val="003D6723"/>
    <w:rsid w:val="003F6DA8"/>
    <w:rsid w:val="00410FA6"/>
    <w:rsid w:val="00413AEF"/>
    <w:rsid w:val="00424C9C"/>
    <w:rsid w:val="0047218C"/>
    <w:rsid w:val="005C139E"/>
    <w:rsid w:val="005C587F"/>
    <w:rsid w:val="005D023F"/>
    <w:rsid w:val="006152E9"/>
    <w:rsid w:val="0066091F"/>
    <w:rsid w:val="00683AD6"/>
    <w:rsid w:val="006A0654"/>
    <w:rsid w:val="006D1591"/>
    <w:rsid w:val="00770156"/>
    <w:rsid w:val="007A139B"/>
    <w:rsid w:val="007A75E6"/>
    <w:rsid w:val="008231A8"/>
    <w:rsid w:val="00843E2E"/>
    <w:rsid w:val="0084628C"/>
    <w:rsid w:val="008568B3"/>
    <w:rsid w:val="008640BD"/>
    <w:rsid w:val="008A6506"/>
    <w:rsid w:val="008A7488"/>
    <w:rsid w:val="00915175"/>
    <w:rsid w:val="00924360"/>
    <w:rsid w:val="00963B20"/>
    <w:rsid w:val="00971883"/>
    <w:rsid w:val="0098454C"/>
    <w:rsid w:val="009C7BE8"/>
    <w:rsid w:val="00A41F50"/>
    <w:rsid w:val="00A53898"/>
    <w:rsid w:val="00A82851"/>
    <w:rsid w:val="00AB01C4"/>
    <w:rsid w:val="00B62BC8"/>
    <w:rsid w:val="00B7079D"/>
    <w:rsid w:val="00B8364D"/>
    <w:rsid w:val="00B94F88"/>
    <w:rsid w:val="00BA2BFA"/>
    <w:rsid w:val="00C57C10"/>
    <w:rsid w:val="00CA621B"/>
    <w:rsid w:val="00CB31F0"/>
    <w:rsid w:val="00CC1689"/>
    <w:rsid w:val="00CC3228"/>
    <w:rsid w:val="00CE42E8"/>
    <w:rsid w:val="00D45CF2"/>
    <w:rsid w:val="00DC4B91"/>
    <w:rsid w:val="00DD0910"/>
    <w:rsid w:val="00DD6573"/>
    <w:rsid w:val="00E04F34"/>
    <w:rsid w:val="00E158EF"/>
    <w:rsid w:val="00E460F5"/>
    <w:rsid w:val="00E57D58"/>
    <w:rsid w:val="00EA30AA"/>
    <w:rsid w:val="00ED2823"/>
    <w:rsid w:val="00EF6A77"/>
    <w:rsid w:val="00F23513"/>
    <w:rsid w:val="00F704EC"/>
    <w:rsid w:val="00FA43F9"/>
    <w:rsid w:val="00FC611B"/>
    <w:rsid w:val="00FD3B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25CB"/>
    <w:rPr>
      <w:color w:val="808080"/>
    </w:rPr>
  </w:style>
  <w:style w:type="paragraph" w:customStyle="1" w:styleId="14433F89A5C34F348B04C5B5C841CB29">
    <w:name w:val="14433F89A5C34F348B04C5B5C841CB29"/>
    <w:rsid w:val="00CB31F0"/>
  </w:style>
  <w:style w:type="paragraph" w:customStyle="1" w:styleId="0F738DA738034AC0AADCD0321D1DA057">
    <w:name w:val="0F738DA738034AC0AADCD0321D1DA057"/>
    <w:rsid w:val="00CB31F0"/>
  </w:style>
  <w:style w:type="paragraph" w:customStyle="1" w:styleId="804EA0F24ADF4118A04EB660FA7749F7">
    <w:name w:val="804EA0F24ADF4118A04EB660FA7749F7"/>
    <w:rsid w:val="00A41F50"/>
  </w:style>
  <w:style w:type="paragraph" w:customStyle="1" w:styleId="542D6A69274A4B3ABB80CFDEC4BC663C">
    <w:name w:val="542D6A69274A4B3ABB80CFDEC4BC663C"/>
    <w:rsid w:val="00A41F50"/>
  </w:style>
  <w:style w:type="paragraph" w:customStyle="1" w:styleId="21FB7BAA7CE44F2DB3BD4776644AF157">
    <w:name w:val="21FB7BAA7CE44F2DB3BD4776644AF157"/>
    <w:rsid w:val="00A53898"/>
  </w:style>
  <w:style w:type="paragraph" w:customStyle="1" w:styleId="38B1045B8F174FF1AF4DE19A3C05FD8F">
    <w:name w:val="38B1045B8F174FF1AF4DE19A3C05FD8F"/>
    <w:rsid w:val="00A53898"/>
  </w:style>
  <w:style w:type="paragraph" w:customStyle="1" w:styleId="54749CFDAE9B4080BC17EBC7169BDBE7">
    <w:name w:val="54749CFDAE9B4080BC17EBC7169BDBE7"/>
    <w:rsid w:val="00A53898"/>
  </w:style>
  <w:style w:type="paragraph" w:customStyle="1" w:styleId="C5F91D26740D49CD86EF39E36AE0F8CD">
    <w:name w:val="C5F91D26740D49CD86EF39E36AE0F8CD"/>
    <w:rsid w:val="00A53898"/>
  </w:style>
  <w:style w:type="paragraph" w:customStyle="1" w:styleId="A386D8C30AC34F4BB0F488554B123E01">
    <w:name w:val="A386D8C30AC34F4BB0F488554B123E01"/>
    <w:rsid w:val="00A53898"/>
  </w:style>
  <w:style w:type="paragraph" w:customStyle="1" w:styleId="4EDF44F55178403B8F9C6C48F91E43B4">
    <w:name w:val="4EDF44F55178403B8F9C6C48F91E43B4"/>
    <w:rsid w:val="00A53898"/>
  </w:style>
  <w:style w:type="paragraph" w:customStyle="1" w:styleId="E6C8C11CCB2543B78693D43B2B75E186">
    <w:name w:val="E6C8C11CCB2543B78693D43B2B75E186"/>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
    <w:name w:val="5E29D3E92B8945D8A6BB17EAEA05C410"/>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1">
    <w:name w:val="E6C8C11CCB2543B78693D43B2B75E1861"/>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1">
    <w:name w:val="5E29D3E92B8945D8A6BB17EAEA05C4101"/>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2">
    <w:name w:val="E6C8C11CCB2543B78693D43B2B75E1862"/>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2">
    <w:name w:val="5E29D3E92B8945D8A6BB17EAEA05C4102"/>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525D259D87234EEA89442E5A6FD87CBB">
    <w:name w:val="525D259D87234EEA89442E5A6FD87CBB"/>
    <w:rsid w:val="0047218C"/>
  </w:style>
  <w:style w:type="paragraph" w:customStyle="1" w:styleId="E76A2053F41B4BE6A676BFB848F89EAF">
    <w:name w:val="E76A2053F41B4BE6A676BFB848F89EAF"/>
    <w:rsid w:val="0047218C"/>
  </w:style>
  <w:style w:type="paragraph" w:customStyle="1" w:styleId="E6C8C11CCB2543B78693D43B2B75E1863">
    <w:name w:val="E6C8C11CCB2543B78693D43B2B75E1863"/>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3">
    <w:name w:val="5E29D3E92B8945D8A6BB17EAEA05C4103"/>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4">
    <w:name w:val="E6C8C11CCB2543B78693D43B2B75E1864"/>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4">
    <w:name w:val="5E29D3E92B8945D8A6BB17EAEA05C4104"/>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F891860D3DD74B81A16F8E51F690CB33">
    <w:name w:val="F891860D3DD74B81A16F8E51F690CB33"/>
    <w:rsid w:val="006D1591"/>
  </w:style>
  <w:style w:type="paragraph" w:customStyle="1" w:styleId="5FF21BE52F3A47D18AE03948BC5C7BE4">
    <w:name w:val="5FF21BE52F3A47D18AE03948BC5C7BE4"/>
    <w:rsid w:val="006D1591"/>
  </w:style>
  <w:style w:type="paragraph" w:customStyle="1" w:styleId="E62B274F0D064E35BD8B1A09FBA485CC">
    <w:name w:val="E62B274F0D064E35BD8B1A09FBA485CC"/>
    <w:rsid w:val="006D1591"/>
    <w:pPr>
      <w:spacing w:before="120" w:after="120" w:line="240" w:lineRule="atLeast"/>
    </w:pPr>
    <w:rPr>
      <w:rFonts w:ascii="Cambria" w:eastAsia="Cambria" w:hAnsi="Cambria" w:cs="Times New Roman"/>
      <w:lang w:eastAsia="en-US"/>
    </w:rPr>
  </w:style>
  <w:style w:type="paragraph" w:customStyle="1" w:styleId="077A4C770F514A4A81AE8E7819B5D2D4">
    <w:name w:val="077A4C770F514A4A81AE8E7819B5D2D4"/>
    <w:rsid w:val="006D1591"/>
    <w:pPr>
      <w:spacing w:before="120" w:after="120" w:line="240" w:lineRule="atLeast"/>
    </w:pPr>
    <w:rPr>
      <w:rFonts w:ascii="Cambria" w:eastAsia="Cambria" w:hAnsi="Cambria" w:cs="Times New Roman"/>
      <w:lang w:eastAsia="en-US"/>
    </w:rPr>
  </w:style>
  <w:style w:type="paragraph" w:customStyle="1" w:styleId="7514AF28639F4569A56C5A1606ABF3E1">
    <w:name w:val="7514AF28639F4569A56C5A1606ABF3E1"/>
    <w:rsid w:val="006D1591"/>
    <w:pPr>
      <w:spacing w:before="120" w:after="120" w:line="240" w:lineRule="atLeast"/>
    </w:pPr>
    <w:rPr>
      <w:rFonts w:ascii="Cambria" w:eastAsia="Cambria" w:hAnsi="Cambria" w:cs="Times New Roman"/>
      <w:lang w:eastAsia="en-US"/>
    </w:rPr>
  </w:style>
  <w:style w:type="paragraph" w:customStyle="1" w:styleId="7685AA53BBBB4DE4B49A1F242A56CE5C">
    <w:name w:val="7685AA53BBBB4DE4B49A1F242A56CE5C"/>
    <w:rsid w:val="006D1591"/>
    <w:pPr>
      <w:spacing w:before="120" w:after="120" w:line="240" w:lineRule="atLeast"/>
    </w:pPr>
    <w:rPr>
      <w:rFonts w:ascii="Cambria" w:eastAsia="Cambria" w:hAnsi="Cambria" w:cs="Times New Roman"/>
      <w:lang w:eastAsia="en-US"/>
    </w:rPr>
  </w:style>
  <w:style w:type="paragraph" w:customStyle="1" w:styleId="2D50F20B764646549A0B1ACB97E1C51A">
    <w:name w:val="2D50F20B764646549A0B1ACB97E1C51A"/>
    <w:rsid w:val="006D1591"/>
    <w:pPr>
      <w:spacing w:before="120" w:after="120" w:line="240" w:lineRule="atLeast"/>
    </w:pPr>
    <w:rPr>
      <w:rFonts w:ascii="Cambria" w:eastAsia="Cambria" w:hAnsi="Cambria" w:cs="Times New Roman"/>
      <w:lang w:eastAsia="en-US"/>
    </w:rPr>
  </w:style>
  <w:style w:type="paragraph" w:customStyle="1" w:styleId="E62B274F0D064E35BD8B1A09FBA485CC1">
    <w:name w:val="E62B274F0D064E35BD8B1A09FBA485CC1"/>
    <w:rsid w:val="00134DEB"/>
    <w:pPr>
      <w:spacing w:before="120" w:after="120" w:line="240" w:lineRule="atLeast"/>
    </w:pPr>
    <w:rPr>
      <w:rFonts w:ascii="Cambria" w:eastAsia="Cambria" w:hAnsi="Cambria" w:cs="Times New Roman"/>
      <w:lang w:eastAsia="en-US"/>
    </w:rPr>
  </w:style>
  <w:style w:type="paragraph" w:customStyle="1" w:styleId="077A4C770F514A4A81AE8E7819B5D2D41">
    <w:name w:val="077A4C770F514A4A81AE8E7819B5D2D41"/>
    <w:rsid w:val="00134DEB"/>
    <w:pPr>
      <w:spacing w:before="120" w:after="120" w:line="240" w:lineRule="atLeast"/>
    </w:pPr>
    <w:rPr>
      <w:rFonts w:ascii="Cambria" w:eastAsia="Cambria" w:hAnsi="Cambria" w:cs="Times New Roman"/>
      <w:lang w:eastAsia="en-US"/>
    </w:rPr>
  </w:style>
  <w:style w:type="paragraph" w:customStyle="1" w:styleId="7514AF28639F4569A56C5A1606ABF3E11">
    <w:name w:val="7514AF28639F4569A56C5A1606ABF3E11"/>
    <w:rsid w:val="00134DEB"/>
    <w:pPr>
      <w:spacing w:before="120" w:after="120" w:line="240" w:lineRule="atLeast"/>
    </w:pPr>
    <w:rPr>
      <w:rFonts w:ascii="Cambria" w:eastAsia="Cambria" w:hAnsi="Cambria" w:cs="Times New Roman"/>
      <w:lang w:eastAsia="en-US"/>
    </w:rPr>
  </w:style>
  <w:style w:type="paragraph" w:customStyle="1" w:styleId="732825C80B274E4EA6FFF719709F70E8">
    <w:name w:val="732825C80B274E4EA6FFF719709F70E8"/>
    <w:rsid w:val="00134DEB"/>
    <w:pPr>
      <w:spacing w:before="120" w:after="120" w:line="240" w:lineRule="atLeast"/>
    </w:pPr>
    <w:rPr>
      <w:rFonts w:ascii="Cambria" w:eastAsia="Cambria" w:hAnsi="Cambria" w:cs="Times New Roman"/>
      <w:lang w:eastAsia="en-US"/>
    </w:rPr>
  </w:style>
  <w:style w:type="paragraph" w:customStyle="1" w:styleId="30E7C838701E4DE7B377BBC8E34F43FD">
    <w:name w:val="30E7C838701E4DE7B377BBC8E34F43FD"/>
    <w:rsid w:val="00134DEB"/>
    <w:pPr>
      <w:spacing w:before="120" w:after="120" w:line="240" w:lineRule="atLeast"/>
    </w:pPr>
    <w:rPr>
      <w:rFonts w:ascii="Cambria" w:eastAsia="Cambria" w:hAnsi="Cambria" w:cs="Times New Roman"/>
      <w:lang w:eastAsia="en-US"/>
    </w:rPr>
  </w:style>
  <w:style w:type="paragraph" w:customStyle="1" w:styleId="E62B274F0D064E35BD8B1A09FBA485CC2">
    <w:name w:val="E62B274F0D064E35BD8B1A09FBA485CC2"/>
    <w:rsid w:val="00134DEB"/>
    <w:pPr>
      <w:spacing w:before="120" w:after="120" w:line="240" w:lineRule="atLeast"/>
    </w:pPr>
    <w:rPr>
      <w:rFonts w:ascii="Cambria" w:eastAsia="Cambria" w:hAnsi="Cambria" w:cs="Times New Roman"/>
      <w:lang w:eastAsia="en-US"/>
    </w:rPr>
  </w:style>
  <w:style w:type="paragraph" w:customStyle="1" w:styleId="077A4C770F514A4A81AE8E7819B5D2D42">
    <w:name w:val="077A4C770F514A4A81AE8E7819B5D2D42"/>
    <w:rsid w:val="00134DEB"/>
    <w:pPr>
      <w:spacing w:before="120" w:after="120" w:line="240" w:lineRule="atLeast"/>
    </w:pPr>
    <w:rPr>
      <w:rFonts w:ascii="Cambria" w:eastAsia="Cambria" w:hAnsi="Cambria" w:cs="Times New Roman"/>
      <w:lang w:eastAsia="en-US"/>
    </w:rPr>
  </w:style>
  <w:style w:type="paragraph" w:customStyle="1" w:styleId="7514AF28639F4569A56C5A1606ABF3E12">
    <w:name w:val="7514AF28639F4569A56C5A1606ABF3E12"/>
    <w:rsid w:val="00134DEB"/>
    <w:pPr>
      <w:spacing w:before="120" w:after="120" w:line="240" w:lineRule="atLeast"/>
    </w:pPr>
    <w:rPr>
      <w:rFonts w:ascii="Cambria" w:eastAsia="Cambria" w:hAnsi="Cambria" w:cs="Times New Roman"/>
      <w:lang w:eastAsia="en-US"/>
    </w:rPr>
  </w:style>
  <w:style w:type="paragraph" w:customStyle="1" w:styleId="732825C80B274E4EA6FFF719709F70E81">
    <w:name w:val="732825C80B274E4EA6FFF719709F70E81"/>
    <w:rsid w:val="00134DEB"/>
    <w:pPr>
      <w:spacing w:before="120" w:after="120" w:line="240" w:lineRule="atLeast"/>
    </w:pPr>
    <w:rPr>
      <w:rFonts w:ascii="Cambria" w:eastAsia="Cambria" w:hAnsi="Cambria" w:cs="Times New Roman"/>
      <w:lang w:eastAsia="en-US"/>
    </w:rPr>
  </w:style>
  <w:style w:type="paragraph" w:customStyle="1" w:styleId="30E7C838701E4DE7B377BBC8E34F43FD1">
    <w:name w:val="30E7C838701E4DE7B377BBC8E34F43FD1"/>
    <w:rsid w:val="00134DEB"/>
    <w:pPr>
      <w:spacing w:before="120" w:after="120" w:line="240" w:lineRule="atLeast"/>
    </w:pPr>
    <w:rPr>
      <w:rFonts w:ascii="Cambria" w:eastAsia="Cambria" w:hAnsi="Cambria" w:cs="Times New Roman"/>
      <w:lang w:eastAsia="en-US"/>
    </w:rPr>
  </w:style>
  <w:style w:type="paragraph" w:customStyle="1" w:styleId="E62B274F0D064E35BD8B1A09FBA485CC3">
    <w:name w:val="E62B274F0D064E35BD8B1A09FBA485CC3"/>
    <w:rsid w:val="00134DEB"/>
    <w:pPr>
      <w:spacing w:before="120" w:after="120" w:line="240" w:lineRule="atLeast"/>
    </w:pPr>
    <w:rPr>
      <w:rFonts w:ascii="Cambria" w:eastAsia="Cambria" w:hAnsi="Cambria" w:cs="Times New Roman"/>
      <w:lang w:eastAsia="en-US"/>
    </w:rPr>
  </w:style>
  <w:style w:type="paragraph" w:customStyle="1" w:styleId="077A4C770F514A4A81AE8E7819B5D2D43">
    <w:name w:val="077A4C770F514A4A81AE8E7819B5D2D43"/>
    <w:rsid w:val="00134DEB"/>
    <w:pPr>
      <w:spacing w:before="120" w:after="120" w:line="240" w:lineRule="atLeast"/>
    </w:pPr>
    <w:rPr>
      <w:rFonts w:ascii="Cambria" w:eastAsia="Cambria" w:hAnsi="Cambria" w:cs="Times New Roman"/>
      <w:lang w:eastAsia="en-US"/>
    </w:rPr>
  </w:style>
  <w:style w:type="paragraph" w:customStyle="1" w:styleId="7514AF28639F4569A56C5A1606ABF3E13">
    <w:name w:val="7514AF28639F4569A56C5A1606ABF3E13"/>
    <w:rsid w:val="00134DEB"/>
    <w:pPr>
      <w:spacing w:before="120" w:after="120" w:line="240" w:lineRule="atLeast"/>
    </w:pPr>
    <w:rPr>
      <w:rFonts w:ascii="Cambria" w:eastAsia="Cambria" w:hAnsi="Cambria" w:cs="Times New Roman"/>
      <w:lang w:eastAsia="en-US"/>
    </w:rPr>
  </w:style>
  <w:style w:type="paragraph" w:customStyle="1" w:styleId="732825C80B274E4EA6FFF719709F70E82">
    <w:name w:val="732825C80B274E4EA6FFF719709F70E82"/>
    <w:rsid w:val="00134DEB"/>
    <w:pPr>
      <w:spacing w:before="120" w:after="120" w:line="240" w:lineRule="atLeast"/>
    </w:pPr>
    <w:rPr>
      <w:rFonts w:ascii="Cambria" w:eastAsia="Cambria" w:hAnsi="Cambria" w:cs="Times New Roman"/>
      <w:lang w:eastAsia="en-US"/>
    </w:rPr>
  </w:style>
  <w:style w:type="paragraph" w:customStyle="1" w:styleId="30E7C838701E4DE7B377BBC8E34F43FD2">
    <w:name w:val="30E7C838701E4DE7B377BBC8E34F43FD2"/>
    <w:rsid w:val="00134DEB"/>
    <w:pPr>
      <w:spacing w:before="120" w:after="120" w:line="240" w:lineRule="atLeast"/>
    </w:pPr>
    <w:rPr>
      <w:rFonts w:ascii="Cambria" w:eastAsia="Cambria" w:hAnsi="Cambria" w:cs="Times New Roman"/>
      <w:lang w:eastAsia="en-US"/>
    </w:rPr>
  </w:style>
  <w:style w:type="paragraph" w:customStyle="1" w:styleId="719FFE2680A24A55A5B25EDDD121048D">
    <w:name w:val="719FFE2680A24A55A5B25EDDD121048D"/>
    <w:rsid w:val="00134DEB"/>
    <w:pPr>
      <w:spacing w:before="120" w:after="120" w:line="240" w:lineRule="atLeast"/>
    </w:pPr>
    <w:rPr>
      <w:rFonts w:ascii="Cambria" w:eastAsia="Cambria" w:hAnsi="Cambria" w:cs="Times New Roman"/>
      <w:lang w:eastAsia="en-US"/>
    </w:rPr>
  </w:style>
  <w:style w:type="paragraph" w:customStyle="1" w:styleId="E62B274F0D064E35BD8B1A09FBA485CC4">
    <w:name w:val="E62B274F0D064E35BD8B1A09FBA485CC4"/>
    <w:rsid w:val="00134DEB"/>
    <w:pPr>
      <w:spacing w:before="120" w:after="120" w:line="240" w:lineRule="atLeast"/>
    </w:pPr>
    <w:rPr>
      <w:rFonts w:ascii="Cambria" w:eastAsia="Cambria" w:hAnsi="Cambria" w:cs="Times New Roman"/>
      <w:lang w:eastAsia="en-US"/>
    </w:rPr>
  </w:style>
  <w:style w:type="paragraph" w:customStyle="1" w:styleId="077A4C770F514A4A81AE8E7819B5D2D44">
    <w:name w:val="077A4C770F514A4A81AE8E7819B5D2D44"/>
    <w:rsid w:val="00134DEB"/>
    <w:pPr>
      <w:spacing w:before="120" w:after="120" w:line="240" w:lineRule="atLeast"/>
    </w:pPr>
    <w:rPr>
      <w:rFonts w:ascii="Cambria" w:eastAsia="Cambria" w:hAnsi="Cambria" w:cs="Times New Roman"/>
      <w:lang w:eastAsia="en-US"/>
    </w:rPr>
  </w:style>
  <w:style w:type="paragraph" w:customStyle="1" w:styleId="7514AF28639F4569A56C5A1606ABF3E14">
    <w:name w:val="7514AF28639F4569A56C5A1606ABF3E14"/>
    <w:rsid w:val="00134DEB"/>
    <w:pPr>
      <w:spacing w:before="120" w:after="120" w:line="240" w:lineRule="atLeast"/>
    </w:pPr>
    <w:rPr>
      <w:rFonts w:ascii="Cambria" w:eastAsia="Cambria" w:hAnsi="Cambria" w:cs="Times New Roman"/>
      <w:lang w:eastAsia="en-US"/>
    </w:rPr>
  </w:style>
  <w:style w:type="paragraph" w:customStyle="1" w:styleId="E04E094735C24B1BB1480FB223A8036C">
    <w:name w:val="E04E094735C24B1BB1480FB223A8036C"/>
    <w:rsid w:val="00134DEB"/>
    <w:pPr>
      <w:spacing w:before="120" w:after="120" w:line="240" w:lineRule="atLeast"/>
    </w:pPr>
    <w:rPr>
      <w:rFonts w:ascii="Cambria" w:eastAsia="Cambria" w:hAnsi="Cambria" w:cs="Times New Roman"/>
      <w:lang w:eastAsia="en-US"/>
    </w:rPr>
  </w:style>
  <w:style w:type="paragraph" w:customStyle="1" w:styleId="30E7C838701E4DE7B377BBC8E34F43FD3">
    <w:name w:val="30E7C838701E4DE7B377BBC8E34F43FD3"/>
    <w:rsid w:val="00134DEB"/>
    <w:pPr>
      <w:spacing w:before="120" w:after="120" w:line="240" w:lineRule="atLeast"/>
    </w:pPr>
    <w:rPr>
      <w:rFonts w:ascii="Cambria" w:eastAsia="Cambria" w:hAnsi="Cambria" w:cs="Times New Roman"/>
      <w:lang w:eastAsia="en-US"/>
    </w:rPr>
  </w:style>
  <w:style w:type="paragraph" w:customStyle="1" w:styleId="7B42F230B7784FC3A02EE64B8D492DF7">
    <w:name w:val="7B42F230B7784FC3A02EE64B8D492DF7"/>
    <w:rsid w:val="00134DEB"/>
    <w:pPr>
      <w:spacing w:before="120" w:after="120" w:line="240" w:lineRule="atLeast"/>
    </w:pPr>
    <w:rPr>
      <w:rFonts w:ascii="Cambria" w:eastAsia="Cambria" w:hAnsi="Cambria" w:cs="Times New Roman"/>
      <w:lang w:eastAsia="en-US"/>
    </w:rPr>
  </w:style>
  <w:style w:type="paragraph" w:customStyle="1" w:styleId="025AB1B4731D4655BFBFD667C5D5ACD7">
    <w:name w:val="025AB1B4731D4655BFBFD667C5D5ACD7"/>
    <w:rsid w:val="00134DEB"/>
    <w:pPr>
      <w:spacing w:before="120" w:after="120" w:line="240" w:lineRule="atLeast"/>
    </w:pPr>
    <w:rPr>
      <w:rFonts w:ascii="Cambria" w:eastAsia="Cambria" w:hAnsi="Cambria" w:cs="Times New Roman"/>
      <w:lang w:eastAsia="en-US"/>
    </w:rPr>
  </w:style>
  <w:style w:type="paragraph" w:customStyle="1" w:styleId="3C3629B07DBA40169BC96DA83C9EF467">
    <w:name w:val="3C3629B07DBA40169BC96DA83C9EF467"/>
    <w:rsid w:val="00263271"/>
    <w:pPr>
      <w:spacing w:before="120" w:after="120" w:line="240" w:lineRule="atLeast"/>
    </w:pPr>
    <w:rPr>
      <w:rFonts w:ascii="Cambria" w:eastAsia="Cambria" w:hAnsi="Cambria" w:cs="Times New Roman"/>
      <w:lang w:eastAsia="en-US"/>
    </w:rPr>
  </w:style>
  <w:style w:type="paragraph" w:customStyle="1" w:styleId="78821F7374D54F7487E9CBED277A79BE">
    <w:name w:val="78821F7374D54F7487E9CBED277A79BE"/>
    <w:rsid w:val="00263271"/>
    <w:pPr>
      <w:spacing w:before="120" w:after="120" w:line="240" w:lineRule="atLeast"/>
    </w:pPr>
    <w:rPr>
      <w:rFonts w:ascii="Cambria" w:eastAsia="Cambria" w:hAnsi="Cambria" w:cs="Times New Roman"/>
      <w:lang w:eastAsia="en-US"/>
    </w:rPr>
  </w:style>
  <w:style w:type="paragraph" w:customStyle="1" w:styleId="7A878CCB07E44CF99A33DA9317CD47CE">
    <w:name w:val="7A878CCB07E44CF99A33DA9317CD47CE"/>
    <w:rsid w:val="00263271"/>
    <w:pPr>
      <w:spacing w:before="120" w:after="120" w:line="240" w:lineRule="atLeast"/>
    </w:pPr>
    <w:rPr>
      <w:rFonts w:ascii="Cambria" w:eastAsia="Cambria" w:hAnsi="Cambria" w:cs="Times New Roman"/>
      <w:lang w:eastAsia="en-US"/>
    </w:rPr>
  </w:style>
  <w:style w:type="paragraph" w:customStyle="1" w:styleId="990C03ADF1DB4EB8AC40EF148AF10AC4">
    <w:name w:val="990C03ADF1DB4EB8AC40EF148AF10AC4"/>
    <w:rsid w:val="00263271"/>
    <w:pPr>
      <w:spacing w:before="120" w:after="120" w:line="240" w:lineRule="atLeast"/>
    </w:pPr>
    <w:rPr>
      <w:rFonts w:ascii="Cambria" w:eastAsia="Cambria" w:hAnsi="Cambria" w:cs="Times New Roman"/>
      <w:lang w:eastAsia="en-US"/>
    </w:rPr>
  </w:style>
  <w:style w:type="paragraph" w:customStyle="1" w:styleId="CCAA710370D0489EA425E3A781386A7C">
    <w:name w:val="CCAA710370D0489EA425E3A781386A7C"/>
    <w:rsid w:val="00263271"/>
    <w:pPr>
      <w:spacing w:before="120" w:after="120" w:line="240" w:lineRule="atLeast"/>
    </w:pPr>
    <w:rPr>
      <w:rFonts w:ascii="Cambria" w:eastAsia="Cambria" w:hAnsi="Cambria" w:cs="Times New Roman"/>
      <w:lang w:eastAsia="en-US"/>
    </w:rPr>
  </w:style>
  <w:style w:type="paragraph" w:customStyle="1" w:styleId="6AC4E2EF0D6D41EB94628D72C3AEBEFC">
    <w:name w:val="6AC4E2EF0D6D41EB94628D72C3AEBEFC"/>
    <w:rsid w:val="00263271"/>
    <w:pPr>
      <w:spacing w:before="120" w:after="120" w:line="240" w:lineRule="atLeast"/>
    </w:pPr>
    <w:rPr>
      <w:rFonts w:ascii="Cambria" w:eastAsia="Cambria" w:hAnsi="Cambria" w:cs="Times New Roman"/>
      <w:lang w:eastAsia="en-US"/>
    </w:rPr>
  </w:style>
  <w:style w:type="paragraph" w:customStyle="1" w:styleId="0FF6F07DB5134847A06299B7B46A7B29">
    <w:name w:val="0FF6F07DB5134847A06299B7B46A7B29"/>
    <w:rsid w:val="00263271"/>
    <w:pPr>
      <w:spacing w:before="120" w:after="120" w:line="240" w:lineRule="atLeast"/>
    </w:pPr>
    <w:rPr>
      <w:rFonts w:ascii="Cambria" w:eastAsia="Cambria" w:hAnsi="Cambria" w:cs="Times New Roman"/>
      <w:lang w:eastAsia="en-US"/>
    </w:rPr>
  </w:style>
  <w:style w:type="paragraph" w:customStyle="1" w:styleId="16BE63745F284825B3A2C0DD10CD769B">
    <w:name w:val="16BE63745F284825B3A2C0DD10CD769B"/>
    <w:rsid w:val="00263271"/>
    <w:pPr>
      <w:spacing w:before="120" w:after="120" w:line="240" w:lineRule="atLeast"/>
    </w:pPr>
    <w:rPr>
      <w:rFonts w:ascii="Cambria" w:eastAsia="Cambria" w:hAnsi="Cambria" w:cs="Times New Roman"/>
      <w:lang w:eastAsia="en-US"/>
    </w:rPr>
  </w:style>
  <w:style w:type="paragraph" w:customStyle="1" w:styleId="4EF90CC51977495288CA7890EC97BC3B">
    <w:name w:val="4EF90CC51977495288CA7890EC97BC3B"/>
    <w:rsid w:val="00263271"/>
    <w:pPr>
      <w:spacing w:before="120" w:after="120" w:line="240" w:lineRule="atLeast"/>
    </w:pPr>
    <w:rPr>
      <w:rFonts w:ascii="Cambria" w:eastAsia="Cambria" w:hAnsi="Cambria" w:cs="Times New Roman"/>
      <w:lang w:eastAsia="en-US"/>
    </w:rPr>
  </w:style>
  <w:style w:type="paragraph" w:customStyle="1" w:styleId="126C3A1C0B474A9AA11BDEF8ACEC8829">
    <w:name w:val="126C3A1C0B474A9AA11BDEF8ACEC8829"/>
    <w:rsid w:val="00263271"/>
    <w:pPr>
      <w:spacing w:before="120" w:after="120" w:line="240" w:lineRule="atLeast"/>
    </w:pPr>
    <w:rPr>
      <w:rFonts w:ascii="Cambria" w:eastAsia="Cambria" w:hAnsi="Cambria" w:cs="Times New Roman"/>
      <w:lang w:eastAsia="en-US"/>
    </w:rPr>
  </w:style>
  <w:style w:type="paragraph" w:customStyle="1" w:styleId="CB8BEA899EA347EEA25AA34F3DC3C89B">
    <w:name w:val="CB8BEA899EA347EEA25AA34F3DC3C89B"/>
    <w:rsid w:val="00263271"/>
    <w:pPr>
      <w:spacing w:before="120" w:after="120" w:line="240" w:lineRule="atLeast"/>
    </w:pPr>
    <w:rPr>
      <w:rFonts w:ascii="Cambria" w:eastAsia="Cambria" w:hAnsi="Cambria" w:cs="Times New Roman"/>
      <w:lang w:eastAsia="en-US"/>
    </w:rPr>
  </w:style>
  <w:style w:type="paragraph" w:customStyle="1" w:styleId="B76BD1B9CB474FFF809F7464EB1B0D97">
    <w:name w:val="B76BD1B9CB474FFF809F7464EB1B0D97"/>
    <w:rsid w:val="00263271"/>
    <w:pPr>
      <w:spacing w:before="120" w:after="120" w:line="240" w:lineRule="atLeast"/>
    </w:pPr>
    <w:rPr>
      <w:rFonts w:ascii="Cambria" w:eastAsia="Cambria" w:hAnsi="Cambria" w:cs="Times New Roman"/>
      <w:lang w:eastAsia="en-US"/>
    </w:rPr>
  </w:style>
  <w:style w:type="paragraph" w:customStyle="1" w:styleId="92712EE4A9004A5D821F94E2166AE213">
    <w:name w:val="92712EE4A9004A5D821F94E2166AE213"/>
    <w:rsid w:val="00263271"/>
    <w:pPr>
      <w:spacing w:before="120" w:after="120" w:line="240" w:lineRule="atLeast"/>
    </w:pPr>
    <w:rPr>
      <w:rFonts w:ascii="Cambria" w:eastAsia="Cambria" w:hAnsi="Cambria" w:cs="Times New Roman"/>
      <w:lang w:eastAsia="en-US"/>
    </w:rPr>
  </w:style>
  <w:style w:type="paragraph" w:customStyle="1" w:styleId="17D6681FC0074332A302FDA330FACAFC">
    <w:name w:val="17D6681FC0074332A302FDA330FACAFC"/>
    <w:rsid w:val="00263271"/>
    <w:pPr>
      <w:spacing w:before="120" w:after="120" w:line="240" w:lineRule="atLeast"/>
    </w:pPr>
    <w:rPr>
      <w:rFonts w:ascii="Cambria" w:eastAsia="Cambria" w:hAnsi="Cambria" w:cs="Times New Roman"/>
      <w:lang w:eastAsia="en-US"/>
    </w:rPr>
  </w:style>
  <w:style w:type="paragraph" w:customStyle="1" w:styleId="2E94DC8EB36E45418F9DC389C4F80336">
    <w:name w:val="2E94DC8EB36E45418F9DC389C4F80336"/>
    <w:rsid w:val="00263271"/>
    <w:pPr>
      <w:spacing w:before="120" w:after="120" w:line="240" w:lineRule="atLeast"/>
    </w:pPr>
    <w:rPr>
      <w:rFonts w:ascii="Cambria" w:eastAsia="Cambria" w:hAnsi="Cambria" w:cs="Times New Roman"/>
      <w:lang w:eastAsia="en-US"/>
    </w:rPr>
  </w:style>
  <w:style w:type="paragraph" w:customStyle="1" w:styleId="6C2C2009D15D4EAC815494D35C00BAC6">
    <w:name w:val="6C2C2009D15D4EAC815494D35C00BAC6"/>
    <w:rsid w:val="00263271"/>
    <w:pPr>
      <w:spacing w:before="120" w:after="120" w:line="240" w:lineRule="atLeast"/>
    </w:pPr>
    <w:rPr>
      <w:rFonts w:ascii="Cambria" w:eastAsia="Cambria" w:hAnsi="Cambria" w:cs="Times New Roman"/>
      <w:lang w:eastAsia="en-US"/>
    </w:rPr>
  </w:style>
  <w:style w:type="paragraph" w:customStyle="1" w:styleId="978719A944C14C28AEBC5F40741CA400">
    <w:name w:val="978719A944C14C28AEBC5F40741CA400"/>
    <w:rsid w:val="00263271"/>
    <w:pPr>
      <w:spacing w:before="120" w:after="120" w:line="240" w:lineRule="atLeast"/>
    </w:pPr>
    <w:rPr>
      <w:rFonts w:ascii="Cambria" w:eastAsia="Cambria" w:hAnsi="Cambria" w:cs="Times New Roman"/>
      <w:lang w:eastAsia="en-US"/>
    </w:rPr>
  </w:style>
  <w:style w:type="paragraph" w:customStyle="1" w:styleId="1521E5EB32A34C049256A205A6D8BD06">
    <w:name w:val="1521E5EB32A34C049256A205A6D8BD06"/>
    <w:rsid w:val="00263271"/>
  </w:style>
  <w:style w:type="paragraph" w:customStyle="1" w:styleId="3C3629B07DBA40169BC96DA83C9EF4671">
    <w:name w:val="3C3629B07DBA40169BC96DA83C9EF4671"/>
    <w:rsid w:val="001C507B"/>
    <w:pPr>
      <w:spacing w:before="120" w:after="120" w:line="240" w:lineRule="atLeast"/>
    </w:pPr>
    <w:rPr>
      <w:rFonts w:ascii="Cambria" w:eastAsia="Cambria" w:hAnsi="Cambria" w:cs="Times New Roman"/>
      <w:lang w:eastAsia="en-US"/>
    </w:rPr>
  </w:style>
  <w:style w:type="paragraph" w:customStyle="1" w:styleId="78821F7374D54F7487E9CBED277A79BE1">
    <w:name w:val="78821F7374D54F7487E9CBED277A79BE1"/>
    <w:rsid w:val="001C507B"/>
    <w:pPr>
      <w:spacing w:before="120" w:after="120" w:line="240" w:lineRule="atLeast"/>
    </w:pPr>
    <w:rPr>
      <w:rFonts w:ascii="Cambria" w:eastAsia="Cambria" w:hAnsi="Cambria" w:cs="Times New Roman"/>
      <w:lang w:eastAsia="en-US"/>
    </w:rPr>
  </w:style>
  <w:style w:type="paragraph" w:customStyle="1" w:styleId="7A878CCB07E44CF99A33DA9317CD47CE1">
    <w:name w:val="7A878CCB07E44CF99A33DA9317CD47CE1"/>
    <w:rsid w:val="001C507B"/>
    <w:pPr>
      <w:spacing w:before="120" w:after="120" w:line="240" w:lineRule="atLeast"/>
    </w:pPr>
    <w:rPr>
      <w:rFonts w:ascii="Cambria" w:eastAsia="Cambria" w:hAnsi="Cambria" w:cs="Times New Roman"/>
      <w:lang w:eastAsia="en-US"/>
    </w:rPr>
  </w:style>
  <w:style w:type="paragraph" w:customStyle="1" w:styleId="990C03ADF1DB4EB8AC40EF148AF10AC41">
    <w:name w:val="990C03ADF1DB4EB8AC40EF148AF10AC41"/>
    <w:rsid w:val="001C507B"/>
    <w:pPr>
      <w:spacing w:before="120" w:after="120" w:line="240" w:lineRule="atLeast"/>
    </w:pPr>
    <w:rPr>
      <w:rFonts w:ascii="Cambria" w:eastAsia="Cambria" w:hAnsi="Cambria" w:cs="Times New Roman"/>
      <w:lang w:eastAsia="en-US"/>
    </w:rPr>
  </w:style>
  <w:style w:type="paragraph" w:customStyle="1" w:styleId="CCAA710370D0489EA425E3A781386A7C1">
    <w:name w:val="CCAA710370D0489EA425E3A781386A7C1"/>
    <w:rsid w:val="001C507B"/>
    <w:pPr>
      <w:spacing w:before="120" w:after="120" w:line="240" w:lineRule="atLeast"/>
    </w:pPr>
    <w:rPr>
      <w:rFonts w:ascii="Cambria" w:eastAsia="Cambria" w:hAnsi="Cambria" w:cs="Times New Roman"/>
      <w:lang w:eastAsia="en-US"/>
    </w:rPr>
  </w:style>
  <w:style w:type="paragraph" w:customStyle="1" w:styleId="6AC4E2EF0D6D41EB94628D72C3AEBEFC1">
    <w:name w:val="6AC4E2EF0D6D41EB94628D72C3AEBEFC1"/>
    <w:rsid w:val="001C507B"/>
    <w:pPr>
      <w:spacing w:before="120" w:after="120" w:line="240" w:lineRule="atLeast"/>
    </w:pPr>
    <w:rPr>
      <w:rFonts w:ascii="Cambria" w:eastAsia="Cambria" w:hAnsi="Cambria" w:cs="Times New Roman"/>
      <w:lang w:eastAsia="en-US"/>
    </w:rPr>
  </w:style>
  <w:style w:type="paragraph" w:customStyle="1" w:styleId="0FF6F07DB5134847A06299B7B46A7B291">
    <w:name w:val="0FF6F07DB5134847A06299B7B46A7B291"/>
    <w:rsid w:val="001C507B"/>
    <w:pPr>
      <w:spacing w:before="120" w:after="120" w:line="240" w:lineRule="atLeast"/>
    </w:pPr>
    <w:rPr>
      <w:rFonts w:ascii="Cambria" w:eastAsia="Cambria" w:hAnsi="Cambria" w:cs="Times New Roman"/>
      <w:lang w:eastAsia="en-US"/>
    </w:rPr>
  </w:style>
  <w:style w:type="paragraph" w:customStyle="1" w:styleId="16BE63745F284825B3A2C0DD10CD769B1">
    <w:name w:val="16BE63745F284825B3A2C0DD10CD769B1"/>
    <w:rsid w:val="001C507B"/>
    <w:pPr>
      <w:spacing w:before="120" w:after="120" w:line="240" w:lineRule="atLeast"/>
    </w:pPr>
    <w:rPr>
      <w:rFonts w:ascii="Cambria" w:eastAsia="Cambria" w:hAnsi="Cambria" w:cs="Times New Roman"/>
      <w:lang w:eastAsia="en-US"/>
    </w:rPr>
  </w:style>
  <w:style w:type="paragraph" w:customStyle="1" w:styleId="4EF90CC51977495288CA7890EC97BC3B1">
    <w:name w:val="4EF90CC51977495288CA7890EC97BC3B1"/>
    <w:rsid w:val="001C507B"/>
    <w:pPr>
      <w:spacing w:before="120" w:after="120" w:line="240" w:lineRule="atLeast"/>
    </w:pPr>
    <w:rPr>
      <w:rFonts w:ascii="Cambria" w:eastAsia="Cambria" w:hAnsi="Cambria" w:cs="Times New Roman"/>
      <w:lang w:eastAsia="en-US"/>
    </w:rPr>
  </w:style>
  <w:style w:type="paragraph" w:customStyle="1" w:styleId="126C3A1C0B474A9AA11BDEF8ACEC88291">
    <w:name w:val="126C3A1C0B474A9AA11BDEF8ACEC88291"/>
    <w:rsid w:val="001C507B"/>
    <w:pPr>
      <w:spacing w:before="120" w:after="120" w:line="240" w:lineRule="atLeast"/>
    </w:pPr>
    <w:rPr>
      <w:rFonts w:ascii="Cambria" w:eastAsia="Cambria" w:hAnsi="Cambria" w:cs="Times New Roman"/>
      <w:lang w:eastAsia="en-US"/>
    </w:rPr>
  </w:style>
  <w:style w:type="paragraph" w:customStyle="1" w:styleId="CB8BEA899EA347EEA25AA34F3DC3C89B1">
    <w:name w:val="CB8BEA899EA347EEA25AA34F3DC3C89B1"/>
    <w:rsid w:val="001C507B"/>
    <w:pPr>
      <w:spacing w:before="120" w:after="120" w:line="240" w:lineRule="atLeast"/>
    </w:pPr>
    <w:rPr>
      <w:rFonts w:ascii="Cambria" w:eastAsia="Cambria" w:hAnsi="Cambria" w:cs="Times New Roman"/>
      <w:lang w:eastAsia="en-US"/>
    </w:rPr>
  </w:style>
  <w:style w:type="paragraph" w:customStyle="1" w:styleId="B76BD1B9CB474FFF809F7464EB1B0D971">
    <w:name w:val="B76BD1B9CB474FFF809F7464EB1B0D971"/>
    <w:rsid w:val="001C507B"/>
    <w:pPr>
      <w:spacing w:before="120" w:after="120" w:line="240" w:lineRule="atLeast"/>
    </w:pPr>
    <w:rPr>
      <w:rFonts w:ascii="Cambria" w:eastAsia="Cambria" w:hAnsi="Cambria" w:cs="Times New Roman"/>
      <w:lang w:eastAsia="en-US"/>
    </w:rPr>
  </w:style>
  <w:style w:type="paragraph" w:customStyle="1" w:styleId="92712EE4A9004A5D821F94E2166AE2131">
    <w:name w:val="92712EE4A9004A5D821F94E2166AE2131"/>
    <w:rsid w:val="001C507B"/>
    <w:pPr>
      <w:spacing w:before="120" w:after="120" w:line="240" w:lineRule="atLeast"/>
    </w:pPr>
    <w:rPr>
      <w:rFonts w:ascii="Cambria" w:eastAsia="Cambria" w:hAnsi="Cambria" w:cs="Times New Roman"/>
      <w:lang w:eastAsia="en-US"/>
    </w:rPr>
  </w:style>
  <w:style w:type="paragraph" w:customStyle="1" w:styleId="17D6681FC0074332A302FDA330FACAFC1">
    <w:name w:val="17D6681FC0074332A302FDA330FACAFC1"/>
    <w:rsid w:val="001C507B"/>
    <w:pPr>
      <w:spacing w:before="120" w:after="120" w:line="240" w:lineRule="atLeast"/>
    </w:pPr>
    <w:rPr>
      <w:rFonts w:ascii="Cambria" w:eastAsia="Cambria" w:hAnsi="Cambria" w:cs="Times New Roman"/>
      <w:lang w:eastAsia="en-US"/>
    </w:rPr>
  </w:style>
  <w:style w:type="paragraph" w:customStyle="1" w:styleId="2E94DC8EB36E45418F9DC389C4F803361">
    <w:name w:val="2E94DC8EB36E45418F9DC389C4F803361"/>
    <w:rsid w:val="001C507B"/>
    <w:pPr>
      <w:spacing w:before="120" w:after="120" w:line="240" w:lineRule="atLeast"/>
    </w:pPr>
    <w:rPr>
      <w:rFonts w:ascii="Cambria" w:eastAsia="Cambria" w:hAnsi="Cambria" w:cs="Times New Roman"/>
      <w:lang w:eastAsia="en-US"/>
    </w:rPr>
  </w:style>
  <w:style w:type="paragraph" w:customStyle="1" w:styleId="6C2C2009D15D4EAC815494D35C00BAC61">
    <w:name w:val="6C2C2009D15D4EAC815494D35C00BAC61"/>
    <w:rsid w:val="001C507B"/>
    <w:pPr>
      <w:spacing w:before="120" w:after="120" w:line="240" w:lineRule="atLeast"/>
    </w:pPr>
    <w:rPr>
      <w:rFonts w:ascii="Cambria" w:eastAsia="Cambria" w:hAnsi="Cambria" w:cs="Times New Roman"/>
      <w:lang w:eastAsia="en-US"/>
    </w:rPr>
  </w:style>
  <w:style w:type="paragraph" w:customStyle="1" w:styleId="978719A944C14C28AEBC5F40741CA4001">
    <w:name w:val="978719A944C14C28AEBC5F40741CA4001"/>
    <w:rsid w:val="001C507B"/>
    <w:pPr>
      <w:spacing w:before="120" w:after="120" w:line="240" w:lineRule="atLeast"/>
    </w:pPr>
    <w:rPr>
      <w:rFonts w:ascii="Cambria" w:eastAsia="Cambria" w:hAnsi="Cambria" w:cs="Times New Roman"/>
      <w:lang w:eastAsia="en-US"/>
    </w:rPr>
  </w:style>
  <w:style w:type="paragraph" w:customStyle="1" w:styleId="22EA63F487694385A75C7424818F0223">
    <w:name w:val="22EA63F487694385A75C7424818F0223"/>
    <w:rsid w:val="00924360"/>
  </w:style>
  <w:style w:type="paragraph" w:customStyle="1" w:styleId="BB06A19A39994678A43EE5CDAA5F7759">
    <w:name w:val="BB06A19A39994678A43EE5CDAA5F7759"/>
    <w:rsid w:val="006152E9"/>
  </w:style>
  <w:style w:type="paragraph" w:customStyle="1" w:styleId="E46D3D8A3284483EA7D7D150AAF27E26">
    <w:name w:val="E46D3D8A3284483EA7D7D150AAF27E26"/>
    <w:rsid w:val="002125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25CB"/>
    <w:rPr>
      <w:color w:val="808080"/>
    </w:rPr>
  </w:style>
  <w:style w:type="paragraph" w:customStyle="1" w:styleId="14433F89A5C34F348B04C5B5C841CB29">
    <w:name w:val="14433F89A5C34F348B04C5B5C841CB29"/>
    <w:rsid w:val="00CB31F0"/>
  </w:style>
  <w:style w:type="paragraph" w:customStyle="1" w:styleId="0F738DA738034AC0AADCD0321D1DA057">
    <w:name w:val="0F738DA738034AC0AADCD0321D1DA057"/>
    <w:rsid w:val="00CB31F0"/>
  </w:style>
  <w:style w:type="paragraph" w:customStyle="1" w:styleId="804EA0F24ADF4118A04EB660FA7749F7">
    <w:name w:val="804EA0F24ADF4118A04EB660FA7749F7"/>
    <w:rsid w:val="00A41F50"/>
  </w:style>
  <w:style w:type="paragraph" w:customStyle="1" w:styleId="542D6A69274A4B3ABB80CFDEC4BC663C">
    <w:name w:val="542D6A69274A4B3ABB80CFDEC4BC663C"/>
    <w:rsid w:val="00A41F50"/>
  </w:style>
  <w:style w:type="paragraph" w:customStyle="1" w:styleId="21FB7BAA7CE44F2DB3BD4776644AF157">
    <w:name w:val="21FB7BAA7CE44F2DB3BD4776644AF157"/>
    <w:rsid w:val="00A53898"/>
  </w:style>
  <w:style w:type="paragraph" w:customStyle="1" w:styleId="38B1045B8F174FF1AF4DE19A3C05FD8F">
    <w:name w:val="38B1045B8F174FF1AF4DE19A3C05FD8F"/>
    <w:rsid w:val="00A53898"/>
  </w:style>
  <w:style w:type="paragraph" w:customStyle="1" w:styleId="54749CFDAE9B4080BC17EBC7169BDBE7">
    <w:name w:val="54749CFDAE9B4080BC17EBC7169BDBE7"/>
    <w:rsid w:val="00A53898"/>
  </w:style>
  <w:style w:type="paragraph" w:customStyle="1" w:styleId="C5F91D26740D49CD86EF39E36AE0F8CD">
    <w:name w:val="C5F91D26740D49CD86EF39E36AE0F8CD"/>
    <w:rsid w:val="00A53898"/>
  </w:style>
  <w:style w:type="paragraph" w:customStyle="1" w:styleId="A386D8C30AC34F4BB0F488554B123E01">
    <w:name w:val="A386D8C30AC34F4BB0F488554B123E01"/>
    <w:rsid w:val="00A53898"/>
  </w:style>
  <w:style w:type="paragraph" w:customStyle="1" w:styleId="4EDF44F55178403B8F9C6C48F91E43B4">
    <w:name w:val="4EDF44F55178403B8F9C6C48F91E43B4"/>
    <w:rsid w:val="00A53898"/>
  </w:style>
  <w:style w:type="paragraph" w:customStyle="1" w:styleId="E6C8C11CCB2543B78693D43B2B75E186">
    <w:name w:val="E6C8C11CCB2543B78693D43B2B75E186"/>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
    <w:name w:val="5E29D3E92B8945D8A6BB17EAEA05C410"/>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1">
    <w:name w:val="E6C8C11CCB2543B78693D43B2B75E1861"/>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1">
    <w:name w:val="5E29D3E92B8945D8A6BB17EAEA05C4101"/>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2">
    <w:name w:val="E6C8C11CCB2543B78693D43B2B75E1862"/>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2">
    <w:name w:val="5E29D3E92B8945D8A6BB17EAEA05C4102"/>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525D259D87234EEA89442E5A6FD87CBB">
    <w:name w:val="525D259D87234EEA89442E5A6FD87CBB"/>
    <w:rsid w:val="0047218C"/>
  </w:style>
  <w:style w:type="paragraph" w:customStyle="1" w:styleId="E76A2053F41B4BE6A676BFB848F89EAF">
    <w:name w:val="E76A2053F41B4BE6A676BFB848F89EAF"/>
    <w:rsid w:val="0047218C"/>
  </w:style>
  <w:style w:type="paragraph" w:customStyle="1" w:styleId="E6C8C11CCB2543B78693D43B2B75E1863">
    <w:name w:val="E6C8C11CCB2543B78693D43B2B75E1863"/>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3">
    <w:name w:val="5E29D3E92B8945D8A6BB17EAEA05C4103"/>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4">
    <w:name w:val="E6C8C11CCB2543B78693D43B2B75E1864"/>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4">
    <w:name w:val="5E29D3E92B8945D8A6BB17EAEA05C4104"/>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F891860D3DD74B81A16F8E51F690CB33">
    <w:name w:val="F891860D3DD74B81A16F8E51F690CB33"/>
    <w:rsid w:val="006D1591"/>
  </w:style>
  <w:style w:type="paragraph" w:customStyle="1" w:styleId="5FF21BE52F3A47D18AE03948BC5C7BE4">
    <w:name w:val="5FF21BE52F3A47D18AE03948BC5C7BE4"/>
    <w:rsid w:val="006D1591"/>
  </w:style>
  <w:style w:type="paragraph" w:customStyle="1" w:styleId="E62B274F0D064E35BD8B1A09FBA485CC">
    <w:name w:val="E62B274F0D064E35BD8B1A09FBA485CC"/>
    <w:rsid w:val="006D1591"/>
    <w:pPr>
      <w:spacing w:before="120" w:after="120" w:line="240" w:lineRule="atLeast"/>
    </w:pPr>
    <w:rPr>
      <w:rFonts w:ascii="Cambria" w:eastAsia="Cambria" w:hAnsi="Cambria" w:cs="Times New Roman"/>
      <w:lang w:eastAsia="en-US"/>
    </w:rPr>
  </w:style>
  <w:style w:type="paragraph" w:customStyle="1" w:styleId="077A4C770F514A4A81AE8E7819B5D2D4">
    <w:name w:val="077A4C770F514A4A81AE8E7819B5D2D4"/>
    <w:rsid w:val="006D1591"/>
    <w:pPr>
      <w:spacing w:before="120" w:after="120" w:line="240" w:lineRule="atLeast"/>
    </w:pPr>
    <w:rPr>
      <w:rFonts w:ascii="Cambria" w:eastAsia="Cambria" w:hAnsi="Cambria" w:cs="Times New Roman"/>
      <w:lang w:eastAsia="en-US"/>
    </w:rPr>
  </w:style>
  <w:style w:type="paragraph" w:customStyle="1" w:styleId="7514AF28639F4569A56C5A1606ABF3E1">
    <w:name w:val="7514AF28639F4569A56C5A1606ABF3E1"/>
    <w:rsid w:val="006D1591"/>
    <w:pPr>
      <w:spacing w:before="120" w:after="120" w:line="240" w:lineRule="atLeast"/>
    </w:pPr>
    <w:rPr>
      <w:rFonts w:ascii="Cambria" w:eastAsia="Cambria" w:hAnsi="Cambria" w:cs="Times New Roman"/>
      <w:lang w:eastAsia="en-US"/>
    </w:rPr>
  </w:style>
  <w:style w:type="paragraph" w:customStyle="1" w:styleId="7685AA53BBBB4DE4B49A1F242A56CE5C">
    <w:name w:val="7685AA53BBBB4DE4B49A1F242A56CE5C"/>
    <w:rsid w:val="006D1591"/>
    <w:pPr>
      <w:spacing w:before="120" w:after="120" w:line="240" w:lineRule="atLeast"/>
    </w:pPr>
    <w:rPr>
      <w:rFonts w:ascii="Cambria" w:eastAsia="Cambria" w:hAnsi="Cambria" w:cs="Times New Roman"/>
      <w:lang w:eastAsia="en-US"/>
    </w:rPr>
  </w:style>
  <w:style w:type="paragraph" w:customStyle="1" w:styleId="2D50F20B764646549A0B1ACB97E1C51A">
    <w:name w:val="2D50F20B764646549A0B1ACB97E1C51A"/>
    <w:rsid w:val="006D1591"/>
    <w:pPr>
      <w:spacing w:before="120" w:after="120" w:line="240" w:lineRule="atLeast"/>
    </w:pPr>
    <w:rPr>
      <w:rFonts w:ascii="Cambria" w:eastAsia="Cambria" w:hAnsi="Cambria" w:cs="Times New Roman"/>
      <w:lang w:eastAsia="en-US"/>
    </w:rPr>
  </w:style>
  <w:style w:type="paragraph" w:customStyle="1" w:styleId="E62B274F0D064E35BD8B1A09FBA485CC1">
    <w:name w:val="E62B274F0D064E35BD8B1A09FBA485CC1"/>
    <w:rsid w:val="00134DEB"/>
    <w:pPr>
      <w:spacing w:before="120" w:after="120" w:line="240" w:lineRule="atLeast"/>
    </w:pPr>
    <w:rPr>
      <w:rFonts w:ascii="Cambria" w:eastAsia="Cambria" w:hAnsi="Cambria" w:cs="Times New Roman"/>
      <w:lang w:eastAsia="en-US"/>
    </w:rPr>
  </w:style>
  <w:style w:type="paragraph" w:customStyle="1" w:styleId="077A4C770F514A4A81AE8E7819B5D2D41">
    <w:name w:val="077A4C770F514A4A81AE8E7819B5D2D41"/>
    <w:rsid w:val="00134DEB"/>
    <w:pPr>
      <w:spacing w:before="120" w:after="120" w:line="240" w:lineRule="atLeast"/>
    </w:pPr>
    <w:rPr>
      <w:rFonts w:ascii="Cambria" w:eastAsia="Cambria" w:hAnsi="Cambria" w:cs="Times New Roman"/>
      <w:lang w:eastAsia="en-US"/>
    </w:rPr>
  </w:style>
  <w:style w:type="paragraph" w:customStyle="1" w:styleId="7514AF28639F4569A56C5A1606ABF3E11">
    <w:name w:val="7514AF28639F4569A56C5A1606ABF3E11"/>
    <w:rsid w:val="00134DEB"/>
    <w:pPr>
      <w:spacing w:before="120" w:after="120" w:line="240" w:lineRule="atLeast"/>
    </w:pPr>
    <w:rPr>
      <w:rFonts w:ascii="Cambria" w:eastAsia="Cambria" w:hAnsi="Cambria" w:cs="Times New Roman"/>
      <w:lang w:eastAsia="en-US"/>
    </w:rPr>
  </w:style>
  <w:style w:type="paragraph" w:customStyle="1" w:styleId="732825C80B274E4EA6FFF719709F70E8">
    <w:name w:val="732825C80B274E4EA6FFF719709F70E8"/>
    <w:rsid w:val="00134DEB"/>
    <w:pPr>
      <w:spacing w:before="120" w:after="120" w:line="240" w:lineRule="atLeast"/>
    </w:pPr>
    <w:rPr>
      <w:rFonts w:ascii="Cambria" w:eastAsia="Cambria" w:hAnsi="Cambria" w:cs="Times New Roman"/>
      <w:lang w:eastAsia="en-US"/>
    </w:rPr>
  </w:style>
  <w:style w:type="paragraph" w:customStyle="1" w:styleId="30E7C838701E4DE7B377BBC8E34F43FD">
    <w:name w:val="30E7C838701E4DE7B377BBC8E34F43FD"/>
    <w:rsid w:val="00134DEB"/>
    <w:pPr>
      <w:spacing w:before="120" w:after="120" w:line="240" w:lineRule="atLeast"/>
    </w:pPr>
    <w:rPr>
      <w:rFonts w:ascii="Cambria" w:eastAsia="Cambria" w:hAnsi="Cambria" w:cs="Times New Roman"/>
      <w:lang w:eastAsia="en-US"/>
    </w:rPr>
  </w:style>
  <w:style w:type="paragraph" w:customStyle="1" w:styleId="E62B274F0D064E35BD8B1A09FBA485CC2">
    <w:name w:val="E62B274F0D064E35BD8B1A09FBA485CC2"/>
    <w:rsid w:val="00134DEB"/>
    <w:pPr>
      <w:spacing w:before="120" w:after="120" w:line="240" w:lineRule="atLeast"/>
    </w:pPr>
    <w:rPr>
      <w:rFonts w:ascii="Cambria" w:eastAsia="Cambria" w:hAnsi="Cambria" w:cs="Times New Roman"/>
      <w:lang w:eastAsia="en-US"/>
    </w:rPr>
  </w:style>
  <w:style w:type="paragraph" w:customStyle="1" w:styleId="077A4C770F514A4A81AE8E7819B5D2D42">
    <w:name w:val="077A4C770F514A4A81AE8E7819B5D2D42"/>
    <w:rsid w:val="00134DEB"/>
    <w:pPr>
      <w:spacing w:before="120" w:after="120" w:line="240" w:lineRule="atLeast"/>
    </w:pPr>
    <w:rPr>
      <w:rFonts w:ascii="Cambria" w:eastAsia="Cambria" w:hAnsi="Cambria" w:cs="Times New Roman"/>
      <w:lang w:eastAsia="en-US"/>
    </w:rPr>
  </w:style>
  <w:style w:type="paragraph" w:customStyle="1" w:styleId="7514AF28639F4569A56C5A1606ABF3E12">
    <w:name w:val="7514AF28639F4569A56C5A1606ABF3E12"/>
    <w:rsid w:val="00134DEB"/>
    <w:pPr>
      <w:spacing w:before="120" w:after="120" w:line="240" w:lineRule="atLeast"/>
    </w:pPr>
    <w:rPr>
      <w:rFonts w:ascii="Cambria" w:eastAsia="Cambria" w:hAnsi="Cambria" w:cs="Times New Roman"/>
      <w:lang w:eastAsia="en-US"/>
    </w:rPr>
  </w:style>
  <w:style w:type="paragraph" w:customStyle="1" w:styleId="732825C80B274E4EA6FFF719709F70E81">
    <w:name w:val="732825C80B274E4EA6FFF719709F70E81"/>
    <w:rsid w:val="00134DEB"/>
    <w:pPr>
      <w:spacing w:before="120" w:after="120" w:line="240" w:lineRule="atLeast"/>
    </w:pPr>
    <w:rPr>
      <w:rFonts w:ascii="Cambria" w:eastAsia="Cambria" w:hAnsi="Cambria" w:cs="Times New Roman"/>
      <w:lang w:eastAsia="en-US"/>
    </w:rPr>
  </w:style>
  <w:style w:type="paragraph" w:customStyle="1" w:styleId="30E7C838701E4DE7B377BBC8E34F43FD1">
    <w:name w:val="30E7C838701E4DE7B377BBC8E34F43FD1"/>
    <w:rsid w:val="00134DEB"/>
    <w:pPr>
      <w:spacing w:before="120" w:after="120" w:line="240" w:lineRule="atLeast"/>
    </w:pPr>
    <w:rPr>
      <w:rFonts w:ascii="Cambria" w:eastAsia="Cambria" w:hAnsi="Cambria" w:cs="Times New Roman"/>
      <w:lang w:eastAsia="en-US"/>
    </w:rPr>
  </w:style>
  <w:style w:type="paragraph" w:customStyle="1" w:styleId="E62B274F0D064E35BD8B1A09FBA485CC3">
    <w:name w:val="E62B274F0D064E35BD8B1A09FBA485CC3"/>
    <w:rsid w:val="00134DEB"/>
    <w:pPr>
      <w:spacing w:before="120" w:after="120" w:line="240" w:lineRule="atLeast"/>
    </w:pPr>
    <w:rPr>
      <w:rFonts w:ascii="Cambria" w:eastAsia="Cambria" w:hAnsi="Cambria" w:cs="Times New Roman"/>
      <w:lang w:eastAsia="en-US"/>
    </w:rPr>
  </w:style>
  <w:style w:type="paragraph" w:customStyle="1" w:styleId="077A4C770F514A4A81AE8E7819B5D2D43">
    <w:name w:val="077A4C770F514A4A81AE8E7819B5D2D43"/>
    <w:rsid w:val="00134DEB"/>
    <w:pPr>
      <w:spacing w:before="120" w:after="120" w:line="240" w:lineRule="atLeast"/>
    </w:pPr>
    <w:rPr>
      <w:rFonts w:ascii="Cambria" w:eastAsia="Cambria" w:hAnsi="Cambria" w:cs="Times New Roman"/>
      <w:lang w:eastAsia="en-US"/>
    </w:rPr>
  </w:style>
  <w:style w:type="paragraph" w:customStyle="1" w:styleId="7514AF28639F4569A56C5A1606ABF3E13">
    <w:name w:val="7514AF28639F4569A56C5A1606ABF3E13"/>
    <w:rsid w:val="00134DEB"/>
    <w:pPr>
      <w:spacing w:before="120" w:after="120" w:line="240" w:lineRule="atLeast"/>
    </w:pPr>
    <w:rPr>
      <w:rFonts w:ascii="Cambria" w:eastAsia="Cambria" w:hAnsi="Cambria" w:cs="Times New Roman"/>
      <w:lang w:eastAsia="en-US"/>
    </w:rPr>
  </w:style>
  <w:style w:type="paragraph" w:customStyle="1" w:styleId="732825C80B274E4EA6FFF719709F70E82">
    <w:name w:val="732825C80B274E4EA6FFF719709F70E82"/>
    <w:rsid w:val="00134DEB"/>
    <w:pPr>
      <w:spacing w:before="120" w:after="120" w:line="240" w:lineRule="atLeast"/>
    </w:pPr>
    <w:rPr>
      <w:rFonts w:ascii="Cambria" w:eastAsia="Cambria" w:hAnsi="Cambria" w:cs="Times New Roman"/>
      <w:lang w:eastAsia="en-US"/>
    </w:rPr>
  </w:style>
  <w:style w:type="paragraph" w:customStyle="1" w:styleId="30E7C838701E4DE7B377BBC8E34F43FD2">
    <w:name w:val="30E7C838701E4DE7B377BBC8E34F43FD2"/>
    <w:rsid w:val="00134DEB"/>
    <w:pPr>
      <w:spacing w:before="120" w:after="120" w:line="240" w:lineRule="atLeast"/>
    </w:pPr>
    <w:rPr>
      <w:rFonts w:ascii="Cambria" w:eastAsia="Cambria" w:hAnsi="Cambria" w:cs="Times New Roman"/>
      <w:lang w:eastAsia="en-US"/>
    </w:rPr>
  </w:style>
  <w:style w:type="paragraph" w:customStyle="1" w:styleId="719FFE2680A24A55A5B25EDDD121048D">
    <w:name w:val="719FFE2680A24A55A5B25EDDD121048D"/>
    <w:rsid w:val="00134DEB"/>
    <w:pPr>
      <w:spacing w:before="120" w:after="120" w:line="240" w:lineRule="atLeast"/>
    </w:pPr>
    <w:rPr>
      <w:rFonts w:ascii="Cambria" w:eastAsia="Cambria" w:hAnsi="Cambria" w:cs="Times New Roman"/>
      <w:lang w:eastAsia="en-US"/>
    </w:rPr>
  </w:style>
  <w:style w:type="paragraph" w:customStyle="1" w:styleId="E62B274F0D064E35BD8B1A09FBA485CC4">
    <w:name w:val="E62B274F0D064E35BD8B1A09FBA485CC4"/>
    <w:rsid w:val="00134DEB"/>
    <w:pPr>
      <w:spacing w:before="120" w:after="120" w:line="240" w:lineRule="atLeast"/>
    </w:pPr>
    <w:rPr>
      <w:rFonts w:ascii="Cambria" w:eastAsia="Cambria" w:hAnsi="Cambria" w:cs="Times New Roman"/>
      <w:lang w:eastAsia="en-US"/>
    </w:rPr>
  </w:style>
  <w:style w:type="paragraph" w:customStyle="1" w:styleId="077A4C770F514A4A81AE8E7819B5D2D44">
    <w:name w:val="077A4C770F514A4A81AE8E7819B5D2D44"/>
    <w:rsid w:val="00134DEB"/>
    <w:pPr>
      <w:spacing w:before="120" w:after="120" w:line="240" w:lineRule="atLeast"/>
    </w:pPr>
    <w:rPr>
      <w:rFonts w:ascii="Cambria" w:eastAsia="Cambria" w:hAnsi="Cambria" w:cs="Times New Roman"/>
      <w:lang w:eastAsia="en-US"/>
    </w:rPr>
  </w:style>
  <w:style w:type="paragraph" w:customStyle="1" w:styleId="7514AF28639F4569A56C5A1606ABF3E14">
    <w:name w:val="7514AF28639F4569A56C5A1606ABF3E14"/>
    <w:rsid w:val="00134DEB"/>
    <w:pPr>
      <w:spacing w:before="120" w:after="120" w:line="240" w:lineRule="atLeast"/>
    </w:pPr>
    <w:rPr>
      <w:rFonts w:ascii="Cambria" w:eastAsia="Cambria" w:hAnsi="Cambria" w:cs="Times New Roman"/>
      <w:lang w:eastAsia="en-US"/>
    </w:rPr>
  </w:style>
  <w:style w:type="paragraph" w:customStyle="1" w:styleId="E04E094735C24B1BB1480FB223A8036C">
    <w:name w:val="E04E094735C24B1BB1480FB223A8036C"/>
    <w:rsid w:val="00134DEB"/>
    <w:pPr>
      <w:spacing w:before="120" w:after="120" w:line="240" w:lineRule="atLeast"/>
    </w:pPr>
    <w:rPr>
      <w:rFonts w:ascii="Cambria" w:eastAsia="Cambria" w:hAnsi="Cambria" w:cs="Times New Roman"/>
      <w:lang w:eastAsia="en-US"/>
    </w:rPr>
  </w:style>
  <w:style w:type="paragraph" w:customStyle="1" w:styleId="30E7C838701E4DE7B377BBC8E34F43FD3">
    <w:name w:val="30E7C838701E4DE7B377BBC8E34F43FD3"/>
    <w:rsid w:val="00134DEB"/>
    <w:pPr>
      <w:spacing w:before="120" w:after="120" w:line="240" w:lineRule="atLeast"/>
    </w:pPr>
    <w:rPr>
      <w:rFonts w:ascii="Cambria" w:eastAsia="Cambria" w:hAnsi="Cambria" w:cs="Times New Roman"/>
      <w:lang w:eastAsia="en-US"/>
    </w:rPr>
  </w:style>
  <w:style w:type="paragraph" w:customStyle="1" w:styleId="7B42F230B7784FC3A02EE64B8D492DF7">
    <w:name w:val="7B42F230B7784FC3A02EE64B8D492DF7"/>
    <w:rsid w:val="00134DEB"/>
    <w:pPr>
      <w:spacing w:before="120" w:after="120" w:line="240" w:lineRule="atLeast"/>
    </w:pPr>
    <w:rPr>
      <w:rFonts w:ascii="Cambria" w:eastAsia="Cambria" w:hAnsi="Cambria" w:cs="Times New Roman"/>
      <w:lang w:eastAsia="en-US"/>
    </w:rPr>
  </w:style>
  <w:style w:type="paragraph" w:customStyle="1" w:styleId="025AB1B4731D4655BFBFD667C5D5ACD7">
    <w:name w:val="025AB1B4731D4655BFBFD667C5D5ACD7"/>
    <w:rsid w:val="00134DEB"/>
    <w:pPr>
      <w:spacing w:before="120" w:after="120" w:line="240" w:lineRule="atLeast"/>
    </w:pPr>
    <w:rPr>
      <w:rFonts w:ascii="Cambria" w:eastAsia="Cambria" w:hAnsi="Cambria" w:cs="Times New Roman"/>
      <w:lang w:eastAsia="en-US"/>
    </w:rPr>
  </w:style>
  <w:style w:type="paragraph" w:customStyle="1" w:styleId="3C3629B07DBA40169BC96DA83C9EF467">
    <w:name w:val="3C3629B07DBA40169BC96DA83C9EF467"/>
    <w:rsid w:val="00263271"/>
    <w:pPr>
      <w:spacing w:before="120" w:after="120" w:line="240" w:lineRule="atLeast"/>
    </w:pPr>
    <w:rPr>
      <w:rFonts w:ascii="Cambria" w:eastAsia="Cambria" w:hAnsi="Cambria" w:cs="Times New Roman"/>
      <w:lang w:eastAsia="en-US"/>
    </w:rPr>
  </w:style>
  <w:style w:type="paragraph" w:customStyle="1" w:styleId="78821F7374D54F7487E9CBED277A79BE">
    <w:name w:val="78821F7374D54F7487E9CBED277A79BE"/>
    <w:rsid w:val="00263271"/>
    <w:pPr>
      <w:spacing w:before="120" w:after="120" w:line="240" w:lineRule="atLeast"/>
    </w:pPr>
    <w:rPr>
      <w:rFonts w:ascii="Cambria" w:eastAsia="Cambria" w:hAnsi="Cambria" w:cs="Times New Roman"/>
      <w:lang w:eastAsia="en-US"/>
    </w:rPr>
  </w:style>
  <w:style w:type="paragraph" w:customStyle="1" w:styleId="7A878CCB07E44CF99A33DA9317CD47CE">
    <w:name w:val="7A878CCB07E44CF99A33DA9317CD47CE"/>
    <w:rsid w:val="00263271"/>
    <w:pPr>
      <w:spacing w:before="120" w:after="120" w:line="240" w:lineRule="atLeast"/>
    </w:pPr>
    <w:rPr>
      <w:rFonts w:ascii="Cambria" w:eastAsia="Cambria" w:hAnsi="Cambria" w:cs="Times New Roman"/>
      <w:lang w:eastAsia="en-US"/>
    </w:rPr>
  </w:style>
  <w:style w:type="paragraph" w:customStyle="1" w:styleId="990C03ADF1DB4EB8AC40EF148AF10AC4">
    <w:name w:val="990C03ADF1DB4EB8AC40EF148AF10AC4"/>
    <w:rsid w:val="00263271"/>
    <w:pPr>
      <w:spacing w:before="120" w:after="120" w:line="240" w:lineRule="atLeast"/>
    </w:pPr>
    <w:rPr>
      <w:rFonts w:ascii="Cambria" w:eastAsia="Cambria" w:hAnsi="Cambria" w:cs="Times New Roman"/>
      <w:lang w:eastAsia="en-US"/>
    </w:rPr>
  </w:style>
  <w:style w:type="paragraph" w:customStyle="1" w:styleId="CCAA710370D0489EA425E3A781386A7C">
    <w:name w:val="CCAA710370D0489EA425E3A781386A7C"/>
    <w:rsid w:val="00263271"/>
    <w:pPr>
      <w:spacing w:before="120" w:after="120" w:line="240" w:lineRule="atLeast"/>
    </w:pPr>
    <w:rPr>
      <w:rFonts w:ascii="Cambria" w:eastAsia="Cambria" w:hAnsi="Cambria" w:cs="Times New Roman"/>
      <w:lang w:eastAsia="en-US"/>
    </w:rPr>
  </w:style>
  <w:style w:type="paragraph" w:customStyle="1" w:styleId="6AC4E2EF0D6D41EB94628D72C3AEBEFC">
    <w:name w:val="6AC4E2EF0D6D41EB94628D72C3AEBEFC"/>
    <w:rsid w:val="00263271"/>
    <w:pPr>
      <w:spacing w:before="120" w:after="120" w:line="240" w:lineRule="atLeast"/>
    </w:pPr>
    <w:rPr>
      <w:rFonts w:ascii="Cambria" w:eastAsia="Cambria" w:hAnsi="Cambria" w:cs="Times New Roman"/>
      <w:lang w:eastAsia="en-US"/>
    </w:rPr>
  </w:style>
  <w:style w:type="paragraph" w:customStyle="1" w:styleId="0FF6F07DB5134847A06299B7B46A7B29">
    <w:name w:val="0FF6F07DB5134847A06299B7B46A7B29"/>
    <w:rsid w:val="00263271"/>
    <w:pPr>
      <w:spacing w:before="120" w:after="120" w:line="240" w:lineRule="atLeast"/>
    </w:pPr>
    <w:rPr>
      <w:rFonts w:ascii="Cambria" w:eastAsia="Cambria" w:hAnsi="Cambria" w:cs="Times New Roman"/>
      <w:lang w:eastAsia="en-US"/>
    </w:rPr>
  </w:style>
  <w:style w:type="paragraph" w:customStyle="1" w:styleId="16BE63745F284825B3A2C0DD10CD769B">
    <w:name w:val="16BE63745F284825B3A2C0DD10CD769B"/>
    <w:rsid w:val="00263271"/>
    <w:pPr>
      <w:spacing w:before="120" w:after="120" w:line="240" w:lineRule="atLeast"/>
    </w:pPr>
    <w:rPr>
      <w:rFonts w:ascii="Cambria" w:eastAsia="Cambria" w:hAnsi="Cambria" w:cs="Times New Roman"/>
      <w:lang w:eastAsia="en-US"/>
    </w:rPr>
  </w:style>
  <w:style w:type="paragraph" w:customStyle="1" w:styleId="4EF90CC51977495288CA7890EC97BC3B">
    <w:name w:val="4EF90CC51977495288CA7890EC97BC3B"/>
    <w:rsid w:val="00263271"/>
    <w:pPr>
      <w:spacing w:before="120" w:after="120" w:line="240" w:lineRule="atLeast"/>
    </w:pPr>
    <w:rPr>
      <w:rFonts w:ascii="Cambria" w:eastAsia="Cambria" w:hAnsi="Cambria" w:cs="Times New Roman"/>
      <w:lang w:eastAsia="en-US"/>
    </w:rPr>
  </w:style>
  <w:style w:type="paragraph" w:customStyle="1" w:styleId="126C3A1C0B474A9AA11BDEF8ACEC8829">
    <w:name w:val="126C3A1C0B474A9AA11BDEF8ACEC8829"/>
    <w:rsid w:val="00263271"/>
    <w:pPr>
      <w:spacing w:before="120" w:after="120" w:line="240" w:lineRule="atLeast"/>
    </w:pPr>
    <w:rPr>
      <w:rFonts w:ascii="Cambria" w:eastAsia="Cambria" w:hAnsi="Cambria" w:cs="Times New Roman"/>
      <w:lang w:eastAsia="en-US"/>
    </w:rPr>
  </w:style>
  <w:style w:type="paragraph" w:customStyle="1" w:styleId="CB8BEA899EA347EEA25AA34F3DC3C89B">
    <w:name w:val="CB8BEA899EA347EEA25AA34F3DC3C89B"/>
    <w:rsid w:val="00263271"/>
    <w:pPr>
      <w:spacing w:before="120" w:after="120" w:line="240" w:lineRule="atLeast"/>
    </w:pPr>
    <w:rPr>
      <w:rFonts w:ascii="Cambria" w:eastAsia="Cambria" w:hAnsi="Cambria" w:cs="Times New Roman"/>
      <w:lang w:eastAsia="en-US"/>
    </w:rPr>
  </w:style>
  <w:style w:type="paragraph" w:customStyle="1" w:styleId="B76BD1B9CB474FFF809F7464EB1B0D97">
    <w:name w:val="B76BD1B9CB474FFF809F7464EB1B0D97"/>
    <w:rsid w:val="00263271"/>
    <w:pPr>
      <w:spacing w:before="120" w:after="120" w:line="240" w:lineRule="atLeast"/>
    </w:pPr>
    <w:rPr>
      <w:rFonts w:ascii="Cambria" w:eastAsia="Cambria" w:hAnsi="Cambria" w:cs="Times New Roman"/>
      <w:lang w:eastAsia="en-US"/>
    </w:rPr>
  </w:style>
  <w:style w:type="paragraph" w:customStyle="1" w:styleId="92712EE4A9004A5D821F94E2166AE213">
    <w:name w:val="92712EE4A9004A5D821F94E2166AE213"/>
    <w:rsid w:val="00263271"/>
    <w:pPr>
      <w:spacing w:before="120" w:after="120" w:line="240" w:lineRule="atLeast"/>
    </w:pPr>
    <w:rPr>
      <w:rFonts w:ascii="Cambria" w:eastAsia="Cambria" w:hAnsi="Cambria" w:cs="Times New Roman"/>
      <w:lang w:eastAsia="en-US"/>
    </w:rPr>
  </w:style>
  <w:style w:type="paragraph" w:customStyle="1" w:styleId="17D6681FC0074332A302FDA330FACAFC">
    <w:name w:val="17D6681FC0074332A302FDA330FACAFC"/>
    <w:rsid w:val="00263271"/>
    <w:pPr>
      <w:spacing w:before="120" w:after="120" w:line="240" w:lineRule="atLeast"/>
    </w:pPr>
    <w:rPr>
      <w:rFonts w:ascii="Cambria" w:eastAsia="Cambria" w:hAnsi="Cambria" w:cs="Times New Roman"/>
      <w:lang w:eastAsia="en-US"/>
    </w:rPr>
  </w:style>
  <w:style w:type="paragraph" w:customStyle="1" w:styleId="2E94DC8EB36E45418F9DC389C4F80336">
    <w:name w:val="2E94DC8EB36E45418F9DC389C4F80336"/>
    <w:rsid w:val="00263271"/>
    <w:pPr>
      <w:spacing w:before="120" w:after="120" w:line="240" w:lineRule="atLeast"/>
    </w:pPr>
    <w:rPr>
      <w:rFonts w:ascii="Cambria" w:eastAsia="Cambria" w:hAnsi="Cambria" w:cs="Times New Roman"/>
      <w:lang w:eastAsia="en-US"/>
    </w:rPr>
  </w:style>
  <w:style w:type="paragraph" w:customStyle="1" w:styleId="6C2C2009D15D4EAC815494D35C00BAC6">
    <w:name w:val="6C2C2009D15D4EAC815494D35C00BAC6"/>
    <w:rsid w:val="00263271"/>
    <w:pPr>
      <w:spacing w:before="120" w:after="120" w:line="240" w:lineRule="atLeast"/>
    </w:pPr>
    <w:rPr>
      <w:rFonts w:ascii="Cambria" w:eastAsia="Cambria" w:hAnsi="Cambria" w:cs="Times New Roman"/>
      <w:lang w:eastAsia="en-US"/>
    </w:rPr>
  </w:style>
  <w:style w:type="paragraph" w:customStyle="1" w:styleId="978719A944C14C28AEBC5F40741CA400">
    <w:name w:val="978719A944C14C28AEBC5F40741CA400"/>
    <w:rsid w:val="00263271"/>
    <w:pPr>
      <w:spacing w:before="120" w:after="120" w:line="240" w:lineRule="atLeast"/>
    </w:pPr>
    <w:rPr>
      <w:rFonts w:ascii="Cambria" w:eastAsia="Cambria" w:hAnsi="Cambria" w:cs="Times New Roman"/>
      <w:lang w:eastAsia="en-US"/>
    </w:rPr>
  </w:style>
  <w:style w:type="paragraph" w:customStyle="1" w:styleId="1521E5EB32A34C049256A205A6D8BD06">
    <w:name w:val="1521E5EB32A34C049256A205A6D8BD06"/>
    <w:rsid w:val="00263271"/>
  </w:style>
  <w:style w:type="paragraph" w:customStyle="1" w:styleId="3C3629B07DBA40169BC96DA83C9EF4671">
    <w:name w:val="3C3629B07DBA40169BC96DA83C9EF4671"/>
    <w:rsid w:val="001C507B"/>
    <w:pPr>
      <w:spacing w:before="120" w:after="120" w:line="240" w:lineRule="atLeast"/>
    </w:pPr>
    <w:rPr>
      <w:rFonts w:ascii="Cambria" w:eastAsia="Cambria" w:hAnsi="Cambria" w:cs="Times New Roman"/>
      <w:lang w:eastAsia="en-US"/>
    </w:rPr>
  </w:style>
  <w:style w:type="paragraph" w:customStyle="1" w:styleId="78821F7374D54F7487E9CBED277A79BE1">
    <w:name w:val="78821F7374D54F7487E9CBED277A79BE1"/>
    <w:rsid w:val="001C507B"/>
    <w:pPr>
      <w:spacing w:before="120" w:after="120" w:line="240" w:lineRule="atLeast"/>
    </w:pPr>
    <w:rPr>
      <w:rFonts w:ascii="Cambria" w:eastAsia="Cambria" w:hAnsi="Cambria" w:cs="Times New Roman"/>
      <w:lang w:eastAsia="en-US"/>
    </w:rPr>
  </w:style>
  <w:style w:type="paragraph" w:customStyle="1" w:styleId="7A878CCB07E44CF99A33DA9317CD47CE1">
    <w:name w:val="7A878CCB07E44CF99A33DA9317CD47CE1"/>
    <w:rsid w:val="001C507B"/>
    <w:pPr>
      <w:spacing w:before="120" w:after="120" w:line="240" w:lineRule="atLeast"/>
    </w:pPr>
    <w:rPr>
      <w:rFonts w:ascii="Cambria" w:eastAsia="Cambria" w:hAnsi="Cambria" w:cs="Times New Roman"/>
      <w:lang w:eastAsia="en-US"/>
    </w:rPr>
  </w:style>
  <w:style w:type="paragraph" w:customStyle="1" w:styleId="990C03ADF1DB4EB8AC40EF148AF10AC41">
    <w:name w:val="990C03ADF1DB4EB8AC40EF148AF10AC41"/>
    <w:rsid w:val="001C507B"/>
    <w:pPr>
      <w:spacing w:before="120" w:after="120" w:line="240" w:lineRule="atLeast"/>
    </w:pPr>
    <w:rPr>
      <w:rFonts w:ascii="Cambria" w:eastAsia="Cambria" w:hAnsi="Cambria" w:cs="Times New Roman"/>
      <w:lang w:eastAsia="en-US"/>
    </w:rPr>
  </w:style>
  <w:style w:type="paragraph" w:customStyle="1" w:styleId="CCAA710370D0489EA425E3A781386A7C1">
    <w:name w:val="CCAA710370D0489EA425E3A781386A7C1"/>
    <w:rsid w:val="001C507B"/>
    <w:pPr>
      <w:spacing w:before="120" w:after="120" w:line="240" w:lineRule="atLeast"/>
    </w:pPr>
    <w:rPr>
      <w:rFonts w:ascii="Cambria" w:eastAsia="Cambria" w:hAnsi="Cambria" w:cs="Times New Roman"/>
      <w:lang w:eastAsia="en-US"/>
    </w:rPr>
  </w:style>
  <w:style w:type="paragraph" w:customStyle="1" w:styleId="6AC4E2EF0D6D41EB94628D72C3AEBEFC1">
    <w:name w:val="6AC4E2EF0D6D41EB94628D72C3AEBEFC1"/>
    <w:rsid w:val="001C507B"/>
    <w:pPr>
      <w:spacing w:before="120" w:after="120" w:line="240" w:lineRule="atLeast"/>
    </w:pPr>
    <w:rPr>
      <w:rFonts w:ascii="Cambria" w:eastAsia="Cambria" w:hAnsi="Cambria" w:cs="Times New Roman"/>
      <w:lang w:eastAsia="en-US"/>
    </w:rPr>
  </w:style>
  <w:style w:type="paragraph" w:customStyle="1" w:styleId="0FF6F07DB5134847A06299B7B46A7B291">
    <w:name w:val="0FF6F07DB5134847A06299B7B46A7B291"/>
    <w:rsid w:val="001C507B"/>
    <w:pPr>
      <w:spacing w:before="120" w:after="120" w:line="240" w:lineRule="atLeast"/>
    </w:pPr>
    <w:rPr>
      <w:rFonts w:ascii="Cambria" w:eastAsia="Cambria" w:hAnsi="Cambria" w:cs="Times New Roman"/>
      <w:lang w:eastAsia="en-US"/>
    </w:rPr>
  </w:style>
  <w:style w:type="paragraph" w:customStyle="1" w:styleId="16BE63745F284825B3A2C0DD10CD769B1">
    <w:name w:val="16BE63745F284825B3A2C0DD10CD769B1"/>
    <w:rsid w:val="001C507B"/>
    <w:pPr>
      <w:spacing w:before="120" w:after="120" w:line="240" w:lineRule="atLeast"/>
    </w:pPr>
    <w:rPr>
      <w:rFonts w:ascii="Cambria" w:eastAsia="Cambria" w:hAnsi="Cambria" w:cs="Times New Roman"/>
      <w:lang w:eastAsia="en-US"/>
    </w:rPr>
  </w:style>
  <w:style w:type="paragraph" w:customStyle="1" w:styleId="4EF90CC51977495288CA7890EC97BC3B1">
    <w:name w:val="4EF90CC51977495288CA7890EC97BC3B1"/>
    <w:rsid w:val="001C507B"/>
    <w:pPr>
      <w:spacing w:before="120" w:after="120" w:line="240" w:lineRule="atLeast"/>
    </w:pPr>
    <w:rPr>
      <w:rFonts w:ascii="Cambria" w:eastAsia="Cambria" w:hAnsi="Cambria" w:cs="Times New Roman"/>
      <w:lang w:eastAsia="en-US"/>
    </w:rPr>
  </w:style>
  <w:style w:type="paragraph" w:customStyle="1" w:styleId="126C3A1C0B474A9AA11BDEF8ACEC88291">
    <w:name w:val="126C3A1C0B474A9AA11BDEF8ACEC88291"/>
    <w:rsid w:val="001C507B"/>
    <w:pPr>
      <w:spacing w:before="120" w:after="120" w:line="240" w:lineRule="atLeast"/>
    </w:pPr>
    <w:rPr>
      <w:rFonts w:ascii="Cambria" w:eastAsia="Cambria" w:hAnsi="Cambria" w:cs="Times New Roman"/>
      <w:lang w:eastAsia="en-US"/>
    </w:rPr>
  </w:style>
  <w:style w:type="paragraph" w:customStyle="1" w:styleId="CB8BEA899EA347EEA25AA34F3DC3C89B1">
    <w:name w:val="CB8BEA899EA347EEA25AA34F3DC3C89B1"/>
    <w:rsid w:val="001C507B"/>
    <w:pPr>
      <w:spacing w:before="120" w:after="120" w:line="240" w:lineRule="atLeast"/>
    </w:pPr>
    <w:rPr>
      <w:rFonts w:ascii="Cambria" w:eastAsia="Cambria" w:hAnsi="Cambria" w:cs="Times New Roman"/>
      <w:lang w:eastAsia="en-US"/>
    </w:rPr>
  </w:style>
  <w:style w:type="paragraph" w:customStyle="1" w:styleId="B76BD1B9CB474FFF809F7464EB1B0D971">
    <w:name w:val="B76BD1B9CB474FFF809F7464EB1B0D971"/>
    <w:rsid w:val="001C507B"/>
    <w:pPr>
      <w:spacing w:before="120" w:after="120" w:line="240" w:lineRule="atLeast"/>
    </w:pPr>
    <w:rPr>
      <w:rFonts w:ascii="Cambria" w:eastAsia="Cambria" w:hAnsi="Cambria" w:cs="Times New Roman"/>
      <w:lang w:eastAsia="en-US"/>
    </w:rPr>
  </w:style>
  <w:style w:type="paragraph" w:customStyle="1" w:styleId="92712EE4A9004A5D821F94E2166AE2131">
    <w:name w:val="92712EE4A9004A5D821F94E2166AE2131"/>
    <w:rsid w:val="001C507B"/>
    <w:pPr>
      <w:spacing w:before="120" w:after="120" w:line="240" w:lineRule="atLeast"/>
    </w:pPr>
    <w:rPr>
      <w:rFonts w:ascii="Cambria" w:eastAsia="Cambria" w:hAnsi="Cambria" w:cs="Times New Roman"/>
      <w:lang w:eastAsia="en-US"/>
    </w:rPr>
  </w:style>
  <w:style w:type="paragraph" w:customStyle="1" w:styleId="17D6681FC0074332A302FDA330FACAFC1">
    <w:name w:val="17D6681FC0074332A302FDA330FACAFC1"/>
    <w:rsid w:val="001C507B"/>
    <w:pPr>
      <w:spacing w:before="120" w:after="120" w:line="240" w:lineRule="atLeast"/>
    </w:pPr>
    <w:rPr>
      <w:rFonts w:ascii="Cambria" w:eastAsia="Cambria" w:hAnsi="Cambria" w:cs="Times New Roman"/>
      <w:lang w:eastAsia="en-US"/>
    </w:rPr>
  </w:style>
  <w:style w:type="paragraph" w:customStyle="1" w:styleId="2E94DC8EB36E45418F9DC389C4F803361">
    <w:name w:val="2E94DC8EB36E45418F9DC389C4F803361"/>
    <w:rsid w:val="001C507B"/>
    <w:pPr>
      <w:spacing w:before="120" w:after="120" w:line="240" w:lineRule="atLeast"/>
    </w:pPr>
    <w:rPr>
      <w:rFonts w:ascii="Cambria" w:eastAsia="Cambria" w:hAnsi="Cambria" w:cs="Times New Roman"/>
      <w:lang w:eastAsia="en-US"/>
    </w:rPr>
  </w:style>
  <w:style w:type="paragraph" w:customStyle="1" w:styleId="6C2C2009D15D4EAC815494D35C00BAC61">
    <w:name w:val="6C2C2009D15D4EAC815494D35C00BAC61"/>
    <w:rsid w:val="001C507B"/>
    <w:pPr>
      <w:spacing w:before="120" w:after="120" w:line="240" w:lineRule="atLeast"/>
    </w:pPr>
    <w:rPr>
      <w:rFonts w:ascii="Cambria" w:eastAsia="Cambria" w:hAnsi="Cambria" w:cs="Times New Roman"/>
      <w:lang w:eastAsia="en-US"/>
    </w:rPr>
  </w:style>
  <w:style w:type="paragraph" w:customStyle="1" w:styleId="978719A944C14C28AEBC5F40741CA4001">
    <w:name w:val="978719A944C14C28AEBC5F40741CA4001"/>
    <w:rsid w:val="001C507B"/>
    <w:pPr>
      <w:spacing w:before="120" w:after="120" w:line="240" w:lineRule="atLeast"/>
    </w:pPr>
    <w:rPr>
      <w:rFonts w:ascii="Cambria" w:eastAsia="Cambria" w:hAnsi="Cambria" w:cs="Times New Roman"/>
      <w:lang w:eastAsia="en-US"/>
    </w:rPr>
  </w:style>
  <w:style w:type="paragraph" w:customStyle="1" w:styleId="22EA63F487694385A75C7424818F0223">
    <w:name w:val="22EA63F487694385A75C7424818F0223"/>
    <w:rsid w:val="00924360"/>
  </w:style>
  <w:style w:type="paragraph" w:customStyle="1" w:styleId="BB06A19A39994678A43EE5CDAA5F7759">
    <w:name w:val="BB06A19A39994678A43EE5CDAA5F7759"/>
    <w:rsid w:val="006152E9"/>
  </w:style>
  <w:style w:type="paragraph" w:customStyle="1" w:styleId="E46D3D8A3284483EA7D7D150AAF27E26">
    <w:name w:val="E46D3D8A3284483EA7D7D150AAF27E26"/>
    <w:rsid w:val="002125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3DC20-0B51-49C8-B6F3-A6EED6C00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Template>
  <TotalTime>60</TotalTime>
  <Pages>113</Pages>
  <Words>27532</Words>
  <Characters>153909</Characters>
  <Application>Microsoft Office Word</Application>
  <DocSecurity>0</DocSecurity>
  <Lines>2903</Lines>
  <Paragraphs>1314</Paragraphs>
  <ScaleCrop>false</ScaleCrop>
  <HeadingPairs>
    <vt:vector size="2" baseType="variant">
      <vt:variant>
        <vt:lpstr>Title</vt:lpstr>
      </vt:variant>
      <vt:variant>
        <vt:i4>1</vt:i4>
      </vt:variant>
    </vt:vector>
  </HeadingPairs>
  <TitlesOfParts>
    <vt:vector size="1" baseType="lpstr">
      <vt:lpstr>Extract from the Clinical Evaluation Report for Paliperidone (as palmitate)</vt:lpstr>
    </vt:vector>
  </TitlesOfParts>
  <Company/>
  <LinksUpToDate>false</LinksUpToDate>
  <CharactersWithSpaces>180127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Paliperidone (as palmitate)</dc:title>
  <dc:subject>prescription medicines</dc:subject>
  <dc:creator>Therapeutic Goods Administration</dc:creator>
  <cp:keywords>AusPARs</cp:keywords>
  <cp:lastModifiedBy>THOMPSON, Lynette</cp:lastModifiedBy>
  <cp:revision>13</cp:revision>
  <cp:lastPrinted>2015-09-22T23:53:00Z</cp:lastPrinted>
  <dcterms:created xsi:type="dcterms:W3CDTF">2017-10-12T02:56:00Z</dcterms:created>
  <dcterms:modified xsi:type="dcterms:W3CDTF">2017-11-09T23:31:00Z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