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1234496F" w14:textId="77777777" w:rsidTr="00BF1190">
        <w:trPr>
          <w:trHeight w:val="1863"/>
        </w:trPr>
        <w:tc>
          <w:tcPr>
            <w:tcW w:w="3652" w:type="dxa"/>
            <w:tcBorders>
              <w:top w:val="nil"/>
              <w:left w:val="nil"/>
              <w:bottom w:val="nil"/>
              <w:right w:val="nil"/>
            </w:tcBorders>
          </w:tcPr>
          <w:p w14:paraId="25037F38" w14:textId="5220C8DC" w:rsidR="008E7846" w:rsidRPr="00096AA7" w:rsidRDefault="00C32A62" w:rsidP="00096AA7">
            <w:pPr>
              <w:rPr>
                <w:rFonts w:ascii="Arial" w:hAnsi="Arial" w:cs="Arial"/>
                <w:b/>
                <w:color w:val="002C47"/>
                <w:sz w:val="36"/>
                <w:szCs w:val="36"/>
              </w:rPr>
            </w:pPr>
            <w:r>
              <w:rPr>
                <w:rFonts w:ascii="Arial" w:hAnsi="Arial" w:cs="Arial"/>
                <w:b/>
                <w:color w:val="002C47"/>
                <w:sz w:val="36"/>
                <w:szCs w:val="36"/>
              </w:rPr>
              <w:t xml:space="preserve">November </w:t>
            </w:r>
            <w:r w:rsidR="00C71FAE">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C946E70" w14:textId="77777777" w:rsidTr="0032583B">
        <w:trPr>
          <w:trHeight w:val="868"/>
        </w:trPr>
        <w:tc>
          <w:tcPr>
            <w:tcW w:w="9079" w:type="dxa"/>
          </w:tcPr>
          <w:p w14:paraId="7AF1E2BD" w14:textId="3E99A9D8" w:rsidR="0032583B" w:rsidRPr="00A964D1" w:rsidRDefault="0032583B" w:rsidP="00460036">
            <w:pPr>
              <w:pStyle w:val="Title"/>
              <w:rPr>
                <w:color w:val="FFFFFF" w:themeColor="background1"/>
              </w:rPr>
            </w:pPr>
            <w:r w:rsidRPr="00A964D1">
              <w:rPr>
                <w:color w:val="FFFFFF" w:themeColor="background1"/>
              </w:rPr>
              <w:t>Australia</w:t>
            </w:r>
            <w:r w:rsidR="003331CD">
              <w:rPr>
                <w:color w:val="FFFFFF" w:themeColor="background1"/>
              </w:rPr>
              <w:t xml:space="preserve">n Public Assessment Report for </w:t>
            </w:r>
            <w:proofErr w:type="spellStart"/>
            <w:r w:rsidR="003331CD">
              <w:rPr>
                <w:color w:val="FFFFFF" w:themeColor="background1"/>
              </w:rPr>
              <w:t>O</w:t>
            </w:r>
            <w:r w:rsidR="007A2DA2">
              <w:rPr>
                <w:color w:val="FFFFFF" w:themeColor="background1"/>
              </w:rPr>
              <w:t>zanimod</w:t>
            </w:r>
            <w:proofErr w:type="spellEnd"/>
            <w:r w:rsidR="003331CD">
              <w:rPr>
                <w:color w:val="FFFFFF" w:themeColor="background1"/>
              </w:rPr>
              <w:t xml:space="preserve"> </w:t>
            </w:r>
            <w:r w:rsidR="003331CD" w:rsidRPr="003331CD">
              <w:rPr>
                <w:color w:val="FFFFFF" w:themeColor="background1"/>
              </w:rPr>
              <w:t>hydrochloride</w:t>
            </w:r>
          </w:p>
        </w:tc>
      </w:tr>
      <w:tr w:rsidR="0032583B" w:rsidRPr="00B64760" w14:paraId="0066DF1A" w14:textId="77777777" w:rsidTr="0032583B">
        <w:tc>
          <w:tcPr>
            <w:tcW w:w="9079" w:type="dxa"/>
          </w:tcPr>
          <w:p w14:paraId="555D893D" w14:textId="77777777" w:rsidR="0032583B" w:rsidRPr="008E7846" w:rsidRDefault="007A2DA2" w:rsidP="00460036">
            <w:pPr>
              <w:pStyle w:val="Subtitle"/>
              <w:rPr>
                <w:color w:val="FFFFFF" w:themeColor="background1"/>
              </w:rPr>
            </w:pPr>
            <w:r>
              <w:rPr>
                <w:color w:val="FFFFFF" w:themeColor="background1"/>
              </w:rPr>
              <w:t>Proprietary Product Name: Zeposia</w:t>
            </w:r>
          </w:p>
        </w:tc>
      </w:tr>
      <w:tr w:rsidR="0032583B" w:rsidRPr="00B64760" w14:paraId="0A9FC4E1" w14:textId="77777777" w:rsidTr="0032583B">
        <w:trPr>
          <w:trHeight w:val="486"/>
        </w:trPr>
        <w:tc>
          <w:tcPr>
            <w:tcW w:w="9079" w:type="dxa"/>
          </w:tcPr>
          <w:p w14:paraId="0589982E" w14:textId="77777777" w:rsidR="0032583B" w:rsidRPr="008E7846" w:rsidRDefault="007A2DA2" w:rsidP="0032583B">
            <w:pPr>
              <w:pStyle w:val="Subtitle"/>
              <w:rPr>
                <w:color w:val="FFFFFF" w:themeColor="background1"/>
              </w:rPr>
            </w:pPr>
            <w:r>
              <w:rPr>
                <w:color w:val="FFFFFF" w:themeColor="background1"/>
              </w:rPr>
              <w:t>Sponsor: Celgene Pty Ltd</w:t>
            </w:r>
          </w:p>
        </w:tc>
      </w:tr>
    </w:tbl>
    <w:p w14:paraId="2E509503" w14:textId="77777777" w:rsidR="008E7846" w:rsidRPr="0085156D" w:rsidRDefault="008E7846" w:rsidP="0085156D">
      <w:r w:rsidRPr="0085156D">
        <w:br w:type="page"/>
      </w:r>
    </w:p>
    <w:p w14:paraId="64715A42" w14:textId="77777777" w:rsidR="008E7846" w:rsidRPr="001F6CBA" w:rsidRDefault="008E7846" w:rsidP="008E7846">
      <w:pPr>
        <w:pStyle w:val="NonTOCHeading2"/>
      </w:pPr>
      <w:r w:rsidRPr="001F6CBA">
        <w:lastRenderedPageBreak/>
        <w:t>About the Therapeutic Goods Administration (TGA)</w:t>
      </w:r>
    </w:p>
    <w:p w14:paraId="6BA08714"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086AFE69"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0BAEA43E"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45DF8470"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AE89315" w14:textId="00AC3A10"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375F50AA" w14:textId="77777777" w:rsidR="008E7846" w:rsidRDefault="008E7846" w:rsidP="00875A6B">
      <w:pPr>
        <w:pStyle w:val="NonTOCHeading2"/>
      </w:pPr>
      <w:r>
        <w:t>About AusPARs</w:t>
      </w:r>
    </w:p>
    <w:p w14:paraId="5EA660E6"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2FE03AE9" w14:textId="77777777" w:rsidR="008E7846" w:rsidRDefault="008E7846" w:rsidP="008E7846">
      <w:pPr>
        <w:pStyle w:val="ListBullet"/>
        <w:numPr>
          <w:ilvl w:val="0"/>
          <w:numId w:val="3"/>
        </w:numPr>
        <w:ind w:left="357" w:hanging="357"/>
      </w:pPr>
      <w:r>
        <w:t>AusPARs are prepared and published by the TGA.</w:t>
      </w:r>
    </w:p>
    <w:p w14:paraId="4840D0F0"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799C6E49"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13FE454"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0B271D19" w14:textId="77777777" w:rsidR="00924482" w:rsidRPr="00DF1D7F" w:rsidRDefault="00924482" w:rsidP="00F54B65">
      <w:pPr>
        <w:pStyle w:val="LegalSubheading"/>
        <w:spacing w:before="3120"/>
      </w:pPr>
      <w:r w:rsidRPr="00DF1D7F">
        <w:t>Copyright</w:t>
      </w:r>
    </w:p>
    <w:p w14:paraId="7693EC7F" w14:textId="6A3C1ABA"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23E4B41E"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17DEBB64" w14:textId="77777777" w:rsidR="0089635C" w:rsidRPr="0089635C" w:rsidRDefault="0089635C" w:rsidP="0010788A">
          <w:pPr>
            <w:pStyle w:val="Contents"/>
          </w:pPr>
          <w:r w:rsidRPr="0010788A">
            <w:t>Cont</w:t>
          </w:r>
          <w:bookmarkStart w:id="2" w:name="_GoBack"/>
          <w:bookmarkEnd w:id="2"/>
          <w:r w:rsidRPr="0010788A">
            <w:t>ents</w:t>
          </w:r>
        </w:p>
        <w:p w14:paraId="703F659A" w14:textId="341D3B9E" w:rsidR="0082445D"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57809129" w:history="1">
            <w:r w:rsidR="0082445D" w:rsidRPr="00693207">
              <w:rPr>
                <w:rStyle w:val="Hyperlink"/>
                <w:noProof/>
              </w:rPr>
              <w:t>Common abbreviations</w:t>
            </w:r>
            <w:r w:rsidR="0082445D">
              <w:rPr>
                <w:noProof/>
                <w:webHidden/>
              </w:rPr>
              <w:tab/>
            </w:r>
            <w:r w:rsidR="0082445D">
              <w:rPr>
                <w:noProof/>
                <w:webHidden/>
              </w:rPr>
              <w:fldChar w:fldCharType="begin"/>
            </w:r>
            <w:r w:rsidR="0082445D">
              <w:rPr>
                <w:noProof/>
                <w:webHidden/>
              </w:rPr>
              <w:instrText xml:space="preserve"> PAGEREF _Toc57809129 \h </w:instrText>
            </w:r>
            <w:r w:rsidR="0082445D">
              <w:rPr>
                <w:noProof/>
                <w:webHidden/>
              </w:rPr>
            </w:r>
            <w:r w:rsidR="0082445D">
              <w:rPr>
                <w:noProof/>
                <w:webHidden/>
              </w:rPr>
              <w:fldChar w:fldCharType="separate"/>
            </w:r>
            <w:r w:rsidR="0082445D">
              <w:rPr>
                <w:noProof/>
                <w:webHidden/>
              </w:rPr>
              <w:t>4</w:t>
            </w:r>
            <w:r w:rsidR="0082445D">
              <w:rPr>
                <w:noProof/>
                <w:webHidden/>
              </w:rPr>
              <w:fldChar w:fldCharType="end"/>
            </w:r>
          </w:hyperlink>
        </w:p>
        <w:p w14:paraId="4B29AB4C" w14:textId="7BD10CF5" w:rsidR="0082445D" w:rsidRDefault="0082445D">
          <w:pPr>
            <w:pStyle w:val="TOC1"/>
            <w:rPr>
              <w:rFonts w:asciiTheme="minorHAnsi" w:eastAsiaTheme="minorEastAsia" w:hAnsiTheme="minorHAnsi" w:cstheme="minorBidi"/>
              <w:b w:val="0"/>
              <w:noProof/>
              <w:sz w:val="22"/>
              <w:lang w:eastAsia="en-AU"/>
            </w:rPr>
          </w:pPr>
          <w:hyperlink w:anchor="_Toc57809130" w:history="1">
            <w:r w:rsidRPr="00693207">
              <w:rPr>
                <w:rStyle w:val="Hyperlink"/>
                <w:noProof/>
              </w:rPr>
              <w:t>I. Introduction to product submission</w:t>
            </w:r>
            <w:r>
              <w:rPr>
                <w:noProof/>
                <w:webHidden/>
              </w:rPr>
              <w:tab/>
            </w:r>
            <w:r>
              <w:rPr>
                <w:noProof/>
                <w:webHidden/>
              </w:rPr>
              <w:fldChar w:fldCharType="begin"/>
            </w:r>
            <w:r>
              <w:rPr>
                <w:noProof/>
                <w:webHidden/>
              </w:rPr>
              <w:instrText xml:space="preserve"> PAGEREF _Toc57809130 \h </w:instrText>
            </w:r>
            <w:r>
              <w:rPr>
                <w:noProof/>
                <w:webHidden/>
              </w:rPr>
            </w:r>
            <w:r>
              <w:rPr>
                <w:noProof/>
                <w:webHidden/>
              </w:rPr>
              <w:fldChar w:fldCharType="separate"/>
            </w:r>
            <w:r>
              <w:rPr>
                <w:noProof/>
                <w:webHidden/>
              </w:rPr>
              <w:t>6</w:t>
            </w:r>
            <w:r>
              <w:rPr>
                <w:noProof/>
                <w:webHidden/>
              </w:rPr>
              <w:fldChar w:fldCharType="end"/>
            </w:r>
          </w:hyperlink>
        </w:p>
        <w:p w14:paraId="189D613F" w14:textId="6A407C05" w:rsidR="0082445D" w:rsidRDefault="0082445D">
          <w:pPr>
            <w:pStyle w:val="TOC2"/>
            <w:rPr>
              <w:rFonts w:asciiTheme="minorHAnsi" w:eastAsiaTheme="minorEastAsia" w:hAnsiTheme="minorHAnsi" w:cstheme="minorBidi"/>
              <w:b w:val="0"/>
              <w:noProof/>
              <w:sz w:val="22"/>
              <w:lang w:eastAsia="en-AU"/>
            </w:rPr>
          </w:pPr>
          <w:hyperlink w:anchor="_Toc57809131" w:history="1">
            <w:r w:rsidRPr="00693207">
              <w:rPr>
                <w:rStyle w:val="Hyperlink"/>
                <w:noProof/>
                <w:lang w:eastAsia="en-AU"/>
              </w:rPr>
              <w:t>Submission details</w:t>
            </w:r>
            <w:r>
              <w:rPr>
                <w:noProof/>
                <w:webHidden/>
              </w:rPr>
              <w:tab/>
            </w:r>
            <w:r>
              <w:rPr>
                <w:noProof/>
                <w:webHidden/>
              </w:rPr>
              <w:fldChar w:fldCharType="begin"/>
            </w:r>
            <w:r>
              <w:rPr>
                <w:noProof/>
                <w:webHidden/>
              </w:rPr>
              <w:instrText xml:space="preserve"> PAGEREF _Toc57809131 \h </w:instrText>
            </w:r>
            <w:r>
              <w:rPr>
                <w:noProof/>
                <w:webHidden/>
              </w:rPr>
            </w:r>
            <w:r>
              <w:rPr>
                <w:noProof/>
                <w:webHidden/>
              </w:rPr>
              <w:fldChar w:fldCharType="separate"/>
            </w:r>
            <w:r>
              <w:rPr>
                <w:noProof/>
                <w:webHidden/>
              </w:rPr>
              <w:t>6</w:t>
            </w:r>
            <w:r>
              <w:rPr>
                <w:noProof/>
                <w:webHidden/>
              </w:rPr>
              <w:fldChar w:fldCharType="end"/>
            </w:r>
          </w:hyperlink>
        </w:p>
        <w:p w14:paraId="68A8712C" w14:textId="1E6C6DB4" w:rsidR="0082445D" w:rsidRDefault="0082445D">
          <w:pPr>
            <w:pStyle w:val="TOC2"/>
            <w:rPr>
              <w:rFonts w:asciiTheme="minorHAnsi" w:eastAsiaTheme="minorEastAsia" w:hAnsiTheme="minorHAnsi" w:cstheme="minorBidi"/>
              <w:b w:val="0"/>
              <w:noProof/>
              <w:sz w:val="22"/>
              <w:lang w:eastAsia="en-AU"/>
            </w:rPr>
          </w:pPr>
          <w:hyperlink w:anchor="_Toc57809132" w:history="1">
            <w:r w:rsidRPr="00693207">
              <w:rPr>
                <w:rStyle w:val="Hyperlink"/>
                <w:noProof/>
              </w:rPr>
              <w:t>Product background</w:t>
            </w:r>
            <w:r>
              <w:rPr>
                <w:noProof/>
                <w:webHidden/>
              </w:rPr>
              <w:tab/>
            </w:r>
            <w:r>
              <w:rPr>
                <w:noProof/>
                <w:webHidden/>
              </w:rPr>
              <w:fldChar w:fldCharType="begin"/>
            </w:r>
            <w:r>
              <w:rPr>
                <w:noProof/>
                <w:webHidden/>
              </w:rPr>
              <w:instrText xml:space="preserve"> PAGEREF _Toc57809132 \h </w:instrText>
            </w:r>
            <w:r>
              <w:rPr>
                <w:noProof/>
                <w:webHidden/>
              </w:rPr>
            </w:r>
            <w:r>
              <w:rPr>
                <w:noProof/>
                <w:webHidden/>
              </w:rPr>
              <w:fldChar w:fldCharType="separate"/>
            </w:r>
            <w:r>
              <w:rPr>
                <w:noProof/>
                <w:webHidden/>
              </w:rPr>
              <w:t>7</w:t>
            </w:r>
            <w:r>
              <w:rPr>
                <w:noProof/>
                <w:webHidden/>
              </w:rPr>
              <w:fldChar w:fldCharType="end"/>
            </w:r>
          </w:hyperlink>
        </w:p>
        <w:p w14:paraId="210A832C" w14:textId="1CF7A733" w:rsidR="0082445D" w:rsidRDefault="0082445D">
          <w:pPr>
            <w:pStyle w:val="TOC2"/>
            <w:rPr>
              <w:rFonts w:asciiTheme="minorHAnsi" w:eastAsiaTheme="minorEastAsia" w:hAnsiTheme="minorHAnsi" w:cstheme="minorBidi"/>
              <w:b w:val="0"/>
              <w:noProof/>
              <w:sz w:val="22"/>
              <w:lang w:eastAsia="en-AU"/>
            </w:rPr>
          </w:pPr>
          <w:hyperlink w:anchor="_Toc57809133" w:history="1">
            <w:r w:rsidRPr="00693207">
              <w:rPr>
                <w:rStyle w:val="Hyperlink"/>
                <w:noProof/>
              </w:rPr>
              <w:t>Regulatory status</w:t>
            </w:r>
            <w:r>
              <w:rPr>
                <w:noProof/>
                <w:webHidden/>
              </w:rPr>
              <w:tab/>
            </w:r>
            <w:r>
              <w:rPr>
                <w:noProof/>
                <w:webHidden/>
              </w:rPr>
              <w:fldChar w:fldCharType="begin"/>
            </w:r>
            <w:r>
              <w:rPr>
                <w:noProof/>
                <w:webHidden/>
              </w:rPr>
              <w:instrText xml:space="preserve"> PAGEREF _Toc57809133 \h </w:instrText>
            </w:r>
            <w:r>
              <w:rPr>
                <w:noProof/>
                <w:webHidden/>
              </w:rPr>
            </w:r>
            <w:r>
              <w:rPr>
                <w:noProof/>
                <w:webHidden/>
              </w:rPr>
              <w:fldChar w:fldCharType="separate"/>
            </w:r>
            <w:r>
              <w:rPr>
                <w:noProof/>
                <w:webHidden/>
              </w:rPr>
              <w:t>8</w:t>
            </w:r>
            <w:r>
              <w:rPr>
                <w:noProof/>
                <w:webHidden/>
              </w:rPr>
              <w:fldChar w:fldCharType="end"/>
            </w:r>
          </w:hyperlink>
        </w:p>
        <w:p w14:paraId="2B56EED3" w14:textId="1B82C10F" w:rsidR="0082445D" w:rsidRDefault="0082445D">
          <w:pPr>
            <w:pStyle w:val="TOC2"/>
            <w:rPr>
              <w:rFonts w:asciiTheme="minorHAnsi" w:eastAsiaTheme="minorEastAsia" w:hAnsiTheme="minorHAnsi" w:cstheme="minorBidi"/>
              <w:b w:val="0"/>
              <w:noProof/>
              <w:sz w:val="22"/>
              <w:lang w:eastAsia="en-AU"/>
            </w:rPr>
          </w:pPr>
          <w:hyperlink w:anchor="_Toc57809134" w:history="1">
            <w:r w:rsidRPr="00693207">
              <w:rPr>
                <w:rStyle w:val="Hyperlink"/>
                <w:noProof/>
              </w:rPr>
              <w:t>Product Information</w:t>
            </w:r>
            <w:r>
              <w:rPr>
                <w:noProof/>
                <w:webHidden/>
              </w:rPr>
              <w:tab/>
            </w:r>
            <w:r>
              <w:rPr>
                <w:noProof/>
                <w:webHidden/>
              </w:rPr>
              <w:fldChar w:fldCharType="begin"/>
            </w:r>
            <w:r>
              <w:rPr>
                <w:noProof/>
                <w:webHidden/>
              </w:rPr>
              <w:instrText xml:space="preserve"> PAGEREF _Toc57809134 \h </w:instrText>
            </w:r>
            <w:r>
              <w:rPr>
                <w:noProof/>
                <w:webHidden/>
              </w:rPr>
            </w:r>
            <w:r>
              <w:rPr>
                <w:noProof/>
                <w:webHidden/>
              </w:rPr>
              <w:fldChar w:fldCharType="separate"/>
            </w:r>
            <w:r>
              <w:rPr>
                <w:noProof/>
                <w:webHidden/>
              </w:rPr>
              <w:t>9</w:t>
            </w:r>
            <w:r>
              <w:rPr>
                <w:noProof/>
                <w:webHidden/>
              </w:rPr>
              <w:fldChar w:fldCharType="end"/>
            </w:r>
          </w:hyperlink>
        </w:p>
        <w:p w14:paraId="4114E533" w14:textId="56827976" w:rsidR="0082445D" w:rsidRDefault="0082445D">
          <w:pPr>
            <w:pStyle w:val="TOC1"/>
            <w:rPr>
              <w:rFonts w:asciiTheme="minorHAnsi" w:eastAsiaTheme="minorEastAsia" w:hAnsiTheme="minorHAnsi" w:cstheme="minorBidi"/>
              <w:b w:val="0"/>
              <w:noProof/>
              <w:sz w:val="22"/>
              <w:lang w:eastAsia="en-AU"/>
            </w:rPr>
          </w:pPr>
          <w:hyperlink w:anchor="_Toc57809135" w:history="1">
            <w:r w:rsidRPr="00693207">
              <w:rPr>
                <w:rStyle w:val="Hyperlink"/>
                <w:noProof/>
              </w:rPr>
              <w:t>II. Registration timeline</w:t>
            </w:r>
            <w:r>
              <w:rPr>
                <w:noProof/>
                <w:webHidden/>
              </w:rPr>
              <w:tab/>
            </w:r>
            <w:r>
              <w:rPr>
                <w:noProof/>
                <w:webHidden/>
              </w:rPr>
              <w:fldChar w:fldCharType="begin"/>
            </w:r>
            <w:r>
              <w:rPr>
                <w:noProof/>
                <w:webHidden/>
              </w:rPr>
              <w:instrText xml:space="preserve"> PAGEREF _Toc57809135 \h </w:instrText>
            </w:r>
            <w:r>
              <w:rPr>
                <w:noProof/>
                <w:webHidden/>
              </w:rPr>
            </w:r>
            <w:r>
              <w:rPr>
                <w:noProof/>
                <w:webHidden/>
              </w:rPr>
              <w:fldChar w:fldCharType="separate"/>
            </w:r>
            <w:r>
              <w:rPr>
                <w:noProof/>
                <w:webHidden/>
              </w:rPr>
              <w:t>9</w:t>
            </w:r>
            <w:r>
              <w:rPr>
                <w:noProof/>
                <w:webHidden/>
              </w:rPr>
              <w:fldChar w:fldCharType="end"/>
            </w:r>
          </w:hyperlink>
        </w:p>
        <w:p w14:paraId="59A9B97B" w14:textId="252A693B" w:rsidR="0082445D" w:rsidRDefault="0082445D">
          <w:pPr>
            <w:pStyle w:val="TOC1"/>
            <w:rPr>
              <w:rFonts w:asciiTheme="minorHAnsi" w:eastAsiaTheme="minorEastAsia" w:hAnsiTheme="minorHAnsi" w:cstheme="minorBidi"/>
              <w:b w:val="0"/>
              <w:noProof/>
              <w:sz w:val="22"/>
              <w:lang w:eastAsia="en-AU"/>
            </w:rPr>
          </w:pPr>
          <w:hyperlink w:anchor="_Toc57809136" w:history="1">
            <w:r w:rsidRPr="00693207">
              <w:rPr>
                <w:rStyle w:val="Hyperlink"/>
                <w:noProof/>
              </w:rPr>
              <w:t>III. Submission overview and risk/benefit assessment</w:t>
            </w:r>
            <w:r>
              <w:rPr>
                <w:noProof/>
                <w:webHidden/>
              </w:rPr>
              <w:tab/>
            </w:r>
            <w:r>
              <w:rPr>
                <w:noProof/>
                <w:webHidden/>
              </w:rPr>
              <w:fldChar w:fldCharType="begin"/>
            </w:r>
            <w:r>
              <w:rPr>
                <w:noProof/>
                <w:webHidden/>
              </w:rPr>
              <w:instrText xml:space="preserve"> PAGEREF _Toc57809136 \h </w:instrText>
            </w:r>
            <w:r>
              <w:rPr>
                <w:noProof/>
                <w:webHidden/>
              </w:rPr>
            </w:r>
            <w:r>
              <w:rPr>
                <w:noProof/>
                <w:webHidden/>
              </w:rPr>
              <w:fldChar w:fldCharType="separate"/>
            </w:r>
            <w:r>
              <w:rPr>
                <w:noProof/>
                <w:webHidden/>
              </w:rPr>
              <w:t>9</w:t>
            </w:r>
            <w:r>
              <w:rPr>
                <w:noProof/>
                <w:webHidden/>
              </w:rPr>
              <w:fldChar w:fldCharType="end"/>
            </w:r>
          </w:hyperlink>
        </w:p>
        <w:p w14:paraId="5F3D895C" w14:textId="08702113" w:rsidR="0082445D" w:rsidRDefault="0082445D">
          <w:pPr>
            <w:pStyle w:val="TOC2"/>
            <w:rPr>
              <w:rFonts w:asciiTheme="minorHAnsi" w:eastAsiaTheme="minorEastAsia" w:hAnsiTheme="minorHAnsi" w:cstheme="minorBidi"/>
              <w:b w:val="0"/>
              <w:noProof/>
              <w:sz w:val="22"/>
              <w:lang w:eastAsia="en-AU"/>
            </w:rPr>
          </w:pPr>
          <w:hyperlink w:anchor="_Toc57809137" w:history="1">
            <w:r w:rsidRPr="00693207">
              <w:rPr>
                <w:rStyle w:val="Hyperlink"/>
                <w:noProof/>
              </w:rPr>
              <w:t>Quality</w:t>
            </w:r>
            <w:r>
              <w:rPr>
                <w:noProof/>
                <w:webHidden/>
              </w:rPr>
              <w:tab/>
            </w:r>
            <w:r>
              <w:rPr>
                <w:noProof/>
                <w:webHidden/>
              </w:rPr>
              <w:fldChar w:fldCharType="begin"/>
            </w:r>
            <w:r>
              <w:rPr>
                <w:noProof/>
                <w:webHidden/>
              </w:rPr>
              <w:instrText xml:space="preserve"> PAGEREF _Toc57809137 \h </w:instrText>
            </w:r>
            <w:r>
              <w:rPr>
                <w:noProof/>
                <w:webHidden/>
              </w:rPr>
            </w:r>
            <w:r>
              <w:rPr>
                <w:noProof/>
                <w:webHidden/>
              </w:rPr>
              <w:fldChar w:fldCharType="separate"/>
            </w:r>
            <w:r>
              <w:rPr>
                <w:noProof/>
                <w:webHidden/>
              </w:rPr>
              <w:t>9</w:t>
            </w:r>
            <w:r>
              <w:rPr>
                <w:noProof/>
                <w:webHidden/>
              </w:rPr>
              <w:fldChar w:fldCharType="end"/>
            </w:r>
          </w:hyperlink>
        </w:p>
        <w:p w14:paraId="56CB7AEB" w14:textId="22C4AB01" w:rsidR="0082445D" w:rsidRDefault="0082445D">
          <w:pPr>
            <w:pStyle w:val="TOC2"/>
            <w:rPr>
              <w:rFonts w:asciiTheme="minorHAnsi" w:eastAsiaTheme="minorEastAsia" w:hAnsiTheme="minorHAnsi" w:cstheme="minorBidi"/>
              <w:b w:val="0"/>
              <w:noProof/>
              <w:sz w:val="22"/>
              <w:lang w:eastAsia="en-AU"/>
            </w:rPr>
          </w:pPr>
          <w:hyperlink w:anchor="_Toc57809138" w:history="1">
            <w:r w:rsidRPr="00693207">
              <w:rPr>
                <w:rStyle w:val="Hyperlink"/>
                <w:noProof/>
              </w:rPr>
              <w:t>Nonclinical</w:t>
            </w:r>
            <w:r>
              <w:rPr>
                <w:noProof/>
                <w:webHidden/>
              </w:rPr>
              <w:tab/>
            </w:r>
            <w:r>
              <w:rPr>
                <w:noProof/>
                <w:webHidden/>
              </w:rPr>
              <w:fldChar w:fldCharType="begin"/>
            </w:r>
            <w:r>
              <w:rPr>
                <w:noProof/>
                <w:webHidden/>
              </w:rPr>
              <w:instrText xml:space="preserve"> PAGEREF _Toc57809138 \h </w:instrText>
            </w:r>
            <w:r>
              <w:rPr>
                <w:noProof/>
                <w:webHidden/>
              </w:rPr>
            </w:r>
            <w:r>
              <w:rPr>
                <w:noProof/>
                <w:webHidden/>
              </w:rPr>
              <w:fldChar w:fldCharType="separate"/>
            </w:r>
            <w:r>
              <w:rPr>
                <w:noProof/>
                <w:webHidden/>
              </w:rPr>
              <w:t>10</w:t>
            </w:r>
            <w:r>
              <w:rPr>
                <w:noProof/>
                <w:webHidden/>
              </w:rPr>
              <w:fldChar w:fldCharType="end"/>
            </w:r>
          </w:hyperlink>
        </w:p>
        <w:p w14:paraId="573763CF" w14:textId="4E96F532" w:rsidR="0082445D" w:rsidRDefault="0082445D">
          <w:pPr>
            <w:pStyle w:val="TOC2"/>
            <w:rPr>
              <w:rFonts w:asciiTheme="minorHAnsi" w:eastAsiaTheme="minorEastAsia" w:hAnsiTheme="minorHAnsi" w:cstheme="minorBidi"/>
              <w:b w:val="0"/>
              <w:noProof/>
              <w:sz w:val="22"/>
              <w:lang w:eastAsia="en-AU"/>
            </w:rPr>
          </w:pPr>
          <w:hyperlink w:anchor="_Toc57809139" w:history="1">
            <w:r w:rsidRPr="00693207">
              <w:rPr>
                <w:rStyle w:val="Hyperlink"/>
                <w:noProof/>
              </w:rPr>
              <w:t>Clinical</w:t>
            </w:r>
            <w:r>
              <w:rPr>
                <w:noProof/>
                <w:webHidden/>
              </w:rPr>
              <w:tab/>
            </w:r>
            <w:r>
              <w:rPr>
                <w:noProof/>
                <w:webHidden/>
              </w:rPr>
              <w:fldChar w:fldCharType="begin"/>
            </w:r>
            <w:r>
              <w:rPr>
                <w:noProof/>
                <w:webHidden/>
              </w:rPr>
              <w:instrText xml:space="preserve"> PAGEREF _Toc57809139 \h </w:instrText>
            </w:r>
            <w:r>
              <w:rPr>
                <w:noProof/>
                <w:webHidden/>
              </w:rPr>
            </w:r>
            <w:r>
              <w:rPr>
                <w:noProof/>
                <w:webHidden/>
              </w:rPr>
              <w:fldChar w:fldCharType="separate"/>
            </w:r>
            <w:r>
              <w:rPr>
                <w:noProof/>
                <w:webHidden/>
              </w:rPr>
              <w:t>11</w:t>
            </w:r>
            <w:r>
              <w:rPr>
                <w:noProof/>
                <w:webHidden/>
              </w:rPr>
              <w:fldChar w:fldCharType="end"/>
            </w:r>
          </w:hyperlink>
        </w:p>
        <w:p w14:paraId="02FCDF42" w14:textId="714C425B" w:rsidR="0082445D" w:rsidRDefault="0082445D">
          <w:pPr>
            <w:pStyle w:val="TOC2"/>
            <w:rPr>
              <w:rFonts w:asciiTheme="minorHAnsi" w:eastAsiaTheme="minorEastAsia" w:hAnsiTheme="minorHAnsi" w:cstheme="minorBidi"/>
              <w:b w:val="0"/>
              <w:noProof/>
              <w:sz w:val="22"/>
              <w:lang w:eastAsia="en-AU"/>
            </w:rPr>
          </w:pPr>
          <w:hyperlink w:anchor="_Toc57809140" w:history="1">
            <w:r w:rsidRPr="00693207">
              <w:rPr>
                <w:rStyle w:val="Hyperlink"/>
                <w:noProof/>
                <w:lang w:eastAsia="en-AU"/>
              </w:rPr>
              <w:t>Risk management plan</w:t>
            </w:r>
            <w:r>
              <w:rPr>
                <w:noProof/>
                <w:webHidden/>
              </w:rPr>
              <w:tab/>
            </w:r>
            <w:r>
              <w:rPr>
                <w:noProof/>
                <w:webHidden/>
              </w:rPr>
              <w:fldChar w:fldCharType="begin"/>
            </w:r>
            <w:r>
              <w:rPr>
                <w:noProof/>
                <w:webHidden/>
              </w:rPr>
              <w:instrText xml:space="preserve"> PAGEREF _Toc57809140 \h </w:instrText>
            </w:r>
            <w:r>
              <w:rPr>
                <w:noProof/>
                <w:webHidden/>
              </w:rPr>
            </w:r>
            <w:r>
              <w:rPr>
                <w:noProof/>
                <w:webHidden/>
              </w:rPr>
              <w:fldChar w:fldCharType="separate"/>
            </w:r>
            <w:r>
              <w:rPr>
                <w:noProof/>
                <w:webHidden/>
              </w:rPr>
              <w:t>18</w:t>
            </w:r>
            <w:r>
              <w:rPr>
                <w:noProof/>
                <w:webHidden/>
              </w:rPr>
              <w:fldChar w:fldCharType="end"/>
            </w:r>
          </w:hyperlink>
        </w:p>
        <w:p w14:paraId="3A0D9F66" w14:textId="7D4F03A3" w:rsidR="0082445D" w:rsidRDefault="0082445D">
          <w:pPr>
            <w:pStyle w:val="TOC2"/>
            <w:rPr>
              <w:rFonts w:asciiTheme="minorHAnsi" w:eastAsiaTheme="minorEastAsia" w:hAnsiTheme="minorHAnsi" w:cstheme="minorBidi"/>
              <w:b w:val="0"/>
              <w:noProof/>
              <w:sz w:val="22"/>
              <w:lang w:eastAsia="en-AU"/>
            </w:rPr>
          </w:pPr>
          <w:hyperlink w:anchor="_Toc57809141" w:history="1">
            <w:r w:rsidRPr="00693207">
              <w:rPr>
                <w:rStyle w:val="Hyperlink"/>
                <w:noProof/>
              </w:rPr>
              <w:t>Risk-benefit analysis</w:t>
            </w:r>
            <w:r>
              <w:rPr>
                <w:noProof/>
                <w:webHidden/>
              </w:rPr>
              <w:tab/>
            </w:r>
            <w:r>
              <w:rPr>
                <w:noProof/>
                <w:webHidden/>
              </w:rPr>
              <w:fldChar w:fldCharType="begin"/>
            </w:r>
            <w:r>
              <w:rPr>
                <w:noProof/>
                <w:webHidden/>
              </w:rPr>
              <w:instrText xml:space="preserve"> PAGEREF _Toc57809141 \h </w:instrText>
            </w:r>
            <w:r>
              <w:rPr>
                <w:noProof/>
                <w:webHidden/>
              </w:rPr>
            </w:r>
            <w:r>
              <w:rPr>
                <w:noProof/>
                <w:webHidden/>
              </w:rPr>
              <w:fldChar w:fldCharType="separate"/>
            </w:r>
            <w:r>
              <w:rPr>
                <w:noProof/>
                <w:webHidden/>
              </w:rPr>
              <w:t>21</w:t>
            </w:r>
            <w:r>
              <w:rPr>
                <w:noProof/>
                <w:webHidden/>
              </w:rPr>
              <w:fldChar w:fldCharType="end"/>
            </w:r>
          </w:hyperlink>
        </w:p>
        <w:p w14:paraId="37A8DD48" w14:textId="1A6A8E7D" w:rsidR="0082445D" w:rsidRDefault="0082445D">
          <w:pPr>
            <w:pStyle w:val="TOC2"/>
            <w:rPr>
              <w:rFonts w:asciiTheme="minorHAnsi" w:eastAsiaTheme="minorEastAsia" w:hAnsiTheme="minorHAnsi" w:cstheme="minorBidi"/>
              <w:b w:val="0"/>
              <w:noProof/>
              <w:sz w:val="22"/>
              <w:lang w:eastAsia="en-AU"/>
            </w:rPr>
          </w:pPr>
          <w:hyperlink w:anchor="_Toc57809142" w:history="1">
            <w:r w:rsidRPr="00693207">
              <w:rPr>
                <w:rStyle w:val="Hyperlink"/>
                <w:noProof/>
              </w:rPr>
              <w:t>Outcome</w:t>
            </w:r>
            <w:r>
              <w:rPr>
                <w:noProof/>
                <w:webHidden/>
              </w:rPr>
              <w:tab/>
            </w:r>
            <w:r>
              <w:rPr>
                <w:noProof/>
                <w:webHidden/>
              </w:rPr>
              <w:fldChar w:fldCharType="begin"/>
            </w:r>
            <w:r>
              <w:rPr>
                <w:noProof/>
                <w:webHidden/>
              </w:rPr>
              <w:instrText xml:space="preserve"> PAGEREF _Toc57809142 \h </w:instrText>
            </w:r>
            <w:r>
              <w:rPr>
                <w:noProof/>
                <w:webHidden/>
              </w:rPr>
            </w:r>
            <w:r>
              <w:rPr>
                <w:noProof/>
                <w:webHidden/>
              </w:rPr>
              <w:fldChar w:fldCharType="separate"/>
            </w:r>
            <w:r>
              <w:rPr>
                <w:noProof/>
                <w:webHidden/>
              </w:rPr>
              <w:t>23</w:t>
            </w:r>
            <w:r>
              <w:rPr>
                <w:noProof/>
                <w:webHidden/>
              </w:rPr>
              <w:fldChar w:fldCharType="end"/>
            </w:r>
          </w:hyperlink>
        </w:p>
        <w:p w14:paraId="643DD9BD" w14:textId="7515F315" w:rsidR="0082445D" w:rsidRDefault="0082445D">
          <w:pPr>
            <w:pStyle w:val="TOC1"/>
            <w:rPr>
              <w:rFonts w:asciiTheme="minorHAnsi" w:eastAsiaTheme="minorEastAsia" w:hAnsiTheme="minorHAnsi" w:cstheme="minorBidi"/>
              <w:b w:val="0"/>
              <w:noProof/>
              <w:sz w:val="22"/>
              <w:lang w:eastAsia="en-AU"/>
            </w:rPr>
          </w:pPr>
          <w:hyperlink w:anchor="_Toc57809143" w:history="1">
            <w:r w:rsidRPr="00693207">
              <w:rPr>
                <w:rStyle w:val="Hyperlink"/>
                <w:noProof/>
              </w:rPr>
              <w:t>Attachment 1. Product Information</w:t>
            </w:r>
            <w:r>
              <w:rPr>
                <w:noProof/>
                <w:webHidden/>
              </w:rPr>
              <w:tab/>
            </w:r>
            <w:r>
              <w:rPr>
                <w:noProof/>
                <w:webHidden/>
              </w:rPr>
              <w:fldChar w:fldCharType="begin"/>
            </w:r>
            <w:r>
              <w:rPr>
                <w:noProof/>
                <w:webHidden/>
              </w:rPr>
              <w:instrText xml:space="preserve"> PAGEREF _Toc57809143 \h </w:instrText>
            </w:r>
            <w:r>
              <w:rPr>
                <w:noProof/>
                <w:webHidden/>
              </w:rPr>
            </w:r>
            <w:r>
              <w:rPr>
                <w:noProof/>
                <w:webHidden/>
              </w:rPr>
              <w:fldChar w:fldCharType="separate"/>
            </w:r>
            <w:r>
              <w:rPr>
                <w:noProof/>
                <w:webHidden/>
              </w:rPr>
              <w:t>24</w:t>
            </w:r>
            <w:r>
              <w:rPr>
                <w:noProof/>
                <w:webHidden/>
              </w:rPr>
              <w:fldChar w:fldCharType="end"/>
            </w:r>
          </w:hyperlink>
        </w:p>
        <w:p w14:paraId="31DA1BAE" w14:textId="24A1DA46" w:rsidR="003A7F6C" w:rsidRPr="00B811C6" w:rsidRDefault="00C525A2" w:rsidP="00B811C6">
          <w:pPr>
            <w:pStyle w:val="TOC2"/>
          </w:pPr>
          <w:r>
            <w:fldChar w:fldCharType="end"/>
          </w:r>
        </w:p>
      </w:sdtContent>
    </w:sdt>
    <w:bookmarkStart w:id="3" w:name="_Toc314842482" w:displacedByCustomXml="prev"/>
    <w:p w14:paraId="1764B4DC" w14:textId="77777777" w:rsidR="00FD119B" w:rsidRDefault="00FD119B">
      <w:pPr>
        <w:spacing w:before="0" w:after="200" w:line="0" w:lineRule="auto"/>
      </w:pPr>
      <w:r>
        <w:br w:type="page"/>
      </w:r>
    </w:p>
    <w:p w14:paraId="470D1694" w14:textId="0C9EE97D" w:rsidR="00C52E24" w:rsidRPr="00C52E24" w:rsidRDefault="00441C3F" w:rsidP="00E845BA">
      <w:pPr>
        <w:pStyle w:val="Heading2"/>
      </w:pPr>
      <w:bookmarkStart w:id="4" w:name="_Toc351716269"/>
      <w:bookmarkStart w:id="5" w:name="_Toc351718881"/>
      <w:bookmarkStart w:id="6" w:name="_Toc355338616"/>
      <w:bookmarkStart w:id="7" w:name="_Toc356306144"/>
      <w:bookmarkStart w:id="8" w:name="_Toc57809129"/>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E845BA" w:rsidRPr="00FD119B" w14:paraId="03D993AD"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096A4C5F" w14:textId="77777777" w:rsidR="00E845BA" w:rsidRPr="00FD119B" w:rsidRDefault="00E845BA" w:rsidP="00CF5DAD">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4E007D73" w14:textId="77777777" w:rsidR="00E845BA" w:rsidRPr="00FD119B" w:rsidRDefault="00E845BA" w:rsidP="00CF5DAD">
            <w:pPr>
              <w:keepNext w:val="0"/>
              <w:ind w:left="0" w:right="0"/>
              <w:rPr>
                <w:szCs w:val="22"/>
                <w:lang w:eastAsia="en-US"/>
              </w:rPr>
            </w:pPr>
            <w:r w:rsidRPr="00FD119B">
              <w:rPr>
                <w:szCs w:val="22"/>
                <w:lang w:eastAsia="en-US"/>
              </w:rPr>
              <w:t>Meaning</w:t>
            </w:r>
          </w:p>
        </w:tc>
      </w:tr>
      <w:tr w:rsidR="00E845BA" w:rsidRPr="00FD119B" w14:paraId="37562DAA" w14:textId="77777777" w:rsidTr="00FD119B">
        <w:tc>
          <w:tcPr>
            <w:tcW w:w="1809" w:type="dxa"/>
          </w:tcPr>
          <w:p w14:paraId="4D0300BB" w14:textId="77777777" w:rsidR="00E845BA" w:rsidRPr="00FD119B" w:rsidRDefault="00E845BA" w:rsidP="00286580">
            <w:pPr>
              <w:ind w:left="0"/>
            </w:pPr>
            <w:r>
              <w:t>%CV</w:t>
            </w:r>
          </w:p>
        </w:tc>
        <w:tc>
          <w:tcPr>
            <w:tcW w:w="6911" w:type="dxa"/>
          </w:tcPr>
          <w:p w14:paraId="073FD835" w14:textId="77777777" w:rsidR="00E845BA" w:rsidRPr="00FD119B" w:rsidRDefault="00E845BA" w:rsidP="00286580">
            <w:pPr>
              <w:ind w:left="0"/>
            </w:pPr>
            <w:r>
              <w:t>Coefficient of variation</w:t>
            </w:r>
          </w:p>
        </w:tc>
      </w:tr>
      <w:tr w:rsidR="00E845BA" w:rsidRPr="00FD119B" w14:paraId="0CCDB115" w14:textId="77777777" w:rsidTr="00CF5DAD">
        <w:tc>
          <w:tcPr>
            <w:tcW w:w="1809" w:type="dxa"/>
            <w:tcBorders>
              <w:top w:val="single" w:sz="4" w:space="0" w:color="auto"/>
            </w:tcBorders>
          </w:tcPr>
          <w:p w14:paraId="0022A662" w14:textId="77777777" w:rsidR="00E845BA" w:rsidRPr="00FD119B" w:rsidRDefault="00E845BA" w:rsidP="00CF5DAD">
            <w:pPr>
              <w:ind w:left="0" w:right="0"/>
            </w:pPr>
            <w:r>
              <w:t>ACM</w:t>
            </w:r>
          </w:p>
        </w:tc>
        <w:tc>
          <w:tcPr>
            <w:tcW w:w="6911" w:type="dxa"/>
            <w:tcBorders>
              <w:top w:val="single" w:sz="4" w:space="0" w:color="auto"/>
            </w:tcBorders>
          </w:tcPr>
          <w:p w14:paraId="4C55A5FD" w14:textId="77777777" w:rsidR="00E845BA" w:rsidRPr="00FD119B" w:rsidRDefault="00E845BA" w:rsidP="00CF5DAD">
            <w:pPr>
              <w:ind w:left="0" w:right="0"/>
            </w:pPr>
            <w:r w:rsidRPr="00460036">
              <w:t>Advisory Committee on Medicines</w:t>
            </w:r>
          </w:p>
        </w:tc>
      </w:tr>
      <w:tr w:rsidR="00E845BA" w:rsidRPr="00FD119B" w14:paraId="58DBD46C" w14:textId="77777777" w:rsidTr="00FD119B">
        <w:tc>
          <w:tcPr>
            <w:tcW w:w="1809" w:type="dxa"/>
          </w:tcPr>
          <w:p w14:paraId="4A0F3025" w14:textId="77777777" w:rsidR="00E845BA" w:rsidRDefault="00E845BA" w:rsidP="003A4C00">
            <w:pPr>
              <w:ind w:left="0"/>
            </w:pPr>
            <w:r>
              <w:t>AE</w:t>
            </w:r>
          </w:p>
        </w:tc>
        <w:tc>
          <w:tcPr>
            <w:tcW w:w="6911" w:type="dxa"/>
          </w:tcPr>
          <w:p w14:paraId="43B6DA27" w14:textId="6D4FB95A" w:rsidR="00E845BA" w:rsidRDefault="00D73B2D" w:rsidP="003A4C00">
            <w:pPr>
              <w:ind w:left="0"/>
            </w:pPr>
            <w:r>
              <w:t>Adverse event</w:t>
            </w:r>
          </w:p>
        </w:tc>
      </w:tr>
      <w:tr w:rsidR="00E845BA" w:rsidRPr="00FD119B" w14:paraId="343F1577" w14:textId="77777777" w:rsidTr="00FD119B">
        <w:tc>
          <w:tcPr>
            <w:tcW w:w="1809" w:type="dxa"/>
          </w:tcPr>
          <w:p w14:paraId="04710D4D" w14:textId="77777777" w:rsidR="00E845BA" w:rsidRPr="00FD119B" w:rsidRDefault="00E845BA" w:rsidP="003A4C00">
            <w:pPr>
              <w:ind w:left="0"/>
            </w:pPr>
            <w:r>
              <w:t>ALC</w:t>
            </w:r>
          </w:p>
        </w:tc>
        <w:tc>
          <w:tcPr>
            <w:tcW w:w="6911" w:type="dxa"/>
          </w:tcPr>
          <w:p w14:paraId="00180331" w14:textId="77777777" w:rsidR="00E845BA" w:rsidRPr="00FD119B" w:rsidRDefault="00E845BA" w:rsidP="003A4C00">
            <w:pPr>
              <w:ind w:left="0"/>
            </w:pPr>
            <w:r>
              <w:t>Absolute lymphocyte count</w:t>
            </w:r>
          </w:p>
        </w:tc>
      </w:tr>
      <w:tr w:rsidR="00E845BA" w:rsidRPr="00FD119B" w14:paraId="10C6F4C8" w14:textId="77777777" w:rsidTr="00FD119B">
        <w:tc>
          <w:tcPr>
            <w:tcW w:w="1809" w:type="dxa"/>
          </w:tcPr>
          <w:p w14:paraId="73274594" w14:textId="77777777" w:rsidR="00E845BA" w:rsidRDefault="00E845BA" w:rsidP="003A4C00">
            <w:pPr>
              <w:ind w:left="0"/>
            </w:pPr>
            <w:r>
              <w:t>ALT</w:t>
            </w:r>
          </w:p>
        </w:tc>
        <w:tc>
          <w:tcPr>
            <w:tcW w:w="6911" w:type="dxa"/>
          </w:tcPr>
          <w:p w14:paraId="44A533F4" w14:textId="77777777" w:rsidR="00E845BA" w:rsidRDefault="00E845BA" w:rsidP="003A4C00">
            <w:pPr>
              <w:ind w:left="0"/>
            </w:pPr>
            <w:r>
              <w:t>Alanine transaminase</w:t>
            </w:r>
          </w:p>
        </w:tc>
      </w:tr>
      <w:tr w:rsidR="00E845BA" w:rsidRPr="00FD119B" w14:paraId="7436D3EC" w14:textId="77777777" w:rsidTr="00FD119B">
        <w:tc>
          <w:tcPr>
            <w:tcW w:w="1809" w:type="dxa"/>
          </w:tcPr>
          <w:p w14:paraId="3BA947AA" w14:textId="77777777" w:rsidR="00E845BA" w:rsidRPr="00FD119B" w:rsidRDefault="00E845BA" w:rsidP="00CF5DAD">
            <w:pPr>
              <w:ind w:left="0" w:right="0"/>
            </w:pPr>
            <w:r>
              <w:t>ARTG</w:t>
            </w:r>
          </w:p>
        </w:tc>
        <w:tc>
          <w:tcPr>
            <w:tcW w:w="6911" w:type="dxa"/>
          </w:tcPr>
          <w:p w14:paraId="682F28A3" w14:textId="77777777" w:rsidR="00E845BA" w:rsidRPr="00FD119B" w:rsidRDefault="00E845BA" w:rsidP="00CF5DAD">
            <w:pPr>
              <w:ind w:left="0" w:right="0"/>
            </w:pPr>
            <w:r w:rsidRPr="00460036">
              <w:t>Australian Register of Therapeutic Goods</w:t>
            </w:r>
          </w:p>
        </w:tc>
      </w:tr>
      <w:tr w:rsidR="00E845BA" w:rsidRPr="00FD119B" w14:paraId="13EF7401" w14:textId="77777777" w:rsidTr="00FD119B">
        <w:tc>
          <w:tcPr>
            <w:tcW w:w="1809" w:type="dxa"/>
          </w:tcPr>
          <w:p w14:paraId="766CF559" w14:textId="77777777" w:rsidR="00E845BA" w:rsidRDefault="00E845BA" w:rsidP="00E845BA">
            <w:pPr>
              <w:ind w:left="0"/>
            </w:pPr>
            <w:r>
              <w:t>ASA</w:t>
            </w:r>
          </w:p>
        </w:tc>
        <w:tc>
          <w:tcPr>
            <w:tcW w:w="6911" w:type="dxa"/>
          </w:tcPr>
          <w:p w14:paraId="4D0D57D5" w14:textId="77777777" w:rsidR="00E845BA" w:rsidRDefault="00E845BA" w:rsidP="00E845BA">
            <w:pPr>
              <w:ind w:left="0"/>
            </w:pPr>
            <w:r>
              <w:t>Australia-specific Annex</w:t>
            </w:r>
          </w:p>
        </w:tc>
      </w:tr>
      <w:tr w:rsidR="00E845BA" w:rsidRPr="00FD119B" w14:paraId="11E0923A" w14:textId="77777777" w:rsidTr="00FD119B">
        <w:tc>
          <w:tcPr>
            <w:tcW w:w="1809" w:type="dxa"/>
          </w:tcPr>
          <w:p w14:paraId="6441F3DF" w14:textId="77777777" w:rsidR="00E845BA" w:rsidRPr="00FD119B" w:rsidRDefault="00E845BA" w:rsidP="003A4C00">
            <w:pPr>
              <w:ind w:left="0"/>
            </w:pPr>
            <w:r>
              <w:t>AUC</w:t>
            </w:r>
          </w:p>
        </w:tc>
        <w:tc>
          <w:tcPr>
            <w:tcW w:w="6911" w:type="dxa"/>
          </w:tcPr>
          <w:p w14:paraId="5135A3FA" w14:textId="77777777" w:rsidR="00E845BA" w:rsidRPr="00FD119B" w:rsidRDefault="00E845BA" w:rsidP="003A4C00">
            <w:pPr>
              <w:ind w:left="0"/>
            </w:pPr>
            <w:r w:rsidRPr="003A4C00">
              <w:t>Area under the plasma concentration-time curve</w:t>
            </w:r>
          </w:p>
        </w:tc>
      </w:tr>
      <w:tr w:rsidR="00E845BA" w:rsidRPr="00FD119B" w14:paraId="26DF16A5" w14:textId="77777777" w:rsidTr="00FD119B">
        <w:tc>
          <w:tcPr>
            <w:tcW w:w="1809" w:type="dxa"/>
          </w:tcPr>
          <w:p w14:paraId="6F567DD4" w14:textId="77777777" w:rsidR="00E845BA" w:rsidRPr="00FD119B" w:rsidRDefault="00E845BA" w:rsidP="00286580">
            <w:pPr>
              <w:ind w:left="0"/>
            </w:pPr>
            <w:r>
              <w:t>BBB</w:t>
            </w:r>
          </w:p>
        </w:tc>
        <w:tc>
          <w:tcPr>
            <w:tcW w:w="6911" w:type="dxa"/>
          </w:tcPr>
          <w:p w14:paraId="64262826" w14:textId="77777777" w:rsidR="00E845BA" w:rsidRPr="00FD119B" w:rsidRDefault="00E845BA" w:rsidP="00286580">
            <w:pPr>
              <w:ind w:left="0"/>
            </w:pPr>
            <w:r>
              <w:t>Blood brain barrier</w:t>
            </w:r>
          </w:p>
        </w:tc>
      </w:tr>
      <w:tr w:rsidR="00E845BA" w:rsidRPr="00FD119B" w14:paraId="2E185919" w14:textId="77777777" w:rsidTr="00FD119B">
        <w:tc>
          <w:tcPr>
            <w:tcW w:w="1809" w:type="dxa"/>
          </w:tcPr>
          <w:p w14:paraId="2C36B562" w14:textId="4F902CC9" w:rsidR="00E845BA" w:rsidRDefault="00E845BA" w:rsidP="00E845BA">
            <w:pPr>
              <w:ind w:left="0"/>
            </w:pPr>
            <w:r>
              <w:t>CC112273</w:t>
            </w:r>
          </w:p>
        </w:tc>
        <w:tc>
          <w:tcPr>
            <w:tcW w:w="6911" w:type="dxa"/>
          </w:tcPr>
          <w:p w14:paraId="49D93D7A" w14:textId="2DA6150A" w:rsidR="00E845BA" w:rsidRDefault="00E845BA" w:rsidP="00E845BA">
            <w:pPr>
              <w:ind w:left="0"/>
            </w:pPr>
            <w:r>
              <w:t xml:space="preserve">Major </w:t>
            </w:r>
            <w:proofErr w:type="spellStart"/>
            <w:r>
              <w:t>ozanimod</w:t>
            </w:r>
            <w:proofErr w:type="spellEnd"/>
            <w:r>
              <w:t xml:space="preserve"> metabolite</w:t>
            </w:r>
          </w:p>
        </w:tc>
      </w:tr>
      <w:tr w:rsidR="00E845BA" w:rsidRPr="00FD119B" w14:paraId="0A483BCC" w14:textId="77777777" w:rsidTr="00FD119B">
        <w:tc>
          <w:tcPr>
            <w:tcW w:w="1809" w:type="dxa"/>
          </w:tcPr>
          <w:p w14:paraId="70949677" w14:textId="01E5DDC6" w:rsidR="00E845BA" w:rsidRDefault="00E845BA" w:rsidP="00E845BA">
            <w:pPr>
              <w:ind w:left="0"/>
            </w:pPr>
            <w:r>
              <w:t>CC1084037</w:t>
            </w:r>
          </w:p>
        </w:tc>
        <w:tc>
          <w:tcPr>
            <w:tcW w:w="6911" w:type="dxa"/>
          </w:tcPr>
          <w:p w14:paraId="0F5D5310" w14:textId="556F3B15" w:rsidR="00E845BA" w:rsidRDefault="00E845BA" w:rsidP="00E845BA">
            <w:pPr>
              <w:ind w:left="0"/>
            </w:pPr>
            <w:r>
              <w:t xml:space="preserve">Major </w:t>
            </w:r>
            <w:proofErr w:type="spellStart"/>
            <w:r>
              <w:t>ozanimod</w:t>
            </w:r>
            <w:proofErr w:type="spellEnd"/>
            <w:r>
              <w:t xml:space="preserve"> metabolite</w:t>
            </w:r>
          </w:p>
        </w:tc>
      </w:tr>
      <w:tr w:rsidR="00E845BA" w:rsidRPr="00FD119B" w14:paraId="50CD0DEF" w14:textId="77777777" w:rsidTr="00FD119B">
        <w:tc>
          <w:tcPr>
            <w:tcW w:w="1809" w:type="dxa"/>
          </w:tcPr>
          <w:p w14:paraId="57746D70" w14:textId="77777777" w:rsidR="00E845BA" w:rsidRPr="00FD119B" w:rsidRDefault="00E845BA" w:rsidP="00286580">
            <w:pPr>
              <w:ind w:left="0"/>
            </w:pPr>
            <w:proofErr w:type="spellStart"/>
            <w:r>
              <w:t>C</w:t>
            </w:r>
            <w:r w:rsidRPr="00286580">
              <w:rPr>
                <w:vertAlign w:val="subscript"/>
              </w:rPr>
              <w:t>max</w:t>
            </w:r>
            <w:proofErr w:type="spellEnd"/>
          </w:p>
        </w:tc>
        <w:tc>
          <w:tcPr>
            <w:tcW w:w="6911" w:type="dxa"/>
          </w:tcPr>
          <w:p w14:paraId="2897560E" w14:textId="77777777" w:rsidR="00E845BA" w:rsidRPr="00FD119B" w:rsidRDefault="00E845BA" w:rsidP="00286580">
            <w:pPr>
              <w:ind w:left="0"/>
            </w:pPr>
            <w:r w:rsidRPr="00286580">
              <w:t>Maximum (peak) plasma drug concentration</w:t>
            </w:r>
          </w:p>
        </w:tc>
      </w:tr>
      <w:tr w:rsidR="00E845BA" w:rsidRPr="00FD119B" w14:paraId="2389098A" w14:textId="77777777" w:rsidTr="00FD119B">
        <w:tc>
          <w:tcPr>
            <w:tcW w:w="1809" w:type="dxa"/>
          </w:tcPr>
          <w:p w14:paraId="659C622A" w14:textId="77777777" w:rsidR="00E845BA" w:rsidRPr="00FD119B" w:rsidRDefault="00E845BA" w:rsidP="00286580">
            <w:pPr>
              <w:ind w:left="0"/>
            </w:pPr>
            <w:r>
              <w:t>CNS</w:t>
            </w:r>
          </w:p>
        </w:tc>
        <w:tc>
          <w:tcPr>
            <w:tcW w:w="6911" w:type="dxa"/>
          </w:tcPr>
          <w:p w14:paraId="3B6EC504" w14:textId="77777777" w:rsidR="00E845BA" w:rsidRPr="00FD119B" w:rsidRDefault="00E845BA" w:rsidP="00286580">
            <w:pPr>
              <w:ind w:left="0"/>
            </w:pPr>
            <w:r>
              <w:t>Central nervous system</w:t>
            </w:r>
          </w:p>
        </w:tc>
      </w:tr>
      <w:tr w:rsidR="00E845BA" w:rsidRPr="00FD119B" w14:paraId="07E3D743" w14:textId="77777777" w:rsidTr="00FD119B">
        <w:tc>
          <w:tcPr>
            <w:tcW w:w="1809" w:type="dxa"/>
          </w:tcPr>
          <w:p w14:paraId="5B3FB9DD" w14:textId="77777777" w:rsidR="00E845BA" w:rsidRPr="00FD119B" w:rsidRDefault="00E845BA" w:rsidP="003A4C00">
            <w:pPr>
              <w:ind w:left="0"/>
            </w:pPr>
            <w:r>
              <w:t>CYP</w:t>
            </w:r>
          </w:p>
        </w:tc>
        <w:tc>
          <w:tcPr>
            <w:tcW w:w="6911" w:type="dxa"/>
          </w:tcPr>
          <w:p w14:paraId="36CA3F1C" w14:textId="77777777" w:rsidR="00E845BA" w:rsidRPr="00FD119B" w:rsidRDefault="00E845BA" w:rsidP="003A4C00">
            <w:pPr>
              <w:ind w:left="0"/>
            </w:pPr>
            <w:r>
              <w:t>CYP P450 enzyme family</w:t>
            </w:r>
          </w:p>
        </w:tc>
      </w:tr>
      <w:tr w:rsidR="00E845BA" w:rsidRPr="00FD119B" w14:paraId="1E54EE62" w14:textId="77777777" w:rsidTr="00FD119B">
        <w:tc>
          <w:tcPr>
            <w:tcW w:w="1809" w:type="dxa"/>
          </w:tcPr>
          <w:p w14:paraId="4AC5E0C2" w14:textId="77777777" w:rsidR="00E845BA" w:rsidRDefault="00E845BA" w:rsidP="00E845BA">
            <w:pPr>
              <w:ind w:left="0"/>
            </w:pPr>
            <w:r>
              <w:t>DDI</w:t>
            </w:r>
          </w:p>
        </w:tc>
        <w:tc>
          <w:tcPr>
            <w:tcW w:w="6911" w:type="dxa"/>
          </w:tcPr>
          <w:p w14:paraId="244C4DE4" w14:textId="77777777" w:rsidR="00E845BA" w:rsidRDefault="00E845BA" w:rsidP="00E845BA">
            <w:pPr>
              <w:ind w:left="0"/>
            </w:pPr>
            <w:r>
              <w:t>Drug-drug interaction</w:t>
            </w:r>
          </w:p>
        </w:tc>
      </w:tr>
      <w:tr w:rsidR="00E845BA" w:rsidRPr="00FD119B" w14:paraId="4B24DE93" w14:textId="77777777" w:rsidTr="00FD119B">
        <w:tc>
          <w:tcPr>
            <w:tcW w:w="1809" w:type="dxa"/>
          </w:tcPr>
          <w:p w14:paraId="3B49F52D" w14:textId="77777777" w:rsidR="00E845BA" w:rsidRDefault="00E845BA" w:rsidP="00E845BA">
            <w:pPr>
              <w:ind w:left="0"/>
            </w:pPr>
            <w:r>
              <w:t>DLP</w:t>
            </w:r>
          </w:p>
        </w:tc>
        <w:tc>
          <w:tcPr>
            <w:tcW w:w="6911" w:type="dxa"/>
          </w:tcPr>
          <w:p w14:paraId="1F4F9571" w14:textId="77777777" w:rsidR="00E845BA" w:rsidRDefault="00E845BA" w:rsidP="00E845BA">
            <w:pPr>
              <w:ind w:left="0"/>
            </w:pPr>
            <w:r>
              <w:t>Data lock point</w:t>
            </w:r>
          </w:p>
        </w:tc>
      </w:tr>
      <w:tr w:rsidR="00BE0232" w:rsidRPr="00FD119B" w14:paraId="5715AE72" w14:textId="77777777" w:rsidTr="00FD119B">
        <w:tc>
          <w:tcPr>
            <w:tcW w:w="1809" w:type="dxa"/>
          </w:tcPr>
          <w:p w14:paraId="1F637776" w14:textId="7555F122" w:rsidR="00BE0232" w:rsidRDefault="00BE0232" w:rsidP="00BE0232">
            <w:pPr>
              <w:ind w:left="0"/>
            </w:pPr>
            <w:r>
              <w:t>EU</w:t>
            </w:r>
          </w:p>
        </w:tc>
        <w:tc>
          <w:tcPr>
            <w:tcW w:w="6911" w:type="dxa"/>
          </w:tcPr>
          <w:p w14:paraId="45EAADAD" w14:textId="5C67DE3A" w:rsidR="00BE0232" w:rsidRDefault="00BE0232" w:rsidP="00BE0232">
            <w:pPr>
              <w:ind w:left="0"/>
            </w:pPr>
            <w:r>
              <w:t>European Union</w:t>
            </w:r>
          </w:p>
        </w:tc>
      </w:tr>
      <w:tr w:rsidR="00E845BA" w:rsidRPr="00FD119B" w14:paraId="29889E70" w14:textId="77777777" w:rsidTr="00FD119B">
        <w:tc>
          <w:tcPr>
            <w:tcW w:w="1809" w:type="dxa"/>
          </w:tcPr>
          <w:p w14:paraId="607B9507" w14:textId="77777777" w:rsidR="00E845BA" w:rsidRPr="003A4C00" w:rsidRDefault="00E845BA" w:rsidP="003A4C00">
            <w:pPr>
              <w:ind w:left="0"/>
              <w:rPr>
                <w:vertAlign w:val="subscript"/>
              </w:rPr>
            </w:pPr>
            <w:r>
              <w:t>FEV</w:t>
            </w:r>
            <w:r>
              <w:rPr>
                <w:vertAlign w:val="subscript"/>
              </w:rPr>
              <w:t>1</w:t>
            </w:r>
          </w:p>
        </w:tc>
        <w:tc>
          <w:tcPr>
            <w:tcW w:w="6911" w:type="dxa"/>
          </w:tcPr>
          <w:p w14:paraId="00110F67" w14:textId="77777777" w:rsidR="00E845BA" w:rsidRDefault="00E845BA" w:rsidP="003A4C00">
            <w:pPr>
              <w:ind w:left="0"/>
            </w:pPr>
            <w:r>
              <w:t>Forced expiratory volume in 1 second</w:t>
            </w:r>
          </w:p>
        </w:tc>
      </w:tr>
      <w:tr w:rsidR="00E845BA" w:rsidRPr="00FD119B" w14:paraId="1CB8F0BA" w14:textId="77777777" w:rsidTr="00FD119B">
        <w:tc>
          <w:tcPr>
            <w:tcW w:w="1809" w:type="dxa"/>
          </w:tcPr>
          <w:p w14:paraId="7932F51E" w14:textId="77777777" w:rsidR="00E845BA" w:rsidRDefault="00E845BA" w:rsidP="00E845BA">
            <w:pPr>
              <w:ind w:left="0"/>
            </w:pPr>
            <w:r>
              <w:t>GLP</w:t>
            </w:r>
          </w:p>
        </w:tc>
        <w:tc>
          <w:tcPr>
            <w:tcW w:w="6911" w:type="dxa"/>
          </w:tcPr>
          <w:p w14:paraId="32F283D9" w14:textId="77777777" w:rsidR="00E845BA" w:rsidRDefault="00E845BA" w:rsidP="00E845BA">
            <w:pPr>
              <w:ind w:left="0"/>
            </w:pPr>
            <w:r>
              <w:t>Good Laboratory Practice</w:t>
            </w:r>
          </w:p>
        </w:tc>
      </w:tr>
      <w:tr w:rsidR="00E845BA" w:rsidRPr="00FD119B" w14:paraId="18CFBAA8" w14:textId="77777777" w:rsidTr="00FD119B">
        <w:tc>
          <w:tcPr>
            <w:tcW w:w="1809" w:type="dxa"/>
          </w:tcPr>
          <w:p w14:paraId="7DF7E1B0" w14:textId="77777777" w:rsidR="00E845BA" w:rsidRDefault="00E845BA" w:rsidP="00E845BA">
            <w:pPr>
              <w:ind w:left="0"/>
            </w:pPr>
            <w:r>
              <w:t>HCP</w:t>
            </w:r>
          </w:p>
        </w:tc>
        <w:tc>
          <w:tcPr>
            <w:tcW w:w="6911" w:type="dxa"/>
          </w:tcPr>
          <w:p w14:paraId="299A2023" w14:textId="77777777" w:rsidR="00E845BA" w:rsidRDefault="00E845BA" w:rsidP="00E845BA">
            <w:pPr>
              <w:ind w:left="0"/>
            </w:pPr>
            <w:r>
              <w:t>Healthcare professional</w:t>
            </w:r>
          </w:p>
        </w:tc>
      </w:tr>
      <w:tr w:rsidR="00E845BA" w:rsidRPr="00FD119B" w14:paraId="3BCD8C20" w14:textId="77777777" w:rsidTr="00FD119B">
        <w:tc>
          <w:tcPr>
            <w:tcW w:w="1809" w:type="dxa"/>
          </w:tcPr>
          <w:p w14:paraId="74386DA2" w14:textId="77777777" w:rsidR="00E845BA" w:rsidRDefault="00E845BA" w:rsidP="00E845BA">
            <w:pPr>
              <w:ind w:left="0"/>
            </w:pPr>
            <w:r>
              <w:t>ICH</w:t>
            </w:r>
          </w:p>
        </w:tc>
        <w:tc>
          <w:tcPr>
            <w:tcW w:w="6911" w:type="dxa"/>
          </w:tcPr>
          <w:p w14:paraId="33D2DF4E" w14:textId="77777777" w:rsidR="00E845BA" w:rsidRDefault="00E845BA" w:rsidP="00E845BA">
            <w:pPr>
              <w:ind w:left="0"/>
            </w:pPr>
            <w:r>
              <w:t>International Conference on Harmonisation</w:t>
            </w:r>
          </w:p>
        </w:tc>
      </w:tr>
      <w:tr w:rsidR="00E845BA" w:rsidRPr="00FD119B" w14:paraId="6166C2A3" w14:textId="77777777" w:rsidTr="00FD119B">
        <w:tc>
          <w:tcPr>
            <w:tcW w:w="1809" w:type="dxa"/>
          </w:tcPr>
          <w:p w14:paraId="57858AD4" w14:textId="77777777" w:rsidR="00E845BA" w:rsidRDefault="00E845BA" w:rsidP="003A4C00">
            <w:pPr>
              <w:ind w:left="0"/>
            </w:pPr>
            <w:r>
              <w:t>IFN β1a</w:t>
            </w:r>
          </w:p>
        </w:tc>
        <w:tc>
          <w:tcPr>
            <w:tcW w:w="6911" w:type="dxa"/>
          </w:tcPr>
          <w:p w14:paraId="392BD3BD" w14:textId="77777777" w:rsidR="00E845BA" w:rsidRDefault="00E845BA" w:rsidP="003A4C00">
            <w:pPr>
              <w:ind w:left="0"/>
            </w:pPr>
            <w:r>
              <w:t>Interferon beta-1-a (also known as interferon beta-1-alpha)</w:t>
            </w:r>
          </w:p>
        </w:tc>
      </w:tr>
      <w:tr w:rsidR="00E845BA" w:rsidRPr="00FD119B" w14:paraId="7ED8DF79" w14:textId="77777777" w:rsidTr="00FD119B">
        <w:tc>
          <w:tcPr>
            <w:tcW w:w="1809" w:type="dxa"/>
          </w:tcPr>
          <w:p w14:paraId="3E45E445" w14:textId="77777777" w:rsidR="00E845BA" w:rsidRPr="00FD119B" w:rsidRDefault="00E845BA" w:rsidP="003A4C00">
            <w:pPr>
              <w:ind w:left="0"/>
            </w:pPr>
            <w:r>
              <w:t>MAO</w:t>
            </w:r>
          </w:p>
        </w:tc>
        <w:tc>
          <w:tcPr>
            <w:tcW w:w="6911" w:type="dxa"/>
          </w:tcPr>
          <w:p w14:paraId="1A530AFA" w14:textId="77777777" w:rsidR="00E845BA" w:rsidRPr="00FD119B" w:rsidRDefault="00E845BA" w:rsidP="003A4C00">
            <w:pPr>
              <w:ind w:left="0"/>
            </w:pPr>
            <w:r>
              <w:t>Monoamine oxidase</w:t>
            </w:r>
          </w:p>
        </w:tc>
      </w:tr>
      <w:tr w:rsidR="00E845BA" w:rsidRPr="00FD119B" w14:paraId="6EFE8CBB" w14:textId="77777777" w:rsidTr="00FD119B">
        <w:tc>
          <w:tcPr>
            <w:tcW w:w="1809" w:type="dxa"/>
          </w:tcPr>
          <w:p w14:paraId="6102302C" w14:textId="77777777" w:rsidR="00E845BA" w:rsidRPr="00FD119B" w:rsidRDefault="00E845BA" w:rsidP="003A4C00">
            <w:pPr>
              <w:ind w:left="0"/>
            </w:pPr>
            <w:r>
              <w:t>MAOI</w:t>
            </w:r>
          </w:p>
        </w:tc>
        <w:tc>
          <w:tcPr>
            <w:tcW w:w="6911" w:type="dxa"/>
          </w:tcPr>
          <w:p w14:paraId="2BFEF4B5" w14:textId="77777777" w:rsidR="00E845BA" w:rsidRPr="00FD119B" w:rsidRDefault="00E845BA" w:rsidP="003A4C00">
            <w:pPr>
              <w:ind w:left="0"/>
            </w:pPr>
            <w:r>
              <w:t>Monoamine oxidase inhibitor</w:t>
            </w:r>
          </w:p>
        </w:tc>
      </w:tr>
      <w:tr w:rsidR="00E845BA" w:rsidRPr="00FD119B" w14:paraId="0A7D71D2" w14:textId="77777777" w:rsidTr="00FD119B">
        <w:tc>
          <w:tcPr>
            <w:tcW w:w="1809" w:type="dxa"/>
          </w:tcPr>
          <w:p w14:paraId="3669DEFD" w14:textId="77777777" w:rsidR="00E845BA" w:rsidRDefault="00E845BA" w:rsidP="003A4C00">
            <w:pPr>
              <w:ind w:left="0"/>
            </w:pPr>
            <w:r>
              <w:t>MedDRA</w:t>
            </w:r>
          </w:p>
        </w:tc>
        <w:tc>
          <w:tcPr>
            <w:tcW w:w="6911" w:type="dxa"/>
          </w:tcPr>
          <w:p w14:paraId="169C6FE5" w14:textId="77777777" w:rsidR="00E845BA" w:rsidRDefault="00E845BA" w:rsidP="003A4C00">
            <w:pPr>
              <w:ind w:left="0"/>
            </w:pPr>
            <w:r>
              <w:t>Medical Dictionary for Regulatory Affairs</w:t>
            </w:r>
          </w:p>
        </w:tc>
      </w:tr>
      <w:tr w:rsidR="00E845BA" w:rsidRPr="00FD119B" w14:paraId="3C17E0B5" w14:textId="77777777" w:rsidTr="00FD119B">
        <w:tc>
          <w:tcPr>
            <w:tcW w:w="1809" w:type="dxa"/>
          </w:tcPr>
          <w:p w14:paraId="09843FA9" w14:textId="77777777" w:rsidR="00E845BA" w:rsidRDefault="00E845BA" w:rsidP="003A4C00">
            <w:pPr>
              <w:ind w:left="0"/>
            </w:pPr>
            <w:r>
              <w:lastRenderedPageBreak/>
              <w:t>mmHg</w:t>
            </w:r>
          </w:p>
        </w:tc>
        <w:tc>
          <w:tcPr>
            <w:tcW w:w="6911" w:type="dxa"/>
          </w:tcPr>
          <w:p w14:paraId="318AFCFA" w14:textId="77777777" w:rsidR="00E845BA" w:rsidRDefault="00E845BA" w:rsidP="003A4C00">
            <w:pPr>
              <w:ind w:left="0"/>
            </w:pPr>
            <w:r>
              <w:t>Millimetres of mercury (blood pressure measurement)</w:t>
            </w:r>
          </w:p>
        </w:tc>
      </w:tr>
      <w:tr w:rsidR="00E845BA" w:rsidRPr="00FD119B" w14:paraId="246C7DED" w14:textId="77777777" w:rsidTr="00FD119B">
        <w:tc>
          <w:tcPr>
            <w:tcW w:w="1809" w:type="dxa"/>
          </w:tcPr>
          <w:p w14:paraId="7B144A14" w14:textId="77777777" w:rsidR="00E845BA" w:rsidRPr="00FD119B" w:rsidRDefault="00E845BA" w:rsidP="00CF5DAD">
            <w:pPr>
              <w:ind w:left="0" w:right="0"/>
              <w:rPr>
                <w:color w:val="auto"/>
                <w:szCs w:val="22"/>
                <w:lang w:eastAsia="en-US"/>
              </w:rPr>
            </w:pPr>
            <w:r>
              <w:rPr>
                <w:color w:val="auto"/>
                <w:szCs w:val="22"/>
                <w:lang w:eastAsia="en-US"/>
              </w:rPr>
              <w:t>MS</w:t>
            </w:r>
          </w:p>
        </w:tc>
        <w:tc>
          <w:tcPr>
            <w:tcW w:w="6911" w:type="dxa"/>
          </w:tcPr>
          <w:p w14:paraId="546AE8A9" w14:textId="77777777" w:rsidR="00E845BA" w:rsidRPr="00FD119B" w:rsidRDefault="00E845BA" w:rsidP="00CF5DAD">
            <w:pPr>
              <w:ind w:left="0" w:right="0"/>
              <w:rPr>
                <w:color w:val="auto"/>
                <w:szCs w:val="22"/>
                <w:lang w:eastAsia="en-US"/>
              </w:rPr>
            </w:pPr>
            <w:r>
              <w:rPr>
                <w:color w:val="auto"/>
                <w:szCs w:val="22"/>
                <w:lang w:eastAsia="en-US"/>
              </w:rPr>
              <w:t>Multiple sclerosis</w:t>
            </w:r>
          </w:p>
        </w:tc>
      </w:tr>
      <w:tr w:rsidR="00E845BA" w:rsidRPr="00FD119B" w14:paraId="36EABD5E" w14:textId="77777777" w:rsidTr="00FD119B">
        <w:tc>
          <w:tcPr>
            <w:tcW w:w="1809" w:type="dxa"/>
          </w:tcPr>
          <w:p w14:paraId="7127C177" w14:textId="77777777" w:rsidR="00E845BA" w:rsidRDefault="00E845BA" w:rsidP="00E845BA">
            <w:pPr>
              <w:ind w:left="0"/>
            </w:pPr>
            <w:r>
              <w:t>PASS</w:t>
            </w:r>
          </w:p>
        </w:tc>
        <w:tc>
          <w:tcPr>
            <w:tcW w:w="6911" w:type="dxa"/>
          </w:tcPr>
          <w:p w14:paraId="1D35E04D" w14:textId="77777777" w:rsidR="00E845BA" w:rsidRDefault="00E845BA" w:rsidP="00E845BA">
            <w:pPr>
              <w:ind w:left="0"/>
            </w:pPr>
            <w:r>
              <w:t>Post-authorisation safety study</w:t>
            </w:r>
          </w:p>
        </w:tc>
      </w:tr>
      <w:tr w:rsidR="00E845BA" w:rsidRPr="00FD119B" w14:paraId="5A8A9D39" w14:textId="77777777" w:rsidTr="00FD119B">
        <w:tc>
          <w:tcPr>
            <w:tcW w:w="1809" w:type="dxa"/>
          </w:tcPr>
          <w:p w14:paraId="666F9F5B" w14:textId="77777777" w:rsidR="00E845BA" w:rsidRPr="00FD119B" w:rsidRDefault="00E845BA" w:rsidP="00286580">
            <w:pPr>
              <w:ind w:left="0"/>
            </w:pPr>
            <w:r>
              <w:t>PD</w:t>
            </w:r>
          </w:p>
        </w:tc>
        <w:tc>
          <w:tcPr>
            <w:tcW w:w="6911" w:type="dxa"/>
          </w:tcPr>
          <w:p w14:paraId="63414896" w14:textId="77777777" w:rsidR="00E845BA" w:rsidRPr="00FD119B" w:rsidRDefault="00E845BA" w:rsidP="00286580">
            <w:pPr>
              <w:ind w:left="0"/>
            </w:pPr>
            <w:r>
              <w:t>Pharmacodynamic(s)</w:t>
            </w:r>
          </w:p>
        </w:tc>
      </w:tr>
      <w:tr w:rsidR="00E845BA" w:rsidRPr="00FD119B" w14:paraId="69F09A46" w14:textId="77777777" w:rsidTr="00FD119B">
        <w:tc>
          <w:tcPr>
            <w:tcW w:w="1809" w:type="dxa"/>
          </w:tcPr>
          <w:p w14:paraId="12BE81C8" w14:textId="77777777" w:rsidR="00E845BA" w:rsidRPr="00FD119B" w:rsidRDefault="00E845BA" w:rsidP="00286580">
            <w:pPr>
              <w:ind w:left="0"/>
            </w:pPr>
            <w:r>
              <w:t>PK</w:t>
            </w:r>
          </w:p>
        </w:tc>
        <w:tc>
          <w:tcPr>
            <w:tcW w:w="6911" w:type="dxa"/>
          </w:tcPr>
          <w:p w14:paraId="3185829D" w14:textId="77777777" w:rsidR="00E845BA" w:rsidRPr="00FD119B" w:rsidRDefault="00E845BA" w:rsidP="00286580">
            <w:pPr>
              <w:ind w:left="0"/>
            </w:pPr>
            <w:r>
              <w:t>Pharmacokinetic(s)</w:t>
            </w:r>
          </w:p>
        </w:tc>
      </w:tr>
      <w:tr w:rsidR="00E845BA" w:rsidRPr="00FD119B" w14:paraId="6D1CC05A" w14:textId="77777777" w:rsidTr="00FD119B">
        <w:tc>
          <w:tcPr>
            <w:tcW w:w="1809" w:type="dxa"/>
          </w:tcPr>
          <w:p w14:paraId="4E5B5615" w14:textId="77777777" w:rsidR="00E845BA" w:rsidRDefault="00E845BA" w:rsidP="00E845BA">
            <w:pPr>
              <w:ind w:left="0"/>
            </w:pPr>
            <w:r>
              <w:t>PML</w:t>
            </w:r>
          </w:p>
        </w:tc>
        <w:tc>
          <w:tcPr>
            <w:tcW w:w="6911" w:type="dxa"/>
          </w:tcPr>
          <w:p w14:paraId="210237A0" w14:textId="77777777" w:rsidR="00E845BA" w:rsidRDefault="00E845BA" w:rsidP="00E845BA">
            <w:pPr>
              <w:ind w:left="0"/>
            </w:pPr>
            <w:r w:rsidRPr="00E845BA">
              <w:t>Progressive multifocal leukoencephalopathy</w:t>
            </w:r>
          </w:p>
        </w:tc>
      </w:tr>
      <w:tr w:rsidR="00E845BA" w:rsidRPr="00FD119B" w14:paraId="1FE506C3" w14:textId="77777777" w:rsidTr="00FD119B">
        <w:tc>
          <w:tcPr>
            <w:tcW w:w="1809" w:type="dxa"/>
          </w:tcPr>
          <w:p w14:paraId="030C24A0" w14:textId="77777777" w:rsidR="00E845BA" w:rsidRDefault="00E845BA" w:rsidP="00E845BA">
            <w:pPr>
              <w:ind w:left="0"/>
            </w:pPr>
            <w:r>
              <w:t>PopPK</w:t>
            </w:r>
          </w:p>
        </w:tc>
        <w:tc>
          <w:tcPr>
            <w:tcW w:w="6911" w:type="dxa"/>
          </w:tcPr>
          <w:p w14:paraId="03E5BF35" w14:textId="77777777" w:rsidR="00E845BA" w:rsidRDefault="00E845BA" w:rsidP="00E845BA">
            <w:pPr>
              <w:ind w:left="0"/>
            </w:pPr>
            <w:r>
              <w:t>Population pharmacokinetic(s)</w:t>
            </w:r>
          </w:p>
        </w:tc>
      </w:tr>
      <w:tr w:rsidR="00E845BA" w:rsidRPr="00FD119B" w14:paraId="0C99F2CD" w14:textId="77777777" w:rsidTr="00FD119B">
        <w:tc>
          <w:tcPr>
            <w:tcW w:w="1809" w:type="dxa"/>
          </w:tcPr>
          <w:p w14:paraId="30411B48" w14:textId="77777777" w:rsidR="00E845BA" w:rsidRDefault="00E845BA" w:rsidP="00E845BA">
            <w:pPr>
              <w:ind w:left="0"/>
            </w:pPr>
            <w:r>
              <w:t>PSUR</w:t>
            </w:r>
          </w:p>
        </w:tc>
        <w:tc>
          <w:tcPr>
            <w:tcW w:w="6911" w:type="dxa"/>
          </w:tcPr>
          <w:p w14:paraId="4CC06971" w14:textId="77777777" w:rsidR="00E845BA" w:rsidRDefault="00E845BA" w:rsidP="00E845BA">
            <w:pPr>
              <w:ind w:left="0"/>
            </w:pPr>
            <w:r>
              <w:t>Periodic safety update report</w:t>
            </w:r>
          </w:p>
        </w:tc>
      </w:tr>
      <w:tr w:rsidR="00E845BA" w:rsidRPr="00FD119B" w14:paraId="691EBB47" w14:textId="77777777" w:rsidTr="00FD119B">
        <w:tc>
          <w:tcPr>
            <w:tcW w:w="1809" w:type="dxa"/>
          </w:tcPr>
          <w:p w14:paraId="09045D12" w14:textId="77777777" w:rsidR="00E845BA" w:rsidRPr="00FD119B" w:rsidRDefault="00E845BA" w:rsidP="003A4C00">
            <w:pPr>
              <w:ind w:left="0"/>
            </w:pPr>
            <w:proofErr w:type="spellStart"/>
            <w:r>
              <w:t>QTc</w:t>
            </w:r>
            <w:proofErr w:type="spellEnd"/>
          </w:p>
        </w:tc>
        <w:tc>
          <w:tcPr>
            <w:tcW w:w="6911" w:type="dxa"/>
          </w:tcPr>
          <w:p w14:paraId="077330AB" w14:textId="77777777" w:rsidR="00E845BA" w:rsidRPr="00FD119B" w:rsidRDefault="00E845BA" w:rsidP="003A4C00">
            <w:pPr>
              <w:ind w:left="0"/>
            </w:pPr>
            <w:r>
              <w:t>Cardiac TQ interval corrected for heart rate</w:t>
            </w:r>
          </w:p>
        </w:tc>
      </w:tr>
      <w:tr w:rsidR="00E845BA" w:rsidRPr="00FD119B" w14:paraId="619ACF14" w14:textId="77777777" w:rsidTr="00FD119B">
        <w:tc>
          <w:tcPr>
            <w:tcW w:w="1809" w:type="dxa"/>
          </w:tcPr>
          <w:p w14:paraId="5B03849C" w14:textId="77777777" w:rsidR="00E845BA" w:rsidRPr="00FD119B" w:rsidRDefault="00E845BA" w:rsidP="003A4C00">
            <w:pPr>
              <w:ind w:left="0"/>
            </w:pPr>
            <w:proofErr w:type="spellStart"/>
            <w:r>
              <w:t>QTi</w:t>
            </w:r>
            <w:proofErr w:type="spellEnd"/>
          </w:p>
        </w:tc>
        <w:tc>
          <w:tcPr>
            <w:tcW w:w="6911" w:type="dxa"/>
          </w:tcPr>
          <w:p w14:paraId="31032B24" w14:textId="77777777" w:rsidR="00E845BA" w:rsidRPr="00FD119B" w:rsidRDefault="00E845BA" w:rsidP="003A4C00">
            <w:pPr>
              <w:ind w:left="0"/>
            </w:pPr>
            <w:r>
              <w:t>Cardiac QT interval</w:t>
            </w:r>
          </w:p>
        </w:tc>
      </w:tr>
      <w:tr w:rsidR="00E845BA" w:rsidRPr="00FD119B" w14:paraId="1B3E210B" w14:textId="77777777" w:rsidTr="00FD119B">
        <w:tc>
          <w:tcPr>
            <w:tcW w:w="1809" w:type="dxa"/>
          </w:tcPr>
          <w:p w14:paraId="0B072BA7" w14:textId="77777777" w:rsidR="00E845BA" w:rsidRPr="00FD119B" w:rsidRDefault="00E845BA" w:rsidP="00286580">
            <w:pPr>
              <w:ind w:left="0"/>
            </w:pPr>
            <w:r>
              <w:t>RMS</w:t>
            </w:r>
          </w:p>
        </w:tc>
        <w:tc>
          <w:tcPr>
            <w:tcW w:w="6911" w:type="dxa"/>
          </w:tcPr>
          <w:p w14:paraId="2D226309" w14:textId="77777777" w:rsidR="00E845BA" w:rsidRPr="00FD119B" w:rsidRDefault="00E845BA" w:rsidP="00286580">
            <w:pPr>
              <w:ind w:left="0"/>
            </w:pPr>
            <w:r>
              <w:t>Relapsing multiple sclerosis (including both relapsing remitting; and secondary progressive multiple sclerosis)</w:t>
            </w:r>
          </w:p>
        </w:tc>
      </w:tr>
      <w:tr w:rsidR="00E845BA" w:rsidRPr="00FD119B" w14:paraId="654C059C" w14:textId="77777777" w:rsidTr="00FD119B">
        <w:tc>
          <w:tcPr>
            <w:tcW w:w="1809" w:type="dxa"/>
          </w:tcPr>
          <w:p w14:paraId="3986757E" w14:textId="77777777" w:rsidR="00E845BA" w:rsidRPr="00FD119B" w:rsidRDefault="00E845BA" w:rsidP="00286580">
            <w:pPr>
              <w:ind w:left="0"/>
            </w:pPr>
            <w:r>
              <w:t>RRMS</w:t>
            </w:r>
          </w:p>
        </w:tc>
        <w:tc>
          <w:tcPr>
            <w:tcW w:w="6911" w:type="dxa"/>
          </w:tcPr>
          <w:p w14:paraId="76563C16" w14:textId="77777777" w:rsidR="00E845BA" w:rsidRPr="00FD119B" w:rsidRDefault="00E845BA" w:rsidP="00286580">
            <w:pPr>
              <w:ind w:left="0"/>
            </w:pPr>
            <w:r>
              <w:t>Relapsing remitting multiple sclerosis</w:t>
            </w:r>
          </w:p>
        </w:tc>
      </w:tr>
      <w:tr w:rsidR="007327D0" w:rsidRPr="00FD119B" w14:paraId="54F41398" w14:textId="77777777" w:rsidTr="00FD119B">
        <w:tc>
          <w:tcPr>
            <w:tcW w:w="1809" w:type="dxa"/>
          </w:tcPr>
          <w:p w14:paraId="64D5CA0C" w14:textId="69C0232D" w:rsidR="007327D0" w:rsidRDefault="007327D0" w:rsidP="007327D0">
            <w:pPr>
              <w:ind w:left="0"/>
            </w:pPr>
            <w:r>
              <w:t>RMP</w:t>
            </w:r>
          </w:p>
        </w:tc>
        <w:tc>
          <w:tcPr>
            <w:tcW w:w="6911" w:type="dxa"/>
          </w:tcPr>
          <w:p w14:paraId="78B50E57" w14:textId="765F2E24" w:rsidR="007327D0" w:rsidRDefault="007327D0" w:rsidP="007327D0">
            <w:pPr>
              <w:ind w:left="0"/>
            </w:pPr>
            <w:r>
              <w:t>Risk management plan</w:t>
            </w:r>
          </w:p>
        </w:tc>
      </w:tr>
      <w:tr w:rsidR="00E845BA" w:rsidRPr="00FD119B" w14:paraId="491F7C2E" w14:textId="77777777" w:rsidTr="00FD119B">
        <w:tc>
          <w:tcPr>
            <w:tcW w:w="1809" w:type="dxa"/>
          </w:tcPr>
          <w:p w14:paraId="308027FC" w14:textId="77777777" w:rsidR="00E845BA" w:rsidRPr="00FD119B" w:rsidRDefault="00E845BA" w:rsidP="00CF5DAD">
            <w:pPr>
              <w:ind w:left="0" w:right="0"/>
              <w:rPr>
                <w:color w:val="auto"/>
                <w:szCs w:val="22"/>
                <w:lang w:eastAsia="en-US"/>
              </w:rPr>
            </w:pPr>
            <w:r>
              <w:rPr>
                <w:color w:val="auto"/>
                <w:szCs w:val="22"/>
                <w:lang w:eastAsia="en-US"/>
              </w:rPr>
              <w:t>S1P</w:t>
            </w:r>
          </w:p>
        </w:tc>
        <w:tc>
          <w:tcPr>
            <w:tcW w:w="6911" w:type="dxa"/>
          </w:tcPr>
          <w:p w14:paraId="3F8AC11E" w14:textId="09C51E77" w:rsidR="00E845BA" w:rsidRPr="00FD119B" w:rsidRDefault="00E845BA" w:rsidP="00CF5DAD">
            <w:pPr>
              <w:ind w:left="0" w:right="0"/>
              <w:rPr>
                <w:color w:val="auto"/>
                <w:szCs w:val="22"/>
                <w:lang w:eastAsia="en-US"/>
              </w:rPr>
            </w:pPr>
            <w:r>
              <w:rPr>
                <w:color w:val="auto"/>
                <w:szCs w:val="22"/>
                <w:lang w:eastAsia="en-US"/>
              </w:rPr>
              <w:t>Sphingosine-1-phosphate</w:t>
            </w:r>
          </w:p>
        </w:tc>
      </w:tr>
      <w:tr w:rsidR="00E845BA" w:rsidRPr="00FD119B" w14:paraId="6E2E098B" w14:textId="77777777" w:rsidTr="00FD119B">
        <w:tc>
          <w:tcPr>
            <w:tcW w:w="1809" w:type="dxa"/>
          </w:tcPr>
          <w:p w14:paraId="73881EDE" w14:textId="78C45592" w:rsidR="00E845BA" w:rsidRDefault="00E845BA" w:rsidP="00E845BA">
            <w:pPr>
              <w:ind w:left="0"/>
            </w:pPr>
            <w:r>
              <w:t>S1P1</w:t>
            </w:r>
          </w:p>
        </w:tc>
        <w:tc>
          <w:tcPr>
            <w:tcW w:w="6911" w:type="dxa"/>
          </w:tcPr>
          <w:p w14:paraId="481524B5" w14:textId="68219A5E" w:rsidR="00E845BA" w:rsidRDefault="00E845BA" w:rsidP="00E845BA">
            <w:pPr>
              <w:ind w:left="0"/>
            </w:pPr>
            <w:r>
              <w:rPr>
                <w:color w:val="auto"/>
                <w:szCs w:val="22"/>
                <w:lang w:eastAsia="en-US"/>
              </w:rPr>
              <w:t>Sphingosine-1-phosphate receptor 1 subtype</w:t>
            </w:r>
          </w:p>
        </w:tc>
      </w:tr>
      <w:tr w:rsidR="00E845BA" w:rsidRPr="00FD119B" w14:paraId="5E89B761" w14:textId="77777777" w:rsidTr="00FD119B">
        <w:tc>
          <w:tcPr>
            <w:tcW w:w="1809" w:type="dxa"/>
          </w:tcPr>
          <w:p w14:paraId="664C8C63" w14:textId="227BCB1E" w:rsidR="00E845BA" w:rsidRDefault="00E845BA" w:rsidP="00E845BA">
            <w:pPr>
              <w:ind w:left="0"/>
            </w:pPr>
            <w:r>
              <w:t>S1P5</w:t>
            </w:r>
          </w:p>
        </w:tc>
        <w:tc>
          <w:tcPr>
            <w:tcW w:w="6911" w:type="dxa"/>
          </w:tcPr>
          <w:p w14:paraId="21B2AC53" w14:textId="0D5C0FBF" w:rsidR="00E845BA" w:rsidRDefault="00E845BA" w:rsidP="00E845BA">
            <w:pPr>
              <w:ind w:left="0"/>
            </w:pPr>
            <w:r>
              <w:rPr>
                <w:color w:val="auto"/>
                <w:szCs w:val="22"/>
                <w:lang w:eastAsia="en-US"/>
              </w:rPr>
              <w:t>Sphingosine-1-phosphate receptor 5 subtype</w:t>
            </w:r>
          </w:p>
        </w:tc>
      </w:tr>
      <w:tr w:rsidR="00E845BA" w:rsidRPr="00FD119B" w14:paraId="5A3021BA" w14:textId="77777777" w:rsidTr="00FD119B">
        <w:tc>
          <w:tcPr>
            <w:tcW w:w="1809" w:type="dxa"/>
          </w:tcPr>
          <w:p w14:paraId="57EBDA35" w14:textId="77777777" w:rsidR="00E845BA" w:rsidRDefault="00E845BA" w:rsidP="003A4C00">
            <w:pPr>
              <w:ind w:left="0"/>
            </w:pPr>
            <w:r>
              <w:t>SAE</w:t>
            </w:r>
          </w:p>
        </w:tc>
        <w:tc>
          <w:tcPr>
            <w:tcW w:w="6911" w:type="dxa"/>
          </w:tcPr>
          <w:p w14:paraId="0E1F19DE" w14:textId="245D728A" w:rsidR="00E845BA" w:rsidRDefault="00D73B2D" w:rsidP="003A4C00">
            <w:pPr>
              <w:ind w:left="0"/>
            </w:pPr>
            <w:r>
              <w:t>Serious adverse event</w:t>
            </w:r>
          </w:p>
        </w:tc>
      </w:tr>
      <w:tr w:rsidR="00E845BA" w:rsidRPr="00FD119B" w14:paraId="7FB8A4FB" w14:textId="77777777" w:rsidTr="00FD119B">
        <w:tc>
          <w:tcPr>
            <w:tcW w:w="1809" w:type="dxa"/>
          </w:tcPr>
          <w:p w14:paraId="038AD2BC" w14:textId="77777777" w:rsidR="00E845BA" w:rsidRDefault="00E845BA" w:rsidP="003A4C00">
            <w:pPr>
              <w:ind w:left="0"/>
            </w:pPr>
            <w:r>
              <w:t>SOC</w:t>
            </w:r>
          </w:p>
        </w:tc>
        <w:tc>
          <w:tcPr>
            <w:tcW w:w="6911" w:type="dxa"/>
          </w:tcPr>
          <w:p w14:paraId="7FC33AED" w14:textId="77777777" w:rsidR="00E845BA" w:rsidRDefault="00E845BA" w:rsidP="003A4C00">
            <w:pPr>
              <w:ind w:left="0"/>
            </w:pPr>
            <w:r>
              <w:t>System Organ Class</w:t>
            </w:r>
          </w:p>
        </w:tc>
      </w:tr>
      <w:tr w:rsidR="00E845BA" w:rsidRPr="00FD119B" w14:paraId="7C62049B" w14:textId="77777777" w:rsidTr="00FD119B">
        <w:tc>
          <w:tcPr>
            <w:tcW w:w="1809" w:type="dxa"/>
          </w:tcPr>
          <w:p w14:paraId="699E405F" w14:textId="77777777" w:rsidR="00E845BA" w:rsidRPr="00FD119B" w:rsidRDefault="00E845BA" w:rsidP="00286580">
            <w:pPr>
              <w:ind w:left="0"/>
            </w:pPr>
            <w:r>
              <w:t>SPMS</w:t>
            </w:r>
          </w:p>
        </w:tc>
        <w:tc>
          <w:tcPr>
            <w:tcW w:w="6911" w:type="dxa"/>
          </w:tcPr>
          <w:p w14:paraId="77185AD8" w14:textId="77777777" w:rsidR="00E845BA" w:rsidRPr="00FD119B" w:rsidRDefault="00E845BA" w:rsidP="00286580">
            <w:pPr>
              <w:ind w:left="0"/>
            </w:pPr>
            <w:r>
              <w:t>Secondary progressive multiple sclerosis</w:t>
            </w:r>
          </w:p>
        </w:tc>
      </w:tr>
      <w:tr w:rsidR="00E845BA" w:rsidRPr="00FD119B" w14:paraId="787331F7" w14:textId="77777777" w:rsidTr="00FD119B">
        <w:tc>
          <w:tcPr>
            <w:tcW w:w="1809" w:type="dxa"/>
          </w:tcPr>
          <w:p w14:paraId="57579D20" w14:textId="77777777" w:rsidR="00E845BA" w:rsidRPr="00286580" w:rsidRDefault="00E845BA" w:rsidP="00286580">
            <w:pPr>
              <w:ind w:left="0"/>
              <w:rPr>
                <w:vertAlign w:val="subscript"/>
              </w:rPr>
            </w:pPr>
            <w:r>
              <w:t>T</w:t>
            </w:r>
            <w:r>
              <w:rPr>
                <w:vertAlign w:val="subscript"/>
              </w:rPr>
              <w:t>1/2</w:t>
            </w:r>
          </w:p>
        </w:tc>
        <w:tc>
          <w:tcPr>
            <w:tcW w:w="6911" w:type="dxa"/>
          </w:tcPr>
          <w:p w14:paraId="5733C757" w14:textId="77777777" w:rsidR="00E845BA" w:rsidRPr="00FD119B" w:rsidRDefault="00E845BA" w:rsidP="00286580">
            <w:pPr>
              <w:ind w:left="0"/>
            </w:pPr>
            <w:r>
              <w:t>Half life</w:t>
            </w:r>
          </w:p>
        </w:tc>
      </w:tr>
      <w:tr w:rsidR="00E845BA" w:rsidRPr="00FD119B" w14:paraId="67B1CD4D" w14:textId="77777777" w:rsidTr="00FD119B">
        <w:tc>
          <w:tcPr>
            <w:tcW w:w="1809" w:type="dxa"/>
          </w:tcPr>
          <w:p w14:paraId="7650B701" w14:textId="77777777" w:rsidR="00E845BA" w:rsidRPr="00286580" w:rsidRDefault="00E845BA" w:rsidP="00286580">
            <w:pPr>
              <w:ind w:left="0"/>
              <w:rPr>
                <w:vertAlign w:val="subscript"/>
              </w:rPr>
            </w:pPr>
            <w:proofErr w:type="spellStart"/>
            <w:r>
              <w:t>T</w:t>
            </w:r>
            <w:r>
              <w:rPr>
                <w:vertAlign w:val="subscript"/>
              </w:rPr>
              <w:t>max</w:t>
            </w:r>
            <w:proofErr w:type="spellEnd"/>
          </w:p>
        </w:tc>
        <w:tc>
          <w:tcPr>
            <w:tcW w:w="6911" w:type="dxa"/>
          </w:tcPr>
          <w:p w14:paraId="11899F52" w14:textId="77777777" w:rsidR="00E845BA" w:rsidRPr="00FD119B" w:rsidRDefault="00E845BA" w:rsidP="00286580">
            <w:pPr>
              <w:ind w:left="0"/>
            </w:pPr>
            <w:r w:rsidRPr="00286580">
              <w:t>Time to reach maximum (peak) plasma concentration following drug administration</w:t>
            </w:r>
          </w:p>
        </w:tc>
      </w:tr>
    </w:tbl>
    <w:p w14:paraId="42905362" w14:textId="77777777" w:rsidR="00FD119B" w:rsidRDefault="00FD119B" w:rsidP="00FD119B"/>
    <w:p w14:paraId="35DBBDA1" w14:textId="77777777" w:rsidR="00FD119B" w:rsidRPr="00FD119B" w:rsidRDefault="00FD119B" w:rsidP="00FD119B">
      <w:pPr>
        <w:spacing w:before="0" w:after="200" w:line="0" w:lineRule="auto"/>
        <w:rPr>
          <w:b/>
          <w:i/>
          <w:sz w:val="24"/>
          <w:szCs w:val="24"/>
        </w:rPr>
      </w:pPr>
      <w:r w:rsidRPr="00FD119B">
        <w:rPr>
          <w:b/>
          <w:i/>
          <w:sz w:val="24"/>
          <w:szCs w:val="24"/>
        </w:rPr>
        <w:br w:type="page"/>
      </w:r>
    </w:p>
    <w:p w14:paraId="4A0699F6" w14:textId="77777777" w:rsidR="008E7846" w:rsidRDefault="00F53C07" w:rsidP="008E7846">
      <w:pPr>
        <w:pStyle w:val="Heading2"/>
      </w:pPr>
      <w:bookmarkStart w:id="9" w:name="_Toc57809130"/>
      <w:r>
        <w:lastRenderedPageBreak/>
        <w:t>I.</w:t>
      </w:r>
      <w:r w:rsidR="008E7846">
        <w:t xml:space="preserve"> Introduction to product submission</w:t>
      </w:r>
      <w:bookmarkEnd w:id="3"/>
      <w:bookmarkEnd w:id="0"/>
      <w:bookmarkEnd w:id="9"/>
    </w:p>
    <w:p w14:paraId="7A4D4F5A" w14:textId="77777777" w:rsidR="008E7846" w:rsidRDefault="008E7846" w:rsidP="008E7846">
      <w:pPr>
        <w:pStyle w:val="Heading3"/>
        <w:rPr>
          <w:lang w:eastAsia="en-AU"/>
        </w:rPr>
      </w:pPr>
      <w:bookmarkStart w:id="10" w:name="_Toc247691502"/>
      <w:bookmarkStart w:id="11" w:name="_Toc314842483"/>
      <w:bookmarkStart w:id="12" w:name="_Toc5780913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736D4927" w14:textId="77777777" w:rsidTr="003735BC">
        <w:tc>
          <w:tcPr>
            <w:tcW w:w="2907" w:type="dxa"/>
          </w:tcPr>
          <w:p w14:paraId="02EA1980"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69E0E2E5" w14:textId="77777777" w:rsidR="008E7846" w:rsidRPr="003D1E62" w:rsidRDefault="008E7846" w:rsidP="00425FA5">
            <w:r w:rsidRPr="003D1E62">
              <w:t xml:space="preserve">New </w:t>
            </w:r>
            <w:r w:rsidR="001B5C90">
              <w:t>c</w:t>
            </w:r>
            <w:r w:rsidRPr="003D1E62">
              <w:t xml:space="preserve">hemical </w:t>
            </w:r>
            <w:r w:rsidR="001B5C90">
              <w:t>e</w:t>
            </w:r>
            <w:r w:rsidR="00425FA5">
              <w:t>ntity</w:t>
            </w:r>
          </w:p>
        </w:tc>
      </w:tr>
      <w:tr w:rsidR="00460036" w:rsidRPr="003D1E62" w14:paraId="2EAC0C58" w14:textId="77777777" w:rsidTr="003735BC">
        <w:tc>
          <w:tcPr>
            <w:tcW w:w="2907" w:type="dxa"/>
          </w:tcPr>
          <w:p w14:paraId="429C4578" w14:textId="77777777" w:rsidR="00460036" w:rsidRPr="003D1E62" w:rsidRDefault="00B04A17" w:rsidP="003D1E62">
            <w:pPr>
              <w:rPr>
                <w:i/>
              </w:rPr>
            </w:pPr>
            <w:r>
              <w:rPr>
                <w:i/>
              </w:rPr>
              <w:t>Product name</w:t>
            </w:r>
            <w:r w:rsidR="00460036" w:rsidRPr="00460036">
              <w:rPr>
                <w:i/>
              </w:rPr>
              <w:t>:</w:t>
            </w:r>
          </w:p>
        </w:tc>
        <w:tc>
          <w:tcPr>
            <w:tcW w:w="6307" w:type="dxa"/>
          </w:tcPr>
          <w:p w14:paraId="0021E071" w14:textId="77777777" w:rsidR="00460036" w:rsidRPr="003D1E62" w:rsidRDefault="00425FA5" w:rsidP="001B5C90">
            <w:r>
              <w:t>Zeposia</w:t>
            </w:r>
          </w:p>
        </w:tc>
      </w:tr>
      <w:tr w:rsidR="00460036" w:rsidRPr="003D1E62" w14:paraId="3CFCB1F8" w14:textId="77777777" w:rsidTr="003735BC">
        <w:tc>
          <w:tcPr>
            <w:tcW w:w="2907" w:type="dxa"/>
          </w:tcPr>
          <w:p w14:paraId="196255C7" w14:textId="77777777" w:rsidR="00460036" w:rsidRPr="003D1E62" w:rsidRDefault="00B04A17" w:rsidP="003D1E62">
            <w:pPr>
              <w:rPr>
                <w:i/>
              </w:rPr>
            </w:pPr>
            <w:r>
              <w:rPr>
                <w:i/>
              </w:rPr>
              <w:t>Active ingredient</w:t>
            </w:r>
            <w:r w:rsidR="00460036" w:rsidRPr="00460036">
              <w:rPr>
                <w:i/>
              </w:rPr>
              <w:t>:</w:t>
            </w:r>
          </w:p>
        </w:tc>
        <w:tc>
          <w:tcPr>
            <w:tcW w:w="6307" w:type="dxa"/>
          </w:tcPr>
          <w:p w14:paraId="6C8171EE" w14:textId="77777777" w:rsidR="00460036" w:rsidRPr="003D1E62" w:rsidRDefault="00B04A17" w:rsidP="001B5C90">
            <w:proofErr w:type="spellStart"/>
            <w:r>
              <w:t>Ozanimod</w:t>
            </w:r>
            <w:proofErr w:type="spellEnd"/>
            <w:r>
              <w:t xml:space="preserve"> hydrochloride</w:t>
            </w:r>
          </w:p>
        </w:tc>
      </w:tr>
      <w:tr w:rsidR="008E7846" w:rsidRPr="003D1E62" w14:paraId="43563C67" w14:textId="77777777" w:rsidTr="003735BC">
        <w:tc>
          <w:tcPr>
            <w:tcW w:w="2907" w:type="dxa"/>
          </w:tcPr>
          <w:p w14:paraId="45445055" w14:textId="77777777" w:rsidR="008E7846" w:rsidRPr="003D1E62" w:rsidRDefault="008E7846" w:rsidP="003D1E62">
            <w:r w:rsidRPr="003D1E62">
              <w:rPr>
                <w:i/>
              </w:rPr>
              <w:t>Decision</w:t>
            </w:r>
            <w:r w:rsidRPr="003D1E62">
              <w:t>:</w:t>
            </w:r>
          </w:p>
        </w:tc>
        <w:tc>
          <w:tcPr>
            <w:tcW w:w="6307" w:type="dxa"/>
          </w:tcPr>
          <w:p w14:paraId="68CAB387" w14:textId="77777777" w:rsidR="008E7846" w:rsidRPr="003D1E62" w:rsidRDefault="00460036" w:rsidP="00B04A17">
            <w:r w:rsidRPr="00460036">
              <w:t>Approved</w:t>
            </w:r>
          </w:p>
        </w:tc>
      </w:tr>
      <w:tr w:rsidR="008E7846" w:rsidRPr="003D1E62" w14:paraId="174A4F05" w14:textId="77777777" w:rsidTr="003735BC">
        <w:tc>
          <w:tcPr>
            <w:tcW w:w="2907" w:type="dxa"/>
          </w:tcPr>
          <w:p w14:paraId="5E5806A5"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203CFDD" w14:textId="5ABFBA64" w:rsidR="008E7846" w:rsidRPr="003D1E62" w:rsidRDefault="00425FA5" w:rsidP="001B5C90">
            <w:r>
              <w:t>16 July</w:t>
            </w:r>
            <w:r w:rsidR="003331CD">
              <w:t xml:space="preserve"> </w:t>
            </w:r>
            <w:r>
              <w:t>2020</w:t>
            </w:r>
          </w:p>
        </w:tc>
      </w:tr>
      <w:tr w:rsidR="00ED2922" w:rsidRPr="003D1E62" w14:paraId="5007F822" w14:textId="77777777" w:rsidTr="003735BC">
        <w:tc>
          <w:tcPr>
            <w:tcW w:w="2907" w:type="dxa"/>
          </w:tcPr>
          <w:p w14:paraId="18C61E81" w14:textId="77777777" w:rsidR="00ED2922" w:rsidRPr="00441C3F" w:rsidRDefault="00ED2922" w:rsidP="001B5C90">
            <w:pPr>
              <w:rPr>
                <w:i/>
              </w:rPr>
            </w:pPr>
            <w:r w:rsidRPr="00441C3F">
              <w:rPr>
                <w:i/>
              </w:rPr>
              <w:t>Date of entry onto ARTG</w:t>
            </w:r>
            <w:r w:rsidR="00500337">
              <w:rPr>
                <w:i/>
              </w:rPr>
              <w:t>:</w:t>
            </w:r>
          </w:p>
        </w:tc>
        <w:tc>
          <w:tcPr>
            <w:tcW w:w="6307" w:type="dxa"/>
          </w:tcPr>
          <w:p w14:paraId="038CEA5F" w14:textId="77777777" w:rsidR="00ED2922" w:rsidRPr="00441C3F" w:rsidRDefault="00AD57C2" w:rsidP="00D153D8">
            <w:pPr>
              <w:rPr>
                <w:i/>
              </w:rPr>
            </w:pPr>
            <w:r>
              <w:t>17 July 2020</w:t>
            </w:r>
          </w:p>
        </w:tc>
      </w:tr>
      <w:tr w:rsidR="00500337" w:rsidRPr="003D1E62" w14:paraId="795B4E2A" w14:textId="77777777" w:rsidTr="003735BC">
        <w:tc>
          <w:tcPr>
            <w:tcW w:w="2907" w:type="dxa"/>
          </w:tcPr>
          <w:p w14:paraId="5CC6FDFA" w14:textId="77777777" w:rsidR="00500337" w:rsidRPr="00441C3F" w:rsidRDefault="00AD57C2" w:rsidP="001B5C90">
            <w:pPr>
              <w:rPr>
                <w:i/>
              </w:rPr>
            </w:pPr>
            <w:r>
              <w:rPr>
                <w:i/>
              </w:rPr>
              <w:t>ARTG numbers</w:t>
            </w:r>
            <w:r w:rsidR="00500337">
              <w:rPr>
                <w:i/>
              </w:rPr>
              <w:t>:</w:t>
            </w:r>
          </w:p>
        </w:tc>
        <w:tc>
          <w:tcPr>
            <w:tcW w:w="6307" w:type="dxa"/>
          </w:tcPr>
          <w:p w14:paraId="590A408D" w14:textId="77777777" w:rsidR="00500337" w:rsidRPr="00441C3F" w:rsidRDefault="00AD57C2" w:rsidP="00EC463D">
            <w:r w:rsidRPr="00AD57C2">
              <w:t>318800</w:t>
            </w:r>
            <w:r>
              <w:t>; 318801</w:t>
            </w:r>
          </w:p>
        </w:tc>
      </w:tr>
      <w:tr w:rsidR="003735BC" w:rsidRPr="003D1E62" w14:paraId="5B0FE7BE" w14:textId="77777777" w:rsidTr="003735BC">
        <w:tc>
          <w:tcPr>
            <w:tcW w:w="2907" w:type="dxa"/>
          </w:tcPr>
          <w:p w14:paraId="3ED2A582"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r w:rsidR="00460036">
              <w:rPr>
                <w:rStyle w:val="FootnoteReference"/>
                <w:i/>
              </w:rPr>
              <w:footnoteReference w:id="1"/>
            </w:r>
          </w:p>
        </w:tc>
        <w:tc>
          <w:tcPr>
            <w:tcW w:w="6307" w:type="dxa"/>
          </w:tcPr>
          <w:p w14:paraId="322436A2" w14:textId="77777777" w:rsidR="003735BC" w:rsidRDefault="0072692E" w:rsidP="003735BC">
            <w:r>
              <w:t>Yes</w:t>
            </w:r>
          </w:p>
          <w:p w14:paraId="3250A67D" w14:textId="77777777" w:rsidR="003735BC" w:rsidRPr="00487162" w:rsidRDefault="003735BC" w:rsidP="003735BC">
            <w:r>
              <w:t xml:space="preserve">This product will remain in the scheme for 5 years, starting on the date the product is first supplied in </w:t>
            </w:r>
            <w:r w:rsidR="0072692E">
              <w:t>Australia.</w:t>
            </w:r>
          </w:p>
        </w:tc>
      </w:tr>
      <w:tr w:rsidR="008E7846" w:rsidRPr="00487162" w14:paraId="726E1016" w14:textId="77777777" w:rsidTr="00BF1190">
        <w:tc>
          <w:tcPr>
            <w:tcW w:w="2907" w:type="dxa"/>
          </w:tcPr>
          <w:p w14:paraId="35550B9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DAE3446" w14:textId="77777777" w:rsidR="003331CD" w:rsidRDefault="003331CD" w:rsidP="00E45619">
            <w:r>
              <w:t>Celgene Pty Ltd</w:t>
            </w:r>
          </w:p>
          <w:p w14:paraId="53095DB6" w14:textId="77777777" w:rsidR="003331CD" w:rsidRDefault="003331CD" w:rsidP="00E45619">
            <w:r>
              <w:t>Level 15 / 60 City Road</w:t>
            </w:r>
          </w:p>
          <w:p w14:paraId="1AA97805" w14:textId="0DD22CB2" w:rsidR="008E7846" w:rsidRPr="00487162" w:rsidRDefault="00AD57C2" w:rsidP="00E45619">
            <w:r w:rsidRPr="00AD57C2">
              <w:t>Southbank, VIC, 3006</w:t>
            </w:r>
          </w:p>
        </w:tc>
      </w:tr>
      <w:tr w:rsidR="008E7846" w:rsidRPr="00487162" w14:paraId="3110D8C9" w14:textId="77777777" w:rsidTr="00BF1190">
        <w:tc>
          <w:tcPr>
            <w:tcW w:w="2907" w:type="dxa"/>
          </w:tcPr>
          <w:p w14:paraId="036C05A5" w14:textId="77777777" w:rsidR="008E7846" w:rsidRPr="00487162" w:rsidRDefault="001B5C90" w:rsidP="00E45619">
            <w:pPr>
              <w:rPr>
                <w:i/>
              </w:rPr>
            </w:pPr>
            <w:r>
              <w:rPr>
                <w:i/>
              </w:rPr>
              <w:t>Dos</w:t>
            </w:r>
            <w:r w:rsidR="00AD57C2">
              <w:rPr>
                <w:i/>
              </w:rPr>
              <w:t>e form</w:t>
            </w:r>
            <w:r>
              <w:rPr>
                <w:i/>
              </w:rPr>
              <w:t>:</w:t>
            </w:r>
          </w:p>
        </w:tc>
        <w:tc>
          <w:tcPr>
            <w:tcW w:w="6307" w:type="dxa"/>
          </w:tcPr>
          <w:p w14:paraId="622142E9" w14:textId="77777777" w:rsidR="008E7846" w:rsidRPr="00487162" w:rsidRDefault="00AD57C2" w:rsidP="00E45619">
            <w:r>
              <w:t>Capsule</w:t>
            </w:r>
          </w:p>
        </w:tc>
      </w:tr>
      <w:tr w:rsidR="008E7846" w:rsidRPr="00487162" w14:paraId="3627CB32" w14:textId="77777777" w:rsidTr="00BF1190">
        <w:tc>
          <w:tcPr>
            <w:tcW w:w="2907" w:type="dxa"/>
          </w:tcPr>
          <w:p w14:paraId="6E595F53" w14:textId="23FFC85B" w:rsidR="008E7846" w:rsidRPr="00487162" w:rsidRDefault="00F22648" w:rsidP="00E45619">
            <w:pPr>
              <w:rPr>
                <w:i/>
              </w:rPr>
            </w:pPr>
            <w:r>
              <w:rPr>
                <w:i/>
              </w:rPr>
              <w:t>Strengths</w:t>
            </w:r>
            <w:r w:rsidR="004E7449">
              <w:rPr>
                <w:i/>
              </w:rPr>
              <w:t>:</w:t>
            </w:r>
          </w:p>
        </w:tc>
        <w:tc>
          <w:tcPr>
            <w:tcW w:w="6307" w:type="dxa"/>
          </w:tcPr>
          <w:p w14:paraId="75AAD7DA" w14:textId="33F3D8E7" w:rsidR="008E7846" w:rsidRPr="00487162" w:rsidRDefault="00F22648" w:rsidP="003331CD">
            <w:r>
              <w:t xml:space="preserve">230 </w:t>
            </w:r>
            <w:r w:rsidR="003331CD">
              <w:t>µg</w:t>
            </w:r>
            <w:r>
              <w:t xml:space="preserve">; 460 </w:t>
            </w:r>
            <w:r w:rsidR="003331CD">
              <w:t>µg composite pack</w:t>
            </w:r>
            <w:r>
              <w:t xml:space="preserve">; and 920 </w:t>
            </w:r>
            <w:r w:rsidR="003331CD">
              <w:t>µg</w:t>
            </w:r>
            <w:r>
              <w:t xml:space="preserve"> capsules</w:t>
            </w:r>
          </w:p>
        </w:tc>
      </w:tr>
      <w:tr w:rsidR="008E7846" w:rsidRPr="00487162" w14:paraId="07604277" w14:textId="77777777" w:rsidTr="00BF1190">
        <w:tc>
          <w:tcPr>
            <w:tcW w:w="2907" w:type="dxa"/>
          </w:tcPr>
          <w:p w14:paraId="2FAB0087" w14:textId="77777777" w:rsidR="008E7846" w:rsidRPr="00487162" w:rsidRDefault="0072692E" w:rsidP="00E45619">
            <w:pPr>
              <w:rPr>
                <w:i/>
              </w:rPr>
            </w:pPr>
            <w:r>
              <w:rPr>
                <w:i/>
              </w:rPr>
              <w:t>Containers</w:t>
            </w:r>
            <w:r w:rsidR="008E7846" w:rsidRPr="00487162">
              <w:rPr>
                <w:i/>
              </w:rPr>
              <w:t>:</w:t>
            </w:r>
          </w:p>
        </w:tc>
        <w:tc>
          <w:tcPr>
            <w:tcW w:w="6307" w:type="dxa"/>
          </w:tcPr>
          <w:p w14:paraId="4E3FF9D5" w14:textId="4E70D228" w:rsidR="008E7846" w:rsidRPr="00487162" w:rsidRDefault="00AD57C2" w:rsidP="00AD57C2">
            <w:r>
              <w:t>Blister pack</w:t>
            </w:r>
            <w:r w:rsidR="003331CD">
              <w:t>, blister wallet</w:t>
            </w:r>
            <w:r w:rsidR="0072692E">
              <w:t xml:space="preserve"> composite pack</w:t>
            </w:r>
          </w:p>
        </w:tc>
      </w:tr>
      <w:tr w:rsidR="008E7846" w:rsidRPr="00487162" w14:paraId="596CE901" w14:textId="77777777" w:rsidTr="00BF1190">
        <w:tc>
          <w:tcPr>
            <w:tcW w:w="2907" w:type="dxa"/>
          </w:tcPr>
          <w:p w14:paraId="12E279CB" w14:textId="76D3DB2E" w:rsidR="008E7846" w:rsidRPr="00487162" w:rsidRDefault="003331CD" w:rsidP="00E45619">
            <w:pPr>
              <w:rPr>
                <w:i/>
              </w:rPr>
            </w:pPr>
            <w:r>
              <w:rPr>
                <w:i/>
              </w:rPr>
              <w:t>Pack sizes</w:t>
            </w:r>
            <w:r w:rsidR="008E7846" w:rsidRPr="00487162">
              <w:rPr>
                <w:i/>
              </w:rPr>
              <w:t>:</w:t>
            </w:r>
          </w:p>
        </w:tc>
        <w:tc>
          <w:tcPr>
            <w:tcW w:w="6307" w:type="dxa"/>
          </w:tcPr>
          <w:p w14:paraId="15671AD2" w14:textId="0983DBD1" w:rsidR="008E7846" w:rsidRDefault="00AD57C2" w:rsidP="00E45619">
            <w:r>
              <w:t xml:space="preserve">Blister pack of 28 x </w:t>
            </w:r>
            <w:r w:rsidRPr="00AD57C2">
              <w:t xml:space="preserve">920 </w:t>
            </w:r>
            <w:r w:rsidR="003331CD">
              <w:t>µg</w:t>
            </w:r>
            <w:r w:rsidRPr="00AD57C2">
              <w:t xml:space="preserve"> capsules</w:t>
            </w:r>
          </w:p>
          <w:p w14:paraId="2F7C9500" w14:textId="0745CED8" w:rsidR="00F22648" w:rsidRPr="00487162" w:rsidRDefault="00F22648" w:rsidP="00E45619">
            <w:r>
              <w:t xml:space="preserve">Blister wallet composite pack of </w:t>
            </w:r>
            <w:r w:rsidRPr="00F22648">
              <w:t xml:space="preserve">7 capsules (4 x 230 </w:t>
            </w:r>
            <w:r w:rsidR="003331CD">
              <w:t>µg</w:t>
            </w:r>
            <w:r w:rsidRPr="00F22648">
              <w:t xml:space="preserve"> capsules and 3 x 460 </w:t>
            </w:r>
            <w:r w:rsidR="003331CD">
              <w:t>µg</w:t>
            </w:r>
            <w:r w:rsidRPr="00F22648">
              <w:t xml:space="preserve"> capsules)</w:t>
            </w:r>
          </w:p>
        </w:tc>
      </w:tr>
      <w:tr w:rsidR="008E7846" w:rsidRPr="00487162" w14:paraId="7B88898A" w14:textId="77777777" w:rsidTr="00BF1190">
        <w:tc>
          <w:tcPr>
            <w:tcW w:w="2907" w:type="dxa"/>
          </w:tcPr>
          <w:p w14:paraId="4233BA8F"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5588C8B4" w14:textId="77777777" w:rsidR="008E7846" w:rsidRPr="00F22648" w:rsidRDefault="00F22648" w:rsidP="00F22648">
            <w:pPr>
              <w:rPr>
                <w:i/>
              </w:rPr>
            </w:pPr>
            <w:r w:rsidRPr="00F22648">
              <w:rPr>
                <w:i/>
              </w:rPr>
              <w:t>Zeposia is indicated for the treatment of adult patients with relapsing forms of multiple sclerosis.</w:t>
            </w:r>
          </w:p>
        </w:tc>
      </w:tr>
      <w:tr w:rsidR="008E7846" w:rsidRPr="00487162" w14:paraId="2BB1725A" w14:textId="77777777" w:rsidTr="00BF1190">
        <w:tc>
          <w:tcPr>
            <w:tcW w:w="2907" w:type="dxa"/>
          </w:tcPr>
          <w:p w14:paraId="40115F68" w14:textId="77777777" w:rsidR="008E7846" w:rsidRPr="00487162" w:rsidRDefault="00F22648" w:rsidP="00E45619">
            <w:pPr>
              <w:rPr>
                <w:i/>
              </w:rPr>
            </w:pPr>
            <w:r>
              <w:rPr>
                <w:i/>
              </w:rPr>
              <w:t>Route</w:t>
            </w:r>
            <w:r w:rsidR="008E7846" w:rsidRPr="00487162">
              <w:rPr>
                <w:i/>
              </w:rPr>
              <w:t xml:space="preserve"> of administration:</w:t>
            </w:r>
          </w:p>
        </w:tc>
        <w:tc>
          <w:tcPr>
            <w:tcW w:w="6307" w:type="dxa"/>
          </w:tcPr>
          <w:p w14:paraId="7585DE63" w14:textId="7D5E84CE" w:rsidR="008E7846" w:rsidRPr="00487162" w:rsidRDefault="003331CD" w:rsidP="00E45619">
            <w:r>
              <w:t>Oral</w:t>
            </w:r>
          </w:p>
        </w:tc>
      </w:tr>
      <w:tr w:rsidR="008E7846" w:rsidRPr="00487162" w14:paraId="37BC819D" w14:textId="77777777" w:rsidTr="005C13EA">
        <w:trPr>
          <w:cantSplit/>
        </w:trPr>
        <w:tc>
          <w:tcPr>
            <w:tcW w:w="2907" w:type="dxa"/>
          </w:tcPr>
          <w:p w14:paraId="517CC03C" w14:textId="77777777" w:rsidR="008E7846" w:rsidRPr="00487162" w:rsidRDefault="008E7846" w:rsidP="00E45619">
            <w:pPr>
              <w:rPr>
                <w:i/>
              </w:rPr>
            </w:pPr>
            <w:r w:rsidRPr="00487162">
              <w:rPr>
                <w:i/>
              </w:rPr>
              <w:lastRenderedPageBreak/>
              <w:t>Dosage:</w:t>
            </w:r>
          </w:p>
        </w:tc>
        <w:tc>
          <w:tcPr>
            <w:tcW w:w="6307" w:type="dxa"/>
          </w:tcPr>
          <w:p w14:paraId="39E799F6" w14:textId="69A4934C" w:rsidR="0072692E" w:rsidRDefault="005E1941" w:rsidP="005E1941">
            <w:r>
              <w:t xml:space="preserve">The recommended dose of Zeposia for adults is 920 </w:t>
            </w:r>
            <w:r w:rsidR="00295BE7">
              <w:t>µg</w:t>
            </w:r>
            <w:r>
              <w:t xml:space="preserve"> once daily taken orally, following an initial 7 day dose escalation regimen.</w:t>
            </w:r>
          </w:p>
          <w:p w14:paraId="050A35E2" w14:textId="2C668381" w:rsidR="005E1941" w:rsidRDefault="005E1941" w:rsidP="005E1941">
            <w:r w:rsidRPr="00F22648">
              <w:t>Treatment should be initiated under the supervision of a physician experienced in the management of multiple sclerosis (MS).</w:t>
            </w:r>
          </w:p>
          <w:p w14:paraId="73C1C576" w14:textId="77777777" w:rsidR="005E1941" w:rsidRDefault="005E1941" w:rsidP="005E1941">
            <w:r>
              <w:t>Zeposia capsules should be swallowed whole and can be administered with or without food. If a dose of Zeposia is missed, the next scheduled dose should be taken the following day.</w:t>
            </w:r>
          </w:p>
          <w:p w14:paraId="6BC14011" w14:textId="77777777" w:rsidR="005E1941" w:rsidRDefault="005E1941" w:rsidP="005E1941">
            <w:r>
              <w:t>The initial dose escalation regimen of Zeposia from Day 1 to Day 7 and thereafter is as follows:</w:t>
            </w:r>
          </w:p>
          <w:p w14:paraId="6FC3C449" w14:textId="32FFC83E" w:rsidR="005E1941" w:rsidRDefault="005E1941" w:rsidP="005E1941">
            <w:pPr>
              <w:pStyle w:val="ListBullet"/>
            </w:pPr>
            <w:r>
              <w:t xml:space="preserve">Days 1 to 4: </w:t>
            </w:r>
            <w:r w:rsidR="00C97995">
              <w:t xml:space="preserve">230 </w:t>
            </w:r>
            <w:r w:rsidR="00295BE7">
              <w:t>µg</w:t>
            </w:r>
            <w:r>
              <w:t xml:space="preserve"> capsule, once daily</w:t>
            </w:r>
          </w:p>
          <w:p w14:paraId="444E04F4" w14:textId="2CEEE742" w:rsidR="005E1941" w:rsidRDefault="005E1941" w:rsidP="005E1941">
            <w:pPr>
              <w:pStyle w:val="ListBullet"/>
            </w:pPr>
            <w:r>
              <w:t xml:space="preserve">Days 5 to 7: </w:t>
            </w:r>
            <w:r w:rsidR="00C97995">
              <w:t xml:space="preserve">460 </w:t>
            </w:r>
            <w:r w:rsidR="00295BE7">
              <w:t>µg</w:t>
            </w:r>
            <w:r>
              <w:t xml:space="preserve"> capsule, once daily</w:t>
            </w:r>
          </w:p>
          <w:p w14:paraId="0020D5CB" w14:textId="7EF26A3A" w:rsidR="005E1941" w:rsidRDefault="005E1941" w:rsidP="005E1941">
            <w:pPr>
              <w:pStyle w:val="ListBullet"/>
            </w:pPr>
            <w:r>
              <w:t xml:space="preserve">Days 8 and thereafter: </w:t>
            </w:r>
            <w:r w:rsidR="00C97995">
              <w:t xml:space="preserve">920 </w:t>
            </w:r>
            <w:r w:rsidR="00295BE7">
              <w:t>µg</w:t>
            </w:r>
            <w:r>
              <w:t xml:space="preserve"> capsule, once daily.</w:t>
            </w:r>
          </w:p>
          <w:p w14:paraId="22C3A914" w14:textId="77777777" w:rsidR="003331CD" w:rsidRDefault="005E1941" w:rsidP="003331CD">
            <w:r>
              <w:t>Initiation of Zeposia without dose escalation may result in greater reductions in heart rate (see Section 4.4</w:t>
            </w:r>
            <w:r w:rsidR="00C54E75">
              <w:t xml:space="preserve"> of the Product Information (PI)</w:t>
            </w:r>
            <w:r>
              <w:t>).</w:t>
            </w:r>
          </w:p>
          <w:p w14:paraId="120A7F26" w14:textId="59AED239" w:rsidR="00460036" w:rsidRPr="00487162" w:rsidRDefault="00460036" w:rsidP="003331CD">
            <w:r w:rsidRPr="00460036">
              <w:t>For further information regarding dosage, refer to the Product Information.</w:t>
            </w:r>
          </w:p>
        </w:tc>
      </w:tr>
      <w:tr w:rsidR="00460036" w:rsidRPr="00487162" w14:paraId="285DBCFD" w14:textId="77777777" w:rsidTr="00BF1190">
        <w:tc>
          <w:tcPr>
            <w:tcW w:w="2907" w:type="dxa"/>
          </w:tcPr>
          <w:p w14:paraId="55C52F56" w14:textId="77777777" w:rsidR="00460036" w:rsidRPr="00487162" w:rsidRDefault="00460036" w:rsidP="00E45619">
            <w:pPr>
              <w:rPr>
                <w:i/>
              </w:rPr>
            </w:pPr>
            <w:r w:rsidRPr="00460036">
              <w:rPr>
                <w:i/>
              </w:rPr>
              <w:t>Pregnancy category</w:t>
            </w:r>
            <w:r>
              <w:rPr>
                <w:i/>
              </w:rPr>
              <w:t>:</w:t>
            </w:r>
          </w:p>
        </w:tc>
        <w:tc>
          <w:tcPr>
            <w:tcW w:w="6307" w:type="dxa"/>
          </w:tcPr>
          <w:p w14:paraId="08B5E524" w14:textId="77777777" w:rsidR="0072692E" w:rsidRPr="0072692E" w:rsidRDefault="0072692E" w:rsidP="0072692E">
            <w:r w:rsidRPr="0072692E">
              <w:t>Category D</w:t>
            </w:r>
          </w:p>
          <w:p w14:paraId="452442F6" w14:textId="77777777" w:rsidR="0072692E" w:rsidRDefault="0072692E" w:rsidP="0072692E">
            <w:r>
              <w:t xml:space="preserve">Drugs which have caused, are suspected to have caused or may be expected to cause, an increased incidence of human </w:t>
            </w:r>
            <w:proofErr w:type="spellStart"/>
            <w:r>
              <w:t>fetal</w:t>
            </w:r>
            <w:proofErr w:type="spellEnd"/>
            <w:r>
              <w:t xml:space="preserve"> malformations or irreversible damage. These drugs may also have adverse pharmacological effects. Accompanying texts should be consulted for further details.</w:t>
            </w:r>
          </w:p>
          <w:p w14:paraId="1B29A9A4" w14:textId="77777777" w:rsidR="00460036" w:rsidRPr="00487162" w:rsidRDefault="00460036" w:rsidP="00460036">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72692E">
              <w:t>ces in your State or Territory.</w:t>
            </w:r>
          </w:p>
        </w:tc>
      </w:tr>
    </w:tbl>
    <w:p w14:paraId="2F280988" w14:textId="77777777" w:rsidR="008E7846" w:rsidRDefault="008E7846" w:rsidP="008E7846">
      <w:pPr>
        <w:pStyle w:val="Heading3"/>
      </w:pPr>
      <w:bookmarkStart w:id="13" w:name="_Toc247691503"/>
      <w:bookmarkStart w:id="14" w:name="_Toc314842484"/>
      <w:bookmarkStart w:id="15" w:name="_Toc57809132"/>
      <w:r>
        <w:t>Product background</w:t>
      </w:r>
      <w:bookmarkEnd w:id="13"/>
      <w:bookmarkEnd w:id="14"/>
      <w:bookmarkEnd w:id="15"/>
    </w:p>
    <w:p w14:paraId="2E027528" w14:textId="6810CC06" w:rsidR="008E7846" w:rsidRDefault="00250271" w:rsidP="00940A89">
      <w:r w:rsidRPr="00250271">
        <w:t xml:space="preserve">This AusPAR describes the application by </w:t>
      </w:r>
      <w:r w:rsidR="00FE441E">
        <w:t>Celgene Pty Ltd</w:t>
      </w:r>
      <w:r w:rsidRPr="00250271">
        <w:t xml:space="preserve"> (the</w:t>
      </w:r>
      <w:r w:rsidR="00FE441E">
        <w:t xml:space="preserve"> sponsor) to register Zeposia</w:t>
      </w:r>
      <w:r w:rsidRPr="00250271">
        <w:t xml:space="preserve"> (</w:t>
      </w:r>
      <w:proofErr w:type="spellStart"/>
      <w:r w:rsidR="00FE441E">
        <w:t>o</w:t>
      </w:r>
      <w:r w:rsidR="00FE441E" w:rsidRPr="00FE441E">
        <w:t>zanimod</w:t>
      </w:r>
      <w:proofErr w:type="spellEnd"/>
      <w:r w:rsidR="00FE441E" w:rsidRPr="00FE441E">
        <w:t xml:space="preserve"> hydrochloride</w:t>
      </w:r>
      <w:r w:rsidRPr="00250271">
        <w:t xml:space="preserve">) </w:t>
      </w:r>
      <w:r w:rsidR="0072692E">
        <w:t xml:space="preserve">230 </w:t>
      </w:r>
      <w:r w:rsidR="003331CD">
        <w:t>µg</w:t>
      </w:r>
      <w:r w:rsidR="00A0114F">
        <w:t xml:space="preserve">; 460 </w:t>
      </w:r>
      <w:r w:rsidR="003331CD">
        <w:t>µg</w:t>
      </w:r>
      <w:r w:rsidR="00A0114F">
        <w:t xml:space="preserve"> and 920 </w:t>
      </w:r>
      <w:r w:rsidR="003331CD">
        <w:t>µg</w:t>
      </w:r>
      <w:r w:rsidR="0072692E">
        <w:t xml:space="preserve"> oral capsules</w:t>
      </w:r>
      <w:r w:rsidRPr="00250271">
        <w:t xml:space="preserve"> for th</w:t>
      </w:r>
      <w:r w:rsidR="00FE441E">
        <w:t>e following proposed indication</w:t>
      </w:r>
      <w:r w:rsidR="00CF5DAD">
        <w:t>:</w:t>
      </w:r>
    </w:p>
    <w:p w14:paraId="2F5555B3" w14:textId="5E65E2B9" w:rsidR="00FE441E" w:rsidRPr="00FE441E" w:rsidRDefault="00FE441E" w:rsidP="00FE441E">
      <w:pPr>
        <w:ind w:left="720"/>
        <w:rPr>
          <w:i/>
        </w:rPr>
      </w:pPr>
      <w:r w:rsidRPr="00FE441E">
        <w:rPr>
          <w:i/>
        </w:rPr>
        <w:t>Zeposia is indicated for the treatment of adult patients with relaps</w:t>
      </w:r>
      <w:r w:rsidR="003331CD">
        <w:rPr>
          <w:i/>
        </w:rPr>
        <w:t>ing forms of multiple sclerosis.</w:t>
      </w:r>
    </w:p>
    <w:p w14:paraId="77C58984" w14:textId="77777777" w:rsidR="00FE441E" w:rsidRDefault="00FE441E" w:rsidP="00FE441E">
      <w:proofErr w:type="spellStart"/>
      <w:r>
        <w:t>Ozanimod</w:t>
      </w:r>
      <w:proofErr w:type="spellEnd"/>
      <w:r>
        <w:t xml:space="preserve"> hydrochloride;</w:t>
      </w:r>
      <w:r>
        <w:rPr>
          <w:rStyle w:val="FootnoteReference"/>
        </w:rPr>
        <w:footnoteReference w:id="2"/>
      </w:r>
      <w:r>
        <w:t xml:space="preserve"> is an orally bioavailable sphingosine 1-phosphate (S1P) receptor agonist, which binds with high affinity and selectivity to S1P </w:t>
      </w:r>
      <w:r w:rsidR="00A0114F">
        <w:t>receptor subtype</w:t>
      </w:r>
      <w:r>
        <w:t xml:space="preserve"> 1 (S1P1) and </w:t>
      </w:r>
      <w:r w:rsidR="00A0114F">
        <w:t xml:space="preserve">S1P receptor subtype </w:t>
      </w:r>
      <w:r>
        <w:t>5 (S1P5).</w:t>
      </w:r>
      <w:r w:rsidR="00A0114F">
        <w:rPr>
          <w:rStyle w:val="FootnoteReference"/>
        </w:rPr>
        <w:footnoteReference w:id="3"/>
      </w:r>
    </w:p>
    <w:p w14:paraId="703996D2" w14:textId="77777777" w:rsidR="00A5238A" w:rsidRDefault="00A5238A" w:rsidP="00A5238A">
      <w:r>
        <w:lastRenderedPageBreak/>
        <w:t>Multiple sclerosis (MS) is a chronic autoimmune and neurodegenerative disease of the central nervous system (CNS) characterised by inflammation, demyelination, neuronal and oligodendrocyte loss, and disruption of the blood-brain barrier (BBB). Autoreactive lymphocytes attack and destroy the myelin sheath surrounding nerve cells, resulting in demyelination and axonal damage, leading to irreversible deficits in physical function and cognition, and an impaired quality of life) with an increased socio-economic burden on patients and families.</w:t>
      </w:r>
    </w:p>
    <w:p w14:paraId="6C5BD885" w14:textId="77777777" w:rsidR="00A5238A" w:rsidRDefault="00A5238A" w:rsidP="00A5238A">
      <w:r>
        <w:t>Incidence and prevalence of MS varies between regions and countries. Prevalence of MS is increasing and is estimated to affect 2.3 million persons worldwide. In Europe, highest prevalence of MS occurs in countries with high latitude; for example</w:t>
      </w:r>
      <w:r w:rsidR="00AB0334">
        <w:t>, in</w:t>
      </w:r>
      <w:r>
        <w:t xml:space="preserve"> Denmark (232 persons per 100,000 population) and the </w:t>
      </w:r>
      <w:r w:rsidR="00AB0334">
        <w:t xml:space="preserve">United Kingdom (UK; at </w:t>
      </w:r>
      <w:r>
        <w:t>164 per 100,000), and the lowest prevalence of MS is reported in Portugal (56.2 per 100,000). This compares with an estimated prevalence in Australia of 125 per 100,000 (estimated 23,700 persons or 0.1% of the Australian population have MS). Prevalence of MS is highest in Tasmania and almost double that of Queensland and Western Australia. Onset of MS typically occurs between 20 to 40 years of age and p</w:t>
      </w:r>
      <w:r w:rsidR="00A0114F">
        <w:t xml:space="preserve">redominantly affects females (2 to 3 </w:t>
      </w:r>
      <w:r>
        <w:t>fold higher frequency than males).</w:t>
      </w:r>
    </w:p>
    <w:p w14:paraId="1A8E4541" w14:textId="77777777" w:rsidR="00A5238A" w:rsidRDefault="00A5238A" w:rsidP="00A5238A">
      <w:r>
        <w:t xml:space="preserve">Relapsing-remitting multiple sclerosis (RRMS) is the most common </w:t>
      </w:r>
      <w:r w:rsidR="00AB0334">
        <w:t>form of MS, representing approximately</w:t>
      </w:r>
      <w:r>
        <w:t xml:space="preserve"> 85% of patients at diagnosis. The course of RRMS is unpredictable, with variable periods of disease activity interspersed wi</w:t>
      </w:r>
      <w:r w:rsidR="00AB0334">
        <w:t>th periods of stability. Approximately</w:t>
      </w:r>
      <w:r>
        <w:t xml:space="preserve"> 50% patients with RRMS will, within the first 10 years after diagnosis, </w:t>
      </w:r>
      <w:r w:rsidR="00AB0334">
        <w:t>develop secondary progressive multiple sclerosis</w:t>
      </w:r>
      <w:r>
        <w:t xml:space="preserve"> (SPMS), which is characterised by worsening disability in the absence or independent of</w:t>
      </w:r>
      <w:r w:rsidR="00AB0334">
        <w:t xml:space="preserve"> relapses. Relapsing forms of multiple sclerosis</w:t>
      </w:r>
      <w:r>
        <w:t xml:space="preserve"> (RMS) include patients with RRMS</w:t>
      </w:r>
      <w:r w:rsidR="00AB0334">
        <w:t>;</w:t>
      </w:r>
      <w:r>
        <w:t xml:space="preserve"> and those with SPMS with superimposed </w:t>
      </w:r>
      <w:r w:rsidR="00AB0334">
        <w:t>relapses. Primary progressive multiple sclerosis</w:t>
      </w:r>
      <w:r>
        <w:t xml:space="preserve"> (PPMS) i</w:t>
      </w:r>
      <w:r w:rsidR="00AB0334">
        <w:t>s the presenting form of approximately</w:t>
      </w:r>
      <w:r>
        <w:t xml:space="preserve"> 15% patients at diagnosis, characterised by chronic worsening of disability early in the disease and in the absence of relapses. A small subset of patients has chronic worsening of disability with some relapse activity at disease onset, referre</w:t>
      </w:r>
      <w:r w:rsidR="00AB0334">
        <w:t>d to as progressive relapsing multiple sclerosis</w:t>
      </w:r>
      <w:r>
        <w:t xml:space="preserve"> (PRMS).</w:t>
      </w:r>
    </w:p>
    <w:p w14:paraId="5F03877B" w14:textId="77777777" w:rsidR="00A5238A" w:rsidRPr="00FE441E" w:rsidRDefault="00A5238A" w:rsidP="00A5238A">
      <w:r>
        <w:t xml:space="preserve">Relapses, acute episodes of neurological dysfunction, are considered to represent the clinical sequelae of the inflammatory focal lesions, and progression is considered associated with demyelination, impaired </w:t>
      </w:r>
      <w:proofErr w:type="spellStart"/>
      <w:r>
        <w:t>remyelination</w:t>
      </w:r>
      <w:proofErr w:type="spellEnd"/>
      <w:r>
        <w:t>, axonal loss and neuronal loss.</w:t>
      </w:r>
    </w:p>
    <w:p w14:paraId="257174B8" w14:textId="77777777" w:rsidR="008E7846" w:rsidRPr="003F31A2" w:rsidRDefault="00386150" w:rsidP="008E7846">
      <w:pPr>
        <w:pStyle w:val="Heading3"/>
      </w:pPr>
      <w:bookmarkStart w:id="16" w:name="_Toc314842485"/>
      <w:bookmarkStart w:id="17" w:name="_Toc247691504"/>
      <w:bookmarkStart w:id="18" w:name="_Toc57809133"/>
      <w:r>
        <w:t>Regulatory s</w:t>
      </w:r>
      <w:r w:rsidR="008E7846">
        <w:t>tatus</w:t>
      </w:r>
      <w:bookmarkEnd w:id="16"/>
      <w:bookmarkEnd w:id="17"/>
      <w:bookmarkEnd w:id="18"/>
    </w:p>
    <w:p w14:paraId="0C977410" w14:textId="0AC6ABF7" w:rsidR="00940A89" w:rsidRDefault="00006FAB" w:rsidP="00940A89">
      <w:bookmarkStart w:id="19" w:name="_Toc247691505"/>
      <w:bookmarkStart w:id="20" w:name="_Toc314842486"/>
      <w:r w:rsidRPr="00006FAB">
        <w:t>This product is considered a new chemical entity for Australian regulatory purposes.</w:t>
      </w:r>
    </w:p>
    <w:p w14:paraId="15A9D675" w14:textId="6FCCBE98" w:rsidR="00691541" w:rsidRDefault="00563B95" w:rsidP="00563B95">
      <w:pPr>
        <w:autoSpaceDE w:val="0"/>
        <w:autoSpaceDN w:val="0"/>
        <w:adjustRightInd w:val="0"/>
        <w:spacing w:before="0" w:after="0" w:line="240" w:lineRule="auto"/>
        <w:rPr>
          <w:rFonts w:eastAsiaTheme="minorHAnsi" w:cs="TimesNewRoman"/>
          <w:lang w:val="en-GB"/>
        </w:rPr>
      </w:pPr>
      <w:r w:rsidRPr="00937F05">
        <w:rPr>
          <w:rFonts w:eastAsiaTheme="minorHAnsi" w:cs="TimesNewRoman"/>
          <w:lang w:val="en-GB"/>
        </w:rPr>
        <w:t xml:space="preserve">The submitted clinical data package for Australia, </w:t>
      </w:r>
      <w:r>
        <w:rPr>
          <w:rFonts w:eastAsiaTheme="minorHAnsi" w:cs="TimesNewRoman"/>
          <w:lang w:val="en-GB"/>
        </w:rPr>
        <w:t>United States (</w:t>
      </w:r>
      <w:r w:rsidRPr="00937F05">
        <w:rPr>
          <w:rFonts w:eastAsiaTheme="minorHAnsi" w:cs="TimesNewRoman"/>
          <w:lang w:val="en-GB"/>
        </w:rPr>
        <w:t>US</w:t>
      </w:r>
      <w:r>
        <w:rPr>
          <w:rFonts w:eastAsiaTheme="minorHAnsi" w:cs="TimesNewRoman"/>
          <w:lang w:val="en-GB"/>
        </w:rPr>
        <w:t>; initial</w:t>
      </w:r>
      <w:r w:rsidR="00691541">
        <w:rPr>
          <w:rFonts w:eastAsiaTheme="minorHAnsi" w:cs="TimesNewRoman"/>
          <w:lang w:val="en-GB"/>
        </w:rPr>
        <w:t xml:space="preserve"> submission 22 Dec</w:t>
      </w:r>
      <w:r w:rsidR="0033782D">
        <w:rPr>
          <w:rFonts w:eastAsiaTheme="minorHAnsi" w:cs="TimesNewRoman"/>
          <w:lang w:val="en-GB"/>
        </w:rPr>
        <w:t>ember</w:t>
      </w:r>
      <w:r w:rsidR="00691541">
        <w:rPr>
          <w:rFonts w:eastAsiaTheme="minorHAnsi" w:cs="TimesNewRoman"/>
          <w:lang w:val="en-GB"/>
        </w:rPr>
        <w:t xml:space="preserve"> 2017, with a</w:t>
      </w:r>
      <w:r>
        <w:rPr>
          <w:rFonts w:eastAsiaTheme="minorHAnsi" w:cs="TimesNewRoman"/>
          <w:lang w:val="en-GB"/>
        </w:rPr>
        <w:t xml:space="preserve"> resubmission </w:t>
      </w:r>
      <w:r w:rsidR="00691541">
        <w:rPr>
          <w:rFonts w:eastAsiaTheme="minorHAnsi" w:cs="TimesNewRoman"/>
          <w:lang w:val="en-GB"/>
        </w:rPr>
        <w:t xml:space="preserve">on </w:t>
      </w:r>
      <w:r>
        <w:rPr>
          <w:rFonts w:eastAsiaTheme="minorHAnsi" w:cs="TimesNewRoman"/>
          <w:lang w:val="en-GB"/>
        </w:rPr>
        <w:t>25 March 2019)</w:t>
      </w:r>
      <w:r w:rsidRPr="00937F05">
        <w:rPr>
          <w:rFonts w:eastAsiaTheme="minorHAnsi" w:cs="TimesNewRoman"/>
          <w:lang w:val="en-GB"/>
        </w:rPr>
        <w:t>, Switzerland</w:t>
      </w:r>
      <w:r w:rsidR="00691541">
        <w:rPr>
          <w:rFonts w:eastAsiaTheme="minorHAnsi" w:cs="TimesNewRoman"/>
          <w:lang w:val="en-GB"/>
        </w:rPr>
        <w:t xml:space="preserve"> (submitted 6 May </w:t>
      </w:r>
      <w:r>
        <w:rPr>
          <w:rFonts w:eastAsiaTheme="minorHAnsi" w:cs="TimesNewRoman"/>
          <w:lang w:val="en-GB"/>
        </w:rPr>
        <w:t>2019)</w:t>
      </w:r>
      <w:r w:rsidRPr="00937F05">
        <w:rPr>
          <w:rFonts w:eastAsiaTheme="minorHAnsi" w:cs="TimesNewRoman"/>
          <w:lang w:val="en-GB"/>
        </w:rPr>
        <w:t xml:space="preserve"> and </w:t>
      </w:r>
      <w:r>
        <w:rPr>
          <w:rFonts w:eastAsiaTheme="minorHAnsi" w:cs="TimesNewRoman"/>
          <w:lang w:val="en-GB"/>
        </w:rPr>
        <w:t>European Union (</w:t>
      </w:r>
      <w:r w:rsidRPr="00937F05">
        <w:rPr>
          <w:rFonts w:eastAsiaTheme="minorHAnsi" w:cs="TimesNewRoman"/>
          <w:lang w:val="en-GB"/>
        </w:rPr>
        <w:t>EU</w:t>
      </w:r>
      <w:r>
        <w:rPr>
          <w:rFonts w:eastAsiaTheme="minorHAnsi" w:cs="TimesNewRoman"/>
          <w:lang w:val="en-GB"/>
        </w:rPr>
        <w:t>; ce</w:t>
      </w:r>
      <w:r w:rsidR="00BE0232">
        <w:rPr>
          <w:rFonts w:eastAsiaTheme="minorHAnsi" w:cs="TimesNewRoman"/>
          <w:lang w:val="en-GB"/>
        </w:rPr>
        <w:t xml:space="preserve">ntralised procedure, submitted </w:t>
      </w:r>
      <w:r>
        <w:rPr>
          <w:rFonts w:eastAsiaTheme="minorHAnsi" w:cs="TimesNewRoman"/>
          <w:lang w:val="en-GB"/>
        </w:rPr>
        <w:t>6 March 2019)</w:t>
      </w:r>
      <w:r w:rsidRPr="00937F05">
        <w:rPr>
          <w:rFonts w:eastAsiaTheme="minorHAnsi" w:cs="TimesNewRoman"/>
          <w:lang w:val="en-GB"/>
        </w:rPr>
        <w:t xml:space="preserve"> </w:t>
      </w:r>
      <w:r w:rsidR="00C83BD3">
        <w:rPr>
          <w:rFonts w:eastAsiaTheme="minorHAnsi" w:cs="TimesNewRoman"/>
          <w:lang w:val="en-GB"/>
        </w:rPr>
        <w:t>was</w:t>
      </w:r>
      <w:r>
        <w:rPr>
          <w:rFonts w:eastAsiaTheme="minorHAnsi" w:cs="TimesNewRoman"/>
          <w:lang w:val="en-GB"/>
        </w:rPr>
        <w:t xml:space="preserve"> the same</w:t>
      </w:r>
      <w:r w:rsidRPr="00937F05">
        <w:rPr>
          <w:rFonts w:eastAsiaTheme="minorHAnsi" w:cs="TimesNewRoman"/>
          <w:lang w:val="en-GB"/>
        </w:rPr>
        <w:t xml:space="preserve">, apart from differences due to local </w:t>
      </w:r>
      <w:r w:rsidR="00691541">
        <w:rPr>
          <w:rFonts w:eastAsiaTheme="minorHAnsi" w:cs="TimesNewRoman"/>
          <w:lang w:val="en-GB"/>
        </w:rPr>
        <w:t>regulatory agency requirements.</w:t>
      </w:r>
    </w:p>
    <w:p w14:paraId="294C4CA6" w14:textId="186753E2" w:rsidR="00563B95" w:rsidRDefault="00563B95" w:rsidP="00691541">
      <w:pPr>
        <w:rPr>
          <w:lang w:val="en-GB"/>
        </w:rPr>
      </w:pPr>
      <w:r w:rsidRPr="00937F05">
        <w:rPr>
          <w:lang w:val="en-GB"/>
        </w:rPr>
        <w:t>The Australian submission has been adopted from the EU submission.</w:t>
      </w:r>
      <w:r>
        <w:rPr>
          <w:lang w:val="en-GB"/>
        </w:rPr>
        <w:t xml:space="preserve"> The proposed indications in A</w:t>
      </w:r>
      <w:r w:rsidR="00C7010E">
        <w:rPr>
          <w:lang w:val="en-GB"/>
        </w:rPr>
        <w:t>ustralia, US and Switzerland were</w:t>
      </w:r>
      <w:r>
        <w:rPr>
          <w:lang w:val="en-GB"/>
        </w:rPr>
        <w:t xml:space="preserve"> identical. Th</w:t>
      </w:r>
      <w:r w:rsidR="00C7010E">
        <w:rPr>
          <w:lang w:val="en-GB"/>
        </w:rPr>
        <w:t>e proposed EU indication was</w:t>
      </w:r>
      <w:r>
        <w:rPr>
          <w:lang w:val="en-GB"/>
        </w:rPr>
        <w:t xml:space="preserve"> for adults with </w:t>
      </w:r>
      <w:r w:rsidRPr="006C1347">
        <w:rPr>
          <w:i/>
          <w:iCs/>
          <w:lang w:val="en-GB"/>
        </w:rPr>
        <w:t>relapsing-remitting</w:t>
      </w:r>
      <w:r>
        <w:rPr>
          <w:lang w:val="en-GB"/>
        </w:rPr>
        <w:t xml:space="preserve"> MS, not for all relapsing forms as proposed in other jurisdictions.</w:t>
      </w:r>
    </w:p>
    <w:p w14:paraId="6A4430F8" w14:textId="51DD0D22" w:rsidR="00C7010E" w:rsidRDefault="00C7010E" w:rsidP="00691541">
      <w:pPr>
        <w:rPr>
          <w:lang w:val="en-GB"/>
        </w:rPr>
      </w:pPr>
      <w:r>
        <w:rPr>
          <w:lang w:val="en-GB"/>
        </w:rPr>
        <w:t>At the time the submission was under consideration, a similar application has been approved in the EU (approved on 20 May 2020) and the US (approved on 20 March 2020), and was under consideration in Switzerland and Canada.</w:t>
      </w:r>
    </w:p>
    <w:p w14:paraId="5EF9FDBB" w14:textId="77777777" w:rsidR="008E7846" w:rsidRDefault="008E7846" w:rsidP="00940A89">
      <w:pPr>
        <w:pStyle w:val="Heading3"/>
      </w:pPr>
      <w:bookmarkStart w:id="21" w:name="_Toc57809134"/>
      <w:r>
        <w:lastRenderedPageBreak/>
        <w:t>Product Information</w:t>
      </w:r>
      <w:bookmarkEnd w:id="19"/>
      <w:bookmarkEnd w:id="20"/>
      <w:bookmarkEnd w:id="21"/>
    </w:p>
    <w:p w14:paraId="3787E22D" w14:textId="472518F3"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5FA39745" w14:textId="77777777" w:rsidR="00500337" w:rsidRDefault="00500337" w:rsidP="00500337">
      <w:pPr>
        <w:pStyle w:val="Heading2"/>
      </w:pPr>
      <w:bookmarkStart w:id="24" w:name="_Toc504480011"/>
      <w:bookmarkStart w:id="25" w:name="_Toc57809135"/>
      <w:r>
        <w:t>II. Registration timeline</w:t>
      </w:r>
      <w:bookmarkEnd w:id="24"/>
      <w:bookmarkEnd w:id="25"/>
    </w:p>
    <w:p w14:paraId="21EF0C35" w14:textId="77777777" w:rsidR="00500337" w:rsidRPr="00377BD4" w:rsidRDefault="00500337" w:rsidP="003B34D8">
      <w:r>
        <w:t>The following table captures the key steps and dates for this application and which are detailed and discussed in this AusPAR.</w:t>
      </w:r>
    </w:p>
    <w:p w14:paraId="6AB4146F" w14:textId="3FF6B5F0" w:rsidR="003B34D8" w:rsidRDefault="003B34D8" w:rsidP="003B34D8">
      <w:pPr>
        <w:pStyle w:val="TableTitle"/>
      </w:pPr>
      <w:r>
        <w:t xml:space="preserve">Table </w:t>
      </w:r>
      <w:r w:rsidR="0082445D">
        <w:fldChar w:fldCharType="begin"/>
      </w:r>
      <w:r w:rsidR="0082445D">
        <w:instrText xml:space="preserve"> SEQ Table \* ARABIC </w:instrText>
      </w:r>
      <w:r w:rsidR="0082445D">
        <w:fldChar w:fldCharType="separate"/>
      </w:r>
      <w:r w:rsidR="005C13EA">
        <w:rPr>
          <w:noProof/>
        </w:rPr>
        <w:t>1</w:t>
      </w:r>
      <w:r w:rsidR="0082445D">
        <w:rPr>
          <w:noProof/>
        </w:rPr>
        <w:fldChar w:fldCharType="end"/>
      </w:r>
      <w:r>
        <w:t xml:space="preserve">: </w:t>
      </w:r>
      <w:r w:rsidRPr="00604525">
        <w:t xml:space="preserve">Timeline </w:t>
      </w:r>
      <w:r>
        <w:t>for Submission PM-2019-02397-1-1</w:t>
      </w:r>
    </w:p>
    <w:tbl>
      <w:tblPr>
        <w:tblStyle w:val="TableTGAblue"/>
        <w:tblW w:w="0" w:type="auto"/>
        <w:tblLook w:val="04A0" w:firstRow="1" w:lastRow="0" w:firstColumn="1" w:lastColumn="0" w:noHBand="0" w:noVBand="1"/>
      </w:tblPr>
      <w:tblGrid>
        <w:gridCol w:w="6487"/>
        <w:gridCol w:w="2233"/>
      </w:tblGrid>
      <w:tr w:rsidR="00500337" w14:paraId="4DCABC94" w14:textId="77777777" w:rsidTr="0082445D">
        <w:trPr>
          <w:cnfStyle w:val="100000000000" w:firstRow="1" w:lastRow="0" w:firstColumn="0" w:lastColumn="0" w:oddVBand="0" w:evenVBand="0" w:oddHBand="0" w:evenHBand="0" w:firstRowFirstColumn="0" w:firstRowLastColumn="0" w:lastRowFirstColumn="0" w:lastRowLastColumn="0"/>
          <w:cantSplit/>
        </w:trPr>
        <w:tc>
          <w:tcPr>
            <w:tcW w:w="6487" w:type="dxa"/>
            <w:tcBorders>
              <w:top w:val="single" w:sz="4" w:space="0" w:color="auto"/>
              <w:left w:val="single" w:sz="4" w:space="0" w:color="auto"/>
              <w:bottom w:val="single" w:sz="4" w:space="0" w:color="auto"/>
              <w:right w:val="single" w:sz="4" w:space="0" w:color="auto"/>
            </w:tcBorders>
          </w:tcPr>
          <w:p w14:paraId="1980D598" w14:textId="77777777" w:rsidR="00500337" w:rsidRDefault="00500337" w:rsidP="00500337">
            <w:pPr>
              <w:ind w:left="0" w:right="0"/>
            </w:pPr>
            <w:r>
              <w:t>Description</w:t>
            </w:r>
          </w:p>
        </w:tc>
        <w:tc>
          <w:tcPr>
            <w:tcW w:w="2233" w:type="dxa"/>
            <w:tcBorders>
              <w:top w:val="single" w:sz="4" w:space="0" w:color="auto"/>
              <w:left w:val="single" w:sz="4" w:space="0" w:color="auto"/>
              <w:bottom w:val="single" w:sz="4" w:space="0" w:color="auto"/>
              <w:right w:val="single" w:sz="4" w:space="0" w:color="auto"/>
            </w:tcBorders>
          </w:tcPr>
          <w:p w14:paraId="7E8EF7F0" w14:textId="77777777" w:rsidR="00500337" w:rsidRDefault="00500337" w:rsidP="00500337">
            <w:pPr>
              <w:ind w:left="0" w:right="0"/>
            </w:pPr>
            <w:r>
              <w:t>Date</w:t>
            </w:r>
          </w:p>
        </w:tc>
      </w:tr>
      <w:tr w:rsidR="00500337" w14:paraId="1DBDDD2C" w14:textId="77777777" w:rsidTr="0082445D">
        <w:tc>
          <w:tcPr>
            <w:tcW w:w="6487" w:type="dxa"/>
            <w:tcBorders>
              <w:top w:val="single" w:sz="4" w:space="0" w:color="auto"/>
            </w:tcBorders>
          </w:tcPr>
          <w:p w14:paraId="75B1667C" w14:textId="77777777" w:rsidR="00500337" w:rsidRDefault="00500337" w:rsidP="00500337">
            <w:pPr>
              <w:ind w:left="0" w:right="0"/>
            </w:pPr>
            <w:r>
              <w:t>Submission dossier accepted and first round evaluation commenced</w:t>
            </w:r>
          </w:p>
        </w:tc>
        <w:tc>
          <w:tcPr>
            <w:tcW w:w="2233" w:type="dxa"/>
            <w:tcBorders>
              <w:top w:val="single" w:sz="4" w:space="0" w:color="auto"/>
            </w:tcBorders>
          </w:tcPr>
          <w:p w14:paraId="31B59264" w14:textId="30B9C4FC" w:rsidR="00500337" w:rsidRDefault="00C83BD3" w:rsidP="00500337">
            <w:pPr>
              <w:ind w:left="0" w:right="0"/>
            </w:pPr>
            <w:r>
              <w:t>31 July</w:t>
            </w:r>
            <w:r w:rsidR="008F31EF">
              <w:t xml:space="preserve"> 2019</w:t>
            </w:r>
          </w:p>
        </w:tc>
      </w:tr>
      <w:tr w:rsidR="00500337" w14:paraId="0588AC55" w14:textId="77777777" w:rsidTr="0082445D">
        <w:tc>
          <w:tcPr>
            <w:tcW w:w="6487" w:type="dxa"/>
          </w:tcPr>
          <w:p w14:paraId="17DAA878" w14:textId="77777777" w:rsidR="00500337" w:rsidRDefault="00500337" w:rsidP="00500337">
            <w:pPr>
              <w:ind w:left="0" w:right="0"/>
            </w:pPr>
            <w:r>
              <w:t>First round evaluation completed</w:t>
            </w:r>
          </w:p>
        </w:tc>
        <w:tc>
          <w:tcPr>
            <w:tcW w:w="2233" w:type="dxa"/>
          </w:tcPr>
          <w:p w14:paraId="3A7DC202" w14:textId="4D706F26" w:rsidR="00500337" w:rsidRDefault="00C83BD3" w:rsidP="00500337">
            <w:pPr>
              <w:ind w:left="0" w:right="0"/>
            </w:pPr>
            <w:r>
              <w:t>27 February 2020</w:t>
            </w:r>
          </w:p>
        </w:tc>
      </w:tr>
      <w:tr w:rsidR="00500337" w14:paraId="5899D644" w14:textId="77777777" w:rsidTr="0082445D">
        <w:tc>
          <w:tcPr>
            <w:tcW w:w="6487" w:type="dxa"/>
          </w:tcPr>
          <w:p w14:paraId="6747F80B" w14:textId="77777777" w:rsidR="00500337" w:rsidRDefault="00500337" w:rsidP="00500337">
            <w:pPr>
              <w:ind w:left="0" w:right="0"/>
            </w:pPr>
            <w:r>
              <w:t>Sponsor provides responses on questions raised in first round evaluation</w:t>
            </w:r>
          </w:p>
        </w:tc>
        <w:tc>
          <w:tcPr>
            <w:tcW w:w="2233" w:type="dxa"/>
          </w:tcPr>
          <w:p w14:paraId="4F039C8E" w14:textId="1077CC5E" w:rsidR="00500337" w:rsidRDefault="00C83BD3" w:rsidP="00500337">
            <w:pPr>
              <w:ind w:left="0" w:right="0"/>
            </w:pPr>
            <w:r>
              <w:t>26 March 2020</w:t>
            </w:r>
          </w:p>
        </w:tc>
      </w:tr>
      <w:tr w:rsidR="00C83BD3" w14:paraId="4B42DB8D" w14:textId="77777777" w:rsidTr="0082445D">
        <w:tc>
          <w:tcPr>
            <w:tcW w:w="6487" w:type="dxa"/>
          </w:tcPr>
          <w:p w14:paraId="2757EA5D" w14:textId="0316F0FB" w:rsidR="00C83BD3" w:rsidRDefault="00C83BD3" w:rsidP="00C83BD3">
            <w:pPr>
              <w:ind w:left="0"/>
            </w:pPr>
            <w:r>
              <w:t>Second round evaluation completed</w:t>
            </w:r>
          </w:p>
        </w:tc>
        <w:tc>
          <w:tcPr>
            <w:tcW w:w="2233" w:type="dxa"/>
          </w:tcPr>
          <w:p w14:paraId="72C6AF60" w14:textId="4348CB1A" w:rsidR="00C83BD3" w:rsidRDefault="00C83BD3" w:rsidP="00C83BD3">
            <w:pPr>
              <w:ind w:left="0"/>
            </w:pPr>
            <w:r>
              <w:t>15 April 2020</w:t>
            </w:r>
          </w:p>
        </w:tc>
      </w:tr>
      <w:tr w:rsidR="00500337" w14:paraId="2BAF5EA8" w14:textId="77777777" w:rsidTr="0082445D">
        <w:tc>
          <w:tcPr>
            <w:tcW w:w="6487" w:type="dxa"/>
          </w:tcPr>
          <w:p w14:paraId="20BDD103" w14:textId="2BFB53CA" w:rsidR="00500337" w:rsidRDefault="00500337" w:rsidP="004E7449">
            <w:pPr>
              <w:ind w:left="0" w:right="0"/>
            </w:pPr>
            <w:r>
              <w:t xml:space="preserve">Delegate’s </w:t>
            </w:r>
            <w:r w:rsidR="004E7449">
              <w:t>Overall benefit-risk assessment</w:t>
            </w:r>
          </w:p>
        </w:tc>
        <w:tc>
          <w:tcPr>
            <w:tcW w:w="2233" w:type="dxa"/>
          </w:tcPr>
          <w:p w14:paraId="2D081F8E" w14:textId="77777777" w:rsidR="00500337" w:rsidRDefault="00425FA5" w:rsidP="00500337">
            <w:pPr>
              <w:ind w:left="0" w:right="0"/>
            </w:pPr>
            <w:r>
              <w:t>1 July 2020</w:t>
            </w:r>
          </w:p>
        </w:tc>
      </w:tr>
      <w:tr w:rsidR="00500337" w14:paraId="1AF23A1F" w14:textId="77777777" w:rsidTr="0082445D">
        <w:tc>
          <w:tcPr>
            <w:tcW w:w="6487" w:type="dxa"/>
          </w:tcPr>
          <w:p w14:paraId="01CF253B" w14:textId="77777777" w:rsidR="00500337" w:rsidRDefault="00500337" w:rsidP="00500337">
            <w:pPr>
              <w:ind w:left="0" w:right="0"/>
            </w:pPr>
            <w:r>
              <w:t>Sponsor’s pre-Advisory Committee response</w:t>
            </w:r>
          </w:p>
        </w:tc>
        <w:tc>
          <w:tcPr>
            <w:tcW w:w="2233" w:type="dxa"/>
          </w:tcPr>
          <w:p w14:paraId="02D405E1" w14:textId="77777777" w:rsidR="00500337" w:rsidRDefault="0013513D" w:rsidP="00500337">
            <w:pPr>
              <w:ind w:left="0" w:right="0"/>
            </w:pPr>
            <w:r>
              <w:t>Not applicable</w:t>
            </w:r>
          </w:p>
        </w:tc>
      </w:tr>
      <w:tr w:rsidR="00500337" w14:paraId="2C7BA6D7" w14:textId="77777777" w:rsidTr="0082445D">
        <w:tc>
          <w:tcPr>
            <w:tcW w:w="6487" w:type="dxa"/>
          </w:tcPr>
          <w:p w14:paraId="59AC7645" w14:textId="77777777" w:rsidR="00500337" w:rsidRDefault="00500337" w:rsidP="00500337">
            <w:pPr>
              <w:ind w:left="0" w:right="0"/>
            </w:pPr>
            <w:r>
              <w:t>Advisory Committee meeting</w:t>
            </w:r>
          </w:p>
        </w:tc>
        <w:tc>
          <w:tcPr>
            <w:tcW w:w="2233" w:type="dxa"/>
          </w:tcPr>
          <w:p w14:paraId="48422469" w14:textId="77777777" w:rsidR="00500337" w:rsidRDefault="00425FA5" w:rsidP="00500337">
            <w:pPr>
              <w:ind w:left="0" w:right="0"/>
            </w:pPr>
            <w:r>
              <w:t>Not applicable</w:t>
            </w:r>
          </w:p>
        </w:tc>
      </w:tr>
      <w:tr w:rsidR="00500337" w14:paraId="31934502" w14:textId="77777777" w:rsidTr="0082445D">
        <w:tc>
          <w:tcPr>
            <w:tcW w:w="6487" w:type="dxa"/>
          </w:tcPr>
          <w:p w14:paraId="1EBC3FA7" w14:textId="77777777" w:rsidR="00500337" w:rsidRDefault="00500337" w:rsidP="00500337">
            <w:pPr>
              <w:ind w:left="0" w:right="0"/>
            </w:pPr>
            <w:r>
              <w:t>Registration decision (Outcome)</w:t>
            </w:r>
          </w:p>
        </w:tc>
        <w:tc>
          <w:tcPr>
            <w:tcW w:w="2233" w:type="dxa"/>
          </w:tcPr>
          <w:p w14:paraId="36E2B054" w14:textId="77777777" w:rsidR="00500337" w:rsidRDefault="00425FA5" w:rsidP="00500337">
            <w:pPr>
              <w:ind w:left="0" w:right="0"/>
            </w:pPr>
            <w:r>
              <w:t>16 July 2020</w:t>
            </w:r>
          </w:p>
        </w:tc>
      </w:tr>
      <w:tr w:rsidR="00500337" w14:paraId="6C87DB5E" w14:textId="77777777" w:rsidTr="0082445D">
        <w:tc>
          <w:tcPr>
            <w:tcW w:w="6487" w:type="dxa"/>
          </w:tcPr>
          <w:p w14:paraId="79CB23EE" w14:textId="77777777" w:rsidR="00500337" w:rsidRDefault="00500337" w:rsidP="00500337">
            <w:pPr>
              <w:ind w:left="0" w:right="0"/>
            </w:pPr>
            <w:r>
              <w:t xml:space="preserve">Completion of administrative activities and registration on </w:t>
            </w:r>
            <w:r w:rsidR="00006FAB">
              <w:t xml:space="preserve">the </w:t>
            </w:r>
            <w:r>
              <w:t>ARTG</w:t>
            </w:r>
          </w:p>
        </w:tc>
        <w:tc>
          <w:tcPr>
            <w:tcW w:w="2233" w:type="dxa"/>
          </w:tcPr>
          <w:p w14:paraId="012E693C" w14:textId="77777777" w:rsidR="00500337" w:rsidRDefault="008F31EF" w:rsidP="00500337">
            <w:pPr>
              <w:ind w:left="0" w:right="0"/>
            </w:pPr>
            <w:r>
              <w:t>17 July 2020</w:t>
            </w:r>
          </w:p>
        </w:tc>
      </w:tr>
      <w:tr w:rsidR="00500337" w14:paraId="59ED14D7" w14:textId="77777777" w:rsidTr="0082445D">
        <w:tc>
          <w:tcPr>
            <w:tcW w:w="6487" w:type="dxa"/>
          </w:tcPr>
          <w:p w14:paraId="32F7844F" w14:textId="77777777" w:rsidR="00500337" w:rsidRDefault="00500337" w:rsidP="00500337">
            <w:pPr>
              <w:ind w:left="0" w:right="0"/>
            </w:pPr>
            <w:r>
              <w:t>Number of working days from submission dossier acceptance to registration decision*</w:t>
            </w:r>
          </w:p>
        </w:tc>
        <w:tc>
          <w:tcPr>
            <w:tcW w:w="2233" w:type="dxa"/>
          </w:tcPr>
          <w:p w14:paraId="5C9BA3F0" w14:textId="3A66CAC3" w:rsidR="00500337" w:rsidRDefault="00C83BD3" w:rsidP="00C83BD3">
            <w:pPr>
              <w:ind w:left="0" w:right="0"/>
            </w:pPr>
            <w:r>
              <w:t>218</w:t>
            </w:r>
            <w:r w:rsidR="00691541">
              <w:t xml:space="preserve"> days</w:t>
            </w:r>
          </w:p>
        </w:tc>
      </w:tr>
    </w:tbl>
    <w:p w14:paraId="77455019" w14:textId="77777777" w:rsidR="00500337" w:rsidRDefault="00500337" w:rsidP="00500337">
      <w:pPr>
        <w:pStyle w:val="TableDescription"/>
      </w:pPr>
      <w:r>
        <w:t>*</w:t>
      </w:r>
      <w:r w:rsidR="00BF3774" w:rsidRPr="00BF3774">
        <w:t xml:space="preserve">Statutory </w:t>
      </w:r>
      <w:r>
        <w:t>timeframe for standard applications is 2</w:t>
      </w:r>
      <w:r w:rsidR="00BF3774">
        <w:t>55</w:t>
      </w:r>
      <w:r>
        <w:t xml:space="preserve"> working days</w:t>
      </w:r>
    </w:p>
    <w:p w14:paraId="391EC0AD" w14:textId="77777777" w:rsidR="008E7846" w:rsidRPr="00792A32" w:rsidRDefault="00456765" w:rsidP="008E7846">
      <w:pPr>
        <w:pStyle w:val="Heading2"/>
      </w:pPr>
      <w:bookmarkStart w:id="26" w:name="_Toc196046504"/>
      <w:bookmarkStart w:id="27" w:name="_Toc247691527"/>
      <w:bookmarkStart w:id="28" w:name="_Toc314842510"/>
      <w:bookmarkStart w:id="29" w:name="_Toc163441390"/>
      <w:bookmarkStart w:id="30" w:name="_Toc57809136"/>
      <w:bookmarkEnd w:id="22"/>
      <w:bookmarkEnd w:id="23"/>
      <w:bookmarkEnd w:id="1"/>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6"/>
      <w:bookmarkEnd w:id="27"/>
      <w:bookmarkEnd w:id="28"/>
      <w:bookmarkEnd w:id="30"/>
    </w:p>
    <w:p w14:paraId="6BD26E68" w14:textId="77777777" w:rsidR="00006FAB" w:rsidRDefault="00006FAB" w:rsidP="00006FAB">
      <w:bookmarkStart w:id="31" w:name="_Toc247691528"/>
      <w:r>
        <w:t>The submission was summarised in the following Delegate’s overview and recommendations.</w:t>
      </w:r>
    </w:p>
    <w:p w14:paraId="02E28984" w14:textId="77777777" w:rsidR="008E7846" w:rsidRDefault="008E7846" w:rsidP="008E7846">
      <w:pPr>
        <w:pStyle w:val="Heading3"/>
      </w:pPr>
      <w:bookmarkStart w:id="32" w:name="_Toc314842511"/>
      <w:bookmarkStart w:id="33" w:name="_Toc57809137"/>
      <w:r>
        <w:t>Quality</w:t>
      </w:r>
      <w:bookmarkEnd w:id="31"/>
      <w:bookmarkEnd w:id="32"/>
      <w:bookmarkEnd w:id="33"/>
    </w:p>
    <w:p w14:paraId="47C238A3" w14:textId="77777777" w:rsidR="003B34D8" w:rsidRPr="003B34D8" w:rsidRDefault="00F82651" w:rsidP="003B34D8">
      <w:r>
        <w:t xml:space="preserve">Table 2, shown below, summarises the structures, molecular weights and formulae for both </w:t>
      </w:r>
      <w:proofErr w:type="spellStart"/>
      <w:r>
        <w:t>ozanimod</w:t>
      </w:r>
      <w:proofErr w:type="spellEnd"/>
      <w:r>
        <w:t xml:space="preserve"> and </w:t>
      </w:r>
      <w:proofErr w:type="spellStart"/>
      <w:r>
        <w:t>ozanimod</w:t>
      </w:r>
      <w:proofErr w:type="spellEnd"/>
      <w:r>
        <w:t xml:space="preserve"> hydrochloride.</w:t>
      </w:r>
    </w:p>
    <w:p w14:paraId="01039B17" w14:textId="5DBADFD6" w:rsidR="003B34D8" w:rsidRDefault="00F82651" w:rsidP="00F82651">
      <w:pPr>
        <w:pStyle w:val="TableTitle"/>
      </w:pPr>
      <w:r>
        <w:lastRenderedPageBreak/>
        <w:t xml:space="preserve">Table </w:t>
      </w:r>
      <w:r w:rsidR="0082445D">
        <w:fldChar w:fldCharType="begin"/>
      </w:r>
      <w:r w:rsidR="0082445D">
        <w:instrText xml:space="preserve"> SEQ Table \* ARABIC </w:instrText>
      </w:r>
      <w:r w:rsidR="0082445D">
        <w:fldChar w:fldCharType="separate"/>
      </w:r>
      <w:r w:rsidR="005C13EA">
        <w:rPr>
          <w:noProof/>
        </w:rPr>
        <w:t>2</w:t>
      </w:r>
      <w:r w:rsidR="0082445D">
        <w:rPr>
          <w:noProof/>
        </w:rPr>
        <w:fldChar w:fldCharType="end"/>
      </w:r>
      <w:r>
        <w:t xml:space="preserve">: </w:t>
      </w:r>
      <w:proofErr w:type="spellStart"/>
      <w:r w:rsidR="0098522B">
        <w:t>Ozanimod</w:t>
      </w:r>
      <w:proofErr w:type="spellEnd"/>
      <w:r w:rsidR="0098522B">
        <w:t xml:space="preserve"> and </w:t>
      </w:r>
      <w:proofErr w:type="spellStart"/>
      <w:r w:rsidR="0098522B">
        <w:t>ozanimod</w:t>
      </w:r>
      <w:proofErr w:type="spellEnd"/>
      <w:r w:rsidR="0098522B">
        <w:t xml:space="preserve"> hydrochloride drug structure, molecular weights and formulae</w:t>
      </w:r>
    </w:p>
    <w:tbl>
      <w:tblPr>
        <w:tblStyle w:val="TableTGAblue"/>
        <w:tblW w:w="4950" w:type="pct"/>
        <w:tblLayout w:type="fixed"/>
        <w:tblLook w:val="04A0" w:firstRow="1" w:lastRow="0" w:firstColumn="1" w:lastColumn="0" w:noHBand="0" w:noVBand="1"/>
      </w:tblPr>
      <w:tblGrid>
        <w:gridCol w:w="1480"/>
        <w:gridCol w:w="3543"/>
        <w:gridCol w:w="3610"/>
      </w:tblGrid>
      <w:tr w:rsidR="00C83BD3" w:rsidRPr="00E71044" w14:paraId="06B8E3D2" w14:textId="77777777" w:rsidTr="00DB2452">
        <w:trPr>
          <w:cnfStyle w:val="100000000000" w:firstRow="1" w:lastRow="0" w:firstColumn="0" w:lastColumn="0" w:oddVBand="0" w:evenVBand="0" w:oddHBand="0" w:evenHBand="0" w:firstRowFirstColumn="0" w:firstRowLastColumn="0" w:lastRowFirstColumn="0" w:lastRowLastColumn="0"/>
          <w:trHeight w:val="405"/>
        </w:trPr>
        <w:tc>
          <w:tcPr>
            <w:tcW w:w="2909" w:type="pct"/>
            <w:gridSpan w:val="2"/>
          </w:tcPr>
          <w:p w14:paraId="76F04E08" w14:textId="13E6DDE4" w:rsidR="00C83BD3" w:rsidRPr="0089065E" w:rsidRDefault="00C83BD3" w:rsidP="00C83BD3">
            <w:pPr>
              <w:spacing w:before="60" w:after="60"/>
              <w:ind w:left="0" w:right="0"/>
              <w:rPr>
                <w:bCs/>
              </w:rPr>
            </w:pPr>
            <w:r>
              <w:rPr>
                <w:bCs/>
              </w:rPr>
              <w:t>Chemical information</w:t>
            </w:r>
          </w:p>
        </w:tc>
        <w:tc>
          <w:tcPr>
            <w:tcW w:w="2091" w:type="pct"/>
          </w:tcPr>
          <w:p w14:paraId="7BEE7985" w14:textId="77777777" w:rsidR="00C83BD3" w:rsidRDefault="00C83BD3" w:rsidP="00C83BD3">
            <w:pPr>
              <w:spacing w:before="60" w:after="60"/>
              <w:ind w:left="0" w:right="0"/>
              <w:rPr>
                <w:noProof/>
              </w:rPr>
            </w:pPr>
          </w:p>
        </w:tc>
      </w:tr>
      <w:tr w:rsidR="00C83BD3" w:rsidRPr="00E71044" w14:paraId="0F49F90B" w14:textId="77777777" w:rsidTr="00DB2452">
        <w:trPr>
          <w:trHeight w:val="3215"/>
        </w:trPr>
        <w:tc>
          <w:tcPr>
            <w:tcW w:w="857" w:type="pct"/>
          </w:tcPr>
          <w:p w14:paraId="0D8DE3E4" w14:textId="052C2111" w:rsidR="00C83BD3" w:rsidRPr="007C2B49" w:rsidRDefault="00C83BD3" w:rsidP="00C83BD3">
            <w:pPr>
              <w:spacing w:before="60" w:after="60"/>
              <w:ind w:left="0" w:right="0"/>
              <w:rPr>
                <w:b/>
              </w:rPr>
            </w:pPr>
            <w:r w:rsidRPr="007C2B49">
              <w:rPr>
                <w:b/>
                <w:color w:val="auto"/>
              </w:rPr>
              <w:t>Structure</w:t>
            </w:r>
          </w:p>
        </w:tc>
        <w:tc>
          <w:tcPr>
            <w:tcW w:w="2052" w:type="pct"/>
          </w:tcPr>
          <w:p w14:paraId="08FD4C8A" w14:textId="77777777" w:rsidR="00C83BD3" w:rsidRPr="0089065E" w:rsidRDefault="00C83BD3" w:rsidP="00C83BD3">
            <w:pPr>
              <w:spacing w:before="60" w:after="60"/>
              <w:ind w:left="0" w:right="0"/>
              <w:rPr>
                <w:bCs/>
                <w:color w:val="auto"/>
              </w:rPr>
            </w:pPr>
            <w:proofErr w:type="spellStart"/>
            <w:r w:rsidRPr="0089065E">
              <w:rPr>
                <w:bCs/>
                <w:color w:val="auto"/>
              </w:rPr>
              <w:t>Ozanimod</w:t>
            </w:r>
            <w:proofErr w:type="spellEnd"/>
          </w:p>
          <w:p w14:paraId="176C56BB" w14:textId="786E08EB" w:rsidR="00C83BD3" w:rsidRPr="0089065E" w:rsidRDefault="00C83BD3" w:rsidP="00C83BD3">
            <w:pPr>
              <w:spacing w:before="60" w:after="60"/>
              <w:ind w:left="0" w:right="0"/>
              <w:rPr>
                <w:bCs/>
              </w:rPr>
            </w:pPr>
            <w:r>
              <w:rPr>
                <w:noProof/>
              </w:rPr>
              <w:drawing>
                <wp:inline distT="0" distB="0" distL="0" distR="0" wp14:anchorId="305927D1" wp14:editId="36D838DB">
                  <wp:extent cx="1916582" cy="1916582"/>
                  <wp:effectExtent l="0" t="0" r="7620" b="7620"/>
                  <wp:docPr id="1" name="Picture 1" descr="Ozani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nimod_structure.png"/>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23913" cy="1923913"/>
                          </a:xfrm>
                          <a:prstGeom prst="rect">
                            <a:avLst/>
                          </a:prstGeom>
                        </pic:spPr>
                      </pic:pic>
                    </a:graphicData>
                  </a:graphic>
                </wp:inline>
              </w:drawing>
            </w:r>
          </w:p>
        </w:tc>
        <w:tc>
          <w:tcPr>
            <w:tcW w:w="2091" w:type="pct"/>
          </w:tcPr>
          <w:p w14:paraId="5C189AD6" w14:textId="77777777" w:rsidR="0082445D" w:rsidRDefault="00C83BD3" w:rsidP="00C83BD3">
            <w:pPr>
              <w:spacing w:before="60" w:after="60"/>
              <w:ind w:left="0" w:right="0"/>
              <w:rPr>
                <w:noProof/>
                <w:color w:val="auto"/>
              </w:rPr>
            </w:pPr>
            <w:r>
              <w:rPr>
                <w:noProof/>
                <w:color w:val="auto"/>
              </w:rPr>
              <w:t>Ozanimod hydrochloride</w:t>
            </w:r>
          </w:p>
          <w:p w14:paraId="3248008D" w14:textId="5CD46AF8" w:rsidR="00C83BD3" w:rsidRDefault="00C83BD3" w:rsidP="00C83BD3">
            <w:pPr>
              <w:spacing w:before="60" w:after="60"/>
              <w:ind w:left="0" w:right="0"/>
              <w:rPr>
                <w:noProof/>
              </w:rPr>
            </w:pPr>
            <w:r>
              <w:rPr>
                <w:noProof/>
              </w:rPr>
              <w:drawing>
                <wp:inline distT="0" distB="0" distL="0" distR="0" wp14:anchorId="2BCF91AB" wp14:editId="4B4075C8">
                  <wp:extent cx="1967789" cy="1967789"/>
                  <wp:effectExtent l="0" t="0" r="0" b="0"/>
                  <wp:docPr id="2" name="Picture 2" descr="Ozanimod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zanimod HCl_structure.png"/>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78999" cy="1978999"/>
                          </a:xfrm>
                          <a:prstGeom prst="rect">
                            <a:avLst/>
                          </a:prstGeom>
                        </pic:spPr>
                      </pic:pic>
                    </a:graphicData>
                  </a:graphic>
                </wp:inline>
              </w:drawing>
            </w:r>
          </w:p>
        </w:tc>
      </w:tr>
      <w:tr w:rsidR="00F82651" w:rsidRPr="00E71044" w14:paraId="49DFA448" w14:textId="77777777" w:rsidTr="00DB2452">
        <w:trPr>
          <w:trHeight w:val="637"/>
        </w:trPr>
        <w:tc>
          <w:tcPr>
            <w:tcW w:w="857" w:type="pct"/>
          </w:tcPr>
          <w:p w14:paraId="7942FE19" w14:textId="77777777" w:rsidR="00F82651" w:rsidRPr="00DB2452" w:rsidRDefault="00F82651" w:rsidP="00C83BD3">
            <w:pPr>
              <w:spacing w:before="60" w:after="60"/>
              <w:ind w:left="0" w:right="0"/>
              <w:rPr>
                <w:b/>
                <w:color w:val="auto"/>
              </w:rPr>
            </w:pPr>
            <w:r w:rsidRPr="00DB2452">
              <w:rPr>
                <w:b/>
                <w:color w:val="auto"/>
              </w:rPr>
              <w:t>Molecular formula</w:t>
            </w:r>
          </w:p>
        </w:tc>
        <w:tc>
          <w:tcPr>
            <w:tcW w:w="4143" w:type="pct"/>
            <w:gridSpan w:val="2"/>
          </w:tcPr>
          <w:p w14:paraId="1A1B0523" w14:textId="77777777" w:rsidR="00F82651" w:rsidRPr="00DB2452" w:rsidRDefault="00F82651" w:rsidP="00C83BD3">
            <w:pPr>
              <w:spacing w:before="60" w:after="60"/>
              <w:ind w:left="0" w:right="0"/>
            </w:pPr>
            <w:proofErr w:type="spellStart"/>
            <w:r w:rsidRPr="00DB2452">
              <w:rPr>
                <w:bCs/>
              </w:rPr>
              <w:t>Ozanimod</w:t>
            </w:r>
            <w:proofErr w:type="spellEnd"/>
            <w:r w:rsidRPr="00DB2452">
              <w:t>: C</w:t>
            </w:r>
            <w:r w:rsidRPr="00DB2452">
              <w:rPr>
                <w:vertAlign w:val="subscript"/>
              </w:rPr>
              <w:t>23</w:t>
            </w:r>
            <w:r w:rsidRPr="00DB2452">
              <w:t>H</w:t>
            </w:r>
            <w:r w:rsidRPr="00DB2452">
              <w:rPr>
                <w:vertAlign w:val="subscript"/>
              </w:rPr>
              <w:t>24</w:t>
            </w:r>
            <w:r w:rsidRPr="00DB2452">
              <w:t>N</w:t>
            </w:r>
            <w:r w:rsidRPr="00DB2452">
              <w:rPr>
                <w:vertAlign w:val="subscript"/>
              </w:rPr>
              <w:t>4</w:t>
            </w:r>
            <w:r w:rsidRPr="00DB2452">
              <w:t>O</w:t>
            </w:r>
            <w:r w:rsidRPr="00DB2452">
              <w:rPr>
                <w:vertAlign w:val="subscript"/>
              </w:rPr>
              <w:t>3</w:t>
            </w:r>
          </w:p>
          <w:p w14:paraId="19A0D387" w14:textId="77777777" w:rsidR="00F82651" w:rsidRPr="00DB2452" w:rsidRDefault="00F82651" w:rsidP="00C83BD3">
            <w:pPr>
              <w:spacing w:before="60" w:after="60"/>
              <w:ind w:left="0" w:right="0"/>
            </w:pPr>
            <w:proofErr w:type="spellStart"/>
            <w:r w:rsidRPr="00DB2452">
              <w:rPr>
                <w:bCs/>
              </w:rPr>
              <w:t>Ozanimod</w:t>
            </w:r>
            <w:proofErr w:type="spellEnd"/>
            <w:r w:rsidRPr="00DB2452">
              <w:rPr>
                <w:bCs/>
              </w:rPr>
              <w:t xml:space="preserve"> hydrochloride</w:t>
            </w:r>
            <w:r w:rsidRPr="00DB2452">
              <w:t>: C</w:t>
            </w:r>
            <w:r w:rsidRPr="00DB2452">
              <w:rPr>
                <w:vertAlign w:val="subscript"/>
              </w:rPr>
              <w:t>23</w:t>
            </w:r>
            <w:r w:rsidRPr="00DB2452">
              <w:t>H</w:t>
            </w:r>
            <w:r w:rsidRPr="00DB2452">
              <w:rPr>
                <w:vertAlign w:val="subscript"/>
              </w:rPr>
              <w:t>24</w:t>
            </w:r>
            <w:r w:rsidRPr="00DB2452">
              <w:t>N</w:t>
            </w:r>
            <w:r w:rsidRPr="00DB2452">
              <w:rPr>
                <w:vertAlign w:val="subscript"/>
              </w:rPr>
              <w:t>4</w:t>
            </w:r>
            <w:r w:rsidRPr="00DB2452">
              <w:t>O</w:t>
            </w:r>
            <w:r w:rsidRPr="00DB2452">
              <w:rPr>
                <w:vertAlign w:val="subscript"/>
              </w:rPr>
              <w:t>3</w:t>
            </w:r>
            <w:r w:rsidRPr="00DB2452">
              <w:t>.HCl</w:t>
            </w:r>
          </w:p>
        </w:tc>
      </w:tr>
      <w:tr w:rsidR="00F82651" w:rsidRPr="00E71044" w14:paraId="69EB9F0B" w14:textId="77777777" w:rsidTr="00DB2452">
        <w:trPr>
          <w:trHeight w:val="649"/>
        </w:trPr>
        <w:tc>
          <w:tcPr>
            <w:tcW w:w="857" w:type="pct"/>
          </w:tcPr>
          <w:p w14:paraId="23AE2783" w14:textId="77777777" w:rsidR="00F82651" w:rsidRPr="00DB2452" w:rsidRDefault="00F82651" w:rsidP="00C83BD3">
            <w:pPr>
              <w:spacing w:before="60" w:after="60"/>
              <w:ind w:left="0" w:right="0"/>
              <w:rPr>
                <w:b/>
              </w:rPr>
            </w:pPr>
            <w:r w:rsidRPr="00DB2452">
              <w:rPr>
                <w:b/>
              </w:rPr>
              <w:t>Molecular weight</w:t>
            </w:r>
          </w:p>
        </w:tc>
        <w:tc>
          <w:tcPr>
            <w:tcW w:w="4143" w:type="pct"/>
            <w:gridSpan w:val="2"/>
          </w:tcPr>
          <w:p w14:paraId="6B2E9FC2" w14:textId="77777777" w:rsidR="00F82651" w:rsidRPr="00DB2452" w:rsidRDefault="00F82651" w:rsidP="00C83BD3">
            <w:pPr>
              <w:spacing w:before="60" w:after="60"/>
              <w:ind w:left="0" w:right="0"/>
            </w:pPr>
            <w:proofErr w:type="spellStart"/>
            <w:r w:rsidRPr="00DB2452">
              <w:rPr>
                <w:bCs/>
              </w:rPr>
              <w:t>Ozanimod</w:t>
            </w:r>
            <w:proofErr w:type="spellEnd"/>
            <w:r w:rsidRPr="00DB2452">
              <w:t>: 404.5 g/</w:t>
            </w:r>
            <w:proofErr w:type="spellStart"/>
            <w:r w:rsidRPr="00DB2452">
              <w:t>mol</w:t>
            </w:r>
            <w:proofErr w:type="spellEnd"/>
          </w:p>
          <w:p w14:paraId="76B3C724" w14:textId="77777777" w:rsidR="00F82651" w:rsidRPr="00DB2452" w:rsidRDefault="00F82651" w:rsidP="00C83BD3">
            <w:pPr>
              <w:spacing w:before="60" w:after="60"/>
              <w:ind w:left="0" w:right="0"/>
            </w:pPr>
            <w:proofErr w:type="spellStart"/>
            <w:r w:rsidRPr="00DB2452">
              <w:rPr>
                <w:bCs/>
              </w:rPr>
              <w:t>Ozanimod</w:t>
            </w:r>
            <w:proofErr w:type="spellEnd"/>
            <w:r w:rsidRPr="00DB2452">
              <w:rPr>
                <w:bCs/>
              </w:rPr>
              <w:t xml:space="preserve"> hydrochloride</w:t>
            </w:r>
            <w:r w:rsidRPr="00DB2452">
              <w:t>: 440.9 g/</w:t>
            </w:r>
            <w:proofErr w:type="spellStart"/>
            <w:r w:rsidRPr="00DB2452">
              <w:t>mol</w:t>
            </w:r>
            <w:proofErr w:type="spellEnd"/>
          </w:p>
        </w:tc>
      </w:tr>
    </w:tbl>
    <w:p w14:paraId="32FB8CB1" w14:textId="11E4887A" w:rsidR="00DB2452" w:rsidRDefault="00DB2452" w:rsidP="00AB0334">
      <w:r w:rsidRPr="00615737">
        <w:t>The application and the supporting data relating to the composition, development, manufacture, quality control, stability and bioavailability of the product have been assessed and checked for compliance, as applicable, with Australian legislation and requirements for new medicines and in accordance with pharmacopoeial standards and the technical guidelines adopted by the TGA.</w:t>
      </w:r>
    </w:p>
    <w:p w14:paraId="0F4169A7" w14:textId="7AE15EB7" w:rsidR="00AB0334" w:rsidRPr="00AB0334" w:rsidRDefault="0098522B" w:rsidP="00AB0334">
      <w:r>
        <w:t>Overall, a</w:t>
      </w:r>
      <w:r w:rsidR="00AB0334" w:rsidRPr="00AB0334">
        <w:t>pproval is recommended from a pharmaceutical chemistry and quality perspective.</w:t>
      </w:r>
    </w:p>
    <w:p w14:paraId="5B7EDA6C" w14:textId="77777777" w:rsidR="008E7846" w:rsidRDefault="008E7846" w:rsidP="008E7846">
      <w:pPr>
        <w:pStyle w:val="Heading3"/>
      </w:pPr>
      <w:bookmarkStart w:id="34" w:name="_Toc314842512"/>
      <w:bookmarkStart w:id="35" w:name="_Toc57809138"/>
      <w:r>
        <w:t>Nonclinical</w:t>
      </w:r>
      <w:bookmarkEnd w:id="34"/>
      <w:bookmarkEnd w:id="35"/>
    </w:p>
    <w:p w14:paraId="2C8E4843" w14:textId="77777777" w:rsidR="00AB0334" w:rsidRDefault="00AB0334" w:rsidP="00AB0334">
      <w:r>
        <w:t xml:space="preserve">There are no major deficiencies in the </w:t>
      </w:r>
      <w:r w:rsidR="00660CDB">
        <w:t>non</w:t>
      </w:r>
      <w:r w:rsidR="00E9399E">
        <w:t>clinical dossier provided by the sponsor.</w:t>
      </w:r>
    </w:p>
    <w:p w14:paraId="697702D0" w14:textId="77777777" w:rsidR="00E9399E" w:rsidRDefault="00E9399E" w:rsidP="00AB0334">
      <w:r>
        <w:t>The nonclinical evaluation provided the following overall summary:</w:t>
      </w:r>
    </w:p>
    <w:p w14:paraId="15B3C28D" w14:textId="2A1A238A" w:rsidR="00660CDB" w:rsidRDefault="00660CDB" w:rsidP="00660CDB">
      <w:pPr>
        <w:pStyle w:val="ListBullet"/>
      </w:pPr>
      <w:r>
        <w:t xml:space="preserve">The submitted nonclinical </w:t>
      </w:r>
      <w:r w:rsidRPr="00A13DF1">
        <w:t xml:space="preserve">dossier was in accordance with the relevant </w:t>
      </w:r>
      <w:r w:rsidR="00DB2452">
        <w:t xml:space="preserve">TGA-adopted </w:t>
      </w:r>
      <w:r w:rsidRPr="00A13DF1">
        <w:t>I</w:t>
      </w:r>
      <w:r>
        <w:t>nternational Conference on Harmonisation (I</w:t>
      </w:r>
      <w:r w:rsidRPr="00A13DF1">
        <w:t>CH</w:t>
      </w:r>
      <w:r>
        <w:t>)</w:t>
      </w:r>
      <w:r w:rsidRPr="00A13DF1">
        <w:t xml:space="preserve"> guideline.</w:t>
      </w:r>
      <w:r w:rsidR="00DB2452">
        <w:rPr>
          <w:rStyle w:val="FootnoteReference"/>
        </w:rPr>
        <w:footnoteReference w:id="4"/>
      </w:r>
      <w:r w:rsidRPr="00A13DF1">
        <w:t xml:space="preserve"> The overall quality of the nonclinical dossier was high, with all pivotal toxicity studies conducted under </w:t>
      </w:r>
      <w:r>
        <w:t>Good Laboratory Practice (</w:t>
      </w:r>
      <w:r w:rsidRPr="00A13DF1">
        <w:t>GLP</w:t>
      </w:r>
      <w:r>
        <w:t>)</w:t>
      </w:r>
      <w:r w:rsidRPr="00A13DF1">
        <w:t xml:space="preserve"> conditions using th</w:t>
      </w:r>
      <w:r w:rsidR="008F31EF">
        <w:t>e proposed clinical route (oral capsule)</w:t>
      </w:r>
      <w:r>
        <w:t>.</w:t>
      </w:r>
    </w:p>
    <w:p w14:paraId="2C3B5EA9" w14:textId="77777777" w:rsidR="00AB0334" w:rsidRDefault="00AB0334" w:rsidP="00E9399E">
      <w:pPr>
        <w:pStyle w:val="ListBullet"/>
      </w:pPr>
      <w:r>
        <w:t xml:space="preserve">The primary pharmacology studies support the proposed indication for </w:t>
      </w:r>
      <w:proofErr w:type="spellStart"/>
      <w:r>
        <w:t>ozanimod</w:t>
      </w:r>
      <w:proofErr w:type="spellEnd"/>
      <w:r>
        <w:t>.</w:t>
      </w:r>
    </w:p>
    <w:p w14:paraId="7CAB3F26" w14:textId="77777777" w:rsidR="00AB0334" w:rsidRDefault="00AB0334" w:rsidP="00E9399E">
      <w:pPr>
        <w:pStyle w:val="ListBullet"/>
      </w:pPr>
      <w:r>
        <w:t xml:space="preserve">Secondary pharmacodynamics and safety pharmacology studies did not identify clinically relevant hazards aside from the known transient </w:t>
      </w:r>
      <w:proofErr w:type="spellStart"/>
      <w:r>
        <w:t>bradyarrythmias</w:t>
      </w:r>
      <w:proofErr w:type="spellEnd"/>
      <w:r w:rsidR="006D0AA2">
        <w:t>;</w:t>
      </w:r>
      <w:r w:rsidR="006D0AA2">
        <w:rPr>
          <w:rStyle w:val="FootnoteReference"/>
        </w:rPr>
        <w:footnoteReference w:id="5"/>
      </w:r>
      <w:r>
        <w:t xml:space="preserve"> that also occur with other members of the </w:t>
      </w:r>
      <w:r w:rsidR="00945166">
        <w:t xml:space="preserve">same drug </w:t>
      </w:r>
      <w:r>
        <w:t>class.</w:t>
      </w:r>
      <w:r w:rsidR="006D0AA2">
        <w:rPr>
          <w:rStyle w:val="FootnoteReference"/>
        </w:rPr>
        <w:footnoteReference w:id="6"/>
      </w:r>
    </w:p>
    <w:p w14:paraId="50A29921" w14:textId="77777777" w:rsidR="00AB0334" w:rsidRDefault="00AB0334" w:rsidP="00E9399E">
      <w:pPr>
        <w:pStyle w:val="ListBullet"/>
      </w:pPr>
      <w:r>
        <w:lastRenderedPageBreak/>
        <w:t>Changes in lymphocytes and lymphoid lesions in repeat dose studies were consistent with the pharmacological action of the drug. The lung was identified as a possible target organ in the repeat-dose toxicity studies. The effects seen did not cause clinical symptoms and were reversible. Due to the lo</w:t>
      </w:r>
      <w:r w:rsidR="006D0AA2">
        <w:t>w relative exposure at the no</w:t>
      </w:r>
      <w:r w:rsidR="006D0AA2">
        <w:noBreakHyphen/>
        <w:t>observed adverse effect level;</w:t>
      </w:r>
      <w:r w:rsidR="006D0AA2">
        <w:rPr>
          <w:rStyle w:val="FootnoteReference"/>
        </w:rPr>
        <w:footnoteReference w:id="7"/>
      </w:r>
      <w:r>
        <w:t xml:space="preserve"> in monkeys, and to the chronic nature of treatment with </w:t>
      </w:r>
      <w:proofErr w:type="spellStart"/>
      <w:r>
        <w:t>ozanimod</w:t>
      </w:r>
      <w:proofErr w:type="spellEnd"/>
      <w:r>
        <w:t>, monitoring of pulmonary function is recommended.</w:t>
      </w:r>
    </w:p>
    <w:p w14:paraId="08D95870" w14:textId="77777777" w:rsidR="00AB0334" w:rsidRDefault="00AB0334" w:rsidP="00E9399E">
      <w:pPr>
        <w:pStyle w:val="ListBullet"/>
      </w:pPr>
      <w:proofErr w:type="spellStart"/>
      <w:r>
        <w:t>Ozanimod</w:t>
      </w:r>
      <w:proofErr w:type="spellEnd"/>
      <w:r>
        <w:t xml:space="preserve"> is not considered to pose a genotoxic or carcinogenic hazard to patients.</w:t>
      </w:r>
    </w:p>
    <w:p w14:paraId="1522852D" w14:textId="77777777" w:rsidR="00AB0334" w:rsidRDefault="00AB0334" w:rsidP="00E9399E">
      <w:pPr>
        <w:pStyle w:val="ListBullet"/>
      </w:pPr>
      <w:r>
        <w:t>The sponsor has proposed Pr</w:t>
      </w:r>
      <w:r w:rsidR="007217A1">
        <w:t xml:space="preserve">egnancy Category D for </w:t>
      </w:r>
      <w:proofErr w:type="spellStart"/>
      <w:r w:rsidR="007217A1">
        <w:t>ozanimod</w:t>
      </w:r>
      <w:proofErr w:type="spellEnd"/>
      <w:r w:rsidR="007217A1">
        <w:t>;</w:t>
      </w:r>
      <w:r w:rsidR="008F31EF">
        <w:rPr>
          <w:rStyle w:val="FootnoteReference"/>
        </w:rPr>
        <w:footnoteReference w:id="8"/>
      </w:r>
      <w:r>
        <w:t xml:space="preserve"> which is acceptable and consistent with the nonclinical data and the previous categorisation of other drugs in this class.</w:t>
      </w:r>
    </w:p>
    <w:p w14:paraId="685BC392" w14:textId="77777777" w:rsidR="00AB0334" w:rsidRPr="00AB0334" w:rsidRDefault="00E9399E" w:rsidP="00E9399E">
      <w:r>
        <w:t>Overall, t</w:t>
      </w:r>
      <w:r w:rsidR="00AB0334">
        <w:t xml:space="preserve">here are no nonclinical objections to the registration of </w:t>
      </w:r>
      <w:proofErr w:type="spellStart"/>
      <w:r w:rsidR="00AB0334">
        <w:t>ozanimod</w:t>
      </w:r>
      <w:proofErr w:type="spellEnd"/>
      <w:r w:rsidR="00AB0334">
        <w:t>.</w:t>
      </w:r>
    </w:p>
    <w:p w14:paraId="236AA908" w14:textId="77777777" w:rsidR="008E7846" w:rsidRDefault="008E7846" w:rsidP="008E7846">
      <w:pPr>
        <w:pStyle w:val="Heading3"/>
      </w:pPr>
      <w:bookmarkStart w:id="36" w:name="_Toc247691530"/>
      <w:bookmarkStart w:id="37" w:name="_Toc314842513"/>
      <w:bookmarkStart w:id="38" w:name="_Toc57809139"/>
      <w:r>
        <w:t>Clinical</w:t>
      </w:r>
      <w:bookmarkEnd w:id="36"/>
      <w:bookmarkEnd w:id="37"/>
      <w:bookmarkEnd w:id="38"/>
    </w:p>
    <w:p w14:paraId="4DE36E73" w14:textId="77777777" w:rsidR="00B008D5" w:rsidRDefault="00B008D5" w:rsidP="00B008D5">
      <w:pPr>
        <w:pStyle w:val="Heading4"/>
      </w:pPr>
      <w:bookmarkStart w:id="39" w:name="_Toc314842514"/>
      <w:r>
        <w:t>Clinical dossier</w:t>
      </w:r>
    </w:p>
    <w:p w14:paraId="291103C0" w14:textId="77777777" w:rsidR="00B008D5" w:rsidRDefault="00B008D5" w:rsidP="00B008D5">
      <w:r>
        <w:t>The clinical dossier documented a full clinical development program of pharmacology, efficacy and safety studies. The submission contained the following clinical information:</w:t>
      </w:r>
    </w:p>
    <w:p w14:paraId="0CC9ABA7" w14:textId="77777777" w:rsidR="00FE394F" w:rsidRDefault="00FE394F" w:rsidP="00FE394F">
      <w:pPr>
        <w:pStyle w:val="Heading5"/>
      </w:pPr>
      <w:r>
        <w:t>Multiple sclerosis specific studies</w:t>
      </w:r>
      <w:r w:rsidR="002843EC">
        <w:t>, summaries</w:t>
      </w:r>
      <w:r>
        <w:t xml:space="preserve"> or general clinical pharmacology data</w:t>
      </w:r>
    </w:p>
    <w:p w14:paraId="2FCAE369" w14:textId="77777777" w:rsidR="00487975" w:rsidRDefault="00487975" w:rsidP="00B008D5">
      <w:pPr>
        <w:pStyle w:val="ListBullet"/>
      </w:pPr>
      <w:r>
        <w:t>16 P</w:t>
      </w:r>
      <w:r w:rsidR="00B008D5">
        <w:t>hase I clin</w:t>
      </w:r>
      <w:r>
        <w:t>ical pharmacology studies: 10 pharmacokinetic</w:t>
      </w:r>
      <w:r w:rsidR="00B008D5">
        <w:t xml:space="preserve"> </w:t>
      </w:r>
      <w:r>
        <w:t xml:space="preserve">(PK) </w:t>
      </w:r>
      <w:r w:rsidR="00B008D5">
        <w:t xml:space="preserve">and/or </w:t>
      </w:r>
      <w:r>
        <w:t>pharmacodynamic (</w:t>
      </w:r>
      <w:r w:rsidR="00B008D5">
        <w:t>PD</w:t>
      </w:r>
      <w:r>
        <w:t>)</w:t>
      </w:r>
      <w:r w:rsidR="00B008D5">
        <w:t xml:space="preserve"> studies and 6 drug-drug i</w:t>
      </w:r>
      <w:r>
        <w:t>nteraction (DDI) studies; and 1 population PK (PopPK) analysis.</w:t>
      </w:r>
    </w:p>
    <w:p w14:paraId="15830066" w14:textId="77777777" w:rsidR="00487975" w:rsidRDefault="00487975" w:rsidP="00B008D5">
      <w:pPr>
        <w:pStyle w:val="ListBullet"/>
      </w:pPr>
      <w:r>
        <w:t>3 controlled efficacy and safety studies:</w:t>
      </w:r>
    </w:p>
    <w:p w14:paraId="5DB306F2" w14:textId="77777777" w:rsidR="00487975" w:rsidRDefault="00487975" w:rsidP="00487975">
      <w:pPr>
        <w:pStyle w:val="ListBullet2"/>
      </w:pPr>
      <w:r>
        <w:t xml:space="preserve">Study </w:t>
      </w:r>
      <w:r w:rsidR="00B008D5">
        <w:t>R</w:t>
      </w:r>
      <w:r>
        <w:t>PC01-301 (Phase III, pivotal);</w:t>
      </w:r>
      <w:r w:rsidR="006D3A6C">
        <w:rPr>
          <w:rStyle w:val="FootnoteReference"/>
        </w:rPr>
        <w:footnoteReference w:id="9"/>
      </w:r>
    </w:p>
    <w:p w14:paraId="381E4D1A" w14:textId="77777777" w:rsidR="00487975" w:rsidRDefault="00487975" w:rsidP="00487975">
      <w:pPr>
        <w:pStyle w:val="ListBullet2"/>
      </w:pPr>
      <w:r>
        <w:t>Study RPC01-201A (P</w:t>
      </w:r>
      <w:r w:rsidR="00B008D5">
        <w:t xml:space="preserve">hase II dose-finding </w:t>
      </w:r>
      <w:r>
        <w:t xml:space="preserve">study </w:t>
      </w:r>
      <w:r w:rsidR="00B008D5">
        <w:t>with bli</w:t>
      </w:r>
      <w:r>
        <w:t>nded extension: (Study RPC01-201A-Ext);</w:t>
      </w:r>
      <w:bookmarkStart w:id="40" w:name="_Ref54075849"/>
      <w:r w:rsidR="006D3A6C">
        <w:rPr>
          <w:rStyle w:val="FootnoteReference"/>
        </w:rPr>
        <w:footnoteReference w:id="10"/>
      </w:r>
      <w:bookmarkEnd w:id="40"/>
      <w:r>
        <w:t xml:space="preserve"> and</w:t>
      </w:r>
    </w:p>
    <w:p w14:paraId="7D80BA74" w14:textId="17A979A9" w:rsidR="00B008D5" w:rsidRDefault="00487975" w:rsidP="00487975">
      <w:pPr>
        <w:pStyle w:val="ListBullet2"/>
      </w:pPr>
      <w:r>
        <w:t xml:space="preserve">Study </w:t>
      </w:r>
      <w:r w:rsidR="00B008D5">
        <w:t>RPC0</w:t>
      </w:r>
      <w:r>
        <w:t>1-201B (Phase III, pivotal).</w:t>
      </w:r>
      <w:r w:rsidR="006D3A6C" w:rsidRPr="006D3A6C">
        <w:rPr>
          <w:vertAlign w:val="superscript"/>
        </w:rPr>
        <w:fldChar w:fldCharType="begin"/>
      </w:r>
      <w:r w:rsidR="006D3A6C" w:rsidRPr="006D3A6C">
        <w:rPr>
          <w:vertAlign w:val="superscript"/>
        </w:rPr>
        <w:instrText xml:space="preserve"> NOTEREF _Ref54075849 \h </w:instrText>
      </w:r>
      <w:r w:rsidR="006D3A6C">
        <w:rPr>
          <w:vertAlign w:val="superscript"/>
        </w:rPr>
        <w:instrText xml:space="preserve"> \* MERGEFORMAT </w:instrText>
      </w:r>
      <w:r w:rsidR="006D3A6C" w:rsidRPr="006D3A6C">
        <w:rPr>
          <w:vertAlign w:val="superscript"/>
        </w:rPr>
      </w:r>
      <w:r w:rsidR="006D3A6C" w:rsidRPr="006D3A6C">
        <w:rPr>
          <w:vertAlign w:val="superscript"/>
        </w:rPr>
        <w:fldChar w:fldCharType="separate"/>
      </w:r>
      <w:r w:rsidR="005C13EA">
        <w:rPr>
          <w:vertAlign w:val="superscript"/>
        </w:rPr>
        <w:t>10</w:t>
      </w:r>
      <w:r w:rsidR="006D3A6C" w:rsidRPr="006D3A6C">
        <w:rPr>
          <w:vertAlign w:val="superscript"/>
        </w:rPr>
        <w:fldChar w:fldCharType="end"/>
      </w:r>
    </w:p>
    <w:p w14:paraId="4E7DF671" w14:textId="77777777" w:rsidR="00487975" w:rsidRDefault="00487975" w:rsidP="00487975">
      <w:pPr>
        <w:pStyle w:val="ListBullet"/>
      </w:pPr>
      <w:r>
        <w:t>1 long-term open-label extension study:</w:t>
      </w:r>
    </w:p>
    <w:p w14:paraId="51642218" w14:textId="77777777" w:rsidR="00B008D5" w:rsidRDefault="00487975" w:rsidP="00487975">
      <w:pPr>
        <w:pStyle w:val="ListBullet2"/>
      </w:pPr>
      <w:r>
        <w:t xml:space="preserve">Study </w:t>
      </w:r>
      <w:r w:rsidR="00B008D5">
        <w:t>RPC01-3001 (</w:t>
      </w:r>
      <w:r>
        <w:t>comprised of subjects who completed Studies RPC01-1001, 1 </w:t>
      </w:r>
      <w:r w:rsidR="00B008D5">
        <w:t xml:space="preserve">year of </w:t>
      </w:r>
      <w:r>
        <w:t>Study RPC01-201A-Ext</w:t>
      </w:r>
      <w:r w:rsidR="00B008D5">
        <w:t xml:space="preserve">, </w:t>
      </w:r>
      <w:r>
        <w:t xml:space="preserve">Study </w:t>
      </w:r>
      <w:r w:rsidR="00B008D5">
        <w:t xml:space="preserve">RPC01-301 and </w:t>
      </w:r>
      <w:r>
        <w:t>Study RPC01-201B).</w:t>
      </w:r>
      <w:bookmarkStart w:id="41" w:name="_Ref54078172"/>
      <w:r w:rsidR="00FE394F">
        <w:rPr>
          <w:rStyle w:val="FootnoteReference"/>
        </w:rPr>
        <w:footnoteReference w:id="11"/>
      </w:r>
      <w:bookmarkEnd w:id="41"/>
    </w:p>
    <w:p w14:paraId="097CD2C8" w14:textId="77777777" w:rsidR="00B008D5" w:rsidRDefault="00B008D5" w:rsidP="00487975">
      <w:pPr>
        <w:pStyle w:val="ListBullet"/>
      </w:pPr>
      <w:r>
        <w:t xml:space="preserve">2 integrated summaries: 1 </w:t>
      </w:r>
      <w:r w:rsidR="00FE394F">
        <w:t xml:space="preserve">integrated summary of safety </w:t>
      </w:r>
      <w:r w:rsidR="00487975">
        <w:t xml:space="preserve">and 1 </w:t>
      </w:r>
      <w:r w:rsidR="00FE394F">
        <w:t xml:space="preserve">integrated summary </w:t>
      </w:r>
      <w:r w:rsidR="00487975">
        <w:t>efficacy.</w:t>
      </w:r>
    </w:p>
    <w:p w14:paraId="14AEF0E4" w14:textId="77777777" w:rsidR="00B008D5" w:rsidRDefault="00B008D5" w:rsidP="00487975">
      <w:pPr>
        <w:pStyle w:val="ListBullet"/>
      </w:pPr>
      <w:r>
        <w:t>Literature references.</w:t>
      </w:r>
    </w:p>
    <w:p w14:paraId="165C1114" w14:textId="77777777" w:rsidR="00FE394F" w:rsidRDefault="00FE394F" w:rsidP="00FE394F">
      <w:pPr>
        <w:pStyle w:val="Heading5"/>
      </w:pPr>
      <w:r>
        <w:lastRenderedPageBreak/>
        <w:t>Studies for other indications</w:t>
      </w:r>
      <w:r w:rsidR="002843EC">
        <w:rPr>
          <w:rStyle w:val="FootnoteReference"/>
        </w:rPr>
        <w:footnoteReference w:id="12"/>
      </w:r>
    </w:p>
    <w:p w14:paraId="6507F339" w14:textId="77777777" w:rsidR="002843EC" w:rsidRPr="002843EC" w:rsidRDefault="002843EC" w:rsidP="002843EC">
      <w:r>
        <w:t>In ulcerative colitis:</w:t>
      </w:r>
    </w:p>
    <w:p w14:paraId="7D0AAC11" w14:textId="77777777" w:rsidR="002843EC" w:rsidRDefault="002843EC" w:rsidP="00FE394F">
      <w:pPr>
        <w:pStyle w:val="ListBullet"/>
      </w:pPr>
      <w:r>
        <w:t>3 controlled efficacy and safety studies:</w:t>
      </w:r>
    </w:p>
    <w:p w14:paraId="1D780AA1" w14:textId="77777777" w:rsidR="002843EC" w:rsidRDefault="002843EC" w:rsidP="002843EC">
      <w:pPr>
        <w:pStyle w:val="ListBullet2"/>
      </w:pPr>
      <w:r>
        <w:t>Study RPC01-202 (Phase II);</w:t>
      </w:r>
    </w:p>
    <w:p w14:paraId="213C7F1C" w14:textId="77777777" w:rsidR="002843EC" w:rsidRDefault="002843EC" w:rsidP="002843EC">
      <w:pPr>
        <w:pStyle w:val="ListBullet2"/>
      </w:pPr>
      <w:r>
        <w:t>Study RPC01-202 OLP (P</w:t>
      </w:r>
      <w:r w:rsidR="00B008D5">
        <w:t>hase II</w:t>
      </w:r>
      <w:r>
        <w:t>, open label period); and</w:t>
      </w:r>
    </w:p>
    <w:p w14:paraId="28E506A0" w14:textId="77777777" w:rsidR="00B008D5" w:rsidRDefault="002843EC" w:rsidP="002843EC">
      <w:pPr>
        <w:pStyle w:val="ListBullet2"/>
      </w:pPr>
      <w:r>
        <w:t>Study RPC01-3102 (Phase III open label</w:t>
      </w:r>
      <w:r w:rsidR="00B008D5">
        <w:t xml:space="preserve"> extension); and</w:t>
      </w:r>
    </w:p>
    <w:p w14:paraId="753BFD77" w14:textId="77777777" w:rsidR="002843EC" w:rsidRDefault="002843EC" w:rsidP="00B008D5">
      <w:r>
        <w:t>In Crohn’s disease:</w:t>
      </w:r>
    </w:p>
    <w:p w14:paraId="1977BA2A" w14:textId="77777777" w:rsidR="00B008D5" w:rsidRPr="00B008D5" w:rsidRDefault="002843EC" w:rsidP="00B008D5">
      <w:pPr>
        <w:pStyle w:val="ListBullet"/>
      </w:pPr>
      <w:r>
        <w:t>Study RPC01-2201 OL induction (P</w:t>
      </w:r>
      <w:r w:rsidR="00B008D5">
        <w:t>hase II</w:t>
      </w:r>
      <w:r>
        <w:t>, open label induction</w:t>
      </w:r>
      <w:r w:rsidR="00B008D5">
        <w:t>).</w:t>
      </w:r>
    </w:p>
    <w:p w14:paraId="212DA185" w14:textId="77777777" w:rsidR="00945166" w:rsidRDefault="00945166" w:rsidP="00945166">
      <w:pPr>
        <w:pStyle w:val="Heading4"/>
      </w:pPr>
      <w:r>
        <w:t>Pharmacology</w:t>
      </w:r>
    </w:p>
    <w:p w14:paraId="6E9A30FF" w14:textId="77777777" w:rsidR="00945166" w:rsidRDefault="00945166" w:rsidP="00945166">
      <w:pPr>
        <w:pStyle w:val="Heading5"/>
      </w:pPr>
      <w:r>
        <w:t>Pharmacokinetic</w:t>
      </w:r>
      <w:r w:rsidR="00A4221E">
        <w:t>s</w:t>
      </w:r>
    </w:p>
    <w:p w14:paraId="2C56A3FE" w14:textId="77777777" w:rsidR="00945166" w:rsidRDefault="00945166" w:rsidP="00945166">
      <w:r>
        <w:t xml:space="preserve">In general, comprehensive data (several Phase I trials along with additional data from Phase II and III studies) was provided in the application dossier to support the proposed indication and proposed product information of oral </w:t>
      </w:r>
      <w:proofErr w:type="spellStart"/>
      <w:r>
        <w:t>ozanimod</w:t>
      </w:r>
      <w:proofErr w:type="spellEnd"/>
      <w:r>
        <w:t xml:space="preserve"> in adults with RMS. Model</w:t>
      </w:r>
      <w:r>
        <w:noBreakHyphen/>
        <w:t>estimated pharmacokinetic (PK) parameters (for example, half-life (T</w:t>
      </w:r>
      <w:r>
        <w:rPr>
          <w:vertAlign w:val="subscript"/>
        </w:rPr>
        <w:t>1/2</w:t>
      </w:r>
      <w:r>
        <w:t xml:space="preserve">), time to steady state, </w:t>
      </w:r>
      <w:r w:rsidR="002B5812">
        <w:t>a</w:t>
      </w:r>
      <w:r w:rsidR="002B5812" w:rsidRPr="002B5812">
        <w:t>pparent total clearance of the drug from plasma after oral administration</w:t>
      </w:r>
      <w:r w:rsidR="002B5812">
        <w:t xml:space="preserve"> (</w:t>
      </w:r>
      <w:r>
        <w:t>CL/F</w:t>
      </w:r>
      <w:r w:rsidR="002B5812">
        <w:t>) and</w:t>
      </w:r>
      <w:r>
        <w:t xml:space="preserve"> </w:t>
      </w:r>
      <w:r w:rsidR="002B5812">
        <w:t>a</w:t>
      </w:r>
      <w:r w:rsidR="002B5812" w:rsidRPr="002B5812">
        <w:t>pparent volume of distribution during terminal phase after non-intravenous administration</w:t>
      </w:r>
      <w:r w:rsidR="002B5812">
        <w:t xml:space="preserve"> (</w:t>
      </w:r>
      <w:r>
        <w:t>VZ/F</w:t>
      </w:r>
      <w:r w:rsidR="002B5812">
        <w:t>)</w:t>
      </w:r>
      <w:r>
        <w:t>) were consistent with the results from the designated PK studies.</w:t>
      </w:r>
    </w:p>
    <w:p w14:paraId="12DE1CC5" w14:textId="49C55358" w:rsidR="00945166" w:rsidRDefault="00945166" w:rsidP="00945166">
      <w:proofErr w:type="spellStart"/>
      <w:r>
        <w:t>Ozanimod</w:t>
      </w:r>
      <w:proofErr w:type="spellEnd"/>
      <w:r>
        <w:t xml:space="preserve"> is extensively metabolised in humans to form a number of circulating active metabolites. </w:t>
      </w:r>
      <w:proofErr w:type="spellStart"/>
      <w:r>
        <w:t>Ozanimod</w:t>
      </w:r>
      <w:proofErr w:type="spellEnd"/>
      <w:r>
        <w:t xml:space="preserve"> and its major active metabolites have similar activity and selectivity for S1P1 and S1P5. Following multiple dose administration of </w:t>
      </w:r>
      <w:proofErr w:type="spellStart"/>
      <w:r>
        <w:t>ozanimod</w:t>
      </w:r>
      <w:proofErr w:type="spellEnd"/>
      <w:r>
        <w:t xml:space="preserve"> in healthy subjects, </w:t>
      </w:r>
      <w:proofErr w:type="spellStart"/>
      <w:r>
        <w:t>ozanimod</w:t>
      </w:r>
      <w:proofErr w:type="spellEnd"/>
      <w:r>
        <w:t xml:space="preserve">, </w:t>
      </w:r>
      <w:r w:rsidR="00691541">
        <w:t xml:space="preserve">and the metabolites </w:t>
      </w:r>
      <w:r>
        <w:t>CC112273 and CC</w:t>
      </w:r>
      <w:r w:rsidR="002B5812">
        <w:t>1084037 each represented approximately</w:t>
      </w:r>
      <w:r>
        <w:t xml:space="preserve"> 6%, 73% and 15% of circulating total active drug exposure, respectively.</w:t>
      </w:r>
    </w:p>
    <w:p w14:paraId="6E026EB5" w14:textId="77777777" w:rsidR="00945166" w:rsidRDefault="002B5812" w:rsidP="002B5812">
      <w:r>
        <w:t>The time to reach maximum (peak) plasma concentration following drug administration (</w:t>
      </w:r>
      <w:proofErr w:type="spellStart"/>
      <w:r w:rsidR="00945166" w:rsidRPr="002B5812">
        <w:t>T</w:t>
      </w:r>
      <w:r w:rsidR="00945166" w:rsidRPr="002B5812">
        <w:rPr>
          <w:vertAlign w:val="subscript"/>
        </w:rPr>
        <w:t>max</w:t>
      </w:r>
      <w:proofErr w:type="spellEnd"/>
      <w:r>
        <w:t>)</w:t>
      </w:r>
      <w:r w:rsidR="00945166" w:rsidRPr="002B5812">
        <w:t xml:space="preserve"> of</w:t>
      </w:r>
      <w:r>
        <w:t xml:space="preserve"> </w:t>
      </w:r>
      <w:proofErr w:type="spellStart"/>
      <w:r>
        <w:t>ozanimod</w:t>
      </w:r>
      <w:proofErr w:type="spellEnd"/>
      <w:r>
        <w:t xml:space="preserve"> is approximately 6 to </w:t>
      </w:r>
      <w:r w:rsidR="00945166">
        <w:t xml:space="preserve">8 hours. </w:t>
      </w:r>
      <w:proofErr w:type="spellStart"/>
      <w:r w:rsidR="00945166">
        <w:t>T</w:t>
      </w:r>
      <w:r w:rsidR="00945166" w:rsidRPr="002B5812">
        <w:rPr>
          <w:vertAlign w:val="subscript"/>
        </w:rPr>
        <w:t>max</w:t>
      </w:r>
      <w:proofErr w:type="spellEnd"/>
      <w:r w:rsidR="00945166">
        <w:t xml:space="preserve"> for the major active metabolites is variable with median values between 6 and 10 hours. Plasma protein binding of </w:t>
      </w:r>
      <w:proofErr w:type="spellStart"/>
      <w:r w:rsidR="00945166">
        <w:t>ozanimod</w:t>
      </w:r>
      <w:proofErr w:type="spellEnd"/>
      <w:r w:rsidR="00945166">
        <w:t xml:space="preserve">, CC112273 and CC1084037 to human plasma proteins is approximately 98.2%, 99.8% and 99.3%, respectively. The </w:t>
      </w:r>
      <w:r w:rsidR="0056188B">
        <w:t>T</w:t>
      </w:r>
      <w:r w:rsidR="0056188B">
        <w:rPr>
          <w:vertAlign w:val="subscript"/>
        </w:rPr>
        <w:t>1/2</w:t>
      </w:r>
      <w:r w:rsidR="00945166">
        <w:t xml:space="preserve"> of </w:t>
      </w:r>
      <w:proofErr w:type="spellStart"/>
      <w:r w:rsidR="00945166">
        <w:t>ozanimod</w:t>
      </w:r>
      <w:proofErr w:type="spellEnd"/>
      <w:r w:rsidR="00945166">
        <w:t xml:space="preserve"> is app</w:t>
      </w:r>
      <w:r>
        <w:t>roximately 20 hours, while the T</w:t>
      </w:r>
      <w:r>
        <w:rPr>
          <w:vertAlign w:val="subscript"/>
        </w:rPr>
        <w:t>1/2</w:t>
      </w:r>
      <w:r w:rsidR="00945166">
        <w:t xml:space="preserve"> of CC11</w:t>
      </w:r>
      <w:r w:rsidR="0056188B">
        <w:t xml:space="preserve">2273 and CC1084037 is about 236 to </w:t>
      </w:r>
      <w:r w:rsidR="00945166">
        <w:t xml:space="preserve">308 hours, leading to accumulation of these active metabolites (relative to the parent) after multiple dosing. Metabolite-to-parent ratio for CC112273 is approximately 16 fold at steady state. Exposure of </w:t>
      </w:r>
      <w:proofErr w:type="spellStart"/>
      <w:r w:rsidR="00945166">
        <w:t>ozanimod</w:t>
      </w:r>
      <w:proofErr w:type="spellEnd"/>
      <w:r w:rsidR="00945166">
        <w:t xml:space="preserve"> and CC112273 increased dose-proportionally in the dose range of 0.5 mg to 1 mg. </w:t>
      </w:r>
      <w:proofErr w:type="spellStart"/>
      <w:r w:rsidR="00945166">
        <w:t>Ozanimod</w:t>
      </w:r>
      <w:proofErr w:type="spellEnd"/>
      <w:r w:rsidR="00945166">
        <w:t xml:space="preserve">, CC112273, and CC1084037 concentrations in urine were negligible, indicating that renal clearance is not an important excretion pathway. Inter-subject variability (% CV) in </w:t>
      </w:r>
      <w:r w:rsidR="0056188B">
        <w:t>the m</w:t>
      </w:r>
      <w:r w:rsidR="0056188B" w:rsidRPr="0056188B">
        <w:t>aximum (peak) plasma drug concentration</w:t>
      </w:r>
      <w:r w:rsidR="0056188B">
        <w:t xml:space="preserve"> (</w:t>
      </w:r>
      <w:proofErr w:type="spellStart"/>
      <w:r w:rsidR="00945166">
        <w:t>C</w:t>
      </w:r>
      <w:r w:rsidR="00945166" w:rsidRPr="0056188B">
        <w:rPr>
          <w:vertAlign w:val="subscript"/>
        </w:rPr>
        <w:t>max</w:t>
      </w:r>
      <w:proofErr w:type="spellEnd"/>
      <w:r w:rsidR="0056188B">
        <w:t>)</w:t>
      </w:r>
      <w:r w:rsidR="00945166">
        <w:t xml:space="preserve"> and </w:t>
      </w:r>
      <w:r w:rsidR="0056188B">
        <w:t>the a</w:t>
      </w:r>
      <w:r w:rsidR="0056188B" w:rsidRPr="0056188B">
        <w:t>rea under the plasma concentration-time curve</w:t>
      </w:r>
      <w:r w:rsidR="0056188B">
        <w:t xml:space="preserve"> (</w:t>
      </w:r>
      <w:r w:rsidR="00945166">
        <w:t>AUC</w:t>
      </w:r>
      <w:r w:rsidR="0056188B">
        <w:t>)</w:t>
      </w:r>
      <w:r w:rsidR="00945166">
        <w:t xml:space="preserve"> for </w:t>
      </w:r>
      <w:proofErr w:type="spellStart"/>
      <w:r w:rsidR="00945166">
        <w:t>ozanimod</w:t>
      </w:r>
      <w:proofErr w:type="spellEnd"/>
      <w:r w:rsidR="00945166">
        <w:t xml:space="preserve">, CC112273 and CC1084037, in healthy and RMS subjects, and for single and repeated dosing regimens, ranged from 20% to 40%. </w:t>
      </w:r>
      <w:r w:rsidR="0056188B">
        <w:t>No </w:t>
      </w:r>
      <w:r w:rsidR="00945166">
        <w:t xml:space="preserve">data was provided for administration of oral </w:t>
      </w:r>
      <w:proofErr w:type="spellStart"/>
      <w:r w:rsidR="00945166">
        <w:t>ozanimod</w:t>
      </w:r>
      <w:proofErr w:type="spellEnd"/>
      <w:r w:rsidR="00945166">
        <w:t xml:space="preserve"> </w:t>
      </w:r>
      <w:r w:rsidR="0056188B">
        <w:t>for paediatrics, adolescents (&lt; </w:t>
      </w:r>
      <w:r w:rsidR="00945166">
        <w:t>18 years of age) or persons aged 55 years and over.</w:t>
      </w:r>
    </w:p>
    <w:p w14:paraId="6E5DF7FB" w14:textId="77777777" w:rsidR="00945166" w:rsidRDefault="00945166" w:rsidP="00945166">
      <w:r>
        <w:t xml:space="preserve">Generally, </w:t>
      </w:r>
      <w:r w:rsidR="0056188B">
        <w:t xml:space="preserve">the </w:t>
      </w:r>
      <w:r>
        <w:t xml:space="preserve">PK of </w:t>
      </w:r>
      <w:proofErr w:type="spellStart"/>
      <w:r>
        <w:t>ozanimod</w:t>
      </w:r>
      <w:proofErr w:type="spellEnd"/>
      <w:r>
        <w:t xml:space="preserve"> were not significantly different between healthy adult subjects and adults with RMS. In addition, </w:t>
      </w:r>
      <w:proofErr w:type="spellStart"/>
      <w:r>
        <w:t>ozanimod</w:t>
      </w:r>
      <w:proofErr w:type="spellEnd"/>
      <w:r>
        <w:t xml:space="preserve"> can be taken without regard to food. No dose-adjustment should be necessary based on sex, adult age, bodyweight, mild or moderate hepatic impairment status, severe renal impairment status or the presence of RMS.</w:t>
      </w:r>
    </w:p>
    <w:p w14:paraId="25FF5D7C" w14:textId="77777777" w:rsidR="00945166" w:rsidRDefault="00945166" w:rsidP="00945166">
      <w:proofErr w:type="spellStart"/>
      <w:r>
        <w:lastRenderedPageBreak/>
        <w:t>Ozanimod</w:t>
      </w:r>
      <w:proofErr w:type="spellEnd"/>
      <w:r>
        <w:t xml:space="preserve"> is not recommende</w:t>
      </w:r>
      <w:r w:rsidR="004F1AF3">
        <w:t>d with MAO inhibitors;</w:t>
      </w:r>
      <w:r w:rsidR="004F1AF3">
        <w:rPr>
          <w:rStyle w:val="FootnoteReference"/>
        </w:rPr>
        <w:footnoteReference w:id="13"/>
      </w:r>
      <w:r w:rsidR="0066483A">
        <w:t xml:space="preserve"> strong CYP2C8 inhibitors;</w:t>
      </w:r>
      <w:r w:rsidR="0066483A">
        <w:rPr>
          <w:rStyle w:val="FootnoteReference"/>
        </w:rPr>
        <w:footnoteReference w:id="14"/>
      </w:r>
      <w:r w:rsidR="00862930">
        <w:t xml:space="preserve"> strong CYP inducers, breast related cancer protein (BRCP)</w:t>
      </w:r>
      <w:r>
        <w:t xml:space="preserve"> Inhibitors.</w:t>
      </w:r>
    </w:p>
    <w:p w14:paraId="50B216EB" w14:textId="77777777" w:rsidR="00945166" w:rsidRDefault="00862930" w:rsidP="00945166">
      <w:r>
        <w:t>A f</w:t>
      </w:r>
      <w:r w:rsidR="00945166">
        <w:t>ew issues raised by</w:t>
      </w:r>
      <w:r>
        <w:t xml:space="preserve"> the</w:t>
      </w:r>
      <w:r w:rsidR="00945166">
        <w:t xml:space="preserve"> clinical evaluator needed further clarification. Despite some batch variability in some </w:t>
      </w:r>
      <w:r>
        <w:t>excipients used in the pivotal P</w:t>
      </w:r>
      <w:r w:rsidR="00945166">
        <w:t>hase III clinical studies, t</w:t>
      </w:r>
      <w:r>
        <w:t>he fill</w:t>
      </w:r>
      <w:r>
        <w:noBreakHyphen/>
      </w:r>
      <w:r w:rsidR="00945166">
        <w:t xml:space="preserve">weight overages used in Formulation 2 compared to Formulation 3 (commercial product) did not adversely influence the bioavailability comparison between these formulations. Distribution and elimination of </w:t>
      </w:r>
      <w:proofErr w:type="spellStart"/>
      <w:r w:rsidR="00945166">
        <w:t>ozanimod</w:t>
      </w:r>
      <w:proofErr w:type="spellEnd"/>
      <w:r w:rsidR="00945166">
        <w:t xml:space="preserve"> and CC112273 did not appear to be affected by genetic polymorphism of enzymes, thereby indicating no significant racial differences in the treatment effect. PK information in the draft PI is generally satisfactory.</w:t>
      </w:r>
    </w:p>
    <w:p w14:paraId="5B260A0A" w14:textId="77777777" w:rsidR="00A4221E" w:rsidRDefault="00A4221E" w:rsidP="00A4221E">
      <w:pPr>
        <w:pStyle w:val="Heading5"/>
      </w:pPr>
      <w:r>
        <w:t>Pharmacodynamics</w:t>
      </w:r>
    </w:p>
    <w:p w14:paraId="5D5C0536" w14:textId="77777777" w:rsidR="00A4221E" w:rsidRDefault="00A4221E" w:rsidP="00A4221E">
      <w:r>
        <w:t xml:space="preserve">Generally, the pharmacodynamic (PD) data provided in the clinical dossier were sufficiently comprehensive to support the proposed indication of oral </w:t>
      </w:r>
      <w:proofErr w:type="spellStart"/>
      <w:r>
        <w:t>ozanimod</w:t>
      </w:r>
      <w:proofErr w:type="spellEnd"/>
      <w:r>
        <w:t xml:space="preserve"> in adults with RMS. Plasma concentration-effect relationships were defined for many important secondary PD effects, including effects on QT interval;</w:t>
      </w:r>
      <w:r>
        <w:rPr>
          <w:rStyle w:val="FootnoteReference"/>
        </w:rPr>
        <w:footnoteReference w:id="15"/>
      </w:r>
      <w:r>
        <w:t xml:space="preserve"> and dose-related effects on heart rate. Secondary PD effects were generally consistent with </w:t>
      </w:r>
      <w:proofErr w:type="spellStart"/>
      <w:r>
        <w:t>C</w:t>
      </w:r>
      <w:r w:rsidRPr="00A4221E">
        <w:rPr>
          <w:vertAlign w:val="subscript"/>
        </w:rPr>
        <w:t>max</w:t>
      </w:r>
      <w:proofErr w:type="spellEnd"/>
      <w:r>
        <w:t xml:space="preserve"> and total exposure (AUC).</w:t>
      </w:r>
    </w:p>
    <w:p w14:paraId="2E40D1D1" w14:textId="77777777" w:rsidR="00A4221E" w:rsidRDefault="00A4221E" w:rsidP="00A4221E">
      <w:r>
        <w:t>The thorough QT study;</w:t>
      </w:r>
      <w:r>
        <w:rPr>
          <w:rStyle w:val="FootnoteReference"/>
        </w:rPr>
        <w:footnoteReference w:id="16"/>
      </w:r>
      <w:r>
        <w:t xml:space="preserve"> did not reveal clinically meaningful effects of </w:t>
      </w:r>
      <w:proofErr w:type="spellStart"/>
      <w:r>
        <w:t>ozanimod</w:t>
      </w:r>
      <w:proofErr w:type="spellEnd"/>
      <w:r>
        <w:t xml:space="preserve"> treatment, or the major active metabolites, CC112273 and CC1084037, on QT prolongation. A transient dose-dependent negative chronotropic effect was demonstrated with </w:t>
      </w:r>
      <w:proofErr w:type="spellStart"/>
      <w:r>
        <w:t>ozanimod</w:t>
      </w:r>
      <w:proofErr w:type="spellEnd"/>
      <w:r>
        <w:t xml:space="preserve"> over the dose range 0.3 mg to 3 mg </w:t>
      </w:r>
      <w:proofErr w:type="spellStart"/>
      <w:r>
        <w:t>ozanimod</w:t>
      </w:r>
      <w:proofErr w:type="spellEnd"/>
      <w:r>
        <w:t xml:space="preserve"> in </w:t>
      </w:r>
      <w:r w:rsidR="00362226">
        <w:t xml:space="preserve">Study </w:t>
      </w:r>
      <w:r>
        <w:t>RPCS-001, on Day 1 of treatment. This effect is consistent with S1P receptor modulation. I</w:t>
      </w:r>
      <w:r w:rsidR="001957E8">
        <w:t>ntroduction of a 7 day long dose escalation regimen across the P</w:t>
      </w:r>
      <w:r>
        <w:t xml:space="preserve">hase I studies, starting with 0.25 mg </w:t>
      </w:r>
      <w:proofErr w:type="spellStart"/>
      <w:r>
        <w:t>ozanimod</w:t>
      </w:r>
      <w:proofErr w:type="spellEnd"/>
      <w:r>
        <w:t xml:space="preserve"> on Day 1, helped to mitigate against most of the first-dose effect and the continued negative chronotro</w:t>
      </w:r>
      <w:r w:rsidR="00362226">
        <w:t xml:space="preserve">pic effect observed during dose </w:t>
      </w:r>
      <w:r>
        <w:t>escalation.</w:t>
      </w:r>
    </w:p>
    <w:p w14:paraId="07BE19AB" w14:textId="77777777" w:rsidR="00A4221E" w:rsidRDefault="00A4221E" w:rsidP="00A4221E">
      <w:r>
        <w:t xml:space="preserve">Dose-and </w:t>
      </w:r>
      <w:r w:rsidR="00362226">
        <w:t>time-dependent reductions in absolute lymphocyte count (ALC);</w:t>
      </w:r>
      <w:r w:rsidR="00362226">
        <w:rPr>
          <w:rStyle w:val="FootnoteReference"/>
        </w:rPr>
        <w:footnoteReference w:id="17"/>
      </w:r>
      <w:r w:rsidR="00362226">
        <w:t xml:space="preserve"> were observed across the P</w:t>
      </w:r>
      <w:r>
        <w:t>hase I studies, which was an expected pharmacological effect reported with S1P receptor modulation. The time-course and magnitude of the ALC reductions were generally consistent with other marketed S1P receptor agonists.</w:t>
      </w:r>
    </w:p>
    <w:p w14:paraId="22EB6753" w14:textId="77777777" w:rsidR="00A4221E" w:rsidRDefault="00A4221E" w:rsidP="00A4221E">
      <w:r>
        <w:lastRenderedPageBreak/>
        <w:t>Major anticipated clinical safety concerns based on the claimed mechanism of action include immune-related event</w:t>
      </w:r>
      <w:r w:rsidR="007549FB">
        <w:t>s</w:t>
      </w:r>
      <w:r>
        <w:t>, bradyca</w:t>
      </w:r>
      <w:r w:rsidR="007549FB">
        <w:t>rdia, hypertension (elevated systolic and/or diastolic blood pressure</w:t>
      </w:r>
      <w:r>
        <w:t>) and associ</w:t>
      </w:r>
      <w:r w:rsidR="007549FB">
        <w:t>ated cardiovascular events (for example</w:t>
      </w:r>
      <w:r>
        <w:t xml:space="preserve"> tachycardia</w:t>
      </w:r>
      <w:r w:rsidR="00960557">
        <w:t>;</w:t>
      </w:r>
      <w:r w:rsidR="00960557">
        <w:rPr>
          <w:rStyle w:val="FootnoteReference"/>
        </w:rPr>
        <w:footnoteReference w:id="18"/>
      </w:r>
      <w:r>
        <w:t xml:space="preserve"> and palpitations).</w:t>
      </w:r>
    </w:p>
    <w:p w14:paraId="3BE7A974" w14:textId="77777777" w:rsidR="00A4221E" w:rsidRDefault="007549FB" w:rsidP="00A4221E">
      <w:r>
        <w:t xml:space="preserve">Overall, the </w:t>
      </w:r>
      <w:r w:rsidR="00A4221E">
        <w:t>PD information in the draft PI is generally satisfactory.</w:t>
      </w:r>
    </w:p>
    <w:p w14:paraId="415C99DD" w14:textId="77777777" w:rsidR="00A4221E" w:rsidRDefault="00A4221E" w:rsidP="007549FB">
      <w:pPr>
        <w:pStyle w:val="Heading5"/>
      </w:pPr>
      <w:r>
        <w:t>Dosing</w:t>
      </w:r>
    </w:p>
    <w:p w14:paraId="18877B25" w14:textId="77777777" w:rsidR="00A4221E" w:rsidRDefault="00A4221E" w:rsidP="00A4221E">
      <w:r>
        <w:t>The dosing regimens used in the pivotal efficacy studies were based on a combination of PK, efficacy an</w:t>
      </w:r>
      <w:r w:rsidR="007549FB">
        <w:t xml:space="preserve">d safety data derived from the Phase II dose finding Study </w:t>
      </w:r>
      <w:r>
        <w:t>RPC01-201A, as well as additional safety, PK and PD data obtained from the phase I clinical p</w:t>
      </w:r>
      <w:r w:rsidR="007549FB">
        <w:t xml:space="preserve">rogram. The introduction of a 7 </w:t>
      </w:r>
      <w:r>
        <w:t xml:space="preserve">day </w:t>
      </w:r>
      <w:r w:rsidR="007549FB">
        <w:t xml:space="preserve">long </w:t>
      </w:r>
      <w:r>
        <w:t xml:space="preserve">dose-escalation regimen appeared to help mitigate potential cardiac effects of </w:t>
      </w:r>
      <w:proofErr w:type="spellStart"/>
      <w:r>
        <w:t>ozanimod</w:t>
      </w:r>
      <w:proofErr w:type="spellEnd"/>
      <w:r>
        <w:t>. This was an acceptable approach t</w:t>
      </w:r>
      <w:r w:rsidR="007549FB">
        <w:t>o dose finding for the pivotal P</w:t>
      </w:r>
      <w:r>
        <w:t>hase III studies.</w:t>
      </w:r>
    </w:p>
    <w:p w14:paraId="208BF556" w14:textId="77777777" w:rsidR="00960557" w:rsidRDefault="00960557" w:rsidP="00960557">
      <w:pPr>
        <w:pStyle w:val="Heading4"/>
      </w:pPr>
      <w:r>
        <w:t>Efficacy</w:t>
      </w:r>
    </w:p>
    <w:p w14:paraId="344FB53E" w14:textId="77777777" w:rsidR="00960557" w:rsidRDefault="00960557" w:rsidP="00960557">
      <w:r>
        <w:t xml:space="preserve">The indication for </w:t>
      </w:r>
      <w:proofErr w:type="spellStart"/>
      <w:r>
        <w:t>ozanimod</w:t>
      </w:r>
      <w:proofErr w:type="spellEnd"/>
      <w:r>
        <w:t xml:space="preserve"> in subjects with RMS is based on efficacy data from 1 placebo-controlled Phase II dose-finding study (Study RPC01-201A), 2 active-controlled pivotal phase III clinical studies (Studies RPC01-301 and RPC01-201B) that compared </w:t>
      </w:r>
      <w:proofErr w:type="spellStart"/>
      <w:r>
        <w:t>ozanimod</w:t>
      </w:r>
      <w:proofErr w:type="spellEnd"/>
      <w:r>
        <w:t xml:space="preserve"> against the well-e</w:t>
      </w:r>
      <w:r w:rsidR="00CF1FF3">
        <w:t>stablished comparator, IFN β</w:t>
      </w:r>
      <w:r>
        <w:t>1a;</w:t>
      </w:r>
      <w:r>
        <w:rPr>
          <w:rStyle w:val="FootnoteReference"/>
        </w:rPr>
        <w:footnoteReference w:id="19"/>
      </w:r>
      <w:r>
        <w:t xml:space="preserve"> for up to 24 months, and maintenance of response in the long-term studies (</w:t>
      </w:r>
      <w:r w:rsidR="00CF1FF3">
        <w:t xml:space="preserve">the extension study, Study </w:t>
      </w:r>
      <w:r>
        <w:t>RPC01-201A Ext</w:t>
      </w:r>
      <w:r w:rsidR="00CF1FF3">
        <w:t>;</w:t>
      </w:r>
      <w:r>
        <w:t xml:space="preserve"> and the ongoing study, </w:t>
      </w:r>
      <w:r w:rsidR="00CF1FF3">
        <w:t xml:space="preserve">Study </w:t>
      </w:r>
      <w:r>
        <w:t>RPC01-3001), for up to 68 months.</w:t>
      </w:r>
    </w:p>
    <w:p w14:paraId="70E8CC8F" w14:textId="77777777" w:rsidR="00960557" w:rsidRDefault="00960557" w:rsidP="00960557">
      <w:r>
        <w:t>Statistical superiority and clinically meaningful reductions w</w:t>
      </w:r>
      <w:r w:rsidR="00CF1FF3">
        <w:t>ere demonstrated in the annualis</w:t>
      </w:r>
      <w:r>
        <w:t>ed relapse rate (primary endpoint)</w:t>
      </w:r>
      <w:r w:rsidR="00CF1FF3">
        <w:t>;</w:t>
      </w:r>
      <w:r w:rsidR="00CF1FF3">
        <w:rPr>
          <w:rStyle w:val="FootnoteReference"/>
        </w:rPr>
        <w:footnoteReference w:id="20"/>
      </w:r>
      <w:r>
        <w:t xml:space="preserve"> for </w:t>
      </w:r>
      <w:proofErr w:type="spellStart"/>
      <w:r>
        <w:t>ozanimod</w:t>
      </w:r>
      <w:proofErr w:type="spellEnd"/>
      <w:r>
        <w:t xml:space="preserve"> treatments compar</w:t>
      </w:r>
      <w:r w:rsidR="00CF1FF3">
        <w:t xml:space="preserve">ed to IFN β1a </w:t>
      </w:r>
      <w:r>
        <w:t>treatment over 12 and 24 months, in a broad population of subjects with RMS (most with RMMS), in</w:t>
      </w:r>
      <w:r w:rsidR="00875F77">
        <w:t>cluding those without prior disease modifying treatments</w:t>
      </w:r>
      <w:r>
        <w:t xml:space="preserve">. These findings were supported by the results from subgroup and sensitivity analyses of the primary efficacy endpoint, as well as statistically significant and clinically meaningful reductions in the first two key secondary efficacy endpoints (number of new or enlarging hyper intense T2-weighted lesions and number of </w:t>
      </w:r>
      <w:proofErr w:type="spellStart"/>
      <w:r>
        <w:t>GdE</w:t>
      </w:r>
      <w:proofErr w:type="spellEnd"/>
      <w:r>
        <w:t xml:space="preserve"> T1 lesions).</w:t>
      </w:r>
      <w:r w:rsidR="00071B3B">
        <w:rPr>
          <w:rStyle w:val="FootnoteReference"/>
        </w:rPr>
        <w:footnoteReference w:id="21"/>
      </w:r>
    </w:p>
    <w:p w14:paraId="2DFC7D44" w14:textId="77777777" w:rsidR="00960557" w:rsidRDefault="00960557" w:rsidP="00960557">
      <w:proofErr w:type="spellStart"/>
      <w:r>
        <w:t>Ozanimod</w:t>
      </w:r>
      <w:proofErr w:type="spellEnd"/>
      <w:r>
        <w:t xml:space="preserve"> treatments also resulted in less reduction in brain vo</w:t>
      </w:r>
      <w:r w:rsidR="00071B3B">
        <w:t>lume measures compared to IFN β</w:t>
      </w:r>
      <w:r>
        <w:t>1a treatment and evidence of favo</w:t>
      </w:r>
      <w:r w:rsidR="00071B3B">
        <w:t>urable effects on cognition, for example,</w:t>
      </w:r>
      <w:r>
        <w:t xml:space="preserve"> processing speed. Generally, the 1 mg </w:t>
      </w:r>
      <w:proofErr w:type="spellStart"/>
      <w:r>
        <w:t>ozanimod</w:t>
      </w:r>
      <w:proofErr w:type="spellEnd"/>
      <w:r>
        <w:t xml:space="preserve"> dose group produced numerically larger, more clinically meaningful reductions in efficacy endpoi</w:t>
      </w:r>
      <w:r w:rsidR="00071B3B">
        <w:t>nt measures compared to the 0.5 </w:t>
      </w:r>
      <w:r>
        <w:t xml:space="preserve">mg </w:t>
      </w:r>
      <w:proofErr w:type="spellStart"/>
      <w:r>
        <w:t>ozanimod</w:t>
      </w:r>
      <w:proofErr w:type="spellEnd"/>
      <w:r>
        <w:t xml:space="preserve"> dose group.</w:t>
      </w:r>
    </w:p>
    <w:p w14:paraId="4A5E6229" w14:textId="77777777" w:rsidR="00960557" w:rsidRDefault="00960557" w:rsidP="00960557">
      <w:r>
        <w:t xml:space="preserve">Maintenance of response was demonstrated in subjects treated with </w:t>
      </w:r>
      <w:proofErr w:type="spellStart"/>
      <w:r>
        <w:t>o</w:t>
      </w:r>
      <w:r w:rsidR="00071B3B">
        <w:t>zanimod</w:t>
      </w:r>
      <w:proofErr w:type="spellEnd"/>
      <w:r w:rsidR="00071B3B">
        <w:t xml:space="preserve"> for up to 68 months (that is, over 5 years of</w:t>
      </w:r>
      <w:r>
        <w:t xml:space="preserve"> exposure).</w:t>
      </w:r>
    </w:p>
    <w:p w14:paraId="21E88B2C" w14:textId="77777777" w:rsidR="00960557" w:rsidRDefault="00960557" w:rsidP="00960557">
      <w:r>
        <w:t>No superior benefit of</w:t>
      </w:r>
      <w:r w:rsidR="00071B3B">
        <w:t xml:space="preserve"> </w:t>
      </w:r>
      <w:proofErr w:type="spellStart"/>
      <w:r w:rsidR="00071B3B">
        <w:t>ozanimod</w:t>
      </w:r>
      <w:proofErr w:type="spellEnd"/>
      <w:r w:rsidR="00071B3B">
        <w:t xml:space="preserve"> treatments over IFN β</w:t>
      </w:r>
      <w:r>
        <w:t xml:space="preserve">1a </w:t>
      </w:r>
      <w:r w:rsidR="00071B3B">
        <w:t xml:space="preserve">treatment was observed at 3 months and 6 </w:t>
      </w:r>
      <w:r>
        <w:t xml:space="preserve">months for disease progression (third key secondary efficacy endpoint), in either the individual studies, or pooled results from the pivotal studies. Subject numbers in each treatment group were too small to draw meaningful conclusions. Hence, the effect </w:t>
      </w:r>
      <w:r>
        <w:lastRenderedPageBreak/>
        <w:t xml:space="preserve">of </w:t>
      </w:r>
      <w:proofErr w:type="spellStart"/>
      <w:r>
        <w:t>ozanimod</w:t>
      </w:r>
      <w:proofErr w:type="spellEnd"/>
      <w:r>
        <w:t xml:space="preserve"> exposure on disability progression in RMS has not been fully characterised at this first-round evaluation.</w:t>
      </w:r>
    </w:p>
    <w:p w14:paraId="712FED60" w14:textId="77777777" w:rsidR="00960557" w:rsidRDefault="00960557" w:rsidP="00960557">
      <w:r>
        <w:t>The pivotal studies lacked placebo-control, primarily to mitigate against worsening disability and disease progression over the duration of the studies</w:t>
      </w:r>
      <w:r w:rsidR="00071B3B">
        <w:t xml:space="preserve"> (up to 24 months). Since IFN β</w:t>
      </w:r>
      <w:r>
        <w:t>1a is an accepted standard of care, with</w:t>
      </w:r>
      <w:r w:rsidR="00071B3B">
        <w:t xml:space="preserve"> its own proven benefit as a disease modifying treatment</w:t>
      </w:r>
      <w:r>
        <w:t xml:space="preserve"> in RMS, the ‘additional benefit’ that can be ex</w:t>
      </w:r>
      <w:r w:rsidR="00071B3B">
        <w:t xml:space="preserve">pected of </w:t>
      </w:r>
      <w:proofErr w:type="spellStart"/>
      <w:r w:rsidR="00071B3B">
        <w:t>ozanimod</w:t>
      </w:r>
      <w:proofErr w:type="spellEnd"/>
      <w:r w:rsidR="00071B3B">
        <w:t xml:space="preserve"> treatment versus</w:t>
      </w:r>
      <w:r>
        <w:t xml:space="preserve"> placebo or ‘no-treatment’ in RMS patients would be much greater than that observed</w:t>
      </w:r>
      <w:r w:rsidR="00071B3B">
        <w:t xml:space="preserve"> with its comparison with IFN β</w:t>
      </w:r>
      <w:r>
        <w:t>1a treatment alone. This is supported, in part, by the res</w:t>
      </w:r>
      <w:r w:rsidR="00071B3B">
        <w:t xml:space="preserve">ults of the placebo-controlled Phase II dose-finding Study </w:t>
      </w:r>
      <w:r>
        <w:t xml:space="preserve">RPC01-201A, in which favourable reductions in </w:t>
      </w:r>
      <w:r w:rsidR="00071B3B">
        <w:t>magnetic resonance imaging</w:t>
      </w:r>
      <w:r>
        <w:t xml:space="preserve"> brain lesion endpoints occurred with </w:t>
      </w:r>
      <w:proofErr w:type="spellStart"/>
      <w:r>
        <w:t>ozanimod</w:t>
      </w:r>
      <w:proofErr w:type="spellEnd"/>
      <w:r>
        <w:t xml:space="preserve"> treatments, in the order of 84% to 94%, compared to the effect of placebo treatment.</w:t>
      </w:r>
    </w:p>
    <w:p w14:paraId="56B26646" w14:textId="77777777" w:rsidR="00960557" w:rsidRDefault="00960557" w:rsidP="00960557">
      <w:r>
        <w:t>The pooled results for the primary and first two key secondary efficacy endpoints in the pivotal studies, and their respective subgroup analyses, generally favoured</w:t>
      </w:r>
      <w:r w:rsidR="00071B3B">
        <w:t xml:space="preserve"> </w:t>
      </w:r>
      <w:proofErr w:type="spellStart"/>
      <w:r w:rsidR="00071B3B">
        <w:t>ozanimod</w:t>
      </w:r>
      <w:proofErr w:type="spellEnd"/>
      <w:r w:rsidR="00071B3B">
        <w:t xml:space="preserve"> treatments over IFN β</w:t>
      </w:r>
      <w:r>
        <w:t xml:space="preserve">1a treatment, particularly for 1 mg </w:t>
      </w:r>
      <w:proofErr w:type="spellStart"/>
      <w:r>
        <w:t>ozanimod</w:t>
      </w:r>
      <w:proofErr w:type="spellEnd"/>
      <w:r>
        <w:t xml:space="preserve">. There were too few subjects in the pooled subgroup analyses of MS treatment naïve subjects to demonstrate statistical superiority </w:t>
      </w:r>
      <w:r w:rsidR="00071B3B">
        <w:t>versus IFN β</w:t>
      </w:r>
      <w:r>
        <w:t xml:space="preserve">1a treatment. However, statistical superiority of </w:t>
      </w:r>
      <w:proofErr w:type="spellStart"/>
      <w:r>
        <w:t>ozanimod</w:t>
      </w:r>
      <w:proofErr w:type="spellEnd"/>
      <w:r>
        <w:t xml:space="preserve"> treatments was demonst</w:t>
      </w:r>
      <w:r w:rsidR="00071B3B">
        <w:t>rated, irrespective of prior disease modifying treatment</w:t>
      </w:r>
      <w:r>
        <w:t xml:space="preserve"> status. On this basis, and the positive trend towar</w:t>
      </w:r>
      <w:r w:rsidR="00071B3B">
        <w:t>ds a treatment effect in the MS </w:t>
      </w:r>
      <w:r>
        <w:t xml:space="preserve">treatment naive 1 mg </w:t>
      </w:r>
      <w:proofErr w:type="spellStart"/>
      <w:r>
        <w:t>ozanimod</w:t>
      </w:r>
      <w:proofErr w:type="spellEnd"/>
      <w:r>
        <w:t xml:space="preserve"> group, this evaluator finds no compelling reason not to recommend </w:t>
      </w:r>
      <w:proofErr w:type="spellStart"/>
      <w:r>
        <w:t>ozanimod</w:t>
      </w:r>
      <w:proofErr w:type="spellEnd"/>
      <w:r>
        <w:t xml:space="preserve"> be used in MS treatment naïve patients.</w:t>
      </w:r>
    </w:p>
    <w:p w14:paraId="150A6293" w14:textId="77777777" w:rsidR="00960557" w:rsidRDefault="00960557" w:rsidP="00960557">
      <w:r>
        <w:t xml:space="preserve">In general, the pivotal studies were well designed and conducted, and complied with the </w:t>
      </w:r>
      <w:r w:rsidRPr="0013513D">
        <w:t>TGA-adopted Guideline for MS.</w:t>
      </w:r>
      <w:r w:rsidR="0013513D">
        <w:rPr>
          <w:rStyle w:val="FootnoteReference"/>
        </w:rPr>
        <w:footnoteReference w:id="22"/>
      </w:r>
      <w:r>
        <w:t xml:space="preserve"> The efficacy of </w:t>
      </w:r>
      <w:proofErr w:type="spellStart"/>
      <w:r>
        <w:t>ozanimod</w:t>
      </w:r>
      <w:proofErr w:type="spellEnd"/>
      <w:r>
        <w:t xml:space="preserve"> in RMS is generally consistent with other marketed S1P agonists approved for use in RMS and the submitted clinical efficacy data generally supports </w:t>
      </w:r>
      <w:proofErr w:type="spellStart"/>
      <w:r>
        <w:t>ozanimod</w:t>
      </w:r>
      <w:proofErr w:type="spellEnd"/>
      <w:r>
        <w:t xml:space="preserve"> as a first-line treatment as monotherapy, in all grades of disease severity.</w:t>
      </w:r>
    </w:p>
    <w:p w14:paraId="4A745E65" w14:textId="77777777" w:rsidR="00960557" w:rsidRDefault="00960557" w:rsidP="00071B3B">
      <w:pPr>
        <w:pStyle w:val="Heading4"/>
      </w:pPr>
      <w:r>
        <w:t>Safety</w:t>
      </w:r>
    </w:p>
    <w:p w14:paraId="6D561CFC" w14:textId="77777777" w:rsidR="00960557" w:rsidRDefault="00960557" w:rsidP="00960557">
      <w:r>
        <w:t xml:space="preserve">The safety database provided by the sponsor is adequate because it contains approximately more than </w:t>
      </w:r>
      <w:r w:rsidR="00071B3B">
        <w:t>1500</w:t>
      </w:r>
      <w:r>
        <w:t xml:space="preserve"> patients exposed to any dose of </w:t>
      </w:r>
      <w:proofErr w:type="spellStart"/>
      <w:r>
        <w:t>ozanimod</w:t>
      </w:r>
      <w:proofErr w:type="spellEnd"/>
      <w:r>
        <w:t xml:space="preserve"> for more than a year.</w:t>
      </w:r>
    </w:p>
    <w:p w14:paraId="1BA2D6A7" w14:textId="77777777" w:rsidR="00960557" w:rsidRDefault="00960557" w:rsidP="00960557">
      <w:r>
        <w:t xml:space="preserve">The safety profile of </w:t>
      </w:r>
      <w:proofErr w:type="spellStart"/>
      <w:r>
        <w:t>ozanimod</w:t>
      </w:r>
      <w:proofErr w:type="spellEnd"/>
      <w:r>
        <w:t xml:space="preserve"> has been established in a subject population of more than 3200 RMS subje</w:t>
      </w:r>
      <w:r w:rsidR="00507000">
        <w:t>cts and more than 600 inflammatory bowel disease</w:t>
      </w:r>
      <w:r>
        <w:t xml:space="preserve"> subjects, with total cumulative exposure to 0.5 mg or 1 mg </w:t>
      </w:r>
      <w:proofErr w:type="spellStart"/>
      <w:r>
        <w:t>o</w:t>
      </w:r>
      <w:r w:rsidR="00507000">
        <w:t>zanimod</w:t>
      </w:r>
      <w:proofErr w:type="spellEnd"/>
      <w:r w:rsidR="00507000">
        <w:t xml:space="preserve"> of 1628.9 and 6446.6 person years</w:t>
      </w:r>
      <w:r>
        <w:t>, respecti</w:t>
      </w:r>
      <w:r w:rsidR="00941784">
        <w:t>vely. Greater exposure to once </w:t>
      </w:r>
      <w:r>
        <w:t xml:space="preserve">daily 1 mg </w:t>
      </w:r>
      <w:proofErr w:type="spellStart"/>
      <w:r>
        <w:t>ozanimod</w:t>
      </w:r>
      <w:proofErr w:type="spellEnd"/>
      <w:r>
        <w:t xml:space="preserve"> reflects its selection as the proposed recommended dose. The number of RMS subjects who received 1 mg </w:t>
      </w:r>
      <w:proofErr w:type="spellStart"/>
      <w:r>
        <w:t>ozanimod</w:t>
      </w:r>
      <w:proofErr w:type="spellEnd"/>
      <w:r>
        <w:t xml:space="preserve"> was 2825, o</w:t>
      </w:r>
      <w:r w:rsidR="00507000">
        <w:t xml:space="preserve">f whom 2565 received at least 6 </w:t>
      </w:r>
      <w:r>
        <w:t>months</w:t>
      </w:r>
      <w:r w:rsidR="00507000">
        <w:t xml:space="preserve"> of</w:t>
      </w:r>
      <w:r>
        <w:t xml:space="preserve"> </w:t>
      </w:r>
      <w:proofErr w:type="spellStart"/>
      <w:r>
        <w:t>ozanimod</w:t>
      </w:r>
      <w:proofErr w:type="spellEnd"/>
      <w:r>
        <w:t xml:space="preserve"> treatmen</w:t>
      </w:r>
      <w:r w:rsidR="00507000">
        <w:t xml:space="preserve">t and 2408 received at least 12 </w:t>
      </w:r>
      <w:r>
        <w:t xml:space="preserve">months </w:t>
      </w:r>
      <w:proofErr w:type="spellStart"/>
      <w:r>
        <w:t>ozanimod</w:t>
      </w:r>
      <w:proofErr w:type="spellEnd"/>
      <w:r>
        <w:t xml:space="preserve"> treatment.</w:t>
      </w:r>
    </w:p>
    <w:p w14:paraId="511175BF" w14:textId="7C990991" w:rsidR="00960557" w:rsidRDefault="003354A0" w:rsidP="00507000">
      <w:pPr>
        <w:pStyle w:val="Heading5"/>
      </w:pPr>
      <w:r>
        <w:t>Serious adverse events</w:t>
      </w:r>
    </w:p>
    <w:p w14:paraId="25DEF941" w14:textId="4344B60E" w:rsidR="00960557" w:rsidRDefault="00960557" w:rsidP="00960557">
      <w:r>
        <w:t xml:space="preserve">In the safety data pool containing all treated patients with RMS, serious adverse events </w:t>
      </w:r>
      <w:r w:rsidR="00507000">
        <w:t>(SAE</w:t>
      </w:r>
      <w:r w:rsidR="005C13EA">
        <w:t>s</w:t>
      </w:r>
      <w:r w:rsidR="00507000">
        <w:t xml:space="preserve">) </w:t>
      </w:r>
      <w:r>
        <w:t xml:space="preserve">occurred in 7.2 % of </w:t>
      </w:r>
      <w:proofErr w:type="spellStart"/>
      <w:r>
        <w:t>ozanimod</w:t>
      </w:r>
      <w:proofErr w:type="spellEnd"/>
      <w:r>
        <w:t xml:space="preserve"> 1 mg treated patients and 5.2% of </w:t>
      </w:r>
      <w:proofErr w:type="spellStart"/>
      <w:r>
        <w:t>ozanimod</w:t>
      </w:r>
      <w:proofErr w:type="spellEnd"/>
      <w:r>
        <w:t xml:space="preserve"> 0.5 mg treated patients, versus 4.4% of interferon-treated patients.</w:t>
      </w:r>
    </w:p>
    <w:p w14:paraId="760CF66C" w14:textId="54201B76" w:rsidR="00960557" w:rsidRDefault="00960557" w:rsidP="00960557">
      <w:r>
        <w:t xml:space="preserve">Overall incidence of serious </w:t>
      </w:r>
      <w:r w:rsidR="00507000">
        <w:t>(SAE</w:t>
      </w:r>
      <w:r w:rsidR="005C13EA">
        <w:t>s</w:t>
      </w:r>
      <w:r w:rsidR="00507000">
        <w:t xml:space="preserve">) </w:t>
      </w:r>
      <w:r>
        <w:t xml:space="preserve">and severe </w:t>
      </w:r>
      <w:r w:rsidR="003354A0">
        <w:t>adver</w:t>
      </w:r>
      <w:r w:rsidR="00507000">
        <w:t>se events (AE</w:t>
      </w:r>
      <w:r w:rsidR="005C13EA">
        <w:t>s</w:t>
      </w:r>
      <w:r w:rsidR="00507000">
        <w:t xml:space="preserve">) </w:t>
      </w:r>
      <w:r>
        <w:t xml:space="preserve">was similar across treatments, with no clear dose-dependent trends observed. Similarly, incidence of AEs that led to study drug discontinuation was similar across treatments. The most frequent reported AE that led to study drug discontinuation in the active-controlled studies was </w:t>
      </w:r>
      <w:r w:rsidR="00507000">
        <w:lastRenderedPageBreak/>
        <w:t>alanine transaminase (</w:t>
      </w:r>
      <w:r>
        <w:t>ALT</w:t>
      </w:r>
      <w:r w:rsidR="00507000">
        <w:t>)</w:t>
      </w:r>
      <w:r>
        <w:t xml:space="preserve"> increased (0.1% </w:t>
      </w:r>
      <w:r w:rsidR="00507000">
        <w:t xml:space="preserve">in the 0.5 mg </w:t>
      </w:r>
      <w:proofErr w:type="spellStart"/>
      <w:r w:rsidR="00507000">
        <w:t>ozanimod</w:t>
      </w:r>
      <w:proofErr w:type="spellEnd"/>
      <w:r w:rsidR="00507000">
        <w:t xml:space="preserve"> group versus</w:t>
      </w:r>
      <w:r>
        <w:t xml:space="preserve"> 0.5</w:t>
      </w:r>
      <w:r w:rsidR="00507000">
        <w:t xml:space="preserve">% in the 1 mg </w:t>
      </w:r>
      <w:proofErr w:type="spellStart"/>
      <w:r w:rsidR="00507000">
        <w:t>ozanimod</w:t>
      </w:r>
      <w:proofErr w:type="spellEnd"/>
      <w:r w:rsidR="00507000">
        <w:t xml:space="preserve"> group versus 0.3% in the IFN β</w:t>
      </w:r>
      <w:r>
        <w:t>1a group, respectively).</w:t>
      </w:r>
    </w:p>
    <w:p w14:paraId="6A5675D5" w14:textId="65CA8412" w:rsidR="00960557" w:rsidRDefault="00960557" w:rsidP="00507000">
      <w:pPr>
        <w:pStyle w:val="Heading5"/>
      </w:pPr>
      <w:r>
        <w:t>Death</w:t>
      </w:r>
      <w:r w:rsidR="00C32A62">
        <w:t>s</w:t>
      </w:r>
    </w:p>
    <w:p w14:paraId="11F35C1A" w14:textId="52DC8A60" w:rsidR="00960557" w:rsidRDefault="005C13EA" w:rsidP="00960557">
      <w:r>
        <w:t xml:space="preserve">Twelve deaths (0.4%, 12 out of </w:t>
      </w:r>
      <w:r w:rsidR="00960557">
        <w:t xml:space="preserve">2917 exposed to at least one dose) occurred in the clinical development program for </w:t>
      </w:r>
      <w:proofErr w:type="spellStart"/>
      <w:r w:rsidR="00960557">
        <w:t>ozanimod</w:t>
      </w:r>
      <w:proofErr w:type="spellEnd"/>
      <w:r w:rsidR="00960557">
        <w:t xml:space="preserve"> (FDA safety review 2020). Nine of these deaths occurred in patients with RMS who were on treatment during the active-controlled or open-label extension studies of </w:t>
      </w:r>
      <w:proofErr w:type="spellStart"/>
      <w:r w:rsidR="00960557">
        <w:t>ozanimod</w:t>
      </w:r>
      <w:proofErr w:type="spellEnd"/>
      <w:r w:rsidR="00960557">
        <w:t xml:space="preserve"> in RMS. One death in a patient with RMS from metastatic pancreatic carcinoma occurred more than 28 days after discontinuation from Study RPC01-301. Although, causes of death in the </w:t>
      </w:r>
      <w:proofErr w:type="spellStart"/>
      <w:r w:rsidR="00960557">
        <w:t>ozanimod</w:t>
      </w:r>
      <w:proofErr w:type="spellEnd"/>
      <w:r w:rsidR="00960557">
        <w:t xml:space="preserve"> development program were heterogeneous and confounded by factors outside of treatment. Infections and malignancies are known to be associated with treatment using other S1P modulators, and </w:t>
      </w:r>
      <w:proofErr w:type="spellStart"/>
      <w:r w:rsidR="00960557">
        <w:t>ozanimod</w:t>
      </w:r>
      <w:proofErr w:type="spellEnd"/>
      <w:r w:rsidR="00960557">
        <w:t xml:space="preserve"> therefore have information for these outcomes consistent with other S1P therapies in the PI.</w:t>
      </w:r>
    </w:p>
    <w:p w14:paraId="4020FE41" w14:textId="77777777" w:rsidR="00960557" w:rsidRDefault="00960557" w:rsidP="00507000">
      <w:pPr>
        <w:pStyle w:val="Heading5"/>
      </w:pPr>
      <w:r>
        <w:t>Adverse events</w:t>
      </w:r>
    </w:p>
    <w:p w14:paraId="4CC6CEEA" w14:textId="77777777" w:rsidR="00960557" w:rsidRDefault="00960557" w:rsidP="00960557">
      <w:r>
        <w:t>The overall pattern and type of AEs reported in both the RMS and IBD programs were consistent with the results from the pooled active-controlled studies, and generally consistent with other S1P agonists. There were some differences in AE types and</w:t>
      </w:r>
      <w:r w:rsidR="00507000">
        <w:t xml:space="preserve"> frequencies between RMS and inflammatory bowel disease</w:t>
      </w:r>
      <w:r>
        <w:t xml:space="preserve"> study populations, which could be attributed to the underlying conditions being treated rather than to </w:t>
      </w:r>
      <w:proofErr w:type="spellStart"/>
      <w:r>
        <w:t>ozanimod</w:t>
      </w:r>
      <w:proofErr w:type="spellEnd"/>
      <w:r>
        <w:t xml:space="preserve"> exposure per se.</w:t>
      </w:r>
    </w:p>
    <w:p w14:paraId="01FCD5E8" w14:textId="77777777" w:rsidR="00960557" w:rsidRDefault="0030779A" w:rsidP="00507000">
      <w:pPr>
        <w:pStyle w:val="Heading5"/>
      </w:pPr>
      <w:r>
        <w:t>Cardiovascular s</w:t>
      </w:r>
      <w:r w:rsidR="00960557">
        <w:t>afety</w:t>
      </w:r>
    </w:p>
    <w:p w14:paraId="5BA6D229" w14:textId="77777777" w:rsidR="00960557" w:rsidRDefault="00960557" w:rsidP="00960557">
      <w:r>
        <w:t>S1P receptors are expressed in cardiac tissue, as a result, initiation of S1P modulators can cause negative chronotropic effect (and associated conductance abnormalities). During the development o</w:t>
      </w:r>
      <w:r w:rsidR="0030779A">
        <w:t xml:space="preserve">f </w:t>
      </w:r>
      <w:proofErr w:type="spellStart"/>
      <w:r w:rsidR="0030779A">
        <w:t>ozanimod</w:t>
      </w:r>
      <w:proofErr w:type="spellEnd"/>
      <w:r w:rsidR="0030779A">
        <w:t xml:space="preserve">, introduction of a 7 </w:t>
      </w:r>
      <w:r>
        <w:t>day</w:t>
      </w:r>
      <w:r w:rsidR="0030779A">
        <w:t xml:space="preserve"> long</w:t>
      </w:r>
      <w:r>
        <w:t xml:space="preserve"> dose-escalation regimen was successfully in reducing the risk of serious cardiac arrhythmias in patients with no prior history of significant cardiac disease or who had first-degree atrioventricular block. Similarly, while effects on blood pressure, partic</w:t>
      </w:r>
      <w:r w:rsidR="0030779A">
        <w:t xml:space="preserve">ularly an increase in supine systolic blood pressure (approximately 1 to </w:t>
      </w:r>
      <w:r>
        <w:t>2 mmHg highe</w:t>
      </w:r>
      <w:r w:rsidR="0030779A">
        <w:t xml:space="preserve">r with 1 mg </w:t>
      </w:r>
      <w:proofErr w:type="spellStart"/>
      <w:r w:rsidR="0030779A">
        <w:t>ozanimod</w:t>
      </w:r>
      <w:proofErr w:type="spellEnd"/>
      <w:r w:rsidR="0030779A">
        <w:t xml:space="preserve"> than IFN β</w:t>
      </w:r>
      <w:r>
        <w:t xml:space="preserve">1a treatment) are not expected to be clinically meaningful, low incidence of hypertension was reported across the entire </w:t>
      </w:r>
      <w:proofErr w:type="spellStart"/>
      <w:r>
        <w:t>ozanimod</w:t>
      </w:r>
      <w:proofErr w:type="spellEnd"/>
      <w:r>
        <w:t xml:space="preserve"> program (3.4% of subjects who received 1 mg </w:t>
      </w:r>
      <w:proofErr w:type="spellStart"/>
      <w:r>
        <w:t>ozanimod</w:t>
      </w:r>
      <w:proofErr w:type="spellEnd"/>
      <w:r>
        <w:t xml:space="preserve">), albeit with no clear time-dependent relationship observed. The long-term cardiovascular risk from </w:t>
      </w:r>
      <w:proofErr w:type="spellStart"/>
      <w:r>
        <w:t>ozanimod</w:t>
      </w:r>
      <w:proofErr w:type="spellEnd"/>
      <w:r>
        <w:t xml:space="preserve"> exposure, particularly in patients with known risk factors remains unknown. This is adequately reflected in the proposed</w:t>
      </w:r>
      <w:r w:rsidR="0030779A">
        <w:t xml:space="preserve"> risk management plan</w:t>
      </w:r>
      <w:r>
        <w:t xml:space="preserve"> </w:t>
      </w:r>
      <w:r w:rsidR="0030779A">
        <w:t>(</w:t>
      </w:r>
      <w:r>
        <w:t>RMP</w:t>
      </w:r>
      <w:r w:rsidR="0030779A">
        <w:t>)</w:t>
      </w:r>
      <w:r>
        <w:t xml:space="preserve"> and PI.</w:t>
      </w:r>
    </w:p>
    <w:p w14:paraId="29D96788" w14:textId="77777777" w:rsidR="00960557" w:rsidRDefault="0030779A" w:rsidP="00507000">
      <w:pPr>
        <w:pStyle w:val="Heading5"/>
      </w:pPr>
      <w:r>
        <w:t>Liver e</w:t>
      </w:r>
      <w:r w:rsidR="00960557">
        <w:t>nzymes</w:t>
      </w:r>
    </w:p>
    <w:p w14:paraId="1465A7D2" w14:textId="77777777" w:rsidR="00960557" w:rsidRDefault="00960557" w:rsidP="00960557">
      <w:proofErr w:type="spellStart"/>
      <w:r>
        <w:t>Ozanimod</w:t>
      </w:r>
      <w:proofErr w:type="spellEnd"/>
      <w:r>
        <w:t xml:space="preserve"> administration is associated with increased serum levels of liver transamina</w:t>
      </w:r>
      <w:r w:rsidR="0030779A">
        <w:t xml:space="preserve">ses. Pre-existing liver disease, for example, </w:t>
      </w:r>
      <w:r>
        <w:t>Gilbert’s disease</w:t>
      </w:r>
      <w:r w:rsidR="0030779A">
        <w:t>;</w:t>
      </w:r>
      <w:r w:rsidR="0030779A">
        <w:rPr>
          <w:rStyle w:val="FootnoteReference"/>
        </w:rPr>
        <w:footnoteReference w:id="23"/>
      </w:r>
      <w:r>
        <w:t xml:space="preserve"> and underlying elevated bilirubin levels, or male gender, may be risk factors for the development of elevated hepatic enzymes whe</w:t>
      </w:r>
      <w:r w:rsidR="00E466B5">
        <w:t xml:space="preserve">n taking </w:t>
      </w:r>
      <w:proofErr w:type="spellStart"/>
      <w:r w:rsidR="00E466B5">
        <w:t>ozanimod</w:t>
      </w:r>
      <w:proofErr w:type="spellEnd"/>
      <w:r w:rsidR="00E466B5">
        <w:t xml:space="preserve">. Most hepatic </w:t>
      </w:r>
      <w:r>
        <w:t xml:space="preserve">AEs were mild to moderate in intensity and resolved whilst on study treatment. There were no cases of severe drug-induced liver injury identified across the clinical development program for </w:t>
      </w:r>
      <w:proofErr w:type="spellStart"/>
      <w:r>
        <w:t>ozanimod</w:t>
      </w:r>
      <w:proofErr w:type="spellEnd"/>
      <w:r>
        <w:t xml:space="preserve"> and </w:t>
      </w:r>
      <w:r>
        <w:lastRenderedPageBreak/>
        <w:t xml:space="preserve">no cases met the full criteria for </w:t>
      </w:r>
      <w:proofErr w:type="spellStart"/>
      <w:r>
        <w:t>Hy’s</w:t>
      </w:r>
      <w:proofErr w:type="spellEnd"/>
      <w:r>
        <w:t xml:space="preserve"> law.</w:t>
      </w:r>
      <w:r w:rsidR="00E466B5">
        <w:rPr>
          <w:rStyle w:val="FootnoteReference"/>
        </w:rPr>
        <w:footnoteReference w:id="24"/>
      </w:r>
      <w:r>
        <w:t xml:space="preserve"> These findings were consistent with other S1P agonists. The risk for drug-induced liver injury will be more fully characterised in the post-market setting. This risk is clearly reflected in the proposed RMP and PI.</w:t>
      </w:r>
    </w:p>
    <w:p w14:paraId="1AE3EDD8" w14:textId="77777777" w:rsidR="00960557" w:rsidRDefault="00DB333E" w:rsidP="00507000">
      <w:pPr>
        <w:pStyle w:val="Heading5"/>
      </w:pPr>
      <w:r>
        <w:t>Macular o</w:t>
      </w:r>
      <w:r w:rsidR="00960557">
        <w:t>edema</w:t>
      </w:r>
    </w:p>
    <w:p w14:paraId="3528470B" w14:textId="77777777" w:rsidR="00960557" w:rsidRDefault="00960557" w:rsidP="00960557">
      <w:r>
        <w:t xml:space="preserve">The </w:t>
      </w:r>
      <w:r w:rsidR="00DB333E">
        <w:t>incidence of macular oedema</w:t>
      </w:r>
      <w:r>
        <w:t xml:space="preserve"> with </w:t>
      </w:r>
      <w:proofErr w:type="spellStart"/>
      <w:r>
        <w:t>ozanimod</w:t>
      </w:r>
      <w:proofErr w:type="spellEnd"/>
      <w:r>
        <w:t xml:space="preserve"> treatment was low (0.3%) and consistent with the reported incidence for other S1P agonists. All 9 </w:t>
      </w:r>
      <w:proofErr w:type="spellStart"/>
      <w:r>
        <w:t>ozanim</w:t>
      </w:r>
      <w:r w:rsidR="00DB333E">
        <w:t>od</w:t>
      </w:r>
      <w:proofErr w:type="spellEnd"/>
      <w:r w:rsidR="00DB333E">
        <w:t>-related confirmed cases of macular oedema</w:t>
      </w:r>
      <w:r>
        <w:t xml:space="preserve"> (by an external review panel) appeared to be associated with pre-existing risk factors and/or comor</w:t>
      </w:r>
      <w:r w:rsidR="00DB333E">
        <w:t>bid conditions known to cause macular oedema</w:t>
      </w:r>
      <w:r>
        <w:t>. At data cut-off, 8 cases had resolved following study drug discontinuation, with no permanent vision loss reported to date. The potential for an incremental risk in patients with predi</w:t>
      </w:r>
      <w:r w:rsidR="00DB333E">
        <w:t>sposing comorbid conditions, for example,</w:t>
      </w:r>
      <w:r>
        <w:t xml:space="preserve"> uveitis, diabetes mellitus, cannot be excluded which is reflected in the PI.</w:t>
      </w:r>
    </w:p>
    <w:p w14:paraId="653A4716" w14:textId="77777777" w:rsidR="00960557" w:rsidRDefault="00DB333E" w:rsidP="00507000">
      <w:pPr>
        <w:pStyle w:val="Heading5"/>
      </w:pPr>
      <w:r>
        <w:t>Psychiatric i</w:t>
      </w:r>
      <w:r w:rsidR="00960557">
        <w:t>llness</w:t>
      </w:r>
    </w:p>
    <w:p w14:paraId="07C60BE2" w14:textId="77777777" w:rsidR="00960557" w:rsidRDefault="00960557" w:rsidP="00960557">
      <w:r>
        <w:t xml:space="preserve">Across the </w:t>
      </w:r>
      <w:proofErr w:type="spellStart"/>
      <w:r>
        <w:t>ozanimod</w:t>
      </w:r>
      <w:proofErr w:type="spellEnd"/>
      <w:r>
        <w:t xml:space="preserve"> program, the incidences of depression and suicidal behaviours were infrequent, balanced across treatments and consistent with MS background rates. There was no evidence for exacerbation or worsening of depression or suicidal ideation or behaviour after discontinuation of </w:t>
      </w:r>
      <w:proofErr w:type="spellStart"/>
      <w:r>
        <w:t>ozanimod</w:t>
      </w:r>
      <w:proofErr w:type="spellEnd"/>
      <w:r>
        <w:t xml:space="preserve">. The proportion of subjects with AEs and SAEs of </w:t>
      </w:r>
      <w:r w:rsidR="00DB333E">
        <w:t>‘</w:t>
      </w:r>
      <w:r>
        <w:t>Psychiatric Disorders SOC</w:t>
      </w:r>
      <w:r w:rsidR="00DB333E">
        <w:t>’;</w:t>
      </w:r>
      <w:r w:rsidR="00DB333E">
        <w:rPr>
          <w:rStyle w:val="FootnoteReference"/>
        </w:rPr>
        <w:footnoteReference w:id="25"/>
      </w:r>
      <w:r>
        <w:t xml:space="preserve"> were low in both </w:t>
      </w:r>
      <w:proofErr w:type="spellStart"/>
      <w:r>
        <w:t>ozanimod</w:t>
      </w:r>
      <w:proofErr w:type="spellEnd"/>
      <w:r>
        <w:t xml:space="preserve"> treatment groups a</w:t>
      </w:r>
      <w:r w:rsidR="007678DB">
        <w:t xml:space="preserve">nd did not increase with longer </w:t>
      </w:r>
      <w:r>
        <w:t xml:space="preserve">term use of 1 mg </w:t>
      </w:r>
      <w:proofErr w:type="spellStart"/>
      <w:r>
        <w:t>ozanimod</w:t>
      </w:r>
      <w:proofErr w:type="spellEnd"/>
      <w:r>
        <w:t>.</w:t>
      </w:r>
    </w:p>
    <w:p w14:paraId="53C29E5D" w14:textId="77777777" w:rsidR="00960557" w:rsidRDefault="007678DB" w:rsidP="00507000">
      <w:pPr>
        <w:pStyle w:val="Heading5"/>
      </w:pPr>
      <w:r>
        <w:t>Pulmonary function</w:t>
      </w:r>
    </w:p>
    <w:p w14:paraId="6C4237A4" w14:textId="77777777" w:rsidR="00960557" w:rsidRDefault="00960557" w:rsidP="00960557">
      <w:r>
        <w:t>S1P receptor modulator therapies are known to cause symptoms consistent with restrictive airway disease and persistent changes in forced-expiratory volume over one second (FEV</w:t>
      </w:r>
      <w:r w:rsidRPr="007678DB">
        <w:rPr>
          <w:vertAlign w:val="subscript"/>
        </w:rPr>
        <w:t>1</w:t>
      </w:r>
      <w:r>
        <w:t xml:space="preserve">) and diffusion lung capacity for carbon monoxide. No clinically meaningful changes in pulmonary function tests, or respiratory-related AEs, were observed with </w:t>
      </w:r>
      <w:proofErr w:type="spellStart"/>
      <w:r>
        <w:t>ozanimod</w:t>
      </w:r>
      <w:proofErr w:type="spellEnd"/>
      <w:r>
        <w:t xml:space="preserve"> treatments across the RMS program.</w:t>
      </w:r>
    </w:p>
    <w:p w14:paraId="435D70F6" w14:textId="77777777" w:rsidR="00960557" w:rsidRDefault="00960557" w:rsidP="00507000">
      <w:pPr>
        <w:pStyle w:val="Heading5"/>
      </w:pPr>
      <w:r>
        <w:t>Infections</w:t>
      </w:r>
    </w:p>
    <w:p w14:paraId="72C353DF" w14:textId="77777777" w:rsidR="00960557" w:rsidRDefault="007678DB" w:rsidP="00960557">
      <w:r>
        <w:t xml:space="preserve">Non-serious infections; for example, </w:t>
      </w:r>
      <w:proofErr w:type="spellStart"/>
      <w:r w:rsidR="00960557">
        <w:t>n</w:t>
      </w:r>
      <w:r>
        <w:t>asopharyngitis</w:t>
      </w:r>
      <w:proofErr w:type="spellEnd"/>
      <w:r>
        <w:t>, pharyngitis, urinary tract infection</w:t>
      </w:r>
      <w:r w:rsidR="00960557">
        <w:t xml:space="preserve"> and viral respiratory tract infection, occurred with 1 mg </w:t>
      </w:r>
      <w:proofErr w:type="spellStart"/>
      <w:r w:rsidR="00960557">
        <w:t>ozanimod</w:t>
      </w:r>
      <w:proofErr w:type="spellEnd"/>
      <w:r w:rsidR="00960557">
        <w:t xml:space="preserve">. Overall incidence of </w:t>
      </w:r>
      <w:r>
        <w:t>SAEs in the P</w:t>
      </w:r>
      <w:r w:rsidR="00960557">
        <w:t xml:space="preserve">hase III RMS program was similar across treatments, with no dose-dependent trends observed. Although, dose and time-dependent reductions in </w:t>
      </w:r>
      <w:r w:rsidR="00D228BB">
        <w:t>ALC</w:t>
      </w:r>
      <w:r w:rsidR="00960557">
        <w:t xml:space="preserve"> were observed across all phases and studies in the </w:t>
      </w:r>
      <w:proofErr w:type="spellStart"/>
      <w:r w:rsidR="00960557">
        <w:t>ozanimod</w:t>
      </w:r>
      <w:proofErr w:type="spellEnd"/>
      <w:r w:rsidR="00960557">
        <w:t xml:space="preserve"> clinical program, there were no clear correlations between ALC &lt; 0.2 x 10</w:t>
      </w:r>
      <w:r w:rsidR="00960557" w:rsidRPr="003354A0">
        <w:rPr>
          <w:vertAlign w:val="superscript"/>
        </w:rPr>
        <w:t>9</w:t>
      </w:r>
      <w:r w:rsidR="00960557">
        <w:t>/L values and serious or opportunistic infections. Incidence of AEs of infections that led to s</w:t>
      </w:r>
      <w:r>
        <w:t>tudy discontinuation was low. Herpes zoster virus</w:t>
      </w:r>
      <w:r w:rsidR="00960557">
        <w:t xml:space="preserve"> infections occurred in most treatment groups, across the clinical program. Cases were generally isolated, non-serious, infrequent and treated whilst continuing </w:t>
      </w:r>
      <w:proofErr w:type="spellStart"/>
      <w:r w:rsidR="00960557">
        <w:t>ozanimod</w:t>
      </w:r>
      <w:proofErr w:type="spellEnd"/>
      <w:r w:rsidR="00960557">
        <w:t xml:space="preserve"> treatment. However, modest dose- and time-dependent trends were observed.</w:t>
      </w:r>
    </w:p>
    <w:p w14:paraId="4A758F4B" w14:textId="77777777" w:rsidR="00960557" w:rsidRDefault="00960557" w:rsidP="00960557">
      <w:r>
        <w:t xml:space="preserve">While the incidence of serious or opportunistic infections was found to be low in the submitted data package, risk associated with </w:t>
      </w:r>
      <w:proofErr w:type="spellStart"/>
      <w:r>
        <w:t>ozanimod</w:t>
      </w:r>
      <w:proofErr w:type="spellEnd"/>
      <w:r>
        <w:t xml:space="preserve"> withdrawal and rebound were not </w:t>
      </w:r>
      <w:r w:rsidR="007678DB">
        <w:t xml:space="preserve">assessed. Given the estimated 3 </w:t>
      </w:r>
      <w:r>
        <w:t xml:space="preserve">month period to clear </w:t>
      </w:r>
      <w:proofErr w:type="spellStart"/>
      <w:r>
        <w:t>ozanimod</w:t>
      </w:r>
      <w:proofErr w:type="spellEnd"/>
      <w:r>
        <w:t xml:space="preserve"> and its active metabolites from blood, and the prolonged ALC reductions over the same period, there is a risk, albeit </w:t>
      </w:r>
      <w:r>
        <w:lastRenderedPageBreak/>
        <w:t>perhaps low based on what has been described in this evaluation report, of development of infections (as well as risk of MS relapse), including serious or opportunistic infections.</w:t>
      </w:r>
    </w:p>
    <w:p w14:paraId="1B06FEB3" w14:textId="77777777" w:rsidR="00960557" w:rsidRDefault="00960557" w:rsidP="00960557">
      <w:r>
        <w:t xml:space="preserve">Risk </w:t>
      </w:r>
      <w:r w:rsidR="007678DB">
        <w:t>associated with rare events for example,</w:t>
      </w:r>
      <w:r>
        <w:t xml:space="preserve"> PML</w:t>
      </w:r>
      <w:r w:rsidR="007678DB">
        <w:t>;</w:t>
      </w:r>
      <w:r w:rsidR="007678DB">
        <w:rPr>
          <w:rStyle w:val="FootnoteReference"/>
        </w:rPr>
        <w:footnoteReference w:id="26"/>
      </w:r>
      <w:r w:rsidR="00D228BB">
        <w:t xml:space="preserve"> or </w:t>
      </w:r>
      <w:proofErr w:type="spellStart"/>
      <w:r w:rsidR="00D228BB">
        <w:t>cryptococcal</w:t>
      </w:r>
      <w:proofErr w:type="spellEnd"/>
      <w:r w:rsidR="00D228BB">
        <w:t xml:space="preserve"> infections;</w:t>
      </w:r>
      <w:r w:rsidR="00D228BB">
        <w:rPr>
          <w:rStyle w:val="FootnoteReference"/>
        </w:rPr>
        <w:footnoteReference w:id="27"/>
      </w:r>
      <w:r>
        <w:t xml:space="preserve"> will be more fully characterised with longer-term </w:t>
      </w:r>
      <w:proofErr w:type="spellStart"/>
      <w:r>
        <w:t>ozanimod</w:t>
      </w:r>
      <w:proofErr w:type="spellEnd"/>
      <w:r>
        <w:t xml:space="preserve"> exposure.</w:t>
      </w:r>
    </w:p>
    <w:p w14:paraId="7665D352" w14:textId="77777777" w:rsidR="00960557" w:rsidRDefault="00960557" w:rsidP="00507000">
      <w:pPr>
        <w:pStyle w:val="Heading5"/>
      </w:pPr>
      <w:r>
        <w:t>Malignancy</w:t>
      </w:r>
    </w:p>
    <w:p w14:paraId="3B68D6C4" w14:textId="77777777" w:rsidR="00960557" w:rsidRDefault="00960557" w:rsidP="00960557">
      <w:r>
        <w:t xml:space="preserve">Malignancies are noted with other S1P receptor modulators, and it is biologically plausible that decreased </w:t>
      </w:r>
      <w:proofErr w:type="spellStart"/>
      <w:r>
        <w:t>immunosurveillance</w:t>
      </w:r>
      <w:proofErr w:type="spellEnd"/>
      <w:r>
        <w:t xml:space="preserve"> from sequestering lymphocytes in lymphoid tissue would increase the risk of malignancy.</w:t>
      </w:r>
    </w:p>
    <w:p w14:paraId="4003FF49" w14:textId="77777777" w:rsidR="00960557" w:rsidRDefault="00960557" w:rsidP="00960557">
      <w:r>
        <w:t xml:space="preserve">Half of the neoplasms reported with </w:t>
      </w:r>
      <w:proofErr w:type="spellStart"/>
      <w:r>
        <w:t>ozanimod</w:t>
      </w:r>
      <w:proofErr w:type="spellEnd"/>
      <w:r>
        <w:t xml:space="preserve"> in active controlled clinical trials consisted of skin malignancies, with basal cell carcinoma presenting as the most common skin neoplasm and reported with a similar incidence in</w:t>
      </w:r>
      <w:r w:rsidR="007678DB">
        <w:t xml:space="preserve"> the combined </w:t>
      </w:r>
      <w:proofErr w:type="spellStart"/>
      <w:r w:rsidR="007678DB">
        <w:t>ozanimod</w:t>
      </w:r>
      <w:proofErr w:type="spellEnd"/>
      <w:r w:rsidR="007678DB">
        <w:t xml:space="preserve"> (0.2%, 3 patients) and IFN β</w:t>
      </w:r>
      <w:r>
        <w:t>1a (0.1 %, 1 patient) group.</w:t>
      </w:r>
    </w:p>
    <w:p w14:paraId="74656470" w14:textId="77777777" w:rsidR="00960557" w:rsidRDefault="00960557" w:rsidP="00960557">
      <w:r>
        <w:t>Risk of malignancy is adequately addressed</w:t>
      </w:r>
      <w:r w:rsidR="007678DB">
        <w:t xml:space="preserve"> in the PI and the </w:t>
      </w:r>
      <w:r>
        <w:t>RMP.</w:t>
      </w:r>
    </w:p>
    <w:p w14:paraId="70CB237B" w14:textId="704C384C" w:rsidR="00960557" w:rsidRDefault="004E7449" w:rsidP="00507000">
      <w:pPr>
        <w:pStyle w:val="Heading5"/>
      </w:pPr>
      <w:r>
        <w:t>Cumulative t</w:t>
      </w:r>
      <w:r w:rsidR="00960557">
        <w:t>oxicity</w:t>
      </w:r>
    </w:p>
    <w:p w14:paraId="3C1D1D32" w14:textId="77777777" w:rsidR="00960557" w:rsidRDefault="00960557" w:rsidP="00960557">
      <w:r>
        <w:t xml:space="preserve">The evidence provided in the clinical dossier indicated that prolonged </w:t>
      </w:r>
      <w:proofErr w:type="spellStart"/>
      <w:r>
        <w:t>ozanimod</w:t>
      </w:r>
      <w:proofErr w:type="spellEnd"/>
      <w:r>
        <w:t xml:space="preserve"> exposure is not generally associated with cumulative toxicity. However, risk associated with occurrence of rare events such as PML, autoimmune disorders, disseminated </w:t>
      </w:r>
      <w:proofErr w:type="spellStart"/>
      <w:r>
        <w:t>cryptococcal</w:t>
      </w:r>
      <w:proofErr w:type="spellEnd"/>
      <w:r>
        <w:t xml:space="preserve"> infections or events associated with a long-lag time, such as lymphoma and other malignancies, cannot be fully characterised until much longer periods of </w:t>
      </w:r>
      <w:proofErr w:type="spellStart"/>
      <w:r>
        <w:t>ozanimod</w:t>
      </w:r>
      <w:proofErr w:type="spellEnd"/>
      <w:r>
        <w:t xml:space="preserve"> exposure have occurred i.e. in the post-market setting. These potential risks should be included in the PI and RMP until such time they have been more fully characterised. In the 68 months safety data provided in the RMS (and </w:t>
      </w:r>
      <w:r w:rsidR="00D228BB">
        <w:t>the inflammatory bowel disease</w:t>
      </w:r>
      <w:r>
        <w:t>) program, no new safety signals were identified.</w:t>
      </w:r>
    </w:p>
    <w:p w14:paraId="43F5D637" w14:textId="77777777" w:rsidR="00960557" w:rsidRDefault="00960557" w:rsidP="00960557">
      <w:r>
        <w:t>The clinical dossier did not provide safety dat</w:t>
      </w:r>
      <w:r w:rsidR="00D228BB">
        <w:t>a by disease activity (active versus</w:t>
      </w:r>
      <w:r>
        <w:t xml:space="preserve"> highly active) in each a</w:t>
      </w:r>
      <w:r w:rsidR="00D228BB">
        <w:t>ctive-controlled P</w:t>
      </w:r>
      <w:r>
        <w:t xml:space="preserve">hase III study. Since the proposed indication is for treatment of adults in all grades of severity of RMS, clinical evaluator requested this information. </w:t>
      </w:r>
      <w:r w:rsidR="00D228BB">
        <w:t>The sponsor’s r</w:t>
      </w:r>
      <w:r>
        <w:t xml:space="preserve">esponse provided for patient populations with differing baseline levels of disease activity, including active and highly active disease, showed that the efficacy of </w:t>
      </w:r>
      <w:proofErr w:type="spellStart"/>
      <w:r>
        <w:t>ozanimod</w:t>
      </w:r>
      <w:proofErr w:type="spellEnd"/>
      <w:r>
        <w:t xml:space="preserve"> on clinical and imaging endpoints was consistent with the overall population.</w:t>
      </w:r>
    </w:p>
    <w:p w14:paraId="4927C7A8" w14:textId="77777777" w:rsidR="00960557" w:rsidRPr="00945166" w:rsidRDefault="00960557" w:rsidP="00960557">
      <w:r>
        <w:t xml:space="preserve">Overall, </w:t>
      </w:r>
      <w:proofErr w:type="spellStart"/>
      <w:r>
        <w:t>ozanimod</w:t>
      </w:r>
      <w:proofErr w:type="spellEnd"/>
      <w:r>
        <w:t xml:space="preserve"> demonstrated an acceptable safety profile in RMS, with good tolerability, for </w:t>
      </w:r>
      <w:r w:rsidR="00D228BB">
        <w:t xml:space="preserve">the proposed 1 mg </w:t>
      </w:r>
      <w:proofErr w:type="spellStart"/>
      <w:r w:rsidR="00D228BB">
        <w:t>ozanimod</w:t>
      </w:r>
      <w:proofErr w:type="spellEnd"/>
      <w:r w:rsidR="00D228BB">
        <w:t xml:space="preserve"> once daily dose </w:t>
      </w:r>
      <w:r>
        <w:t xml:space="preserve">regimen. Furthermore, </w:t>
      </w:r>
      <w:proofErr w:type="spellStart"/>
      <w:r>
        <w:t>ozanimod</w:t>
      </w:r>
      <w:proofErr w:type="spellEnd"/>
      <w:r>
        <w:t xml:space="preserve"> treatments (both 0.5 mg and 1 mg) demonstrated a favou</w:t>
      </w:r>
      <w:r w:rsidR="00D228BB">
        <w:t>rable safety profile over IFN β</w:t>
      </w:r>
      <w:r>
        <w:t xml:space="preserve">1a treatment, a well-established standard of </w:t>
      </w:r>
      <w:r w:rsidR="00D228BB">
        <w:t>care treatment for RMS, in the P</w:t>
      </w:r>
      <w:r>
        <w:t xml:space="preserve">hase III active-controlled studies (up to 24 months), as well as a favourable safety profile over 68 months </w:t>
      </w:r>
      <w:proofErr w:type="spellStart"/>
      <w:r>
        <w:t>ozanimod</w:t>
      </w:r>
      <w:proofErr w:type="spellEnd"/>
      <w:r>
        <w:t xml:space="preserve"> exposure.</w:t>
      </w:r>
    </w:p>
    <w:p w14:paraId="16236368" w14:textId="77777777" w:rsidR="008E7846" w:rsidRDefault="00386150" w:rsidP="007B6132">
      <w:pPr>
        <w:pStyle w:val="Heading3"/>
        <w:rPr>
          <w:lang w:eastAsia="en-AU"/>
        </w:rPr>
      </w:pPr>
      <w:bookmarkStart w:id="42" w:name="_Toc57809140"/>
      <w:r>
        <w:rPr>
          <w:lang w:eastAsia="en-AU"/>
        </w:rPr>
        <w:t>Risk m</w:t>
      </w:r>
      <w:r w:rsidR="008E7846">
        <w:rPr>
          <w:lang w:eastAsia="en-AU"/>
        </w:rPr>
        <w:t xml:space="preserve">anagement </w:t>
      </w:r>
      <w:r>
        <w:rPr>
          <w:lang w:eastAsia="en-AU"/>
        </w:rPr>
        <w:t>p</w:t>
      </w:r>
      <w:r w:rsidR="008E7846">
        <w:rPr>
          <w:lang w:eastAsia="en-AU"/>
        </w:rPr>
        <w:t>lan</w:t>
      </w:r>
      <w:bookmarkEnd w:id="39"/>
      <w:bookmarkEnd w:id="42"/>
    </w:p>
    <w:p w14:paraId="07BF4262" w14:textId="77777777" w:rsidR="0035020F" w:rsidRDefault="0035020F" w:rsidP="0035020F">
      <w:r>
        <w:t xml:space="preserve">The sponsor submitted EU-RMP version 0.1 (14 February 2019; data lock point (DLP) 30 June 2018) and </w:t>
      </w:r>
      <w:r w:rsidR="00B67305">
        <w:t>Australia-specific annex (</w:t>
      </w:r>
      <w:r>
        <w:t>ASA</w:t>
      </w:r>
      <w:r w:rsidR="00B67305">
        <w:t>)</w:t>
      </w:r>
      <w:r>
        <w:t xml:space="preserve"> version 1.0 (28 June 2019) in support of this application. The sponsor has not submitted an </w:t>
      </w:r>
      <w:r w:rsidR="00B67305">
        <w:t>updated EU-RMP or ASA at the second round of evaluation</w:t>
      </w:r>
      <w:r>
        <w:t>. The sponsor has submitted EU-RMP version 1.0 (23 April 20</w:t>
      </w:r>
      <w:r w:rsidR="00B67305">
        <w:t xml:space="preserve">20; DLP </w:t>
      </w:r>
      <w:r w:rsidR="00B67305">
        <w:lastRenderedPageBreak/>
        <w:t>30 June 2018) at the third round of evaluation</w:t>
      </w:r>
      <w:r>
        <w:t>. The sponsor has submitted ASA versio</w:t>
      </w:r>
      <w:r w:rsidR="00B67305">
        <w:t>n 2.0 (10 June 2020) at the fourth round of evaluation.</w:t>
      </w:r>
    </w:p>
    <w:p w14:paraId="4F625C67" w14:textId="77777777" w:rsidR="007D53B6" w:rsidRDefault="007D53B6" w:rsidP="007D53B6">
      <w:r>
        <w:t>The summary of safety concerns and their associated risk monitoring and mitigation strat</w:t>
      </w:r>
      <w:r w:rsidR="005872F2">
        <w:t>egies are summarised in Table 3</w:t>
      </w:r>
      <w:r>
        <w:t>.</w:t>
      </w:r>
      <w:r>
        <w:rPr>
          <w:rStyle w:val="FootnoteReference"/>
        </w:rPr>
        <w:footnoteReference w:id="28"/>
      </w:r>
    </w:p>
    <w:p w14:paraId="0B7FBB1B" w14:textId="781E403E" w:rsidR="005872F2" w:rsidRDefault="005872F2" w:rsidP="005872F2">
      <w:pPr>
        <w:pStyle w:val="TableTitle"/>
      </w:pPr>
      <w:r>
        <w:t xml:space="preserve">Table </w:t>
      </w:r>
      <w:r w:rsidR="0082445D">
        <w:fldChar w:fldCharType="begin"/>
      </w:r>
      <w:r w:rsidR="0082445D">
        <w:instrText xml:space="preserve"> SEQ Table \* ARABIC </w:instrText>
      </w:r>
      <w:r w:rsidR="0082445D">
        <w:fldChar w:fldCharType="separate"/>
      </w:r>
      <w:r w:rsidR="005C13EA">
        <w:rPr>
          <w:noProof/>
        </w:rPr>
        <w:t>3</w:t>
      </w:r>
      <w:r w:rsidR="0082445D">
        <w:rPr>
          <w:noProof/>
        </w:rPr>
        <w:fldChar w:fldCharType="end"/>
      </w:r>
      <w:r>
        <w:t>: Summary of safety concerns</w:t>
      </w:r>
    </w:p>
    <w:tbl>
      <w:tblPr>
        <w:tblStyle w:val="TableGrid"/>
        <w:tblW w:w="5000" w:type="pct"/>
        <w:jc w:val="center"/>
        <w:tblBorders>
          <w:top w:val="single" w:sz="8" w:space="0" w:color="auto"/>
          <w:left w:val="single" w:sz="8" w:space="0" w:color="auto"/>
          <w:bottom w:val="single" w:sz="8" w:space="0" w:color="auto"/>
          <w:right w:val="single" w:sz="8" w:space="0" w:color="auto"/>
        </w:tblBorders>
        <w:tblCellMar>
          <w:left w:w="85" w:type="dxa"/>
          <w:right w:w="85" w:type="dxa"/>
        </w:tblCellMar>
        <w:tblLook w:val="04A0" w:firstRow="1" w:lastRow="0" w:firstColumn="1" w:lastColumn="0" w:noHBand="0" w:noVBand="1"/>
      </w:tblPr>
      <w:tblGrid>
        <w:gridCol w:w="1226"/>
        <w:gridCol w:w="3821"/>
        <w:gridCol w:w="898"/>
        <w:gridCol w:w="977"/>
        <w:gridCol w:w="776"/>
        <w:gridCol w:w="976"/>
      </w:tblGrid>
      <w:tr w:rsidR="00B67305" w:rsidRPr="00B67305" w14:paraId="63C6765C" w14:textId="77777777" w:rsidTr="003354A0">
        <w:trPr>
          <w:trHeight w:val="131"/>
          <w:jc w:val="center"/>
        </w:trPr>
        <w:tc>
          <w:tcPr>
            <w:tcW w:w="2909" w:type="pct"/>
            <w:gridSpan w:val="2"/>
            <w:vMerge w:val="restart"/>
            <w:tcBorders>
              <w:top w:val="single" w:sz="8" w:space="0" w:color="auto"/>
              <w:right w:val="single" w:sz="4" w:space="0" w:color="auto"/>
            </w:tcBorders>
            <w:shd w:val="clear" w:color="auto" w:fill="0070B5" w:themeFill="text2" w:themeFillTint="BF"/>
          </w:tcPr>
          <w:p w14:paraId="3E39AC90" w14:textId="77777777" w:rsidR="00B67305" w:rsidRPr="00B67305" w:rsidRDefault="00B67305" w:rsidP="003331CD">
            <w:pPr>
              <w:pStyle w:val="Tabletext"/>
              <w:rPr>
                <w:b/>
                <w:color w:val="FFFFFF" w:themeColor="background1"/>
              </w:rPr>
            </w:pPr>
            <w:r w:rsidRPr="00B67305">
              <w:rPr>
                <w:b/>
                <w:color w:val="FFFFFF" w:themeColor="background1"/>
                <w:sz w:val="22"/>
              </w:rPr>
              <w:t>Summary of safety concerns</w:t>
            </w:r>
          </w:p>
        </w:tc>
        <w:tc>
          <w:tcPr>
            <w:tcW w:w="1081" w:type="pct"/>
            <w:gridSpan w:val="2"/>
            <w:tcBorders>
              <w:top w:val="single" w:sz="8" w:space="0" w:color="auto"/>
              <w:left w:val="single" w:sz="4" w:space="0" w:color="auto"/>
              <w:bottom w:val="single" w:sz="4" w:space="0" w:color="auto"/>
            </w:tcBorders>
            <w:shd w:val="clear" w:color="auto" w:fill="0070B5" w:themeFill="text2" w:themeFillTint="BF"/>
          </w:tcPr>
          <w:p w14:paraId="459DDB2A" w14:textId="77777777" w:rsidR="00B67305" w:rsidRPr="00B67305" w:rsidRDefault="00B67305" w:rsidP="003331CD">
            <w:pPr>
              <w:pStyle w:val="Tabletext"/>
              <w:rPr>
                <w:b/>
                <w:color w:val="FFFFFF" w:themeColor="background1"/>
                <w:sz w:val="18"/>
              </w:rPr>
            </w:pPr>
            <w:r w:rsidRPr="00B67305">
              <w:rPr>
                <w:b/>
                <w:color w:val="FFFFFF" w:themeColor="background1"/>
                <w:sz w:val="18"/>
              </w:rPr>
              <w:t>Pharmacovigilance</w:t>
            </w:r>
          </w:p>
        </w:tc>
        <w:tc>
          <w:tcPr>
            <w:tcW w:w="1010" w:type="pct"/>
            <w:gridSpan w:val="2"/>
            <w:tcBorders>
              <w:top w:val="single" w:sz="8" w:space="0" w:color="auto"/>
              <w:left w:val="single" w:sz="4" w:space="0" w:color="auto"/>
              <w:bottom w:val="single" w:sz="4" w:space="0" w:color="auto"/>
            </w:tcBorders>
            <w:shd w:val="clear" w:color="auto" w:fill="0070B5" w:themeFill="text2" w:themeFillTint="BF"/>
          </w:tcPr>
          <w:p w14:paraId="53EDC5B4" w14:textId="20C13D01" w:rsidR="00B67305" w:rsidRPr="00B67305" w:rsidRDefault="003354A0" w:rsidP="003331CD">
            <w:pPr>
              <w:pStyle w:val="Tabletext"/>
              <w:rPr>
                <w:b/>
                <w:color w:val="FFFFFF" w:themeColor="background1"/>
                <w:sz w:val="18"/>
              </w:rPr>
            </w:pPr>
            <w:r>
              <w:rPr>
                <w:b/>
                <w:color w:val="FFFFFF" w:themeColor="background1"/>
                <w:sz w:val="18"/>
              </w:rPr>
              <w:t>Risk m</w:t>
            </w:r>
            <w:r w:rsidR="00B67305" w:rsidRPr="00B67305">
              <w:rPr>
                <w:b/>
                <w:color w:val="FFFFFF" w:themeColor="background1"/>
                <w:sz w:val="18"/>
              </w:rPr>
              <w:t>inimisation</w:t>
            </w:r>
          </w:p>
        </w:tc>
      </w:tr>
      <w:tr w:rsidR="00B67305" w:rsidRPr="00B67305" w14:paraId="0BE76764" w14:textId="77777777" w:rsidTr="003354A0">
        <w:trPr>
          <w:trHeight w:val="150"/>
          <w:jc w:val="center"/>
        </w:trPr>
        <w:tc>
          <w:tcPr>
            <w:tcW w:w="2909" w:type="pct"/>
            <w:gridSpan w:val="2"/>
            <w:vMerge/>
            <w:tcBorders>
              <w:bottom w:val="single" w:sz="8" w:space="0" w:color="auto"/>
              <w:right w:val="single" w:sz="4" w:space="0" w:color="auto"/>
            </w:tcBorders>
            <w:shd w:val="clear" w:color="auto" w:fill="0070B5" w:themeFill="text2" w:themeFillTint="BF"/>
          </w:tcPr>
          <w:p w14:paraId="4FB79DCF" w14:textId="77777777" w:rsidR="00B67305" w:rsidRPr="00B67305" w:rsidRDefault="00B67305" w:rsidP="003331CD">
            <w:pPr>
              <w:pStyle w:val="Tabletext"/>
              <w:rPr>
                <w:b/>
                <w:color w:val="FFFFFF" w:themeColor="background1"/>
              </w:rPr>
            </w:pPr>
          </w:p>
        </w:tc>
        <w:tc>
          <w:tcPr>
            <w:tcW w:w="518" w:type="pct"/>
            <w:tcBorders>
              <w:top w:val="single" w:sz="4" w:space="0" w:color="auto"/>
              <w:left w:val="single" w:sz="4" w:space="0" w:color="auto"/>
              <w:bottom w:val="single" w:sz="8" w:space="0" w:color="auto"/>
              <w:right w:val="dotted" w:sz="2" w:space="0" w:color="auto"/>
            </w:tcBorders>
            <w:shd w:val="clear" w:color="auto" w:fill="0070B5" w:themeFill="text2" w:themeFillTint="BF"/>
          </w:tcPr>
          <w:p w14:paraId="522DE7BD" w14:textId="77777777" w:rsidR="00B67305" w:rsidRPr="00B67305" w:rsidRDefault="00B67305" w:rsidP="003331CD">
            <w:pPr>
              <w:pStyle w:val="Tabletext"/>
              <w:rPr>
                <w:color w:val="FFFFFF" w:themeColor="background1"/>
                <w:sz w:val="18"/>
              </w:rPr>
            </w:pPr>
            <w:r w:rsidRPr="00B67305">
              <w:rPr>
                <w:color w:val="FFFFFF" w:themeColor="background1"/>
                <w:sz w:val="18"/>
              </w:rPr>
              <w:t>Routine</w:t>
            </w:r>
          </w:p>
        </w:tc>
        <w:tc>
          <w:tcPr>
            <w:tcW w:w="563" w:type="pct"/>
            <w:tcBorders>
              <w:top w:val="single" w:sz="4" w:space="0" w:color="auto"/>
              <w:left w:val="dotted" w:sz="2" w:space="0" w:color="auto"/>
              <w:bottom w:val="single" w:sz="8" w:space="0" w:color="auto"/>
            </w:tcBorders>
            <w:shd w:val="clear" w:color="auto" w:fill="0070B5" w:themeFill="text2" w:themeFillTint="BF"/>
          </w:tcPr>
          <w:p w14:paraId="462019D2" w14:textId="77777777" w:rsidR="00B67305" w:rsidRPr="00B67305" w:rsidRDefault="00B67305" w:rsidP="003331CD">
            <w:pPr>
              <w:pStyle w:val="Tabletext"/>
              <w:rPr>
                <w:color w:val="FFFFFF" w:themeColor="background1"/>
                <w:sz w:val="18"/>
              </w:rPr>
            </w:pPr>
            <w:r w:rsidRPr="00B67305">
              <w:rPr>
                <w:color w:val="FFFFFF" w:themeColor="background1"/>
                <w:sz w:val="18"/>
              </w:rPr>
              <w:t>Additional</w:t>
            </w:r>
          </w:p>
        </w:tc>
        <w:tc>
          <w:tcPr>
            <w:tcW w:w="447" w:type="pct"/>
            <w:tcBorders>
              <w:top w:val="single" w:sz="4" w:space="0" w:color="auto"/>
              <w:left w:val="single" w:sz="4" w:space="0" w:color="auto"/>
              <w:bottom w:val="single" w:sz="8" w:space="0" w:color="auto"/>
              <w:right w:val="dotted" w:sz="2" w:space="0" w:color="auto"/>
            </w:tcBorders>
            <w:shd w:val="clear" w:color="auto" w:fill="0070B5" w:themeFill="text2" w:themeFillTint="BF"/>
          </w:tcPr>
          <w:p w14:paraId="588B7729" w14:textId="77777777" w:rsidR="00B67305" w:rsidRPr="00B67305" w:rsidRDefault="00B67305" w:rsidP="003331CD">
            <w:pPr>
              <w:pStyle w:val="Tabletext"/>
              <w:rPr>
                <w:color w:val="FFFFFF" w:themeColor="background1"/>
                <w:sz w:val="18"/>
              </w:rPr>
            </w:pPr>
            <w:r w:rsidRPr="00B67305">
              <w:rPr>
                <w:color w:val="FFFFFF" w:themeColor="background1"/>
                <w:sz w:val="18"/>
              </w:rPr>
              <w:t>Routine</w:t>
            </w:r>
          </w:p>
        </w:tc>
        <w:tc>
          <w:tcPr>
            <w:tcW w:w="563" w:type="pct"/>
            <w:tcBorders>
              <w:top w:val="single" w:sz="4" w:space="0" w:color="auto"/>
              <w:left w:val="dotted" w:sz="2" w:space="0" w:color="auto"/>
              <w:bottom w:val="single" w:sz="8" w:space="0" w:color="auto"/>
            </w:tcBorders>
            <w:shd w:val="clear" w:color="auto" w:fill="0070B5" w:themeFill="text2" w:themeFillTint="BF"/>
          </w:tcPr>
          <w:p w14:paraId="796752FB" w14:textId="77777777" w:rsidR="00B67305" w:rsidRPr="00B67305" w:rsidRDefault="00B67305" w:rsidP="003331CD">
            <w:pPr>
              <w:pStyle w:val="Tabletext"/>
              <w:rPr>
                <w:color w:val="FFFFFF" w:themeColor="background1"/>
                <w:sz w:val="18"/>
              </w:rPr>
            </w:pPr>
            <w:r w:rsidRPr="00B67305">
              <w:rPr>
                <w:color w:val="FFFFFF" w:themeColor="background1"/>
                <w:sz w:val="18"/>
              </w:rPr>
              <w:t>Additional</w:t>
            </w:r>
          </w:p>
        </w:tc>
      </w:tr>
      <w:tr w:rsidR="00B67305" w:rsidRPr="004F1C07" w14:paraId="4467F5AE" w14:textId="77777777" w:rsidTr="003354A0">
        <w:trPr>
          <w:trHeight w:val="137"/>
          <w:jc w:val="center"/>
        </w:trPr>
        <w:tc>
          <w:tcPr>
            <w:tcW w:w="707" w:type="pct"/>
            <w:tcBorders>
              <w:top w:val="single" w:sz="8" w:space="0" w:color="auto"/>
            </w:tcBorders>
          </w:tcPr>
          <w:p w14:paraId="477612B6" w14:textId="77777777" w:rsidR="00B67305" w:rsidRPr="00680101" w:rsidRDefault="00B67305" w:rsidP="003331CD">
            <w:pPr>
              <w:pStyle w:val="Tabletext"/>
              <w:rPr>
                <w:b/>
              </w:rPr>
            </w:pPr>
            <w:r w:rsidRPr="00680101">
              <w:rPr>
                <w:b/>
              </w:rPr>
              <w:t>Important identified risks</w:t>
            </w:r>
          </w:p>
        </w:tc>
        <w:tc>
          <w:tcPr>
            <w:tcW w:w="2203" w:type="pct"/>
            <w:tcBorders>
              <w:top w:val="single" w:sz="8" w:space="0" w:color="auto"/>
              <w:bottom w:val="dotted" w:sz="2" w:space="0" w:color="auto"/>
              <w:right w:val="single" w:sz="4" w:space="0" w:color="auto"/>
            </w:tcBorders>
          </w:tcPr>
          <w:p w14:paraId="17B8B07A" w14:textId="77777777" w:rsidR="00B67305" w:rsidRPr="00F83ACE" w:rsidRDefault="00B67305" w:rsidP="003331CD">
            <w:pPr>
              <w:pStyle w:val="Tabletext"/>
              <w:rPr>
                <w:sz w:val="20"/>
              </w:rPr>
            </w:pPr>
            <w:r w:rsidRPr="00F83ACE">
              <w:rPr>
                <w:sz w:val="20"/>
              </w:rPr>
              <w:t>(none)</w:t>
            </w:r>
          </w:p>
        </w:tc>
        <w:tc>
          <w:tcPr>
            <w:tcW w:w="518" w:type="pct"/>
            <w:tcBorders>
              <w:top w:val="single" w:sz="8" w:space="0" w:color="auto"/>
              <w:left w:val="single" w:sz="4" w:space="0" w:color="auto"/>
              <w:bottom w:val="dotted" w:sz="2" w:space="0" w:color="auto"/>
              <w:right w:val="dotted" w:sz="2" w:space="0" w:color="auto"/>
            </w:tcBorders>
            <w:vAlign w:val="center"/>
          </w:tcPr>
          <w:p w14:paraId="2357026D" w14:textId="77777777" w:rsidR="00B67305" w:rsidRPr="00B45B60" w:rsidRDefault="00B67305" w:rsidP="003331CD">
            <w:pPr>
              <w:pStyle w:val="Tabletext"/>
              <w:jc w:val="center"/>
            </w:pPr>
            <w:r w:rsidRPr="00B45B60">
              <w:t>–</w:t>
            </w:r>
          </w:p>
        </w:tc>
        <w:tc>
          <w:tcPr>
            <w:tcW w:w="563" w:type="pct"/>
            <w:tcBorders>
              <w:top w:val="single" w:sz="8" w:space="0" w:color="auto"/>
              <w:left w:val="dotted" w:sz="2" w:space="0" w:color="auto"/>
              <w:bottom w:val="dotted" w:sz="2" w:space="0" w:color="auto"/>
            </w:tcBorders>
            <w:vAlign w:val="center"/>
          </w:tcPr>
          <w:p w14:paraId="5C04DBB9" w14:textId="77777777" w:rsidR="00B67305" w:rsidRPr="00B45B60" w:rsidRDefault="00B67305" w:rsidP="003331CD">
            <w:pPr>
              <w:pStyle w:val="Tabletext"/>
              <w:jc w:val="center"/>
            </w:pPr>
            <w:r w:rsidRPr="00B45B60">
              <w:t>–</w:t>
            </w:r>
          </w:p>
        </w:tc>
        <w:tc>
          <w:tcPr>
            <w:tcW w:w="447" w:type="pct"/>
            <w:tcBorders>
              <w:top w:val="single" w:sz="8" w:space="0" w:color="auto"/>
              <w:left w:val="single" w:sz="4" w:space="0" w:color="auto"/>
              <w:bottom w:val="dotted" w:sz="2" w:space="0" w:color="auto"/>
              <w:right w:val="dotted" w:sz="2" w:space="0" w:color="auto"/>
            </w:tcBorders>
            <w:vAlign w:val="center"/>
          </w:tcPr>
          <w:p w14:paraId="416E3707" w14:textId="77777777" w:rsidR="00B67305" w:rsidRPr="00C81498" w:rsidRDefault="00B67305" w:rsidP="003331CD">
            <w:pPr>
              <w:pStyle w:val="Tabletext"/>
              <w:jc w:val="center"/>
            </w:pPr>
            <w:r w:rsidRPr="00C81498">
              <w:t>–</w:t>
            </w:r>
          </w:p>
        </w:tc>
        <w:tc>
          <w:tcPr>
            <w:tcW w:w="563" w:type="pct"/>
            <w:tcBorders>
              <w:top w:val="single" w:sz="8" w:space="0" w:color="auto"/>
              <w:left w:val="dotted" w:sz="2" w:space="0" w:color="auto"/>
              <w:bottom w:val="dotted" w:sz="2" w:space="0" w:color="auto"/>
            </w:tcBorders>
            <w:vAlign w:val="center"/>
          </w:tcPr>
          <w:p w14:paraId="3C41D3D2" w14:textId="77777777" w:rsidR="00B67305" w:rsidRPr="00C81498" w:rsidRDefault="00B67305" w:rsidP="003331CD">
            <w:pPr>
              <w:pStyle w:val="Tabletext"/>
              <w:jc w:val="center"/>
            </w:pPr>
            <w:r w:rsidRPr="00C81498">
              <w:t>–</w:t>
            </w:r>
          </w:p>
        </w:tc>
      </w:tr>
      <w:tr w:rsidR="00B67305" w:rsidRPr="004F1C07" w14:paraId="2778B616" w14:textId="77777777" w:rsidTr="003354A0">
        <w:trPr>
          <w:trHeight w:val="159"/>
          <w:jc w:val="center"/>
        </w:trPr>
        <w:tc>
          <w:tcPr>
            <w:tcW w:w="707" w:type="pct"/>
            <w:vMerge w:val="restart"/>
          </w:tcPr>
          <w:p w14:paraId="6348FE9B" w14:textId="77777777" w:rsidR="00B67305" w:rsidRPr="00680101" w:rsidRDefault="00B67305" w:rsidP="003331CD">
            <w:pPr>
              <w:pStyle w:val="Tabletext"/>
              <w:rPr>
                <w:b/>
              </w:rPr>
            </w:pPr>
            <w:r w:rsidRPr="00680101">
              <w:rPr>
                <w:b/>
              </w:rPr>
              <w:t>Important potential risks</w:t>
            </w:r>
          </w:p>
        </w:tc>
        <w:tc>
          <w:tcPr>
            <w:tcW w:w="2203" w:type="pct"/>
            <w:tcBorders>
              <w:bottom w:val="dotted" w:sz="2" w:space="0" w:color="auto"/>
              <w:right w:val="single" w:sz="4" w:space="0" w:color="auto"/>
            </w:tcBorders>
          </w:tcPr>
          <w:p w14:paraId="025C7DD1" w14:textId="77777777" w:rsidR="00B67305" w:rsidRPr="00F83ACE" w:rsidRDefault="00B67305" w:rsidP="003331CD">
            <w:pPr>
              <w:pStyle w:val="Tabletext"/>
              <w:rPr>
                <w:sz w:val="20"/>
              </w:rPr>
            </w:pPr>
            <w:r w:rsidRPr="00F83ACE">
              <w:rPr>
                <w:sz w:val="20"/>
              </w:rPr>
              <w:t xml:space="preserve">Symptomatic bradycardia </w:t>
            </w:r>
          </w:p>
        </w:tc>
        <w:tc>
          <w:tcPr>
            <w:tcW w:w="518" w:type="pct"/>
            <w:tcBorders>
              <w:left w:val="single" w:sz="4" w:space="0" w:color="auto"/>
              <w:bottom w:val="dotted" w:sz="2" w:space="0" w:color="auto"/>
              <w:right w:val="dotted" w:sz="2" w:space="0" w:color="auto"/>
            </w:tcBorders>
            <w:vAlign w:val="center"/>
          </w:tcPr>
          <w:p w14:paraId="315377EB" w14:textId="77777777" w:rsidR="00B67305" w:rsidRPr="00C81498" w:rsidRDefault="00B67305" w:rsidP="003331CD">
            <w:pPr>
              <w:pStyle w:val="Tabletext"/>
              <w:jc w:val="center"/>
            </w:pPr>
            <w:r w:rsidRPr="00C81498">
              <w:sym w:font="Wingdings" w:char="F0FC"/>
            </w:r>
            <w:r>
              <w:rPr>
                <w:rFonts w:asciiTheme="majorHAnsi" w:hAnsiTheme="majorHAnsi"/>
                <w:color w:val="FF0000"/>
                <w:szCs w:val="20"/>
              </w:rPr>
              <w:t xml:space="preserve"> </w:t>
            </w:r>
            <w:r w:rsidRPr="00F6431C">
              <w:rPr>
                <w:rFonts w:asciiTheme="majorHAnsi" w:hAnsiTheme="majorHAnsi"/>
                <w:szCs w:val="20"/>
                <w:vertAlign w:val="superscript"/>
              </w:rPr>
              <w:t>Ω</w:t>
            </w:r>
          </w:p>
        </w:tc>
        <w:tc>
          <w:tcPr>
            <w:tcW w:w="563" w:type="pct"/>
            <w:tcBorders>
              <w:left w:val="dotted" w:sz="2" w:space="0" w:color="auto"/>
              <w:bottom w:val="dotted" w:sz="2" w:space="0" w:color="auto"/>
            </w:tcBorders>
            <w:vAlign w:val="center"/>
          </w:tcPr>
          <w:p w14:paraId="6A2C46AA" w14:textId="77777777" w:rsidR="00B67305" w:rsidRPr="00C81498" w:rsidRDefault="00B67305" w:rsidP="003331CD">
            <w:pPr>
              <w:pStyle w:val="Tabletext"/>
              <w:jc w:val="center"/>
            </w:pPr>
            <w:r w:rsidRPr="00C81498">
              <w:sym w:font="Wingdings" w:char="F0FC"/>
            </w:r>
            <w:r w:rsidRPr="00C81498">
              <w:t>*</w:t>
            </w:r>
          </w:p>
        </w:tc>
        <w:tc>
          <w:tcPr>
            <w:tcW w:w="447" w:type="pct"/>
            <w:tcBorders>
              <w:left w:val="single" w:sz="4" w:space="0" w:color="auto"/>
              <w:bottom w:val="dotted" w:sz="2" w:space="0" w:color="auto"/>
              <w:right w:val="dotted" w:sz="2" w:space="0" w:color="auto"/>
            </w:tcBorders>
            <w:vAlign w:val="center"/>
          </w:tcPr>
          <w:p w14:paraId="3F9FE5DD" w14:textId="77777777" w:rsidR="00B67305" w:rsidRPr="00C81498" w:rsidRDefault="00B67305" w:rsidP="003331CD">
            <w:pPr>
              <w:pStyle w:val="Tabletext"/>
              <w:jc w:val="center"/>
            </w:pPr>
            <w:r w:rsidRPr="00C81498">
              <w:sym w:font="Wingdings" w:char="F0FC"/>
            </w:r>
          </w:p>
        </w:tc>
        <w:tc>
          <w:tcPr>
            <w:tcW w:w="563" w:type="pct"/>
            <w:tcBorders>
              <w:left w:val="dotted" w:sz="2" w:space="0" w:color="auto"/>
              <w:bottom w:val="dotted" w:sz="2" w:space="0" w:color="auto"/>
            </w:tcBorders>
            <w:vAlign w:val="center"/>
          </w:tcPr>
          <w:p w14:paraId="74421DA8" w14:textId="77777777" w:rsidR="00B67305" w:rsidRPr="00C81498" w:rsidRDefault="00B67305" w:rsidP="003331CD">
            <w:pPr>
              <w:pStyle w:val="Tabletext"/>
              <w:jc w:val="center"/>
            </w:pPr>
            <w:r w:rsidRPr="00C158C1">
              <w:sym w:font="Wingdings" w:char="F0FC"/>
            </w:r>
            <w:r w:rsidRPr="00C158C1">
              <w:rPr>
                <w:rFonts w:asciiTheme="majorHAnsi" w:hAnsiTheme="majorHAnsi"/>
                <w:szCs w:val="20"/>
                <w:vertAlign w:val="superscript"/>
              </w:rPr>
              <w:t>¶</w:t>
            </w:r>
          </w:p>
        </w:tc>
      </w:tr>
      <w:tr w:rsidR="00B67305" w:rsidRPr="004F1C07" w14:paraId="76090AA2" w14:textId="77777777" w:rsidTr="003354A0">
        <w:trPr>
          <w:trHeight w:val="122"/>
          <w:jc w:val="center"/>
        </w:trPr>
        <w:tc>
          <w:tcPr>
            <w:tcW w:w="707" w:type="pct"/>
            <w:vMerge/>
          </w:tcPr>
          <w:p w14:paraId="5CEE2DCD" w14:textId="77777777" w:rsidR="00B67305" w:rsidRPr="00680101" w:rsidRDefault="00B67305" w:rsidP="003331CD">
            <w:pPr>
              <w:pStyle w:val="Tabletext"/>
              <w:rPr>
                <w:b/>
              </w:rPr>
            </w:pPr>
          </w:p>
        </w:tc>
        <w:tc>
          <w:tcPr>
            <w:tcW w:w="2203" w:type="pct"/>
            <w:tcBorders>
              <w:top w:val="dotted" w:sz="2" w:space="0" w:color="auto"/>
              <w:bottom w:val="dotted" w:sz="2" w:space="0" w:color="auto"/>
              <w:right w:val="single" w:sz="4" w:space="0" w:color="auto"/>
            </w:tcBorders>
          </w:tcPr>
          <w:p w14:paraId="385FFA13" w14:textId="77777777" w:rsidR="00B67305" w:rsidRPr="00F83ACE" w:rsidRDefault="00B67305" w:rsidP="003331CD">
            <w:pPr>
              <w:pStyle w:val="Tabletext"/>
              <w:rPr>
                <w:sz w:val="20"/>
              </w:rPr>
            </w:pPr>
            <w:r w:rsidRPr="00F83ACE">
              <w:rPr>
                <w:sz w:val="20"/>
              </w:rPr>
              <w:t>Severe liver injury</w:t>
            </w:r>
          </w:p>
        </w:tc>
        <w:tc>
          <w:tcPr>
            <w:tcW w:w="518" w:type="pct"/>
            <w:tcBorders>
              <w:top w:val="dotted" w:sz="2" w:space="0" w:color="auto"/>
              <w:left w:val="single" w:sz="4" w:space="0" w:color="auto"/>
              <w:bottom w:val="dotted" w:sz="2" w:space="0" w:color="auto"/>
              <w:right w:val="dotted" w:sz="2" w:space="0" w:color="auto"/>
            </w:tcBorders>
            <w:vAlign w:val="center"/>
          </w:tcPr>
          <w:p w14:paraId="55097442" w14:textId="77777777" w:rsidR="00B67305" w:rsidRPr="00C81498" w:rsidRDefault="00B67305" w:rsidP="003331CD">
            <w:pPr>
              <w:pStyle w:val="Tabletext"/>
              <w:jc w:val="center"/>
            </w:pPr>
            <w:r w:rsidRPr="00C81498">
              <w:sym w:font="Wingdings" w:char="F0FC"/>
            </w:r>
            <w:r>
              <w:rPr>
                <w:rFonts w:asciiTheme="majorHAnsi" w:hAnsiTheme="majorHAnsi"/>
                <w:color w:val="FF0000"/>
                <w:szCs w:val="20"/>
              </w:rPr>
              <w:t xml:space="preserve"> </w:t>
            </w:r>
            <w:r w:rsidRPr="00F6431C">
              <w:rPr>
                <w:rFonts w:asciiTheme="majorHAnsi" w:hAnsiTheme="majorHAnsi"/>
                <w:szCs w:val="20"/>
                <w:vertAlign w:val="superscript"/>
              </w:rPr>
              <w:t>Ω</w:t>
            </w:r>
          </w:p>
        </w:tc>
        <w:tc>
          <w:tcPr>
            <w:tcW w:w="563" w:type="pct"/>
            <w:tcBorders>
              <w:top w:val="dotted" w:sz="2" w:space="0" w:color="auto"/>
              <w:left w:val="dotted" w:sz="2" w:space="0" w:color="auto"/>
              <w:bottom w:val="dotted" w:sz="2" w:space="0" w:color="auto"/>
            </w:tcBorders>
            <w:vAlign w:val="center"/>
          </w:tcPr>
          <w:p w14:paraId="66BDDB25"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top w:val="dotted" w:sz="2" w:space="0" w:color="auto"/>
              <w:left w:val="single" w:sz="4" w:space="0" w:color="auto"/>
              <w:bottom w:val="dotted" w:sz="2" w:space="0" w:color="auto"/>
              <w:right w:val="dotted" w:sz="2" w:space="0" w:color="auto"/>
            </w:tcBorders>
            <w:vAlign w:val="center"/>
          </w:tcPr>
          <w:p w14:paraId="1C8D0C1C" w14:textId="77777777" w:rsidR="00B67305" w:rsidRPr="00C81498" w:rsidRDefault="00B67305" w:rsidP="003331CD">
            <w:pPr>
              <w:pStyle w:val="Tabletext"/>
              <w:jc w:val="center"/>
            </w:pPr>
            <w:r w:rsidRPr="00C81498">
              <w:sym w:font="Wingdings" w:char="F0FC"/>
            </w:r>
          </w:p>
        </w:tc>
        <w:tc>
          <w:tcPr>
            <w:tcW w:w="563" w:type="pct"/>
            <w:tcBorders>
              <w:top w:val="dotted" w:sz="2" w:space="0" w:color="auto"/>
              <w:left w:val="dotted" w:sz="2" w:space="0" w:color="auto"/>
              <w:bottom w:val="dotted" w:sz="2" w:space="0" w:color="auto"/>
            </w:tcBorders>
            <w:vAlign w:val="center"/>
          </w:tcPr>
          <w:p w14:paraId="6A1656B3" w14:textId="77777777" w:rsidR="00B67305" w:rsidRPr="00C81498" w:rsidRDefault="00B67305" w:rsidP="003331CD">
            <w:pPr>
              <w:pStyle w:val="Tabletext"/>
              <w:jc w:val="center"/>
            </w:pPr>
            <w:r w:rsidRPr="00C158C1">
              <w:sym w:font="Wingdings" w:char="F0FC"/>
            </w:r>
            <w:r w:rsidRPr="00C158C1">
              <w:rPr>
                <w:rFonts w:asciiTheme="majorHAnsi" w:hAnsiTheme="majorHAnsi"/>
                <w:szCs w:val="20"/>
                <w:vertAlign w:val="superscript"/>
              </w:rPr>
              <w:t>¶</w:t>
            </w:r>
          </w:p>
        </w:tc>
      </w:tr>
      <w:tr w:rsidR="00B67305" w:rsidRPr="004F1C07" w14:paraId="28E8E0D4" w14:textId="77777777" w:rsidTr="003354A0">
        <w:trPr>
          <w:trHeight w:val="122"/>
          <w:jc w:val="center"/>
        </w:trPr>
        <w:tc>
          <w:tcPr>
            <w:tcW w:w="707" w:type="pct"/>
            <w:vMerge/>
          </w:tcPr>
          <w:p w14:paraId="53E9E17C" w14:textId="77777777" w:rsidR="00B67305" w:rsidRPr="00680101" w:rsidRDefault="00B67305" w:rsidP="003331CD">
            <w:pPr>
              <w:pStyle w:val="Tabletext"/>
              <w:rPr>
                <w:b/>
              </w:rPr>
            </w:pPr>
          </w:p>
        </w:tc>
        <w:tc>
          <w:tcPr>
            <w:tcW w:w="2203" w:type="pct"/>
            <w:tcBorders>
              <w:top w:val="dotted" w:sz="2" w:space="0" w:color="auto"/>
              <w:bottom w:val="dotted" w:sz="2" w:space="0" w:color="auto"/>
              <w:right w:val="single" w:sz="4" w:space="0" w:color="auto"/>
            </w:tcBorders>
          </w:tcPr>
          <w:p w14:paraId="4E7C3CF8" w14:textId="77777777" w:rsidR="00B67305" w:rsidRPr="00F83ACE" w:rsidRDefault="00B67305" w:rsidP="003331CD">
            <w:pPr>
              <w:pStyle w:val="Tabletext"/>
              <w:rPr>
                <w:sz w:val="20"/>
              </w:rPr>
            </w:pPr>
            <w:r w:rsidRPr="00F83ACE">
              <w:rPr>
                <w:sz w:val="20"/>
              </w:rPr>
              <w:t>Serious opportunistic infections including Progressive multifocal leukoencephalopathy (PML)</w:t>
            </w:r>
            <w:r w:rsidRPr="00F83ACE">
              <w:rPr>
                <w:rFonts w:asciiTheme="majorHAnsi" w:hAnsiTheme="majorHAnsi"/>
                <w:sz w:val="20"/>
                <w:szCs w:val="20"/>
                <w:vertAlign w:val="superscript"/>
              </w:rPr>
              <w:t xml:space="preserve"> § </w:t>
            </w:r>
          </w:p>
        </w:tc>
        <w:tc>
          <w:tcPr>
            <w:tcW w:w="518" w:type="pct"/>
            <w:tcBorders>
              <w:top w:val="dotted" w:sz="2" w:space="0" w:color="auto"/>
              <w:left w:val="single" w:sz="4" w:space="0" w:color="auto"/>
              <w:bottom w:val="dotted" w:sz="2" w:space="0" w:color="auto"/>
              <w:right w:val="dotted" w:sz="2" w:space="0" w:color="auto"/>
            </w:tcBorders>
            <w:vAlign w:val="center"/>
          </w:tcPr>
          <w:p w14:paraId="0F3BD7A7" w14:textId="77777777" w:rsidR="00B67305" w:rsidRPr="00C81498" w:rsidRDefault="00B67305" w:rsidP="003331CD">
            <w:pPr>
              <w:pStyle w:val="Tabletext"/>
              <w:jc w:val="center"/>
            </w:pPr>
            <w:r w:rsidRPr="00C81498">
              <w:sym w:font="Wingdings" w:char="F0FC"/>
            </w:r>
            <w:r w:rsidRPr="00C81498">
              <w:rPr>
                <w:rFonts w:asciiTheme="majorHAnsi" w:hAnsiTheme="majorHAnsi"/>
                <w:szCs w:val="20"/>
                <w:vertAlign w:val="superscript"/>
              </w:rPr>
              <w:t>‡</w:t>
            </w:r>
            <w:r>
              <w:rPr>
                <w:rFonts w:asciiTheme="majorHAnsi" w:hAnsiTheme="majorHAnsi"/>
                <w:color w:val="FF0000"/>
                <w:szCs w:val="20"/>
              </w:rPr>
              <w:t xml:space="preserve"> </w:t>
            </w:r>
            <w:r w:rsidRPr="00F6431C">
              <w:rPr>
                <w:rFonts w:asciiTheme="majorHAnsi" w:hAnsiTheme="majorHAnsi"/>
                <w:szCs w:val="20"/>
                <w:vertAlign w:val="superscript"/>
              </w:rPr>
              <w:t>Ω</w:t>
            </w:r>
          </w:p>
        </w:tc>
        <w:tc>
          <w:tcPr>
            <w:tcW w:w="563" w:type="pct"/>
            <w:tcBorders>
              <w:top w:val="dotted" w:sz="2" w:space="0" w:color="auto"/>
              <w:left w:val="dotted" w:sz="2" w:space="0" w:color="auto"/>
              <w:bottom w:val="dotted" w:sz="2" w:space="0" w:color="auto"/>
            </w:tcBorders>
            <w:vAlign w:val="center"/>
          </w:tcPr>
          <w:p w14:paraId="05CCE82E"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top w:val="dotted" w:sz="2" w:space="0" w:color="auto"/>
              <w:left w:val="single" w:sz="4" w:space="0" w:color="auto"/>
              <w:bottom w:val="dotted" w:sz="2" w:space="0" w:color="auto"/>
              <w:right w:val="dotted" w:sz="2" w:space="0" w:color="auto"/>
            </w:tcBorders>
            <w:vAlign w:val="center"/>
          </w:tcPr>
          <w:p w14:paraId="20F3DD44" w14:textId="77777777" w:rsidR="00B67305" w:rsidRPr="00C81498" w:rsidRDefault="00B67305" w:rsidP="003331CD">
            <w:pPr>
              <w:pStyle w:val="Tabletext"/>
              <w:jc w:val="center"/>
            </w:pPr>
            <w:r w:rsidRPr="00C81498">
              <w:sym w:font="Wingdings" w:char="F0FC"/>
            </w:r>
          </w:p>
        </w:tc>
        <w:tc>
          <w:tcPr>
            <w:tcW w:w="563" w:type="pct"/>
            <w:tcBorders>
              <w:top w:val="dotted" w:sz="2" w:space="0" w:color="auto"/>
              <w:left w:val="dotted" w:sz="2" w:space="0" w:color="auto"/>
              <w:bottom w:val="dotted" w:sz="2" w:space="0" w:color="auto"/>
            </w:tcBorders>
            <w:vAlign w:val="center"/>
          </w:tcPr>
          <w:p w14:paraId="467C4827" w14:textId="77777777" w:rsidR="00B67305" w:rsidRPr="00C81498" w:rsidRDefault="00B67305" w:rsidP="003331CD">
            <w:pPr>
              <w:pStyle w:val="Tabletext"/>
              <w:jc w:val="center"/>
            </w:pPr>
            <w:r w:rsidRPr="00C158C1">
              <w:sym w:font="Wingdings" w:char="F0FC"/>
            </w:r>
            <w:r w:rsidRPr="00C158C1">
              <w:rPr>
                <w:rFonts w:asciiTheme="majorHAnsi" w:hAnsiTheme="majorHAnsi"/>
                <w:szCs w:val="20"/>
                <w:vertAlign w:val="superscript"/>
              </w:rPr>
              <w:t>¶</w:t>
            </w:r>
          </w:p>
        </w:tc>
      </w:tr>
      <w:tr w:rsidR="00B67305" w:rsidRPr="004F1C07" w14:paraId="139C4AB9" w14:textId="77777777" w:rsidTr="003354A0">
        <w:trPr>
          <w:trHeight w:val="122"/>
          <w:jc w:val="center"/>
        </w:trPr>
        <w:tc>
          <w:tcPr>
            <w:tcW w:w="707" w:type="pct"/>
            <w:vMerge/>
          </w:tcPr>
          <w:p w14:paraId="0905E4A2" w14:textId="77777777" w:rsidR="00B67305" w:rsidRPr="00680101" w:rsidRDefault="00B67305" w:rsidP="003331CD">
            <w:pPr>
              <w:pStyle w:val="Tabletext"/>
              <w:rPr>
                <w:b/>
              </w:rPr>
            </w:pPr>
          </w:p>
        </w:tc>
        <w:tc>
          <w:tcPr>
            <w:tcW w:w="2203" w:type="pct"/>
            <w:tcBorders>
              <w:top w:val="dotted" w:sz="2" w:space="0" w:color="auto"/>
              <w:bottom w:val="dotted" w:sz="2" w:space="0" w:color="auto"/>
              <w:right w:val="single" w:sz="4" w:space="0" w:color="auto"/>
            </w:tcBorders>
          </w:tcPr>
          <w:p w14:paraId="4220D67F" w14:textId="77777777" w:rsidR="00B67305" w:rsidRPr="00F83ACE" w:rsidRDefault="00B67305" w:rsidP="003331CD">
            <w:pPr>
              <w:pStyle w:val="Tabletext"/>
              <w:rPr>
                <w:sz w:val="20"/>
              </w:rPr>
            </w:pPr>
            <w:r w:rsidRPr="00F83ACE">
              <w:rPr>
                <w:sz w:val="20"/>
              </w:rPr>
              <w:t xml:space="preserve">Macular oedema </w:t>
            </w:r>
          </w:p>
        </w:tc>
        <w:tc>
          <w:tcPr>
            <w:tcW w:w="518" w:type="pct"/>
            <w:tcBorders>
              <w:top w:val="dotted" w:sz="2" w:space="0" w:color="auto"/>
              <w:left w:val="single" w:sz="4" w:space="0" w:color="auto"/>
              <w:bottom w:val="dotted" w:sz="2" w:space="0" w:color="auto"/>
              <w:right w:val="dotted" w:sz="2" w:space="0" w:color="auto"/>
            </w:tcBorders>
            <w:vAlign w:val="center"/>
          </w:tcPr>
          <w:p w14:paraId="00D19018" w14:textId="77777777" w:rsidR="00B67305" w:rsidRPr="00C81498" w:rsidRDefault="00B67305" w:rsidP="003331CD">
            <w:pPr>
              <w:pStyle w:val="Tabletext"/>
              <w:jc w:val="center"/>
            </w:pPr>
            <w:r w:rsidRPr="00C81498">
              <w:sym w:font="Wingdings" w:char="F0FC"/>
            </w:r>
            <w:r>
              <w:rPr>
                <w:rFonts w:asciiTheme="majorHAnsi" w:hAnsiTheme="majorHAnsi"/>
                <w:color w:val="FF0000"/>
                <w:szCs w:val="20"/>
              </w:rPr>
              <w:t xml:space="preserve"> </w:t>
            </w:r>
            <w:r w:rsidRPr="00F6431C">
              <w:rPr>
                <w:rFonts w:asciiTheme="majorHAnsi" w:hAnsiTheme="majorHAnsi"/>
                <w:szCs w:val="20"/>
                <w:vertAlign w:val="superscript"/>
              </w:rPr>
              <w:t>Ω</w:t>
            </w:r>
          </w:p>
        </w:tc>
        <w:tc>
          <w:tcPr>
            <w:tcW w:w="563" w:type="pct"/>
            <w:tcBorders>
              <w:top w:val="dotted" w:sz="2" w:space="0" w:color="auto"/>
              <w:left w:val="dotted" w:sz="2" w:space="0" w:color="auto"/>
              <w:bottom w:val="dotted" w:sz="2" w:space="0" w:color="auto"/>
            </w:tcBorders>
            <w:vAlign w:val="center"/>
          </w:tcPr>
          <w:p w14:paraId="0291A6EA"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top w:val="dotted" w:sz="2" w:space="0" w:color="auto"/>
              <w:left w:val="single" w:sz="4" w:space="0" w:color="auto"/>
              <w:bottom w:val="dotted" w:sz="2" w:space="0" w:color="auto"/>
              <w:right w:val="dotted" w:sz="2" w:space="0" w:color="auto"/>
            </w:tcBorders>
            <w:vAlign w:val="center"/>
          </w:tcPr>
          <w:p w14:paraId="28BD0958" w14:textId="77777777" w:rsidR="00B67305" w:rsidRPr="00C81498" w:rsidRDefault="00B67305" w:rsidP="003331CD">
            <w:pPr>
              <w:pStyle w:val="Tabletext"/>
              <w:jc w:val="center"/>
            </w:pPr>
            <w:r w:rsidRPr="00C81498">
              <w:sym w:font="Wingdings" w:char="F0FC"/>
            </w:r>
          </w:p>
        </w:tc>
        <w:tc>
          <w:tcPr>
            <w:tcW w:w="563" w:type="pct"/>
            <w:tcBorders>
              <w:top w:val="dotted" w:sz="2" w:space="0" w:color="auto"/>
              <w:left w:val="dotted" w:sz="2" w:space="0" w:color="auto"/>
              <w:bottom w:val="dotted" w:sz="2" w:space="0" w:color="auto"/>
            </w:tcBorders>
            <w:vAlign w:val="center"/>
          </w:tcPr>
          <w:p w14:paraId="771C4BFE" w14:textId="77777777" w:rsidR="00B67305" w:rsidRPr="00C81498" w:rsidRDefault="00B67305" w:rsidP="003331CD">
            <w:pPr>
              <w:pStyle w:val="Tabletext"/>
              <w:jc w:val="center"/>
            </w:pPr>
            <w:r w:rsidRPr="00C158C1">
              <w:sym w:font="Wingdings" w:char="F0FC"/>
            </w:r>
            <w:r w:rsidRPr="00C158C1">
              <w:rPr>
                <w:rFonts w:asciiTheme="majorHAnsi" w:hAnsiTheme="majorHAnsi"/>
                <w:szCs w:val="20"/>
                <w:vertAlign w:val="superscript"/>
              </w:rPr>
              <w:t>¶</w:t>
            </w:r>
          </w:p>
        </w:tc>
      </w:tr>
      <w:tr w:rsidR="00B67305" w:rsidRPr="004F1C07" w14:paraId="5BBCA413" w14:textId="77777777" w:rsidTr="003354A0">
        <w:trPr>
          <w:trHeight w:val="122"/>
          <w:jc w:val="center"/>
        </w:trPr>
        <w:tc>
          <w:tcPr>
            <w:tcW w:w="707" w:type="pct"/>
            <w:vMerge/>
          </w:tcPr>
          <w:p w14:paraId="6DEB453D" w14:textId="77777777" w:rsidR="00B67305" w:rsidRPr="00680101" w:rsidRDefault="00B67305" w:rsidP="003331CD">
            <w:pPr>
              <w:pStyle w:val="Tabletext"/>
              <w:rPr>
                <w:b/>
              </w:rPr>
            </w:pPr>
          </w:p>
        </w:tc>
        <w:tc>
          <w:tcPr>
            <w:tcW w:w="2203" w:type="pct"/>
            <w:tcBorders>
              <w:top w:val="dotted" w:sz="2" w:space="0" w:color="auto"/>
              <w:bottom w:val="dotted" w:sz="2" w:space="0" w:color="auto"/>
              <w:right w:val="single" w:sz="4" w:space="0" w:color="auto"/>
            </w:tcBorders>
          </w:tcPr>
          <w:p w14:paraId="75CC318A" w14:textId="77777777" w:rsidR="00B67305" w:rsidRPr="00F83ACE" w:rsidRDefault="00B67305" w:rsidP="003331CD">
            <w:pPr>
              <w:pStyle w:val="Tabletext"/>
              <w:rPr>
                <w:sz w:val="20"/>
              </w:rPr>
            </w:pPr>
            <w:r w:rsidRPr="00F83ACE">
              <w:rPr>
                <w:sz w:val="20"/>
              </w:rPr>
              <w:t xml:space="preserve">Posterior reversible encephalopathy syndrome (PRES) </w:t>
            </w:r>
          </w:p>
        </w:tc>
        <w:tc>
          <w:tcPr>
            <w:tcW w:w="518" w:type="pct"/>
            <w:tcBorders>
              <w:top w:val="dotted" w:sz="2" w:space="0" w:color="auto"/>
              <w:left w:val="single" w:sz="4" w:space="0" w:color="auto"/>
              <w:bottom w:val="dotted" w:sz="2" w:space="0" w:color="auto"/>
              <w:right w:val="dotted" w:sz="2" w:space="0" w:color="auto"/>
            </w:tcBorders>
            <w:vAlign w:val="center"/>
          </w:tcPr>
          <w:p w14:paraId="3595690E" w14:textId="77777777" w:rsidR="00B67305" w:rsidRPr="00C81498" w:rsidRDefault="00B67305" w:rsidP="003331CD">
            <w:pPr>
              <w:pStyle w:val="Tabletext"/>
              <w:jc w:val="center"/>
            </w:pPr>
            <w:r w:rsidRPr="00C81498">
              <w:sym w:font="Wingdings" w:char="F0FC"/>
            </w:r>
            <w:r>
              <w:rPr>
                <w:rFonts w:asciiTheme="majorHAnsi" w:hAnsiTheme="majorHAnsi"/>
                <w:color w:val="FF0000"/>
                <w:szCs w:val="20"/>
              </w:rPr>
              <w:t xml:space="preserve"> </w:t>
            </w:r>
            <w:r w:rsidRPr="00F6431C">
              <w:rPr>
                <w:rFonts w:asciiTheme="majorHAnsi" w:hAnsiTheme="majorHAnsi"/>
                <w:szCs w:val="20"/>
                <w:vertAlign w:val="superscript"/>
              </w:rPr>
              <w:t>Ω</w:t>
            </w:r>
          </w:p>
        </w:tc>
        <w:tc>
          <w:tcPr>
            <w:tcW w:w="563" w:type="pct"/>
            <w:tcBorders>
              <w:top w:val="dotted" w:sz="2" w:space="0" w:color="auto"/>
              <w:left w:val="dotted" w:sz="2" w:space="0" w:color="auto"/>
              <w:bottom w:val="dotted" w:sz="2" w:space="0" w:color="auto"/>
            </w:tcBorders>
            <w:vAlign w:val="center"/>
          </w:tcPr>
          <w:p w14:paraId="3FEC038B"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top w:val="dotted" w:sz="2" w:space="0" w:color="auto"/>
              <w:left w:val="single" w:sz="4" w:space="0" w:color="auto"/>
              <w:bottom w:val="dotted" w:sz="2" w:space="0" w:color="auto"/>
              <w:right w:val="dotted" w:sz="2" w:space="0" w:color="auto"/>
            </w:tcBorders>
            <w:vAlign w:val="center"/>
          </w:tcPr>
          <w:p w14:paraId="5C50D3F2" w14:textId="77777777" w:rsidR="00B67305" w:rsidRPr="00C81498" w:rsidRDefault="00B67305" w:rsidP="003331CD">
            <w:pPr>
              <w:pStyle w:val="Tabletext"/>
              <w:jc w:val="center"/>
            </w:pPr>
            <w:r w:rsidRPr="00C81498">
              <w:sym w:font="Wingdings" w:char="F0FC"/>
            </w:r>
          </w:p>
        </w:tc>
        <w:tc>
          <w:tcPr>
            <w:tcW w:w="563" w:type="pct"/>
            <w:tcBorders>
              <w:top w:val="dotted" w:sz="2" w:space="0" w:color="auto"/>
              <w:left w:val="dotted" w:sz="2" w:space="0" w:color="auto"/>
              <w:bottom w:val="dotted" w:sz="2" w:space="0" w:color="auto"/>
            </w:tcBorders>
            <w:vAlign w:val="center"/>
          </w:tcPr>
          <w:p w14:paraId="23DFCCB3" w14:textId="77777777" w:rsidR="00B67305" w:rsidRPr="00C81498" w:rsidRDefault="00B67305" w:rsidP="003331CD">
            <w:pPr>
              <w:pStyle w:val="Tabletext"/>
              <w:jc w:val="center"/>
            </w:pPr>
            <w:r w:rsidRPr="00C81498">
              <w:t>–</w:t>
            </w:r>
          </w:p>
        </w:tc>
      </w:tr>
      <w:tr w:rsidR="00B67305" w:rsidRPr="004F1C07" w14:paraId="38E67F51" w14:textId="77777777" w:rsidTr="003354A0">
        <w:trPr>
          <w:trHeight w:val="122"/>
          <w:jc w:val="center"/>
        </w:trPr>
        <w:tc>
          <w:tcPr>
            <w:tcW w:w="707" w:type="pct"/>
            <w:vMerge/>
          </w:tcPr>
          <w:p w14:paraId="6EEF5DD1" w14:textId="77777777" w:rsidR="00B67305" w:rsidRPr="00680101" w:rsidRDefault="00B67305" w:rsidP="003331CD">
            <w:pPr>
              <w:pStyle w:val="Tabletext"/>
              <w:rPr>
                <w:b/>
              </w:rPr>
            </w:pPr>
          </w:p>
        </w:tc>
        <w:tc>
          <w:tcPr>
            <w:tcW w:w="2203" w:type="pct"/>
            <w:tcBorders>
              <w:top w:val="dotted" w:sz="2" w:space="0" w:color="auto"/>
              <w:bottom w:val="dotted" w:sz="2" w:space="0" w:color="auto"/>
              <w:right w:val="single" w:sz="4" w:space="0" w:color="auto"/>
            </w:tcBorders>
          </w:tcPr>
          <w:p w14:paraId="6FEF10DC" w14:textId="77777777" w:rsidR="00B67305" w:rsidRPr="00F83ACE" w:rsidRDefault="00160367" w:rsidP="003331CD">
            <w:pPr>
              <w:pStyle w:val="Tabletext"/>
              <w:rPr>
                <w:sz w:val="20"/>
              </w:rPr>
            </w:pPr>
            <w:r>
              <w:rPr>
                <w:sz w:val="20"/>
              </w:rPr>
              <w:t>Embryo-</w:t>
            </w:r>
            <w:proofErr w:type="spellStart"/>
            <w:r>
              <w:rPr>
                <w:sz w:val="20"/>
              </w:rPr>
              <w:t>f</w:t>
            </w:r>
            <w:r w:rsidR="00B67305" w:rsidRPr="00F83ACE">
              <w:rPr>
                <w:sz w:val="20"/>
              </w:rPr>
              <w:t>etal</w:t>
            </w:r>
            <w:proofErr w:type="spellEnd"/>
            <w:r w:rsidR="00B67305" w:rsidRPr="00F83ACE">
              <w:rPr>
                <w:sz w:val="20"/>
              </w:rPr>
              <w:t xml:space="preserve"> toxicity in exposed pregnant females </w:t>
            </w:r>
          </w:p>
        </w:tc>
        <w:tc>
          <w:tcPr>
            <w:tcW w:w="518" w:type="pct"/>
            <w:tcBorders>
              <w:top w:val="dotted" w:sz="2" w:space="0" w:color="auto"/>
              <w:left w:val="single" w:sz="4" w:space="0" w:color="auto"/>
              <w:bottom w:val="dotted" w:sz="2" w:space="0" w:color="auto"/>
              <w:right w:val="dotted" w:sz="2" w:space="0" w:color="auto"/>
            </w:tcBorders>
            <w:vAlign w:val="center"/>
          </w:tcPr>
          <w:p w14:paraId="4166C487" w14:textId="77777777" w:rsidR="00B67305" w:rsidRPr="00C81498" w:rsidRDefault="00B67305" w:rsidP="003331CD">
            <w:pPr>
              <w:pStyle w:val="Tabletext"/>
              <w:jc w:val="center"/>
            </w:pPr>
            <w:r w:rsidRPr="00C81498">
              <w:sym w:font="Wingdings" w:char="F0FC"/>
            </w:r>
            <w:r w:rsidRPr="00C81498">
              <w:rPr>
                <w:rFonts w:asciiTheme="majorHAnsi" w:hAnsiTheme="majorHAnsi"/>
                <w:szCs w:val="20"/>
                <w:vertAlign w:val="superscript"/>
              </w:rPr>
              <w:t>‡</w:t>
            </w:r>
          </w:p>
        </w:tc>
        <w:tc>
          <w:tcPr>
            <w:tcW w:w="563" w:type="pct"/>
            <w:tcBorders>
              <w:top w:val="dotted" w:sz="2" w:space="0" w:color="auto"/>
              <w:left w:val="dotted" w:sz="2" w:space="0" w:color="auto"/>
              <w:bottom w:val="dotted" w:sz="2" w:space="0" w:color="auto"/>
            </w:tcBorders>
            <w:vAlign w:val="center"/>
          </w:tcPr>
          <w:p w14:paraId="1E8E4B95"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top w:val="dotted" w:sz="2" w:space="0" w:color="auto"/>
              <w:left w:val="single" w:sz="4" w:space="0" w:color="auto"/>
              <w:bottom w:val="dotted" w:sz="2" w:space="0" w:color="auto"/>
              <w:right w:val="dotted" w:sz="2" w:space="0" w:color="auto"/>
            </w:tcBorders>
            <w:vAlign w:val="center"/>
          </w:tcPr>
          <w:p w14:paraId="53F6531E" w14:textId="77777777" w:rsidR="00B67305" w:rsidRPr="00C81498" w:rsidRDefault="00B67305" w:rsidP="003331CD">
            <w:pPr>
              <w:pStyle w:val="Tabletext"/>
              <w:jc w:val="center"/>
            </w:pPr>
            <w:r w:rsidRPr="00C81498">
              <w:sym w:font="Wingdings" w:char="F0FC"/>
            </w:r>
          </w:p>
        </w:tc>
        <w:tc>
          <w:tcPr>
            <w:tcW w:w="563" w:type="pct"/>
            <w:tcBorders>
              <w:top w:val="dotted" w:sz="2" w:space="0" w:color="auto"/>
              <w:left w:val="dotted" w:sz="2" w:space="0" w:color="auto"/>
              <w:bottom w:val="dotted" w:sz="2" w:space="0" w:color="auto"/>
            </w:tcBorders>
            <w:vAlign w:val="center"/>
          </w:tcPr>
          <w:p w14:paraId="2BDF8462" w14:textId="77777777" w:rsidR="00B67305" w:rsidRPr="00C81498" w:rsidRDefault="00B67305" w:rsidP="003331CD">
            <w:pPr>
              <w:pStyle w:val="Tabletext"/>
              <w:jc w:val="center"/>
            </w:pPr>
            <w:r w:rsidRPr="00C158C1">
              <w:sym w:font="Wingdings" w:char="F0FC"/>
            </w:r>
            <w:r w:rsidRPr="00B85F38">
              <w:rPr>
                <w:rFonts w:asciiTheme="majorHAnsi" w:hAnsiTheme="majorHAnsi"/>
                <w:szCs w:val="20"/>
                <w:vertAlign w:val="superscript"/>
              </w:rPr>
              <w:t>¶α</w:t>
            </w:r>
          </w:p>
        </w:tc>
      </w:tr>
      <w:tr w:rsidR="00B67305" w:rsidRPr="004F1C07" w14:paraId="58DAC85C" w14:textId="77777777" w:rsidTr="003354A0">
        <w:trPr>
          <w:trHeight w:val="112"/>
          <w:jc w:val="center"/>
        </w:trPr>
        <w:tc>
          <w:tcPr>
            <w:tcW w:w="707" w:type="pct"/>
            <w:vMerge/>
          </w:tcPr>
          <w:p w14:paraId="7DAF067C" w14:textId="77777777" w:rsidR="00B67305" w:rsidRPr="00680101" w:rsidRDefault="00B67305" w:rsidP="003331CD">
            <w:pPr>
              <w:pStyle w:val="Tabletext"/>
              <w:rPr>
                <w:b/>
              </w:rPr>
            </w:pPr>
          </w:p>
        </w:tc>
        <w:tc>
          <w:tcPr>
            <w:tcW w:w="2203" w:type="pct"/>
            <w:tcBorders>
              <w:top w:val="dotted" w:sz="2" w:space="0" w:color="auto"/>
              <w:right w:val="single" w:sz="4" w:space="0" w:color="auto"/>
            </w:tcBorders>
          </w:tcPr>
          <w:p w14:paraId="3E98CEDD" w14:textId="77777777" w:rsidR="00B67305" w:rsidRPr="00F83ACE" w:rsidRDefault="00B67305" w:rsidP="003331CD">
            <w:pPr>
              <w:pStyle w:val="Tabletext"/>
              <w:rPr>
                <w:sz w:val="20"/>
              </w:rPr>
            </w:pPr>
            <w:r w:rsidRPr="00F83ACE">
              <w:rPr>
                <w:sz w:val="20"/>
              </w:rPr>
              <w:t>Malignancy</w:t>
            </w:r>
          </w:p>
        </w:tc>
        <w:tc>
          <w:tcPr>
            <w:tcW w:w="518" w:type="pct"/>
            <w:tcBorders>
              <w:top w:val="dotted" w:sz="2" w:space="0" w:color="auto"/>
              <w:left w:val="single" w:sz="4" w:space="0" w:color="auto"/>
              <w:right w:val="dotted" w:sz="2" w:space="0" w:color="auto"/>
            </w:tcBorders>
            <w:vAlign w:val="center"/>
          </w:tcPr>
          <w:p w14:paraId="0744CC08" w14:textId="77777777" w:rsidR="00B67305" w:rsidRPr="00C81498" w:rsidRDefault="00B67305" w:rsidP="003331CD">
            <w:pPr>
              <w:pStyle w:val="Tabletext"/>
              <w:jc w:val="center"/>
            </w:pPr>
            <w:r w:rsidRPr="00C81498">
              <w:sym w:font="Wingdings" w:char="F0FC"/>
            </w:r>
            <w:r>
              <w:rPr>
                <w:rFonts w:asciiTheme="majorHAnsi" w:hAnsiTheme="majorHAnsi"/>
                <w:color w:val="FF0000"/>
                <w:szCs w:val="20"/>
              </w:rPr>
              <w:t xml:space="preserve"> </w:t>
            </w:r>
            <w:r w:rsidRPr="00F6431C">
              <w:rPr>
                <w:rFonts w:asciiTheme="majorHAnsi" w:hAnsiTheme="majorHAnsi"/>
                <w:szCs w:val="20"/>
                <w:vertAlign w:val="superscript"/>
              </w:rPr>
              <w:t>Ω</w:t>
            </w:r>
          </w:p>
        </w:tc>
        <w:tc>
          <w:tcPr>
            <w:tcW w:w="563" w:type="pct"/>
            <w:tcBorders>
              <w:top w:val="dotted" w:sz="2" w:space="0" w:color="auto"/>
              <w:left w:val="dotted" w:sz="2" w:space="0" w:color="auto"/>
            </w:tcBorders>
            <w:vAlign w:val="center"/>
          </w:tcPr>
          <w:p w14:paraId="7553F6EA"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top w:val="dotted" w:sz="2" w:space="0" w:color="auto"/>
              <w:left w:val="single" w:sz="4" w:space="0" w:color="auto"/>
              <w:right w:val="dotted" w:sz="2" w:space="0" w:color="auto"/>
            </w:tcBorders>
            <w:vAlign w:val="center"/>
          </w:tcPr>
          <w:p w14:paraId="31346F10" w14:textId="77777777" w:rsidR="00B67305" w:rsidRPr="00C81498" w:rsidRDefault="00B67305" w:rsidP="003331CD">
            <w:pPr>
              <w:pStyle w:val="Tabletext"/>
              <w:jc w:val="center"/>
            </w:pPr>
            <w:r w:rsidRPr="00C81498">
              <w:sym w:font="Wingdings" w:char="F0FC"/>
            </w:r>
          </w:p>
        </w:tc>
        <w:tc>
          <w:tcPr>
            <w:tcW w:w="563" w:type="pct"/>
            <w:tcBorders>
              <w:top w:val="dotted" w:sz="2" w:space="0" w:color="auto"/>
              <w:left w:val="dotted" w:sz="2" w:space="0" w:color="auto"/>
            </w:tcBorders>
            <w:vAlign w:val="center"/>
          </w:tcPr>
          <w:p w14:paraId="43957C9F" w14:textId="77777777" w:rsidR="00B67305" w:rsidRPr="00C81498" w:rsidRDefault="00B67305" w:rsidP="003331CD">
            <w:pPr>
              <w:pStyle w:val="Tabletext"/>
              <w:jc w:val="center"/>
            </w:pPr>
            <w:r w:rsidRPr="00C158C1">
              <w:sym w:font="Wingdings" w:char="F0FC"/>
            </w:r>
            <w:r w:rsidRPr="00C158C1">
              <w:rPr>
                <w:rFonts w:asciiTheme="majorHAnsi" w:hAnsiTheme="majorHAnsi"/>
                <w:szCs w:val="20"/>
                <w:vertAlign w:val="superscript"/>
              </w:rPr>
              <w:t>¶</w:t>
            </w:r>
          </w:p>
        </w:tc>
      </w:tr>
      <w:tr w:rsidR="00B67305" w:rsidRPr="004F1C07" w14:paraId="60844F17" w14:textId="77777777" w:rsidTr="003354A0">
        <w:trPr>
          <w:trHeight w:val="178"/>
          <w:jc w:val="center"/>
        </w:trPr>
        <w:tc>
          <w:tcPr>
            <w:tcW w:w="707" w:type="pct"/>
            <w:vMerge w:val="restart"/>
          </w:tcPr>
          <w:p w14:paraId="5C456123" w14:textId="77777777" w:rsidR="00B67305" w:rsidRPr="00680101" w:rsidRDefault="00B67305" w:rsidP="003331CD">
            <w:pPr>
              <w:pStyle w:val="Tabletext"/>
              <w:rPr>
                <w:b/>
              </w:rPr>
            </w:pPr>
            <w:r w:rsidRPr="00680101">
              <w:rPr>
                <w:b/>
              </w:rPr>
              <w:t>Missing information</w:t>
            </w:r>
          </w:p>
        </w:tc>
        <w:tc>
          <w:tcPr>
            <w:tcW w:w="2203" w:type="pct"/>
            <w:tcBorders>
              <w:bottom w:val="dotted" w:sz="2" w:space="0" w:color="auto"/>
              <w:right w:val="single" w:sz="4" w:space="0" w:color="auto"/>
            </w:tcBorders>
          </w:tcPr>
          <w:p w14:paraId="6CAC753F" w14:textId="77777777" w:rsidR="00B67305" w:rsidRPr="00F83ACE" w:rsidRDefault="00B67305" w:rsidP="003331CD">
            <w:pPr>
              <w:pStyle w:val="Tabletext"/>
              <w:rPr>
                <w:sz w:val="20"/>
              </w:rPr>
            </w:pPr>
            <w:r w:rsidRPr="00F83ACE">
              <w:rPr>
                <w:sz w:val="20"/>
              </w:rPr>
              <w:t xml:space="preserve">Long term risk of cardiovascular comorbidity </w:t>
            </w:r>
          </w:p>
        </w:tc>
        <w:tc>
          <w:tcPr>
            <w:tcW w:w="518" w:type="pct"/>
            <w:tcBorders>
              <w:left w:val="single" w:sz="4" w:space="0" w:color="auto"/>
              <w:bottom w:val="dotted" w:sz="2" w:space="0" w:color="auto"/>
              <w:right w:val="dotted" w:sz="2" w:space="0" w:color="auto"/>
            </w:tcBorders>
            <w:vAlign w:val="center"/>
          </w:tcPr>
          <w:p w14:paraId="2F1AE38E" w14:textId="77777777" w:rsidR="00B67305" w:rsidRPr="00C81498" w:rsidRDefault="00B67305" w:rsidP="003331CD">
            <w:pPr>
              <w:pStyle w:val="Tabletext"/>
              <w:jc w:val="center"/>
            </w:pPr>
            <w:r w:rsidRPr="00C81498">
              <w:sym w:font="Wingdings" w:char="F0FC"/>
            </w:r>
          </w:p>
        </w:tc>
        <w:tc>
          <w:tcPr>
            <w:tcW w:w="563" w:type="pct"/>
            <w:tcBorders>
              <w:left w:val="dotted" w:sz="2" w:space="0" w:color="auto"/>
              <w:bottom w:val="dotted" w:sz="2" w:space="0" w:color="auto"/>
            </w:tcBorders>
            <w:vAlign w:val="center"/>
          </w:tcPr>
          <w:p w14:paraId="35988731"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left w:val="single" w:sz="4" w:space="0" w:color="auto"/>
              <w:bottom w:val="dotted" w:sz="2" w:space="0" w:color="auto"/>
              <w:right w:val="dotted" w:sz="2" w:space="0" w:color="auto"/>
            </w:tcBorders>
            <w:vAlign w:val="center"/>
          </w:tcPr>
          <w:p w14:paraId="37873D04" w14:textId="77777777" w:rsidR="00B67305" w:rsidRPr="00C81498" w:rsidRDefault="00B67305" w:rsidP="003331CD">
            <w:pPr>
              <w:pStyle w:val="Tabletext"/>
              <w:jc w:val="center"/>
            </w:pPr>
            <w:r w:rsidRPr="00C81498">
              <w:t>–</w:t>
            </w:r>
          </w:p>
        </w:tc>
        <w:tc>
          <w:tcPr>
            <w:tcW w:w="563" w:type="pct"/>
            <w:tcBorders>
              <w:left w:val="dotted" w:sz="2" w:space="0" w:color="auto"/>
              <w:bottom w:val="dotted" w:sz="2" w:space="0" w:color="auto"/>
            </w:tcBorders>
            <w:vAlign w:val="center"/>
          </w:tcPr>
          <w:p w14:paraId="5A3C909A" w14:textId="77777777" w:rsidR="00B67305" w:rsidRPr="00C81498" w:rsidRDefault="00B67305" w:rsidP="003331CD">
            <w:pPr>
              <w:pStyle w:val="Tabletext"/>
              <w:jc w:val="center"/>
            </w:pPr>
            <w:r w:rsidRPr="00C81498">
              <w:t>–</w:t>
            </w:r>
          </w:p>
        </w:tc>
      </w:tr>
      <w:tr w:rsidR="00B67305" w:rsidRPr="004F1C07" w14:paraId="647F4F21" w14:textId="77777777" w:rsidTr="003354A0">
        <w:trPr>
          <w:trHeight w:val="140"/>
          <w:jc w:val="center"/>
        </w:trPr>
        <w:tc>
          <w:tcPr>
            <w:tcW w:w="707" w:type="pct"/>
            <w:vMerge/>
          </w:tcPr>
          <w:p w14:paraId="4EDB1BD1" w14:textId="77777777" w:rsidR="00B67305" w:rsidRPr="004F1C07" w:rsidRDefault="00B67305" w:rsidP="003331CD">
            <w:pPr>
              <w:pStyle w:val="Tabletext"/>
            </w:pPr>
          </w:p>
        </w:tc>
        <w:tc>
          <w:tcPr>
            <w:tcW w:w="2203" w:type="pct"/>
            <w:tcBorders>
              <w:top w:val="dotted" w:sz="2" w:space="0" w:color="auto"/>
              <w:bottom w:val="dotted" w:sz="2" w:space="0" w:color="auto"/>
              <w:right w:val="single" w:sz="4" w:space="0" w:color="auto"/>
            </w:tcBorders>
          </w:tcPr>
          <w:p w14:paraId="46C7016F" w14:textId="77777777" w:rsidR="00B67305" w:rsidRPr="00F83ACE" w:rsidRDefault="00B67305" w:rsidP="003331CD">
            <w:pPr>
              <w:pStyle w:val="Tabletext"/>
              <w:rPr>
                <w:sz w:val="20"/>
              </w:rPr>
            </w:pPr>
            <w:r w:rsidRPr="00F83ACE">
              <w:rPr>
                <w:sz w:val="20"/>
              </w:rPr>
              <w:t>Effects following withdrawal of drug</w:t>
            </w:r>
          </w:p>
        </w:tc>
        <w:tc>
          <w:tcPr>
            <w:tcW w:w="518" w:type="pct"/>
            <w:tcBorders>
              <w:top w:val="dotted" w:sz="2" w:space="0" w:color="auto"/>
              <w:left w:val="single" w:sz="4" w:space="0" w:color="auto"/>
              <w:bottom w:val="dotted" w:sz="2" w:space="0" w:color="auto"/>
              <w:right w:val="dotted" w:sz="2" w:space="0" w:color="auto"/>
            </w:tcBorders>
            <w:vAlign w:val="center"/>
          </w:tcPr>
          <w:p w14:paraId="5B8ED75D" w14:textId="77777777" w:rsidR="00B67305" w:rsidRPr="00C81498" w:rsidRDefault="00B67305" w:rsidP="003331CD">
            <w:pPr>
              <w:pStyle w:val="Tabletext"/>
              <w:jc w:val="center"/>
            </w:pPr>
            <w:r w:rsidRPr="00C81498">
              <w:sym w:font="Wingdings" w:char="F0FC"/>
            </w:r>
          </w:p>
        </w:tc>
        <w:tc>
          <w:tcPr>
            <w:tcW w:w="563" w:type="pct"/>
            <w:tcBorders>
              <w:top w:val="dotted" w:sz="2" w:space="0" w:color="auto"/>
              <w:left w:val="dotted" w:sz="2" w:space="0" w:color="auto"/>
              <w:bottom w:val="dotted" w:sz="2" w:space="0" w:color="auto"/>
            </w:tcBorders>
            <w:vAlign w:val="center"/>
          </w:tcPr>
          <w:p w14:paraId="11E8F509" w14:textId="77777777" w:rsidR="00B67305" w:rsidRPr="00C81498" w:rsidRDefault="00B67305" w:rsidP="003331CD">
            <w:pPr>
              <w:pStyle w:val="Tabletext"/>
              <w:jc w:val="center"/>
            </w:pPr>
            <w:r w:rsidRPr="00C81498">
              <w:sym w:font="Wingdings" w:char="F0FC"/>
            </w:r>
            <w:r w:rsidRPr="00C81498">
              <w:t>*</w:t>
            </w:r>
            <w:r w:rsidRPr="00C81498">
              <w:rPr>
                <w:rFonts w:asciiTheme="majorHAnsi" w:hAnsiTheme="majorHAnsi"/>
                <w:szCs w:val="20"/>
                <w:vertAlign w:val="superscript"/>
              </w:rPr>
              <w:t>†</w:t>
            </w:r>
          </w:p>
        </w:tc>
        <w:tc>
          <w:tcPr>
            <w:tcW w:w="447" w:type="pct"/>
            <w:tcBorders>
              <w:top w:val="dotted" w:sz="2" w:space="0" w:color="auto"/>
              <w:left w:val="single" w:sz="4" w:space="0" w:color="auto"/>
              <w:bottom w:val="dotted" w:sz="2" w:space="0" w:color="auto"/>
              <w:right w:val="dotted" w:sz="2" w:space="0" w:color="auto"/>
            </w:tcBorders>
            <w:vAlign w:val="center"/>
          </w:tcPr>
          <w:p w14:paraId="310D237A" w14:textId="77777777" w:rsidR="00B67305" w:rsidRPr="00C81498" w:rsidRDefault="00B67305" w:rsidP="003331CD">
            <w:pPr>
              <w:pStyle w:val="Tabletext"/>
              <w:jc w:val="center"/>
            </w:pPr>
            <w:r w:rsidRPr="00C158C1">
              <w:sym w:font="Wingdings" w:char="F0FC"/>
            </w:r>
          </w:p>
        </w:tc>
        <w:tc>
          <w:tcPr>
            <w:tcW w:w="563" w:type="pct"/>
            <w:tcBorders>
              <w:top w:val="dotted" w:sz="2" w:space="0" w:color="auto"/>
              <w:left w:val="dotted" w:sz="2" w:space="0" w:color="auto"/>
              <w:bottom w:val="dotted" w:sz="2" w:space="0" w:color="auto"/>
            </w:tcBorders>
            <w:vAlign w:val="center"/>
          </w:tcPr>
          <w:p w14:paraId="6016C48D" w14:textId="77777777" w:rsidR="00B67305" w:rsidRPr="00C81498" w:rsidRDefault="00B67305" w:rsidP="003331CD">
            <w:pPr>
              <w:pStyle w:val="Tabletext"/>
              <w:jc w:val="center"/>
            </w:pPr>
            <w:r w:rsidRPr="00C81498">
              <w:t>–</w:t>
            </w:r>
          </w:p>
        </w:tc>
      </w:tr>
      <w:tr w:rsidR="00B67305" w:rsidRPr="004F1C07" w14:paraId="65EA9342" w14:textId="77777777" w:rsidTr="003354A0">
        <w:trPr>
          <w:trHeight w:val="140"/>
          <w:jc w:val="center"/>
        </w:trPr>
        <w:tc>
          <w:tcPr>
            <w:tcW w:w="707" w:type="pct"/>
            <w:vMerge/>
          </w:tcPr>
          <w:p w14:paraId="030B9323" w14:textId="77777777" w:rsidR="00B67305" w:rsidRPr="004F1C07" w:rsidRDefault="00B67305" w:rsidP="003331CD">
            <w:pPr>
              <w:pStyle w:val="Tabletext"/>
            </w:pPr>
          </w:p>
        </w:tc>
        <w:tc>
          <w:tcPr>
            <w:tcW w:w="2203" w:type="pct"/>
            <w:tcBorders>
              <w:top w:val="dotted" w:sz="2" w:space="0" w:color="auto"/>
              <w:right w:val="single" w:sz="4" w:space="0" w:color="auto"/>
            </w:tcBorders>
          </w:tcPr>
          <w:p w14:paraId="6E1859A3" w14:textId="77777777" w:rsidR="00B67305" w:rsidRPr="00F83ACE" w:rsidRDefault="00B67305" w:rsidP="003331CD">
            <w:pPr>
              <w:pStyle w:val="Tabletext"/>
              <w:rPr>
                <w:sz w:val="20"/>
                <w:vertAlign w:val="superscript"/>
              </w:rPr>
            </w:pPr>
            <w:r w:rsidRPr="00F83ACE">
              <w:rPr>
                <w:sz w:val="20"/>
              </w:rPr>
              <w:t>Use in patients over 55 years</w:t>
            </w:r>
          </w:p>
        </w:tc>
        <w:tc>
          <w:tcPr>
            <w:tcW w:w="518" w:type="pct"/>
            <w:tcBorders>
              <w:top w:val="dotted" w:sz="2" w:space="0" w:color="auto"/>
              <w:left w:val="single" w:sz="4" w:space="0" w:color="auto"/>
              <w:right w:val="dotted" w:sz="2" w:space="0" w:color="auto"/>
            </w:tcBorders>
            <w:vAlign w:val="center"/>
          </w:tcPr>
          <w:p w14:paraId="3733BDB3" w14:textId="77777777" w:rsidR="00B67305" w:rsidRPr="001F58AD" w:rsidRDefault="00B67305" w:rsidP="003331CD">
            <w:pPr>
              <w:pStyle w:val="Tabletext"/>
              <w:jc w:val="center"/>
              <w:rPr>
                <w:color w:val="FF0000"/>
              </w:rPr>
            </w:pPr>
            <w:r w:rsidRPr="00F6431C">
              <w:sym w:font="Wingdings" w:char="F0FC"/>
            </w:r>
          </w:p>
        </w:tc>
        <w:tc>
          <w:tcPr>
            <w:tcW w:w="563" w:type="pct"/>
            <w:tcBorders>
              <w:top w:val="dotted" w:sz="2" w:space="0" w:color="auto"/>
              <w:left w:val="dotted" w:sz="2" w:space="0" w:color="auto"/>
            </w:tcBorders>
            <w:vAlign w:val="center"/>
          </w:tcPr>
          <w:p w14:paraId="570153C4" w14:textId="77777777" w:rsidR="00B67305" w:rsidRPr="001F58AD" w:rsidRDefault="00B67305" w:rsidP="003331CD">
            <w:pPr>
              <w:pStyle w:val="Tabletext"/>
              <w:jc w:val="center"/>
              <w:rPr>
                <w:color w:val="FF0000"/>
              </w:rPr>
            </w:pPr>
            <w:r w:rsidRPr="00C158C1">
              <w:sym w:font="Wingdings" w:char="F0FC"/>
            </w:r>
            <w:r w:rsidRPr="00C158C1">
              <w:t>*</w:t>
            </w:r>
            <w:r w:rsidRPr="00C158C1">
              <w:rPr>
                <w:rFonts w:asciiTheme="majorHAnsi" w:hAnsiTheme="majorHAnsi"/>
                <w:szCs w:val="20"/>
                <w:vertAlign w:val="superscript"/>
              </w:rPr>
              <w:t>†</w:t>
            </w:r>
          </w:p>
        </w:tc>
        <w:tc>
          <w:tcPr>
            <w:tcW w:w="447" w:type="pct"/>
            <w:tcBorders>
              <w:top w:val="dotted" w:sz="2" w:space="0" w:color="auto"/>
              <w:left w:val="single" w:sz="4" w:space="0" w:color="auto"/>
              <w:right w:val="dotted" w:sz="2" w:space="0" w:color="auto"/>
            </w:tcBorders>
            <w:vAlign w:val="center"/>
          </w:tcPr>
          <w:p w14:paraId="68F77AF0" w14:textId="77777777" w:rsidR="00B67305" w:rsidRPr="00C158C1" w:rsidRDefault="00B67305" w:rsidP="003331CD">
            <w:pPr>
              <w:pStyle w:val="Tabletext"/>
              <w:jc w:val="center"/>
            </w:pPr>
            <w:r w:rsidRPr="00C158C1">
              <w:sym w:font="Wingdings" w:char="F0FC"/>
            </w:r>
          </w:p>
        </w:tc>
        <w:tc>
          <w:tcPr>
            <w:tcW w:w="563" w:type="pct"/>
            <w:tcBorders>
              <w:top w:val="dotted" w:sz="2" w:space="0" w:color="auto"/>
              <w:left w:val="dotted" w:sz="2" w:space="0" w:color="auto"/>
            </w:tcBorders>
            <w:vAlign w:val="center"/>
          </w:tcPr>
          <w:p w14:paraId="7934493D" w14:textId="77777777" w:rsidR="00B67305" w:rsidRPr="00C158C1" w:rsidRDefault="00B67305" w:rsidP="003331CD">
            <w:pPr>
              <w:pStyle w:val="Tabletext"/>
              <w:jc w:val="center"/>
            </w:pPr>
            <w:r w:rsidRPr="00C158C1">
              <w:t>–</w:t>
            </w:r>
          </w:p>
        </w:tc>
      </w:tr>
    </w:tbl>
    <w:p w14:paraId="73202C9B" w14:textId="77777777" w:rsidR="00F83ACE" w:rsidRDefault="00F83ACE" w:rsidP="00F83ACE">
      <w:pPr>
        <w:pStyle w:val="TableDescription"/>
      </w:pPr>
      <w:r>
        <w:t xml:space="preserve">*PASS; †Long term follow up of Study RPC01-3001; </w:t>
      </w:r>
      <w:r w:rsidR="008A081B">
        <w:t xml:space="preserve">‡Follow-up form </w:t>
      </w:r>
      <w:r>
        <w:t>HCP checkl</w:t>
      </w:r>
      <w:r w:rsidR="008A081B">
        <w:t xml:space="preserve">ist and Patient/caregiver guide; </w:t>
      </w:r>
      <w:r>
        <w:t>α</w:t>
      </w:r>
      <w:r w:rsidR="008A081B">
        <w:t xml:space="preserve"> </w:t>
      </w:r>
      <w:r>
        <w:t>Pregnancy-specific patient reminder card (EU-RMP only)</w:t>
      </w:r>
      <w:r w:rsidR="00160367">
        <w:t>;</w:t>
      </w:r>
      <w:r>
        <w:t xml:space="preserve"> Ω Core questi</w:t>
      </w:r>
      <w:r w:rsidR="00160367">
        <w:t>ons sent by sponsor s</w:t>
      </w:r>
      <w:r>
        <w:t>afety team</w:t>
      </w:r>
      <w:r w:rsidR="00160367">
        <w:t>.</w:t>
      </w:r>
    </w:p>
    <w:p w14:paraId="345C2A26" w14:textId="77777777" w:rsidR="00F83ACE" w:rsidRDefault="00F83ACE" w:rsidP="00160367">
      <w:pPr>
        <w:pStyle w:val="ListBullet"/>
      </w:pPr>
      <w:r>
        <w:t>The sponsor has included ‘Use in patients over 55 years’ as missing information in the ASA. As such, the summary of safety concerns is now acceptable.</w:t>
      </w:r>
    </w:p>
    <w:p w14:paraId="4EC9C6C0" w14:textId="26AB19F2" w:rsidR="00F83ACE" w:rsidRDefault="00F83ACE" w:rsidP="00160367">
      <w:pPr>
        <w:pStyle w:val="ListBullet"/>
      </w:pPr>
      <w:r>
        <w:lastRenderedPageBreak/>
        <w:t>The sponsor has proposed routine pharmacovigilance activities for all safety concerns, including follow-up forms for PML and pregnancy. The sponsor has advised that core questions will be tailored on a case-by-case basis when investigating follow-up information for several safety concerns. The sponsor has proposed a PASS</w:t>
      </w:r>
      <w:r w:rsidR="00160367">
        <w:t>;</w:t>
      </w:r>
      <w:r w:rsidR="00160367">
        <w:rPr>
          <w:rStyle w:val="FootnoteReference"/>
        </w:rPr>
        <w:footnoteReference w:id="29"/>
      </w:r>
      <w:r>
        <w:t xml:space="preserve"> </w:t>
      </w:r>
      <w:r w:rsidR="00160367">
        <w:t>and long-term follow-up of S</w:t>
      </w:r>
      <w:r>
        <w:t>tudy RPC01</w:t>
      </w:r>
      <w:r w:rsidR="00160367">
        <w:t>-</w:t>
      </w:r>
      <w:r>
        <w:t>3001</w:t>
      </w:r>
      <w:r w:rsidR="00160367">
        <w:t>;</w:t>
      </w:r>
      <w:r w:rsidR="00160367" w:rsidRPr="00160367">
        <w:rPr>
          <w:vertAlign w:val="superscript"/>
        </w:rPr>
        <w:fldChar w:fldCharType="begin"/>
      </w:r>
      <w:r w:rsidR="00160367" w:rsidRPr="00160367">
        <w:rPr>
          <w:vertAlign w:val="superscript"/>
        </w:rPr>
        <w:instrText xml:space="preserve"> NOTEREF _Ref54078172 \h </w:instrText>
      </w:r>
      <w:r w:rsidR="00160367">
        <w:rPr>
          <w:vertAlign w:val="superscript"/>
        </w:rPr>
        <w:instrText xml:space="preserve"> \* MERGEFORMAT </w:instrText>
      </w:r>
      <w:r w:rsidR="00160367" w:rsidRPr="00160367">
        <w:rPr>
          <w:vertAlign w:val="superscript"/>
        </w:rPr>
      </w:r>
      <w:r w:rsidR="00160367" w:rsidRPr="00160367">
        <w:rPr>
          <w:vertAlign w:val="superscript"/>
        </w:rPr>
        <w:fldChar w:fldCharType="separate"/>
      </w:r>
      <w:r w:rsidR="005C13EA">
        <w:rPr>
          <w:vertAlign w:val="superscript"/>
        </w:rPr>
        <w:t>11</w:t>
      </w:r>
      <w:r w:rsidR="00160367" w:rsidRPr="00160367">
        <w:rPr>
          <w:vertAlign w:val="superscript"/>
        </w:rPr>
        <w:fldChar w:fldCharType="end"/>
      </w:r>
      <w:r>
        <w:t xml:space="preserve"> as additional pharmacovigilance activities to address all safety concerns. The pharmacovigilance plan proposed is acceptable</w:t>
      </w:r>
    </w:p>
    <w:p w14:paraId="2DDA9083" w14:textId="77777777" w:rsidR="007D53B6" w:rsidRDefault="00F83ACE" w:rsidP="007D53B6">
      <w:pPr>
        <w:pStyle w:val="ListBullet"/>
      </w:pPr>
      <w:r>
        <w:t>The sponsor has proposed routine risk minimisation activities for the majority of safety concerns. The sponsor has proposed a Healthcare practitioner (HCP) checklist and patient/caregiver guide as additional risk minimisation activities to address the majority of the important risks. This is acceptable.</w:t>
      </w:r>
    </w:p>
    <w:p w14:paraId="34E6C67C" w14:textId="77777777" w:rsidR="002A1865" w:rsidRDefault="005C5FF7" w:rsidP="005C5FF7">
      <w:pPr>
        <w:pStyle w:val="ListBullet"/>
      </w:pPr>
      <w:r>
        <w:t>At the fourth round of evaluation and following the sponsor’s responses to recommendations, t</w:t>
      </w:r>
      <w:r w:rsidRPr="005C5FF7">
        <w:t>here are no outstanding recommendations.</w:t>
      </w:r>
    </w:p>
    <w:p w14:paraId="1459552C" w14:textId="77777777" w:rsidR="002A1865" w:rsidRPr="00CB6229" w:rsidRDefault="002A1865" w:rsidP="005872F2">
      <w:pPr>
        <w:pStyle w:val="Heading4"/>
      </w:pPr>
      <w:bookmarkStart w:id="43" w:name="_Toc43188975"/>
      <w:r w:rsidRPr="00CB6229">
        <w:t>Wording for conditions of registration</w:t>
      </w:r>
      <w:bookmarkEnd w:id="43"/>
    </w:p>
    <w:p w14:paraId="42252F75" w14:textId="77777777" w:rsidR="002A1865" w:rsidRPr="005872F2" w:rsidRDefault="002A1865" w:rsidP="005872F2">
      <w:r w:rsidRPr="005872F2">
        <w:t>Any changes to which the sponsor has agreed should be included in a revised RMP and ASA. However, irrespective of whether or not they are included in the currently available version of the RMP document, the agreed changes become part of the risk management</w:t>
      </w:r>
      <w:r w:rsidR="005872F2">
        <w:t xml:space="preserve"> system.</w:t>
      </w:r>
    </w:p>
    <w:p w14:paraId="279A775E" w14:textId="44F62484" w:rsidR="002A1865" w:rsidRPr="005872F2" w:rsidRDefault="003354A0" w:rsidP="005872F2">
      <w:r>
        <w:t>The suggested wording is:</w:t>
      </w:r>
    </w:p>
    <w:p w14:paraId="6BE21F25" w14:textId="77777777" w:rsidR="002A1865" w:rsidRPr="003354A0" w:rsidRDefault="002A1865" w:rsidP="005872F2">
      <w:pPr>
        <w:ind w:left="720"/>
      </w:pPr>
      <w:r w:rsidRPr="003354A0">
        <w:t xml:space="preserve">The </w:t>
      </w:r>
      <w:proofErr w:type="spellStart"/>
      <w:r w:rsidRPr="003354A0">
        <w:t>ozanimod</w:t>
      </w:r>
      <w:proofErr w:type="spellEnd"/>
      <w:r w:rsidRPr="003354A0">
        <w:t xml:space="preserve"> EU-Risk Management Plan (RMP) (version 1.0, dated 23 April 2020, data lock point 30 June 2018), with Australian Specific Annex (version 1.0, dated </w:t>
      </w:r>
      <w:r w:rsidR="005872F2" w:rsidRPr="003354A0">
        <w:t>28 </w:t>
      </w:r>
      <w:r w:rsidRPr="003354A0">
        <w:t>June 2019), included with submission PM-2019-02397-1-1, to be revised to the satisfaction of the TGA, will be implemented in Australia.</w:t>
      </w:r>
    </w:p>
    <w:p w14:paraId="5CD1D204" w14:textId="77777777" w:rsidR="002A1865" w:rsidRPr="006B09FF" w:rsidRDefault="002A1865" w:rsidP="005872F2">
      <w:r w:rsidRPr="006B09FF">
        <w:t xml:space="preserve">The </w:t>
      </w:r>
      <w:r w:rsidRPr="005872F2">
        <w:t>following</w:t>
      </w:r>
      <w:r w:rsidRPr="006B09FF">
        <w:t xml:space="preserve"> wording is recommended for the PSUR requirement:</w:t>
      </w:r>
    </w:p>
    <w:p w14:paraId="7872BBCA" w14:textId="442594FD" w:rsidR="002A1865" w:rsidRPr="003354A0" w:rsidRDefault="002A1865" w:rsidP="005872F2">
      <w:pPr>
        <w:ind w:left="720"/>
      </w:pPr>
      <w:r w:rsidRPr="003354A0">
        <w:t>An obligatory component of risk management plans is routine pharmacovigilance. Routine pharmacovigilance includes the submission of periodic</w:t>
      </w:r>
      <w:r w:rsidR="003354A0">
        <w:t xml:space="preserve"> safety update reports (PSURs).</w:t>
      </w:r>
    </w:p>
    <w:p w14:paraId="649B3A81" w14:textId="77777777" w:rsidR="002A1865" w:rsidRPr="003354A0" w:rsidRDefault="002A1865" w:rsidP="005872F2">
      <w:pPr>
        <w:ind w:left="720"/>
      </w:pPr>
      <w:r w:rsidRPr="003354A0">
        <w:t>Unless agreed separately between the supplier who is the recipient of the approval and the TGA, the first report must be submitted to TGA no later than 15 calendar months after the date of this approval letter. The subsequent reports must be submitted no less frequently than annually from the date of the first submitted report until the period covered by such reports is not less than three years from the date of this approval letter. The annual submission may be made up of two PSURs each covering six months. If the sponsor wishes, the six monthly reports may be submitted separately as they become available.</w:t>
      </w:r>
    </w:p>
    <w:p w14:paraId="32204619" w14:textId="77777777" w:rsidR="002A1865" w:rsidRPr="003354A0" w:rsidRDefault="002A1865" w:rsidP="005872F2">
      <w:pPr>
        <w:ind w:left="720"/>
      </w:pPr>
      <w:r w:rsidRPr="003354A0">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three years from the date of this approval letter.</w:t>
      </w:r>
    </w:p>
    <w:p w14:paraId="1B2E01C1" w14:textId="77777777" w:rsidR="002A1865" w:rsidRPr="003354A0" w:rsidRDefault="002A1865" w:rsidP="005872F2">
      <w:pPr>
        <w:ind w:left="720"/>
      </w:pPr>
      <w:r w:rsidRPr="003354A0">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4F060654" w14:textId="77777777" w:rsidR="002A1865" w:rsidRPr="005872F2" w:rsidRDefault="002A1865" w:rsidP="005872F2">
      <w:r w:rsidRPr="005872F2">
        <w:lastRenderedPageBreak/>
        <w:t>As Zeposia is a new chemical entity it should be included in the Black Triangle Scheme as a condition of registration. The following wording is recommended for the condition of registration:</w:t>
      </w:r>
    </w:p>
    <w:p w14:paraId="352DADB7" w14:textId="77777777" w:rsidR="002A1865" w:rsidRPr="003354A0" w:rsidRDefault="002A1865" w:rsidP="005872F2">
      <w:pPr>
        <w:ind w:left="720"/>
      </w:pPr>
      <w:r w:rsidRPr="003354A0">
        <w:t>Zeposia (</w:t>
      </w:r>
      <w:proofErr w:type="spellStart"/>
      <w:r w:rsidRPr="003354A0">
        <w:t>ozanimod</w:t>
      </w:r>
      <w:proofErr w:type="spellEnd"/>
      <w:r w:rsidRPr="003354A0">
        <w:t>) is to be included in the Black Triangle Scheme. The PI and CMI for Zeposia must include the black triangle symbol and mandatory accompanying text for five years, which starts from the date that the sponsor notifies the TGA of supply of the product.</w:t>
      </w:r>
    </w:p>
    <w:p w14:paraId="346E2038" w14:textId="77777777" w:rsidR="008E7846" w:rsidRDefault="00AA0ED0" w:rsidP="008E7846">
      <w:pPr>
        <w:pStyle w:val="Heading3"/>
      </w:pPr>
      <w:bookmarkStart w:id="44" w:name="_Toc247691531"/>
      <w:bookmarkStart w:id="45" w:name="_Toc314842515"/>
      <w:bookmarkStart w:id="46" w:name="_Toc196046505"/>
      <w:bookmarkStart w:id="47" w:name="_Toc196046949"/>
      <w:bookmarkStart w:id="48" w:name="_Toc57809141"/>
      <w:r>
        <w:t>Risk-benefit a</w:t>
      </w:r>
      <w:r w:rsidR="008E7846">
        <w:t>nalysis</w:t>
      </w:r>
      <w:bookmarkEnd w:id="44"/>
      <w:bookmarkEnd w:id="45"/>
      <w:bookmarkEnd w:id="48"/>
    </w:p>
    <w:p w14:paraId="7FD6DCE8" w14:textId="77777777" w:rsidR="00D23139" w:rsidRDefault="007D53B6" w:rsidP="00D23139">
      <w:pPr>
        <w:pStyle w:val="Heading4"/>
      </w:pPr>
      <w:r>
        <w:t>Delegate’s considerations</w:t>
      </w:r>
    </w:p>
    <w:p w14:paraId="70E5A4F1" w14:textId="77777777" w:rsidR="00152F85" w:rsidRPr="00911B06" w:rsidRDefault="00152F85" w:rsidP="00911B06">
      <w:proofErr w:type="spellStart"/>
      <w:r w:rsidRPr="00911B06">
        <w:t>Ozanimod</w:t>
      </w:r>
      <w:proofErr w:type="spellEnd"/>
      <w:r w:rsidRPr="00911B06">
        <w:t xml:space="preserve"> is a S1P receptor modulator that binds selectively to the S1P1 and S1P5 receptors, proposed by the sponsor for the treatment of RMS. Therapies, which modulate S1P receptor modulators, reduce peripheral lymphocyte counts by preventing lymp</w:t>
      </w:r>
      <w:r w:rsidR="00911B06">
        <w:t>hocyte egress from lymph nodes.</w:t>
      </w:r>
    </w:p>
    <w:p w14:paraId="34F5AAB6" w14:textId="77777777" w:rsidR="00152F85" w:rsidRPr="00911B06" w:rsidRDefault="00152F85" w:rsidP="00911B06">
      <w:r w:rsidRPr="00911B06">
        <w:t xml:space="preserve">Overall, the PK of </w:t>
      </w:r>
      <w:proofErr w:type="spellStart"/>
      <w:r w:rsidRPr="00911B06">
        <w:t>ozanimod</w:t>
      </w:r>
      <w:proofErr w:type="spellEnd"/>
      <w:r w:rsidRPr="00911B06">
        <w:t xml:space="preserve"> have been adequately characterised by the sponsor through several Phase I trials along with additional data from Phase II and III studies. The modelling strategy was considered acceptable and the PK models seemed to describe the data sufficiently. The proposed clinical dose of </w:t>
      </w:r>
      <w:proofErr w:type="spellStart"/>
      <w:r w:rsidRPr="00911B06">
        <w:t>ozanimod</w:t>
      </w:r>
      <w:proofErr w:type="spellEnd"/>
      <w:r w:rsidRPr="00911B06">
        <w:t xml:space="preserve"> 1 mg preceded by 7 days of dose escalation</w:t>
      </w:r>
      <w:r w:rsidR="00911B06">
        <w:t xml:space="preserve"> is acceptable to the delegate.</w:t>
      </w:r>
    </w:p>
    <w:p w14:paraId="4FA2D704" w14:textId="77777777" w:rsidR="00152F85" w:rsidRPr="00911B06" w:rsidRDefault="00152F85" w:rsidP="00911B06">
      <w:r w:rsidRPr="00911B06">
        <w:t xml:space="preserve">Two pivotal trials (Studies RPC01-201B and RPC01-301) form the basis of support for the effectiveness of </w:t>
      </w:r>
      <w:proofErr w:type="spellStart"/>
      <w:r w:rsidRPr="00911B06">
        <w:t>ozanimod</w:t>
      </w:r>
      <w:proofErr w:type="spellEnd"/>
      <w:r w:rsidRPr="00911B06">
        <w:t xml:space="preserve"> for the treatment of R</w:t>
      </w:r>
      <w:r w:rsidR="00911B06" w:rsidRPr="00911B06">
        <w:t xml:space="preserve">MS. Both trials were </w:t>
      </w:r>
      <w:r w:rsidR="00911B06">
        <w:t>randomis</w:t>
      </w:r>
      <w:r w:rsidRPr="00911B06">
        <w:t xml:space="preserve">ed, double-blind, double-dummy, active-controlled, parallel group studies that compared 0.5 mg and 1 mg doses of </w:t>
      </w:r>
      <w:proofErr w:type="spellStart"/>
      <w:r w:rsidRPr="00911B06">
        <w:t>ozan</w:t>
      </w:r>
      <w:r w:rsidR="00911B06">
        <w:t>imod</w:t>
      </w:r>
      <w:proofErr w:type="spellEnd"/>
      <w:r w:rsidR="00911B06">
        <w:t xml:space="preserve"> with IFN β1a (30 µ</w:t>
      </w:r>
      <w:r w:rsidRPr="00911B06">
        <w:t>g given intramuscularly weekly). The two trials were identical with a same set of the primary and key secondary endpoints with the exception of duration (</w:t>
      </w:r>
      <w:r w:rsidR="00911B06">
        <w:t>Study RPC01-201B of</w:t>
      </w:r>
      <w:r w:rsidRPr="00911B06">
        <w:t xml:space="preserve"> 24 month</w:t>
      </w:r>
      <w:r w:rsidR="00911B06">
        <w:t xml:space="preserve"> duration</w:t>
      </w:r>
      <w:r w:rsidRPr="00911B06">
        <w:t xml:space="preserve"> and </w:t>
      </w:r>
      <w:r w:rsidR="00911B06">
        <w:t>Study RPC01-301 of</w:t>
      </w:r>
      <w:r w:rsidRPr="00911B06">
        <w:t xml:space="preserve"> 12 month</w:t>
      </w:r>
      <w:r w:rsidR="00911B06">
        <w:t xml:space="preserve"> duration).</w:t>
      </w:r>
    </w:p>
    <w:p w14:paraId="351F988F" w14:textId="77777777" w:rsidR="00152F85" w:rsidRPr="004228C6" w:rsidRDefault="00152F85" w:rsidP="004228C6">
      <w:r>
        <w:t xml:space="preserve">Dose-dependent </w:t>
      </w:r>
      <w:r w:rsidR="00911B06">
        <w:t xml:space="preserve">statistical superiority of once </w:t>
      </w:r>
      <w:r>
        <w:t xml:space="preserve">daily oral </w:t>
      </w:r>
      <w:proofErr w:type="spellStart"/>
      <w:r>
        <w:t>ozanimod</w:t>
      </w:r>
      <w:proofErr w:type="spellEnd"/>
      <w:r>
        <w:t xml:space="preserve"> 0.5 mg and 1 mg over 30 </w:t>
      </w:r>
      <w:r w:rsidR="00911B06">
        <w:t>µ</w:t>
      </w:r>
      <w:r>
        <w:t>g IFN β</w:t>
      </w:r>
      <w:r w:rsidR="00911B06">
        <w:t>-1a once weekly intramuscular</w:t>
      </w:r>
      <w:r>
        <w:t xml:space="preserve"> injections (an accepted standard of care as </w:t>
      </w:r>
      <w:r w:rsidR="00911B06">
        <w:t>disease modifying treatment</w:t>
      </w:r>
      <w:r>
        <w:t xml:space="preserve"> in adult RMS patients) was demonstrated in both pivo</w:t>
      </w:r>
      <w:r w:rsidR="00911B06">
        <w:t>tal phase III efficacy studies.</w:t>
      </w:r>
    </w:p>
    <w:p w14:paraId="182C7334" w14:textId="77777777" w:rsidR="00152F85" w:rsidRPr="00911B06" w:rsidRDefault="00152F85" w:rsidP="00911B06">
      <w:r>
        <w:t xml:space="preserve">Pivotal studies failed to demonstrate the superior benefit of </w:t>
      </w:r>
      <w:proofErr w:type="spellStart"/>
      <w:r>
        <w:t>ozanimod</w:t>
      </w:r>
      <w:proofErr w:type="spellEnd"/>
      <w:r>
        <w:t xml:space="preserve"> treatments over IFN β-1a treatment at </w:t>
      </w:r>
      <w:r w:rsidR="00911B06">
        <w:t xml:space="preserve">the 3 months and 6 </w:t>
      </w:r>
      <w:r>
        <w:t xml:space="preserve">months’ time point for disease progression (third key secondary efficacy endpoint), in either the individual studies, or pooled results from the pivotal studies. Subject numbers in each treatment group were too small to draw meaningful conclusions. Hence, the effect of </w:t>
      </w:r>
      <w:proofErr w:type="spellStart"/>
      <w:r>
        <w:t>ozanimod</w:t>
      </w:r>
      <w:proofErr w:type="spellEnd"/>
      <w:r>
        <w:t xml:space="preserve"> exposure on disability progression in RMS ha</w:t>
      </w:r>
      <w:r w:rsidR="00911B06">
        <w:t>s not been fully characterised.</w:t>
      </w:r>
    </w:p>
    <w:p w14:paraId="7C4C4FC7" w14:textId="77777777" w:rsidR="00152F85" w:rsidRPr="00911B06" w:rsidRDefault="00152F85" w:rsidP="00911B06">
      <w:r>
        <w:t xml:space="preserve">Maintenance of efficacy/sustained relapse prevention in adults was generally demonstrated for 1 mg </w:t>
      </w:r>
      <w:proofErr w:type="spellStart"/>
      <w:r>
        <w:t>oz</w:t>
      </w:r>
      <w:r w:rsidR="00911B06">
        <w:t>animod</w:t>
      </w:r>
      <w:proofErr w:type="spellEnd"/>
      <w:r w:rsidR="00911B06">
        <w:t xml:space="preserve"> for up to 68 months, that is, </w:t>
      </w:r>
      <w:r>
        <w:t xml:space="preserve">over 5 years’ </w:t>
      </w:r>
      <w:proofErr w:type="spellStart"/>
      <w:r>
        <w:t>ozanimod</w:t>
      </w:r>
      <w:proofErr w:type="spellEnd"/>
      <w:r>
        <w:t xml:space="preserve"> exposure</w:t>
      </w:r>
      <w:r w:rsidR="00911B06">
        <w:t>; for example</w:t>
      </w:r>
      <w:r w:rsidR="004228C6">
        <w:t>,</w:t>
      </w:r>
      <w:r w:rsidR="00911B06">
        <w:t xml:space="preserve"> an adjusted average relapse rate of 0.141 for treatment from first </w:t>
      </w:r>
      <w:r>
        <w:t xml:space="preserve">dose through </w:t>
      </w:r>
      <w:r w:rsidR="00911B06">
        <w:t>to data cut-off (30 June 2018).</w:t>
      </w:r>
    </w:p>
    <w:p w14:paraId="169D86D9" w14:textId="77777777" w:rsidR="00152F85" w:rsidRPr="004228C6" w:rsidRDefault="00152F85" w:rsidP="004228C6">
      <w:r>
        <w:t xml:space="preserve">The safety profile of </w:t>
      </w:r>
      <w:proofErr w:type="spellStart"/>
      <w:r>
        <w:t>ozanimod</w:t>
      </w:r>
      <w:proofErr w:type="spellEnd"/>
      <w:r>
        <w:t xml:space="preserve"> in the RMS population did not present with any unexpected findings as compared to other S1P receptor modulators. </w:t>
      </w:r>
      <w:proofErr w:type="spellStart"/>
      <w:r>
        <w:t>Fingolimod</w:t>
      </w:r>
      <w:proofErr w:type="spellEnd"/>
      <w:r>
        <w:t xml:space="preserve"> was authorised more than 9 years ago in the Australia and risk minimisation measures proved efficacious for the indication of relapsing forms of MS. </w:t>
      </w:r>
      <w:proofErr w:type="spellStart"/>
      <w:r>
        <w:t>Siponimod</w:t>
      </w:r>
      <w:proofErr w:type="spellEnd"/>
      <w:r>
        <w:t xml:space="preserve"> was recently granted approval (Nov</w:t>
      </w:r>
      <w:r w:rsidR="004228C6">
        <w:t>ember</w:t>
      </w:r>
      <w:r>
        <w:t xml:space="preserve"> 2019)</w:t>
      </w:r>
      <w:r w:rsidR="004228C6">
        <w:t>;</w:t>
      </w:r>
      <w:r w:rsidR="004228C6">
        <w:rPr>
          <w:rStyle w:val="FootnoteReference"/>
        </w:rPr>
        <w:footnoteReference w:id="30"/>
      </w:r>
      <w:r>
        <w:t xml:space="preserve"> for treatment of adult patients with SPMS. </w:t>
      </w:r>
      <w:proofErr w:type="spellStart"/>
      <w:r>
        <w:t>Siponimod</w:t>
      </w:r>
      <w:proofErr w:type="spellEnd"/>
      <w:r>
        <w:t xml:space="preserve">, although </w:t>
      </w:r>
      <w:r>
        <w:lastRenderedPageBreak/>
        <w:t>indicated for treatment of a later stage of MS, presented with a qualitatively similar safety profile as compa</w:t>
      </w:r>
      <w:r w:rsidR="004228C6">
        <w:t xml:space="preserve">red to </w:t>
      </w:r>
      <w:proofErr w:type="spellStart"/>
      <w:r w:rsidR="004228C6">
        <w:t>fingolimod</w:t>
      </w:r>
      <w:proofErr w:type="spellEnd"/>
      <w:r w:rsidR="004228C6">
        <w:t xml:space="preserve"> and </w:t>
      </w:r>
      <w:proofErr w:type="spellStart"/>
      <w:r w:rsidR="004228C6">
        <w:t>ozanimod</w:t>
      </w:r>
      <w:proofErr w:type="spellEnd"/>
      <w:r w:rsidR="004228C6">
        <w:t>.</w:t>
      </w:r>
    </w:p>
    <w:p w14:paraId="344AE88F" w14:textId="77777777" w:rsidR="00152F85" w:rsidRPr="004228C6" w:rsidRDefault="00152F85" w:rsidP="004228C6">
      <w:r>
        <w:t xml:space="preserve">The amount of clinical trial safety data of </w:t>
      </w:r>
      <w:proofErr w:type="spellStart"/>
      <w:r>
        <w:t>fingolimod</w:t>
      </w:r>
      <w:proofErr w:type="spellEnd"/>
      <w:r>
        <w:t xml:space="preserve"> and </w:t>
      </w:r>
      <w:proofErr w:type="spellStart"/>
      <w:r>
        <w:t>siponimod</w:t>
      </w:r>
      <w:proofErr w:type="spellEnd"/>
      <w:r>
        <w:t xml:space="preserve"> and post-marketing experience with </w:t>
      </w:r>
      <w:proofErr w:type="spellStart"/>
      <w:r>
        <w:t>fingolimod</w:t>
      </w:r>
      <w:proofErr w:type="spellEnd"/>
      <w:r>
        <w:t xml:space="preserve"> appears reassuring that the safety of </w:t>
      </w:r>
      <w:proofErr w:type="spellStart"/>
      <w:r>
        <w:t>ozanimod</w:t>
      </w:r>
      <w:proofErr w:type="spellEnd"/>
      <w:r>
        <w:t xml:space="preserve"> is likewise manageable with preventative measures in place in the </w:t>
      </w:r>
      <w:r w:rsidR="004228C6">
        <w:t>PI</w:t>
      </w:r>
      <w:r>
        <w:t xml:space="preserve"> and RMP. Patients with severe cardiac pre-morbid conditions were excluded from clinical studies and are likewise to be excluded from treatment with </w:t>
      </w:r>
      <w:proofErr w:type="spellStart"/>
      <w:r>
        <w:t>ozanimod</w:t>
      </w:r>
      <w:proofErr w:type="spellEnd"/>
      <w:r>
        <w:t xml:space="preserve"> (</w:t>
      </w:r>
      <w:r w:rsidR="004228C6">
        <w:t>See: ‘</w:t>
      </w:r>
      <w:r>
        <w:t>co</w:t>
      </w:r>
      <w:r w:rsidR="004228C6">
        <w:t>ntraindication’ in section 4.3 of the PI).</w:t>
      </w:r>
    </w:p>
    <w:p w14:paraId="38C8727E" w14:textId="77777777" w:rsidR="00152F85" w:rsidRPr="004228C6" w:rsidRDefault="00152F85" w:rsidP="004228C6">
      <w:r>
        <w:t xml:space="preserve">Similar to other S1P receptor modulators, there are other relevant safety concerns </w:t>
      </w:r>
      <w:r w:rsidR="004228C6">
        <w:t xml:space="preserve">with chronic </w:t>
      </w:r>
      <w:proofErr w:type="spellStart"/>
      <w:r w:rsidR="004228C6">
        <w:t>ozanimod</w:t>
      </w:r>
      <w:proofErr w:type="spellEnd"/>
      <w:r w:rsidR="004228C6">
        <w:t xml:space="preserve"> use, that is, risk for serious/</w:t>
      </w:r>
      <w:r>
        <w:t xml:space="preserve">opportunistic infections, elevation of liver enzymes that may be problematic for patients with pre-existing hepatic conditions, and an increased risk of malignancies. The determination of the long-term safety risk is still outstanding and will be further addressed in the ongoing long-term </w:t>
      </w:r>
      <w:r w:rsidR="004228C6">
        <w:t xml:space="preserve">open label extension of </w:t>
      </w:r>
      <w:r>
        <w:t>Study RPC01-3001 and in a r</w:t>
      </w:r>
      <w:r w:rsidR="004228C6">
        <w:t>eal-world post marketing study.</w:t>
      </w:r>
    </w:p>
    <w:p w14:paraId="7CDD1C9E" w14:textId="77777777" w:rsidR="00152F85" w:rsidRPr="004228C6" w:rsidRDefault="00152F85" w:rsidP="004228C6">
      <w:r>
        <w:t>The overall benefit risk profile of Zeposia is positive for the treatment of adult patients with relapsi</w:t>
      </w:r>
      <w:r w:rsidR="004228C6">
        <w:t>ng forms of multiple sclerosis.</w:t>
      </w:r>
    </w:p>
    <w:p w14:paraId="499FD93A" w14:textId="77777777" w:rsidR="00152F85" w:rsidRDefault="004228C6" w:rsidP="004228C6">
      <w:pPr>
        <w:pStyle w:val="Heading5"/>
      </w:pPr>
      <w:r>
        <w:t>Deficiencies of the data</w:t>
      </w:r>
    </w:p>
    <w:p w14:paraId="145D5B6B" w14:textId="77777777" w:rsidR="004228C6" w:rsidRPr="004228C6" w:rsidRDefault="004228C6" w:rsidP="004228C6">
      <w:r>
        <w:t>The Delegate listed the following as deficiencies of current data:</w:t>
      </w:r>
    </w:p>
    <w:p w14:paraId="5C88C713" w14:textId="77777777" w:rsidR="00152F85" w:rsidRPr="004228C6" w:rsidRDefault="004228C6" w:rsidP="004228C6">
      <w:pPr>
        <w:pStyle w:val="ListBullet"/>
      </w:pPr>
      <w:r>
        <w:t>l</w:t>
      </w:r>
      <w:r w:rsidR="00152F85" w:rsidRPr="004228C6">
        <w:t>ong term ris</w:t>
      </w:r>
      <w:r>
        <w:t>k of cardiovascular comorbidity;</w:t>
      </w:r>
    </w:p>
    <w:p w14:paraId="064A0E61" w14:textId="77777777" w:rsidR="00152F85" w:rsidRPr="004228C6" w:rsidRDefault="004228C6" w:rsidP="004228C6">
      <w:pPr>
        <w:pStyle w:val="ListBullet"/>
      </w:pPr>
      <w:r>
        <w:t>e</w:t>
      </w:r>
      <w:r w:rsidR="00152F85" w:rsidRPr="004228C6">
        <w:t>ffec</w:t>
      </w:r>
      <w:r>
        <w:t>ts following withdrawal of drug;</w:t>
      </w:r>
    </w:p>
    <w:p w14:paraId="621656FC" w14:textId="77777777" w:rsidR="00152F85" w:rsidRPr="004228C6" w:rsidRDefault="004228C6" w:rsidP="004228C6">
      <w:pPr>
        <w:pStyle w:val="ListBullet"/>
      </w:pPr>
      <w:r>
        <w:t>use in patients over 55 years;</w:t>
      </w:r>
    </w:p>
    <w:p w14:paraId="0E13E0C9" w14:textId="77777777" w:rsidR="00152F85" w:rsidRPr="004228C6" w:rsidRDefault="004228C6" w:rsidP="004228C6">
      <w:pPr>
        <w:pStyle w:val="ListBullet"/>
      </w:pPr>
      <w:r>
        <w:t>e</w:t>
      </w:r>
      <w:r w:rsidR="00152F85" w:rsidRPr="004228C6">
        <w:t>ffect o</w:t>
      </w:r>
      <w:r>
        <w:t>n confirmed disease progression; and</w:t>
      </w:r>
    </w:p>
    <w:p w14:paraId="2BA32D54" w14:textId="77777777" w:rsidR="00152F85" w:rsidRPr="004228C6" w:rsidRDefault="004228C6" w:rsidP="00152F85">
      <w:pPr>
        <w:pStyle w:val="ListBullet"/>
      </w:pPr>
      <w:r>
        <w:t>long term risk of malignancy.</w:t>
      </w:r>
    </w:p>
    <w:p w14:paraId="2E0EACBC" w14:textId="77777777" w:rsidR="00152F85" w:rsidRDefault="00152F85" w:rsidP="004228C6">
      <w:pPr>
        <w:pStyle w:val="Heading5"/>
      </w:pPr>
      <w:r>
        <w:t>C</w:t>
      </w:r>
      <w:r w:rsidR="004228C6">
        <w:t>onditions of registration</w:t>
      </w:r>
    </w:p>
    <w:p w14:paraId="5EEBD217" w14:textId="0FF9914B" w:rsidR="00152F85" w:rsidRPr="003354A0" w:rsidRDefault="00152F85" w:rsidP="003354A0">
      <w:r w:rsidRPr="00C80C98">
        <w:t>As Zeposia is a new chemical entity it should be included in the Black Triangle Scheme as a condition of registration.</w:t>
      </w:r>
      <w:r w:rsidR="003354A0">
        <w:t xml:space="preserve"> With wording as shown in the ‘</w:t>
      </w:r>
      <w:r w:rsidR="003354A0" w:rsidRPr="003354A0">
        <w:rPr>
          <w:i/>
        </w:rPr>
        <w:t>Risk management plan</w:t>
      </w:r>
      <w:r w:rsidR="003354A0">
        <w:t>’ section, above</w:t>
      </w:r>
      <w:r w:rsidR="00C80C98" w:rsidRPr="003354A0">
        <w:t>.</w:t>
      </w:r>
    </w:p>
    <w:p w14:paraId="17E794EC" w14:textId="77777777" w:rsidR="00D23139" w:rsidRDefault="00D23139" w:rsidP="00D23139">
      <w:pPr>
        <w:pStyle w:val="Heading4"/>
      </w:pPr>
      <w:r w:rsidRPr="00D23139">
        <w:t>Proposed action</w:t>
      </w:r>
    </w:p>
    <w:p w14:paraId="2A48F009" w14:textId="77777777" w:rsidR="00456765" w:rsidRPr="00C80C98" w:rsidRDefault="00C80C98" w:rsidP="00C80C98">
      <w:r>
        <w:t>Overall, Zeposia is approvable as the quality, nonclinical and clinical evaluators (subjected to product information changes) have all recommended approval. The Delegate considers that sufficient data and justification have been provided to support the registration of Zeposia on quality, safety and efficacy grounds for the relapsing forms of multiple sclerosis.</w:t>
      </w:r>
    </w:p>
    <w:p w14:paraId="4B2D5BFD" w14:textId="08075B54" w:rsidR="007D53B6" w:rsidRDefault="007D53B6" w:rsidP="007D53B6">
      <w:pPr>
        <w:pStyle w:val="Heading4"/>
      </w:pPr>
      <w:r>
        <w:t xml:space="preserve">Request for </w:t>
      </w:r>
      <w:r w:rsidR="0030394A">
        <w:t>Advisory Committee on Medicines</w:t>
      </w:r>
      <w:r w:rsidR="003354A0">
        <w:t xml:space="preserve"> advice</w:t>
      </w:r>
    </w:p>
    <w:p w14:paraId="262EE722" w14:textId="77777777" w:rsidR="007D53B6" w:rsidRPr="0030394A" w:rsidRDefault="0030394A" w:rsidP="0030394A">
      <w:r w:rsidRPr="0030394A">
        <w:t>This application was not referred to an Advisory Committee</w:t>
      </w:r>
      <w:r>
        <w:t xml:space="preserve"> on Medicines (ACM)</w:t>
      </w:r>
      <w:r w:rsidRPr="0030394A">
        <w:t xml:space="preserve"> for review because this drug is not the first in its class; the safety profile is similar to that of the two other drugs in this class approved for </w:t>
      </w:r>
      <w:r>
        <w:t>MS</w:t>
      </w:r>
      <w:r w:rsidRPr="0030394A">
        <w:t>. The clinical trial</w:t>
      </w:r>
      <w:r w:rsidR="00152F85">
        <w:t>s</w:t>
      </w:r>
      <w:r w:rsidRPr="0030394A">
        <w:t xml:space="preserve"> were well designed, the efficacy was clearly demonstrated, and the safety profile was acceptable. Additionally</w:t>
      </w:r>
      <w:r w:rsidR="00152F85">
        <w:t>,</w:t>
      </w:r>
      <w:r w:rsidRPr="0030394A">
        <w:t xml:space="preserve"> the</w:t>
      </w:r>
      <w:r>
        <w:t>re were no pending issues with clinical, quality or t</w:t>
      </w:r>
      <w:r w:rsidRPr="0030394A">
        <w:t xml:space="preserve">oxicology evaluators. Product information will make prescribers fully aware of the risks associated with </w:t>
      </w:r>
      <w:proofErr w:type="spellStart"/>
      <w:r w:rsidRPr="0030394A">
        <w:t>ozanimod</w:t>
      </w:r>
      <w:proofErr w:type="spellEnd"/>
      <w:r w:rsidRPr="0030394A">
        <w:t xml:space="preserve"> treatment, allowing them to inform patients and decide whether to use the drug.</w:t>
      </w:r>
    </w:p>
    <w:p w14:paraId="7065BE3E" w14:textId="77777777" w:rsidR="008E7846" w:rsidRDefault="008E7846" w:rsidP="007D53B6">
      <w:pPr>
        <w:pStyle w:val="Heading4"/>
      </w:pPr>
      <w:r>
        <w:lastRenderedPageBreak/>
        <w:t xml:space="preserve">Advisory Committee </w:t>
      </w:r>
      <w:r w:rsidR="007D53B6">
        <w:t>c</w:t>
      </w:r>
      <w:r>
        <w:t>onsiderations</w:t>
      </w:r>
      <w:r w:rsidR="00456765">
        <w:rPr>
          <w:rStyle w:val="FootnoteReference"/>
        </w:rPr>
        <w:footnoteReference w:id="31"/>
      </w:r>
    </w:p>
    <w:p w14:paraId="0A4047E3" w14:textId="77777777" w:rsidR="007D53B6" w:rsidRPr="007D53B6" w:rsidRDefault="007D53B6" w:rsidP="007D53B6">
      <w:r w:rsidRPr="007D53B6">
        <w:t>The Delegate did not refer this application to the Advisory Committee on Medicines (ACM) for advice.</w:t>
      </w:r>
    </w:p>
    <w:p w14:paraId="5F129093" w14:textId="77777777" w:rsidR="008E7846" w:rsidRPr="002E238E" w:rsidRDefault="008E7846" w:rsidP="008E7846">
      <w:pPr>
        <w:pStyle w:val="Heading3"/>
      </w:pPr>
      <w:bookmarkStart w:id="49" w:name="_Toc247691532"/>
      <w:bookmarkStart w:id="50" w:name="_Toc314842516"/>
      <w:bookmarkStart w:id="51" w:name="_Toc57809142"/>
      <w:bookmarkEnd w:id="29"/>
      <w:bookmarkEnd w:id="46"/>
      <w:bookmarkEnd w:id="47"/>
      <w:r>
        <w:t>Outcome</w:t>
      </w:r>
      <w:bookmarkEnd w:id="49"/>
      <w:bookmarkEnd w:id="50"/>
      <w:bookmarkEnd w:id="51"/>
    </w:p>
    <w:p w14:paraId="664151AF" w14:textId="77777777" w:rsidR="007D53B6" w:rsidRDefault="007D53B6" w:rsidP="007D53B6">
      <w:bookmarkStart w:id="52" w:name="_Toc247691533"/>
      <w:bookmarkStart w:id="53" w:name="_Toc314842517"/>
      <w:r>
        <w:t xml:space="preserve">Based on a review of quality, safety and efficacy, </w:t>
      </w:r>
      <w:r w:rsidR="002C2643">
        <w:t xml:space="preserve">the </w:t>
      </w:r>
      <w:r>
        <w:t>TGA app</w:t>
      </w:r>
      <w:r w:rsidR="008F613E">
        <w:t>roved the registration of:</w:t>
      </w:r>
    </w:p>
    <w:p w14:paraId="72E79132" w14:textId="23F66437" w:rsidR="002C2643" w:rsidRPr="002C2643" w:rsidRDefault="00697AE3" w:rsidP="00697AE3">
      <w:pPr>
        <w:pStyle w:val="ListBullet"/>
      </w:pPr>
      <w:r>
        <w:t>Zeposia</w:t>
      </w:r>
      <w:r w:rsidR="002C2643" w:rsidRPr="002C2643">
        <w:t xml:space="preserve"> </w:t>
      </w:r>
      <w:proofErr w:type="spellStart"/>
      <w:r w:rsidR="002C2643" w:rsidRPr="002C2643">
        <w:t>ozanimod</w:t>
      </w:r>
      <w:proofErr w:type="spellEnd"/>
      <w:r w:rsidR="002C2643" w:rsidRPr="002C2643">
        <w:t xml:space="preserve"> 920 </w:t>
      </w:r>
      <w:r w:rsidR="003354A0">
        <w:t xml:space="preserve">µg </w:t>
      </w:r>
      <w:r w:rsidR="002C2643" w:rsidRPr="002C2643">
        <w:t>capsules blister pack</w:t>
      </w:r>
      <w:r>
        <w:t>; and</w:t>
      </w:r>
    </w:p>
    <w:p w14:paraId="38BA1736" w14:textId="750EAFE5" w:rsidR="002C2643" w:rsidRPr="002C2643" w:rsidRDefault="002C2643" w:rsidP="002C2643">
      <w:pPr>
        <w:pStyle w:val="ListBullet"/>
      </w:pPr>
      <w:r w:rsidRPr="002C2643">
        <w:t>Z</w:t>
      </w:r>
      <w:r w:rsidR="00697AE3">
        <w:t>eposia</w:t>
      </w:r>
      <w:r w:rsidRPr="002C2643">
        <w:t xml:space="preserve"> </w:t>
      </w:r>
      <w:proofErr w:type="spellStart"/>
      <w:r w:rsidRPr="002C2643">
        <w:t>ozanimod</w:t>
      </w:r>
      <w:proofErr w:type="spellEnd"/>
      <w:r w:rsidRPr="002C2643">
        <w:t xml:space="preserve"> 230 </w:t>
      </w:r>
      <w:r w:rsidR="003354A0">
        <w:t>µg and 460 µg</w:t>
      </w:r>
      <w:r w:rsidRPr="002C2643">
        <w:t xml:space="preserve"> capsules blister</w:t>
      </w:r>
      <w:r w:rsidR="00697AE3">
        <w:t xml:space="preserve"> </w:t>
      </w:r>
      <w:r w:rsidRPr="002C2643">
        <w:t>wallet composite pack</w:t>
      </w:r>
      <w:r w:rsidR="008F613E">
        <w:t>.</w:t>
      </w:r>
    </w:p>
    <w:p w14:paraId="561949C2" w14:textId="77777777" w:rsidR="002C2643" w:rsidRPr="002C2643" w:rsidRDefault="002C2643" w:rsidP="002C2643">
      <w:r w:rsidRPr="002C2643">
        <w:t>The approved indication for these therapeutic goods is:</w:t>
      </w:r>
    </w:p>
    <w:p w14:paraId="232F7AD5" w14:textId="20051806" w:rsidR="007D53B6" w:rsidRPr="00697AE3" w:rsidRDefault="002C2643" w:rsidP="00697AE3">
      <w:pPr>
        <w:ind w:left="720"/>
        <w:rPr>
          <w:i/>
        </w:rPr>
      </w:pPr>
      <w:r w:rsidRPr="00697AE3">
        <w:rPr>
          <w:i/>
        </w:rPr>
        <w:t>Zeposia is indicated for the treatment of adult patients with relapsing forms of multiple</w:t>
      </w:r>
      <w:r w:rsidR="00697AE3">
        <w:rPr>
          <w:i/>
        </w:rPr>
        <w:t xml:space="preserve"> </w:t>
      </w:r>
      <w:r w:rsidRPr="00697AE3">
        <w:rPr>
          <w:i/>
        </w:rPr>
        <w:t>sclerosis.</w:t>
      </w:r>
    </w:p>
    <w:p w14:paraId="6F8811AC" w14:textId="77777777" w:rsidR="00D23139" w:rsidRPr="00D23139" w:rsidRDefault="00D23139" w:rsidP="00D23139">
      <w:pPr>
        <w:pStyle w:val="Heading4"/>
      </w:pPr>
      <w:r w:rsidRPr="00D23139">
        <w:t>Specific conditions of registration applying to these goods</w:t>
      </w:r>
    </w:p>
    <w:p w14:paraId="521ADA96" w14:textId="77777777" w:rsidR="007217A1" w:rsidRPr="007217A1" w:rsidRDefault="007217A1" w:rsidP="003354A0">
      <w:pPr>
        <w:pStyle w:val="ListBullet"/>
      </w:pPr>
      <w:r w:rsidRPr="007217A1">
        <w:t>Zeposia (</w:t>
      </w:r>
      <w:proofErr w:type="spellStart"/>
      <w:r w:rsidRPr="007217A1">
        <w:t>ozanimod</w:t>
      </w:r>
      <w:proofErr w:type="spellEnd"/>
      <w:r w:rsidRPr="007217A1">
        <w:t>) is to be included in the Black Triangle Scheme. The PI and CMI for</w:t>
      </w:r>
      <w:r>
        <w:t xml:space="preserve"> </w:t>
      </w:r>
      <w:r w:rsidRPr="007217A1">
        <w:t xml:space="preserve">Zeposia must include the black triangle symbol and </w:t>
      </w:r>
      <w:r>
        <w:t xml:space="preserve">mandatory accompanying text for </w:t>
      </w:r>
      <w:r w:rsidRPr="007217A1">
        <w:t>five years, which starts from the date that the sponso</w:t>
      </w:r>
      <w:r>
        <w:t xml:space="preserve">r notifies the TGA of supply of </w:t>
      </w:r>
      <w:r w:rsidRPr="007217A1">
        <w:t>the product.</w:t>
      </w:r>
    </w:p>
    <w:p w14:paraId="6B4083EE" w14:textId="77777777" w:rsidR="007217A1" w:rsidRPr="007217A1" w:rsidRDefault="007217A1" w:rsidP="003354A0">
      <w:pPr>
        <w:pStyle w:val="ListBullet"/>
      </w:pPr>
      <w:r w:rsidRPr="007217A1">
        <w:t xml:space="preserve">The </w:t>
      </w:r>
      <w:proofErr w:type="spellStart"/>
      <w:r w:rsidRPr="007217A1">
        <w:t>ozanimod</w:t>
      </w:r>
      <w:proofErr w:type="spellEnd"/>
      <w:r w:rsidRPr="007217A1">
        <w:t xml:space="preserve"> EU-Risk Management Plan (RMP) (version 1.0, dated 23 April 2020, data lock point 30 June 2018), with Australian Specific Annex (version 1.0, dated 28 June 2019), included with submission PM-2019-02397-1-1, to be revised to the satisfaction of the TGA, will be implemented in Australia.</w:t>
      </w:r>
    </w:p>
    <w:p w14:paraId="600E56E6" w14:textId="5AB10E05" w:rsidR="003354A0" w:rsidRPr="00295BE7" w:rsidRDefault="007217A1" w:rsidP="00295BE7">
      <w:pPr>
        <w:pStyle w:val="ListBullet"/>
        <w:numPr>
          <w:ilvl w:val="0"/>
          <w:numId w:val="0"/>
        </w:numPr>
        <w:ind w:left="360"/>
        <w:rPr>
          <w:lang w:val="en-US"/>
        </w:rPr>
      </w:pPr>
      <w:r w:rsidRPr="007217A1">
        <w:t>An obligatory component of risk management plan</w:t>
      </w:r>
      <w:r>
        <w:t xml:space="preserve">s is routine pharmacovigilance. </w:t>
      </w:r>
      <w:r w:rsidRPr="007217A1">
        <w:t>Routine pharmacovigilance includes the submi</w:t>
      </w:r>
      <w:r>
        <w:t xml:space="preserve">ssion of periodic safety update </w:t>
      </w:r>
      <w:r w:rsidRPr="007217A1">
        <w:t>reports (PSURs). Unless agreed separately between th</w:t>
      </w:r>
      <w:r>
        <w:t xml:space="preserve">e supplier who is the recipient </w:t>
      </w:r>
      <w:r w:rsidRPr="007217A1">
        <w:t>of the approval and the TGA, the first report mu</w:t>
      </w:r>
      <w:r>
        <w:t xml:space="preserve">st be submitted to TGA no later </w:t>
      </w:r>
      <w:r w:rsidRPr="007217A1">
        <w:t>than 15 calenda</w:t>
      </w:r>
      <w:r w:rsidR="00295BE7">
        <w:t xml:space="preserve">r months after the date of the </w:t>
      </w:r>
      <w:r>
        <w:t xml:space="preserve">approval letter. The subsequent </w:t>
      </w:r>
      <w:r w:rsidRPr="007217A1">
        <w:t>reports must be submitted no less frequently than annuall</w:t>
      </w:r>
      <w:r>
        <w:t xml:space="preserve">y from the date of the </w:t>
      </w:r>
      <w:r w:rsidRPr="007217A1">
        <w:t>first submitted report until the period covered by such</w:t>
      </w:r>
      <w:r>
        <w:t xml:space="preserve"> reports is not less than three </w:t>
      </w:r>
      <w:r w:rsidRPr="007217A1">
        <w:t>years from the</w:t>
      </w:r>
      <w:r>
        <w:t xml:space="preserve"> date </w:t>
      </w:r>
      <w:r w:rsidR="00295BE7">
        <w:rPr>
          <w:lang w:val="en-US"/>
        </w:rPr>
        <w:t>of the</w:t>
      </w:r>
      <w:r>
        <w:rPr>
          <w:lang w:val="en-US"/>
        </w:rPr>
        <w:t xml:space="preserve"> approval letter. </w:t>
      </w:r>
      <w:r w:rsidR="003354A0" w:rsidRPr="003354A0">
        <w:rPr>
          <w:lang w:val="en-US"/>
        </w:rPr>
        <w:t>The annual submiss</w:t>
      </w:r>
      <w:r w:rsidR="003354A0">
        <w:rPr>
          <w:lang w:val="en-US"/>
        </w:rPr>
        <w:t xml:space="preserve">ion may be made up of two PSURs </w:t>
      </w:r>
      <w:r w:rsidR="003354A0" w:rsidRPr="003354A0">
        <w:rPr>
          <w:lang w:val="en-US"/>
        </w:rPr>
        <w:t>each covering six months. If the sponsor wishes,</w:t>
      </w:r>
      <w:r w:rsidR="00295BE7">
        <w:rPr>
          <w:lang w:val="en-US"/>
        </w:rPr>
        <w:t xml:space="preserve"> the six monthly reports may be </w:t>
      </w:r>
      <w:r w:rsidR="003354A0" w:rsidRPr="00295BE7">
        <w:rPr>
          <w:lang w:val="en-US"/>
        </w:rPr>
        <w:t>submitted separately as they become available.</w:t>
      </w:r>
    </w:p>
    <w:p w14:paraId="1FEBC822" w14:textId="51DF3B73" w:rsidR="003354A0" w:rsidRPr="00295BE7" w:rsidRDefault="003354A0" w:rsidP="00295BE7">
      <w:pPr>
        <w:pStyle w:val="ListBullet"/>
        <w:numPr>
          <w:ilvl w:val="0"/>
          <w:numId w:val="0"/>
        </w:numPr>
        <w:ind w:left="360"/>
        <w:rPr>
          <w:lang w:val="en-US"/>
        </w:rPr>
      </w:pPr>
      <w:r w:rsidRPr="003354A0">
        <w:rPr>
          <w:lang w:val="en-US"/>
        </w:rPr>
        <w:t>If the product is approved in the EU during the thr</w:t>
      </w:r>
      <w:r w:rsidR="00295BE7">
        <w:rPr>
          <w:lang w:val="en-US"/>
        </w:rPr>
        <w:t xml:space="preserve">ee years period, reports can be </w:t>
      </w:r>
      <w:r w:rsidRPr="00295BE7">
        <w:rPr>
          <w:lang w:val="en-US"/>
        </w:rPr>
        <w:t>provided in line with the published list of EU referenc</w:t>
      </w:r>
      <w:r w:rsidR="00295BE7">
        <w:rPr>
          <w:lang w:val="en-US"/>
        </w:rPr>
        <w:t xml:space="preserve">e dates no less frequently than </w:t>
      </w:r>
      <w:r w:rsidRPr="00295BE7">
        <w:rPr>
          <w:lang w:val="en-US"/>
        </w:rPr>
        <w:t>annually from the date of the first submitted report until the period covered by such</w:t>
      </w:r>
      <w:r w:rsidR="00295BE7">
        <w:rPr>
          <w:lang w:val="en-US"/>
        </w:rPr>
        <w:t xml:space="preserve"> </w:t>
      </w:r>
      <w:r w:rsidRPr="00295BE7">
        <w:rPr>
          <w:lang w:val="en-US"/>
        </w:rPr>
        <w:t xml:space="preserve">reports is not less than three years from the date </w:t>
      </w:r>
      <w:r w:rsidR="00295BE7">
        <w:rPr>
          <w:lang w:val="en-US"/>
        </w:rPr>
        <w:t xml:space="preserve">of the </w:t>
      </w:r>
      <w:r w:rsidRPr="00295BE7">
        <w:rPr>
          <w:lang w:val="en-US"/>
        </w:rPr>
        <w:t>approval letter.</w:t>
      </w:r>
    </w:p>
    <w:p w14:paraId="251240B1" w14:textId="4BBB3A06" w:rsidR="007217A1" w:rsidRPr="00295BE7" w:rsidRDefault="003354A0" w:rsidP="00295BE7">
      <w:pPr>
        <w:pStyle w:val="ListBullet"/>
        <w:numPr>
          <w:ilvl w:val="0"/>
          <w:numId w:val="0"/>
        </w:numPr>
        <w:ind w:left="360"/>
        <w:rPr>
          <w:lang w:val="en-US"/>
        </w:rPr>
      </w:pPr>
      <w:r w:rsidRPr="003354A0">
        <w:rPr>
          <w:lang w:val="en-US"/>
        </w:rPr>
        <w:t>The reports are to at least meet the requirement</w:t>
      </w:r>
      <w:r w:rsidR="00295BE7">
        <w:rPr>
          <w:lang w:val="en-US"/>
        </w:rPr>
        <w:t xml:space="preserve">s for PSURs as described in the </w:t>
      </w:r>
      <w:r w:rsidRPr="00295BE7">
        <w:rPr>
          <w:lang w:val="en-US"/>
        </w:rPr>
        <w:t>European Medicines Agency’s Guideline on good ph</w:t>
      </w:r>
      <w:r w:rsidR="00295BE7">
        <w:rPr>
          <w:lang w:val="en-US"/>
        </w:rPr>
        <w:t xml:space="preserve">armacovigilance practices (GVP) </w:t>
      </w:r>
      <w:r w:rsidRPr="00295BE7">
        <w:rPr>
          <w:lang w:val="en-US"/>
        </w:rPr>
        <w:t>Module VII-periodic safety update report (Rev 1), Part VII.B Structures</w:t>
      </w:r>
      <w:r w:rsidR="00295BE7">
        <w:rPr>
          <w:lang w:val="en-US"/>
        </w:rPr>
        <w:t xml:space="preserve"> and </w:t>
      </w:r>
      <w:r w:rsidRPr="00295BE7">
        <w:rPr>
          <w:lang w:val="en-US"/>
        </w:rPr>
        <w:t xml:space="preserve">processes. </w:t>
      </w:r>
      <w:r w:rsidRPr="00295BE7">
        <w:rPr>
          <w:lang w:val="en-US"/>
        </w:rPr>
        <w:lastRenderedPageBreak/>
        <w:t>Note that submission of a PSUR does not co</w:t>
      </w:r>
      <w:r w:rsidR="00295BE7">
        <w:rPr>
          <w:lang w:val="en-US"/>
        </w:rPr>
        <w:t xml:space="preserve">nstitute an application to vary </w:t>
      </w:r>
      <w:r w:rsidRPr="00295BE7">
        <w:rPr>
          <w:lang w:val="en-US"/>
        </w:rPr>
        <w:t>the registration. Each report must have been prepa</w:t>
      </w:r>
      <w:r w:rsidR="00295BE7">
        <w:rPr>
          <w:lang w:val="en-US"/>
        </w:rPr>
        <w:t xml:space="preserve">red within ninety calendar days </w:t>
      </w:r>
      <w:r w:rsidRPr="00295BE7">
        <w:rPr>
          <w:lang w:val="en-US"/>
        </w:rPr>
        <w:t>of the data lock point for that report.</w:t>
      </w:r>
    </w:p>
    <w:p w14:paraId="48488A43" w14:textId="77777777" w:rsidR="008E7846" w:rsidRDefault="00A80B5B" w:rsidP="00D23139">
      <w:pPr>
        <w:pStyle w:val="Heading2"/>
      </w:pPr>
      <w:bookmarkStart w:id="54" w:name="_Toc57809143"/>
      <w:r>
        <w:t xml:space="preserve">Attachment 1. </w:t>
      </w:r>
      <w:r w:rsidR="008E7846">
        <w:t xml:space="preserve">Product </w:t>
      </w:r>
      <w:r w:rsidR="00AA0ED0">
        <w:t>I</w:t>
      </w:r>
      <w:r w:rsidR="008E7846">
        <w:t>nformation</w:t>
      </w:r>
      <w:bookmarkEnd w:id="52"/>
      <w:bookmarkEnd w:id="53"/>
      <w:bookmarkEnd w:id="54"/>
    </w:p>
    <w:p w14:paraId="21ECFC84" w14:textId="19B5EDE8" w:rsidR="00770CAC" w:rsidRPr="007217A1" w:rsidRDefault="006136D7" w:rsidP="007217A1">
      <w:pPr>
        <w:rPr>
          <w:color w:val="000000"/>
          <w:lang w:eastAsia="en-AU"/>
        </w:rPr>
      </w:pPr>
      <w:r w:rsidRPr="002B3624">
        <w:t xml:space="preserve">The </w:t>
      </w:r>
      <w:r>
        <w:t>PI</w:t>
      </w:r>
      <w:r w:rsidRPr="002B3624">
        <w:t xml:space="preserve"> for </w:t>
      </w:r>
      <w:r w:rsidR="007217A1">
        <w:t>Zeposia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1" w:history="1">
        <w:r w:rsidR="007C6B9B" w:rsidRPr="007C6B9B">
          <w:rPr>
            <w:rStyle w:val="Hyperlink"/>
          </w:rPr>
          <w:t>https://www.tga.gov.au/product-information-pi</w:t>
        </w:r>
      </w:hyperlink>
      <w:r w:rsidR="007217A1">
        <w:t>&gt;.</w:t>
      </w:r>
    </w:p>
    <w:p w14:paraId="1BA01511" w14:textId="77777777" w:rsidR="00291957" w:rsidRDefault="00291957" w:rsidP="00291957">
      <w:pPr>
        <w:rPr>
          <w:lang w:eastAsia="ja-JP"/>
        </w:rPr>
      </w:pPr>
    </w:p>
    <w:p w14:paraId="67550118"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60655A8" w14:textId="77777777" w:rsidTr="00A05FA4">
        <w:trPr>
          <w:trHeight w:hRule="exact" w:val="704"/>
        </w:trPr>
        <w:tc>
          <w:tcPr>
            <w:tcW w:w="9175" w:type="dxa"/>
          </w:tcPr>
          <w:p w14:paraId="4317E058" w14:textId="77777777" w:rsidR="001C32CD" w:rsidRPr="00487162" w:rsidRDefault="001C32CD" w:rsidP="00A05FA4">
            <w:pPr>
              <w:pStyle w:val="TGASignoff"/>
            </w:pPr>
            <w:r w:rsidRPr="00487162">
              <w:lastRenderedPageBreak/>
              <w:t>Therapeutic Goods Administration</w:t>
            </w:r>
          </w:p>
        </w:tc>
      </w:tr>
      <w:tr w:rsidR="001C32CD" w:rsidRPr="004C239D" w14:paraId="3280AB6F" w14:textId="77777777" w:rsidTr="00A05FA4">
        <w:trPr>
          <w:trHeight w:val="1221"/>
        </w:trPr>
        <w:tc>
          <w:tcPr>
            <w:tcW w:w="9175" w:type="dxa"/>
            <w:tcMar>
              <w:top w:w="28" w:type="dxa"/>
            </w:tcMar>
          </w:tcPr>
          <w:p w14:paraId="3C10BEA9" w14:textId="77777777" w:rsidR="001C32CD" w:rsidRPr="00487162" w:rsidRDefault="001C32CD" w:rsidP="00A05FA4">
            <w:pPr>
              <w:pStyle w:val="Address"/>
            </w:pPr>
            <w:r w:rsidRPr="00487162">
              <w:t>PO Box 100 Woden ACT 2606 Australia</w:t>
            </w:r>
          </w:p>
          <w:p w14:paraId="696F2ED0" w14:textId="7374A7C2" w:rsidR="001C32CD" w:rsidRPr="00487162" w:rsidRDefault="001C32CD" w:rsidP="00A05FA4">
            <w:pPr>
              <w:pStyle w:val="Address"/>
            </w:pPr>
            <w:r w:rsidRPr="00487162">
              <w:t xml:space="preserve">Email: </w:t>
            </w:r>
            <w:hyperlink r:id="rId26" w:history="1">
              <w:r w:rsidRPr="004C239D">
                <w:rPr>
                  <w:rStyle w:val="Hyperlink"/>
                </w:rPr>
                <w:t>info@tga.gov.au</w:t>
              </w:r>
            </w:hyperlink>
            <w:r w:rsidRPr="00487162">
              <w:t xml:space="preserve">  Phone: 1800 020 653  Fax: 02 6232 8605</w:t>
            </w:r>
          </w:p>
          <w:p w14:paraId="6963BE19" w14:textId="5D54AC72" w:rsidR="001C32CD" w:rsidRPr="004C239D" w:rsidRDefault="0082445D"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0D3D9FD0"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D90C0" w14:textId="77777777" w:rsidR="003354A0" w:rsidRDefault="003354A0" w:rsidP="00C40A36">
      <w:pPr>
        <w:spacing w:after="0"/>
      </w:pPr>
      <w:r>
        <w:separator/>
      </w:r>
    </w:p>
  </w:endnote>
  <w:endnote w:type="continuationSeparator" w:id="0">
    <w:p w14:paraId="0ECDEC92" w14:textId="77777777" w:rsidR="003354A0" w:rsidRDefault="003354A0"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197D2" w14:textId="77777777" w:rsidR="00E30407" w:rsidRDefault="00E30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3354A0" w:rsidRPr="00487162" w14:paraId="2BCC1ABF" w14:textId="77777777" w:rsidTr="00DB750B">
      <w:trPr>
        <w:trHeight w:val="269"/>
      </w:trPr>
      <w:tc>
        <w:tcPr>
          <w:tcW w:w="7371" w:type="dxa"/>
          <w:tcMar>
            <w:top w:w="142" w:type="dxa"/>
            <w:bottom w:w="0" w:type="dxa"/>
          </w:tcMar>
        </w:tcPr>
        <w:p w14:paraId="64C685AE" w14:textId="56F672B6" w:rsidR="003354A0" w:rsidRPr="00487162" w:rsidRDefault="003354A0" w:rsidP="005C13EA">
          <w:pPr>
            <w:pStyle w:val="Footer"/>
          </w:pPr>
          <w:r w:rsidRPr="00487162">
            <w:t>AusPA</w:t>
          </w:r>
          <w:r>
            <w:t xml:space="preserve">R – Zeposia - </w:t>
          </w:r>
          <w:proofErr w:type="spellStart"/>
          <w:r>
            <w:t>ozanimod</w:t>
          </w:r>
          <w:proofErr w:type="spellEnd"/>
          <w:r>
            <w:t xml:space="preserve"> - Celgene Pty Ltd - PM-2019-02397-1-1</w:t>
          </w:r>
          <w:r>
            <w:br/>
          </w:r>
          <w:r w:rsidR="005C13EA">
            <w:t>FINAL 25 November 2020</w:t>
          </w:r>
        </w:p>
      </w:tc>
      <w:tc>
        <w:tcPr>
          <w:tcW w:w="1490" w:type="dxa"/>
          <w:tcMar>
            <w:top w:w="142" w:type="dxa"/>
            <w:bottom w:w="0" w:type="dxa"/>
          </w:tcMar>
        </w:tcPr>
        <w:p w14:paraId="2F03471E" w14:textId="5B44561D" w:rsidR="003354A0" w:rsidRPr="00487162" w:rsidRDefault="003354A0" w:rsidP="00DB750B">
          <w:pPr>
            <w:pStyle w:val="Footer"/>
            <w:jc w:val="right"/>
          </w:pPr>
          <w:r w:rsidRPr="00487162">
            <w:t xml:space="preserve">Page </w:t>
          </w:r>
          <w:r>
            <w:fldChar w:fldCharType="begin"/>
          </w:r>
          <w:r>
            <w:instrText xml:space="preserve"> PAGE  \* Arabic </w:instrText>
          </w:r>
          <w:r>
            <w:fldChar w:fldCharType="separate"/>
          </w:r>
          <w:r w:rsidR="0082445D">
            <w:rPr>
              <w:noProof/>
            </w:rPr>
            <w:t>14</w:t>
          </w:r>
          <w:r>
            <w:fldChar w:fldCharType="end"/>
          </w:r>
          <w:r w:rsidRPr="00487162">
            <w:t xml:space="preserve"> of </w:t>
          </w:r>
          <w:r w:rsidR="0082445D">
            <w:fldChar w:fldCharType="begin"/>
          </w:r>
          <w:r w:rsidR="0082445D">
            <w:instrText xml:space="preserve"> NUMPAGES  \* Arabic </w:instrText>
          </w:r>
          <w:r w:rsidR="0082445D">
            <w:fldChar w:fldCharType="separate"/>
          </w:r>
          <w:r w:rsidR="0082445D">
            <w:rPr>
              <w:noProof/>
            </w:rPr>
            <w:t>25</w:t>
          </w:r>
          <w:r w:rsidR="0082445D">
            <w:rPr>
              <w:noProof/>
            </w:rPr>
            <w:fldChar w:fldCharType="end"/>
          </w:r>
        </w:p>
      </w:tc>
    </w:tr>
  </w:tbl>
  <w:p w14:paraId="502AEADA" w14:textId="77777777" w:rsidR="003354A0" w:rsidRDefault="003354A0"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7E06" w14:textId="77777777" w:rsidR="00E30407" w:rsidRDefault="00E30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3354A0" w:rsidRPr="00487162" w14:paraId="0BCF69C2" w14:textId="77777777" w:rsidTr="00E45619">
      <w:trPr>
        <w:trHeight w:val="269"/>
      </w:trPr>
      <w:tc>
        <w:tcPr>
          <w:tcW w:w="4519" w:type="dxa"/>
          <w:tcBorders>
            <w:top w:val="single" w:sz="4" w:space="0" w:color="auto"/>
          </w:tcBorders>
          <w:tcMar>
            <w:top w:w="142" w:type="dxa"/>
            <w:bottom w:w="0" w:type="dxa"/>
          </w:tcMar>
        </w:tcPr>
        <w:p w14:paraId="3697F719" w14:textId="77777777" w:rsidR="003354A0" w:rsidRPr="00487162" w:rsidRDefault="003354A0" w:rsidP="00FE1DEE">
          <w:pPr>
            <w:pStyle w:val="Footer"/>
          </w:pPr>
          <w:r w:rsidRPr="00487162">
            <w:t>Document title, Part #, Section # - Section title</w:t>
          </w:r>
        </w:p>
        <w:p w14:paraId="7EEF3D97" w14:textId="77777777" w:rsidR="003354A0" w:rsidRPr="00487162" w:rsidRDefault="003354A0" w:rsidP="00FE1DEE">
          <w:pPr>
            <w:pStyle w:val="Footer"/>
          </w:pPr>
          <w:r w:rsidRPr="00487162">
            <w:t>V1.0 October 2010</w:t>
          </w:r>
        </w:p>
      </w:tc>
      <w:tc>
        <w:tcPr>
          <w:tcW w:w="4342" w:type="dxa"/>
          <w:tcBorders>
            <w:top w:val="single" w:sz="4" w:space="0" w:color="auto"/>
          </w:tcBorders>
          <w:tcMar>
            <w:top w:w="142" w:type="dxa"/>
            <w:bottom w:w="0" w:type="dxa"/>
          </w:tcMar>
        </w:tcPr>
        <w:p w14:paraId="3B1ABCF2" w14:textId="77777777" w:rsidR="003354A0" w:rsidRPr="00487162" w:rsidRDefault="003354A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82445D">
            <w:fldChar w:fldCharType="begin"/>
          </w:r>
          <w:r w:rsidR="0082445D">
            <w:instrText xml:space="preserve"> NUMPAGES  </w:instrText>
          </w:r>
          <w:r w:rsidR="0082445D">
            <w:fldChar w:fldCharType="separate"/>
          </w:r>
          <w:r>
            <w:rPr>
              <w:noProof/>
            </w:rPr>
            <w:t>2</w:t>
          </w:r>
          <w:r w:rsidR="0082445D">
            <w:rPr>
              <w:noProof/>
            </w:rPr>
            <w:fldChar w:fldCharType="end"/>
          </w:r>
        </w:p>
      </w:tc>
    </w:tr>
  </w:tbl>
  <w:p w14:paraId="2F18E2C9" w14:textId="77777777" w:rsidR="003354A0" w:rsidRDefault="003354A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693E" w14:textId="77777777" w:rsidR="003354A0" w:rsidRPr="001C32CD" w:rsidRDefault="003354A0"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3354A0" w14:paraId="1C0155AE" w14:textId="77777777" w:rsidTr="0010601F">
      <w:trPr>
        <w:trHeight w:val="108"/>
      </w:trPr>
      <w:tc>
        <w:tcPr>
          <w:tcW w:w="8875" w:type="dxa"/>
          <w:gridSpan w:val="2"/>
          <w:tcBorders>
            <w:bottom w:val="single" w:sz="4" w:space="0" w:color="auto"/>
          </w:tcBorders>
          <w:tcMar>
            <w:right w:w="284" w:type="dxa"/>
          </w:tcMar>
        </w:tcPr>
        <w:p w14:paraId="6A3C73EC" w14:textId="77777777" w:rsidR="003354A0" w:rsidRDefault="003354A0" w:rsidP="006E08B3">
          <w:pPr>
            <w:pStyle w:val="Heading3"/>
          </w:pPr>
          <w:r>
            <w:t>Copyright</w:t>
          </w:r>
        </w:p>
        <w:p w14:paraId="2C38265D" w14:textId="77777777" w:rsidR="003354A0" w:rsidRDefault="003354A0" w:rsidP="006E08B3">
          <w:r>
            <w:rPr>
              <w:rFonts w:cs="Arial"/>
            </w:rPr>
            <w:t>©</w:t>
          </w:r>
          <w:r>
            <w:t xml:space="preserve"> Commonwealth of Australia [add year]</w:t>
          </w:r>
        </w:p>
        <w:p w14:paraId="01247A68" w14:textId="77777777" w:rsidR="003354A0" w:rsidRDefault="003354A0" w:rsidP="006E08B3"/>
        <w:p w14:paraId="6F78993B" w14:textId="77777777" w:rsidR="003354A0" w:rsidRDefault="003354A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009B6825" w14:textId="77777777" w:rsidR="003354A0" w:rsidRDefault="003354A0" w:rsidP="006E08B3"/>
        <w:p w14:paraId="64F70E42" w14:textId="77777777" w:rsidR="003354A0" w:rsidRDefault="003354A0" w:rsidP="006E08B3">
          <w:pPr>
            <w:pStyle w:val="Heading3"/>
          </w:pPr>
          <w:r>
            <w:t>Confidentiality</w:t>
          </w:r>
        </w:p>
        <w:p w14:paraId="74EAEA5E" w14:textId="77777777" w:rsidR="003354A0" w:rsidRDefault="003354A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32E0F22" w14:textId="77777777" w:rsidR="003354A0" w:rsidRDefault="003354A0" w:rsidP="006E08B3"/>
        <w:p w14:paraId="49077646" w14:textId="77777777" w:rsidR="003354A0" w:rsidRDefault="003354A0" w:rsidP="006E08B3">
          <w:r>
            <w:t>For submission made by individuals, all personal details, other than your name, will be removed from your submission before it is published on the TGA’s Internet site.</w:t>
          </w:r>
        </w:p>
        <w:p w14:paraId="3E513D10" w14:textId="77777777" w:rsidR="003354A0" w:rsidRDefault="003354A0" w:rsidP="006E08B3"/>
        <w:p w14:paraId="4DA05C4A" w14:textId="77777777" w:rsidR="003354A0" w:rsidRDefault="003354A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3354A0" w14:paraId="66533BEB" w14:textId="77777777" w:rsidTr="0010601F">
      <w:trPr>
        <w:trHeight w:val="417"/>
      </w:trPr>
      <w:tc>
        <w:tcPr>
          <w:tcW w:w="4519" w:type="dxa"/>
          <w:tcBorders>
            <w:top w:val="single" w:sz="4" w:space="0" w:color="auto"/>
          </w:tcBorders>
          <w:tcMar>
            <w:top w:w="142" w:type="dxa"/>
            <w:bottom w:w="0" w:type="dxa"/>
          </w:tcMar>
        </w:tcPr>
        <w:p w14:paraId="7A40C308" w14:textId="77777777" w:rsidR="003354A0" w:rsidRDefault="003354A0" w:rsidP="006E08B3">
          <w:r>
            <w:t>Document title, Part #, Section # - Section title</w:t>
          </w:r>
        </w:p>
        <w:p w14:paraId="21870D68" w14:textId="77777777" w:rsidR="003354A0" w:rsidRDefault="003354A0" w:rsidP="006E08B3">
          <w:r>
            <w:t>V1.0 October 2010</w:t>
          </w:r>
        </w:p>
      </w:tc>
      <w:tc>
        <w:tcPr>
          <w:tcW w:w="4356" w:type="dxa"/>
          <w:tcBorders>
            <w:top w:val="single" w:sz="4" w:space="0" w:color="auto"/>
          </w:tcBorders>
          <w:tcMar>
            <w:top w:w="142" w:type="dxa"/>
            <w:bottom w:w="0" w:type="dxa"/>
          </w:tcMar>
        </w:tcPr>
        <w:p w14:paraId="551A203A" w14:textId="77777777" w:rsidR="003354A0" w:rsidRDefault="003354A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82445D">
            <w:fldChar w:fldCharType="begin"/>
          </w:r>
          <w:r w:rsidR="0082445D">
            <w:instrText xml:space="preserve"> NUMPAGES  \* Arabic </w:instrText>
          </w:r>
          <w:r w:rsidR="0082445D">
            <w:fldChar w:fldCharType="separate"/>
          </w:r>
          <w:r>
            <w:rPr>
              <w:noProof/>
            </w:rPr>
            <w:t>2</w:t>
          </w:r>
          <w:r w:rsidR="0082445D">
            <w:rPr>
              <w:noProof/>
            </w:rPr>
            <w:fldChar w:fldCharType="end"/>
          </w:r>
          <w:r>
            <w:t xml:space="preserve">  </w:t>
          </w:r>
        </w:p>
      </w:tc>
    </w:tr>
  </w:tbl>
  <w:p w14:paraId="222E80F6" w14:textId="77777777" w:rsidR="003354A0" w:rsidRDefault="003354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A6A9" w14:textId="77777777" w:rsidR="003354A0" w:rsidRDefault="003354A0" w:rsidP="00C40A36">
      <w:pPr>
        <w:spacing w:after="0"/>
      </w:pPr>
      <w:r>
        <w:separator/>
      </w:r>
    </w:p>
  </w:footnote>
  <w:footnote w:type="continuationSeparator" w:id="0">
    <w:p w14:paraId="6AB37631" w14:textId="77777777" w:rsidR="003354A0" w:rsidRDefault="003354A0" w:rsidP="00C40A36">
      <w:pPr>
        <w:spacing w:after="0"/>
      </w:pPr>
      <w:r>
        <w:continuationSeparator/>
      </w:r>
    </w:p>
  </w:footnote>
  <w:footnote w:id="1">
    <w:p w14:paraId="378EF470" w14:textId="77777777" w:rsidR="003354A0" w:rsidRDefault="003354A0">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02443346" w14:textId="77777777" w:rsidR="003354A0" w:rsidRPr="00FE441E" w:rsidRDefault="003354A0">
      <w:pPr>
        <w:pStyle w:val="FootnoteText"/>
        <w:rPr>
          <w:lang w:val="en-US"/>
        </w:rPr>
      </w:pPr>
      <w:r>
        <w:rPr>
          <w:rStyle w:val="FootnoteReference"/>
        </w:rPr>
        <w:footnoteRef/>
      </w:r>
      <w:r>
        <w:t xml:space="preserve"> </w:t>
      </w:r>
      <w:proofErr w:type="spellStart"/>
      <w:r>
        <w:t>Ozanimod</w:t>
      </w:r>
      <w:proofErr w:type="spellEnd"/>
      <w:r>
        <w:t xml:space="preserve"> hydrochloride has also been known by the drug development code </w:t>
      </w:r>
      <w:r w:rsidRPr="00FE441E">
        <w:t>RPC1063</w:t>
      </w:r>
      <w:r>
        <w:t>.</w:t>
      </w:r>
    </w:p>
  </w:footnote>
  <w:footnote w:id="3">
    <w:p w14:paraId="0D6FBBF4" w14:textId="77777777" w:rsidR="003354A0" w:rsidRPr="00A0114F" w:rsidRDefault="003354A0">
      <w:pPr>
        <w:pStyle w:val="FootnoteText"/>
        <w:rPr>
          <w:lang w:val="en-US"/>
        </w:rPr>
      </w:pPr>
      <w:r>
        <w:rPr>
          <w:rStyle w:val="FootnoteReference"/>
        </w:rPr>
        <w:footnoteRef/>
      </w:r>
      <w:r>
        <w:t xml:space="preserve"> </w:t>
      </w:r>
      <w:r w:rsidRPr="00A0114F">
        <w:t xml:space="preserve">Sphingosine-1-phosphate (S1P) is a </w:t>
      </w:r>
      <w:proofErr w:type="spellStart"/>
      <w:r w:rsidRPr="00A0114F">
        <w:t>signal</w:t>
      </w:r>
      <w:r>
        <w:t>ing</w:t>
      </w:r>
      <w:proofErr w:type="spellEnd"/>
      <w:r>
        <w:t xml:space="preserve"> sphingolipid (or </w:t>
      </w:r>
      <w:proofErr w:type="spellStart"/>
      <w:r w:rsidRPr="00A0114F">
        <w:t>lysosphingolipid</w:t>
      </w:r>
      <w:proofErr w:type="spellEnd"/>
      <w:r>
        <w:t>), and can be referred</w:t>
      </w:r>
      <w:r w:rsidRPr="00A0114F">
        <w:t xml:space="preserve"> to as a bioactive lipid mediator. Sphingolipids at large fo</w:t>
      </w:r>
      <w:r>
        <w:t>rm a class of lipids characteris</w:t>
      </w:r>
      <w:r w:rsidRPr="00A0114F">
        <w:t xml:space="preserve">ed by a particular aliphatic </w:t>
      </w:r>
      <w:proofErr w:type="spellStart"/>
      <w:r w:rsidRPr="00A0114F">
        <w:t>aminoalcohol</w:t>
      </w:r>
      <w:proofErr w:type="spellEnd"/>
      <w:r w:rsidRPr="00A0114F">
        <w:t>, which is sphingosine.</w:t>
      </w:r>
    </w:p>
  </w:footnote>
  <w:footnote w:id="4">
    <w:p w14:paraId="47D23156" w14:textId="0E225213" w:rsidR="003354A0" w:rsidRDefault="003354A0">
      <w:pPr>
        <w:pStyle w:val="FootnoteText"/>
      </w:pPr>
      <w:r>
        <w:rPr>
          <w:rStyle w:val="FootnoteReference"/>
        </w:rPr>
        <w:footnoteRef/>
      </w:r>
      <w:r>
        <w:t xml:space="preserve"> ICH guideline M3(R2) on non-clinical safety studies for the conduct of human clinical trials and marketing authorisation for pharmaceuticals, current Step 4 version dated 11 June 2009. Available from the ICH website.</w:t>
      </w:r>
    </w:p>
  </w:footnote>
  <w:footnote w:id="5">
    <w:p w14:paraId="0ACC7662" w14:textId="77777777" w:rsidR="003354A0" w:rsidRPr="006D0AA2" w:rsidRDefault="003354A0">
      <w:pPr>
        <w:pStyle w:val="FootnoteText"/>
        <w:rPr>
          <w:lang w:val="en-US"/>
        </w:rPr>
      </w:pPr>
      <w:r>
        <w:rPr>
          <w:rStyle w:val="FootnoteReference"/>
        </w:rPr>
        <w:footnoteRef/>
      </w:r>
      <w:r>
        <w:t xml:space="preserve"> </w:t>
      </w:r>
      <w:proofErr w:type="spellStart"/>
      <w:r w:rsidRPr="00691541">
        <w:rPr>
          <w:b/>
          <w:lang w:val="en-US"/>
        </w:rPr>
        <w:t>Bradyarrythmia</w:t>
      </w:r>
      <w:proofErr w:type="spellEnd"/>
      <w:r>
        <w:rPr>
          <w:lang w:val="en-US"/>
        </w:rPr>
        <w:t xml:space="preserve"> (also known as bradycardia) is typically defined as a resting heart rate of &lt; 60 beats per minute. The occurrence of bradycardia alone is not necessarily indicative of symptomatic problems.</w:t>
      </w:r>
    </w:p>
  </w:footnote>
  <w:footnote w:id="6">
    <w:p w14:paraId="60E63576" w14:textId="77777777" w:rsidR="003354A0" w:rsidRPr="008F31EF" w:rsidRDefault="003354A0" w:rsidP="008F31EF">
      <w:pPr>
        <w:pStyle w:val="FootnoteText"/>
      </w:pPr>
      <w:r>
        <w:rPr>
          <w:rStyle w:val="FootnoteReference"/>
        </w:rPr>
        <w:footnoteRef/>
      </w:r>
      <w:r>
        <w:t xml:space="preserve"> Drug class: S</w:t>
      </w:r>
      <w:r w:rsidRPr="006D0AA2">
        <w:t>phingosine-1-phosphate (S1P)</w:t>
      </w:r>
      <w:r>
        <w:t xml:space="preserve"> receptor agonists; Anatomical therapeutic chemical (ATC) code: L04AA</w:t>
      </w:r>
    </w:p>
  </w:footnote>
  <w:footnote w:id="7">
    <w:p w14:paraId="7A9DE1FB" w14:textId="77777777" w:rsidR="003354A0" w:rsidRPr="006D0AA2" w:rsidRDefault="003354A0">
      <w:pPr>
        <w:pStyle w:val="FootnoteText"/>
        <w:rPr>
          <w:lang w:val="en-US"/>
        </w:rPr>
      </w:pPr>
      <w:r>
        <w:rPr>
          <w:rStyle w:val="FootnoteReference"/>
        </w:rPr>
        <w:footnoteRef/>
      </w:r>
      <w:r>
        <w:t xml:space="preserve"> The </w:t>
      </w:r>
      <w:r w:rsidRPr="00691541">
        <w:rPr>
          <w:b/>
        </w:rPr>
        <w:t xml:space="preserve">no-observed adverse effect level (NOAEL) </w:t>
      </w:r>
      <w:r w:rsidRPr="006D0AA2">
        <w:t xml:space="preserve">denotes the </w:t>
      </w:r>
      <w:r>
        <w:t>highest level of exposure in an organism, found via</w:t>
      </w:r>
      <w:r w:rsidRPr="006D0AA2">
        <w:t xml:space="preserve"> experiment or observation, at which there is no biologically or statistically significant increase in the frequency or severity of any adverse effects of the tested protocol.</w:t>
      </w:r>
    </w:p>
  </w:footnote>
  <w:footnote w:id="8">
    <w:p w14:paraId="15F34C87" w14:textId="77777777" w:rsidR="003354A0" w:rsidRPr="008F31EF" w:rsidRDefault="003354A0">
      <w:pPr>
        <w:pStyle w:val="FootnoteText"/>
        <w:rPr>
          <w:lang w:val="en-US"/>
        </w:rPr>
      </w:pPr>
      <w:r>
        <w:rPr>
          <w:rStyle w:val="FootnoteReference"/>
        </w:rPr>
        <w:footnoteRef/>
      </w:r>
      <w:r>
        <w:t xml:space="preserve"> </w:t>
      </w:r>
      <w:r w:rsidRPr="008F31EF">
        <w:rPr>
          <w:b/>
        </w:rPr>
        <w:t>Pregnancy Category D</w:t>
      </w:r>
      <w:r>
        <w:t xml:space="preserve">: </w:t>
      </w:r>
      <w:r w:rsidRPr="008F31EF">
        <w:t xml:space="preserve">Drugs which have caused, are suspected to have caused or may be expected to cause, an increased incidence of human </w:t>
      </w:r>
      <w:proofErr w:type="spellStart"/>
      <w:r w:rsidRPr="008F31EF">
        <w:t>fetal</w:t>
      </w:r>
      <w:proofErr w:type="spellEnd"/>
      <w:r w:rsidRPr="008F31EF">
        <w:t xml:space="preserve"> malformations or irreversible damage. These drugs may also have adverse pharmacological effects. Accompanying texts should be consulted for further details.</w:t>
      </w:r>
    </w:p>
  </w:footnote>
  <w:footnote w:id="9">
    <w:p w14:paraId="31CB91B7" w14:textId="77777777" w:rsidR="003354A0" w:rsidRPr="006D3A6C" w:rsidRDefault="003354A0">
      <w:pPr>
        <w:pStyle w:val="FootnoteText"/>
        <w:rPr>
          <w:lang w:val="en-US"/>
        </w:rPr>
      </w:pPr>
      <w:r>
        <w:rPr>
          <w:rStyle w:val="FootnoteReference"/>
        </w:rPr>
        <w:footnoteRef/>
      </w:r>
      <w:r>
        <w:t xml:space="preserve"> </w:t>
      </w:r>
      <w:r w:rsidRPr="006D3A6C">
        <w:t>Study RPC01-301; title: ‘A Phase 3, multi-</w:t>
      </w:r>
      <w:proofErr w:type="spellStart"/>
      <w:r w:rsidRPr="006D3A6C">
        <w:t>center</w:t>
      </w:r>
      <w:proofErr w:type="spellEnd"/>
      <w:r w:rsidRPr="006D3A6C">
        <w:t xml:space="preserve">, randomized, Double-Blind, double-dummy, active controlled, parallel group study to evaluate the efficacy and safety of RPC1063 administered orally to relapsing multiple sclerosis patients.’ </w:t>
      </w:r>
      <w:proofErr w:type="spellStart"/>
      <w:r w:rsidRPr="006D3A6C">
        <w:t>EudraCT</w:t>
      </w:r>
      <w:proofErr w:type="spellEnd"/>
      <w:r w:rsidRPr="006D3A6C">
        <w:t xml:space="preserve"> Number: 2014-002320-27; NCT identifier: NCT02294058.</w:t>
      </w:r>
    </w:p>
  </w:footnote>
  <w:footnote w:id="10">
    <w:p w14:paraId="69A1D592" w14:textId="77777777" w:rsidR="003354A0" w:rsidRPr="006D3A6C" w:rsidRDefault="003354A0">
      <w:pPr>
        <w:pStyle w:val="FootnoteText"/>
        <w:rPr>
          <w:lang w:val="en-US"/>
        </w:rPr>
      </w:pPr>
      <w:r>
        <w:rPr>
          <w:rStyle w:val="FootnoteReference"/>
        </w:rPr>
        <w:footnoteRef/>
      </w:r>
      <w:r>
        <w:t xml:space="preserve"> </w:t>
      </w:r>
      <w:r w:rsidRPr="006D3A6C">
        <w:t>Study RPC01-201A; title: ‘(Part A) A Phase 2/3, Multi-</w:t>
      </w:r>
      <w:proofErr w:type="spellStart"/>
      <w:r w:rsidRPr="006D3A6C">
        <w:t>center</w:t>
      </w:r>
      <w:proofErr w:type="spellEnd"/>
      <w:r w:rsidRPr="006D3A6C">
        <w:t xml:space="preserve">, Randomized, Double-blind, Placebo-controlled (Part A) and Double-Blind, Double-dummy, Active-controlled’; and Study RPC01-201 (Part B), Parallel Group Study to Evaluate the Efficacy and Safety of RPC1063 Administered Orally to Relapsing Multiple Sclerosis Patients’. </w:t>
      </w:r>
      <w:proofErr w:type="spellStart"/>
      <w:r w:rsidRPr="006D3A6C">
        <w:t>EudraCT</w:t>
      </w:r>
      <w:proofErr w:type="spellEnd"/>
      <w:r w:rsidRPr="006D3A6C">
        <w:t xml:space="preserve"> Number: 2012-002714-40; NCT identifier: NCT01628393.</w:t>
      </w:r>
    </w:p>
  </w:footnote>
  <w:footnote w:id="11">
    <w:p w14:paraId="008B35CF" w14:textId="77777777" w:rsidR="003354A0" w:rsidRPr="00FE394F" w:rsidRDefault="003354A0">
      <w:pPr>
        <w:pStyle w:val="FootnoteText"/>
        <w:rPr>
          <w:lang w:val="en-US"/>
        </w:rPr>
      </w:pPr>
      <w:r>
        <w:rPr>
          <w:rStyle w:val="FootnoteReference"/>
        </w:rPr>
        <w:footnoteRef/>
      </w:r>
      <w:r>
        <w:t xml:space="preserve"> </w:t>
      </w:r>
      <w:r w:rsidRPr="00FE394F">
        <w:t xml:space="preserve">Study RPC01-3001; title: ‘A Multi-Site, Open-Label Extension Trial of Oral RPC1063 in Relapsing Multiple Sclerosis’. </w:t>
      </w:r>
      <w:proofErr w:type="spellStart"/>
      <w:r w:rsidRPr="00FE394F">
        <w:t>EudraCT</w:t>
      </w:r>
      <w:proofErr w:type="spellEnd"/>
      <w:r w:rsidRPr="00FE394F">
        <w:t xml:space="preserve"> number: 2015-002500-91; NCI identifier: NCT02576717.</w:t>
      </w:r>
    </w:p>
  </w:footnote>
  <w:footnote w:id="12">
    <w:p w14:paraId="779BEBA9" w14:textId="77777777" w:rsidR="003354A0" w:rsidRPr="002843EC" w:rsidRDefault="003354A0">
      <w:pPr>
        <w:pStyle w:val="FootnoteText"/>
        <w:rPr>
          <w:lang w:val="en-US"/>
        </w:rPr>
      </w:pPr>
      <w:r>
        <w:rPr>
          <w:rStyle w:val="FootnoteReference"/>
        </w:rPr>
        <w:footnoteRef/>
      </w:r>
      <w:r>
        <w:t xml:space="preserve"> </w:t>
      </w:r>
      <w:r w:rsidRPr="002843EC">
        <w:t>These studies provided supportive safety information only.</w:t>
      </w:r>
    </w:p>
  </w:footnote>
  <w:footnote w:id="13">
    <w:p w14:paraId="33ACABB5" w14:textId="77777777" w:rsidR="003354A0" w:rsidRPr="004F1AF3" w:rsidRDefault="003354A0">
      <w:pPr>
        <w:pStyle w:val="FootnoteText"/>
        <w:rPr>
          <w:lang w:val="en-US"/>
        </w:rPr>
      </w:pPr>
      <w:r>
        <w:rPr>
          <w:rStyle w:val="FootnoteReference"/>
        </w:rPr>
        <w:footnoteRef/>
      </w:r>
      <w:r>
        <w:t xml:space="preserve"> </w:t>
      </w:r>
      <w:r w:rsidRPr="004F1AF3">
        <w:rPr>
          <w:b/>
        </w:rPr>
        <w:t>Monoamine oxidase inhibitors (MAOIs)</w:t>
      </w:r>
      <w:r w:rsidRPr="004F1AF3">
        <w:t xml:space="preserve"> are a class of drugs that inhibit the activity of one or both </w:t>
      </w:r>
      <w:r>
        <w:t xml:space="preserve">isoforms of the </w:t>
      </w:r>
      <w:r w:rsidRPr="004F1AF3">
        <w:rPr>
          <w:b/>
        </w:rPr>
        <w:t>monoamine oxidase (MAO)</w:t>
      </w:r>
      <w:r>
        <w:t xml:space="preserve"> </w:t>
      </w:r>
      <w:r w:rsidRPr="004F1AF3">
        <w:t xml:space="preserve">enzymes: </w:t>
      </w:r>
      <w:r w:rsidRPr="004F1AF3">
        <w:rPr>
          <w:b/>
        </w:rPr>
        <w:t>monoamine oxidase A (MAO-A)</w:t>
      </w:r>
      <w:r w:rsidRPr="004F1AF3">
        <w:t xml:space="preserve"> and </w:t>
      </w:r>
      <w:r>
        <w:rPr>
          <w:b/>
        </w:rPr>
        <w:t>monoamine oxidase B (MAO</w:t>
      </w:r>
      <w:r>
        <w:rPr>
          <w:b/>
        </w:rPr>
        <w:noBreakHyphen/>
        <w:t>B)</w:t>
      </w:r>
      <w:r>
        <w:t xml:space="preserve">. </w:t>
      </w:r>
      <w:r w:rsidRPr="00D87E68">
        <w:t xml:space="preserve">MAOIs act by inhibiting the activity of monoamine oxidase, thus preventing the breakdown of monoamine neurotransmitters and thereby increasing their availability. MAO-A preferentially </w:t>
      </w:r>
      <w:proofErr w:type="spellStart"/>
      <w:r w:rsidRPr="00D87E68">
        <w:t>deaminates</w:t>
      </w:r>
      <w:proofErr w:type="spellEnd"/>
      <w:r w:rsidRPr="00D87E68">
        <w:t xml:space="preserve"> serotonin, melatonin, epinephrine, and norepinephrine. MAO-B preferentially </w:t>
      </w:r>
      <w:proofErr w:type="spellStart"/>
      <w:r w:rsidRPr="00D87E68">
        <w:t>deaminates</w:t>
      </w:r>
      <w:proofErr w:type="spellEnd"/>
      <w:r w:rsidRPr="00D87E68">
        <w:t xml:space="preserve"> phenethylamine and certain other trace amines; in contrast, MAO-A preferentially </w:t>
      </w:r>
      <w:proofErr w:type="spellStart"/>
      <w:r w:rsidRPr="00D87E68">
        <w:t>deaminates</w:t>
      </w:r>
      <w:proofErr w:type="spellEnd"/>
      <w:r w:rsidRPr="00D87E68">
        <w:t xml:space="preserve"> other trace amines, like tyramine, whereas dopamine is equally </w:t>
      </w:r>
      <w:proofErr w:type="spellStart"/>
      <w:r w:rsidRPr="00D87E68">
        <w:t>deaminated</w:t>
      </w:r>
      <w:proofErr w:type="spellEnd"/>
      <w:r w:rsidRPr="00D87E68">
        <w:t xml:space="preserve"> by both types.</w:t>
      </w:r>
    </w:p>
  </w:footnote>
  <w:footnote w:id="14">
    <w:p w14:paraId="024400C5" w14:textId="77777777" w:rsidR="003354A0" w:rsidRPr="00BD271A" w:rsidRDefault="003354A0" w:rsidP="00862930">
      <w:pPr>
        <w:pStyle w:val="FootnoteText"/>
        <w:rPr>
          <w:b/>
          <w:lang w:eastAsia="ja-JP"/>
        </w:rPr>
      </w:pPr>
      <w:r>
        <w:rPr>
          <w:rStyle w:val="FootnoteReference"/>
        </w:rPr>
        <w:footnoteRef/>
      </w:r>
      <w:r>
        <w:t xml:space="preserve"> </w:t>
      </w:r>
      <w:r w:rsidRPr="00B41C85">
        <w:rPr>
          <w:b/>
          <w:lang w:eastAsia="ja-JP"/>
        </w:rPr>
        <w:t>Cytochrome P450 (CYP) enzymes:</w:t>
      </w:r>
      <w:r>
        <w:rPr>
          <w:b/>
          <w:lang w:eastAsia="ja-JP"/>
        </w:rPr>
        <w:t xml:space="preserve"> </w:t>
      </w:r>
      <w:r>
        <w:rPr>
          <w:lang w:eastAsia="ja-JP"/>
        </w:rPr>
        <w:t xml:space="preserve">CYPs are the major enzymes involved in drug metabolism, accounting for large part of the total metabolism. Most drugs undergo deactivation by CYPs, either directly or by facilitated excretion from the body. Also, many substances are </w:t>
      </w:r>
      <w:proofErr w:type="spellStart"/>
      <w:r>
        <w:rPr>
          <w:lang w:eastAsia="ja-JP"/>
        </w:rPr>
        <w:t>bioactivated</w:t>
      </w:r>
      <w:proofErr w:type="spellEnd"/>
      <w:r>
        <w:rPr>
          <w:lang w:eastAsia="ja-JP"/>
        </w:rPr>
        <w:t xml:space="preserve"> by CYPs to form their active compounds.</w:t>
      </w:r>
    </w:p>
    <w:p w14:paraId="05DE3A05" w14:textId="77777777" w:rsidR="003354A0" w:rsidRPr="0066483A" w:rsidRDefault="003354A0" w:rsidP="00862930">
      <w:pPr>
        <w:pStyle w:val="FootnoteText"/>
        <w:rPr>
          <w:lang w:val="en-US"/>
        </w:rPr>
      </w:pPr>
      <w:r>
        <w:rPr>
          <w:lang w:eastAsia="ja-JP"/>
        </w:rP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5">
    <w:p w14:paraId="39648AFD" w14:textId="77777777" w:rsidR="003354A0" w:rsidRPr="00A4221E" w:rsidRDefault="003354A0">
      <w:pPr>
        <w:pStyle w:val="FootnoteText"/>
        <w:rPr>
          <w:lang w:val="en-US"/>
        </w:rPr>
      </w:pPr>
      <w:r>
        <w:rPr>
          <w:rStyle w:val="FootnoteReference"/>
        </w:rPr>
        <w:footnoteRef/>
      </w:r>
      <w:r>
        <w:t xml:space="preserve"> </w:t>
      </w:r>
      <w:r w:rsidRPr="00A4221E">
        <w:t xml:space="preserve">The </w:t>
      </w:r>
      <w:r w:rsidRPr="00A4221E">
        <w:rPr>
          <w:b/>
        </w:rPr>
        <w:t>QT interval</w:t>
      </w:r>
      <w:r w:rsidRPr="00A4221E">
        <w:t xml:space="preserve"> is the time from the start of the QRS wave complex to the end of the corresponding T wave. It approximates to the time taken for ventricular depolarisation and repolarisation, that is to say, the period of ventricular systole from ventricular </w:t>
      </w:r>
      <w:proofErr w:type="spellStart"/>
      <w:r w:rsidRPr="00A4221E">
        <w:t>isovolumetric</w:t>
      </w:r>
      <w:proofErr w:type="spellEnd"/>
      <w:r w:rsidRPr="00A4221E">
        <w:t xml:space="preserve"> contraction to </w:t>
      </w:r>
      <w:proofErr w:type="spellStart"/>
      <w:r w:rsidRPr="00A4221E">
        <w:t>isovolumetric</w:t>
      </w:r>
      <w:proofErr w:type="spellEnd"/>
      <w:r w:rsidRPr="00A4221E">
        <w:t xml:space="preserve"> relaxation.</w:t>
      </w:r>
    </w:p>
  </w:footnote>
  <w:footnote w:id="16">
    <w:p w14:paraId="6134ED15" w14:textId="77777777" w:rsidR="003354A0" w:rsidRPr="001957E8" w:rsidRDefault="003354A0" w:rsidP="001957E8">
      <w:pPr>
        <w:pStyle w:val="FootnoteText"/>
      </w:pPr>
      <w:r>
        <w:rPr>
          <w:rStyle w:val="FootnoteReference"/>
        </w:rPr>
        <w:footnoteRef/>
      </w:r>
      <w:r>
        <w:t xml:space="preserve"> A thorough QT study examines the pharmacokinetic/pharmacodynamics potential </w:t>
      </w:r>
      <w:r w:rsidRPr="001957E8">
        <w:t>for</w:t>
      </w:r>
      <w:r>
        <w:t xml:space="preserve"> the</w:t>
      </w:r>
      <w:r w:rsidRPr="001957E8">
        <w:t xml:space="preserve"> pharmacologic prolongation of the QT interval</w:t>
      </w:r>
      <w:r>
        <w:t xml:space="preserve"> that can be affected by some drugs.</w:t>
      </w:r>
      <w:r>
        <w:rPr>
          <w:rStyle w:val="FootnoteTextChar"/>
        </w:rPr>
        <w:t xml:space="preserve"> </w:t>
      </w:r>
      <w:r w:rsidRPr="00436FD3">
        <w:rPr>
          <w:rStyle w:val="FootnoteTextChar"/>
        </w:rPr>
        <w:t xml:space="preserve">The </w:t>
      </w:r>
      <w:r w:rsidRPr="00D104F0">
        <w:rPr>
          <w:rStyle w:val="FootnoteTextChar"/>
          <w:b/>
        </w:rPr>
        <w:t>corrected QT interval (</w:t>
      </w:r>
      <w:proofErr w:type="spellStart"/>
      <w:r w:rsidRPr="00D104F0">
        <w:rPr>
          <w:rStyle w:val="FootnoteTextChar"/>
          <w:b/>
        </w:rPr>
        <w:t>QTc</w:t>
      </w:r>
      <w:proofErr w:type="spellEnd"/>
      <w:r w:rsidRPr="00D104F0">
        <w:rPr>
          <w:rStyle w:val="FootnoteTextChar"/>
          <w:b/>
        </w:rPr>
        <w:t>)</w:t>
      </w:r>
      <w:r w:rsidRPr="00436FD3">
        <w:rPr>
          <w:rStyle w:val="FootnoteTextChar"/>
        </w:rPr>
        <w:t> estimates the QT interval at a standard heart rate. This allows comparison of QT values over time at different heart rates and improves detection of patients at increased risk of arrhythmias.</w:t>
      </w:r>
    </w:p>
  </w:footnote>
  <w:footnote w:id="17">
    <w:p w14:paraId="46781FBC" w14:textId="77777777" w:rsidR="003354A0" w:rsidRPr="00362226" w:rsidRDefault="003354A0">
      <w:pPr>
        <w:pStyle w:val="FootnoteText"/>
        <w:rPr>
          <w:lang w:val="en-US"/>
        </w:rPr>
      </w:pPr>
      <w:r>
        <w:rPr>
          <w:rStyle w:val="FootnoteReference"/>
        </w:rPr>
        <w:footnoteRef/>
      </w:r>
      <w:r>
        <w:t xml:space="preserve"> </w:t>
      </w:r>
      <w:r>
        <w:rPr>
          <w:lang w:val="en-US"/>
        </w:rPr>
        <w:t xml:space="preserve">The </w:t>
      </w:r>
      <w:r w:rsidRPr="007549FB">
        <w:rPr>
          <w:b/>
          <w:lang w:val="en-US"/>
        </w:rPr>
        <w:t>absolute lymphocyte count (ALC)</w:t>
      </w:r>
      <w:r>
        <w:rPr>
          <w:lang w:val="en-US"/>
        </w:rPr>
        <w:t xml:space="preserve"> is t</w:t>
      </w:r>
      <w:r w:rsidRPr="007549FB">
        <w:rPr>
          <w:lang w:val="en-US"/>
        </w:rPr>
        <w:t xml:space="preserve">he determination of the number of lymphocytes </w:t>
      </w:r>
      <w:r>
        <w:rPr>
          <w:lang w:val="en-US"/>
        </w:rPr>
        <w:t xml:space="preserve">(or white blood cells) </w:t>
      </w:r>
      <w:r w:rsidRPr="007549FB">
        <w:rPr>
          <w:lang w:val="en-US"/>
        </w:rPr>
        <w:t>in a blood sample</w:t>
      </w:r>
      <w:r>
        <w:rPr>
          <w:lang w:val="en-US"/>
        </w:rPr>
        <w:t xml:space="preserve"> or biological specimen</w:t>
      </w:r>
      <w:r w:rsidRPr="007549FB">
        <w:rPr>
          <w:lang w:val="en-US"/>
        </w:rPr>
        <w:t>.</w:t>
      </w:r>
    </w:p>
  </w:footnote>
  <w:footnote w:id="18">
    <w:p w14:paraId="096658BA" w14:textId="77777777" w:rsidR="003354A0" w:rsidRPr="00960557" w:rsidRDefault="003354A0">
      <w:pPr>
        <w:pStyle w:val="FootnoteText"/>
        <w:rPr>
          <w:lang w:val="en-US"/>
        </w:rPr>
      </w:pPr>
      <w:r>
        <w:rPr>
          <w:rStyle w:val="FootnoteReference"/>
        </w:rPr>
        <w:footnoteRef/>
      </w:r>
      <w:r>
        <w:t xml:space="preserve"> </w:t>
      </w:r>
      <w:r w:rsidRPr="00960557">
        <w:rPr>
          <w:b/>
        </w:rPr>
        <w:t>Tachycardia</w:t>
      </w:r>
      <w:r>
        <w:t xml:space="preserve"> is a</w:t>
      </w:r>
      <w:r w:rsidRPr="00960557">
        <w:t>n abnormally rapid heart rate</w:t>
      </w:r>
      <w:r>
        <w:t>, typically defined as a heart rate above 100 beats per minute, however, t</w:t>
      </w:r>
      <w:r w:rsidRPr="00960557">
        <w:t>hresholds for different age, gender, and patient populations exist.</w:t>
      </w:r>
    </w:p>
  </w:footnote>
  <w:footnote w:id="19">
    <w:p w14:paraId="36667A7D" w14:textId="77777777" w:rsidR="003354A0" w:rsidRPr="00960557" w:rsidRDefault="003354A0">
      <w:pPr>
        <w:pStyle w:val="FootnoteText"/>
        <w:rPr>
          <w:lang w:val="en-US"/>
        </w:rPr>
      </w:pPr>
      <w:r>
        <w:rPr>
          <w:rStyle w:val="FootnoteReference"/>
        </w:rPr>
        <w:footnoteRef/>
      </w:r>
      <w:r>
        <w:t xml:space="preserve"> </w:t>
      </w:r>
      <w:r w:rsidRPr="00CF1FF3">
        <w:rPr>
          <w:b/>
        </w:rPr>
        <w:t>Interferon beta-1a (</w:t>
      </w:r>
      <w:r>
        <w:rPr>
          <w:b/>
        </w:rPr>
        <w:t>IFN β</w:t>
      </w:r>
      <w:r w:rsidRPr="00CF1FF3">
        <w:rPr>
          <w:b/>
        </w:rPr>
        <w:t>1a)</w:t>
      </w:r>
      <w:r w:rsidRPr="00CF1FF3">
        <w:t xml:space="preserve"> is a cytokine in the interferon family used to treat multiple sclerosis (MS).</w:t>
      </w:r>
    </w:p>
  </w:footnote>
  <w:footnote w:id="20">
    <w:p w14:paraId="1475D99D" w14:textId="77777777" w:rsidR="003354A0" w:rsidRPr="00CF1FF3" w:rsidRDefault="003354A0">
      <w:pPr>
        <w:pStyle w:val="FootnoteText"/>
        <w:rPr>
          <w:lang w:val="en-US"/>
        </w:rPr>
      </w:pPr>
      <w:r>
        <w:rPr>
          <w:rStyle w:val="FootnoteReference"/>
        </w:rPr>
        <w:footnoteRef/>
      </w:r>
      <w:r>
        <w:t xml:space="preserve"> The average number of relapse</w:t>
      </w:r>
      <w:r w:rsidRPr="00CF1FF3">
        <w:t xml:space="preserve"> a group of patients in a clinical study have in one year.</w:t>
      </w:r>
    </w:p>
  </w:footnote>
  <w:footnote w:id="21">
    <w:p w14:paraId="082A2B76" w14:textId="77777777" w:rsidR="003354A0" w:rsidRPr="00071B3B" w:rsidRDefault="003354A0">
      <w:pPr>
        <w:pStyle w:val="FootnoteText"/>
        <w:rPr>
          <w:lang w:val="en-US"/>
        </w:rPr>
      </w:pPr>
      <w:r>
        <w:rPr>
          <w:rStyle w:val="FootnoteReference"/>
        </w:rPr>
        <w:footnoteRef/>
      </w:r>
      <w:r>
        <w:t xml:space="preserve"> </w:t>
      </w:r>
      <w:r w:rsidRPr="00071B3B">
        <w:rPr>
          <w:b/>
        </w:rPr>
        <w:t>T1</w:t>
      </w:r>
      <w:r w:rsidRPr="00071B3B">
        <w:t xml:space="preserve"> and </w:t>
      </w:r>
      <w:r w:rsidRPr="00071B3B">
        <w:rPr>
          <w:b/>
        </w:rPr>
        <w:t>T2</w:t>
      </w:r>
      <w:r w:rsidRPr="00071B3B">
        <w:t xml:space="preserve"> are technical terms applied to different</w:t>
      </w:r>
      <w:r>
        <w:t xml:space="preserve"> magnetic resonance imaging</w:t>
      </w:r>
      <w:r w:rsidRPr="00071B3B">
        <w:t xml:space="preserve"> </w:t>
      </w:r>
      <w:r>
        <w:t>(</w:t>
      </w:r>
      <w:r w:rsidRPr="00071B3B">
        <w:t>MRI</w:t>
      </w:r>
      <w:r>
        <w:t>)</w:t>
      </w:r>
      <w:r w:rsidRPr="00071B3B">
        <w:t xml:space="preserve"> methods used to generate magnetic resonance images. Specifically, T1 and T2 refers to the time taken between magnetic pulses and the image is taken. These different methods are used to detect different structures or chemicals in the central nervous system. T1 and T2 lesions refers to whether the lesions were detected using either the T1 or T2 method. A T1 MRI image supplies information about current disease activity by highlighting areas of active inflammation. A T2 MRI image provides information about disease burden or lesion load (the total amount of lesion area, both old and new).</w:t>
      </w:r>
      <w:r>
        <w:t xml:space="preserve"> </w:t>
      </w:r>
      <w:proofErr w:type="spellStart"/>
      <w:r w:rsidRPr="00071B3B">
        <w:rPr>
          <w:b/>
        </w:rPr>
        <w:t>Gde</w:t>
      </w:r>
      <w:proofErr w:type="spellEnd"/>
      <w:r>
        <w:t xml:space="preserve"> refers to the use </w:t>
      </w:r>
      <w:r w:rsidRPr="00071B3B">
        <w:t>gadolinium-enhanced</w:t>
      </w:r>
      <w:r>
        <w:t xml:space="preserve"> images</w:t>
      </w:r>
    </w:p>
  </w:footnote>
  <w:footnote w:id="22">
    <w:p w14:paraId="54D21606" w14:textId="1CEEDC49" w:rsidR="003354A0" w:rsidRPr="0013513D" w:rsidRDefault="003354A0">
      <w:pPr>
        <w:pStyle w:val="FootnoteText"/>
        <w:rPr>
          <w:lang w:val="en-US"/>
        </w:rPr>
      </w:pPr>
      <w:r>
        <w:rPr>
          <w:rStyle w:val="FootnoteReference"/>
        </w:rPr>
        <w:footnoteRef/>
      </w:r>
      <w:r>
        <w:t xml:space="preserve"> </w:t>
      </w:r>
      <w:r w:rsidRPr="0013513D">
        <w:t>CHMP/771815/2011 Rev. 2</w:t>
      </w:r>
      <w:r>
        <w:t xml:space="preserve">: </w:t>
      </w:r>
      <w:r w:rsidRPr="0013513D">
        <w:t>Clinical investigation of medicinal products for the treatment of multiple sclerosis</w:t>
      </w:r>
      <w:r>
        <w:t xml:space="preserve">. Effective from 1 October </w:t>
      </w:r>
      <w:r w:rsidRPr="00B70A0F">
        <w:t>2015</w:t>
      </w:r>
      <w:r>
        <w:t>.</w:t>
      </w:r>
    </w:p>
  </w:footnote>
  <w:footnote w:id="23">
    <w:p w14:paraId="1AA3BAF3" w14:textId="77777777" w:rsidR="003354A0" w:rsidRPr="00DA1798" w:rsidRDefault="003354A0" w:rsidP="0030779A">
      <w:pPr>
        <w:pStyle w:val="FootnoteText"/>
      </w:pPr>
      <w:r>
        <w:rPr>
          <w:rStyle w:val="FootnoteReference"/>
        </w:rPr>
        <w:footnoteRef/>
      </w:r>
      <w:r>
        <w:t xml:space="preserve"> </w:t>
      </w:r>
      <w:r w:rsidRPr="0030779A">
        <w:rPr>
          <w:b/>
        </w:rPr>
        <w:t>Gilbert's disease</w:t>
      </w:r>
      <w:r>
        <w:t xml:space="preserve">, also known as </w:t>
      </w:r>
      <w:r w:rsidRPr="0030779A">
        <w:rPr>
          <w:b/>
        </w:rPr>
        <w:t>Gilbert’s syndrome</w:t>
      </w:r>
      <w:r>
        <w:t xml:space="preserve"> (GS) is a mild liver disorder in which the liver does not properly process bilirubin, a breakdown product of the haem component of haemoglobin. Many people never have symptoms; occasionally a slight yellowing colouration of the skin or whites of the eyes may occur, increased lethargy and abdominal pain. include feeling tired, weakness, and abdominal pain. Gilbert's syndrome is due to a mutation in the UGT1A1 gene which results in decreased activity of the bilirubin uridine diphosphate glucuronosyltransferase enzyme. It is typically inherited in an autosomal recessive pattern and occasionally in an autosomal dominant pattern depending on the type of mutation. Episodes of jaundice may be triggered by stress such as exercise, menstruation, or not eating. Diagnosis is based on higher levels of unconjugated bilirubin in the blood without either signs of other liver problems or red blood cell breakdown.</w:t>
      </w:r>
    </w:p>
  </w:footnote>
  <w:footnote w:id="24">
    <w:p w14:paraId="1647BCCB" w14:textId="77777777" w:rsidR="003354A0" w:rsidRPr="00E466B5" w:rsidRDefault="003354A0">
      <w:pPr>
        <w:pStyle w:val="FootnoteText"/>
        <w:rPr>
          <w:lang w:val="en-US"/>
        </w:rPr>
      </w:pPr>
      <w:r>
        <w:rPr>
          <w:rStyle w:val="FootnoteReference"/>
        </w:rPr>
        <w:footnoteRef/>
      </w:r>
      <w:r>
        <w:t xml:space="preserve"> </w:t>
      </w:r>
      <w:proofErr w:type="spellStart"/>
      <w:r w:rsidRPr="00E466B5">
        <w:rPr>
          <w:b/>
        </w:rPr>
        <w:t>Hy’s</w:t>
      </w:r>
      <w:proofErr w:type="spellEnd"/>
      <w:r w:rsidRPr="00E466B5">
        <w:rPr>
          <w:b/>
        </w:rPr>
        <w:t xml:space="preserve"> Law</w:t>
      </w:r>
      <w:r w:rsidRPr="00E466B5">
        <w:t xml:space="preserve">: Evidence of hepatocellular injury with a rise in alanine aminotransferase (ALT) and/or aspartate aminotransferase (AST) &gt; 3 x the upper limit of normal (ULN) and total bilirubin &gt; 2 x ULN, and no other reason to explain rise in aminotransferases and total bilirubin. </w:t>
      </w:r>
      <w:proofErr w:type="spellStart"/>
      <w:r w:rsidRPr="00E466B5">
        <w:t>Hy's</w:t>
      </w:r>
      <w:proofErr w:type="spellEnd"/>
      <w:r w:rsidRPr="00E466B5">
        <w:t xml:space="preserve"> law is a rule of thumb that a patient is at high risk of a fatal drug-induced liver injury if given a medication that causes hepatocellular injury with jaundice.</w:t>
      </w:r>
    </w:p>
  </w:footnote>
  <w:footnote w:id="25">
    <w:p w14:paraId="59227A48" w14:textId="77777777" w:rsidR="003354A0" w:rsidRPr="00DB333E" w:rsidRDefault="003354A0">
      <w:pPr>
        <w:pStyle w:val="FootnoteText"/>
        <w:rPr>
          <w:lang w:val="en-US"/>
        </w:rPr>
      </w:pPr>
      <w:r>
        <w:rPr>
          <w:rStyle w:val="FootnoteReference"/>
        </w:rPr>
        <w:footnoteRef/>
      </w:r>
      <w:r>
        <w:t xml:space="preserve"> </w:t>
      </w:r>
      <w:r w:rsidRPr="00DB333E">
        <w:rPr>
          <w:b/>
        </w:rPr>
        <w:t>System Organ Classes (SOC)</w:t>
      </w:r>
      <w:r w:rsidRPr="00DB333E">
        <w:t xml:space="preserve"> </w:t>
      </w:r>
      <w:r>
        <w:t xml:space="preserve">are groupings or recorded or </w:t>
      </w:r>
      <w:proofErr w:type="spellStart"/>
      <w:r>
        <w:t>suspsected</w:t>
      </w:r>
      <w:proofErr w:type="spellEnd"/>
      <w:r>
        <w:t xml:space="preserve"> adverse events according to</w:t>
      </w:r>
      <w:r w:rsidRPr="00DB333E">
        <w:t xml:space="preserve"> </w:t>
      </w:r>
      <w:r>
        <w:t>a</w:t>
      </w:r>
      <w:r w:rsidRPr="00DB333E">
        <w:t>etiology</w:t>
      </w:r>
      <w:r>
        <w:t>,</w:t>
      </w:r>
      <w:r w:rsidRPr="00DB333E">
        <w:t xml:space="preserve"> </w:t>
      </w:r>
      <w:r>
        <w:t xml:space="preserve">used by </w:t>
      </w:r>
      <w:r w:rsidRPr="00DB333E">
        <w:rPr>
          <w:b/>
        </w:rPr>
        <w:t xml:space="preserve">MedDRA, </w:t>
      </w:r>
      <w:r>
        <w:t xml:space="preserve">the </w:t>
      </w:r>
      <w:r w:rsidRPr="007678DB">
        <w:rPr>
          <w:b/>
        </w:rPr>
        <w:t>Medical Dictionary of Regulatory Activities</w:t>
      </w:r>
      <w:r>
        <w:t xml:space="preserve"> developed by the </w:t>
      </w:r>
      <w:r w:rsidRPr="007678DB">
        <w:rPr>
          <w:b/>
        </w:rPr>
        <w:t>International Council for Harmonisation of Technical Requirements for Pharmaceuticals for Human Use (ICH)</w:t>
      </w:r>
      <w:r>
        <w:t xml:space="preserve">, </w:t>
      </w:r>
      <w:r w:rsidRPr="00DB333E">
        <w:t>a rich and highly specific standardised medical terminology to facilitate sharing of regulatory information internationally for medical products used by humans.</w:t>
      </w:r>
    </w:p>
  </w:footnote>
  <w:footnote w:id="26">
    <w:p w14:paraId="1ABA0163" w14:textId="77777777" w:rsidR="003354A0" w:rsidRPr="007678DB" w:rsidRDefault="003354A0">
      <w:pPr>
        <w:pStyle w:val="FootnoteText"/>
        <w:rPr>
          <w:lang w:val="en-US"/>
        </w:rPr>
      </w:pPr>
      <w:r>
        <w:rPr>
          <w:rStyle w:val="FootnoteReference"/>
        </w:rPr>
        <w:footnoteRef/>
      </w:r>
      <w:r>
        <w:t xml:space="preserve"> </w:t>
      </w:r>
      <w:r w:rsidRPr="007678DB">
        <w:rPr>
          <w:b/>
        </w:rPr>
        <w:t>Progressive multifocal leukoencephalopathy (PML)</w:t>
      </w:r>
      <w:r w:rsidRPr="007678DB">
        <w:t xml:space="preserve"> is a rare and </w:t>
      </w:r>
      <w:r>
        <w:t>potentially fatal viral disease characteris</w:t>
      </w:r>
      <w:r w:rsidRPr="007678DB">
        <w:t>e</w:t>
      </w:r>
      <w:r>
        <w:t>d by progressive damage</w:t>
      </w:r>
      <w:r w:rsidRPr="007678DB">
        <w:t xml:space="preserve"> or inflammat</w:t>
      </w:r>
      <w:r>
        <w:t>ion of the white matter of the brain</w:t>
      </w:r>
      <w:r w:rsidRPr="007678DB">
        <w:t xml:space="preserve"> at multiple locations (multifocal). It is caused by the JC virus, which is normally present and kept under control by the immune system. The JC virus is harmless except in cases of weakened immune systems.</w:t>
      </w:r>
    </w:p>
  </w:footnote>
  <w:footnote w:id="27">
    <w:p w14:paraId="6CD3F5A6" w14:textId="77777777" w:rsidR="003354A0" w:rsidRPr="00D228BB" w:rsidRDefault="003354A0">
      <w:pPr>
        <w:pStyle w:val="FootnoteText"/>
        <w:rPr>
          <w:lang w:val="en-US"/>
        </w:rPr>
      </w:pPr>
      <w:r>
        <w:rPr>
          <w:rStyle w:val="FootnoteReference"/>
        </w:rPr>
        <w:footnoteRef/>
      </w:r>
      <w:r>
        <w:t xml:space="preserve"> </w:t>
      </w:r>
      <w:proofErr w:type="spellStart"/>
      <w:r w:rsidRPr="00D228BB">
        <w:rPr>
          <w:b/>
        </w:rPr>
        <w:t>Cryptococcosis</w:t>
      </w:r>
      <w:proofErr w:type="spellEnd"/>
      <w:r>
        <w:rPr>
          <w:b/>
        </w:rPr>
        <w:t xml:space="preserve"> </w:t>
      </w:r>
      <w:r w:rsidRPr="00D228BB">
        <w:t>i</w:t>
      </w:r>
      <w:r>
        <w:t>s rare yet serious fungal infection.</w:t>
      </w:r>
    </w:p>
  </w:footnote>
  <w:footnote w:id="28">
    <w:p w14:paraId="1A83D479" w14:textId="77777777" w:rsidR="003354A0" w:rsidRDefault="003354A0"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4E7AE07A" w14:textId="77777777" w:rsidR="003354A0" w:rsidRDefault="003354A0" w:rsidP="007D53B6">
      <w:pPr>
        <w:pStyle w:val="FootnoteText"/>
      </w:pPr>
      <w:r w:rsidRPr="007D53B6">
        <w:rPr>
          <w:i/>
        </w:rPr>
        <w:t>Routine pharmacovigilance</w:t>
      </w:r>
      <w:r>
        <w:t xml:space="preserve"> practices involve the following activities:</w:t>
      </w:r>
    </w:p>
    <w:p w14:paraId="5B027CD7" w14:textId="77777777" w:rsidR="003354A0" w:rsidRDefault="003354A0" w:rsidP="007D53B6">
      <w:pPr>
        <w:pStyle w:val="FootnoteText"/>
        <w:numPr>
          <w:ilvl w:val="0"/>
          <w:numId w:val="32"/>
        </w:numPr>
        <w:ind w:left="284" w:hanging="284"/>
      </w:pPr>
      <w:r>
        <w:t>All suspected adverse reactions that are reported to the personnel of the company are collected and collated in an accessible manner;</w:t>
      </w:r>
    </w:p>
    <w:p w14:paraId="097C19C1" w14:textId="77777777" w:rsidR="003354A0" w:rsidRDefault="003354A0" w:rsidP="007D53B6">
      <w:pPr>
        <w:pStyle w:val="FootnoteText"/>
        <w:numPr>
          <w:ilvl w:val="0"/>
          <w:numId w:val="32"/>
        </w:numPr>
        <w:ind w:left="284" w:hanging="284"/>
      </w:pPr>
      <w:r>
        <w:t>Reporting to regulatory authorities;</w:t>
      </w:r>
    </w:p>
    <w:p w14:paraId="78F4A5D3" w14:textId="77777777" w:rsidR="003354A0" w:rsidRDefault="003354A0" w:rsidP="007D53B6">
      <w:pPr>
        <w:pStyle w:val="FootnoteText"/>
        <w:numPr>
          <w:ilvl w:val="0"/>
          <w:numId w:val="32"/>
        </w:numPr>
        <w:ind w:left="284" w:hanging="284"/>
      </w:pPr>
      <w:r>
        <w:t>Continuous monitoring of the safety profiles of approved products including signal detection and updating of labelling;</w:t>
      </w:r>
    </w:p>
    <w:p w14:paraId="5C8A9001" w14:textId="77777777" w:rsidR="003354A0" w:rsidRDefault="003354A0" w:rsidP="007D53B6">
      <w:pPr>
        <w:pStyle w:val="FootnoteText"/>
        <w:numPr>
          <w:ilvl w:val="0"/>
          <w:numId w:val="32"/>
        </w:numPr>
        <w:ind w:left="284" w:hanging="284"/>
      </w:pPr>
      <w:r>
        <w:t>Submission of PSURs;</w:t>
      </w:r>
    </w:p>
    <w:p w14:paraId="4AC3560C" w14:textId="77777777" w:rsidR="003354A0" w:rsidRDefault="003354A0" w:rsidP="007D53B6">
      <w:pPr>
        <w:pStyle w:val="FootnoteText"/>
        <w:numPr>
          <w:ilvl w:val="0"/>
          <w:numId w:val="32"/>
        </w:numPr>
        <w:ind w:left="284" w:hanging="284"/>
      </w:pPr>
      <w:r>
        <w:t>Meeting other local regulatory agency requirements.</w:t>
      </w:r>
    </w:p>
  </w:footnote>
  <w:footnote w:id="29">
    <w:p w14:paraId="42C8E27A" w14:textId="77777777" w:rsidR="003354A0" w:rsidRPr="00160367" w:rsidRDefault="003354A0">
      <w:pPr>
        <w:pStyle w:val="FootnoteText"/>
        <w:rPr>
          <w:lang w:val="en-US"/>
        </w:rPr>
      </w:pPr>
      <w:r>
        <w:rPr>
          <w:rStyle w:val="FootnoteReference"/>
        </w:rPr>
        <w:footnoteRef/>
      </w:r>
      <w:r>
        <w:t xml:space="preserve"> </w:t>
      </w:r>
      <w:r w:rsidRPr="00160367">
        <w:t xml:space="preserve">A </w:t>
      </w:r>
      <w:r w:rsidRPr="00160367">
        <w:rPr>
          <w:b/>
        </w:rPr>
        <w:t>post-authorisation safety study (PASS)</w:t>
      </w:r>
      <w:r w:rsidRPr="00160367">
        <w:t xml:space="preserve"> is a study that is carried out after a medicine has been authorised to obtain further information on a medicine's safety, or to measure the effectiveness of risk-management measures.</w:t>
      </w:r>
    </w:p>
  </w:footnote>
  <w:footnote w:id="30">
    <w:p w14:paraId="2FA52D2D" w14:textId="77777777" w:rsidR="003354A0" w:rsidRPr="004228C6" w:rsidRDefault="003354A0">
      <w:pPr>
        <w:pStyle w:val="FootnoteText"/>
        <w:rPr>
          <w:lang w:val="en-US"/>
        </w:rPr>
      </w:pPr>
      <w:r>
        <w:rPr>
          <w:rStyle w:val="FootnoteReference"/>
        </w:rPr>
        <w:footnoteRef/>
      </w:r>
      <w:r>
        <w:t xml:space="preserve"> AusPAR for Mayzent </w:t>
      </w:r>
      <w:proofErr w:type="spellStart"/>
      <w:r>
        <w:t>siponimod</w:t>
      </w:r>
      <w:proofErr w:type="spellEnd"/>
      <w:r>
        <w:t xml:space="preserve"> Novartis </w:t>
      </w:r>
      <w:r w:rsidRPr="004228C6">
        <w:t>Pharmaceuticals Australia Pty Ltd</w:t>
      </w:r>
      <w:r>
        <w:t xml:space="preserve"> </w:t>
      </w:r>
      <w:r w:rsidRPr="004228C6">
        <w:t>PM-2018-04434-1-1</w:t>
      </w:r>
      <w:r>
        <w:t xml:space="preserve">; </w:t>
      </w:r>
      <w:r w:rsidRPr="004228C6">
        <w:t>https://www.tga.gov.au/auspar/auspar-siponimod</w:t>
      </w:r>
    </w:p>
  </w:footnote>
  <w:footnote w:id="31">
    <w:p w14:paraId="6EC2DC6E" w14:textId="77777777" w:rsidR="003354A0" w:rsidRDefault="003354A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48F53EF" w14:textId="77777777" w:rsidR="003354A0" w:rsidRPr="00456765" w:rsidRDefault="003354A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59D0" w14:textId="77777777" w:rsidR="00E30407" w:rsidRDefault="00E30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04D7" w14:textId="77777777" w:rsidR="003354A0" w:rsidRDefault="003354A0"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6FDF5" w14:textId="77777777" w:rsidR="003354A0" w:rsidRDefault="003354A0">
    <w:pPr>
      <w:rPr>
        <w:noProof/>
        <w:lang w:eastAsia="en-AU"/>
      </w:rPr>
    </w:pPr>
    <w:r w:rsidRPr="00347824">
      <w:rPr>
        <w:noProof/>
        <w:lang w:eastAsia="en-AU"/>
      </w:rPr>
      <w:drawing>
        <wp:anchor distT="0" distB="0" distL="114300" distR="114300" simplePos="0" relativeHeight="251659264" behindDoc="1" locked="0" layoutInCell="1" allowOverlap="1" wp14:anchorId="2ABD0EC2" wp14:editId="31EBFE58">
          <wp:simplePos x="0" y="0"/>
          <wp:positionH relativeFrom="column">
            <wp:posOffset>-1089660</wp:posOffset>
          </wp:positionH>
          <wp:positionV relativeFrom="paragraph">
            <wp:posOffset>-585470</wp:posOffset>
          </wp:positionV>
          <wp:extent cx="7572375" cy="10706100"/>
          <wp:effectExtent l="19050" t="0" r="0" b="0"/>
          <wp:wrapNone/>
          <wp:docPr id="9"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771992B7" w14:textId="77777777" w:rsidR="003354A0" w:rsidRDefault="003354A0" w:rsidP="00593AD1">
    <w:pPr>
      <w:pStyle w:val="HeaderNoLine"/>
    </w:pPr>
    <w:r>
      <w:rPr>
        <w:noProof/>
        <w:lang w:eastAsia="en-AU"/>
      </w:rPr>
      <w:drawing>
        <wp:inline distT="0" distB="0" distL="0" distR="0" wp14:anchorId="458955F4" wp14:editId="40B33F44">
          <wp:extent cx="5400675" cy="7639050"/>
          <wp:effectExtent l="0" t="0" r="9525" b="0"/>
          <wp:docPr id="10" name="Picture 10"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5E31D" w14:textId="77777777" w:rsidR="003354A0" w:rsidRDefault="003354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0B8A5" w14:textId="77777777" w:rsidR="003354A0" w:rsidRDefault="003354A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7BBE5" w14:textId="77777777" w:rsidR="003354A0" w:rsidRDefault="003354A0">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C145E" w14:textId="77777777" w:rsidR="003354A0" w:rsidRDefault="003354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898AF" w14:textId="77777777" w:rsidR="003354A0" w:rsidRDefault="003354A0"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BF22" w14:textId="77777777" w:rsidR="003354A0" w:rsidRDefault="003354A0" w:rsidP="006E08B3">
    <w:r>
      <w:t>Therapeutic Goods Administration</w:t>
    </w:r>
  </w:p>
  <w:p w14:paraId="70EE6692" w14:textId="77777777" w:rsidR="003354A0" w:rsidRDefault="003354A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9280C724"/>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0"/>
  </w:num>
  <w:num w:numId="28">
    <w:abstractNumId w:val="12"/>
  </w:num>
  <w:num w:numId="29">
    <w:abstractNumId w:val="6"/>
  </w:num>
  <w:num w:numId="30">
    <w:abstractNumId w:val="8"/>
  </w:num>
  <w:num w:numId="31">
    <w:abstractNumId w:val="4"/>
  </w:num>
  <w:num w:numId="32">
    <w:abstractNumId w:val="1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E3"/>
    <w:rsid w:val="00002031"/>
    <w:rsid w:val="00004734"/>
    <w:rsid w:val="00006B22"/>
    <w:rsid w:val="00006FAB"/>
    <w:rsid w:val="0001276A"/>
    <w:rsid w:val="000246AE"/>
    <w:rsid w:val="00025C67"/>
    <w:rsid w:val="00044772"/>
    <w:rsid w:val="0004541C"/>
    <w:rsid w:val="0005559E"/>
    <w:rsid w:val="000604D6"/>
    <w:rsid w:val="00071B3B"/>
    <w:rsid w:val="000734D8"/>
    <w:rsid w:val="00077775"/>
    <w:rsid w:val="00090471"/>
    <w:rsid w:val="00096AA7"/>
    <w:rsid w:val="000A3AED"/>
    <w:rsid w:val="000B3532"/>
    <w:rsid w:val="000B3A75"/>
    <w:rsid w:val="000C00C2"/>
    <w:rsid w:val="000C690F"/>
    <w:rsid w:val="000D1295"/>
    <w:rsid w:val="000D391B"/>
    <w:rsid w:val="000D3D6D"/>
    <w:rsid w:val="000D4FC7"/>
    <w:rsid w:val="000E0EE5"/>
    <w:rsid w:val="000E6196"/>
    <w:rsid w:val="000F4869"/>
    <w:rsid w:val="000F5B42"/>
    <w:rsid w:val="000F6E6F"/>
    <w:rsid w:val="0010601F"/>
    <w:rsid w:val="0010788A"/>
    <w:rsid w:val="00107A31"/>
    <w:rsid w:val="00110EA5"/>
    <w:rsid w:val="00112F56"/>
    <w:rsid w:val="00124ACD"/>
    <w:rsid w:val="00125318"/>
    <w:rsid w:val="001305A2"/>
    <w:rsid w:val="00133238"/>
    <w:rsid w:val="00133A1B"/>
    <w:rsid w:val="0013513D"/>
    <w:rsid w:val="00136B6C"/>
    <w:rsid w:val="0014197B"/>
    <w:rsid w:val="001447CD"/>
    <w:rsid w:val="001516B1"/>
    <w:rsid w:val="00152F85"/>
    <w:rsid w:val="00154EBB"/>
    <w:rsid w:val="00156316"/>
    <w:rsid w:val="00160367"/>
    <w:rsid w:val="00161181"/>
    <w:rsid w:val="00162D14"/>
    <w:rsid w:val="00163780"/>
    <w:rsid w:val="00165389"/>
    <w:rsid w:val="0017693F"/>
    <w:rsid w:val="0018110E"/>
    <w:rsid w:val="00181684"/>
    <w:rsid w:val="001843C6"/>
    <w:rsid w:val="001850E0"/>
    <w:rsid w:val="001957E8"/>
    <w:rsid w:val="001A03AF"/>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F3"/>
    <w:rsid w:val="00233456"/>
    <w:rsid w:val="002339A5"/>
    <w:rsid w:val="00250271"/>
    <w:rsid w:val="00257848"/>
    <w:rsid w:val="002578E8"/>
    <w:rsid w:val="0027084A"/>
    <w:rsid w:val="00280265"/>
    <w:rsid w:val="00283D24"/>
    <w:rsid w:val="002843EC"/>
    <w:rsid w:val="00286434"/>
    <w:rsid w:val="00286580"/>
    <w:rsid w:val="00286C59"/>
    <w:rsid w:val="00291957"/>
    <w:rsid w:val="002942D1"/>
    <w:rsid w:val="0029501A"/>
    <w:rsid w:val="00295BE7"/>
    <w:rsid w:val="002A1865"/>
    <w:rsid w:val="002A3721"/>
    <w:rsid w:val="002B1638"/>
    <w:rsid w:val="002B3624"/>
    <w:rsid w:val="002B5812"/>
    <w:rsid w:val="002C2643"/>
    <w:rsid w:val="002D0952"/>
    <w:rsid w:val="002E3616"/>
    <w:rsid w:val="002E40B3"/>
    <w:rsid w:val="002E4C9A"/>
    <w:rsid w:val="002F11F8"/>
    <w:rsid w:val="002F3F56"/>
    <w:rsid w:val="002F44B5"/>
    <w:rsid w:val="002F5122"/>
    <w:rsid w:val="0030394A"/>
    <w:rsid w:val="0030779A"/>
    <w:rsid w:val="00311AC0"/>
    <w:rsid w:val="003176FC"/>
    <w:rsid w:val="0032583B"/>
    <w:rsid w:val="00327883"/>
    <w:rsid w:val="003331CD"/>
    <w:rsid w:val="003354A0"/>
    <w:rsid w:val="00335504"/>
    <w:rsid w:val="0033782D"/>
    <w:rsid w:val="00340C18"/>
    <w:rsid w:val="003442FD"/>
    <w:rsid w:val="00347824"/>
    <w:rsid w:val="0035020F"/>
    <w:rsid w:val="00350567"/>
    <w:rsid w:val="003521E8"/>
    <w:rsid w:val="00362226"/>
    <w:rsid w:val="00370CE3"/>
    <w:rsid w:val="003728F3"/>
    <w:rsid w:val="003735BC"/>
    <w:rsid w:val="0037496E"/>
    <w:rsid w:val="00383221"/>
    <w:rsid w:val="00386150"/>
    <w:rsid w:val="003874CE"/>
    <w:rsid w:val="00390900"/>
    <w:rsid w:val="003A4C00"/>
    <w:rsid w:val="003A7F6C"/>
    <w:rsid w:val="003B34D8"/>
    <w:rsid w:val="003B4D60"/>
    <w:rsid w:val="003B7E39"/>
    <w:rsid w:val="003C58DC"/>
    <w:rsid w:val="003D1E62"/>
    <w:rsid w:val="003E0B99"/>
    <w:rsid w:val="003E2486"/>
    <w:rsid w:val="003E3208"/>
    <w:rsid w:val="003F0B04"/>
    <w:rsid w:val="0040134E"/>
    <w:rsid w:val="004228C6"/>
    <w:rsid w:val="00425FA5"/>
    <w:rsid w:val="004334C7"/>
    <w:rsid w:val="00440A2D"/>
    <w:rsid w:val="00441C3F"/>
    <w:rsid w:val="00444D1A"/>
    <w:rsid w:val="0045186A"/>
    <w:rsid w:val="004564A7"/>
    <w:rsid w:val="00456765"/>
    <w:rsid w:val="00460036"/>
    <w:rsid w:val="004617BF"/>
    <w:rsid w:val="00463658"/>
    <w:rsid w:val="004637A0"/>
    <w:rsid w:val="004722CC"/>
    <w:rsid w:val="00487975"/>
    <w:rsid w:val="00490483"/>
    <w:rsid w:val="004936E4"/>
    <w:rsid w:val="00494E60"/>
    <w:rsid w:val="00497487"/>
    <w:rsid w:val="004A2771"/>
    <w:rsid w:val="004A6189"/>
    <w:rsid w:val="004A7390"/>
    <w:rsid w:val="004B15E3"/>
    <w:rsid w:val="004B7B76"/>
    <w:rsid w:val="004C239D"/>
    <w:rsid w:val="004C2DCA"/>
    <w:rsid w:val="004C4FBE"/>
    <w:rsid w:val="004C61D2"/>
    <w:rsid w:val="004E7449"/>
    <w:rsid w:val="004F0C4A"/>
    <w:rsid w:val="004F0F38"/>
    <w:rsid w:val="004F1AF3"/>
    <w:rsid w:val="004F47D6"/>
    <w:rsid w:val="00500337"/>
    <w:rsid w:val="00501921"/>
    <w:rsid w:val="00507000"/>
    <w:rsid w:val="00530354"/>
    <w:rsid w:val="0053625B"/>
    <w:rsid w:val="005434C6"/>
    <w:rsid w:val="00543B39"/>
    <w:rsid w:val="00546154"/>
    <w:rsid w:val="00550096"/>
    <w:rsid w:val="00555280"/>
    <w:rsid w:val="00557FF9"/>
    <w:rsid w:val="0056188B"/>
    <w:rsid w:val="00562327"/>
    <w:rsid w:val="00563B95"/>
    <w:rsid w:val="005711D5"/>
    <w:rsid w:val="00576378"/>
    <w:rsid w:val="00577130"/>
    <w:rsid w:val="00577945"/>
    <w:rsid w:val="00577E38"/>
    <w:rsid w:val="00585322"/>
    <w:rsid w:val="005857C6"/>
    <w:rsid w:val="005872F2"/>
    <w:rsid w:val="00592F6E"/>
    <w:rsid w:val="00593AD1"/>
    <w:rsid w:val="005A68B6"/>
    <w:rsid w:val="005C13EA"/>
    <w:rsid w:val="005C5570"/>
    <w:rsid w:val="005C5B66"/>
    <w:rsid w:val="005C5FF7"/>
    <w:rsid w:val="005C79A4"/>
    <w:rsid w:val="005D5442"/>
    <w:rsid w:val="005E1941"/>
    <w:rsid w:val="00603F32"/>
    <w:rsid w:val="00605AD4"/>
    <w:rsid w:val="006136D7"/>
    <w:rsid w:val="00625A6E"/>
    <w:rsid w:val="00632398"/>
    <w:rsid w:val="00640FC3"/>
    <w:rsid w:val="00642020"/>
    <w:rsid w:val="006430EE"/>
    <w:rsid w:val="0065337B"/>
    <w:rsid w:val="0065419D"/>
    <w:rsid w:val="006603BC"/>
    <w:rsid w:val="006604D8"/>
    <w:rsid w:val="00660CDB"/>
    <w:rsid w:val="0066483A"/>
    <w:rsid w:val="00664A5B"/>
    <w:rsid w:val="0066735C"/>
    <w:rsid w:val="006763D2"/>
    <w:rsid w:val="00680C08"/>
    <w:rsid w:val="00691541"/>
    <w:rsid w:val="006916A0"/>
    <w:rsid w:val="006931B1"/>
    <w:rsid w:val="00697AE3"/>
    <w:rsid w:val="006A15C0"/>
    <w:rsid w:val="006A58A8"/>
    <w:rsid w:val="006C3E2A"/>
    <w:rsid w:val="006C642F"/>
    <w:rsid w:val="006D03E5"/>
    <w:rsid w:val="006D0AA2"/>
    <w:rsid w:val="006D3A6C"/>
    <w:rsid w:val="006D5D3E"/>
    <w:rsid w:val="006E08B3"/>
    <w:rsid w:val="006F17AC"/>
    <w:rsid w:val="006F25B8"/>
    <w:rsid w:val="006F572E"/>
    <w:rsid w:val="007046D6"/>
    <w:rsid w:val="00705DB0"/>
    <w:rsid w:val="007217A1"/>
    <w:rsid w:val="00722B57"/>
    <w:rsid w:val="0072692E"/>
    <w:rsid w:val="00730F8A"/>
    <w:rsid w:val="007327D0"/>
    <w:rsid w:val="00735A8C"/>
    <w:rsid w:val="0074253D"/>
    <w:rsid w:val="0074429B"/>
    <w:rsid w:val="007549FB"/>
    <w:rsid w:val="007615BC"/>
    <w:rsid w:val="00762F05"/>
    <w:rsid w:val="007652FF"/>
    <w:rsid w:val="007678DB"/>
    <w:rsid w:val="00770CAC"/>
    <w:rsid w:val="00770EF1"/>
    <w:rsid w:val="00773EF7"/>
    <w:rsid w:val="00774E1D"/>
    <w:rsid w:val="007765D8"/>
    <w:rsid w:val="0077675A"/>
    <w:rsid w:val="00780355"/>
    <w:rsid w:val="007819FD"/>
    <w:rsid w:val="00785717"/>
    <w:rsid w:val="00785721"/>
    <w:rsid w:val="00793A59"/>
    <w:rsid w:val="007A2DA2"/>
    <w:rsid w:val="007A46F5"/>
    <w:rsid w:val="007A6505"/>
    <w:rsid w:val="007B2895"/>
    <w:rsid w:val="007B6132"/>
    <w:rsid w:val="007B6E9F"/>
    <w:rsid w:val="007C1216"/>
    <w:rsid w:val="007C1AF7"/>
    <w:rsid w:val="007C6B9B"/>
    <w:rsid w:val="007D53B6"/>
    <w:rsid w:val="00805D27"/>
    <w:rsid w:val="00806DCB"/>
    <w:rsid w:val="00821776"/>
    <w:rsid w:val="00823CD5"/>
    <w:rsid w:val="0082445D"/>
    <w:rsid w:val="008321F5"/>
    <w:rsid w:val="00832369"/>
    <w:rsid w:val="00833129"/>
    <w:rsid w:val="00834660"/>
    <w:rsid w:val="00836BC2"/>
    <w:rsid w:val="0085156D"/>
    <w:rsid w:val="00852B28"/>
    <w:rsid w:val="0085641B"/>
    <w:rsid w:val="00857136"/>
    <w:rsid w:val="00862930"/>
    <w:rsid w:val="00875A6B"/>
    <w:rsid w:val="00875F77"/>
    <w:rsid w:val="00885B11"/>
    <w:rsid w:val="00886D15"/>
    <w:rsid w:val="00887DD8"/>
    <w:rsid w:val="00891BA9"/>
    <w:rsid w:val="00896018"/>
    <w:rsid w:val="008960DD"/>
    <w:rsid w:val="0089635C"/>
    <w:rsid w:val="008A081B"/>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31EF"/>
    <w:rsid w:val="008F613E"/>
    <w:rsid w:val="008F6943"/>
    <w:rsid w:val="00902A21"/>
    <w:rsid w:val="00911B06"/>
    <w:rsid w:val="0091523F"/>
    <w:rsid w:val="00920330"/>
    <w:rsid w:val="009219D7"/>
    <w:rsid w:val="00922D53"/>
    <w:rsid w:val="00923B70"/>
    <w:rsid w:val="00924482"/>
    <w:rsid w:val="00930237"/>
    <w:rsid w:val="009331B7"/>
    <w:rsid w:val="00937C17"/>
    <w:rsid w:val="00940A89"/>
    <w:rsid w:val="00941784"/>
    <w:rsid w:val="00941F77"/>
    <w:rsid w:val="00945166"/>
    <w:rsid w:val="00946209"/>
    <w:rsid w:val="00946EA5"/>
    <w:rsid w:val="00960520"/>
    <w:rsid w:val="00960557"/>
    <w:rsid w:val="00963C08"/>
    <w:rsid w:val="009752A5"/>
    <w:rsid w:val="0098522B"/>
    <w:rsid w:val="0098585A"/>
    <w:rsid w:val="009A4CED"/>
    <w:rsid w:val="009A690D"/>
    <w:rsid w:val="009B1D12"/>
    <w:rsid w:val="009B416B"/>
    <w:rsid w:val="009C4BD5"/>
    <w:rsid w:val="009D7B77"/>
    <w:rsid w:val="009E0BB0"/>
    <w:rsid w:val="009E3FBB"/>
    <w:rsid w:val="009F7353"/>
    <w:rsid w:val="00A0114F"/>
    <w:rsid w:val="00A04F85"/>
    <w:rsid w:val="00A05FA4"/>
    <w:rsid w:val="00A102E4"/>
    <w:rsid w:val="00A1219C"/>
    <w:rsid w:val="00A12C42"/>
    <w:rsid w:val="00A14DF7"/>
    <w:rsid w:val="00A22D57"/>
    <w:rsid w:val="00A3246D"/>
    <w:rsid w:val="00A36FA7"/>
    <w:rsid w:val="00A4221E"/>
    <w:rsid w:val="00A44DDB"/>
    <w:rsid w:val="00A475B7"/>
    <w:rsid w:val="00A47AF7"/>
    <w:rsid w:val="00A47C3E"/>
    <w:rsid w:val="00A50226"/>
    <w:rsid w:val="00A5238A"/>
    <w:rsid w:val="00A60BAD"/>
    <w:rsid w:val="00A6308C"/>
    <w:rsid w:val="00A77AA4"/>
    <w:rsid w:val="00A77F87"/>
    <w:rsid w:val="00A80B5B"/>
    <w:rsid w:val="00A84E36"/>
    <w:rsid w:val="00A964D1"/>
    <w:rsid w:val="00AA0ED0"/>
    <w:rsid w:val="00AB0334"/>
    <w:rsid w:val="00AC2B40"/>
    <w:rsid w:val="00AC2BB2"/>
    <w:rsid w:val="00AC2C3C"/>
    <w:rsid w:val="00AC512D"/>
    <w:rsid w:val="00AD0083"/>
    <w:rsid w:val="00AD3935"/>
    <w:rsid w:val="00AD57C2"/>
    <w:rsid w:val="00AE65EB"/>
    <w:rsid w:val="00AE67A7"/>
    <w:rsid w:val="00AF1D94"/>
    <w:rsid w:val="00AF60C5"/>
    <w:rsid w:val="00B008D5"/>
    <w:rsid w:val="00B009C6"/>
    <w:rsid w:val="00B01548"/>
    <w:rsid w:val="00B04A17"/>
    <w:rsid w:val="00B130C5"/>
    <w:rsid w:val="00B13EBD"/>
    <w:rsid w:val="00B21D29"/>
    <w:rsid w:val="00B25034"/>
    <w:rsid w:val="00B33588"/>
    <w:rsid w:val="00B33863"/>
    <w:rsid w:val="00B37D17"/>
    <w:rsid w:val="00B4175E"/>
    <w:rsid w:val="00B41C85"/>
    <w:rsid w:val="00B452CE"/>
    <w:rsid w:val="00B54C25"/>
    <w:rsid w:val="00B67305"/>
    <w:rsid w:val="00B70A0F"/>
    <w:rsid w:val="00B76B91"/>
    <w:rsid w:val="00B77EB1"/>
    <w:rsid w:val="00B811C6"/>
    <w:rsid w:val="00B855B0"/>
    <w:rsid w:val="00B85FF8"/>
    <w:rsid w:val="00B92E08"/>
    <w:rsid w:val="00BC622A"/>
    <w:rsid w:val="00BE0232"/>
    <w:rsid w:val="00BE0A78"/>
    <w:rsid w:val="00BE79F0"/>
    <w:rsid w:val="00BF046D"/>
    <w:rsid w:val="00BF1190"/>
    <w:rsid w:val="00BF3774"/>
    <w:rsid w:val="00BF5D04"/>
    <w:rsid w:val="00C009AA"/>
    <w:rsid w:val="00C04291"/>
    <w:rsid w:val="00C1164D"/>
    <w:rsid w:val="00C16861"/>
    <w:rsid w:val="00C32A62"/>
    <w:rsid w:val="00C346AB"/>
    <w:rsid w:val="00C404A6"/>
    <w:rsid w:val="00C40A36"/>
    <w:rsid w:val="00C44419"/>
    <w:rsid w:val="00C45E7B"/>
    <w:rsid w:val="00C471B1"/>
    <w:rsid w:val="00C525A2"/>
    <w:rsid w:val="00C52E24"/>
    <w:rsid w:val="00C54E75"/>
    <w:rsid w:val="00C6316B"/>
    <w:rsid w:val="00C634A9"/>
    <w:rsid w:val="00C64586"/>
    <w:rsid w:val="00C7010E"/>
    <w:rsid w:val="00C70A36"/>
    <w:rsid w:val="00C70D53"/>
    <w:rsid w:val="00C71FAE"/>
    <w:rsid w:val="00C73D0B"/>
    <w:rsid w:val="00C74F5C"/>
    <w:rsid w:val="00C772FF"/>
    <w:rsid w:val="00C80137"/>
    <w:rsid w:val="00C801AF"/>
    <w:rsid w:val="00C80256"/>
    <w:rsid w:val="00C80C98"/>
    <w:rsid w:val="00C83BD3"/>
    <w:rsid w:val="00C94CD4"/>
    <w:rsid w:val="00C9747E"/>
    <w:rsid w:val="00C97995"/>
    <w:rsid w:val="00CB6BC0"/>
    <w:rsid w:val="00CC1B7C"/>
    <w:rsid w:val="00CC727F"/>
    <w:rsid w:val="00CF15C3"/>
    <w:rsid w:val="00CF1FF3"/>
    <w:rsid w:val="00CF2B6F"/>
    <w:rsid w:val="00CF2F3E"/>
    <w:rsid w:val="00CF58B6"/>
    <w:rsid w:val="00CF5DAD"/>
    <w:rsid w:val="00D0062D"/>
    <w:rsid w:val="00D017ED"/>
    <w:rsid w:val="00D040D3"/>
    <w:rsid w:val="00D04C65"/>
    <w:rsid w:val="00D153D8"/>
    <w:rsid w:val="00D201D2"/>
    <w:rsid w:val="00D224FE"/>
    <w:rsid w:val="00D228BB"/>
    <w:rsid w:val="00D23139"/>
    <w:rsid w:val="00D425BB"/>
    <w:rsid w:val="00D453FA"/>
    <w:rsid w:val="00D6493E"/>
    <w:rsid w:val="00D7195D"/>
    <w:rsid w:val="00D7301E"/>
    <w:rsid w:val="00D73B2D"/>
    <w:rsid w:val="00D83AE1"/>
    <w:rsid w:val="00D855D4"/>
    <w:rsid w:val="00D87E68"/>
    <w:rsid w:val="00D902C9"/>
    <w:rsid w:val="00D93466"/>
    <w:rsid w:val="00DA1124"/>
    <w:rsid w:val="00DA1798"/>
    <w:rsid w:val="00DA64CB"/>
    <w:rsid w:val="00DB06B8"/>
    <w:rsid w:val="00DB2452"/>
    <w:rsid w:val="00DB333E"/>
    <w:rsid w:val="00DB6124"/>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30407"/>
    <w:rsid w:val="00E30A7A"/>
    <w:rsid w:val="00E40B22"/>
    <w:rsid w:val="00E44ED1"/>
    <w:rsid w:val="00E45619"/>
    <w:rsid w:val="00E4588F"/>
    <w:rsid w:val="00E45F10"/>
    <w:rsid w:val="00E466B5"/>
    <w:rsid w:val="00E46DA3"/>
    <w:rsid w:val="00E51BB1"/>
    <w:rsid w:val="00E55CB0"/>
    <w:rsid w:val="00E624A5"/>
    <w:rsid w:val="00E64BA4"/>
    <w:rsid w:val="00E7344E"/>
    <w:rsid w:val="00E82665"/>
    <w:rsid w:val="00E845BA"/>
    <w:rsid w:val="00E9399E"/>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22648"/>
    <w:rsid w:val="00F3148D"/>
    <w:rsid w:val="00F325C5"/>
    <w:rsid w:val="00F32FE0"/>
    <w:rsid w:val="00F35298"/>
    <w:rsid w:val="00F3670D"/>
    <w:rsid w:val="00F47333"/>
    <w:rsid w:val="00F47E37"/>
    <w:rsid w:val="00F53C07"/>
    <w:rsid w:val="00F54B65"/>
    <w:rsid w:val="00F640B6"/>
    <w:rsid w:val="00F66DF2"/>
    <w:rsid w:val="00F80E40"/>
    <w:rsid w:val="00F82651"/>
    <w:rsid w:val="00F83ACE"/>
    <w:rsid w:val="00F848D9"/>
    <w:rsid w:val="00FA5069"/>
    <w:rsid w:val="00FA5B82"/>
    <w:rsid w:val="00FA639E"/>
    <w:rsid w:val="00FC1FCA"/>
    <w:rsid w:val="00FC25E4"/>
    <w:rsid w:val="00FC4EF7"/>
    <w:rsid w:val="00FD0824"/>
    <w:rsid w:val="00FD119B"/>
    <w:rsid w:val="00FD1EDC"/>
    <w:rsid w:val="00FE1DEE"/>
    <w:rsid w:val="00FE394F"/>
    <w:rsid w:val="00FE441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41949F"/>
  <w15:docId w15:val="{4CB5119E-F24A-4824-B0C7-FF6A5B79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0407"/>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TOC6">
    <w:name w:val="toc 6"/>
    <w:basedOn w:val="Normal"/>
    <w:next w:val="Normal"/>
    <w:autoRedefine/>
    <w:uiPriority w:val="39"/>
    <w:semiHidden/>
    <w:unhideWhenUsed/>
    <w:rsid w:val="00862930"/>
    <w:pPr>
      <w:spacing w:after="100"/>
      <w:ind w:left="1100"/>
    </w:pPr>
  </w:style>
  <w:style w:type="paragraph" w:customStyle="1" w:styleId="Default">
    <w:name w:val="Default"/>
    <w:rsid w:val="00152F85"/>
    <w:pPr>
      <w:autoSpaceDE w:val="0"/>
      <w:autoSpaceDN w:val="0"/>
      <w:adjustRightInd w:val="0"/>
      <w:spacing w:after="0" w:line="240" w:lineRule="auto"/>
    </w:pPr>
    <w:rPr>
      <w:rFonts w:ascii="Cambria" w:hAnsi="Cambria" w:cs="Cambria"/>
      <w:color w:val="000000"/>
      <w:sz w:val="24"/>
      <w:szCs w:val="24"/>
      <w:lang w:val="en-US"/>
    </w:rPr>
  </w:style>
  <w:style w:type="paragraph" w:customStyle="1" w:styleId="Bulletpoint">
    <w:name w:val="Bullet point"/>
    <w:basedOn w:val="Normal"/>
    <w:rsid w:val="00660CDB"/>
    <w:pPr>
      <w:numPr>
        <w:numId w:val="33"/>
      </w:numPr>
      <w:tabs>
        <w:tab w:val="clear" w:pos="369"/>
        <w:tab w:val="left" w:pos="397"/>
        <w:tab w:val="num" w:pos="511"/>
      </w:tabs>
      <w:spacing w:before="0" w:after="180" w:line="252" w:lineRule="auto"/>
    </w:pPr>
    <w:rPr>
      <w:rFonts w:eastAsia="Times New Roman"/>
      <w:kern w:val="16"/>
      <w:szCs w:val="24"/>
    </w:rPr>
  </w:style>
  <w:style w:type="character" w:customStyle="1" w:styleId="TabletextChar">
    <w:name w:val="Table text Char"/>
    <w:basedOn w:val="DefaultParagraphFont"/>
    <w:link w:val="Tabletext"/>
    <w:rsid w:val="00B67305"/>
    <w:rPr>
      <w:rFonts w:ascii="Cambria" w:eastAsia="Cambria" w:hAnsi="Cambria" w:cs="Times New Roman"/>
      <w:sz w:val="19"/>
    </w:rPr>
  </w:style>
  <w:style w:type="paragraph" w:customStyle="1" w:styleId="Standard">
    <w:name w:val="Standard"/>
    <w:basedOn w:val="Normal"/>
    <w:link w:val="StandardChar"/>
    <w:qFormat/>
    <w:rsid w:val="002A1865"/>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2A1865"/>
    <w:rPr>
      <w:rFonts w:ascii="Cambria" w:eastAsia="Times New Roman" w:hAnsi="Cambria" w:cs="Times New Roman"/>
      <w:snapToGrid w:val="0"/>
      <w:kern w:val="16"/>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microsoft.com/office/2007/relationships/hdphoto" Target="media/hdphoto1.wdp"/><Relationship Id="rId26" Type="http://schemas.openxmlformats.org/officeDocument/2006/relationships/hyperlink" Target="mailto:info@tga.gov.au" TargetMode="External"/><Relationship Id="rId3" Type="http://schemas.openxmlformats.org/officeDocument/2006/relationships/styles" Target="styles.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microsoft.com/office/2007/relationships/hdphoto" Target="media/hdphoto2.wdp"/><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https://www.tga.gov.au" TargetMode="Externa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2376\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85EC6-4EA1-4045-949D-5DF89F99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4</TotalTime>
  <Pages>25</Pages>
  <Words>8002</Words>
  <Characters>44095</Characters>
  <Application>Microsoft Office Word</Application>
  <DocSecurity>0</DocSecurity>
  <Lines>1633</Lines>
  <Paragraphs>1108</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50989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Ozanimod hydrochloride</dc:title>
  <dc:subject>prescription medicines</dc:subject>
  <dc:creator> Therapeutic Goods Administration</dc:creator>
  <cp:keywords/>
  <cp:lastPrinted>2019-08-14T04:30:00Z</cp:lastPrinted>
  <dcterms:created xsi:type="dcterms:W3CDTF">2020-12-02T02:40:00Z</dcterms:created>
  <dcterms:modified xsi:type="dcterms:W3CDTF">2020-12-02T02:45:00Z</dcterms:modified>
  <cp:category/>
</cp:coreProperties>
</file>