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0B32E" w14:textId="26275B84" w:rsidR="00DD2B4E" w:rsidRPr="00143AC9" w:rsidRDefault="00DD2B4E" w:rsidP="00DD2B4E">
      <w:pPr>
        <w:spacing w:after="120" w:line="280" w:lineRule="atLeast"/>
        <w:jc w:val="center"/>
        <w:rPr>
          <w:rFonts w:eastAsia="Times New Roman" w:cs="Times New Roman"/>
          <w:b/>
          <w:sz w:val="32"/>
          <w:szCs w:val="32"/>
          <w:lang w:val="en-GB"/>
        </w:rPr>
      </w:pPr>
      <w:bookmarkStart w:id="0" w:name="_Hlk499566493"/>
      <w:bookmarkStart w:id="1" w:name="_GoBack"/>
      <w:bookmarkEnd w:id="1"/>
      <w:r w:rsidRPr="00143AC9">
        <w:rPr>
          <w:rFonts w:eastAsia="Times New Roman" w:cs="Times New Roman"/>
          <w:b/>
          <w:sz w:val="32"/>
          <w:szCs w:val="32"/>
          <w:lang w:val="en-GB"/>
        </w:rPr>
        <w:t>AUSTRALIAN PRODUCT INFORMATION</w:t>
      </w:r>
    </w:p>
    <w:p w14:paraId="68BD3785" w14:textId="77777777" w:rsidR="00DD2B4E" w:rsidRPr="00143AC9" w:rsidRDefault="00DD2B4E" w:rsidP="00D005AB">
      <w:pPr>
        <w:spacing w:after="120" w:line="280" w:lineRule="atLeast"/>
        <w:jc w:val="center"/>
        <w:rPr>
          <w:rFonts w:eastAsia="Times New Roman" w:cs="Times New Roman"/>
          <w:b/>
          <w:sz w:val="36"/>
          <w:szCs w:val="36"/>
          <w:lang w:val="en-GB"/>
        </w:rPr>
      </w:pPr>
    </w:p>
    <w:p w14:paraId="2A504250" w14:textId="4655E84A" w:rsidR="00D005AB" w:rsidRPr="00143AC9" w:rsidRDefault="00D005AB" w:rsidP="00D005AB">
      <w:pPr>
        <w:spacing w:after="120" w:line="280" w:lineRule="atLeast"/>
        <w:jc w:val="center"/>
        <w:rPr>
          <w:rFonts w:eastAsia="Times New Roman" w:cs="Times New Roman"/>
          <w:b/>
          <w:sz w:val="36"/>
          <w:szCs w:val="36"/>
          <w:lang w:val="en-GB"/>
        </w:rPr>
      </w:pPr>
      <w:r w:rsidRPr="00143AC9">
        <w:rPr>
          <w:rFonts w:eastAsia="Times New Roman" w:cs="Times New Roman"/>
          <w:b/>
          <w:sz w:val="36"/>
          <w:szCs w:val="36"/>
          <w:lang w:val="en-GB"/>
        </w:rPr>
        <w:t>TAGRISSO™</w:t>
      </w:r>
    </w:p>
    <w:p w14:paraId="640CC9C8" w14:textId="208F5E6D" w:rsidR="00D005AB" w:rsidRPr="00143AC9" w:rsidRDefault="00DD2B4E" w:rsidP="00D005AB">
      <w:pPr>
        <w:spacing w:after="240" w:line="280" w:lineRule="atLeast"/>
        <w:jc w:val="center"/>
        <w:rPr>
          <w:rFonts w:eastAsia="Times New Roman" w:cs="Times New Roman"/>
          <w:bCs/>
          <w:sz w:val="28"/>
          <w:szCs w:val="28"/>
          <w:lang w:val="en-GB"/>
        </w:rPr>
      </w:pPr>
      <w:r w:rsidRPr="00143AC9">
        <w:rPr>
          <w:rFonts w:eastAsia="Times New Roman" w:cs="Times New Roman"/>
          <w:sz w:val="28"/>
          <w:szCs w:val="28"/>
          <w:lang w:val="en-GB"/>
        </w:rPr>
        <w:t>(</w:t>
      </w:r>
      <w:r w:rsidR="00D005AB" w:rsidRPr="00143AC9">
        <w:rPr>
          <w:rFonts w:eastAsia="Times New Roman" w:cs="Times New Roman"/>
          <w:sz w:val="28"/>
          <w:szCs w:val="28"/>
          <w:lang w:val="en-GB"/>
        </w:rPr>
        <w:t>osimertinib mesilate</w:t>
      </w:r>
      <w:r w:rsidRPr="00143AC9">
        <w:rPr>
          <w:rFonts w:eastAsia="Times New Roman" w:cs="Times New Roman"/>
          <w:sz w:val="28"/>
          <w:szCs w:val="28"/>
          <w:lang w:val="en-GB"/>
        </w:rPr>
        <w:t xml:space="preserve">) </w:t>
      </w:r>
      <w:r w:rsidR="00F31C47">
        <w:rPr>
          <w:rFonts w:eastAsia="Times New Roman" w:cs="Times New Roman"/>
          <w:sz w:val="28"/>
          <w:szCs w:val="28"/>
          <w:lang w:val="en-GB"/>
        </w:rPr>
        <w:t>t</w:t>
      </w:r>
      <w:r w:rsidRPr="00143AC9">
        <w:rPr>
          <w:rFonts w:eastAsia="Times New Roman" w:cs="Times New Roman"/>
          <w:sz w:val="28"/>
          <w:szCs w:val="28"/>
          <w:lang w:val="en-GB"/>
        </w:rPr>
        <w:t>ablets</w:t>
      </w:r>
    </w:p>
    <w:bookmarkEnd w:id="0"/>
    <w:p w14:paraId="4D56D1A2" w14:textId="77777777" w:rsidR="00D005AB" w:rsidRPr="00143AC9" w:rsidRDefault="00D005AB" w:rsidP="00D005AB"/>
    <w:p w14:paraId="16B504DA" w14:textId="77777777" w:rsidR="001A3992" w:rsidRPr="00143AC9" w:rsidRDefault="001A3992" w:rsidP="00DF5E99">
      <w:pPr>
        <w:pStyle w:val="Heading1"/>
        <w:spacing w:before="0" w:after="120"/>
        <w:ind w:left="431" w:hanging="431"/>
        <w:rPr>
          <w:rFonts w:cs="Times New Roman"/>
        </w:rPr>
      </w:pPr>
      <w:r w:rsidRPr="00143AC9">
        <w:rPr>
          <w:rFonts w:cs="Times New Roman"/>
        </w:rPr>
        <w:t>Name of the medicine</w:t>
      </w:r>
    </w:p>
    <w:p w14:paraId="3987E03C" w14:textId="5681026B" w:rsidR="00A13D01" w:rsidRDefault="008477AC" w:rsidP="00A13D01">
      <w:pPr>
        <w:rPr>
          <w:rFonts w:eastAsia="Times New Roman" w:cs="Times New Roman"/>
          <w:b/>
          <w:sz w:val="32"/>
          <w:szCs w:val="32"/>
          <w:lang w:val="en-GB"/>
        </w:rPr>
      </w:pPr>
      <w:r w:rsidRPr="00143AC9">
        <w:rPr>
          <w:rFonts w:cs="Times New Roman"/>
        </w:rPr>
        <w:t>O</w:t>
      </w:r>
      <w:r w:rsidR="00A13D01" w:rsidRPr="00143AC9">
        <w:rPr>
          <w:rFonts w:cs="Times New Roman"/>
        </w:rPr>
        <w:t>simertinib mesilate.</w:t>
      </w:r>
      <w:r w:rsidRPr="00143AC9">
        <w:rPr>
          <w:rStyle w:val="FootnoteReference"/>
          <w:rFonts w:eastAsia="Times New Roman" w:cs="Times New Roman"/>
          <w:b/>
          <w:sz w:val="32"/>
          <w:szCs w:val="32"/>
          <w:lang w:val="en-GB"/>
        </w:rPr>
        <w:t xml:space="preserve"> </w:t>
      </w:r>
    </w:p>
    <w:p w14:paraId="47C55B61" w14:textId="77777777" w:rsidR="00011371" w:rsidRPr="00143AC9" w:rsidRDefault="00011371" w:rsidP="00A13D01">
      <w:pPr>
        <w:rPr>
          <w:rFonts w:cs="Times New Roman"/>
          <w:szCs w:val="24"/>
        </w:rPr>
      </w:pPr>
    </w:p>
    <w:p w14:paraId="01B79BC0" w14:textId="77777777" w:rsidR="001A3992" w:rsidRPr="00143AC9" w:rsidRDefault="001A3992" w:rsidP="001A3992">
      <w:pPr>
        <w:pStyle w:val="Heading1"/>
        <w:spacing w:before="0" w:after="120"/>
        <w:rPr>
          <w:rFonts w:cs="Times New Roman"/>
        </w:rPr>
      </w:pPr>
      <w:r w:rsidRPr="00143AC9">
        <w:rPr>
          <w:rFonts w:cs="Times New Roman"/>
        </w:rPr>
        <w:t>Qualitative and quantitative composition</w:t>
      </w:r>
    </w:p>
    <w:p w14:paraId="7BDEB8A3" w14:textId="59A39437" w:rsidR="004E46FA" w:rsidRPr="00143AC9" w:rsidRDefault="004E46FA" w:rsidP="004E46FA">
      <w:r w:rsidRPr="00143AC9">
        <w:t>Osimertinib mesilate is a single crystalline form solid, which is</w:t>
      </w:r>
      <w:r w:rsidR="00314034">
        <w:t xml:space="preserve"> slightly soluble in water (3.</w:t>
      </w:r>
      <w:r w:rsidR="00314034" w:rsidRPr="00E6417E">
        <w:t>1</w:t>
      </w:r>
      <w:r w:rsidR="00E6417E" w:rsidRPr="00143AC9">
        <w:t> </w:t>
      </w:r>
      <w:r w:rsidRPr="00E6417E">
        <w:t>mg</w:t>
      </w:r>
      <w:r w:rsidRPr="00143AC9">
        <w:t>/mL at 37°C) and has pKa values of 9.5 (aliphatic amine) and 4.4 (aniline).</w:t>
      </w:r>
    </w:p>
    <w:p w14:paraId="2A5E45A5" w14:textId="77777777" w:rsidR="005803B3" w:rsidRPr="00143AC9" w:rsidRDefault="004E46FA" w:rsidP="005803B3">
      <w:pPr>
        <w:rPr>
          <w:szCs w:val="24"/>
        </w:rPr>
      </w:pPr>
      <w:r w:rsidRPr="00143AC9">
        <w:t>There are 2 strengths of TAGRISSO film-coated tablets containing either 40 mg or 80 mg of osimertinib as the mesilate salt.</w:t>
      </w:r>
      <w:r w:rsidR="005803B3" w:rsidRPr="00143AC9">
        <w:t xml:space="preserve"> Both strengths also contain mannitol, microcrystalline cellulose, hyprolose, sodium stearyl fumarate, polyvinyl alcohol, titanium dioxide, talc, iron oxide black, iron oxide red, iron oxide yellow and macrogol 3350.</w:t>
      </w:r>
    </w:p>
    <w:p w14:paraId="208A16C1" w14:textId="77777777" w:rsidR="00011371" w:rsidRPr="00143AC9" w:rsidRDefault="00011371" w:rsidP="004E46FA"/>
    <w:p w14:paraId="6336A2B9" w14:textId="77777777" w:rsidR="001A3992" w:rsidRPr="00143AC9" w:rsidRDefault="001A3992" w:rsidP="001A3992">
      <w:pPr>
        <w:pStyle w:val="Heading1"/>
        <w:spacing w:before="0" w:after="120"/>
        <w:rPr>
          <w:rFonts w:cs="Times New Roman"/>
        </w:rPr>
      </w:pPr>
      <w:r w:rsidRPr="00143AC9">
        <w:rPr>
          <w:rFonts w:cs="Times New Roman"/>
        </w:rPr>
        <w:t>Pharmaceutical form</w:t>
      </w:r>
    </w:p>
    <w:p w14:paraId="420D859F" w14:textId="77777777" w:rsidR="005803B3" w:rsidRPr="00143AC9" w:rsidRDefault="005803B3" w:rsidP="005803B3">
      <w:r w:rsidRPr="00143AC9">
        <w:t>The 40 mg tablets are round, biconvex, beige, film-coated tablets with a diameter of approximately 9 mm.  The tablets are debossed with ‘AZ’ over ‘40’ on 1 side and plain on the reverse.</w:t>
      </w:r>
    </w:p>
    <w:p w14:paraId="1BCC0C9D" w14:textId="77777777" w:rsidR="005803B3" w:rsidRPr="00143AC9" w:rsidRDefault="005803B3" w:rsidP="005803B3">
      <w:r w:rsidRPr="00143AC9">
        <w:rPr>
          <w:szCs w:val="24"/>
        </w:rPr>
        <w:t>The 80 mg tablets are oval, biconvex, beige, film-coated tablets measuring approximately 7.25 × 14.5 mm.  The tablets are debossed with ‘AZ 80’ on 1 side and plain on the reverse.</w:t>
      </w:r>
    </w:p>
    <w:p w14:paraId="7E0CB36E" w14:textId="77777777" w:rsidR="005803B3" w:rsidRPr="00143AC9" w:rsidRDefault="005803B3" w:rsidP="005803B3"/>
    <w:p w14:paraId="484C7F57" w14:textId="77777777" w:rsidR="001A3992" w:rsidRPr="00143AC9" w:rsidRDefault="001A3992" w:rsidP="001A3992">
      <w:pPr>
        <w:pStyle w:val="Heading1"/>
        <w:spacing w:before="0" w:after="120"/>
        <w:rPr>
          <w:rFonts w:cs="Times New Roman"/>
        </w:rPr>
      </w:pPr>
      <w:r w:rsidRPr="00143AC9">
        <w:rPr>
          <w:rFonts w:cs="Times New Roman"/>
        </w:rPr>
        <w:t>Clinical particulars</w:t>
      </w:r>
    </w:p>
    <w:p w14:paraId="39BE1A87" w14:textId="77777777" w:rsidR="001A3992" w:rsidRPr="00143AC9" w:rsidRDefault="001A3992" w:rsidP="001A3992">
      <w:pPr>
        <w:pStyle w:val="Heading2"/>
        <w:spacing w:before="0" w:after="120"/>
        <w:rPr>
          <w:rFonts w:ascii="Times New Roman" w:hAnsi="Times New Roman" w:cs="Times New Roman"/>
        </w:rPr>
      </w:pPr>
      <w:r w:rsidRPr="00143AC9">
        <w:rPr>
          <w:rFonts w:ascii="Times New Roman" w:hAnsi="Times New Roman" w:cs="Times New Roman"/>
        </w:rPr>
        <w:t xml:space="preserve">Therapeutic indications </w:t>
      </w:r>
    </w:p>
    <w:p w14:paraId="4D0C726D" w14:textId="77777777" w:rsidR="00AC5181" w:rsidRPr="00143AC9" w:rsidRDefault="00AC5181" w:rsidP="00AC5181">
      <w:bookmarkStart w:id="2" w:name="_Hlk499565338"/>
      <w:r w:rsidRPr="00143AC9">
        <w:rPr>
          <w:noProof/>
        </w:rPr>
        <w:t xml:space="preserve">TAGRISSO </w:t>
      </w:r>
      <w:r w:rsidRPr="00143AC9">
        <w:t>is indicated for:</w:t>
      </w:r>
    </w:p>
    <w:p w14:paraId="718EA114" w14:textId="1B242594" w:rsidR="00AC5181" w:rsidRPr="00143AC9" w:rsidRDefault="00AC5181" w:rsidP="00AC5181">
      <w:pPr>
        <w:pStyle w:val="ListParagraph"/>
        <w:numPr>
          <w:ilvl w:val="0"/>
          <w:numId w:val="11"/>
        </w:numPr>
        <w:spacing w:after="240" w:line="280" w:lineRule="atLeast"/>
        <w:ind w:left="709" w:hanging="285"/>
      </w:pPr>
      <w:r w:rsidRPr="00143AC9">
        <w:t xml:space="preserve">the first-line treatment of patients with locally advanced or metastatic non-small cell lung cancer (NSCLC) whose tumours have </w:t>
      </w:r>
      <w:r w:rsidR="00F31C47">
        <w:t xml:space="preserve">activating </w:t>
      </w:r>
      <w:r w:rsidRPr="00143AC9">
        <w:t>epidermal growth factor receptor (EGFR) mutations.</w:t>
      </w:r>
    </w:p>
    <w:p w14:paraId="07C6622C" w14:textId="6DA80090" w:rsidR="00AC5181" w:rsidRPr="00143AC9" w:rsidRDefault="00AC5181" w:rsidP="00AC5181">
      <w:pPr>
        <w:numPr>
          <w:ilvl w:val="0"/>
          <w:numId w:val="11"/>
        </w:numPr>
        <w:spacing w:after="240" w:line="280" w:lineRule="atLeast"/>
        <w:ind w:left="709" w:hanging="285"/>
      </w:pPr>
      <w:r w:rsidRPr="00143AC9">
        <w:lastRenderedPageBreak/>
        <w:t>the treatment of patients with locally advanced or metastatic EGFR T790M mutation-positive NSCLC.</w:t>
      </w:r>
    </w:p>
    <w:bookmarkEnd w:id="2"/>
    <w:p w14:paraId="7D8DAF77" w14:textId="77777777" w:rsidR="00AC5181" w:rsidRPr="00143AC9" w:rsidRDefault="00AC5181" w:rsidP="00AC5181"/>
    <w:p w14:paraId="3F9172C6" w14:textId="77777777" w:rsidR="001A3992" w:rsidRPr="00143AC9" w:rsidRDefault="001A3992" w:rsidP="001A3992">
      <w:pPr>
        <w:pStyle w:val="Heading2"/>
        <w:spacing w:before="0" w:after="120"/>
        <w:rPr>
          <w:rFonts w:ascii="Times New Roman" w:hAnsi="Times New Roman" w:cs="Times New Roman"/>
        </w:rPr>
      </w:pPr>
      <w:r w:rsidRPr="00143AC9">
        <w:rPr>
          <w:rFonts w:ascii="Times New Roman" w:hAnsi="Times New Roman" w:cs="Times New Roman"/>
        </w:rPr>
        <w:t xml:space="preserve">Dose and method of administration </w:t>
      </w:r>
    </w:p>
    <w:p w14:paraId="4A79EB37" w14:textId="4ACF37B3" w:rsidR="00A65A2F" w:rsidRDefault="0002047D" w:rsidP="0002047D">
      <w:pPr>
        <w:rPr>
          <w:szCs w:val="24"/>
        </w:rPr>
      </w:pPr>
      <w:r w:rsidRPr="00143AC9">
        <w:rPr>
          <w:szCs w:val="24"/>
        </w:rPr>
        <w:t xml:space="preserve">Treatment with TAGRISSO should be initiated by a physician experienced in the use of anticancer therapies. </w:t>
      </w:r>
    </w:p>
    <w:p w14:paraId="4A6FA371" w14:textId="2D01E121" w:rsidR="0002047D" w:rsidRPr="00143AC9" w:rsidRDefault="0072768B" w:rsidP="00195705">
      <w:pPr>
        <w:rPr>
          <w:szCs w:val="24"/>
        </w:rPr>
      </w:pPr>
      <w:r>
        <w:rPr>
          <w:szCs w:val="24"/>
        </w:rPr>
        <w:t>When c</w:t>
      </w:r>
      <w:r w:rsidR="00195705">
        <w:rPr>
          <w:szCs w:val="24"/>
        </w:rPr>
        <w:t>onsidering the use of TAGRISSO</w:t>
      </w:r>
      <w:r w:rsidRPr="0072768B">
        <w:rPr>
          <w:szCs w:val="24"/>
        </w:rPr>
        <w:t>, EGFR mutation status in tumour or plasma specimens</w:t>
      </w:r>
      <w:r w:rsidR="00195705">
        <w:rPr>
          <w:szCs w:val="24"/>
        </w:rPr>
        <w:t xml:space="preserve"> </w:t>
      </w:r>
      <w:r w:rsidR="00195705" w:rsidRPr="00195705">
        <w:rPr>
          <w:szCs w:val="24"/>
        </w:rPr>
        <w:t>should be determined using a validate</w:t>
      </w:r>
      <w:r w:rsidR="00195705">
        <w:rPr>
          <w:szCs w:val="24"/>
        </w:rPr>
        <w:t xml:space="preserve">d test method </w:t>
      </w:r>
      <w:r w:rsidR="00195705" w:rsidRPr="00143AC9">
        <w:rPr>
          <w:szCs w:val="24"/>
        </w:rPr>
        <w:t xml:space="preserve">(see </w:t>
      </w:r>
      <w:r w:rsidR="00195705">
        <w:rPr>
          <w:szCs w:val="24"/>
        </w:rPr>
        <w:t>Section</w:t>
      </w:r>
      <w:r w:rsidR="00195705" w:rsidRPr="00143AC9">
        <w:rPr>
          <w:szCs w:val="24"/>
        </w:rPr>
        <w:t xml:space="preserve"> 4.4</w:t>
      </w:r>
      <w:r w:rsidR="00C30E22">
        <w:rPr>
          <w:szCs w:val="24"/>
        </w:rPr>
        <w:t>,</w:t>
      </w:r>
      <w:r w:rsidR="00195705">
        <w:rPr>
          <w:szCs w:val="24"/>
        </w:rPr>
        <w:t xml:space="preserve"> </w:t>
      </w:r>
      <w:r w:rsidR="00195705" w:rsidRPr="00143AC9">
        <w:rPr>
          <w:szCs w:val="24"/>
        </w:rPr>
        <w:t>Special warning and precautions for use).</w:t>
      </w:r>
    </w:p>
    <w:p w14:paraId="29BF35E4" w14:textId="77777777" w:rsidR="0050725D" w:rsidRPr="00143AC9" w:rsidRDefault="0050725D" w:rsidP="0002047D">
      <w:pPr>
        <w:rPr>
          <w:b/>
          <w:szCs w:val="24"/>
        </w:rPr>
      </w:pPr>
    </w:p>
    <w:p w14:paraId="514307DA" w14:textId="77777777" w:rsidR="00C94CC5" w:rsidRPr="00143AC9" w:rsidRDefault="00C94CC5" w:rsidP="00140536">
      <w:pPr>
        <w:pStyle w:val="Heading3"/>
      </w:pPr>
      <w:r w:rsidRPr="00143AC9">
        <w:t>Dosage in adults</w:t>
      </w:r>
    </w:p>
    <w:p w14:paraId="0C914DF6" w14:textId="77777777" w:rsidR="007E4853" w:rsidRDefault="00C94CC5" w:rsidP="00140536">
      <w:r w:rsidRPr="00143AC9">
        <w:t>The recommended dose of TAGRISSO is 80 mg tablet once a day until disease progression or unacceptable toxicity.</w:t>
      </w:r>
    </w:p>
    <w:p w14:paraId="139111FC" w14:textId="7F08B83F" w:rsidR="00C94CC5" w:rsidRPr="00143AC9" w:rsidRDefault="00C94CC5" w:rsidP="00140536">
      <w:r w:rsidRPr="00143AC9">
        <w:t xml:space="preserve">TAGRISSO can be taken without regard to food at the same time each day. </w:t>
      </w:r>
    </w:p>
    <w:p w14:paraId="3F6BB794" w14:textId="77777777" w:rsidR="00C94CC5" w:rsidRPr="00143AC9" w:rsidRDefault="00C94CC5" w:rsidP="00140536">
      <w:r w:rsidRPr="00143AC9">
        <w:t>The tablets should be swallowed whole with water. The tablet should not be crushed, split or chewed.</w:t>
      </w:r>
    </w:p>
    <w:p w14:paraId="226E8A19" w14:textId="77777777" w:rsidR="00C94CC5" w:rsidRPr="00143AC9" w:rsidRDefault="00C94CC5" w:rsidP="00140536">
      <w:r w:rsidRPr="00143AC9">
        <w:t xml:space="preserve">If the patient is unable to swallow the tablet, it may first be dispersed in 50 mL of non-carbonated water. The tablet should be dropped in the water, without crushing, stirred until dispersed and immediately swallowed. An additional half a glass of water should be added to ensure that no residue remains and then immediately swallowed. </w:t>
      </w:r>
    </w:p>
    <w:p w14:paraId="05B4B90D" w14:textId="2D227659" w:rsidR="00C94CC5" w:rsidRPr="00143AC9" w:rsidRDefault="00C94CC5" w:rsidP="00140536">
      <w:r w:rsidRPr="00143AC9">
        <w:t>If administration via nasogastric tube is required, the same process as above should be followed but using volumes of 15 mL for the initial dispersion and 15 mL for the residue rinses. The resulting 30 mL of liquid should be administered as per the nasogastric tube manufacturer’s instructions with appropriate water flushes. The dispersion and residues should be administered within 30 minutes of the addition of the tablets to water.</w:t>
      </w:r>
    </w:p>
    <w:p w14:paraId="1E22F2C0" w14:textId="77777777" w:rsidR="00140536" w:rsidRPr="00143AC9" w:rsidRDefault="00140536" w:rsidP="00140536"/>
    <w:p w14:paraId="012BE4A5" w14:textId="77777777" w:rsidR="00C94CC5" w:rsidRPr="00143AC9" w:rsidRDefault="00C94CC5" w:rsidP="00140536">
      <w:pPr>
        <w:pStyle w:val="Heading3"/>
      </w:pPr>
      <w:r w:rsidRPr="00143AC9">
        <w:t xml:space="preserve">Missed dose </w:t>
      </w:r>
    </w:p>
    <w:p w14:paraId="0BEF34E8" w14:textId="701EF1AE" w:rsidR="00C94CC5" w:rsidRPr="00143AC9" w:rsidRDefault="00C94CC5" w:rsidP="00140536">
      <w:pPr>
        <w:rPr>
          <w:lang w:eastAsia="en-GB"/>
        </w:rPr>
      </w:pPr>
      <w:r w:rsidRPr="00143AC9">
        <w:rPr>
          <w:lang w:eastAsia="en-GB"/>
        </w:rPr>
        <w:t>If a dose of TAGRISSO is missed, make up the dose unless the next dose is due within 12 hours.</w:t>
      </w:r>
    </w:p>
    <w:p w14:paraId="6E2A87C2" w14:textId="77777777" w:rsidR="00140536" w:rsidRPr="00143AC9" w:rsidRDefault="00140536" w:rsidP="00140536">
      <w:pPr>
        <w:rPr>
          <w:lang w:eastAsia="en-GB"/>
        </w:rPr>
      </w:pPr>
    </w:p>
    <w:p w14:paraId="72CD6D24" w14:textId="77777777" w:rsidR="00C94CC5" w:rsidRPr="00143AC9" w:rsidRDefault="00C94CC5" w:rsidP="00140536">
      <w:pPr>
        <w:pStyle w:val="Heading3"/>
      </w:pPr>
      <w:r w:rsidRPr="00143AC9">
        <w:t>Dose adjustments</w:t>
      </w:r>
    </w:p>
    <w:p w14:paraId="4DE0E0A5" w14:textId="1480527F" w:rsidR="00C94CC5" w:rsidRPr="00143AC9" w:rsidRDefault="00C94CC5" w:rsidP="00140536">
      <w:r w:rsidRPr="00143AC9">
        <w:t xml:space="preserve">Dosing interruption and/or dose reduction may be required based on individual safety and tolerability. If dose reduction is necessary, then the dose of TAGRISSO should be reduced to </w:t>
      </w:r>
      <w:r w:rsidRPr="00143AC9">
        <w:lastRenderedPageBreak/>
        <w:t xml:space="preserve">40 mg taken once daily. Dose reduction guidelines for adverse reactions toxicities are provided in Table </w:t>
      </w:r>
      <w:r w:rsidR="00C10B25" w:rsidRPr="00143AC9">
        <w:t>1</w:t>
      </w:r>
      <w:r w:rsidRPr="00143AC9">
        <w:t>.</w:t>
      </w:r>
    </w:p>
    <w:p w14:paraId="47170504" w14:textId="3380AD03" w:rsidR="00C94CC5" w:rsidRPr="00143AC9" w:rsidRDefault="00C94CC5" w:rsidP="00140536">
      <w:pPr>
        <w:pStyle w:val="A-TableTitle"/>
      </w:pPr>
      <w:r w:rsidRPr="00143AC9">
        <w:t xml:space="preserve">Table </w:t>
      </w:r>
      <w:r w:rsidR="00C10B25" w:rsidRPr="00143AC9">
        <w:t>1</w:t>
      </w:r>
      <w:r w:rsidRPr="00143AC9">
        <w:t>. Dose adjustment information for adverse reactions</w:t>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1787"/>
        <w:gridCol w:w="3424"/>
        <w:gridCol w:w="3861"/>
      </w:tblGrid>
      <w:tr w:rsidR="00C94CC5" w:rsidRPr="00143AC9" w14:paraId="77A84BFF" w14:textId="77777777" w:rsidTr="002838B1">
        <w:trPr>
          <w:trHeight w:val="174"/>
        </w:trPr>
        <w:tc>
          <w:tcPr>
            <w:tcW w:w="1787" w:type="dxa"/>
            <w:tcBorders>
              <w:top w:val="single" w:sz="4" w:space="0" w:color="000000"/>
              <w:left w:val="single" w:sz="6" w:space="0" w:color="000000"/>
              <w:bottom w:val="single" w:sz="4" w:space="0" w:color="000000"/>
              <w:right w:val="single" w:sz="4" w:space="0" w:color="000000"/>
            </w:tcBorders>
            <w:vAlign w:val="bottom"/>
          </w:tcPr>
          <w:p w14:paraId="59283395" w14:textId="77777777" w:rsidR="00C94CC5" w:rsidRPr="00143AC9" w:rsidRDefault="00C94CC5" w:rsidP="00140536">
            <w:pPr>
              <w:pStyle w:val="A-TableHeader"/>
            </w:pPr>
            <w:r w:rsidRPr="00143AC9">
              <w:t>Target Organ</w:t>
            </w:r>
          </w:p>
        </w:tc>
        <w:tc>
          <w:tcPr>
            <w:tcW w:w="3424" w:type="dxa"/>
            <w:tcBorders>
              <w:top w:val="single" w:sz="4" w:space="0" w:color="000000"/>
              <w:left w:val="single" w:sz="4" w:space="0" w:color="000000"/>
              <w:bottom w:val="single" w:sz="4" w:space="0" w:color="000000"/>
              <w:right w:val="single" w:sz="4" w:space="0" w:color="000000"/>
            </w:tcBorders>
            <w:vAlign w:val="bottom"/>
          </w:tcPr>
          <w:p w14:paraId="764FBFC1" w14:textId="77777777" w:rsidR="00C94CC5" w:rsidRPr="00143AC9" w:rsidRDefault="00C94CC5" w:rsidP="00140536">
            <w:pPr>
              <w:pStyle w:val="A-TableHeader"/>
            </w:pPr>
            <w:r w:rsidRPr="00143AC9">
              <w:t>Adverse Reaction</w:t>
            </w:r>
            <w:r w:rsidRPr="00FE6F68">
              <w:rPr>
                <w:vertAlign w:val="superscript"/>
              </w:rPr>
              <w:t>a</w:t>
            </w:r>
            <w:r w:rsidRPr="00143AC9">
              <w:t xml:space="preserve"> </w:t>
            </w:r>
          </w:p>
        </w:tc>
        <w:tc>
          <w:tcPr>
            <w:tcW w:w="3861" w:type="dxa"/>
            <w:tcBorders>
              <w:top w:val="single" w:sz="4" w:space="0" w:color="000000"/>
              <w:left w:val="single" w:sz="4" w:space="0" w:color="000000"/>
              <w:bottom w:val="single" w:sz="4" w:space="0" w:color="000000"/>
              <w:right w:val="single" w:sz="4" w:space="0" w:color="000000"/>
            </w:tcBorders>
            <w:vAlign w:val="bottom"/>
          </w:tcPr>
          <w:p w14:paraId="6C7C4D24" w14:textId="77777777" w:rsidR="00C94CC5" w:rsidRPr="00143AC9" w:rsidRDefault="00C94CC5" w:rsidP="00140536">
            <w:pPr>
              <w:pStyle w:val="A-TableHeader"/>
            </w:pPr>
            <w:r w:rsidRPr="00143AC9">
              <w:t xml:space="preserve">Dose Modification </w:t>
            </w:r>
          </w:p>
        </w:tc>
      </w:tr>
      <w:tr w:rsidR="00C94CC5" w:rsidRPr="00143AC9" w14:paraId="5BFDB389" w14:textId="77777777" w:rsidTr="002838B1">
        <w:trPr>
          <w:trHeight w:val="174"/>
        </w:trPr>
        <w:tc>
          <w:tcPr>
            <w:tcW w:w="1787" w:type="dxa"/>
            <w:tcBorders>
              <w:top w:val="single" w:sz="4" w:space="0" w:color="000000"/>
              <w:left w:val="single" w:sz="6" w:space="0" w:color="000000"/>
              <w:bottom w:val="single" w:sz="4" w:space="0" w:color="000000"/>
              <w:right w:val="single" w:sz="4" w:space="0" w:color="000000"/>
            </w:tcBorders>
            <w:vAlign w:val="bottom"/>
          </w:tcPr>
          <w:p w14:paraId="0E786176" w14:textId="77777777" w:rsidR="00C94CC5" w:rsidRPr="00143AC9" w:rsidRDefault="00C94CC5" w:rsidP="00140536">
            <w:pPr>
              <w:pStyle w:val="A-TableText"/>
            </w:pPr>
            <w:r w:rsidRPr="00143AC9">
              <w:t xml:space="preserve">Pulmonary </w:t>
            </w:r>
          </w:p>
        </w:tc>
        <w:tc>
          <w:tcPr>
            <w:tcW w:w="3424" w:type="dxa"/>
            <w:tcBorders>
              <w:top w:val="single" w:sz="4" w:space="0" w:color="000000"/>
              <w:left w:val="single" w:sz="4" w:space="0" w:color="000000"/>
              <w:bottom w:val="single" w:sz="4" w:space="0" w:color="000000"/>
              <w:right w:val="single" w:sz="4" w:space="0" w:color="000000"/>
            </w:tcBorders>
          </w:tcPr>
          <w:p w14:paraId="3B3FAE08" w14:textId="77777777" w:rsidR="00C94CC5" w:rsidRPr="00143AC9" w:rsidRDefault="00C94CC5" w:rsidP="00140536">
            <w:pPr>
              <w:pStyle w:val="A-TableText"/>
            </w:pPr>
            <w:r w:rsidRPr="00143AC9">
              <w:t>ILD/Pneumonitis</w:t>
            </w:r>
          </w:p>
        </w:tc>
        <w:tc>
          <w:tcPr>
            <w:tcW w:w="3861" w:type="dxa"/>
            <w:tcBorders>
              <w:top w:val="single" w:sz="4" w:space="0" w:color="000000"/>
              <w:left w:val="single" w:sz="4" w:space="0" w:color="000000"/>
              <w:bottom w:val="single" w:sz="4" w:space="0" w:color="000000"/>
              <w:right w:val="single" w:sz="4" w:space="0" w:color="000000"/>
            </w:tcBorders>
          </w:tcPr>
          <w:p w14:paraId="15042B4C" w14:textId="77777777" w:rsidR="00C94CC5" w:rsidRPr="00143AC9" w:rsidRDefault="00C94CC5" w:rsidP="00140536">
            <w:pPr>
              <w:pStyle w:val="A-TableText"/>
            </w:pPr>
            <w:r w:rsidRPr="00143AC9">
              <w:t>Permanently discontinue treatment</w:t>
            </w:r>
          </w:p>
        </w:tc>
      </w:tr>
      <w:tr w:rsidR="00C94CC5" w:rsidRPr="00143AC9" w14:paraId="1454E38D" w14:textId="77777777" w:rsidTr="002838B1">
        <w:trPr>
          <w:trHeight w:val="174"/>
        </w:trPr>
        <w:tc>
          <w:tcPr>
            <w:tcW w:w="1787" w:type="dxa"/>
            <w:vMerge w:val="restart"/>
            <w:tcBorders>
              <w:top w:val="single" w:sz="4" w:space="0" w:color="000000"/>
              <w:left w:val="single" w:sz="6" w:space="0" w:color="000000"/>
              <w:right w:val="single" w:sz="4" w:space="0" w:color="000000"/>
            </w:tcBorders>
          </w:tcPr>
          <w:p w14:paraId="2EDD8010" w14:textId="77777777" w:rsidR="00C94CC5" w:rsidRPr="00143AC9" w:rsidRDefault="00C94CC5" w:rsidP="00140536">
            <w:pPr>
              <w:pStyle w:val="A-TableText"/>
            </w:pPr>
            <w:r w:rsidRPr="00143AC9">
              <w:t>Cardiac</w:t>
            </w:r>
          </w:p>
        </w:tc>
        <w:tc>
          <w:tcPr>
            <w:tcW w:w="3424" w:type="dxa"/>
            <w:tcBorders>
              <w:top w:val="single" w:sz="4" w:space="0" w:color="000000"/>
              <w:left w:val="single" w:sz="4" w:space="0" w:color="000000"/>
              <w:bottom w:val="single" w:sz="4" w:space="0" w:color="000000"/>
              <w:right w:val="single" w:sz="4" w:space="0" w:color="000000"/>
            </w:tcBorders>
          </w:tcPr>
          <w:p w14:paraId="0286B1DE" w14:textId="77777777" w:rsidR="00C94CC5" w:rsidRPr="00143AC9" w:rsidRDefault="00C94CC5" w:rsidP="00140536">
            <w:pPr>
              <w:pStyle w:val="A-TableText"/>
            </w:pPr>
            <w:r w:rsidRPr="00143AC9">
              <w:t>QTc interval greater than 500 msec on at least 2 separate ECGs</w:t>
            </w:r>
          </w:p>
          <w:p w14:paraId="04625324" w14:textId="77777777" w:rsidR="00C94CC5" w:rsidRPr="00143AC9" w:rsidRDefault="00C94CC5" w:rsidP="00140536">
            <w:pPr>
              <w:pStyle w:val="A-TableText"/>
            </w:pPr>
          </w:p>
        </w:tc>
        <w:tc>
          <w:tcPr>
            <w:tcW w:w="3861" w:type="dxa"/>
            <w:tcBorders>
              <w:top w:val="single" w:sz="4" w:space="0" w:color="000000"/>
              <w:left w:val="single" w:sz="4" w:space="0" w:color="000000"/>
              <w:bottom w:val="single" w:sz="4" w:space="0" w:color="000000"/>
              <w:right w:val="single" w:sz="4" w:space="0" w:color="000000"/>
            </w:tcBorders>
          </w:tcPr>
          <w:p w14:paraId="4B1C361D" w14:textId="77777777" w:rsidR="00C94CC5" w:rsidRPr="00143AC9" w:rsidRDefault="00C94CC5" w:rsidP="00140536">
            <w:pPr>
              <w:pStyle w:val="A-TableText"/>
            </w:pPr>
            <w:r w:rsidRPr="00143AC9">
              <w:t>Withhold treatment until QTc interval is less than 481 msec or recovery to baseline if baseline QTc is greater than or equal to 481 msec, then restart at a reduced dose (40 mg).</w:t>
            </w:r>
          </w:p>
        </w:tc>
      </w:tr>
      <w:tr w:rsidR="00C94CC5" w:rsidRPr="00143AC9" w14:paraId="14E12CCE" w14:textId="77777777" w:rsidTr="002838B1">
        <w:trPr>
          <w:trHeight w:val="174"/>
        </w:trPr>
        <w:tc>
          <w:tcPr>
            <w:tcW w:w="1787" w:type="dxa"/>
            <w:vMerge/>
            <w:tcBorders>
              <w:left w:val="single" w:sz="6" w:space="0" w:color="000000"/>
              <w:right w:val="single" w:sz="4" w:space="0" w:color="000000"/>
            </w:tcBorders>
          </w:tcPr>
          <w:p w14:paraId="17AA476E" w14:textId="77777777" w:rsidR="00C94CC5" w:rsidRPr="00143AC9" w:rsidRDefault="00C94CC5" w:rsidP="00140536">
            <w:pPr>
              <w:pStyle w:val="A-TableText"/>
            </w:pPr>
          </w:p>
        </w:tc>
        <w:tc>
          <w:tcPr>
            <w:tcW w:w="3424" w:type="dxa"/>
            <w:tcBorders>
              <w:top w:val="single" w:sz="4" w:space="0" w:color="000000"/>
              <w:left w:val="single" w:sz="4" w:space="0" w:color="000000"/>
              <w:bottom w:val="single" w:sz="4" w:space="0" w:color="000000"/>
              <w:right w:val="single" w:sz="4" w:space="0" w:color="000000"/>
            </w:tcBorders>
          </w:tcPr>
          <w:p w14:paraId="7A830B11" w14:textId="77777777" w:rsidR="00C94CC5" w:rsidRPr="00143AC9" w:rsidRDefault="00C94CC5" w:rsidP="00140536">
            <w:pPr>
              <w:pStyle w:val="A-TableText"/>
            </w:pPr>
            <w:r w:rsidRPr="00143AC9">
              <w:t>QTc interval prolongation with signs/symptoms of serious arrhythmia</w:t>
            </w:r>
          </w:p>
        </w:tc>
        <w:tc>
          <w:tcPr>
            <w:tcW w:w="3861" w:type="dxa"/>
            <w:tcBorders>
              <w:top w:val="single" w:sz="4" w:space="0" w:color="000000"/>
              <w:left w:val="single" w:sz="4" w:space="0" w:color="000000"/>
              <w:bottom w:val="single" w:sz="4" w:space="0" w:color="000000"/>
              <w:right w:val="single" w:sz="4" w:space="0" w:color="000000"/>
            </w:tcBorders>
          </w:tcPr>
          <w:p w14:paraId="104C8FA7" w14:textId="77777777" w:rsidR="00C94CC5" w:rsidRPr="00143AC9" w:rsidRDefault="00C94CC5" w:rsidP="00140536">
            <w:pPr>
              <w:pStyle w:val="A-TableText"/>
            </w:pPr>
            <w:r w:rsidRPr="00143AC9">
              <w:t>Permanently discontinue treatment</w:t>
            </w:r>
          </w:p>
          <w:p w14:paraId="642FB289" w14:textId="77777777" w:rsidR="00C94CC5" w:rsidRPr="00143AC9" w:rsidRDefault="00C94CC5" w:rsidP="00140536">
            <w:pPr>
              <w:pStyle w:val="A-TableText"/>
            </w:pPr>
          </w:p>
        </w:tc>
      </w:tr>
      <w:tr w:rsidR="00C94CC5" w:rsidRPr="00143AC9" w14:paraId="118F3D87" w14:textId="77777777" w:rsidTr="002838B1">
        <w:trPr>
          <w:trHeight w:val="175"/>
        </w:trPr>
        <w:tc>
          <w:tcPr>
            <w:tcW w:w="1787" w:type="dxa"/>
            <w:vMerge w:val="restart"/>
            <w:tcBorders>
              <w:top w:val="single" w:sz="4" w:space="0" w:color="000000"/>
              <w:left w:val="single" w:sz="6" w:space="0" w:color="000000"/>
              <w:bottom w:val="single" w:sz="6" w:space="0" w:color="000000"/>
              <w:right w:val="single" w:sz="4" w:space="0" w:color="000000"/>
            </w:tcBorders>
          </w:tcPr>
          <w:p w14:paraId="1D80980E" w14:textId="77777777" w:rsidR="00C94CC5" w:rsidRPr="00143AC9" w:rsidRDefault="00C94CC5" w:rsidP="00140536">
            <w:pPr>
              <w:pStyle w:val="A-TableText"/>
            </w:pPr>
            <w:r w:rsidRPr="00143AC9">
              <w:t xml:space="preserve">Other </w:t>
            </w:r>
          </w:p>
        </w:tc>
        <w:tc>
          <w:tcPr>
            <w:tcW w:w="3424" w:type="dxa"/>
            <w:tcBorders>
              <w:top w:val="single" w:sz="4" w:space="0" w:color="000000"/>
              <w:left w:val="single" w:sz="4" w:space="0" w:color="000000"/>
              <w:bottom w:val="single" w:sz="4" w:space="0" w:color="000000"/>
              <w:right w:val="single" w:sz="4" w:space="0" w:color="000000"/>
            </w:tcBorders>
            <w:vAlign w:val="bottom"/>
          </w:tcPr>
          <w:p w14:paraId="695613EB" w14:textId="77777777" w:rsidR="00C94CC5" w:rsidRPr="00143AC9" w:rsidRDefault="00C94CC5" w:rsidP="00140536">
            <w:pPr>
              <w:pStyle w:val="A-TableText"/>
            </w:pPr>
            <w:r w:rsidRPr="00143AC9">
              <w:t>Grade 3 or higher adverse reaction</w:t>
            </w:r>
          </w:p>
        </w:tc>
        <w:tc>
          <w:tcPr>
            <w:tcW w:w="3861" w:type="dxa"/>
            <w:tcBorders>
              <w:top w:val="single" w:sz="4" w:space="0" w:color="000000"/>
              <w:left w:val="single" w:sz="4" w:space="0" w:color="000000"/>
              <w:bottom w:val="single" w:sz="4" w:space="0" w:color="000000"/>
              <w:right w:val="single" w:sz="4" w:space="0" w:color="000000"/>
            </w:tcBorders>
            <w:vAlign w:val="bottom"/>
          </w:tcPr>
          <w:p w14:paraId="26471F79" w14:textId="77777777" w:rsidR="00C94CC5" w:rsidRPr="00143AC9" w:rsidRDefault="00C94CC5" w:rsidP="00140536">
            <w:pPr>
              <w:pStyle w:val="A-TableText"/>
            </w:pPr>
            <w:r w:rsidRPr="00143AC9">
              <w:t xml:space="preserve">Withhold treatment for up to 3 weeks </w:t>
            </w:r>
          </w:p>
        </w:tc>
      </w:tr>
      <w:tr w:rsidR="00C94CC5" w:rsidRPr="00143AC9" w14:paraId="075C59FA" w14:textId="77777777" w:rsidTr="00310855">
        <w:trPr>
          <w:trHeight w:val="49"/>
        </w:trPr>
        <w:tc>
          <w:tcPr>
            <w:tcW w:w="1787" w:type="dxa"/>
            <w:vMerge/>
            <w:tcBorders>
              <w:top w:val="single" w:sz="4" w:space="0" w:color="000000"/>
              <w:left w:val="single" w:sz="6" w:space="0" w:color="000000"/>
              <w:bottom w:val="single" w:sz="6" w:space="0" w:color="000000"/>
              <w:right w:val="single" w:sz="4" w:space="0" w:color="000000"/>
            </w:tcBorders>
          </w:tcPr>
          <w:p w14:paraId="3F380BFB" w14:textId="77777777" w:rsidR="00C94CC5" w:rsidRPr="00143AC9" w:rsidRDefault="00C94CC5" w:rsidP="00140536">
            <w:pPr>
              <w:pStyle w:val="A-TableText"/>
            </w:pPr>
          </w:p>
        </w:tc>
        <w:tc>
          <w:tcPr>
            <w:tcW w:w="3424" w:type="dxa"/>
            <w:tcBorders>
              <w:top w:val="single" w:sz="4" w:space="0" w:color="000000"/>
              <w:left w:val="single" w:sz="4" w:space="0" w:color="000000"/>
              <w:bottom w:val="single" w:sz="4" w:space="0" w:color="000000"/>
              <w:right w:val="single" w:sz="4" w:space="0" w:color="000000"/>
            </w:tcBorders>
            <w:vAlign w:val="bottom"/>
          </w:tcPr>
          <w:p w14:paraId="64306EE7" w14:textId="77777777" w:rsidR="00C94CC5" w:rsidRPr="00143AC9" w:rsidRDefault="00C94CC5" w:rsidP="00140536">
            <w:pPr>
              <w:pStyle w:val="A-TableText"/>
            </w:pPr>
            <w:r w:rsidRPr="00143AC9">
              <w:t xml:space="preserve">If Grade 3 or higher adverse reaction improves to Grade 0-2 after withholding of treatment for up to 3 weeks </w:t>
            </w:r>
          </w:p>
        </w:tc>
        <w:tc>
          <w:tcPr>
            <w:tcW w:w="3861" w:type="dxa"/>
            <w:tcBorders>
              <w:top w:val="single" w:sz="4" w:space="0" w:color="000000"/>
              <w:left w:val="single" w:sz="4" w:space="0" w:color="000000"/>
              <w:bottom w:val="single" w:sz="4" w:space="0" w:color="000000"/>
              <w:right w:val="single" w:sz="4" w:space="0" w:color="000000"/>
            </w:tcBorders>
          </w:tcPr>
          <w:p w14:paraId="311B8224" w14:textId="77777777" w:rsidR="00C94CC5" w:rsidRPr="00143AC9" w:rsidRDefault="00C94CC5" w:rsidP="00140536">
            <w:pPr>
              <w:pStyle w:val="A-TableText"/>
            </w:pPr>
            <w:r w:rsidRPr="00143AC9">
              <w:t>Treatment may be restarted at the same dose (80 mg) or a lower dose (40 mg)</w:t>
            </w:r>
          </w:p>
        </w:tc>
      </w:tr>
      <w:tr w:rsidR="00C94CC5" w:rsidRPr="00143AC9" w14:paraId="40DE2029" w14:textId="77777777" w:rsidTr="002838B1">
        <w:trPr>
          <w:trHeight w:val="471"/>
        </w:trPr>
        <w:tc>
          <w:tcPr>
            <w:tcW w:w="1787" w:type="dxa"/>
            <w:vMerge/>
            <w:tcBorders>
              <w:top w:val="single" w:sz="4" w:space="0" w:color="000000"/>
              <w:left w:val="single" w:sz="6" w:space="0" w:color="000000"/>
              <w:bottom w:val="single" w:sz="6" w:space="0" w:color="000000"/>
              <w:right w:val="single" w:sz="4" w:space="0" w:color="000000"/>
            </w:tcBorders>
          </w:tcPr>
          <w:p w14:paraId="7CF47673" w14:textId="77777777" w:rsidR="00C94CC5" w:rsidRPr="00143AC9" w:rsidRDefault="00C94CC5" w:rsidP="00140536">
            <w:pPr>
              <w:pStyle w:val="A-TableText"/>
            </w:pPr>
          </w:p>
        </w:tc>
        <w:tc>
          <w:tcPr>
            <w:tcW w:w="3424" w:type="dxa"/>
            <w:tcBorders>
              <w:top w:val="single" w:sz="4" w:space="0" w:color="000000"/>
              <w:left w:val="single" w:sz="4" w:space="0" w:color="000000"/>
              <w:bottom w:val="single" w:sz="6" w:space="0" w:color="000000"/>
              <w:right w:val="single" w:sz="4" w:space="0" w:color="000000"/>
            </w:tcBorders>
            <w:vAlign w:val="bottom"/>
          </w:tcPr>
          <w:p w14:paraId="4971278B" w14:textId="77777777" w:rsidR="00C94CC5" w:rsidRPr="00143AC9" w:rsidRDefault="00C94CC5" w:rsidP="00140536">
            <w:pPr>
              <w:pStyle w:val="A-TableText"/>
            </w:pPr>
            <w:r w:rsidRPr="00143AC9">
              <w:t xml:space="preserve">Grade 3 or higher adverse reaction that does not improve to Grade 0-2 after withholding for up to 3 weeks </w:t>
            </w:r>
          </w:p>
        </w:tc>
        <w:tc>
          <w:tcPr>
            <w:tcW w:w="3861" w:type="dxa"/>
            <w:tcBorders>
              <w:top w:val="single" w:sz="4" w:space="0" w:color="000000"/>
              <w:left w:val="single" w:sz="4" w:space="0" w:color="000000"/>
              <w:bottom w:val="single" w:sz="6" w:space="0" w:color="000000"/>
              <w:right w:val="single" w:sz="4" w:space="0" w:color="000000"/>
            </w:tcBorders>
          </w:tcPr>
          <w:p w14:paraId="1506CC73" w14:textId="77777777" w:rsidR="00C94CC5" w:rsidRPr="00143AC9" w:rsidRDefault="00C94CC5" w:rsidP="00140536">
            <w:pPr>
              <w:pStyle w:val="A-TableText"/>
            </w:pPr>
            <w:r w:rsidRPr="00143AC9">
              <w:t>Permanently discontinue treatment</w:t>
            </w:r>
          </w:p>
        </w:tc>
      </w:tr>
    </w:tbl>
    <w:p w14:paraId="24848A35" w14:textId="74711C1A" w:rsidR="00C94CC5" w:rsidRPr="00143AC9" w:rsidRDefault="00C94CC5" w:rsidP="0045667F">
      <w:pPr>
        <w:pStyle w:val="A-TableFootnoteText"/>
      </w:pPr>
      <w:r w:rsidRPr="00143AC9">
        <w:rPr>
          <w:vertAlign w:val="superscript"/>
        </w:rPr>
        <w:t>a</w:t>
      </w:r>
      <w:r w:rsidRPr="00143AC9">
        <w:t xml:space="preserve"> </w:t>
      </w:r>
      <w:r w:rsidR="002309CC">
        <w:tab/>
      </w:r>
      <w:r w:rsidRPr="00143AC9">
        <w:t>Note: The intensity of clinical adverse events graded by the National Cancer Institute (NCI) Common Terminology Criteria for Adverse Events (CTCAE) version 4.0.</w:t>
      </w:r>
    </w:p>
    <w:p w14:paraId="766174A2" w14:textId="77777777" w:rsidR="00140536" w:rsidRPr="00143AC9" w:rsidRDefault="00140536" w:rsidP="00140536">
      <w:pPr>
        <w:rPr>
          <w:lang w:val="en-GB"/>
        </w:rPr>
      </w:pPr>
    </w:p>
    <w:p w14:paraId="0BB6C768" w14:textId="77777777" w:rsidR="00C94CC5" w:rsidRPr="00143AC9" w:rsidRDefault="00C94CC5" w:rsidP="00140536">
      <w:pPr>
        <w:pStyle w:val="Heading3"/>
      </w:pPr>
      <w:r w:rsidRPr="00143AC9">
        <w:t>Special patient populations</w:t>
      </w:r>
    </w:p>
    <w:p w14:paraId="7E0CA470" w14:textId="3C267832" w:rsidR="00C94CC5" w:rsidRPr="00143AC9" w:rsidRDefault="00C94CC5" w:rsidP="00140536">
      <w:r w:rsidRPr="00143AC9">
        <w:t xml:space="preserve">No dosage adjustment is required according to patient age, body weight, gender, ethnicity </w:t>
      </w:r>
      <w:r w:rsidR="00566933">
        <w:t>or</w:t>
      </w:r>
      <w:r w:rsidR="00566933" w:rsidRPr="00143AC9">
        <w:t xml:space="preserve"> </w:t>
      </w:r>
      <w:r w:rsidRPr="00143AC9">
        <w:t>smoking status.</w:t>
      </w:r>
    </w:p>
    <w:p w14:paraId="23D7B170" w14:textId="77777777" w:rsidR="00140536" w:rsidRPr="00143AC9" w:rsidRDefault="00140536" w:rsidP="00140536"/>
    <w:p w14:paraId="460D5DB7" w14:textId="1C36AB9A" w:rsidR="00C94CC5" w:rsidRPr="00143AC9" w:rsidRDefault="00C94CC5" w:rsidP="00DD2B4E">
      <w:pPr>
        <w:pStyle w:val="Heading4"/>
      </w:pPr>
      <w:r w:rsidRPr="00143AC9">
        <w:t xml:space="preserve">Paediatric and </w:t>
      </w:r>
      <w:r w:rsidR="00B2038F">
        <w:t>a</w:t>
      </w:r>
      <w:r w:rsidRPr="00143AC9">
        <w:t>dolescent</w:t>
      </w:r>
      <w:r w:rsidR="00B2038F">
        <w:t xml:space="preserve"> patients</w:t>
      </w:r>
    </w:p>
    <w:p w14:paraId="09D1073B" w14:textId="4ADDB32B" w:rsidR="00C94CC5" w:rsidRPr="00143AC9" w:rsidRDefault="00C94CC5" w:rsidP="00140536">
      <w:r w:rsidRPr="00143AC9">
        <w:t>The safety and efficacy of TAGRISSO in children or adolescents aged less than 18 years have not been established. No data are available.</w:t>
      </w:r>
    </w:p>
    <w:p w14:paraId="362F6438" w14:textId="77777777" w:rsidR="00140536" w:rsidRPr="00143AC9" w:rsidRDefault="00140536" w:rsidP="00140536">
      <w:pPr>
        <w:rPr>
          <w:b/>
          <w:bCs/>
          <w:szCs w:val="24"/>
        </w:rPr>
      </w:pPr>
    </w:p>
    <w:p w14:paraId="330F1C6E" w14:textId="77777777" w:rsidR="00C94CC5" w:rsidRPr="00143AC9" w:rsidRDefault="00C94CC5" w:rsidP="00DD2B4E">
      <w:pPr>
        <w:pStyle w:val="Heading4"/>
      </w:pPr>
      <w:r w:rsidRPr="00143AC9">
        <w:t>Elderly (&gt;65 years)</w:t>
      </w:r>
    </w:p>
    <w:p w14:paraId="65C27210" w14:textId="572C1157" w:rsidR="00C94CC5" w:rsidRPr="00143AC9" w:rsidRDefault="00C94CC5" w:rsidP="00140536">
      <w:pPr>
        <w:rPr>
          <w:lang w:val="en-US"/>
        </w:rPr>
      </w:pPr>
      <w:r w:rsidRPr="00143AC9">
        <w:t xml:space="preserve">Population PK analysis indicated that age did not have an impact on the exposure of </w:t>
      </w:r>
      <w:r w:rsidRPr="00143AC9">
        <w:rPr>
          <w:szCs w:val="24"/>
        </w:rPr>
        <w:t xml:space="preserve">osimertinib </w:t>
      </w:r>
      <w:r w:rsidRPr="00143AC9">
        <w:t xml:space="preserve">and hence, </w:t>
      </w:r>
      <w:r w:rsidRPr="00143AC9">
        <w:rPr>
          <w:rFonts w:cs="Arial"/>
          <w:szCs w:val="24"/>
          <w:lang w:val="en-US"/>
        </w:rPr>
        <w:t>TAGRISSO</w:t>
      </w:r>
      <w:r w:rsidRPr="00143AC9">
        <w:t xml:space="preserve"> can be used in adults without regard to age</w:t>
      </w:r>
      <w:r w:rsidRPr="00143AC9">
        <w:rPr>
          <w:lang w:val="en-US"/>
        </w:rPr>
        <w:t>.</w:t>
      </w:r>
    </w:p>
    <w:p w14:paraId="50A20B59" w14:textId="77777777" w:rsidR="005A379A" w:rsidRPr="00143AC9" w:rsidRDefault="005A379A" w:rsidP="00140536">
      <w:pPr>
        <w:rPr>
          <w:szCs w:val="24"/>
        </w:rPr>
      </w:pPr>
    </w:p>
    <w:p w14:paraId="6F9EC24D" w14:textId="77777777" w:rsidR="00C94CC5" w:rsidRPr="00143AC9" w:rsidRDefault="00C94CC5" w:rsidP="00DD2B4E">
      <w:pPr>
        <w:pStyle w:val="Heading4"/>
      </w:pPr>
      <w:r w:rsidRPr="00143AC9">
        <w:lastRenderedPageBreak/>
        <w:t>Hepatic impairment</w:t>
      </w:r>
    </w:p>
    <w:p w14:paraId="3890F2CB" w14:textId="4669E83C" w:rsidR="00C94CC5" w:rsidRPr="00143AC9" w:rsidRDefault="00C94CC5" w:rsidP="00140536">
      <w:pPr>
        <w:rPr>
          <w:lang w:val="en-US"/>
        </w:rPr>
      </w:pPr>
      <w:r w:rsidRPr="00143AC9">
        <w:rPr>
          <w:lang w:val="en-US"/>
        </w:rPr>
        <w:t>No clinical studies have been conducted to specifically evaluate the effect of hepatic impairment on the pharmacokinetics of osimertinib. Based on population pharmacokinetic analysis, no dose adjustment is recommended in patients with mild or moderate hepatic impairment. The appropriate dose of TAGRISSO has not been established in patients with severe hepatic impairment. Until additional data become available, use of TAGRISSO in patients with severe hepatic impairment is not recommended.</w:t>
      </w:r>
    </w:p>
    <w:p w14:paraId="49B900E5" w14:textId="77777777" w:rsidR="00140536" w:rsidRPr="00143AC9" w:rsidRDefault="00140536" w:rsidP="00140536">
      <w:pPr>
        <w:rPr>
          <w:lang w:val="en-US"/>
        </w:rPr>
      </w:pPr>
    </w:p>
    <w:p w14:paraId="2BBF2219" w14:textId="77777777" w:rsidR="00C94CC5" w:rsidRPr="00143AC9" w:rsidRDefault="00C94CC5" w:rsidP="00DD2B4E">
      <w:pPr>
        <w:pStyle w:val="Heading4"/>
      </w:pPr>
      <w:r w:rsidRPr="00143AC9">
        <w:t>Renal Impairment</w:t>
      </w:r>
    </w:p>
    <w:p w14:paraId="5E8BF671" w14:textId="2594ACC0" w:rsidR="00C94CC5" w:rsidRPr="00143AC9" w:rsidRDefault="00C94CC5" w:rsidP="00140536">
      <w:r w:rsidRPr="00143AC9">
        <w:rPr>
          <w:lang w:val="en-US"/>
        </w:rPr>
        <w:t>No clinical study has been conducted to specifically evaluate the effect of renal impairment on the pharmacokinetics of osimertinib. Based on population pharmacokinetic analysis, no dose adjustment is recommended in patients with mild, moderate or severe renal impairment; there are very limited data in patients with severe renal impairment (n=5). As patients with CLcr less than 15 mL/min or on dialysis were not included in the clinical trials, caution should be exercised when treating these patients.</w:t>
      </w:r>
    </w:p>
    <w:p w14:paraId="37DE103A" w14:textId="77777777" w:rsidR="0002047D" w:rsidRPr="00143AC9" w:rsidRDefault="0002047D" w:rsidP="0002047D"/>
    <w:p w14:paraId="5D21434E" w14:textId="77777777" w:rsidR="001A3992" w:rsidRPr="00143AC9" w:rsidRDefault="001A3992" w:rsidP="001A3992">
      <w:pPr>
        <w:pStyle w:val="Heading2"/>
        <w:spacing w:before="0" w:after="120"/>
        <w:rPr>
          <w:rFonts w:ascii="Times New Roman" w:hAnsi="Times New Roman" w:cs="Times New Roman"/>
        </w:rPr>
      </w:pPr>
      <w:r w:rsidRPr="00143AC9">
        <w:rPr>
          <w:rFonts w:ascii="Times New Roman" w:hAnsi="Times New Roman" w:cs="Times New Roman"/>
        </w:rPr>
        <w:t>Contraindications</w:t>
      </w:r>
    </w:p>
    <w:p w14:paraId="601FF70D" w14:textId="7861FAB9" w:rsidR="00341032" w:rsidRPr="00143AC9" w:rsidRDefault="00341032" w:rsidP="00341032">
      <w:r w:rsidRPr="00143AC9">
        <w:rPr>
          <w:noProof/>
        </w:rPr>
        <w:t xml:space="preserve">Hypersensitivity to the active substance or to any of the excipients listed in </w:t>
      </w:r>
      <w:r w:rsidR="00CD3D19" w:rsidRPr="00143AC9">
        <w:rPr>
          <w:noProof/>
        </w:rPr>
        <w:t>Section 2</w:t>
      </w:r>
      <w:r w:rsidR="00910FC9" w:rsidRPr="00143AC9">
        <w:rPr>
          <w:noProof/>
        </w:rPr>
        <w:t xml:space="preserve">, </w:t>
      </w:r>
      <w:r w:rsidR="00007880" w:rsidRPr="00143AC9">
        <w:rPr>
          <w:noProof/>
        </w:rPr>
        <w:t>Qualitative and quantitative composition</w:t>
      </w:r>
      <w:r w:rsidRPr="00143AC9">
        <w:rPr>
          <w:noProof/>
        </w:rPr>
        <w:t>.</w:t>
      </w:r>
    </w:p>
    <w:p w14:paraId="4555A742" w14:textId="77777777" w:rsidR="00341032" w:rsidRPr="00143AC9" w:rsidRDefault="00341032" w:rsidP="00341032"/>
    <w:p w14:paraId="01FE5A49" w14:textId="77777777" w:rsidR="001A3992" w:rsidRPr="00143AC9" w:rsidRDefault="00E74A56" w:rsidP="001A3992">
      <w:pPr>
        <w:pStyle w:val="Heading2"/>
        <w:spacing w:before="0" w:after="120"/>
        <w:rPr>
          <w:rFonts w:ascii="Times New Roman" w:hAnsi="Times New Roman" w:cs="Times New Roman"/>
        </w:rPr>
      </w:pPr>
      <w:r w:rsidRPr="00143AC9">
        <w:rPr>
          <w:rFonts w:ascii="Times New Roman" w:hAnsi="Times New Roman" w:cs="Times New Roman"/>
        </w:rPr>
        <w:t>Special warnings and p</w:t>
      </w:r>
      <w:r w:rsidR="001A3992" w:rsidRPr="00143AC9">
        <w:rPr>
          <w:rFonts w:ascii="Times New Roman" w:hAnsi="Times New Roman" w:cs="Times New Roman"/>
        </w:rPr>
        <w:t xml:space="preserve">recautions </w:t>
      </w:r>
      <w:r w:rsidRPr="00143AC9">
        <w:rPr>
          <w:rFonts w:ascii="Times New Roman" w:hAnsi="Times New Roman" w:cs="Times New Roman"/>
        </w:rPr>
        <w:t>for use</w:t>
      </w:r>
    </w:p>
    <w:p w14:paraId="15DA44B1" w14:textId="77777777" w:rsidR="00D4624D" w:rsidRPr="00143AC9" w:rsidRDefault="00D4624D" w:rsidP="00D4624D">
      <w:pPr>
        <w:pStyle w:val="Heading3"/>
      </w:pPr>
      <w:r w:rsidRPr="00143AC9">
        <w:t xml:space="preserve">Assessment of EGFR mutation status </w:t>
      </w:r>
    </w:p>
    <w:p w14:paraId="7189E72F" w14:textId="2491B131" w:rsidR="00D4624D" w:rsidRPr="00143AC9" w:rsidRDefault="00D4624D" w:rsidP="00D4624D">
      <w:pPr>
        <w:rPr>
          <w:lang w:val="en-US"/>
        </w:rPr>
      </w:pPr>
      <w:r w:rsidRPr="00143AC9">
        <w:rPr>
          <w:lang w:val="en-US"/>
        </w:rPr>
        <w:t xml:space="preserve">When considering the use of TAGRISSO as a treatment for locally advanced or metastatic NSCLC, it is important that the EGFR mutation status is determined. A validated test should be performed using either tumour DNA </w:t>
      </w:r>
      <w:r w:rsidR="0020788A">
        <w:rPr>
          <w:lang w:val="en-US"/>
        </w:rPr>
        <w:t xml:space="preserve">derived from a tissue sample </w:t>
      </w:r>
      <w:r w:rsidRPr="00143AC9">
        <w:rPr>
          <w:lang w:val="en-US"/>
        </w:rPr>
        <w:t>or circulating tumour DNA (ctDNA) obtained from a plasma sample.</w:t>
      </w:r>
    </w:p>
    <w:p w14:paraId="5276DF59" w14:textId="3CD5066A" w:rsidR="00D4624D" w:rsidRPr="00143AC9" w:rsidRDefault="00D4624D" w:rsidP="00D4624D">
      <w:pPr>
        <w:rPr>
          <w:lang w:val="en-US"/>
        </w:rPr>
      </w:pPr>
      <w:r w:rsidRPr="00143AC9">
        <w:rPr>
          <w:lang w:val="en-US"/>
        </w:rPr>
        <w:t xml:space="preserve">Only robust, reliable and sensitive tests with demonstrated utility for the determination of EGFR mutation status </w:t>
      </w:r>
      <w:r w:rsidR="0020788A">
        <w:rPr>
          <w:lang w:val="en-US"/>
        </w:rPr>
        <w:t xml:space="preserve">of tumour-derived DNA (from a tissue or plasma sample) </w:t>
      </w:r>
      <w:r w:rsidRPr="00143AC9">
        <w:rPr>
          <w:lang w:val="en-US"/>
        </w:rPr>
        <w:t>should be used.</w:t>
      </w:r>
    </w:p>
    <w:p w14:paraId="35633B1D" w14:textId="5BC12D22" w:rsidR="00D4624D" w:rsidRDefault="00D4624D" w:rsidP="00D4624D">
      <w:pPr>
        <w:rPr>
          <w:lang w:val="en-US"/>
        </w:rPr>
      </w:pPr>
      <w:r w:rsidRPr="00143AC9">
        <w:rPr>
          <w:lang w:val="en-US"/>
        </w:rPr>
        <w:t xml:space="preserve">Positive determination of EGFR mutation </w:t>
      </w:r>
      <w:r w:rsidR="009533E8" w:rsidRPr="00143AC9">
        <w:rPr>
          <w:lang w:val="en-US"/>
        </w:rPr>
        <w:t xml:space="preserve">status </w:t>
      </w:r>
      <w:r w:rsidR="009533E8" w:rsidRPr="00143AC9">
        <w:rPr>
          <w:szCs w:val="24"/>
          <w:lang w:val="en-US"/>
        </w:rPr>
        <w:t>using</w:t>
      </w:r>
      <w:r w:rsidRPr="00143AC9">
        <w:rPr>
          <w:lang w:val="en-US"/>
        </w:rPr>
        <w:t xml:space="preserve"> either a tissue-based or plasma-based test indicates eligibility for treatment with TAGRISSO. However, if a plasma-based ctDNA test is used and the result is negative, it is advisable to follow-up with a tissue test wherever possible due to the potential for false negative results using a plasma-based test.</w:t>
      </w:r>
    </w:p>
    <w:p w14:paraId="1CED68CA" w14:textId="77777777" w:rsidR="00511186" w:rsidRPr="00143AC9" w:rsidRDefault="00511186" w:rsidP="00D4624D">
      <w:pPr>
        <w:rPr>
          <w:lang w:val="en-US"/>
        </w:rPr>
      </w:pPr>
    </w:p>
    <w:p w14:paraId="307B0ED5" w14:textId="77777777" w:rsidR="00C018D0" w:rsidRPr="00143AC9" w:rsidRDefault="00C018D0" w:rsidP="00C018D0">
      <w:pPr>
        <w:pStyle w:val="Heading3"/>
      </w:pPr>
      <w:r w:rsidRPr="00143AC9">
        <w:lastRenderedPageBreak/>
        <w:t>Interstitial Lung Disease (ILD)</w:t>
      </w:r>
    </w:p>
    <w:p w14:paraId="7BF4D0F3" w14:textId="3D977AF6" w:rsidR="00C018D0" w:rsidRPr="00143AC9" w:rsidRDefault="00C018D0" w:rsidP="00C018D0">
      <w:r w:rsidRPr="00143AC9">
        <w:t>Interstitial Lung Disease (ILD) or ILD-like adverse reactions (e.g. pneumonitis) were reported in 3.9% and were fatal in 0.4% (n=5) of the 1142 patients who received TAGRISSOin FLAURA and AURA studies. Most cases improved or resolved with discontinuation of treatment. Patients with a past medical history of ILD, drug-induced ILD, radiation pneumonitis that required steroid treatment, or any evidence of clinically active ILD were excluded from clinical studies.</w:t>
      </w:r>
    </w:p>
    <w:p w14:paraId="7A00F6BB" w14:textId="3CE3D312" w:rsidR="00C018D0" w:rsidRPr="00143AC9" w:rsidRDefault="00C018D0" w:rsidP="00C018D0">
      <w:r w:rsidRPr="00143AC9">
        <w:t>The incidence of ILD was 10.4% in patients of Japanese ethnicity, 1.8% in patients of non-Japanese Asian ethnicity and 2.8% in non-Asian patients. The median time to onset of ILD or ILD-like adverse reactions was 2.8 months.</w:t>
      </w:r>
    </w:p>
    <w:p w14:paraId="120658E6" w14:textId="77777777" w:rsidR="00C018D0" w:rsidRPr="00143AC9" w:rsidRDefault="00C018D0" w:rsidP="00C018D0">
      <w:r w:rsidRPr="00143AC9">
        <w:t>Withhold TAGRISSO and promptly investigate for ILD in any patient who presents with worsening of respiratory symptoms indicative of ILD (e.g dyspnoea, cough and fever). Permanently discontinue TAGRISSO if ILD is confirmed.</w:t>
      </w:r>
    </w:p>
    <w:p w14:paraId="188D37DD" w14:textId="6C821CC6" w:rsidR="00C018D0" w:rsidRPr="00143AC9" w:rsidRDefault="00C018D0" w:rsidP="00C018D0">
      <w:r w:rsidRPr="00143AC9">
        <w:t>TAGRISSO is not approved for use in combination with PD1/PDL1 checkpoint inhibitors.  In an uncontrolled phase 1 study, an increased incidence of pneumonitis was observed in the combination of osimertinib with a PDL1 checkpoint inhibitor.</w:t>
      </w:r>
    </w:p>
    <w:p w14:paraId="5696CC5E" w14:textId="77777777" w:rsidR="007763CB" w:rsidRPr="00143AC9" w:rsidRDefault="007763CB" w:rsidP="00C018D0"/>
    <w:p w14:paraId="71C5C526" w14:textId="77777777" w:rsidR="007F4DB1" w:rsidRPr="00143AC9" w:rsidRDefault="007F4DB1" w:rsidP="007F4DB1">
      <w:pPr>
        <w:pStyle w:val="Heading3"/>
      </w:pPr>
      <w:r w:rsidRPr="00143AC9">
        <w:t>QT Interval Prolongation</w:t>
      </w:r>
    </w:p>
    <w:p w14:paraId="5465BB30" w14:textId="748FA87C" w:rsidR="007F4DB1" w:rsidRPr="00143AC9" w:rsidRDefault="007F4DB1" w:rsidP="007F4DB1">
      <w:r w:rsidRPr="00143AC9">
        <w:t xml:space="preserve">When possible, avoid use of TAGRISSO in patients with congenital long QT syndrome (see </w:t>
      </w:r>
      <w:r w:rsidR="00CD3D19" w:rsidRPr="00143AC9">
        <w:t>Section 4.8</w:t>
      </w:r>
      <w:r w:rsidR="003F4C61" w:rsidRPr="00143AC9">
        <w:t>, Adverse effects</w:t>
      </w:r>
      <w:r w:rsidRPr="00143AC9">
        <w:t>). Consider periodic monitoring with electrocardiograms (ECGs) and electrolytes in patients with congestive heart failure, electrolyte abnormalities, or those who are taking medications that are known to prolong the QTc interval. Withhold TAGRISSO in patients who develop a QTc interval greater than 500 msec on at least 2 separate ECGs until the QTc interval is less than 481 msec or recovery to baseline if the QTc interval is greater than or equal to 481 msec, then resume TAGRISSO at a reduced dose as described in Table</w:t>
      </w:r>
      <w:r w:rsidR="0012188B" w:rsidRPr="00143AC9">
        <w:t>1</w:t>
      </w:r>
      <w:r w:rsidRPr="00143AC9">
        <w:t xml:space="preserve">. Permanently discontinue TAGRISSO in patients who develop QTc interval prolongation in combination with any of the following: Torsade de pointes, polymorphic ventricular tachycardia, signs/symptoms of serious arrhythmia. </w:t>
      </w:r>
    </w:p>
    <w:p w14:paraId="1B6358CC" w14:textId="77777777" w:rsidR="007763CB" w:rsidRPr="00143AC9" w:rsidRDefault="007763CB" w:rsidP="007F4DB1"/>
    <w:p w14:paraId="4F524649" w14:textId="77777777" w:rsidR="000569DB" w:rsidRPr="00143AC9" w:rsidRDefault="000569DB" w:rsidP="000569DB">
      <w:pPr>
        <w:pStyle w:val="Heading3"/>
        <w:rPr>
          <w:rFonts w:eastAsia="Times New Roman"/>
          <w:lang w:val="en-GB"/>
        </w:rPr>
      </w:pPr>
      <w:r w:rsidRPr="00143AC9">
        <w:rPr>
          <w:rFonts w:eastAsia="Times New Roman"/>
          <w:lang w:val="en-GB"/>
        </w:rPr>
        <w:t>Changes in cardiac contractility</w:t>
      </w:r>
    </w:p>
    <w:p w14:paraId="225F2DDF" w14:textId="540BD1B2" w:rsidR="000569DB" w:rsidRDefault="000569DB" w:rsidP="000569DB">
      <w:pPr>
        <w:rPr>
          <w:rFonts w:cs="Times New Roman"/>
          <w:lang w:val="en-GB"/>
        </w:rPr>
      </w:pPr>
      <w:r w:rsidRPr="00143AC9">
        <w:rPr>
          <w:rFonts w:cs="Times New Roman"/>
          <w:lang w:val="en-GB"/>
        </w:rPr>
        <w:t>Across clinical trials, Left Ventricular Ejection Fraction (LVEF) decreases greater than or equal to 10% and a drop to less than 50% occurred in 3.9% (35/908) of patients treated with TAGRISSO who had baseline and at least one follow-up LVEF assessment.</w:t>
      </w:r>
      <w:r w:rsidRPr="00143AC9">
        <w:rPr>
          <w:rFonts w:cs="Times New Roman"/>
          <w:vertAlign w:val="superscript"/>
          <w:lang w:val="en-GB"/>
        </w:rPr>
        <w:t xml:space="preserve"> </w:t>
      </w:r>
      <w:r w:rsidRPr="00143AC9">
        <w:rPr>
          <w:rFonts w:cs="Times New Roman"/>
          <w:lang w:val="en-GB"/>
        </w:rPr>
        <w:t xml:space="preserve">Based on the available clinical trial data, a causal relationship between effects on changes in cardiac contractility and TAGRISSO has not been established. In patients with cardiac risk factors and those with conditions that can affect LVEF, cardiac monitoring, including an assessment of LVEF at baseline and during treatment, should be considered. In patients who develop </w:t>
      </w:r>
      <w:r w:rsidRPr="00143AC9">
        <w:rPr>
          <w:rFonts w:cs="Times New Roman"/>
          <w:lang w:val="en-GB"/>
        </w:rPr>
        <w:lastRenderedPageBreak/>
        <w:t>relevant cardiac signs/symptoms during treatment, cardiac monitoring including LVEF assessment should be considered.</w:t>
      </w:r>
    </w:p>
    <w:p w14:paraId="64786BA2" w14:textId="77777777" w:rsidR="009F724F" w:rsidRPr="00143AC9" w:rsidRDefault="009F724F" w:rsidP="000569DB">
      <w:pPr>
        <w:rPr>
          <w:rFonts w:cs="Times New Roman"/>
          <w:b/>
          <w:lang w:val="en-GB"/>
        </w:rPr>
      </w:pPr>
    </w:p>
    <w:p w14:paraId="7409A896" w14:textId="77777777" w:rsidR="00BA22FD" w:rsidRPr="00143AC9" w:rsidRDefault="00BA22FD" w:rsidP="00BA22FD">
      <w:pPr>
        <w:pStyle w:val="Heading3"/>
        <w:rPr>
          <w:rFonts w:eastAsia="Times New Roman"/>
          <w:lang w:val="en-GB"/>
        </w:rPr>
      </w:pPr>
      <w:r w:rsidRPr="00143AC9">
        <w:rPr>
          <w:rFonts w:eastAsia="Times New Roman"/>
          <w:lang w:val="en-GB"/>
        </w:rPr>
        <w:t>Keratitis</w:t>
      </w:r>
    </w:p>
    <w:p w14:paraId="31957595" w14:textId="5AD9D109" w:rsidR="00BA22FD" w:rsidRDefault="00BA22FD" w:rsidP="00BA22FD">
      <w:pPr>
        <w:rPr>
          <w:lang w:val="en-GB"/>
        </w:rPr>
      </w:pPr>
      <w:r w:rsidRPr="00143AC9">
        <w:rPr>
          <w:lang w:val="en-GB"/>
        </w:rPr>
        <w:t>Keratitis was reported in 0.7% (n=8) of the 1142 patients treated with TAGRISSO in the FLAURA and AURA studies.</w:t>
      </w:r>
      <w:r w:rsidRPr="00143AC9">
        <w:rPr>
          <w:vertAlign w:val="superscript"/>
        </w:rPr>
        <w:t xml:space="preserve"> </w:t>
      </w:r>
      <w:r w:rsidRPr="00143AC9">
        <w:rPr>
          <w:lang w:val="en-GB"/>
        </w:rPr>
        <w:t xml:space="preserve">Patients presenting with signs and symptoms suggestive of keratitis such as acute or worsening: eye inflammation, lacrimation, light sensitivity, blurred vision, eye pain and/or red eye should be referred promptly to an ophthalmology specialist (see </w:t>
      </w:r>
      <w:r w:rsidR="00CD3D19" w:rsidRPr="00143AC9">
        <w:t>Section 4.2</w:t>
      </w:r>
      <w:r w:rsidR="00B363A4" w:rsidRPr="00143AC9">
        <w:t>, Dose and method of administration</w:t>
      </w:r>
      <w:r w:rsidRPr="00143AC9">
        <w:rPr>
          <w:lang w:val="en-GB"/>
        </w:rPr>
        <w:t>).</w:t>
      </w:r>
      <w:r w:rsidR="009B7DA3" w:rsidRPr="00143AC9">
        <w:rPr>
          <w:lang w:val="en-GB"/>
        </w:rPr>
        <w:t xml:space="preserve"> Contact lens use </w:t>
      </w:r>
      <w:r w:rsidR="00D4277D" w:rsidRPr="00336E4C">
        <w:rPr>
          <w:lang w:val="en-GB"/>
        </w:rPr>
        <w:t>may also be a risk factor for keratitis and ulceration.</w:t>
      </w:r>
    </w:p>
    <w:p w14:paraId="71351C5C" w14:textId="77777777" w:rsidR="00687440" w:rsidRPr="00143AC9" w:rsidRDefault="00687440" w:rsidP="00BA22FD">
      <w:pPr>
        <w:rPr>
          <w:lang w:val="en-GB"/>
        </w:rPr>
      </w:pPr>
    </w:p>
    <w:p w14:paraId="33BF0ECB" w14:textId="00A836D5" w:rsidR="00D91BE5" w:rsidRPr="00143AC9" w:rsidRDefault="00D91BE5" w:rsidP="00D91BE5">
      <w:pPr>
        <w:pStyle w:val="Heading3"/>
        <w:rPr>
          <w:rFonts w:eastAsia="Times New Roman"/>
          <w:lang w:val="en-GB"/>
        </w:rPr>
      </w:pPr>
      <w:r w:rsidRPr="00143AC9">
        <w:rPr>
          <w:rFonts w:eastAsia="Times New Roman"/>
          <w:lang w:val="en-GB"/>
        </w:rPr>
        <w:t>Use in the elderly</w:t>
      </w:r>
    </w:p>
    <w:p w14:paraId="7C5A797D" w14:textId="7A02EE0C" w:rsidR="00D91BE5" w:rsidRDefault="00D91BE5" w:rsidP="00BA22FD">
      <w:r w:rsidRPr="00143AC9">
        <w:rPr>
          <w:rFonts w:cs="Arial"/>
          <w:szCs w:val="24"/>
          <w:lang w:val="en-US"/>
        </w:rPr>
        <w:t>TAGRISSO</w:t>
      </w:r>
      <w:r w:rsidRPr="00143AC9">
        <w:t xml:space="preserve"> can be used in adults without regard to age</w:t>
      </w:r>
      <w:r w:rsidR="00FA75E1" w:rsidRPr="00143AC9">
        <w:t xml:space="preserve"> (see Sections 4.2 and 4.8, Dose and method of administration and Adverse effects). </w:t>
      </w:r>
    </w:p>
    <w:p w14:paraId="5D733F90" w14:textId="77777777" w:rsidR="00687440" w:rsidRPr="00143AC9" w:rsidRDefault="00687440" w:rsidP="00BA22FD"/>
    <w:p w14:paraId="732DFAAB" w14:textId="0D3B223D" w:rsidR="00FA75E1" w:rsidRPr="00143AC9" w:rsidRDefault="00FA75E1" w:rsidP="00FA75E1">
      <w:pPr>
        <w:pStyle w:val="Heading3"/>
        <w:rPr>
          <w:rFonts w:eastAsia="Times New Roman"/>
          <w:lang w:val="en-GB"/>
        </w:rPr>
      </w:pPr>
      <w:r w:rsidRPr="00143AC9">
        <w:rPr>
          <w:rFonts w:eastAsia="Times New Roman"/>
          <w:lang w:val="en-GB"/>
        </w:rPr>
        <w:t xml:space="preserve">Paediatric use </w:t>
      </w:r>
    </w:p>
    <w:p w14:paraId="309D347C" w14:textId="3C93969A" w:rsidR="00FA75E1" w:rsidRDefault="00FA75E1" w:rsidP="00FA75E1">
      <w:r w:rsidRPr="00143AC9">
        <w:t xml:space="preserve">The safety and efficacy of TAGRISSO in children or adolescents aged less than 18 years have not been established. No data are available (see Section 4.2, Dose and method of administration). </w:t>
      </w:r>
    </w:p>
    <w:p w14:paraId="05055A8E" w14:textId="77777777" w:rsidR="00687440" w:rsidRPr="00143AC9" w:rsidRDefault="00687440" w:rsidP="00FA75E1"/>
    <w:p w14:paraId="4619B43F" w14:textId="04DBD184" w:rsidR="00EF4FA4" w:rsidRPr="00143AC9" w:rsidRDefault="00EF4FA4" w:rsidP="00EF4FA4">
      <w:pPr>
        <w:pStyle w:val="Heading3"/>
        <w:rPr>
          <w:rFonts w:eastAsia="Times New Roman"/>
          <w:lang w:val="en-GB"/>
        </w:rPr>
      </w:pPr>
      <w:r w:rsidRPr="00143AC9">
        <w:rPr>
          <w:rFonts w:eastAsia="Times New Roman"/>
          <w:lang w:val="en-GB"/>
        </w:rPr>
        <w:t>Effects on laboratory tests</w:t>
      </w:r>
    </w:p>
    <w:p w14:paraId="072A5C57" w14:textId="7CD9B1C5" w:rsidR="00EF4FA4" w:rsidRDefault="00EF4FA4" w:rsidP="00FA75E1">
      <w:pPr>
        <w:rPr>
          <w:lang w:val="en-GB"/>
        </w:rPr>
      </w:pPr>
      <w:r w:rsidRPr="00143AC9">
        <w:rPr>
          <w:lang w:val="en-GB"/>
        </w:rPr>
        <w:t xml:space="preserve">No data available. </w:t>
      </w:r>
    </w:p>
    <w:p w14:paraId="4685D504" w14:textId="77777777" w:rsidR="0020622B" w:rsidRPr="00143AC9" w:rsidRDefault="0020622B" w:rsidP="00FA75E1">
      <w:pPr>
        <w:rPr>
          <w:lang w:val="en-GB"/>
        </w:rPr>
      </w:pPr>
    </w:p>
    <w:p w14:paraId="40FA250E" w14:textId="25958B75" w:rsidR="001A3992" w:rsidRPr="00143AC9" w:rsidRDefault="001A3992" w:rsidP="001A3992">
      <w:pPr>
        <w:pStyle w:val="Heading2"/>
        <w:keepLines/>
        <w:spacing w:before="0" w:after="120"/>
        <w:rPr>
          <w:rFonts w:ascii="Times New Roman" w:hAnsi="Times New Roman" w:cs="Times New Roman"/>
        </w:rPr>
      </w:pPr>
      <w:r w:rsidRPr="00143AC9">
        <w:rPr>
          <w:rFonts w:ascii="Times New Roman" w:hAnsi="Times New Roman" w:cs="Times New Roman"/>
        </w:rPr>
        <w:t>Interactions with other medicines and other forms of interactions</w:t>
      </w:r>
    </w:p>
    <w:p w14:paraId="537A7F36" w14:textId="287391D0" w:rsidR="001B7AD2" w:rsidRDefault="001B7AD2" w:rsidP="001B7AD2">
      <w:pPr>
        <w:rPr>
          <w:szCs w:val="24"/>
        </w:rPr>
      </w:pPr>
      <w:r w:rsidRPr="00143AC9">
        <w:rPr>
          <w:szCs w:val="24"/>
        </w:rPr>
        <w:t>Strong CYP3A4 inducers can decrease the exposure of osimertinib. Osimertinib may increase the exposure of BCRP substrates.</w:t>
      </w:r>
    </w:p>
    <w:p w14:paraId="74AD9002" w14:textId="77777777" w:rsidR="00687440" w:rsidRPr="00143AC9" w:rsidRDefault="00687440" w:rsidP="001B7AD2">
      <w:pPr>
        <w:rPr>
          <w:szCs w:val="24"/>
        </w:rPr>
      </w:pPr>
    </w:p>
    <w:p w14:paraId="1D6F1C40" w14:textId="77777777" w:rsidR="001B7AD2" w:rsidRPr="00143AC9" w:rsidRDefault="001B7AD2" w:rsidP="00B827E2">
      <w:pPr>
        <w:pStyle w:val="Heading3"/>
      </w:pPr>
      <w:r w:rsidRPr="00143AC9">
        <w:t xml:space="preserve">Active substances that may increase osimertinib plasma concentrations </w:t>
      </w:r>
    </w:p>
    <w:p w14:paraId="4A9B90BA" w14:textId="0E077116" w:rsidR="001B7AD2" w:rsidRDefault="001B7AD2" w:rsidP="00026D92">
      <w:r w:rsidRPr="00143AC9">
        <w:rPr>
          <w:i/>
        </w:rPr>
        <w:t>In vitro</w:t>
      </w:r>
      <w:r w:rsidRPr="00143AC9">
        <w:t xml:space="preserve"> studies have demonstrated that the phase 1 metabolism of osimertinib is predominantly via CYP3A4 and CYP3A5. In a clinical pharmacokinetic study in patients, TAGRISSO co-administered with 200 mg itraconazole twice daily (a strong CYP3A4 inhibitor) had no clinically significant effect on the exposure of osimertinib (area under the curve (AUC) increased by 24% and Cmax decreased 20%.</w:t>
      </w:r>
      <w:r w:rsidR="00195618">
        <w:t xml:space="preserve"> </w:t>
      </w:r>
      <w:r w:rsidRPr="00143AC9">
        <w:t>Therefore, CYP3A4 inhibitors are not likely to affect the exposure of osimertinib.</w:t>
      </w:r>
    </w:p>
    <w:p w14:paraId="4E8A2412" w14:textId="77777777" w:rsidR="00687440" w:rsidRPr="00143AC9" w:rsidRDefault="00687440" w:rsidP="00026D92"/>
    <w:p w14:paraId="4D0C025E" w14:textId="77777777" w:rsidR="001B7AD2" w:rsidRPr="00143AC9" w:rsidRDefault="001B7AD2" w:rsidP="00026D92">
      <w:pPr>
        <w:pStyle w:val="Heading3"/>
      </w:pPr>
      <w:r w:rsidRPr="00143AC9">
        <w:t>Active substances that may decrease osimertinib plasma concentrations</w:t>
      </w:r>
    </w:p>
    <w:p w14:paraId="60C39EF9" w14:textId="77777777" w:rsidR="001B7AD2" w:rsidRPr="00143AC9" w:rsidRDefault="001B7AD2" w:rsidP="00026D92">
      <w:r w:rsidRPr="00143AC9">
        <w:t xml:space="preserve">In a clinical pharmacokinetic study in patients, the steady-state AUC of osimertinib was reduced 78% when co-administered with rifampicin (600 mg daily for 21 days). It is recommended that concomitant use of strong CYP3A inducers (e.g. phenytoin, rifampicin, carbamazepine, St John’s Wort) with TAGRISSO should be avoided. If not possible, then increase TAGRISSO dose to 160 mg during the treatment with strong CYP3A inducer and resume at 80 mg, 3 weeks after discontinuation of the strong CYP3A inducer. </w:t>
      </w:r>
    </w:p>
    <w:p w14:paraId="4BB69398" w14:textId="75AD7517" w:rsidR="001B7AD2" w:rsidRDefault="001B7AD2" w:rsidP="00026D92">
      <w:r w:rsidRPr="00143AC9">
        <w:t>Based on physiologically-based pharmacokinetic (PBPK) model simulations, no dose adjustments are required when TAGRISSO is used with moderate and/or weak CYP3A inducers.</w:t>
      </w:r>
    </w:p>
    <w:p w14:paraId="1A71F476" w14:textId="77777777" w:rsidR="00687440" w:rsidRPr="00143AC9" w:rsidRDefault="00687440" w:rsidP="00026D92"/>
    <w:p w14:paraId="3648FF97" w14:textId="77777777" w:rsidR="001B7AD2" w:rsidRPr="00143AC9" w:rsidRDefault="001B7AD2" w:rsidP="00026D92">
      <w:pPr>
        <w:pStyle w:val="Heading3"/>
      </w:pPr>
      <w:r w:rsidRPr="00143AC9">
        <w:t>Effect of gastric acid reducing active substances on osimertinib</w:t>
      </w:r>
    </w:p>
    <w:p w14:paraId="298227BD" w14:textId="7C708D27" w:rsidR="001B7AD2" w:rsidRDefault="001B7AD2" w:rsidP="00026D92">
      <w:pPr>
        <w:rPr>
          <w:lang w:val="en-US"/>
        </w:rPr>
      </w:pPr>
      <w:r w:rsidRPr="00143AC9">
        <w:rPr>
          <w:lang w:val="en-US"/>
        </w:rPr>
        <w:t>In a clinical pharmacokinetic study, co-administration of omeprazole did not result in clinically relevant changes in osimertinib exposures. Gastric pH modifying agents can be concomitantly used with TAGRISSO without any restrictions.</w:t>
      </w:r>
    </w:p>
    <w:p w14:paraId="04E40BFB" w14:textId="77777777" w:rsidR="00687440" w:rsidRPr="00143AC9" w:rsidRDefault="00687440" w:rsidP="00026D92">
      <w:pPr>
        <w:rPr>
          <w:lang w:val="en-US"/>
        </w:rPr>
      </w:pPr>
    </w:p>
    <w:p w14:paraId="013B3603" w14:textId="77777777" w:rsidR="001B7AD2" w:rsidRPr="00143AC9" w:rsidRDefault="001B7AD2" w:rsidP="00026D92">
      <w:pPr>
        <w:pStyle w:val="Heading3"/>
      </w:pPr>
      <w:r w:rsidRPr="00143AC9">
        <w:rPr>
          <w:rFonts w:eastAsia="Arial Unicode MS"/>
          <w:lang w:val="en-US"/>
        </w:rPr>
        <w:t xml:space="preserve">Active substances </w:t>
      </w:r>
      <w:r w:rsidRPr="00143AC9">
        <w:t>whose plasma concentrations may be altered by TAGRISSO</w:t>
      </w:r>
    </w:p>
    <w:p w14:paraId="5793B4FB" w14:textId="77777777" w:rsidR="001B7AD2" w:rsidRPr="00143AC9" w:rsidRDefault="001B7AD2" w:rsidP="00026D92">
      <w:pPr>
        <w:rPr>
          <w:lang w:val="en-US"/>
        </w:rPr>
      </w:pPr>
      <w:r w:rsidRPr="00143AC9">
        <w:rPr>
          <w:lang w:val="en-US"/>
        </w:rPr>
        <w:t xml:space="preserve">Based on </w:t>
      </w:r>
      <w:r w:rsidRPr="00143AC9">
        <w:rPr>
          <w:i/>
          <w:lang w:val="en-US"/>
        </w:rPr>
        <w:t>in vitro</w:t>
      </w:r>
      <w:r w:rsidRPr="00143AC9">
        <w:rPr>
          <w:lang w:val="en-US"/>
        </w:rPr>
        <w:t xml:space="preserve"> studies, </w:t>
      </w:r>
      <w:r w:rsidRPr="00143AC9">
        <w:t xml:space="preserve">osimertinib </w:t>
      </w:r>
      <w:r w:rsidRPr="00143AC9">
        <w:rPr>
          <w:lang w:val="en-US"/>
        </w:rPr>
        <w:t>is a competitive inhibitor of BCRP transporter.</w:t>
      </w:r>
    </w:p>
    <w:p w14:paraId="5892DB3F" w14:textId="77777777" w:rsidR="001B7AD2" w:rsidRPr="00143AC9" w:rsidRDefault="001B7AD2" w:rsidP="00026D92">
      <w:r w:rsidRPr="00143AC9">
        <w:t>In a clinical PK study, co-administration of TAGRISSO with rosuvastatin (sensitive BCRP substrate) increased the AUC and C</w:t>
      </w:r>
      <w:r w:rsidRPr="00195618">
        <w:rPr>
          <w:vertAlign w:val="subscript"/>
        </w:rPr>
        <w:t>max</w:t>
      </w:r>
      <w:r w:rsidRPr="00143AC9">
        <w:t xml:space="preserve"> of rosuvastatin by 35% and 72% respectively. Patients taking concomitant medications where the disposition is dependent upon BCRP and with narrow therapeutic index should be closely monitored for signs of changed tolerability as a result of increased exposure of the concomitant medication whilst receiving TAGRISSO</w:t>
      </w:r>
      <w:r w:rsidRPr="00143AC9">
        <w:rPr>
          <w:lang w:val="en-US"/>
        </w:rPr>
        <w:t>.</w:t>
      </w:r>
    </w:p>
    <w:p w14:paraId="14F1F1EE" w14:textId="77777777" w:rsidR="001B7AD2" w:rsidRPr="00143AC9" w:rsidRDefault="001B7AD2" w:rsidP="00026D92">
      <w:r w:rsidRPr="00143AC9">
        <w:t>In a clinical PK study, co-administration of TAGRISSO with simvastatin (sensitive CYP3A4 substrate) decreased the AUC and Cmax of simvastatin by 9% and 23% respectively. These changes are small and not likely to be of clinical significance. Clinical pharmacokinetic interactions with CYP3A4 substrates are unlikely. Pregnane X Receptor (PXR) regulated enzyme interactions other than CYP3A4 have not been studied. A risk for decreased exposure of hormonal contraceptives cannot be excluded. Patients taking concomitant medications where the disposition is dependent upon CYP1A2, CYP2C or P-glycoprotein and with narrow therapeutic index should be closely monitored for reduction in therapeutic activity of the concomitant medication as a result of reduced exposure whilst receiving TAGRISSO.</w:t>
      </w:r>
    </w:p>
    <w:p w14:paraId="7513D6DA" w14:textId="77777777" w:rsidR="001B7AD2" w:rsidRPr="00143AC9" w:rsidRDefault="001B7AD2" w:rsidP="001B7AD2"/>
    <w:p w14:paraId="576C5B3B" w14:textId="77777777" w:rsidR="001A3992" w:rsidRPr="00143AC9" w:rsidRDefault="001A3992" w:rsidP="001A3992">
      <w:pPr>
        <w:pStyle w:val="Heading2"/>
        <w:spacing w:before="0" w:after="120"/>
        <w:rPr>
          <w:rFonts w:ascii="Times New Roman" w:hAnsi="Times New Roman" w:cs="Times New Roman"/>
        </w:rPr>
      </w:pPr>
      <w:r w:rsidRPr="00143AC9">
        <w:rPr>
          <w:rFonts w:ascii="Times New Roman" w:hAnsi="Times New Roman" w:cs="Times New Roman"/>
        </w:rPr>
        <w:lastRenderedPageBreak/>
        <w:t xml:space="preserve">Fertility, pregnancy and lactation </w:t>
      </w:r>
    </w:p>
    <w:p w14:paraId="72F4DBC5" w14:textId="502A83D2" w:rsidR="001A3992" w:rsidRPr="00143AC9" w:rsidRDefault="001A3992" w:rsidP="001A3992">
      <w:pPr>
        <w:pStyle w:val="Heading3"/>
        <w:spacing w:before="0" w:after="120"/>
        <w:rPr>
          <w:rFonts w:cs="Times New Roman"/>
        </w:rPr>
      </w:pPr>
      <w:r w:rsidRPr="00143AC9">
        <w:rPr>
          <w:rFonts w:cs="Times New Roman"/>
        </w:rPr>
        <w:t>Effects on fertility</w:t>
      </w:r>
    </w:p>
    <w:p w14:paraId="657CF200" w14:textId="77777777" w:rsidR="00D67A5B" w:rsidRPr="00143AC9" w:rsidRDefault="00D67A5B" w:rsidP="00D67A5B">
      <w:r w:rsidRPr="00143AC9">
        <w:rPr>
          <w:noProof/>
        </w:rPr>
        <w:t xml:space="preserve">There are no data on the effect of TAGRISSO on human fertility. Results from animal studies have shown that osimertinib has effects on male and female reproductive organs and could impair fertility. Due to the potential for effects on egg and sperm development </w:t>
      </w:r>
      <w:r w:rsidRPr="00143AC9">
        <w:rPr>
          <w:noProof/>
          <w:lang w:val="en-US"/>
        </w:rPr>
        <w:t>women should not conceive and men should not father a child while receiving TAGRISSO.</w:t>
      </w:r>
    </w:p>
    <w:p w14:paraId="055CE436" w14:textId="2373A34E" w:rsidR="00D67A5B" w:rsidRPr="00143AC9" w:rsidRDefault="00D67A5B" w:rsidP="00D67A5B">
      <w:r w:rsidRPr="00143AC9">
        <w:t>Based on studies in animals, male and female fertility may be impaired by treatment with TAGRISSO. Degenerative changes were present in the testes in rats and do</w:t>
      </w:r>
      <w:r w:rsidR="004B4D7F">
        <w:t>gs exposed to osimertinib for ≥</w:t>
      </w:r>
      <w:r w:rsidRPr="00143AC9">
        <w:t xml:space="preserve">4 weeks and there was a reduction in male fertility in rats following exposure to osimertinib for ~2.5 months. These findings were seen at exposure similar to the clinical exposure at 80 mg daily (based on AUC). Pathology findings in the testes seen in rats following 4 weeks dosing were reversible. </w:t>
      </w:r>
    </w:p>
    <w:p w14:paraId="07D3A657" w14:textId="77777777" w:rsidR="00196190" w:rsidRDefault="00D67A5B" w:rsidP="00D67A5B">
      <w:pPr>
        <w:rPr>
          <w:lang w:val="en-GB"/>
        </w:rPr>
      </w:pPr>
      <w:r w:rsidRPr="00143AC9">
        <w:rPr>
          <w:lang w:val="en-GB"/>
        </w:rPr>
        <w:t xml:space="preserve">In a female fertility study in rats, oral administration of TAGRISSO at 20 mg/kg/day (approximately equal to </w:t>
      </w:r>
      <w:r w:rsidR="00A01791" w:rsidRPr="00143AC9">
        <w:rPr>
          <w:lang w:val="en-GB"/>
        </w:rPr>
        <w:t xml:space="preserve">exposure in humans at </w:t>
      </w:r>
      <w:r w:rsidRPr="00143AC9">
        <w:rPr>
          <w:lang w:val="en-GB"/>
        </w:rPr>
        <w:t>the recommended daily clinical dose of 80 mg) had no effects on oestrus cycling or the number of females becoming pregnant, but caused early embryonic deaths. These findings showed evidence of reversibility following a 1 month</w:t>
      </w:r>
      <w:r w:rsidR="00FA2733" w:rsidRPr="00143AC9">
        <w:rPr>
          <w:lang w:val="en-GB"/>
        </w:rPr>
        <w:t xml:space="preserve"> </w:t>
      </w:r>
      <w:r w:rsidRPr="00143AC9">
        <w:rPr>
          <w:lang w:val="en-GB"/>
        </w:rPr>
        <w:t>treatment-free period.</w:t>
      </w:r>
    </w:p>
    <w:p w14:paraId="6F7BBC72" w14:textId="716D6167" w:rsidR="00D67A5B" w:rsidRPr="00143AC9" w:rsidRDefault="00D67A5B" w:rsidP="00D67A5B">
      <w:r w:rsidRPr="00143AC9">
        <w:t>In repeat dose toxicity studies, an increased incidence of anoestrus, corpora lutea degeneration in the ovaries and epithelial thinning in the uterus and vagina were seen in rats exposed to osimertinib for ≥ 4 weeks at 10 mg/kg/day (total exposure 0.3 times the clinical exposure). Findings in the ovaries seen following 4 weeks dosing were reversible.</w:t>
      </w:r>
    </w:p>
    <w:p w14:paraId="0A0FDD5E" w14:textId="77777777" w:rsidR="00D67A5B" w:rsidRPr="00143AC9" w:rsidRDefault="00D67A5B" w:rsidP="00D67A5B"/>
    <w:p w14:paraId="369FFFA4" w14:textId="6455FAED" w:rsidR="001A3992" w:rsidRPr="00143AC9" w:rsidRDefault="001A3992" w:rsidP="001A3992">
      <w:pPr>
        <w:pStyle w:val="Heading3"/>
        <w:spacing w:before="0" w:after="120"/>
        <w:rPr>
          <w:rFonts w:cs="Times New Roman"/>
        </w:rPr>
      </w:pPr>
      <w:r w:rsidRPr="00143AC9">
        <w:rPr>
          <w:rFonts w:cs="Times New Roman"/>
        </w:rPr>
        <w:t>Use in pregnancy</w:t>
      </w:r>
      <w:r w:rsidR="00D67A5B" w:rsidRPr="00143AC9">
        <w:rPr>
          <w:rFonts w:cs="Times New Roman"/>
        </w:rPr>
        <w:t xml:space="preserve"> – Category D</w:t>
      </w:r>
      <w:r w:rsidRPr="00143AC9">
        <w:rPr>
          <w:rFonts w:cs="Times New Roman"/>
        </w:rPr>
        <w:t xml:space="preserve"> </w:t>
      </w:r>
    </w:p>
    <w:p w14:paraId="303AF282" w14:textId="77777777" w:rsidR="00957CF3" w:rsidRPr="00143AC9" w:rsidRDefault="00957CF3" w:rsidP="00957CF3">
      <w:r w:rsidRPr="00143AC9">
        <w:t>There are no adequate and well-controlled studies in pregnant women using TAGRISSO. Based on its mechanism of action and preclinical data, osimertinib may cause foetal harm when administered to a pregnant woman. If TAGRISSO is used during pregnancy or if the patient becomes pregnant while receiving TAGRISSO, she should be informed of the potential hazard to the foetus or potential risk for miscarriage.</w:t>
      </w:r>
    </w:p>
    <w:p w14:paraId="6076321A" w14:textId="5EE922A9" w:rsidR="00957CF3" w:rsidRPr="00143AC9" w:rsidRDefault="00957CF3" w:rsidP="00957CF3">
      <w:pPr>
        <w:autoSpaceDE w:val="0"/>
        <w:autoSpaceDN w:val="0"/>
        <w:adjustRightInd w:val="0"/>
        <w:rPr>
          <w:rFonts w:cs="Arial"/>
          <w:noProof/>
          <w:szCs w:val="24"/>
        </w:rPr>
      </w:pPr>
      <w:r w:rsidRPr="00143AC9">
        <w:rPr>
          <w:rFonts w:cs="Arial"/>
          <w:szCs w:val="24"/>
          <w:lang w:val="en-US"/>
        </w:rPr>
        <w:t xml:space="preserve">Due to the risk of foetal harm, women of childbearing potential should be advised to avoid becoming pregnant while receiving TAGRISSO. </w:t>
      </w:r>
      <w:r w:rsidRPr="00143AC9">
        <w:rPr>
          <w:rFonts w:cs="Arial"/>
          <w:noProof/>
          <w:szCs w:val="24"/>
          <w:lang w:val="en-US"/>
        </w:rPr>
        <w:t xml:space="preserve">Patients should be advised </w:t>
      </w:r>
      <w:r w:rsidRPr="00143AC9">
        <w:rPr>
          <w:rFonts w:cs="Arial"/>
          <w:noProof/>
          <w:szCs w:val="24"/>
        </w:rPr>
        <w:t>to use effective contraception and continue to use the contraception for the following periods after completion of treatment with TAGRISSO: at least</w:t>
      </w:r>
      <w:r w:rsidRPr="00143AC9">
        <w:rPr>
          <w:lang w:val="en-GB"/>
        </w:rPr>
        <w:t xml:space="preserve"> 6 weeks in female patients and longer in male patients (4 months)</w:t>
      </w:r>
      <w:r w:rsidRPr="00143AC9">
        <w:rPr>
          <w:rFonts w:cs="Arial"/>
          <w:noProof/>
          <w:szCs w:val="24"/>
        </w:rPr>
        <w:t>.</w:t>
      </w:r>
      <w:r w:rsidRPr="00143AC9">
        <w:t xml:space="preserve"> </w:t>
      </w:r>
      <w:r w:rsidRPr="00143AC9">
        <w:rPr>
          <w:rFonts w:cs="Arial"/>
          <w:noProof/>
          <w:szCs w:val="24"/>
        </w:rPr>
        <w:t xml:space="preserve">A risk for decreased exposure of hormonal contraceptives cannot be excluded (see </w:t>
      </w:r>
      <w:r w:rsidR="00335283" w:rsidRPr="00143AC9">
        <w:rPr>
          <w:rFonts w:cs="Arial"/>
          <w:noProof/>
          <w:szCs w:val="24"/>
        </w:rPr>
        <w:t>Section 4.5</w:t>
      </w:r>
      <w:r w:rsidR="009A2A08">
        <w:rPr>
          <w:rFonts w:cs="Arial"/>
          <w:noProof/>
          <w:szCs w:val="24"/>
        </w:rPr>
        <w:t xml:space="preserve">, Interactions with other medicines </w:t>
      </w:r>
      <w:r w:rsidR="00FE6F68">
        <w:rPr>
          <w:rFonts w:cs="Arial"/>
          <w:noProof/>
          <w:szCs w:val="24"/>
        </w:rPr>
        <w:t>and other forms of interactions</w:t>
      </w:r>
      <w:r w:rsidRPr="00143AC9">
        <w:rPr>
          <w:rFonts w:cs="Arial"/>
          <w:noProof/>
          <w:szCs w:val="24"/>
        </w:rPr>
        <w:t>).</w:t>
      </w:r>
    </w:p>
    <w:p w14:paraId="316CF739" w14:textId="77777777" w:rsidR="00957CF3" w:rsidRPr="00143AC9" w:rsidRDefault="00957CF3" w:rsidP="00957CF3">
      <w:r w:rsidRPr="00143AC9">
        <w:lastRenderedPageBreak/>
        <w:t xml:space="preserve">In a modified embryofoetal development study in the rat, osimertinib caused embryolethality when administered to pregnant rats prior to embryonic implantation.  These effects were seen at a maternally tolerated dose of 20 mg/kg/day where exposure was equivalent to the human exposure at the recommended dose of 80 mg daily (based on total AUC). Exposure at doses of 20 mg/kg and above during organogenesis caused </w:t>
      </w:r>
      <w:r w:rsidRPr="00143AC9">
        <w:rPr>
          <w:szCs w:val="24"/>
        </w:rPr>
        <w:t>reduced foetal weights. Teratogenicity has not been adequately assessed in animal studies. When osimertinib was administered to pregnant female rats throughout gestation and then through early lactation, there was demonstrable excretion in milk and</w:t>
      </w:r>
      <w:r w:rsidRPr="00143AC9">
        <w:t xml:space="preserve"> exposure to osimertinib and its metabolites in suckling pups plus a reduction in pup survival and poor pup growth (at doses of 20 mg/kg and above).</w:t>
      </w:r>
    </w:p>
    <w:p w14:paraId="518837BA" w14:textId="77777777" w:rsidR="00957CF3" w:rsidRPr="00143AC9" w:rsidRDefault="00957CF3" w:rsidP="00957CF3"/>
    <w:p w14:paraId="331EFFC9" w14:textId="14D0A61C" w:rsidR="001A3992" w:rsidRPr="00143AC9" w:rsidRDefault="001A3992" w:rsidP="001A3992">
      <w:pPr>
        <w:pStyle w:val="Heading3"/>
        <w:spacing w:before="0" w:after="120"/>
        <w:rPr>
          <w:rFonts w:cs="Times New Roman"/>
        </w:rPr>
      </w:pPr>
      <w:r w:rsidRPr="00143AC9">
        <w:rPr>
          <w:rFonts w:cs="Times New Roman"/>
        </w:rPr>
        <w:t xml:space="preserve">Use in lactation. </w:t>
      </w:r>
    </w:p>
    <w:p w14:paraId="3168142D" w14:textId="77777777" w:rsidR="00957CF3" w:rsidRPr="00143AC9" w:rsidRDefault="00957CF3" w:rsidP="00957CF3">
      <w:r w:rsidRPr="00143AC9">
        <w:rPr>
          <w:szCs w:val="24"/>
        </w:rPr>
        <w:t>It is not known whether osimertinib or its metabolites are present in human milk. When osimertinib was administered to lactating rats, osimertinib and its metabolites were detected in the suckling pups and there were adverse effects on pup growth and survival. Due to potential for transfer through breast milk, breast-feeding mothers are advised to discontinue breast-feeding infants while receiving TAGRISSO therapy.</w:t>
      </w:r>
    </w:p>
    <w:p w14:paraId="2381330D" w14:textId="77777777" w:rsidR="00957CF3" w:rsidRPr="00143AC9" w:rsidRDefault="00957CF3" w:rsidP="00957CF3"/>
    <w:p w14:paraId="47478741" w14:textId="592EE452" w:rsidR="001A3992" w:rsidRPr="00143AC9" w:rsidRDefault="001A3992" w:rsidP="001A3992">
      <w:pPr>
        <w:pStyle w:val="Heading2"/>
        <w:spacing w:before="0" w:after="120"/>
        <w:rPr>
          <w:rFonts w:ascii="Times New Roman" w:hAnsi="Times New Roman" w:cs="Times New Roman"/>
        </w:rPr>
      </w:pPr>
      <w:r w:rsidRPr="00143AC9">
        <w:rPr>
          <w:rFonts w:ascii="Times New Roman" w:hAnsi="Times New Roman" w:cs="Times New Roman"/>
        </w:rPr>
        <w:t xml:space="preserve">Effects on ability to drive and use machines </w:t>
      </w:r>
    </w:p>
    <w:p w14:paraId="35B94132" w14:textId="77777777" w:rsidR="005B0023" w:rsidRPr="00143AC9" w:rsidRDefault="005B0023" w:rsidP="005B0023">
      <w:pPr>
        <w:autoSpaceDE w:val="0"/>
        <w:autoSpaceDN w:val="0"/>
        <w:adjustRightInd w:val="0"/>
        <w:spacing w:after="0" w:line="240" w:lineRule="auto"/>
        <w:rPr>
          <w:rFonts w:cs="Arial"/>
          <w:b/>
        </w:rPr>
      </w:pPr>
      <w:r w:rsidRPr="00143AC9">
        <w:rPr>
          <w:rFonts w:cs="Arial"/>
          <w:szCs w:val="24"/>
          <w:lang w:eastAsia="en-AU"/>
        </w:rPr>
        <w:t>No studies on the effects on the ability to drive and use machines have been performed. If patients experience symptoms affecting their ability to concentrate and react, it is recommended that they do not drive or use machines until the effect subsides.</w:t>
      </w:r>
    </w:p>
    <w:p w14:paraId="76FA076F" w14:textId="77777777" w:rsidR="005B0023" w:rsidRPr="00143AC9" w:rsidRDefault="005B0023" w:rsidP="005B0023"/>
    <w:p w14:paraId="1E1C9C29" w14:textId="100DA292" w:rsidR="001A3992" w:rsidRPr="00143AC9" w:rsidRDefault="001A3992" w:rsidP="001A3992">
      <w:pPr>
        <w:pStyle w:val="Heading2"/>
        <w:keepLines/>
        <w:spacing w:before="0" w:after="120"/>
        <w:rPr>
          <w:rFonts w:ascii="Times New Roman" w:hAnsi="Times New Roman" w:cs="Times New Roman"/>
        </w:rPr>
      </w:pPr>
      <w:r w:rsidRPr="00143AC9">
        <w:rPr>
          <w:rFonts w:ascii="Times New Roman" w:hAnsi="Times New Roman" w:cs="Times New Roman"/>
        </w:rPr>
        <w:t>Adverse effects (Undesirable effects)</w:t>
      </w:r>
    </w:p>
    <w:p w14:paraId="0A3CB850" w14:textId="3342F06A" w:rsidR="00806E12" w:rsidRPr="00143AC9" w:rsidRDefault="00806E12" w:rsidP="00806E12">
      <w:pPr>
        <w:pStyle w:val="Heading3"/>
      </w:pPr>
      <w:r w:rsidRPr="00143AC9">
        <w:t>Overall summary of the safety profile</w:t>
      </w:r>
    </w:p>
    <w:p w14:paraId="56779234" w14:textId="241F5A3A" w:rsidR="00806E12" w:rsidRPr="00143AC9" w:rsidRDefault="00806E12" w:rsidP="000565DE">
      <w:pPr>
        <w:pStyle w:val="Heading3"/>
      </w:pPr>
      <w:r w:rsidRPr="00143AC9">
        <w:t xml:space="preserve">Studies in EGFR mutation positive NSCLC patients </w:t>
      </w:r>
    </w:p>
    <w:p w14:paraId="1BEDFF20" w14:textId="779C7CF8" w:rsidR="00806E12" w:rsidRPr="00143AC9" w:rsidRDefault="00806E12" w:rsidP="00806E12">
      <w:r w:rsidRPr="00143AC9">
        <w:rPr>
          <w:lang w:val="en-GB"/>
        </w:rPr>
        <w:t>The data described below reflect exposure to TAGRISSO in 1142 patients with EGFR mutation-positive NSCLC. These patients received TAGRISSO at a dose of 80 mg daily in two randomised Phase 3 studies (</w:t>
      </w:r>
      <w:r w:rsidRPr="00143AC9">
        <w:t>FLAURA</w:t>
      </w:r>
      <w:r w:rsidR="00566933">
        <w:t>-</w:t>
      </w:r>
      <w:r w:rsidRPr="00143AC9">
        <w:t>first</w:t>
      </w:r>
      <w:r w:rsidR="00566933">
        <w:t xml:space="preserve"> </w:t>
      </w:r>
      <w:r w:rsidRPr="00143AC9">
        <w:t xml:space="preserve">line; </w:t>
      </w:r>
      <w:r w:rsidRPr="00143AC9">
        <w:rPr>
          <w:lang w:val="en-GB"/>
        </w:rPr>
        <w:t>AURA3-second line only), two single-arm Phase 2 studies (</w:t>
      </w:r>
      <w:r w:rsidRPr="00FE6F68">
        <w:rPr>
          <w:lang w:val="en-GB"/>
        </w:rPr>
        <w:t>AURAex</w:t>
      </w:r>
      <w:r w:rsidR="001F67A9" w:rsidRPr="00FE6F68">
        <w:rPr>
          <w:lang w:val="en-GB"/>
        </w:rPr>
        <w:t>;</w:t>
      </w:r>
      <w:r w:rsidR="00FE6F68">
        <w:rPr>
          <w:lang w:val="en-GB"/>
        </w:rPr>
        <w:t xml:space="preserve"> </w:t>
      </w:r>
      <w:r w:rsidRPr="00FE6F68">
        <w:rPr>
          <w:lang w:val="en-GB"/>
        </w:rPr>
        <w:t>AURA2</w:t>
      </w:r>
      <w:r w:rsidRPr="00143AC9">
        <w:rPr>
          <w:lang w:val="en-GB"/>
        </w:rPr>
        <w:t>-second line or greater) and one Phase 1 study (AURA1</w:t>
      </w:r>
      <w:r w:rsidR="001F67A9">
        <w:rPr>
          <w:lang w:val="en-GB"/>
        </w:rPr>
        <w:t>-</w:t>
      </w:r>
      <w:r w:rsidRPr="00143AC9">
        <w:rPr>
          <w:lang w:val="en-GB"/>
        </w:rPr>
        <w:t xml:space="preserve">firstline or greater) (see </w:t>
      </w:r>
      <w:r w:rsidR="00D53A2C" w:rsidRPr="00143AC9">
        <w:rPr>
          <w:lang w:val="en-GB"/>
        </w:rPr>
        <w:t>Section 5.1</w:t>
      </w:r>
      <w:r w:rsidR="00184ECA">
        <w:rPr>
          <w:lang w:val="en-GB"/>
        </w:rPr>
        <w:t>, Pharmacodynamic propertie</w:t>
      </w:r>
      <w:r w:rsidR="0030404A">
        <w:rPr>
          <w:lang w:val="en-GB"/>
        </w:rPr>
        <w:t>s</w:t>
      </w:r>
      <w:r w:rsidRPr="00143AC9">
        <w:rPr>
          <w:lang w:val="en-GB"/>
        </w:rPr>
        <w:t>).</w:t>
      </w:r>
      <w:r w:rsidRPr="00143AC9">
        <w:rPr>
          <w:vertAlign w:val="superscript"/>
          <w:lang w:val="en-GB"/>
        </w:rPr>
        <w:t xml:space="preserve"> </w:t>
      </w:r>
    </w:p>
    <w:p w14:paraId="14612075" w14:textId="56A258AD" w:rsidR="00806E12" w:rsidRPr="00143AC9" w:rsidRDefault="00806E12" w:rsidP="00806E12">
      <w:r w:rsidRPr="00143AC9">
        <w:t>Most adverse reactions were Grade 1 or 2 in severity. The most commonly reported adverse drug reactions (ADRs) were diarrhoea (49%) and rash (47%). Grade 3 and grade 4 adverse reactions with TAGRISSO were 9.7% and 0.9%, respectively. In patients treated with TAGRISSO 80 mg once daily, dose reductions due to adverse reactions occurred in 2.1% of the patients. Discontinuation due to adverse reactions was 4.3%.</w:t>
      </w:r>
    </w:p>
    <w:p w14:paraId="6D26D3F6" w14:textId="348E7B22" w:rsidR="00806E12" w:rsidRPr="00143AC9" w:rsidRDefault="00806E12" w:rsidP="00806E12">
      <w:r w:rsidRPr="00143AC9">
        <w:rPr>
          <w:lang w:val="en-GB"/>
        </w:rPr>
        <w:lastRenderedPageBreak/>
        <w:t>Patients with a medical history of ILD, drug-induced ILD, radiation pneumonitis that required steroid treatment, or any evidence of clinically active ILD were excluded from clinical studies. Patients with clinically important abnormalities in rhythm and conduction as measured by resting electrocardiogram (ECG) (e.g. QTc interval greater than 470 ms) were excluded from these studies. Patients were evaluated for LVEF at screening and every 12 weeks thereafter.</w:t>
      </w:r>
    </w:p>
    <w:p w14:paraId="5C7E4307" w14:textId="77777777" w:rsidR="00821C9B" w:rsidRPr="00143AC9" w:rsidRDefault="00821C9B" w:rsidP="000565DE"/>
    <w:p w14:paraId="0D7C4907" w14:textId="77777777" w:rsidR="00806E12" w:rsidRPr="00143AC9" w:rsidRDefault="00806E12" w:rsidP="000565DE">
      <w:pPr>
        <w:pStyle w:val="Heading3"/>
      </w:pPr>
      <w:r w:rsidRPr="00143AC9">
        <w:t xml:space="preserve">Tabulated list of adverse reactions </w:t>
      </w:r>
    </w:p>
    <w:p w14:paraId="740A4996" w14:textId="751C54FB" w:rsidR="00806E12" w:rsidRPr="00143AC9" w:rsidRDefault="00806E12" w:rsidP="000565DE">
      <w:pPr>
        <w:rPr>
          <w:lang w:val="en-GB"/>
        </w:rPr>
      </w:pPr>
      <w:r w:rsidRPr="00143AC9">
        <w:rPr>
          <w:lang w:val="en-GB"/>
        </w:rPr>
        <w:t xml:space="preserve">Adverse reactions have been assigned to the frequency categories in Table </w:t>
      </w:r>
      <w:r w:rsidR="00563087" w:rsidRPr="00143AC9">
        <w:rPr>
          <w:lang w:val="en-GB"/>
        </w:rPr>
        <w:t>2</w:t>
      </w:r>
      <w:r w:rsidRPr="00143AC9">
        <w:rPr>
          <w:lang w:val="en-GB"/>
        </w:rPr>
        <w:t xml:space="preserve"> where possible based on the incidence of comparable adverse event reports in a pooled dataset from the 1142 EGFR mutation positive patients who received TAGRISSO at a dose of 80 mg daily in the FLAURA, AURA3, AURAex and AURA2 and AURA1 studies. </w:t>
      </w:r>
    </w:p>
    <w:p w14:paraId="49B5FA99" w14:textId="0FC2FA5A" w:rsidR="00806E12" w:rsidRPr="00143AC9" w:rsidRDefault="00806E12" w:rsidP="000565DE">
      <w:r w:rsidRPr="00143AC9">
        <w:t>Adverse reactions are listed according to system organ class (SOC) in MedDRA. The corresponding frequency category for each adverse reaction is based on the CIOMS III convention and is defined as: very common (≥1/10); common (</w:t>
      </w:r>
      <w:r w:rsidR="00ED56AB" w:rsidRPr="00143AC9">
        <w:t>≥</w:t>
      </w:r>
      <w:r w:rsidRPr="00143AC9">
        <w:t xml:space="preserve">1/100 to &lt;1/10); uncommon (≥1/1,000 to &lt;1/100); rare (≥1/10,000 to &lt;1/1000); very rare (&lt;1/10,000); not known (cannot be estimated from available data). </w:t>
      </w:r>
    </w:p>
    <w:p w14:paraId="655BAA34" w14:textId="313556BB" w:rsidR="00806E12" w:rsidRPr="00143AC9" w:rsidRDefault="00806E12" w:rsidP="000565DE">
      <w:pPr>
        <w:pStyle w:val="A-TableTitle"/>
      </w:pPr>
      <w:r w:rsidRPr="00143AC9">
        <w:lastRenderedPageBreak/>
        <w:t xml:space="preserve">Table </w:t>
      </w:r>
      <w:r w:rsidR="00563087" w:rsidRPr="00143AC9">
        <w:t>2</w:t>
      </w:r>
      <w:r w:rsidRPr="00143AC9">
        <w:t>. Adverse Reactions Reported in FLAURA and AURA studies</w:t>
      </w:r>
      <w:r w:rsidRPr="00143AC9">
        <w:rPr>
          <w:vertAlign w:val="superscript"/>
        </w:rPr>
        <w:t>a</w:t>
      </w:r>
      <w:r w:rsidRPr="00143AC9">
        <w:t xml:space="preserve"> </w:t>
      </w:r>
    </w:p>
    <w:tbl>
      <w:tblPr>
        <w:tblW w:w="5000" w:type="pct"/>
        <w:tblLayout w:type="fixed"/>
        <w:tblLook w:val="0000" w:firstRow="0" w:lastRow="0" w:firstColumn="0" w:lastColumn="0" w:noHBand="0" w:noVBand="0"/>
      </w:tblPr>
      <w:tblGrid>
        <w:gridCol w:w="1951"/>
        <w:gridCol w:w="1867"/>
        <w:gridCol w:w="3235"/>
        <w:gridCol w:w="2189"/>
      </w:tblGrid>
      <w:tr w:rsidR="00806E12" w:rsidRPr="00143AC9" w14:paraId="04B6D909" w14:textId="77777777" w:rsidTr="002838B1">
        <w:trPr>
          <w:cantSplit/>
          <w:tblHeader/>
        </w:trPr>
        <w:tc>
          <w:tcPr>
            <w:tcW w:w="1056" w:type="pct"/>
            <w:tcBorders>
              <w:top w:val="single" w:sz="4" w:space="0" w:color="auto"/>
              <w:left w:val="nil"/>
              <w:bottom w:val="single" w:sz="12" w:space="0" w:color="auto"/>
              <w:right w:val="nil"/>
            </w:tcBorders>
          </w:tcPr>
          <w:p w14:paraId="089D78F1" w14:textId="77777777" w:rsidR="00806E12" w:rsidRPr="00143AC9" w:rsidRDefault="00806E12" w:rsidP="002838B1">
            <w:pPr>
              <w:pStyle w:val="A-TableHeader"/>
            </w:pPr>
            <w:r w:rsidRPr="00143AC9">
              <w:t>MedDRA SOC</w:t>
            </w:r>
          </w:p>
        </w:tc>
        <w:tc>
          <w:tcPr>
            <w:tcW w:w="1010" w:type="pct"/>
            <w:tcBorders>
              <w:top w:val="single" w:sz="4" w:space="0" w:color="auto"/>
              <w:left w:val="nil"/>
              <w:bottom w:val="single" w:sz="12" w:space="0" w:color="auto"/>
              <w:right w:val="nil"/>
            </w:tcBorders>
          </w:tcPr>
          <w:p w14:paraId="1C35662F" w14:textId="77777777" w:rsidR="00806E12" w:rsidRPr="00143AC9" w:rsidRDefault="00806E12" w:rsidP="002838B1">
            <w:pPr>
              <w:pStyle w:val="A-TableHeader"/>
            </w:pPr>
            <w:r w:rsidRPr="00143AC9">
              <w:t>MedDRA Term</w:t>
            </w:r>
          </w:p>
        </w:tc>
        <w:tc>
          <w:tcPr>
            <w:tcW w:w="1750" w:type="pct"/>
            <w:tcBorders>
              <w:top w:val="single" w:sz="4" w:space="0" w:color="auto"/>
              <w:left w:val="nil"/>
              <w:bottom w:val="single" w:sz="12" w:space="0" w:color="auto"/>
              <w:right w:val="nil"/>
            </w:tcBorders>
          </w:tcPr>
          <w:p w14:paraId="479DC821" w14:textId="77777777" w:rsidR="00806E12" w:rsidRPr="00143AC9" w:rsidRDefault="00806E12" w:rsidP="002838B1">
            <w:pPr>
              <w:pStyle w:val="A-TableHeader"/>
            </w:pPr>
            <w:r w:rsidRPr="00143AC9">
              <w:t>CIOMS descriptor/ Overall Frequency (all CTCAE grades</w:t>
            </w:r>
            <w:r w:rsidRPr="00143AC9">
              <w:rPr>
                <w:vertAlign w:val="superscript"/>
              </w:rPr>
              <w:t>b</w:t>
            </w:r>
            <w:r w:rsidRPr="00143AC9">
              <w:t>)</w:t>
            </w:r>
          </w:p>
        </w:tc>
        <w:tc>
          <w:tcPr>
            <w:tcW w:w="1184" w:type="pct"/>
            <w:tcBorders>
              <w:top w:val="single" w:sz="4" w:space="0" w:color="auto"/>
              <w:left w:val="nil"/>
              <w:bottom w:val="single" w:sz="12" w:space="0" w:color="auto"/>
              <w:right w:val="nil"/>
            </w:tcBorders>
          </w:tcPr>
          <w:p w14:paraId="0B137687" w14:textId="1F12BD69" w:rsidR="00806E12" w:rsidRPr="00143AC9" w:rsidRDefault="00806E12" w:rsidP="002838B1">
            <w:pPr>
              <w:pStyle w:val="A-TableHeader"/>
            </w:pPr>
            <w:r w:rsidRPr="00143AC9">
              <w:t>Frequency of CTCAE grade 3 or higher</w:t>
            </w:r>
          </w:p>
        </w:tc>
      </w:tr>
      <w:tr w:rsidR="00806E12" w:rsidRPr="00143AC9" w14:paraId="2F7B6B08" w14:textId="77777777" w:rsidTr="002838B1">
        <w:trPr>
          <w:cantSplit/>
          <w:trHeight w:val="548"/>
          <w:tblHeader/>
        </w:trPr>
        <w:tc>
          <w:tcPr>
            <w:tcW w:w="1056" w:type="pct"/>
            <w:tcBorders>
              <w:top w:val="single" w:sz="12" w:space="0" w:color="auto"/>
              <w:left w:val="nil"/>
              <w:right w:val="nil"/>
            </w:tcBorders>
          </w:tcPr>
          <w:p w14:paraId="75B0E663" w14:textId="4EBEAD8C" w:rsidR="00806E12" w:rsidRPr="00143AC9" w:rsidRDefault="00806E12" w:rsidP="000565DE">
            <w:pPr>
              <w:pStyle w:val="A-TableHeader"/>
            </w:pPr>
            <w:r w:rsidRPr="00143AC9">
              <w:t>Respiratory, thoracic and mediastinal disorders</w:t>
            </w:r>
          </w:p>
        </w:tc>
        <w:tc>
          <w:tcPr>
            <w:tcW w:w="1010" w:type="pct"/>
            <w:tcBorders>
              <w:top w:val="single" w:sz="12" w:space="0" w:color="auto"/>
              <w:left w:val="nil"/>
              <w:bottom w:val="single" w:sz="12" w:space="0" w:color="auto"/>
              <w:right w:val="nil"/>
            </w:tcBorders>
          </w:tcPr>
          <w:p w14:paraId="1E83660B" w14:textId="3C8C76CF" w:rsidR="00806E12" w:rsidRPr="00143AC9" w:rsidRDefault="00806E12" w:rsidP="000565DE">
            <w:pPr>
              <w:pStyle w:val="A-TableText"/>
            </w:pPr>
            <w:r w:rsidRPr="00143AC9">
              <w:rPr>
                <w:lang w:val="en-US"/>
              </w:rPr>
              <w:t>Interstitial Lung Disease</w:t>
            </w:r>
            <w:r w:rsidRPr="00143AC9">
              <w:rPr>
                <w:vertAlign w:val="superscript"/>
                <w:lang w:val="en-US"/>
              </w:rPr>
              <w:t>e</w:t>
            </w:r>
            <w:r w:rsidR="0030404A">
              <w:rPr>
                <w:vertAlign w:val="superscript"/>
                <w:lang w:val="en-US"/>
              </w:rPr>
              <w:t>,k</w:t>
            </w:r>
          </w:p>
        </w:tc>
        <w:tc>
          <w:tcPr>
            <w:tcW w:w="1750" w:type="pct"/>
            <w:tcBorders>
              <w:top w:val="single" w:sz="12" w:space="0" w:color="auto"/>
              <w:left w:val="nil"/>
              <w:bottom w:val="single" w:sz="12" w:space="0" w:color="auto"/>
              <w:right w:val="nil"/>
            </w:tcBorders>
          </w:tcPr>
          <w:p w14:paraId="31EE7410" w14:textId="4706BAC6" w:rsidR="00806E12" w:rsidRPr="00143AC9" w:rsidRDefault="00806E12" w:rsidP="000565DE">
            <w:pPr>
              <w:pStyle w:val="A-TableText"/>
              <w:rPr>
                <w:vertAlign w:val="superscript"/>
              </w:rPr>
            </w:pPr>
            <w:r w:rsidRPr="00143AC9">
              <w:t>Common (3.9 %)</w:t>
            </w:r>
            <w:r w:rsidR="0030404A">
              <w:rPr>
                <w:vertAlign w:val="superscript"/>
              </w:rPr>
              <w:t>k</w:t>
            </w:r>
          </w:p>
          <w:p w14:paraId="23E748E7" w14:textId="07196260" w:rsidR="00806E12" w:rsidRPr="00143AC9" w:rsidRDefault="00806E12" w:rsidP="000565DE">
            <w:pPr>
              <w:pStyle w:val="A-TableText"/>
            </w:pPr>
          </w:p>
        </w:tc>
        <w:tc>
          <w:tcPr>
            <w:tcW w:w="1184" w:type="pct"/>
            <w:tcBorders>
              <w:top w:val="single" w:sz="12" w:space="0" w:color="auto"/>
              <w:left w:val="nil"/>
              <w:bottom w:val="single" w:sz="12" w:space="0" w:color="auto"/>
              <w:right w:val="nil"/>
            </w:tcBorders>
          </w:tcPr>
          <w:p w14:paraId="7AE49D82" w14:textId="5AE152D3" w:rsidR="00806E12" w:rsidRPr="00143AC9" w:rsidRDefault="00806E12" w:rsidP="000565DE">
            <w:pPr>
              <w:pStyle w:val="A-TableText"/>
            </w:pPr>
            <w:r w:rsidRPr="00143AC9">
              <w:t>1.5 %</w:t>
            </w:r>
          </w:p>
        </w:tc>
      </w:tr>
      <w:tr w:rsidR="00806E12" w:rsidRPr="00143AC9" w14:paraId="194FBD8F" w14:textId="77777777" w:rsidTr="002838B1">
        <w:trPr>
          <w:cantSplit/>
          <w:trHeight w:val="548"/>
          <w:tblHeader/>
        </w:trPr>
        <w:tc>
          <w:tcPr>
            <w:tcW w:w="1056" w:type="pct"/>
            <w:vMerge w:val="restart"/>
            <w:tcBorders>
              <w:top w:val="single" w:sz="12" w:space="0" w:color="auto"/>
              <w:left w:val="nil"/>
              <w:right w:val="nil"/>
            </w:tcBorders>
          </w:tcPr>
          <w:p w14:paraId="2CC5CD7A" w14:textId="77777777" w:rsidR="00806E12" w:rsidRPr="00143AC9" w:rsidRDefault="00806E12" w:rsidP="000565DE">
            <w:pPr>
              <w:pStyle w:val="A-TableHeader"/>
            </w:pPr>
            <w:r w:rsidRPr="00143AC9">
              <w:t>Gastrointestinal disorders</w:t>
            </w:r>
          </w:p>
        </w:tc>
        <w:tc>
          <w:tcPr>
            <w:tcW w:w="1010" w:type="pct"/>
            <w:tcBorders>
              <w:top w:val="single" w:sz="12" w:space="0" w:color="auto"/>
              <w:left w:val="nil"/>
              <w:bottom w:val="single" w:sz="12" w:space="0" w:color="auto"/>
              <w:right w:val="nil"/>
            </w:tcBorders>
          </w:tcPr>
          <w:p w14:paraId="3B68844F" w14:textId="77777777" w:rsidR="00806E12" w:rsidRPr="00143AC9" w:rsidRDefault="00806E12" w:rsidP="000565DE">
            <w:pPr>
              <w:pStyle w:val="A-TableText"/>
            </w:pPr>
            <w:r w:rsidRPr="00143AC9">
              <w:t>Diarrhoea</w:t>
            </w:r>
          </w:p>
        </w:tc>
        <w:tc>
          <w:tcPr>
            <w:tcW w:w="1750" w:type="pct"/>
            <w:tcBorders>
              <w:top w:val="single" w:sz="12" w:space="0" w:color="auto"/>
              <w:left w:val="nil"/>
              <w:bottom w:val="single" w:sz="12" w:space="0" w:color="auto"/>
              <w:right w:val="nil"/>
            </w:tcBorders>
          </w:tcPr>
          <w:p w14:paraId="33A88D03" w14:textId="10D2AFE3" w:rsidR="00806E12" w:rsidRPr="00143AC9" w:rsidRDefault="00806E12" w:rsidP="000565DE">
            <w:pPr>
              <w:pStyle w:val="A-TableText"/>
            </w:pPr>
            <w:r w:rsidRPr="00143AC9">
              <w:t>Very common (49%)</w:t>
            </w:r>
            <w:r w:rsidRPr="00143AC9">
              <w:rPr>
                <w:vertAlign w:val="superscript"/>
              </w:rPr>
              <w:t xml:space="preserve"> </w:t>
            </w:r>
          </w:p>
        </w:tc>
        <w:tc>
          <w:tcPr>
            <w:tcW w:w="1184" w:type="pct"/>
            <w:tcBorders>
              <w:top w:val="single" w:sz="12" w:space="0" w:color="auto"/>
              <w:left w:val="nil"/>
              <w:bottom w:val="single" w:sz="12" w:space="0" w:color="auto"/>
              <w:right w:val="nil"/>
            </w:tcBorders>
          </w:tcPr>
          <w:p w14:paraId="64367C69" w14:textId="222B1EDD" w:rsidR="00806E12" w:rsidRPr="00143AC9" w:rsidRDefault="00806E12" w:rsidP="000565DE">
            <w:pPr>
              <w:pStyle w:val="A-TableText"/>
            </w:pPr>
            <w:r w:rsidRPr="00143AC9">
              <w:t>1.2%</w:t>
            </w:r>
          </w:p>
        </w:tc>
      </w:tr>
      <w:tr w:rsidR="00806E12" w:rsidRPr="00143AC9" w14:paraId="6F5228DE" w14:textId="77777777" w:rsidTr="00E42578">
        <w:trPr>
          <w:cantSplit/>
          <w:tblHeader/>
        </w:trPr>
        <w:tc>
          <w:tcPr>
            <w:tcW w:w="1056" w:type="pct"/>
            <w:vMerge/>
            <w:tcBorders>
              <w:left w:val="nil"/>
              <w:bottom w:val="single" w:sz="12" w:space="0" w:color="auto"/>
              <w:right w:val="nil"/>
            </w:tcBorders>
          </w:tcPr>
          <w:p w14:paraId="2327E2A1" w14:textId="77777777" w:rsidR="00806E12" w:rsidRPr="00143AC9" w:rsidRDefault="00806E12" w:rsidP="000565DE">
            <w:pPr>
              <w:pStyle w:val="A-TableHeader"/>
            </w:pPr>
          </w:p>
        </w:tc>
        <w:tc>
          <w:tcPr>
            <w:tcW w:w="1010" w:type="pct"/>
            <w:tcBorders>
              <w:top w:val="single" w:sz="12" w:space="0" w:color="auto"/>
              <w:left w:val="nil"/>
              <w:bottom w:val="single" w:sz="12" w:space="0" w:color="auto"/>
              <w:right w:val="nil"/>
            </w:tcBorders>
          </w:tcPr>
          <w:p w14:paraId="4C2DFF7F" w14:textId="77777777" w:rsidR="00806E12" w:rsidRPr="00143AC9" w:rsidRDefault="00806E12" w:rsidP="000565DE">
            <w:pPr>
              <w:pStyle w:val="A-TableText"/>
            </w:pPr>
            <w:r w:rsidRPr="00143AC9">
              <w:rPr>
                <w:lang w:val="en-US"/>
              </w:rPr>
              <w:t>Stomatitis</w:t>
            </w:r>
          </w:p>
        </w:tc>
        <w:tc>
          <w:tcPr>
            <w:tcW w:w="1750" w:type="pct"/>
            <w:tcBorders>
              <w:top w:val="single" w:sz="12" w:space="0" w:color="auto"/>
              <w:left w:val="nil"/>
              <w:bottom w:val="single" w:sz="12" w:space="0" w:color="auto"/>
              <w:right w:val="nil"/>
            </w:tcBorders>
          </w:tcPr>
          <w:p w14:paraId="1BAF9025" w14:textId="33F73A07" w:rsidR="00806E12" w:rsidRPr="00143AC9" w:rsidRDefault="00806E12" w:rsidP="000565DE">
            <w:pPr>
              <w:pStyle w:val="A-TableText"/>
            </w:pPr>
            <w:r w:rsidRPr="00143AC9">
              <w:t>Very common (20%)</w:t>
            </w:r>
          </w:p>
        </w:tc>
        <w:tc>
          <w:tcPr>
            <w:tcW w:w="1184" w:type="pct"/>
            <w:tcBorders>
              <w:top w:val="single" w:sz="12" w:space="0" w:color="auto"/>
              <w:left w:val="nil"/>
              <w:bottom w:val="single" w:sz="12" w:space="0" w:color="auto"/>
              <w:right w:val="nil"/>
            </w:tcBorders>
          </w:tcPr>
          <w:p w14:paraId="39398939" w14:textId="08490463" w:rsidR="00806E12" w:rsidRPr="00143AC9" w:rsidRDefault="00806E12" w:rsidP="000565DE">
            <w:pPr>
              <w:pStyle w:val="A-TableText"/>
            </w:pPr>
            <w:r w:rsidRPr="00143AC9">
              <w:t>0.2%</w:t>
            </w:r>
          </w:p>
        </w:tc>
      </w:tr>
      <w:tr w:rsidR="00806E12" w:rsidRPr="00143AC9" w14:paraId="03CB31AA" w14:textId="77777777" w:rsidTr="00A9485C">
        <w:trPr>
          <w:cantSplit/>
          <w:tblHeader/>
        </w:trPr>
        <w:tc>
          <w:tcPr>
            <w:tcW w:w="1056" w:type="pct"/>
            <w:tcBorders>
              <w:top w:val="single" w:sz="12" w:space="0" w:color="auto"/>
              <w:left w:val="nil"/>
              <w:bottom w:val="single" w:sz="12" w:space="0" w:color="auto"/>
              <w:right w:val="nil"/>
            </w:tcBorders>
          </w:tcPr>
          <w:p w14:paraId="3DF6D2B2" w14:textId="77777777" w:rsidR="00806E12" w:rsidRPr="00143AC9" w:rsidRDefault="00806E12" w:rsidP="000565DE">
            <w:pPr>
              <w:pStyle w:val="A-TableHeader"/>
            </w:pPr>
            <w:r w:rsidRPr="00143AC9">
              <w:t>Eye disorders</w:t>
            </w:r>
          </w:p>
        </w:tc>
        <w:tc>
          <w:tcPr>
            <w:tcW w:w="1010" w:type="pct"/>
            <w:tcBorders>
              <w:top w:val="single" w:sz="12" w:space="0" w:color="auto"/>
              <w:left w:val="nil"/>
              <w:bottom w:val="single" w:sz="12" w:space="0" w:color="auto"/>
              <w:right w:val="nil"/>
            </w:tcBorders>
          </w:tcPr>
          <w:p w14:paraId="40FDCEDB" w14:textId="77777777" w:rsidR="00806E12" w:rsidRPr="00143AC9" w:rsidRDefault="00806E12" w:rsidP="000565DE">
            <w:pPr>
              <w:pStyle w:val="A-TableText"/>
              <w:rPr>
                <w:lang w:val="en-US"/>
              </w:rPr>
            </w:pPr>
            <w:r w:rsidRPr="00143AC9">
              <w:rPr>
                <w:lang w:val="en-US"/>
              </w:rPr>
              <w:t>Keratitis</w:t>
            </w:r>
            <w:r w:rsidRPr="00143AC9">
              <w:rPr>
                <w:vertAlign w:val="superscript"/>
                <w:lang w:val="en-US"/>
              </w:rPr>
              <w:t>g</w:t>
            </w:r>
          </w:p>
        </w:tc>
        <w:tc>
          <w:tcPr>
            <w:tcW w:w="1750" w:type="pct"/>
            <w:tcBorders>
              <w:top w:val="single" w:sz="12" w:space="0" w:color="auto"/>
              <w:left w:val="nil"/>
              <w:bottom w:val="single" w:sz="12" w:space="0" w:color="auto"/>
              <w:right w:val="nil"/>
            </w:tcBorders>
          </w:tcPr>
          <w:p w14:paraId="63F57961" w14:textId="6BF60E33" w:rsidR="00806E12" w:rsidRPr="00143AC9" w:rsidRDefault="00806E12" w:rsidP="000565DE">
            <w:pPr>
              <w:pStyle w:val="A-TableText"/>
            </w:pPr>
            <w:r w:rsidRPr="00143AC9">
              <w:t>Uncommon (0.7%)</w:t>
            </w:r>
          </w:p>
        </w:tc>
        <w:tc>
          <w:tcPr>
            <w:tcW w:w="1184" w:type="pct"/>
            <w:tcBorders>
              <w:top w:val="single" w:sz="12" w:space="0" w:color="auto"/>
              <w:left w:val="nil"/>
              <w:bottom w:val="single" w:sz="12" w:space="0" w:color="auto"/>
              <w:right w:val="nil"/>
            </w:tcBorders>
          </w:tcPr>
          <w:p w14:paraId="5B3E6590" w14:textId="2D858C22" w:rsidR="00806E12" w:rsidRPr="00143AC9" w:rsidRDefault="00806E12" w:rsidP="000565DE">
            <w:pPr>
              <w:pStyle w:val="A-TableText"/>
            </w:pPr>
            <w:r w:rsidRPr="00143AC9">
              <w:t>0.1%</w:t>
            </w:r>
          </w:p>
        </w:tc>
      </w:tr>
      <w:tr w:rsidR="00806E12" w:rsidRPr="00143AC9" w14:paraId="16D97C8F" w14:textId="77777777" w:rsidTr="00A9485C">
        <w:trPr>
          <w:cantSplit/>
          <w:tblHeader/>
        </w:trPr>
        <w:tc>
          <w:tcPr>
            <w:tcW w:w="1056" w:type="pct"/>
            <w:vMerge w:val="restart"/>
            <w:tcBorders>
              <w:top w:val="single" w:sz="12" w:space="0" w:color="auto"/>
              <w:left w:val="nil"/>
              <w:right w:val="nil"/>
            </w:tcBorders>
          </w:tcPr>
          <w:p w14:paraId="253CECE6" w14:textId="77777777" w:rsidR="00806E12" w:rsidRPr="00143AC9" w:rsidRDefault="00806E12" w:rsidP="000565DE">
            <w:pPr>
              <w:pStyle w:val="A-TableHeader"/>
            </w:pPr>
            <w:r w:rsidRPr="00143AC9">
              <w:t>Skin and subcutaneous tissue disorders</w:t>
            </w:r>
          </w:p>
          <w:p w14:paraId="2D58F87D" w14:textId="77777777" w:rsidR="00806E12" w:rsidRPr="00143AC9" w:rsidRDefault="00806E12" w:rsidP="000565DE">
            <w:pPr>
              <w:pStyle w:val="A-TableHeader"/>
            </w:pPr>
          </w:p>
        </w:tc>
        <w:tc>
          <w:tcPr>
            <w:tcW w:w="1010" w:type="pct"/>
            <w:tcBorders>
              <w:top w:val="single" w:sz="12" w:space="0" w:color="auto"/>
              <w:left w:val="nil"/>
              <w:bottom w:val="single" w:sz="12" w:space="0" w:color="auto"/>
              <w:right w:val="nil"/>
            </w:tcBorders>
          </w:tcPr>
          <w:p w14:paraId="4941B172" w14:textId="77777777" w:rsidR="00806E12" w:rsidRPr="00143AC9" w:rsidRDefault="00806E12" w:rsidP="000565DE">
            <w:pPr>
              <w:pStyle w:val="A-TableText"/>
              <w:rPr>
                <w:lang w:val="en-US"/>
              </w:rPr>
            </w:pPr>
            <w:r w:rsidRPr="00143AC9">
              <w:rPr>
                <w:lang w:val="en-US"/>
              </w:rPr>
              <w:t>Rash</w:t>
            </w:r>
            <w:r w:rsidRPr="00143AC9">
              <w:rPr>
                <w:vertAlign w:val="superscript"/>
                <w:lang w:val="en-US"/>
              </w:rPr>
              <w:t>c,</w:t>
            </w:r>
            <w:r w:rsidRPr="00143AC9">
              <w:rPr>
                <w:vertAlign w:val="superscript"/>
              </w:rPr>
              <w:t xml:space="preserve"> </w:t>
            </w:r>
            <w:r w:rsidRPr="00143AC9">
              <w:rPr>
                <w:lang w:val="en-US"/>
              </w:rPr>
              <w:t xml:space="preserve"> </w:t>
            </w:r>
          </w:p>
        </w:tc>
        <w:tc>
          <w:tcPr>
            <w:tcW w:w="1750" w:type="pct"/>
            <w:tcBorders>
              <w:top w:val="single" w:sz="12" w:space="0" w:color="auto"/>
              <w:left w:val="nil"/>
              <w:bottom w:val="single" w:sz="12" w:space="0" w:color="auto"/>
              <w:right w:val="nil"/>
            </w:tcBorders>
          </w:tcPr>
          <w:p w14:paraId="78413AAD" w14:textId="5367B9DD" w:rsidR="00806E12" w:rsidRPr="00143AC9" w:rsidRDefault="00806E12" w:rsidP="000565DE">
            <w:pPr>
              <w:pStyle w:val="A-TableText"/>
            </w:pPr>
            <w:r w:rsidRPr="00143AC9">
              <w:t>Very common (47%)</w:t>
            </w:r>
            <w:r w:rsidRPr="00143AC9">
              <w:rPr>
                <w:vertAlign w:val="superscript"/>
              </w:rPr>
              <w:t xml:space="preserve"> </w:t>
            </w:r>
          </w:p>
          <w:p w14:paraId="7974FDFF" w14:textId="77777777" w:rsidR="00806E12" w:rsidRPr="00143AC9" w:rsidRDefault="00806E12" w:rsidP="000565DE">
            <w:pPr>
              <w:pStyle w:val="A-TableText"/>
            </w:pPr>
          </w:p>
        </w:tc>
        <w:tc>
          <w:tcPr>
            <w:tcW w:w="1184" w:type="pct"/>
            <w:tcBorders>
              <w:top w:val="single" w:sz="12" w:space="0" w:color="auto"/>
              <w:left w:val="nil"/>
              <w:bottom w:val="single" w:sz="12" w:space="0" w:color="auto"/>
              <w:right w:val="nil"/>
            </w:tcBorders>
          </w:tcPr>
          <w:p w14:paraId="18412948" w14:textId="5BAA0363" w:rsidR="00806E12" w:rsidRPr="00143AC9" w:rsidRDefault="00806E12" w:rsidP="000565DE">
            <w:pPr>
              <w:pStyle w:val="A-TableText"/>
            </w:pPr>
            <w:r w:rsidRPr="00143AC9">
              <w:t>0.9%</w:t>
            </w:r>
          </w:p>
        </w:tc>
      </w:tr>
      <w:tr w:rsidR="00806E12" w:rsidRPr="00143AC9" w14:paraId="3769DF61" w14:textId="77777777" w:rsidTr="002838B1">
        <w:trPr>
          <w:cantSplit/>
          <w:tblHeader/>
        </w:trPr>
        <w:tc>
          <w:tcPr>
            <w:tcW w:w="1056" w:type="pct"/>
            <w:vMerge/>
            <w:tcBorders>
              <w:left w:val="nil"/>
              <w:right w:val="nil"/>
            </w:tcBorders>
          </w:tcPr>
          <w:p w14:paraId="308C45C7" w14:textId="77777777" w:rsidR="00806E12" w:rsidRPr="00143AC9" w:rsidRDefault="00806E12" w:rsidP="000565DE">
            <w:pPr>
              <w:pStyle w:val="A-TableHeader"/>
            </w:pPr>
          </w:p>
        </w:tc>
        <w:tc>
          <w:tcPr>
            <w:tcW w:w="1010" w:type="pct"/>
            <w:tcBorders>
              <w:top w:val="single" w:sz="12" w:space="0" w:color="auto"/>
              <w:left w:val="nil"/>
              <w:bottom w:val="single" w:sz="12" w:space="0" w:color="auto"/>
              <w:right w:val="nil"/>
            </w:tcBorders>
          </w:tcPr>
          <w:p w14:paraId="105DB63E" w14:textId="77777777" w:rsidR="00806E12" w:rsidRPr="00143AC9" w:rsidRDefault="00806E12" w:rsidP="000565DE">
            <w:pPr>
              <w:pStyle w:val="A-TableText"/>
              <w:rPr>
                <w:lang w:val="en-US"/>
              </w:rPr>
            </w:pPr>
            <w:r w:rsidRPr="00143AC9">
              <w:rPr>
                <w:lang w:val="en-US"/>
              </w:rPr>
              <w:t>Dry Skin</w:t>
            </w:r>
            <w:r w:rsidRPr="00143AC9">
              <w:rPr>
                <w:vertAlign w:val="superscript"/>
                <w:lang w:val="en-US"/>
              </w:rPr>
              <w:t>d</w:t>
            </w:r>
          </w:p>
        </w:tc>
        <w:tc>
          <w:tcPr>
            <w:tcW w:w="1750" w:type="pct"/>
            <w:tcBorders>
              <w:top w:val="single" w:sz="12" w:space="0" w:color="auto"/>
              <w:left w:val="nil"/>
              <w:bottom w:val="single" w:sz="12" w:space="0" w:color="auto"/>
              <w:right w:val="nil"/>
            </w:tcBorders>
          </w:tcPr>
          <w:p w14:paraId="76251EEB" w14:textId="36D84B87" w:rsidR="00806E12" w:rsidRPr="00143AC9" w:rsidRDefault="00806E12" w:rsidP="000565DE">
            <w:pPr>
              <w:pStyle w:val="A-TableText"/>
            </w:pPr>
            <w:r w:rsidRPr="00143AC9">
              <w:t>Very common (33%)</w:t>
            </w:r>
            <w:r w:rsidRPr="00143AC9">
              <w:rPr>
                <w:vertAlign w:val="superscript"/>
              </w:rPr>
              <w:t xml:space="preserve"> </w:t>
            </w:r>
          </w:p>
          <w:p w14:paraId="092018A2" w14:textId="77777777" w:rsidR="00806E12" w:rsidRPr="00143AC9" w:rsidRDefault="00806E12" w:rsidP="000565DE">
            <w:pPr>
              <w:pStyle w:val="A-TableText"/>
            </w:pPr>
          </w:p>
        </w:tc>
        <w:tc>
          <w:tcPr>
            <w:tcW w:w="1184" w:type="pct"/>
            <w:tcBorders>
              <w:top w:val="single" w:sz="12" w:space="0" w:color="auto"/>
              <w:left w:val="nil"/>
              <w:bottom w:val="single" w:sz="12" w:space="0" w:color="auto"/>
              <w:right w:val="nil"/>
            </w:tcBorders>
          </w:tcPr>
          <w:p w14:paraId="2F5DAAB0" w14:textId="2F40DFBA" w:rsidR="00806E12" w:rsidRPr="00143AC9" w:rsidRDefault="00806E12" w:rsidP="000565DE">
            <w:pPr>
              <w:pStyle w:val="A-TableText"/>
            </w:pPr>
            <w:r w:rsidRPr="00143AC9">
              <w:t>0.1%</w:t>
            </w:r>
          </w:p>
        </w:tc>
      </w:tr>
      <w:tr w:rsidR="00806E12" w:rsidRPr="00143AC9" w14:paraId="54C9F679" w14:textId="77777777" w:rsidTr="002838B1">
        <w:trPr>
          <w:cantSplit/>
          <w:tblHeader/>
        </w:trPr>
        <w:tc>
          <w:tcPr>
            <w:tcW w:w="1056" w:type="pct"/>
            <w:vMerge/>
            <w:tcBorders>
              <w:left w:val="nil"/>
              <w:right w:val="nil"/>
            </w:tcBorders>
          </w:tcPr>
          <w:p w14:paraId="73AB63FA" w14:textId="77777777" w:rsidR="00806E12" w:rsidRPr="00143AC9" w:rsidRDefault="00806E12" w:rsidP="000565DE">
            <w:pPr>
              <w:pStyle w:val="A-TableHeader"/>
            </w:pPr>
          </w:p>
        </w:tc>
        <w:tc>
          <w:tcPr>
            <w:tcW w:w="1010" w:type="pct"/>
            <w:tcBorders>
              <w:top w:val="single" w:sz="12" w:space="0" w:color="auto"/>
              <w:left w:val="nil"/>
              <w:bottom w:val="single" w:sz="4" w:space="0" w:color="auto"/>
              <w:right w:val="nil"/>
            </w:tcBorders>
          </w:tcPr>
          <w:p w14:paraId="11276290" w14:textId="77777777" w:rsidR="00806E12" w:rsidRPr="00143AC9" w:rsidRDefault="00806E12" w:rsidP="000565DE">
            <w:pPr>
              <w:pStyle w:val="A-TableText"/>
              <w:rPr>
                <w:lang w:val="en-US"/>
              </w:rPr>
            </w:pPr>
            <w:r w:rsidRPr="00143AC9">
              <w:rPr>
                <w:lang w:val="en-US"/>
              </w:rPr>
              <w:t>Paronychia</w:t>
            </w:r>
            <w:r w:rsidRPr="00143AC9">
              <w:rPr>
                <w:vertAlign w:val="superscript"/>
                <w:lang w:val="en-US"/>
              </w:rPr>
              <w:t>h</w:t>
            </w:r>
          </w:p>
        </w:tc>
        <w:tc>
          <w:tcPr>
            <w:tcW w:w="1750" w:type="pct"/>
            <w:tcBorders>
              <w:top w:val="single" w:sz="12" w:space="0" w:color="auto"/>
              <w:left w:val="nil"/>
              <w:bottom w:val="single" w:sz="12" w:space="0" w:color="auto"/>
              <w:right w:val="nil"/>
            </w:tcBorders>
          </w:tcPr>
          <w:p w14:paraId="2EFCE1CA" w14:textId="7FF98DC3" w:rsidR="00806E12" w:rsidRPr="00143AC9" w:rsidRDefault="00806E12" w:rsidP="000565DE">
            <w:pPr>
              <w:pStyle w:val="A-TableText"/>
            </w:pPr>
            <w:r w:rsidRPr="00143AC9">
              <w:t>Very common (31%)</w:t>
            </w:r>
          </w:p>
        </w:tc>
        <w:tc>
          <w:tcPr>
            <w:tcW w:w="1184" w:type="pct"/>
            <w:tcBorders>
              <w:top w:val="single" w:sz="12" w:space="0" w:color="auto"/>
              <w:left w:val="nil"/>
              <w:bottom w:val="single" w:sz="12" w:space="0" w:color="auto"/>
              <w:right w:val="nil"/>
            </w:tcBorders>
          </w:tcPr>
          <w:p w14:paraId="366ED40E" w14:textId="796CCD6D" w:rsidR="00806E12" w:rsidRPr="00143AC9" w:rsidRDefault="00806E12" w:rsidP="000565DE">
            <w:pPr>
              <w:pStyle w:val="A-TableText"/>
            </w:pPr>
            <w:r w:rsidRPr="00143AC9">
              <w:t>0.3%</w:t>
            </w:r>
          </w:p>
        </w:tc>
      </w:tr>
      <w:tr w:rsidR="00806E12" w:rsidRPr="00143AC9" w14:paraId="7D5C08F9" w14:textId="77777777" w:rsidTr="00184ECA">
        <w:trPr>
          <w:cantSplit/>
          <w:tblHeader/>
        </w:trPr>
        <w:tc>
          <w:tcPr>
            <w:tcW w:w="1056" w:type="pct"/>
            <w:vMerge/>
            <w:tcBorders>
              <w:left w:val="nil"/>
              <w:bottom w:val="single" w:sz="12" w:space="0" w:color="auto"/>
              <w:right w:val="nil"/>
            </w:tcBorders>
          </w:tcPr>
          <w:p w14:paraId="6301748B" w14:textId="77777777" w:rsidR="00806E12" w:rsidRPr="00143AC9" w:rsidRDefault="00806E12" w:rsidP="000565DE">
            <w:pPr>
              <w:pStyle w:val="A-TableHeader"/>
            </w:pPr>
          </w:p>
        </w:tc>
        <w:tc>
          <w:tcPr>
            <w:tcW w:w="1010" w:type="pct"/>
            <w:tcBorders>
              <w:top w:val="single" w:sz="12" w:space="0" w:color="auto"/>
              <w:left w:val="nil"/>
              <w:bottom w:val="single" w:sz="12" w:space="0" w:color="auto"/>
              <w:right w:val="nil"/>
            </w:tcBorders>
          </w:tcPr>
          <w:p w14:paraId="49E0EA9D" w14:textId="27B84A3B" w:rsidR="00806E12" w:rsidRPr="00143AC9" w:rsidRDefault="00806E12" w:rsidP="000565DE">
            <w:pPr>
              <w:pStyle w:val="A-TableText"/>
              <w:rPr>
                <w:lang w:val="en-US"/>
              </w:rPr>
            </w:pPr>
            <w:r w:rsidRPr="00143AC9">
              <w:rPr>
                <w:lang w:val="en-US"/>
              </w:rPr>
              <w:t>Pruritus</w:t>
            </w:r>
            <w:r w:rsidRPr="00143AC9">
              <w:rPr>
                <w:vertAlign w:val="superscript"/>
                <w:lang w:val="en-US"/>
              </w:rPr>
              <w:t>i</w:t>
            </w:r>
          </w:p>
        </w:tc>
        <w:tc>
          <w:tcPr>
            <w:tcW w:w="1750" w:type="pct"/>
            <w:tcBorders>
              <w:top w:val="single" w:sz="12" w:space="0" w:color="auto"/>
              <w:left w:val="nil"/>
              <w:bottom w:val="single" w:sz="12" w:space="0" w:color="auto"/>
              <w:right w:val="nil"/>
            </w:tcBorders>
          </w:tcPr>
          <w:p w14:paraId="54955503" w14:textId="28A93FAA" w:rsidR="00806E12" w:rsidRPr="00143AC9" w:rsidRDefault="00806E12" w:rsidP="000565DE">
            <w:pPr>
              <w:pStyle w:val="A-TableText"/>
            </w:pPr>
            <w:r w:rsidRPr="00143AC9">
              <w:t>Very common (17%)</w:t>
            </w:r>
          </w:p>
        </w:tc>
        <w:tc>
          <w:tcPr>
            <w:tcW w:w="1184" w:type="pct"/>
            <w:tcBorders>
              <w:top w:val="single" w:sz="12" w:space="0" w:color="auto"/>
              <w:left w:val="nil"/>
              <w:bottom w:val="single" w:sz="12" w:space="0" w:color="auto"/>
              <w:right w:val="nil"/>
            </w:tcBorders>
          </w:tcPr>
          <w:p w14:paraId="7FEB34F8" w14:textId="51DDF386" w:rsidR="00806E12" w:rsidRPr="00143AC9" w:rsidRDefault="00806E12" w:rsidP="000565DE">
            <w:pPr>
              <w:pStyle w:val="A-TableText"/>
            </w:pPr>
            <w:r w:rsidRPr="00143AC9">
              <w:t>0.1%</w:t>
            </w:r>
          </w:p>
        </w:tc>
      </w:tr>
      <w:tr w:rsidR="00806E12" w:rsidRPr="00143AC9" w14:paraId="3682D293" w14:textId="77777777" w:rsidTr="002838B1">
        <w:trPr>
          <w:cantSplit/>
          <w:trHeight w:val="593"/>
          <w:tblHeader/>
        </w:trPr>
        <w:tc>
          <w:tcPr>
            <w:tcW w:w="1056" w:type="pct"/>
            <w:tcBorders>
              <w:top w:val="single" w:sz="12" w:space="0" w:color="auto"/>
              <w:left w:val="nil"/>
              <w:bottom w:val="single" w:sz="12" w:space="0" w:color="auto"/>
              <w:right w:val="nil"/>
            </w:tcBorders>
          </w:tcPr>
          <w:p w14:paraId="53F41B15" w14:textId="77777777" w:rsidR="00806E12" w:rsidRPr="00143AC9" w:rsidRDefault="00806E12" w:rsidP="000565DE">
            <w:pPr>
              <w:pStyle w:val="A-TableHeader"/>
              <w:rPr>
                <w:szCs w:val="22"/>
                <w:lang w:val="sv-SE"/>
              </w:rPr>
            </w:pPr>
            <w:r w:rsidRPr="00143AC9">
              <w:rPr>
                <w:szCs w:val="22"/>
                <w:lang w:val="sv-SE"/>
              </w:rPr>
              <w:t>Investigations</w:t>
            </w:r>
          </w:p>
        </w:tc>
        <w:tc>
          <w:tcPr>
            <w:tcW w:w="1010" w:type="pct"/>
            <w:tcBorders>
              <w:top w:val="single" w:sz="12" w:space="0" w:color="auto"/>
              <w:left w:val="nil"/>
              <w:bottom w:val="single" w:sz="12" w:space="0" w:color="auto"/>
              <w:right w:val="nil"/>
            </w:tcBorders>
          </w:tcPr>
          <w:p w14:paraId="56BFC699" w14:textId="77777777" w:rsidR="00806E12" w:rsidRPr="00143AC9" w:rsidRDefault="00806E12" w:rsidP="000565DE">
            <w:pPr>
              <w:pStyle w:val="A-TableText"/>
              <w:rPr>
                <w:szCs w:val="22"/>
                <w:lang w:val="en-US"/>
              </w:rPr>
            </w:pPr>
            <w:r w:rsidRPr="00143AC9">
              <w:rPr>
                <w:szCs w:val="22"/>
                <w:lang w:val="sv-SE"/>
              </w:rPr>
              <w:t>QTc interval prolongation</w:t>
            </w:r>
            <w:r w:rsidRPr="00143AC9">
              <w:rPr>
                <w:szCs w:val="22"/>
                <w:vertAlign w:val="superscript"/>
                <w:lang w:val="en-US"/>
              </w:rPr>
              <w:t>j</w:t>
            </w:r>
          </w:p>
        </w:tc>
        <w:tc>
          <w:tcPr>
            <w:tcW w:w="2934" w:type="pct"/>
            <w:gridSpan w:val="2"/>
            <w:tcBorders>
              <w:top w:val="single" w:sz="12" w:space="0" w:color="auto"/>
              <w:left w:val="nil"/>
              <w:bottom w:val="single" w:sz="12" w:space="0" w:color="auto"/>
              <w:right w:val="nil"/>
            </w:tcBorders>
          </w:tcPr>
          <w:p w14:paraId="1632D0D9" w14:textId="71E8D8DB" w:rsidR="00806E12" w:rsidRPr="00143AC9" w:rsidDel="008B6846" w:rsidRDefault="00806E12" w:rsidP="000565DE">
            <w:pPr>
              <w:pStyle w:val="A-TableText"/>
              <w:rPr>
                <w:szCs w:val="22"/>
              </w:rPr>
            </w:pPr>
            <w:r w:rsidRPr="00143AC9">
              <w:rPr>
                <w:szCs w:val="22"/>
              </w:rPr>
              <w:t>Uncommon (0.9%)</w:t>
            </w:r>
          </w:p>
        </w:tc>
      </w:tr>
      <w:tr w:rsidR="00806E12" w:rsidRPr="00143AC9" w14:paraId="247E9D1F" w14:textId="77777777" w:rsidTr="002838B1">
        <w:trPr>
          <w:cantSplit/>
          <w:trHeight w:val="1313"/>
          <w:tblHeader/>
        </w:trPr>
        <w:tc>
          <w:tcPr>
            <w:tcW w:w="1056" w:type="pct"/>
            <w:tcBorders>
              <w:top w:val="single" w:sz="12" w:space="0" w:color="auto"/>
              <w:left w:val="nil"/>
              <w:right w:val="nil"/>
            </w:tcBorders>
          </w:tcPr>
          <w:p w14:paraId="53D51EA7" w14:textId="77777777" w:rsidR="00806E12" w:rsidRPr="00143AC9" w:rsidRDefault="00806E12" w:rsidP="000565DE">
            <w:pPr>
              <w:pStyle w:val="A-TableHeader"/>
            </w:pPr>
            <w:r w:rsidRPr="00143AC9">
              <w:t>Findings based on test results presented as CTCAE grade shifts</w:t>
            </w:r>
          </w:p>
        </w:tc>
        <w:tc>
          <w:tcPr>
            <w:tcW w:w="1010" w:type="pct"/>
            <w:tcBorders>
              <w:top w:val="single" w:sz="12" w:space="0" w:color="auto"/>
              <w:left w:val="nil"/>
              <w:bottom w:val="single" w:sz="12" w:space="0" w:color="auto"/>
              <w:right w:val="nil"/>
            </w:tcBorders>
          </w:tcPr>
          <w:p w14:paraId="3205D0EC" w14:textId="77777777" w:rsidR="00806E12" w:rsidRPr="00143AC9" w:rsidRDefault="00806E12" w:rsidP="000565DE">
            <w:pPr>
              <w:pStyle w:val="A-TableText"/>
            </w:pPr>
            <w:r w:rsidRPr="00143AC9">
              <w:t>Platelet count decreased</w:t>
            </w:r>
            <w:r w:rsidRPr="00143AC9">
              <w:rPr>
                <w:vertAlign w:val="superscript"/>
              </w:rPr>
              <w:t>f</w:t>
            </w:r>
          </w:p>
        </w:tc>
        <w:tc>
          <w:tcPr>
            <w:tcW w:w="1750" w:type="pct"/>
            <w:tcBorders>
              <w:top w:val="single" w:sz="12" w:space="0" w:color="auto"/>
              <w:left w:val="nil"/>
              <w:bottom w:val="single" w:sz="12" w:space="0" w:color="auto"/>
              <w:right w:val="nil"/>
            </w:tcBorders>
          </w:tcPr>
          <w:p w14:paraId="242CC8ED" w14:textId="77777777" w:rsidR="00806E12" w:rsidRPr="00143AC9" w:rsidRDefault="00806E12" w:rsidP="000565DE">
            <w:pPr>
              <w:pStyle w:val="A-TableText"/>
            </w:pPr>
            <w:r w:rsidRPr="00143AC9">
              <w:t>Very common (54%)</w:t>
            </w:r>
          </w:p>
        </w:tc>
        <w:tc>
          <w:tcPr>
            <w:tcW w:w="1184" w:type="pct"/>
            <w:tcBorders>
              <w:top w:val="single" w:sz="12" w:space="0" w:color="auto"/>
              <w:left w:val="nil"/>
              <w:bottom w:val="single" w:sz="12" w:space="0" w:color="auto"/>
              <w:right w:val="nil"/>
            </w:tcBorders>
          </w:tcPr>
          <w:p w14:paraId="6524E1BF" w14:textId="59791C9C" w:rsidR="00806E12" w:rsidRPr="00143AC9" w:rsidRDefault="00806E12" w:rsidP="000565DE">
            <w:pPr>
              <w:pStyle w:val="A-TableText"/>
            </w:pPr>
            <w:r w:rsidRPr="00143AC9">
              <w:t>1.6%</w:t>
            </w:r>
          </w:p>
          <w:p w14:paraId="52F53853" w14:textId="77777777" w:rsidR="00806E12" w:rsidRPr="00143AC9" w:rsidRDefault="00806E12" w:rsidP="000565DE">
            <w:pPr>
              <w:pStyle w:val="A-TableText"/>
            </w:pPr>
          </w:p>
        </w:tc>
      </w:tr>
      <w:tr w:rsidR="00806E12" w:rsidRPr="00143AC9" w14:paraId="5C3B783C" w14:textId="77777777" w:rsidTr="0095727B">
        <w:trPr>
          <w:cantSplit/>
          <w:trHeight w:val="676"/>
          <w:tblHeader/>
        </w:trPr>
        <w:tc>
          <w:tcPr>
            <w:tcW w:w="1056" w:type="pct"/>
            <w:tcBorders>
              <w:left w:val="nil"/>
              <w:right w:val="nil"/>
            </w:tcBorders>
          </w:tcPr>
          <w:p w14:paraId="285E875A" w14:textId="77777777" w:rsidR="00806E12" w:rsidRPr="00143AC9" w:rsidRDefault="00806E12" w:rsidP="000565DE">
            <w:pPr>
              <w:pStyle w:val="A-TableText"/>
            </w:pPr>
          </w:p>
        </w:tc>
        <w:tc>
          <w:tcPr>
            <w:tcW w:w="1010" w:type="pct"/>
            <w:tcBorders>
              <w:top w:val="single" w:sz="12" w:space="0" w:color="auto"/>
              <w:left w:val="nil"/>
              <w:bottom w:val="single" w:sz="12" w:space="0" w:color="auto"/>
              <w:right w:val="nil"/>
            </w:tcBorders>
          </w:tcPr>
          <w:p w14:paraId="4D7B6069" w14:textId="77777777" w:rsidR="00806E12" w:rsidRPr="00143AC9" w:rsidRDefault="00806E12" w:rsidP="000565DE">
            <w:pPr>
              <w:pStyle w:val="A-TableText"/>
            </w:pPr>
            <w:r w:rsidRPr="00143AC9">
              <w:t>Leukocytes decreased</w:t>
            </w:r>
            <w:r w:rsidRPr="00143AC9">
              <w:rPr>
                <w:vertAlign w:val="superscript"/>
              </w:rPr>
              <w:t>f</w:t>
            </w:r>
          </w:p>
        </w:tc>
        <w:tc>
          <w:tcPr>
            <w:tcW w:w="1750" w:type="pct"/>
            <w:tcBorders>
              <w:top w:val="single" w:sz="12" w:space="0" w:color="auto"/>
              <w:left w:val="nil"/>
              <w:bottom w:val="single" w:sz="12" w:space="0" w:color="auto"/>
              <w:right w:val="nil"/>
            </w:tcBorders>
          </w:tcPr>
          <w:p w14:paraId="112E7862" w14:textId="0D0EADE8" w:rsidR="00806E12" w:rsidRPr="00143AC9" w:rsidRDefault="00806E12" w:rsidP="000565DE">
            <w:pPr>
              <w:pStyle w:val="A-TableText"/>
            </w:pPr>
            <w:r w:rsidRPr="00143AC9">
              <w:t>Very common (68%)</w:t>
            </w:r>
          </w:p>
        </w:tc>
        <w:tc>
          <w:tcPr>
            <w:tcW w:w="1184" w:type="pct"/>
            <w:tcBorders>
              <w:top w:val="single" w:sz="12" w:space="0" w:color="auto"/>
              <w:left w:val="nil"/>
              <w:bottom w:val="single" w:sz="12" w:space="0" w:color="auto"/>
              <w:right w:val="nil"/>
            </w:tcBorders>
          </w:tcPr>
          <w:p w14:paraId="3ECD1215" w14:textId="5B85C412" w:rsidR="00806E12" w:rsidRPr="00143AC9" w:rsidRDefault="00806E12" w:rsidP="000565DE">
            <w:pPr>
              <w:pStyle w:val="A-TableText"/>
            </w:pPr>
            <w:r w:rsidRPr="00143AC9">
              <w:t>1.5%</w:t>
            </w:r>
          </w:p>
        </w:tc>
      </w:tr>
      <w:tr w:rsidR="00806E12" w:rsidRPr="00143AC9" w14:paraId="4364A682" w14:textId="77777777" w:rsidTr="0095727B">
        <w:trPr>
          <w:cantSplit/>
          <w:trHeight w:val="730"/>
          <w:tblHeader/>
        </w:trPr>
        <w:tc>
          <w:tcPr>
            <w:tcW w:w="1056" w:type="pct"/>
            <w:tcBorders>
              <w:left w:val="nil"/>
              <w:right w:val="nil"/>
            </w:tcBorders>
          </w:tcPr>
          <w:p w14:paraId="70807002" w14:textId="77777777" w:rsidR="00806E12" w:rsidRPr="00143AC9" w:rsidRDefault="00806E12" w:rsidP="000565DE">
            <w:pPr>
              <w:pStyle w:val="A-TableText"/>
            </w:pPr>
          </w:p>
        </w:tc>
        <w:tc>
          <w:tcPr>
            <w:tcW w:w="1010" w:type="pct"/>
            <w:tcBorders>
              <w:top w:val="single" w:sz="12" w:space="0" w:color="auto"/>
              <w:left w:val="nil"/>
              <w:bottom w:val="single" w:sz="12" w:space="0" w:color="auto"/>
              <w:right w:val="nil"/>
            </w:tcBorders>
          </w:tcPr>
          <w:p w14:paraId="0A55F13E" w14:textId="77777777" w:rsidR="00806E12" w:rsidRPr="00143AC9" w:rsidRDefault="00806E12" w:rsidP="000565DE">
            <w:pPr>
              <w:pStyle w:val="A-TableText"/>
            </w:pPr>
            <w:r w:rsidRPr="00143AC9">
              <w:rPr>
                <w:bCs/>
              </w:rPr>
              <w:t>Lymphocytes decreased</w:t>
            </w:r>
            <w:r w:rsidRPr="00143AC9">
              <w:rPr>
                <w:vertAlign w:val="superscript"/>
              </w:rPr>
              <w:t>f</w:t>
            </w:r>
          </w:p>
        </w:tc>
        <w:tc>
          <w:tcPr>
            <w:tcW w:w="1750" w:type="pct"/>
            <w:tcBorders>
              <w:top w:val="single" w:sz="12" w:space="0" w:color="auto"/>
              <w:left w:val="nil"/>
              <w:bottom w:val="single" w:sz="12" w:space="0" w:color="auto"/>
              <w:right w:val="nil"/>
            </w:tcBorders>
          </w:tcPr>
          <w:p w14:paraId="1E149C63" w14:textId="3190DD12" w:rsidR="00806E12" w:rsidRPr="00143AC9" w:rsidRDefault="00806E12" w:rsidP="000565DE">
            <w:pPr>
              <w:pStyle w:val="A-TableText"/>
            </w:pPr>
            <w:r w:rsidRPr="00143AC9">
              <w:t>Very common (67%)</w:t>
            </w:r>
          </w:p>
        </w:tc>
        <w:tc>
          <w:tcPr>
            <w:tcW w:w="1184" w:type="pct"/>
            <w:tcBorders>
              <w:top w:val="single" w:sz="12" w:space="0" w:color="auto"/>
              <w:left w:val="nil"/>
              <w:bottom w:val="single" w:sz="12" w:space="0" w:color="auto"/>
              <w:right w:val="nil"/>
            </w:tcBorders>
          </w:tcPr>
          <w:p w14:paraId="17C032AC" w14:textId="4E0EE704" w:rsidR="00806E12" w:rsidRPr="00143AC9" w:rsidRDefault="00806E12" w:rsidP="000565DE">
            <w:pPr>
              <w:pStyle w:val="A-TableText"/>
            </w:pPr>
            <w:r w:rsidRPr="00143AC9">
              <w:t>7.2%</w:t>
            </w:r>
          </w:p>
        </w:tc>
      </w:tr>
      <w:tr w:rsidR="00806E12" w:rsidRPr="00143AC9" w14:paraId="2EB94A91" w14:textId="77777777" w:rsidTr="0095727B">
        <w:trPr>
          <w:cantSplit/>
          <w:trHeight w:val="640"/>
          <w:tblHeader/>
        </w:trPr>
        <w:tc>
          <w:tcPr>
            <w:tcW w:w="1056" w:type="pct"/>
            <w:tcBorders>
              <w:left w:val="nil"/>
              <w:bottom w:val="single" w:sz="12" w:space="0" w:color="auto"/>
              <w:right w:val="nil"/>
            </w:tcBorders>
          </w:tcPr>
          <w:p w14:paraId="0754A1A5" w14:textId="77777777" w:rsidR="00806E12" w:rsidRPr="00143AC9" w:rsidRDefault="00806E12" w:rsidP="000565DE">
            <w:pPr>
              <w:pStyle w:val="A-TableText"/>
            </w:pPr>
          </w:p>
        </w:tc>
        <w:tc>
          <w:tcPr>
            <w:tcW w:w="1010" w:type="pct"/>
            <w:tcBorders>
              <w:top w:val="single" w:sz="12" w:space="0" w:color="auto"/>
              <w:left w:val="nil"/>
              <w:bottom w:val="single" w:sz="12" w:space="0" w:color="auto"/>
              <w:right w:val="nil"/>
            </w:tcBorders>
          </w:tcPr>
          <w:p w14:paraId="54C9F74E" w14:textId="77777777" w:rsidR="00806E12" w:rsidRPr="00143AC9" w:rsidRDefault="00806E12" w:rsidP="000565DE">
            <w:pPr>
              <w:pStyle w:val="A-TableText"/>
            </w:pPr>
            <w:r w:rsidRPr="00143AC9">
              <w:t>Neutrophils decreased</w:t>
            </w:r>
            <w:r w:rsidRPr="00143AC9">
              <w:rPr>
                <w:vertAlign w:val="superscript"/>
              </w:rPr>
              <w:t>f</w:t>
            </w:r>
          </w:p>
        </w:tc>
        <w:tc>
          <w:tcPr>
            <w:tcW w:w="1750" w:type="pct"/>
            <w:tcBorders>
              <w:top w:val="single" w:sz="12" w:space="0" w:color="auto"/>
              <w:left w:val="nil"/>
              <w:bottom w:val="single" w:sz="12" w:space="0" w:color="auto"/>
              <w:right w:val="nil"/>
            </w:tcBorders>
          </w:tcPr>
          <w:p w14:paraId="6321464C" w14:textId="462FA6B6" w:rsidR="00806E12" w:rsidRPr="00143AC9" w:rsidRDefault="00806E12" w:rsidP="000565DE">
            <w:pPr>
              <w:pStyle w:val="A-TableText"/>
            </w:pPr>
            <w:r w:rsidRPr="00143AC9">
              <w:t>Very common (35%)</w:t>
            </w:r>
          </w:p>
        </w:tc>
        <w:tc>
          <w:tcPr>
            <w:tcW w:w="1184" w:type="pct"/>
            <w:tcBorders>
              <w:top w:val="single" w:sz="12" w:space="0" w:color="auto"/>
              <w:left w:val="nil"/>
              <w:bottom w:val="single" w:sz="12" w:space="0" w:color="auto"/>
              <w:right w:val="nil"/>
            </w:tcBorders>
          </w:tcPr>
          <w:p w14:paraId="0E92BF15" w14:textId="28E9CB33" w:rsidR="00806E12" w:rsidRPr="00143AC9" w:rsidRDefault="00806E12" w:rsidP="000565DE">
            <w:pPr>
              <w:pStyle w:val="A-TableText"/>
            </w:pPr>
            <w:r w:rsidRPr="00143AC9">
              <w:t>4.1%</w:t>
            </w:r>
          </w:p>
        </w:tc>
      </w:tr>
    </w:tbl>
    <w:p w14:paraId="156E7086" w14:textId="0262BEA8" w:rsidR="00806E12" w:rsidRPr="00143AC9" w:rsidRDefault="00806E12" w:rsidP="0045667F">
      <w:pPr>
        <w:pStyle w:val="A-TableFootnoteText"/>
      </w:pPr>
      <w:r w:rsidRPr="00143AC9">
        <w:t>a</w:t>
      </w:r>
      <w:r w:rsidRPr="00143AC9">
        <w:tab/>
        <w:t>Data is cumulative from FLAURA and AURA (AURA3, AURAex, AURA2 and AURA1) studies; only events for patients receiving at least one dose of TAGRISSO as their randomised treatment are summarised.</w:t>
      </w:r>
    </w:p>
    <w:p w14:paraId="48DF81F9" w14:textId="77777777" w:rsidR="00806E12" w:rsidRPr="00143AC9" w:rsidRDefault="00806E12" w:rsidP="0045667F">
      <w:pPr>
        <w:pStyle w:val="A-TableFootnoteText"/>
      </w:pPr>
      <w:r w:rsidRPr="00143AC9">
        <w:t xml:space="preserve">b </w:t>
      </w:r>
      <w:r w:rsidRPr="00143AC9">
        <w:tab/>
        <w:t>National Cancer Institute Common Terminology Criteria for Adverse Events, version 4.0.</w:t>
      </w:r>
    </w:p>
    <w:p w14:paraId="4189F743" w14:textId="2138F20C" w:rsidR="00806E12" w:rsidRPr="00143AC9" w:rsidRDefault="00806E12" w:rsidP="0045667F">
      <w:pPr>
        <w:pStyle w:val="A-TableFootnoteText"/>
      </w:pPr>
      <w:r w:rsidRPr="00143AC9">
        <w:t xml:space="preserve">c </w:t>
      </w:r>
      <w:r w:rsidRPr="00143AC9">
        <w:tab/>
        <w:t>Includes cases reported within the clustered terms for rash AEs: Rash, rash generalised, rash erythematous, rash macular, rash maculo-papular, rash papular, rash pustular, rash pruritic, rash vesicular, rash follicular, rash maculovesicular, rash morbilliform, rash vesicular, rash follicular, acne pustular, erythema, folliculitis, eyelid folliculitis, acne, dermatitis acneiform, drug eruption, and skin erosion.</w:t>
      </w:r>
    </w:p>
    <w:p w14:paraId="64DF9BF4" w14:textId="19C16433" w:rsidR="00806E12" w:rsidRPr="00143AC9" w:rsidRDefault="00806E12" w:rsidP="0045667F">
      <w:pPr>
        <w:pStyle w:val="A-TableFootnoteText"/>
      </w:pPr>
      <w:r w:rsidRPr="00143AC9">
        <w:t>d</w:t>
      </w:r>
      <w:r w:rsidRPr="00143AC9">
        <w:tab/>
        <w:t>Includes cases reported within the clustered terms: Dry skin, skin fissures, xerosis, and eczema, xeroderma.</w:t>
      </w:r>
    </w:p>
    <w:p w14:paraId="716EDEF1" w14:textId="77777777" w:rsidR="00806E12" w:rsidRPr="00143AC9" w:rsidRDefault="00806E12" w:rsidP="0045667F">
      <w:pPr>
        <w:pStyle w:val="A-TableFootnoteText"/>
      </w:pPr>
      <w:r w:rsidRPr="00143AC9">
        <w:t>e</w:t>
      </w:r>
      <w:r w:rsidRPr="00143AC9">
        <w:tab/>
        <w:t>Includes cases reported within the clustered terms: Interstitial lung disease, lung disorder, p</w:t>
      </w:r>
      <w:r w:rsidRPr="00143AC9" w:rsidDel="00D76951">
        <w:t>neumon</w:t>
      </w:r>
      <w:r w:rsidRPr="00143AC9">
        <w:t>itis, diffuse alveolar damage, pulmonary fibrosis, alveolitis, i</w:t>
      </w:r>
      <w:r w:rsidRPr="00143AC9" w:rsidDel="00D76951">
        <w:t>diopa</w:t>
      </w:r>
      <w:r w:rsidRPr="00143AC9">
        <w:t>thic pulmonary fibrosis, acute interstitial p</w:t>
      </w:r>
      <w:r w:rsidRPr="00143AC9" w:rsidDel="00D76951">
        <w:t xml:space="preserve">neumonitis, and </w:t>
      </w:r>
      <w:r w:rsidRPr="00143AC9">
        <w:t>p</w:t>
      </w:r>
      <w:r w:rsidRPr="00143AC9" w:rsidDel="00D76951">
        <w:t xml:space="preserve">ulmonary </w:t>
      </w:r>
      <w:r w:rsidRPr="00143AC9">
        <w:t>t</w:t>
      </w:r>
      <w:r w:rsidRPr="00143AC9" w:rsidDel="00D76951">
        <w:t>oxicity.</w:t>
      </w:r>
    </w:p>
    <w:p w14:paraId="456BB4B1" w14:textId="77777777" w:rsidR="00806E12" w:rsidRPr="00143AC9" w:rsidRDefault="00806E12" w:rsidP="0045667F">
      <w:pPr>
        <w:pStyle w:val="A-TableFootnoteText"/>
      </w:pPr>
      <w:r w:rsidRPr="00143AC9">
        <w:t>f</w:t>
      </w:r>
      <w:r w:rsidRPr="00143AC9">
        <w:tab/>
        <w:t>Represents the incidence of laboratory findings, not of reported adverse events.</w:t>
      </w:r>
    </w:p>
    <w:p w14:paraId="4FFFCEEE" w14:textId="77777777" w:rsidR="00806E12" w:rsidRPr="00143AC9" w:rsidRDefault="00806E12" w:rsidP="0045667F">
      <w:pPr>
        <w:pStyle w:val="A-TableFootnoteText"/>
      </w:pPr>
      <w:r w:rsidRPr="00143AC9">
        <w:lastRenderedPageBreak/>
        <w:t>g</w:t>
      </w:r>
      <w:r w:rsidRPr="00143AC9">
        <w:tab/>
        <w:t>Includes cases reported within the clustered terms: Keratitis, punctate keratitis, corneal erosion, corneal epithelium defect, corneal defect.</w:t>
      </w:r>
    </w:p>
    <w:p w14:paraId="23B25821" w14:textId="49094D1C" w:rsidR="00806E12" w:rsidRPr="00143AC9" w:rsidRDefault="00806E12" w:rsidP="0045667F">
      <w:pPr>
        <w:pStyle w:val="A-TableFootnoteText"/>
      </w:pPr>
      <w:r w:rsidRPr="00143AC9">
        <w:t>h</w:t>
      </w:r>
      <w:r w:rsidRPr="00143AC9">
        <w:tab/>
        <w:t>Includes cases reported within the clustered terms: Nail bed disorders, nail bed inflammation, nail bed infection, nail discolouration, nail pigmentation, nail disorder, nail toxicity, nail dystrophy, nail infection, nail ridging, onychoclasis, onycholysis, onychomadesis, onychomalacia, paronychia.</w:t>
      </w:r>
    </w:p>
    <w:p w14:paraId="0BEBB166" w14:textId="77777777" w:rsidR="00806E12" w:rsidRPr="00143AC9" w:rsidRDefault="00806E12" w:rsidP="0045667F">
      <w:pPr>
        <w:pStyle w:val="A-TableFootnoteText"/>
      </w:pPr>
      <w:r w:rsidRPr="00143AC9">
        <w:t>i</w:t>
      </w:r>
      <w:r w:rsidRPr="00143AC9">
        <w:tab/>
        <w:t>Includes cases reported within the clustered terms: Pruritus, pruritus generalised, eyelid pruritus.</w:t>
      </w:r>
    </w:p>
    <w:p w14:paraId="6C014D80" w14:textId="77777777" w:rsidR="00806E12" w:rsidRPr="00143AC9" w:rsidRDefault="00806E12" w:rsidP="0045667F">
      <w:pPr>
        <w:pStyle w:val="A-TableFootnoteText"/>
      </w:pPr>
      <w:r w:rsidRPr="00143AC9">
        <w:t>j</w:t>
      </w:r>
      <w:r w:rsidRPr="00143AC9">
        <w:tab/>
        <w:t>Represents the incidence of patients who had a QTcF prolongation &gt;500msec.</w:t>
      </w:r>
    </w:p>
    <w:p w14:paraId="0907113A" w14:textId="2519BEE8" w:rsidR="00806E12" w:rsidRPr="00143AC9" w:rsidRDefault="00806E12" w:rsidP="0045667F">
      <w:pPr>
        <w:pStyle w:val="A-TableFootnoteText"/>
      </w:pPr>
      <w:r w:rsidRPr="00143AC9">
        <w:t>k</w:t>
      </w:r>
      <w:r w:rsidRPr="00143AC9">
        <w:tab/>
        <w:t>5 CTCAE grade 5 events (fatal) were reported.</w:t>
      </w:r>
    </w:p>
    <w:p w14:paraId="2FA999B6" w14:textId="77777777" w:rsidR="00D44926" w:rsidRPr="00143AC9" w:rsidRDefault="00D44926" w:rsidP="00D44926">
      <w:pPr>
        <w:rPr>
          <w:lang w:val="en-US"/>
        </w:rPr>
      </w:pPr>
    </w:p>
    <w:p w14:paraId="6F2C9CEF" w14:textId="05481176" w:rsidR="00806E12" w:rsidRPr="00143AC9" w:rsidRDefault="00806E12" w:rsidP="00D44926">
      <w:pPr>
        <w:pStyle w:val="A-TableTitle"/>
      </w:pPr>
      <w:r w:rsidRPr="00143AC9">
        <w:t xml:space="preserve">Table </w:t>
      </w:r>
      <w:r w:rsidR="00F308BB" w:rsidRPr="00143AC9">
        <w:t>3</w:t>
      </w:r>
      <w:r w:rsidRPr="00143AC9">
        <w:t>. Adverse reactions reported in FLAURA</w:t>
      </w:r>
      <w:r w:rsidRPr="00143AC9">
        <w:rPr>
          <w:vertAlign w:val="superscript"/>
        </w:rPr>
        <w:t>a</w:t>
      </w:r>
      <w:r w:rsidRPr="00143AC9">
        <w:t xml:space="preserv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932"/>
        <w:gridCol w:w="1828"/>
        <w:gridCol w:w="70"/>
        <w:gridCol w:w="1898"/>
        <w:gridCol w:w="1756"/>
        <w:gridCol w:w="72"/>
        <w:gridCol w:w="1686"/>
      </w:tblGrid>
      <w:tr w:rsidR="00806E12" w:rsidRPr="00143AC9" w14:paraId="0D9D8405" w14:textId="77777777" w:rsidTr="002838B1">
        <w:trPr>
          <w:cantSplit/>
          <w:trHeight w:val="1214"/>
          <w:tblHeader/>
        </w:trPr>
        <w:tc>
          <w:tcPr>
            <w:tcW w:w="1045" w:type="pct"/>
          </w:tcPr>
          <w:p w14:paraId="1D8D65E0" w14:textId="77777777" w:rsidR="00806E12" w:rsidRPr="00143AC9" w:rsidRDefault="00806E12" w:rsidP="005033BB">
            <w:pPr>
              <w:pStyle w:val="A-TableHeader"/>
              <w:jc w:val="center"/>
            </w:pPr>
            <w:r w:rsidRPr="00143AC9">
              <w:t>MedDRA SOC</w:t>
            </w:r>
          </w:p>
        </w:tc>
        <w:tc>
          <w:tcPr>
            <w:tcW w:w="2054" w:type="pct"/>
            <w:gridSpan w:val="3"/>
          </w:tcPr>
          <w:p w14:paraId="548A0F53" w14:textId="77777777" w:rsidR="00806E12" w:rsidRPr="00143AC9" w:rsidRDefault="00806E12" w:rsidP="005033BB">
            <w:pPr>
              <w:pStyle w:val="A-TableHeader"/>
              <w:jc w:val="center"/>
            </w:pPr>
            <w:r w:rsidRPr="00143AC9">
              <w:t>TAGRISSO</w:t>
            </w:r>
          </w:p>
          <w:p w14:paraId="4F7AD1E5" w14:textId="77777777" w:rsidR="00806E12" w:rsidRPr="00143AC9" w:rsidRDefault="00806E12" w:rsidP="005033BB">
            <w:pPr>
              <w:pStyle w:val="A-TableHeader"/>
              <w:jc w:val="center"/>
            </w:pPr>
            <w:r w:rsidRPr="00143AC9">
              <w:t>(N=279)</w:t>
            </w:r>
          </w:p>
        </w:tc>
        <w:tc>
          <w:tcPr>
            <w:tcW w:w="1901" w:type="pct"/>
            <w:gridSpan w:val="3"/>
          </w:tcPr>
          <w:p w14:paraId="35D329DD" w14:textId="77777777" w:rsidR="00806E12" w:rsidRPr="00143AC9" w:rsidRDefault="00806E12" w:rsidP="005033BB">
            <w:pPr>
              <w:pStyle w:val="A-TableHeader"/>
              <w:jc w:val="center"/>
            </w:pPr>
            <w:r w:rsidRPr="00143AC9">
              <w:t>EGFR TKI comparator</w:t>
            </w:r>
          </w:p>
          <w:p w14:paraId="00F9DDCD" w14:textId="77777777" w:rsidR="00806E12" w:rsidRPr="00143AC9" w:rsidRDefault="00806E12" w:rsidP="005033BB">
            <w:pPr>
              <w:pStyle w:val="A-TableHeader"/>
              <w:jc w:val="center"/>
            </w:pPr>
            <w:r w:rsidRPr="00143AC9">
              <w:t>(gefitinib or erlotinib)</w:t>
            </w:r>
          </w:p>
          <w:p w14:paraId="0CBEC523" w14:textId="77777777" w:rsidR="00806E12" w:rsidRPr="00143AC9" w:rsidRDefault="00806E12" w:rsidP="005033BB">
            <w:pPr>
              <w:pStyle w:val="A-TableHeader"/>
              <w:jc w:val="center"/>
            </w:pPr>
            <w:r w:rsidRPr="00143AC9">
              <w:t>(N=277)</w:t>
            </w:r>
          </w:p>
        </w:tc>
      </w:tr>
      <w:tr w:rsidR="00806E12" w:rsidRPr="00143AC9" w14:paraId="241D2FF9" w14:textId="77777777" w:rsidTr="002838B1">
        <w:trPr>
          <w:cantSplit/>
          <w:tblHeader/>
        </w:trPr>
        <w:tc>
          <w:tcPr>
            <w:tcW w:w="1045" w:type="pct"/>
          </w:tcPr>
          <w:p w14:paraId="6EDE6A8D" w14:textId="77777777" w:rsidR="00806E12" w:rsidRPr="00143AC9" w:rsidRDefault="00806E12" w:rsidP="005033BB">
            <w:pPr>
              <w:pStyle w:val="A-TableHeader"/>
              <w:jc w:val="center"/>
              <w:rPr>
                <w:lang w:val="en-US"/>
              </w:rPr>
            </w:pPr>
            <w:r w:rsidRPr="00143AC9">
              <w:t>NCI Grade</w:t>
            </w:r>
            <w:r w:rsidRPr="00143AC9">
              <w:rPr>
                <w:vertAlign w:val="superscript"/>
              </w:rPr>
              <w:t>b</w:t>
            </w:r>
          </w:p>
        </w:tc>
        <w:tc>
          <w:tcPr>
            <w:tcW w:w="989" w:type="pct"/>
          </w:tcPr>
          <w:p w14:paraId="65AA844A" w14:textId="4EEEF9FB" w:rsidR="00806E12" w:rsidRPr="00143AC9" w:rsidRDefault="00806E12" w:rsidP="005033BB">
            <w:pPr>
              <w:pStyle w:val="A-TableHeader"/>
              <w:jc w:val="center"/>
            </w:pPr>
            <w:r w:rsidRPr="00143AC9">
              <w:rPr>
                <w:lang w:val="en-US"/>
              </w:rPr>
              <w:t>Any Grade (%)</w:t>
            </w:r>
          </w:p>
        </w:tc>
        <w:tc>
          <w:tcPr>
            <w:tcW w:w="1065" w:type="pct"/>
            <w:gridSpan w:val="2"/>
          </w:tcPr>
          <w:p w14:paraId="59A2040A" w14:textId="77777777" w:rsidR="00806E12" w:rsidRPr="00143AC9" w:rsidRDefault="00806E12" w:rsidP="005033BB">
            <w:pPr>
              <w:pStyle w:val="A-TableHeader"/>
              <w:jc w:val="center"/>
            </w:pPr>
            <w:r w:rsidRPr="00143AC9">
              <w:rPr>
                <w:lang w:val="en-US"/>
              </w:rPr>
              <w:t>Grade 3 or higher (%)</w:t>
            </w:r>
          </w:p>
        </w:tc>
        <w:tc>
          <w:tcPr>
            <w:tcW w:w="989" w:type="pct"/>
            <w:gridSpan w:val="2"/>
          </w:tcPr>
          <w:p w14:paraId="3781E8D2" w14:textId="77777777" w:rsidR="00806E12" w:rsidRPr="00143AC9" w:rsidRDefault="00806E12" w:rsidP="005033BB">
            <w:pPr>
              <w:pStyle w:val="A-TableHeader"/>
              <w:jc w:val="center"/>
            </w:pPr>
            <w:r w:rsidRPr="00143AC9">
              <w:rPr>
                <w:lang w:val="en-US"/>
              </w:rPr>
              <w:t>Any Grade (%)</w:t>
            </w:r>
          </w:p>
        </w:tc>
        <w:tc>
          <w:tcPr>
            <w:tcW w:w="912" w:type="pct"/>
          </w:tcPr>
          <w:p w14:paraId="0DCD9D6E" w14:textId="77777777" w:rsidR="00806E12" w:rsidRPr="00143AC9" w:rsidRDefault="00806E12" w:rsidP="005033BB">
            <w:pPr>
              <w:pStyle w:val="A-TableHeader"/>
              <w:jc w:val="center"/>
            </w:pPr>
            <w:r w:rsidRPr="00143AC9">
              <w:rPr>
                <w:lang w:val="en-US"/>
              </w:rPr>
              <w:t>Grade 3 or higher (%)</w:t>
            </w:r>
          </w:p>
        </w:tc>
      </w:tr>
      <w:tr w:rsidR="00806E12" w:rsidRPr="00143AC9" w14:paraId="61EBCF2A" w14:textId="77777777" w:rsidTr="002838B1">
        <w:trPr>
          <w:cantSplit/>
          <w:tblHeader/>
        </w:trPr>
        <w:tc>
          <w:tcPr>
            <w:tcW w:w="5000" w:type="pct"/>
            <w:gridSpan w:val="7"/>
          </w:tcPr>
          <w:p w14:paraId="0EC620FA" w14:textId="77777777" w:rsidR="00806E12" w:rsidRPr="00143AC9" w:rsidRDefault="00806E12" w:rsidP="002838B1">
            <w:pPr>
              <w:pStyle w:val="A-TableHeader"/>
            </w:pPr>
            <w:r w:rsidRPr="00143AC9">
              <w:t>MedDRA Preferred Term</w:t>
            </w:r>
          </w:p>
        </w:tc>
      </w:tr>
      <w:tr w:rsidR="00806E12" w:rsidRPr="00143AC9" w14:paraId="36E56171" w14:textId="77777777" w:rsidTr="002838B1">
        <w:trPr>
          <w:cantSplit/>
        </w:trPr>
        <w:tc>
          <w:tcPr>
            <w:tcW w:w="5000" w:type="pct"/>
            <w:gridSpan w:val="7"/>
          </w:tcPr>
          <w:p w14:paraId="2E776EE0" w14:textId="42147F54" w:rsidR="00806E12" w:rsidRPr="00143AC9" w:rsidRDefault="00806E12" w:rsidP="002838B1">
            <w:pPr>
              <w:pStyle w:val="A-TableHeader"/>
            </w:pPr>
            <w:r w:rsidRPr="00143AC9">
              <w:rPr>
                <w:lang w:val="en-US"/>
              </w:rPr>
              <w:t>Respiratory, thoracic and mediastinal disorders</w:t>
            </w:r>
          </w:p>
        </w:tc>
      </w:tr>
      <w:tr w:rsidR="00806E12" w:rsidRPr="00143AC9" w14:paraId="2E077715" w14:textId="77777777" w:rsidTr="002838B1">
        <w:trPr>
          <w:cantSplit/>
        </w:trPr>
        <w:tc>
          <w:tcPr>
            <w:tcW w:w="1045" w:type="pct"/>
          </w:tcPr>
          <w:p w14:paraId="18D7EC44" w14:textId="77777777" w:rsidR="00806E12" w:rsidRPr="00143AC9" w:rsidRDefault="00806E12" w:rsidP="002838B1">
            <w:pPr>
              <w:pStyle w:val="A-TableText"/>
              <w:rPr>
                <w:b/>
                <w:lang w:val="sv-SE"/>
              </w:rPr>
            </w:pPr>
            <w:r w:rsidRPr="00143AC9">
              <w:t>Interstitial Lung Disease</w:t>
            </w:r>
            <w:r w:rsidRPr="00143AC9">
              <w:rPr>
                <w:vertAlign w:val="superscript"/>
              </w:rPr>
              <w:t>c</w:t>
            </w:r>
          </w:p>
        </w:tc>
        <w:tc>
          <w:tcPr>
            <w:tcW w:w="989" w:type="pct"/>
          </w:tcPr>
          <w:p w14:paraId="2E8FB9BB" w14:textId="77777777" w:rsidR="00806E12" w:rsidRPr="00143AC9" w:rsidRDefault="00806E12" w:rsidP="005C43EB">
            <w:pPr>
              <w:pStyle w:val="A-TableText"/>
              <w:jc w:val="center"/>
            </w:pPr>
            <w:r w:rsidRPr="00143AC9">
              <w:t>3.9</w:t>
            </w:r>
          </w:p>
        </w:tc>
        <w:tc>
          <w:tcPr>
            <w:tcW w:w="1065" w:type="pct"/>
            <w:gridSpan w:val="2"/>
          </w:tcPr>
          <w:p w14:paraId="5AD50A48" w14:textId="77777777" w:rsidR="00806E12" w:rsidRPr="00143AC9" w:rsidRDefault="00806E12" w:rsidP="005C43EB">
            <w:pPr>
              <w:pStyle w:val="A-TableText"/>
              <w:jc w:val="center"/>
            </w:pPr>
            <w:r w:rsidRPr="00143AC9">
              <w:t>1.1</w:t>
            </w:r>
          </w:p>
        </w:tc>
        <w:tc>
          <w:tcPr>
            <w:tcW w:w="989" w:type="pct"/>
            <w:gridSpan w:val="2"/>
          </w:tcPr>
          <w:p w14:paraId="39F853B5" w14:textId="77777777" w:rsidR="00806E12" w:rsidRPr="00143AC9" w:rsidRDefault="00806E12" w:rsidP="005C43EB">
            <w:pPr>
              <w:pStyle w:val="A-TableText"/>
              <w:jc w:val="center"/>
            </w:pPr>
            <w:r w:rsidRPr="00143AC9">
              <w:t>2.2</w:t>
            </w:r>
          </w:p>
        </w:tc>
        <w:tc>
          <w:tcPr>
            <w:tcW w:w="912" w:type="pct"/>
          </w:tcPr>
          <w:p w14:paraId="06B021A5" w14:textId="77777777" w:rsidR="00806E12" w:rsidRPr="00143AC9" w:rsidRDefault="00806E12" w:rsidP="005C43EB">
            <w:pPr>
              <w:pStyle w:val="A-TableText"/>
              <w:jc w:val="center"/>
            </w:pPr>
            <w:r w:rsidRPr="00143AC9">
              <w:t>1.4</w:t>
            </w:r>
          </w:p>
        </w:tc>
      </w:tr>
      <w:tr w:rsidR="00806E12" w:rsidRPr="00143AC9" w14:paraId="3C890168" w14:textId="77777777" w:rsidTr="002838B1">
        <w:trPr>
          <w:cantSplit/>
        </w:trPr>
        <w:tc>
          <w:tcPr>
            <w:tcW w:w="5000" w:type="pct"/>
            <w:gridSpan w:val="7"/>
          </w:tcPr>
          <w:p w14:paraId="6F7026AF" w14:textId="3A856A29" w:rsidR="00806E12" w:rsidRPr="00143AC9" w:rsidRDefault="00806E12" w:rsidP="005C43EB">
            <w:pPr>
              <w:pStyle w:val="A-TableHeader"/>
              <w:jc w:val="center"/>
            </w:pPr>
            <w:r w:rsidRPr="00143AC9">
              <w:t>Eye disorders</w:t>
            </w:r>
          </w:p>
        </w:tc>
      </w:tr>
      <w:tr w:rsidR="00806E12" w:rsidRPr="00143AC9" w14:paraId="436AD3C5" w14:textId="77777777" w:rsidTr="002838B1">
        <w:trPr>
          <w:cantSplit/>
        </w:trPr>
        <w:tc>
          <w:tcPr>
            <w:tcW w:w="1045" w:type="pct"/>
          </w:tcPr>
          <w:p w14:paraId="6F07DA1B" w14:textId="77777777" w:rsidR="00806E12" w:rsidRPr="00143AC9" w:rsidRDefault="00806E12" w:rsidP="002838B1">
            <w:pPr>
              <w:pStyle w:val="A-TableText"/>
            </w:pPr>
            <w:r w:rsidRPr="00143AC9">
              <w:t>Keratitis</w:t>
            </w:r>
            <w:r w:rsidRPr="00143AC9">
              <w:rPr>
                <w:vertAlign w:val="superscript"/>
              </w:rPr>
              <w:t xml:space="preserve">d </w:t>
            </w:r>
          </w:p>
        </w:tc>
        <w:tc>
          <w:tcPr>
            <w:tcW w:w="989" w:type="pct"/>
          </w:tcPr>
          <w:p w14:paraId="1B472A28" w14:textId="77777777" w:rsidR="00806E12" w:rsidRPr="00143AC9" w:rsidRDefault="00806E12" w:rsidP="005C43EB">
            <w:pPr>
              <w:pStyle w:val="A-TableText"/>
              <w:jc w:val="center"/>
            </w:pPr>
            <w:r w:rsidRPr="00143AC9">
              <w:t>0.4</w:t>
            </w:r>
          </w:p>
        </w:tc>
        <w:tc>
          <w:tcPr>
            <w:tcW w:w="1065" w:type="pct"/>
            <w:gridSpan w:val="2"/>
          </w:tcPr>
          <w:p w14:paraId="14290D30" w14:textId="77777777" w:rsidR="00806E12" w:rsidRPr="00143AC9" w:rsidRDefault="00806E12" w:rsidP="005C43EB">
            <w:pPr>
              <w:pStyle w:val="A-TableText"/>
              <w:jc w:val="center"/>
            </w:pPr>
            <w:r w:rsidRPr="00143AC9">
              <w:t>0</w:t>
            </w:r>
          </w:p>
        </w:tc>
        <w:tc>
          <w:tcPr>
            <w:tcW w:w="989" w:type="pct"/>
            <w:gridSpan w:val="2"/>
          </w:tcPr>
          <w:p w14:paraId="05EB96F3" w14:textId="77777777" w:rsidR="00806E12" w:rsidRPr="00143AC9" w:rsidRDefault="00806E12" w:rsidP="005C43EB">
            <w:pPr>
              <w:pStyle w:val="A-TableText"/>
              <w:jc w:val="center"/>
            </w:pPr>
            <w:r w:rsidRPr="00143AC9">
              <w:t>1.4</w:t>
            </w:r>
          </w:p>
        </w:tc>
        <w:tc>
          <w:tcPr>
            <w:tcW w:w="912" w:type="pct"/>
          </w:tcPr>
          <w:p w14:paraId="3A0A97B5" w14:textId="77777777" w:rsidR="00806E12" w:rsidRPr="00143AC9" w:rsidRDefault="00806E12" w:rsidP="005C43EB">
            <w:pPr>
              <w:pStyle w:val="A-TableText"/>
              <w:jc w:val="center"/>
            </w:pPr>
            <w:r w:rsidRPr="00143AC9">
              <w:t>0</w:t>
            </w:r>
          </w:p>
        </w:tc>
      </w:tr>
      <w:tr w:rsidR="00806E12" w:rsidRPr="00143AC9" w14:paraId="7C0B236B" w14:textId="77777777" w:rsidTr="002838B1">
        <w:trPr>
          <w:cantSplit/>
          <w:trHeight w:val="611"/>
        </w:trPr>
        <w:tc>
          <w:tcPr>
            <w:tcW w:w="5000" w:type="pct"/>
            <w:gridSpan w:val="7"/>
          </w:tcPr>
          <w:p w14:paraId="744AFE4F" w14:textId="5C97BE2B" w:rsidR="00806E12" w:rsidRPr="00143AC9" w:rsidRDefault="00806E12" w:rsidP="002838B1">
            <w:pPr>
              <w:pStyle w:val="A-TableHeader"/>
            </w:pPr>
            <w:r w:rsidRPr="00143AC9">
              <w:t>Gastrointestinal disorders</w:t>
            </w:r>
          </w:p>
        </w:tc>
      </w:tr>
      <w:tr w:rsidR="00806E12" w:rsidRPr="00143AC9" w14:paraId="306F0935" w14:textId="77777777" w:rsidTr="002838B1">
        <w:trPr>
          <w:cantSplit/>
        </w:trPr>
        <w:tc>
          <w:tcPr>
            <w:tcW w:w="1045" w:type="pct"/>
          </w:tcPr>
          <w:p w14:paraId="525AB07D" w14:textId="77777777" w:rsidR="00806E12" w:rsidRPr="00143AC9" w:rsidRDefault="00806E12" w:rsidP="002838B1">
            <w:pPr>
              <w:pStyle w:val="A-TableText"/>
              <w:rPr>
                <w:b/>
              </w:rPr>
            </w:pPr>
            <w:r w:rsidRPr="00143AC9">
              <w:t>Diarrhoea</w:t>
            </w:r>
            <w:r w:rsidRPr="00143AC9">
              <w:rPr>
                <w:vertAlign w:val="superscript"/>
              </w:rPr>
              <w:t>e</w:t>
            </w:r>
          </w:p>
        </w:tc>
        <w:tc>
          <w:tcPr>
            <w:tcW w:w="989" w:type="pct"/>
          </w:tcPr>
          <w:p w14:paraId="7C31858C" w14:textId="77777777" w:rsidR="00806E12" w:rsidRPr="00143AC9" w:rsidRDefault="00806E12" w:rsidP="005C43EB">
            <w:pPr>
              <w:pStyle w:val="A-TableText"/>
              <w:jc w:val="center"/>
            </w:pPr>
            <w:r w:rsidRPr="00143AC9">
              <w:t>58</w:t>
            </w:r>
          </w:p>
        </w:tc>
        <w:tc>
          <w:tcPr>
            <w:tcW w:w="1065" w:type="pct"/>
            <w:gridSpan w:val="2"/>
          </w:tcPr>
          <w:p w14:paraId="12DD3968" w14:textId="77777777" w:rsidR="00806E12" w:rsidRPr="00143AC9" w:rsidRDefault="00806E12" w:rsidP="005C43EB">
            <w:pPr>
              <w:pStyle w:val="A-TableText"/>
              <w:jc w:val="center"/>
            </w:pPr>
            <w:r w:rsidRPr="00143AC9">
              <w:t>2.2</w:t>
            </w:r>
          </w:p>
        </w:tc>
        <w:tc>
          <w:tcPr>
            <w:tcW w:w="989" w:type="pct"/>
            <w:gridSpan w:val="2"/>
          </w:tcPr>
          <w:p w14:paraId="4BF013D6" w14:textId="77777777" w:rsidR="00806E12" w:rsidRPr="00143AC9" w:rsidRDefault="00806E12" w:rsidP="005C43EB">
            <w:pPr>
              <w:pStyle w:val="A-TableText"/>
              <w:jc w:val="center"/>
            </w:pPr>
            <w:r w:rsidRPr="00143AC9">
              <w:t>57</w:t>
            </w:r>
          </w:p>
        </w:tc>
        <w:tc>
          <w:tcPr>
            <w:tcW w:w="912" w:type="pct"/>
          </w:tcPr>
          <w:p w14:paraId="5435D667" w14:textId="77777777" w:rsidR="00806E12" w:rsidRPr="00143AC9" w:rsidRDefault="00806E12" w:rsidP="005C43EB">
            <w:pPr>
              <w:pStyle w:val="A-TableText"/>
              <w:jc w:val="center"/>
            </w:pPr>
            <w:r w:rsidRPr="00143AC9">
              <w:t>2.5</w:t>
            </w:r>
          </w:p>
        </w:tc>
      </w:tr>
      <w:tr w:rsidR="00806E12" w:rsidRPr="00143AC9" w14:paraId="79F8C193" w14:textId="77777777" w:rsidTr="002838B1">
        <w:trPr>
          <w:cantSplit/>
        </w:trPr>
        <w:tc>
          <w:tcPr>
            <w:tcW w:w="1045" w:type="pct"/>
          </w:tcPr>
          <w:p w14:paraId="2EC0FD4A" w14:textId="77777777" w:rsidR="00806E12" w:rsidRPr="00143AC9" w:rsidRDefault="00806E12" w:rsidP="002838B1">
            <w:pPr>
              <w:pStyle w:val="A-TableText"/>
              <w:rPr>
                <w:b/>
              </w:rPr>
            </w:pPr>
            <w:r w:rsidRPr="00143AC9">
              <w:rPr>
                <w:lang w:val="en-US"/>
              </w:rPr>
              <w:t>Stomatitis</w:t>
            </w:r>
          </w:p>
        </w:tc>
        <w:tc>
          <w:tcPr>
            <w:tcW w:w="989" w:type="pct"/>
          </w:tcPr>
          <w:p w14:paraId="3CC1BADA" w14:textId="77777777" w:rsidR="00806E12" w:rsidRPr="00143AC9" w:rsidRDefault="00806E12" w:rsidP="005C43EB">
            <w:pPr>
              <w:pStyle w:val="A-TableText"/>
              <w:jc w:val="center"/>
            </w:pPr>
            <w:r w:rsidRPr="00143AC9">
              <w:t>29</w:t>
            </w:r>
          </w:p>
        </w:tc>
        <w:tc>
          <w:tcPr>
            <w:tcW w:w="1065" w:type="pct"/>
            <w:gridSpan w:val="2"/>
          </w:tcPr>
          <w:p w14:paraId="6F2A1529" w14:textId="77777777" w:rsidR="00806E12" w:rsidRPr="00143AC9" w:rsidRDefault="00806E12" w:rsidP="005C43EB">
            <w:pPr>
              <w:pStyle w:val="A-TableText"/>
              <w:jc w:val="center"/>
            </w:pPr>
            <w:r w:rsidRPr="00143AC9">
              <w:t>0.7</w:t>
            </w:r>
          </w:p>
        </w:tc>
        <w:tc>
          <w:tcPr>
            <w:tcW w:w="989" w:type="pct"/>
            <w:gridSpan w:val="2"/>
          </w:tcPr>
          <w:p w14:paraId="3C7AA92D" w14:textId="77777777" w:rsidR="00806E12" w:rsidRPr="00143AC9" w:rsidRDefault="00806E12" w:rsidP="005C43EB">
            <w:pPr>
              <w:pStyle w:val="A-TableText"/>
              <w:jc w:val="center"/>
            </w:pPr>
            <w:r w:rsidRPr="00143AC9">
              <w:t>20</w:t>
            </w:r>
          </w:p>
        </w:tc>
        <w:tc>
          <w:tcPr>
            <w:tcW w:w="912" w:type="pct"/>
          </w:tcPr>
          <w:p w14:paraId="48B8F0C0" w14:textId="77777777" w:rsidR="00806E12" w:rsidRPr="00143AC9" w:rsidRDefault="00806E12" w:rsidP="005C43EB">
            <w:pPr>
              <w:pStyle w:val="A-TableText"/>
              <w:jc w:val="center"/>
            </w:pPr>
            <w:r w:rsidRPr="00143AC9">
              <w:t>0.4</w:t>
            </w:r>
          </w:p>
        </w:tc>
      </w:tr>
      <w:tr w:rsidR="00806E12" w:rsidRPr="00143AC9" w14:paraId="12ABABF5" w14:textId="77777777" w:rsidTr="002838B1">
        <w:trPr>
          <w:cantSplit/>
          <w:trHeight w:val="539"/>
        </w:trPr>
        <w:tc>
          <w:tcPr>
            <w:tcW w:w="5000" w:type="pct"/>
            <w:gridSpan w:val="7"/>
          </w:tcPr>
          <w:p w14:paraId="57271DB6" w14:textId="50875978" w:rsidR="00806E12" w:rsidRPr="00143AC9" w:rsidRDefault="00806E12" w:rsidP="002838B1">
            <w:pPr>
              <w:pStyle w:val="A-TableHeader"/>
            </w:pPr>
            <w:r w:rsidRPr="00143AC9">
              <w:t>Skin and subcutaneous tissue disorders</w:t>
            </w:r>
          </w:p>
        </w:tc>
      </w:tr>
      <w:tr w:rsidR="00806E12" w:rsidRPr="00143AC9" w14:paraId="36649E5A" w14:textId="77777777" w:rsidTr="002838B1">
        <w:trPr>
          <w:cantSplit/>
          <w:trHeight w:val="327"/>
        </w:trPr>
        <w:tc>
          <w:tcPr>
            <w:tcW w:w="1045" w:type="pct"/>
          </w:tcPr>
          <w:p w14:paraId="5EF08B80" w14:textId="77777777" w:rsidR="00806E12" w:rsidRPr="00143AC9" w:rsidRDefault="00806E12" w:rsidP="002838B1">
            <w:pPr>
              <w:pStyle w:val="A-TableText"/>
            </w:pPr>
            <w:r w:rsidRPr="00143AC9">
              <w:t>Rash</w:t>
            </w:r>
            <w:r w:rsidRPr="00143AC9">
              <w:rPr>
                <w:vertAlign w:val="superscript"/>
              </w:rPr>
              <w:t>f</w:t>
            </w:r>
          </w:p>
        </w:tc>
        <w:tc>
          <w:tcPr>
            <w:tcW w:w="989" w:type="pct"/>
          </w:tcPr>
          <w:p w14:paraId="4D24A1DD" w14:textId="77777777" w:rsidR="00806E12" w:rsidRPr="00143AC9" w:rsidRDefault="00806E12" w:rsidP="005C43EB">
            <w:pPr>
              <w:pStyle w:val="A-TableText"/>
              <w:jc w:val="center"/>
            </w:pPr>
            <w:r w:rsidRPr="00143AC9">
              <w:t>58</w:t>
            </w:r>
          </w:p>
        </w:tc>
        <w:tc>
          <w:tcPr>
            <w:tcW w:w="1065" w:type="pct"/>
            <w:gridSpan w:val="2"/>
          </w:tcPr>
          <w:p w14:paraId="11627880" w14:textId="77777777" w:rsidR="00806E12" w:rsidRPr="00143AC9" w:rsidRDefault="00806E12" w:rsidP="005C43EB">
            <w:pPr>
              <w:pStyle w:val="A-TableText"/>
              <w:jc w:val="center"/>
            </w:pPr>
            <w:r w:rsidRPr="00143AC9">
              <w:t>1.1</w:t>
            </w:r>
          </w:p>
        </w:tc>
        <w:tc>
          <w:tcPr>
            <w:tcW w:w="989" w:type="pct"/>
            <w:gridSpan w:val="2"/>
          </w:tcPr>
          <w:p w14:paraId="09B5787B" w14:textId="77777777" w:rsidR="00806E12" w:rsidRPr="00143AC9" w:rsidRDefault="00806E12" w:rsidP="005C43EB">
            <w:pPr>
              <w:pStyle w:val="A-TableText"/>
              <w:jc w:val="center"/>
            </w:pPr>
            <w:r w:rsidRPr="00143AC9">
              <w:t>78</w:t>
            </w:r>
          </w:p>
        </w:tc>
        <w:tc>
          <w:tcPr>
            <w:tcW w:w="912" w:type="pct"/>
          </w:tcPr>
          <w:p w14:paraId="11DBC015" w14:textId="77777777" w:rsidR="00806E12" w:rsidRPr="00143AC9" w:rsidRDefault="00806E12" w:rsidP="005C43EB">
            <w:pPr>
              <w:pStyle w:val="A-TableText"/>
              <w:jc w:val="center"/>
            </w:pPr>
            <w:r w:rsidRPr="00143AC9">
              <w:t>6.9</w:t>
            </w:r>
          </w:p>
        </w:tc>
      </w:tr>
      <w:tr w:rsidR="00806E12" w:rsidRPr="00143AC9" w14:paraId="6EBF76B1" w14:textId="77777777" w:rsidTr="002838B1">
        <w:trPr>
          <w:cantSplit/>
          <w:trHeight w:val="327"/>
        </w:trPr>
        <w:tc>
          <w:tcPr>
            <w:tcW w:w="1045" w:type="pct"/>
          </w:tcPr>
          <w:p w14:paraId="4D1BA96D" w14:textId="77777777" w:rsidR="00806E12" w:rsidRPr="00143AC9" w:rsidRDefault="00806E12" w:rsidP="002838B1">
            <w:pPr>
              <w:pStyle w:val="A-TableText"/>
            </w:pPr>
            <w:r w:rsidRPr="00143AC9">
              <w:t>Dry skin</w:t>
            </w:r>
            <w:r w:rsidRPr="00143AC9">
              <w:rPr>
                <w:vertAlign w:val="superscript"/>
              </w:rPr>
              <w:t>g</w:t>
            </w:r>
          </w:p>
        </w:tc>
        <w:tc>
          <w:tcPr>
            <w:tcW w:w="989" w:type="pct"/>
          </w:tcPr>
          <w:p w14:paraId="393FA66C" w14:textId="77777777" w:rsidR="00806E12" w:rsidRPr="00143AC9" w:rsidRDefault="00806E12" w:rsidP="005C43EB">
            <w:pPr>
              <w:pStyle w:val="A-TableText"/>
              <w:jc w:val="center"/>
            </w:pPr>
            <w:r w:rsidRPr="00143AC9">
              <w:t>36</w:t>
            </w:r>
          </w:p>
        </w:tc>
        <w:tc>
          <w:tcPr>
            <w:tcW w:w="1065" w:type="pct"/>
            <w:gridSpan w:val="2"/>
          </w:tcPr>
          <w:p w14:paraId="59E03F52" w14:textId="77777777" w:rsidR="00806E12" w:rsidRPr="00143AC9" w:rsidRDefault="00806E12" w:rsidP="005C43EB">
            <w:pPr>
              <w:pStyle w:val="A-TableText"/>
              <w:jc w:val="center"/>
            </w:pPr>
            <w:r w:rsidRPr="00143AC9">
              <w:t>0.4</w:t>
            </w:r>
          </w:p>
        </w:tc>
        <w:tc>
          <w:tcPr>
            <w:tcW w:w="989" w:type="pct"/>
            <w:gridSpan w:val="2"/>
          </w:tcPr>
          <w:p w14:paraId="0AEA0E93" w14:textId="77777777" w:rsidR="00806E12" w:rsidRPr="00143AC9" w:rsidRDefault="00806E12" w:rsidP="005C43EB">
            <w:pPr>
              <w:pStyle w:val="A-TableText"/>
              <w:jc w:val="center"/>
            </w:pPr>
            <w:r w:rsidRPr="00143AC9">
              <w:t>36</w:t>
            </w:r>
          </w:p>
        </w:tc>
        <w:tc>
          <w:tcPr>
            <w:tcW w:w="912" w:type="pct"/>
          </w:tcPr>
          <w:p w14:paraId="503DD273" w14:textId="77777777" w:rsidR="00806E12" w:rsidRPr="00143AC9" w:rsidRDefault="00806E12" w:rsidP="005C43EB">
            <w:pPr>
              <w:pStyle w:val="A-TableText"/>
              <w:jc w:val="center"/>
            </w:pPr>
            <w:r w:rsidRPr="00143AC9">
              <w:t>1.1</w:t>
            </w:r>
          </w:p>
        </w:tc>
      </w:tr>
      <w:tr w:rsidR="00806E12" w:rsidRPr="00143AC9" w14:paraId="31829CFD" w14:textId="77777777" w:rsidTr="002838B1">
        <w:trPr>
          <w:cantSplit/>
          <w:trHeight w:val="327"/>
        </w:trPr>
        <w:tc>
          <w:tcPr>
            <w:tcW w:w="1045" w:type="pct"/>
          </w:tcPr>
          <w:p w14:paraId="42395A3D" w14:textId="77777777" w:rsidR="00806E12" w:rsidRPr="00143AC9" w:rsidRDefault="00806E12" w:rsidP="002838B1">
            <w:pPr>
              <w:pStyle w:val="A-TableText"/>
            </w:pPr>
            <w:r w:rsidRPr="00143AC9">
              <w:t>Paronychia</w:t>
            </w:r>
            <w:r w:rsidRPr="00143AC9">
              <w:rPr>
                <w:vertAlign w:val="superscript"/>
              </w:rPr>
              <w:t>h</w:t>
            </w:r>
          </w:p>
        </w:tc>
        <w:tc>
          <w:tcPr>
            <w:tcW w:w="989" w:type="pct"/>
          </w:tcPr>
          <w:p w14:paraId="2D47AC67" w14:textId="77777777" w:rsidR="00806E12" w:rsidRPr="00143AC9" w:rsidRDefault="00806E12" w:rsidP="005C43EB">
            <w:pPr>
              <w:pStyle w:val="A-TableText"/>
              <w:jc w:val="center"/>
            </w:pPr>
            <w:r w:rsidRPr="00143AC9">
              <w:t>35</w:t>
            </w:r>
          </w:p>
        </w:tc>
        <w:tc>
          <w:tcPr>
            <w:tcW w:w="1065" w:type="pct"/>
            <w:gridSpan w:val="2"/>
          </w:tcPr>
          <w:p w14:paraId="31ADC7E1" w14:textId="77777777" w:rsidR="00806E12" w:rsidRPr="00143AC9" w:rsidRDefault="00806E12" w:rsidP="005C43EB">
            <w:pPr>
              <w:pStyle w:val="A-TableText"/>
              <w:jc w:val="center"/>
            </w:pPr>
            <w:r w:rsidRPr="00143AC9">
              <w:t>0.4</w:t>
            </w:r>
          </w:p>
        </w:tc>
        <w:tc>
          <w:tcPr>
            <w:tcW w:w="989" w:type="pct"/>
            <w:gridSpan w:val="2"/>
          </w:tcPr>
          <w:p w14:paraId="72D9E21F" w14:textId="77777777" w:rsidR="00806E12" w:rsidRPr="00143AC9" w:rsidRDefault="00806E12" w:rsidP="005C43EB">
            <w:pPr>
              <w:pStyle w:val="A-TableText"/>
              <w:jc w:val="center"/>
            </w:pPr>
            <w:r w:rsidRPr="00143AC9">
              <w:t>33</w:t>
            </w:r>
          </w:p>
        </w:tc>
        <w:tc>
          <w:tcPr>
            <w:tcW w:w="912" w:type="pct"/>
          </w:tcPr>
          <w:p w14:paraId="2BC4A1DE" w14:textId="77777777" w:rsidR="00806E12" w:rsidRPr="00143AC9" w:rsidRDefault="00806E12" w:rsidP="005C43EB">
            <w:pPr>
              <w:pStyle w:val="A-TableText"/>
              <w:jc w:val="center"/>
            </w:pPr>
            <w:r w:rsidRPr="00143AC9">
              <w:t>0.7</w:t>
            </w:r>
          </w:p>
        </w:tc>
      </w:tr>
      <w:tr w:rsidR="00806E12" w:rsidRPr="00143AC9" w14:paraId="24C61AC0" w14:textId="77777777" w:rsidTr="002838B1">
        <w:trPr>
          <w:cantSplit/>
          <w:trHeight w:val="327"/>
        </w:trPr>
        <w:tc>
          <w:tcPr>
            <w:tcW w:w="1045" w:type="pct"/>
          </w:tcPr>
          <w:p w14:paraId="7ACD597E" w14:textId="77777777" w:rsidR="00806E12" w:rsidRPr="00143AC9" w:rsidRDefault="00806E12" w:rsidP="002838B1">
            <w:pPr>
              <w:pStyle w:val="A-TableText"/>
            </w:pPr>
            <w:r w:rsidRPr="00143AC9">
              <w:t>Pruritus</w:t>
            </w:r>
            <w:r w:rsidRPr="00143AC9">
              <w:rPr>
                <w:vertAlign w:val="superscript"/>
              </w:rPr>
              <w:t>i</w:t>
            </w:r>
          </w:p>
        </w:tc>
        <w:tc>
          <w:tcPr>
            <w:tcW w:w="989" w:type="pct"/>
          </w:tcPr>
          <w:p w14:paraId="32EF30D5" w14:textId="77777777" w:rsidR="00806E12" w:rsidRPr="00143AC9" w:rsidRDefault="00806E12" w:rsidP="005C43EB">
            <w:pPr>
              <w:pStyle w:val="A-TableText"/>
              <w:jc w:val="center"/>
            </w:pPr>
            <w:r w:rsidRPr="00143AC9">
              <w:t>17</w:t>
            </w:r>
          </w:p>
        </w:tc>
        <w:tc>
          <w:tcPr>
            <w:tcW w:w="1065" w:type="pct"/>
            <w:gridSpan w:val="2"/>
          </w:tcPr>
          <w:p w14:paraId="1D31312D" w14:textId="77777777" w:rsidR="00806E12" w:rsidRPr="00143AC9" w:rsidRDefault="00806E12" w:rsidP="005C43EB">
            <w:pPr>
              <w:pStyle w:val="A-TableText"/>
              <w:jc w:val="center"/>
            </w:pPr>
            <w:r w:rsidRPr="00143AC9">
              <w:t>0.4</w:t>
            </w:r>
          </w:p>
        </w:tc>
        <w:tc>
          <w:tcPr>
            <w:tcW w:w="989" w:type="pct"/>
            <w:gridSpan w:val="2"/>
          </w:tcPr>
          <w:p w14:paraId="03383E01" w14:textId="77777777" w:rsidR="00806E12" w:rsidRPr="00143AC9" w:rsidRDefault="00806E12" w:rsidP="005C43EB">
            <w:pPr>
              <w:pStyle w:val="A-TableText"/>
              <w:jc w:val="center"/>
            </w:pPr>
            <w:r w:rsidRPr="00143AC9">
              <w:t>17</w:t>
            </w:r>
          </w:p>
        </w:tc>
        <w:tc>
          <w:tcPr>
            <w:tcW w:w="912" w:type="pct"/>
          </w:tcPr>
          <w:p w14:paraId="1FAF57C0" w14:textId="77777777" w:rsidR="00806E12" w:rsidRPr="00143AC9" w:rsidRDefault="00806E12" w:rsidP="005C43EB">
            <w:pPr>
              <w:pStyle w:val="A-TableText"/>
              <w:jc w:val="center"/>
            </w:pPr>
            <w:r w:rsidRPr="00143AC9">
              <w:t>0</w:t>
            </w:r>
          </w:p>
        </w:tc>
      </w:tr>
      <w:tr w:rsidR="00806E12" w:rsidRPr="00143AC9" w14:paraId="28EFB533" w14:textId="77777777" w:rsidTr="002838B1">
        <w:trPr>
          <w:cantSplit/>
          <w:trHeight w:val="327"/>
        </w:trPr>
        <w:tc>
          <w:tcPr>
            <w:tcW w:w="5000" w:type="pct"/>
            <w:gridSpan w:val="7"/>
          </w:tcPr>
          <w:p w14:paraId="5EFCF27E" w14:textId="77777777" w:rsidR="00806E12" w:rsidRPr="00143AC9" w:rsidRDefault="00806E12" w:rsidP="002838B1">
            <w:pPr>
              <w:pStyle w:val="A-TableHeader"/>
            </w:pPr>
            <w:r w:rsidRPr="00143AC9">
              <w:t xml:space="preserve">Investigations </w:t>
            </w:r>
          </w:p>
        </w:tc>
      </w:tr>
      <w:tr w:rsidR="00806E12" w:rsidRPr="00143AC9" w14:paraId="146BABA1" w14:textId="77777777" w:rsidTr="002838B1">
        <w:trPr>
          <w:cantSplit/>
          <w:trHeight w:val="436"/>
        </w:trPr>
        <w:tc>
          <w:tcPr>
            <w:tcW w:w="1045" w:type="pct"/>
          </w:tcPr>
          <w:p w14:paraId="0F072ECF" w14:textId="78B32C38" w:rsidR="00806E12" w:rsidRPr="00143AC9" w:rsidRDefault="00806E12" w:rsidP="002838B1">
            <w:pPr>
              <w:pStyle w:val="A-TableText"/>
              <w:rPr>
                <w:lang w:val="en-US"/>
              </w:rPr>
            </w:pPr>
            <w:r w:rsidRPr="00143AC9">
              <w:t>QTc interval prolongation</w:t>
            </w:r>
            <w:r w:rsidRPr="00143AC9">
              <w:rPr>
                <w:vertAlign w:val="superscript"/>
                <w:lang w:val="en-US"/>
              </w:rPr>
              <w:t xml:space="preserve">j, </w:t>
            </w:r>
          </w:p>
        </w:tc>
        <w:tc>
          <w:tcPr>
            <w:tcW w:w="2054" w:type="pct"/>
            <w:gridSpan w:val="3"/>
          </w:tcPr>
          <w:p w14:paraId="219B8767" w14:textId="77777777" w:rsidR="00806E12" w:rsidRPr="00143AC9" w:rsidRDefault="00806E12" w:rsidP="005C43EB">
            <w:pPr>
              <w:pStyle w:val="A-TableText"/>
              <w:jc w:val="center"/>
            </w:pPr>
            <w:r w:rsidRPr="00143AC9">
              <w:t>1.1</w:t>
            </w:r>
          </w:p>
        </w:tc>
        <w:tc>
          <w:tcPr>
            <w:tcW w:w="1901" w:type="pct"/>
            <w:gridSpan w:val="3"/>
          </w:tcPr>
          <w:p w14:paraId="66A649D7" w14:textId="77777777" w:rsidR="00806E12" w:rsidRPr="00143AC9" w:rsidRDefault="00806E12" w:rsidP="005C43EB">
            <w:pPr>
              <w:pStyle w:val="A-TableText"/>
              <w:jc w:val="center"/>
            </w:pPr>
            <w:r w:rsidRPr="00143AC9">
              <w:t>0.7</w:t>
            </w:r>
          </w:p>
        </w:tc>
      </w:tr>
      <w:tr w:rsidR="00806E12" w:rsidRPr="00143AC9" w14:paraId="0936E4B5" w14:textId="77777777" w:rsidTr="002838B1">
        <w:trPr>
          <w:cantSplit/>
          <w:trHeight w:val="436"/>
        </w:trPr>
        <w:tc>
          <w:tcPr>
            <w:tcW w:w="5000" w:type="pct"/>
            <w:gridSpan w:val="7"/>
          </w:tcPr>
          <w:p w14:paraId="01A3EFE5" w14:textId="171AC5E1" w:rsidR="00806E12" w:rsidRPr="00143AC9" w:rsidRDefault="00806E12" w:rsidP="002838B1">
            <w:pPr>
              <w:keepNext/>
              <w:rPr>
                <w:sz w:val="22"/>
              </w:rPr>
            </w:pPr>
            <w:r w:rsidRPr="00143AC9">
              <w:rPr>
                <w:b/>
                <w:sz w:val="22"/>
                <w:lang w:val="en-US"/>
              </w:rPr>
              <w:t xml:space="preserve"> (Findings based on test results presented as </w:t>
            </w:r>
            <w:r w:rsidRPr="00143AC9">
              <w:rPr>
                <w:b/>
                <w:sz w:val="22"/>
              </w:rPr>
              <w:t>CTCAE grade shifts</w:t>
            </w:r>
            <w:r w:rsidRPr="00143AC9">
              <w:rPr>
                <w:b/>
                <w:sz w:val="22"/>
                <w:lang w:val="en-US"/>
              </w:rPr>
              <w:t>)</w:t>
            </w:r>
          </w:p>
        </w:tc>
      </w:tr>
      <w:tr w:rsidR="00806E12" w:rsidRPr="00143AC9" w14:paraId="5BA89104" w14:textId="77777777" w:rsidTr="002838B1">
        <w:trPr>
          <w:cantSplit/>
          <w:trHeight w:val="436"/>
        </w:trPr>
        <w:tc>
          <w:tcPr>
            <w:tcW w:w="1045" w:type="pct"/>
          </w:tcPr>
          <w:p w14:paraId="19F0B64B" w14:textId="77777777" w:rsidR="00806E12" w:rsidRPr="00143AC9" w:rsidRDefault="00806E12" w:rsidP="002838B1">
            <w:pPr>
              <w:pStyle w:val="A-TableText"/>
              <w:rPr>
                <w:lang w:val="sv-SE"/>
              </w:rPr>
            </w:pPr>
            <w:r w:rsidRPr="00143AC9">
              <w:t>Platelet count decreased</w:t>
            </w:r>
            <w:r w:rsidRPr="00143AC9">
              <w:rPr>
                <w:vertAlign w:val="superscript"/>
              </w:rPr>
              <w:t>k</w:t>
            </w:r>
          </w:p>
        </w:tc>
        <w:tc>
          <w:tcPr>
            <w:tcW w:w="1027" w:type="pct"/>
            <w:gridSpan w:val="2"/>
          </w:tcPr>
          <w:p w14:paraId="428E259D" w14:textId="77777777" w:rsidR="00806E12" w:rsidRPr="00143AC9" w:rsidRDefault="00806E12" w:rsidP="005C43EB">
            <w:pPr>
              <w:pStyle w:val="A-TableText"/>
              <w:jc w:val="center"/>
            </w:pPr>
            <w:r w:rsidRPr="00143AC9">
              <w:t>51</w:t>
            </w:r>
          </w:p>
        </w:tc>
        <w:tc>
          <w:tcPr>
            <w:tcW w:w="1027" w:type="pct"/>
          </w:tcPr>
          <w:p w14:paraId="6245C95E" w14:textId="77777777" w:rsidR="00806E12" w:rsidRPr="00143AC9" w:rsidRDefault="00806E12" w:rsidP="005C43EB">
            <w:pPr>
              <w:pStyle w:val="A-TableText"/>
              <w:jc w:val="center"/>
            </w:pPr>
            <w:r w:rsidRPr="00143AC9">
              <w:t>0.7</w:t>
            </w:r>
          </w:p>
        </w:tc>
        <w:tc>
          <w:tcPr>
            <w:tcW w:w="950" w:type="pct"/>
          </w:tcPr>
          <w:p w14:paraId="2A4B0EB1" w14:textId="77777777" w:rsidR="00806E12" w:rsidRPr="00143AC9" w:rsidRDefault="00806E12" w:rsidP="005C43EB">
            <w:pPr>
              <w:pStyle w:val="A-TableText"/>
              <w:jc w:val="center"/>
            </w:pPr>
            <w:r w:rsidRPr="00143AC9">
              <w:t>12</w:t>
            </w:r>
          </w:p>
        </w:tc>
        <w:tc>
          <w:tcPr>
            <w:tcW w:w="951" w:type="pct"/>
            <w:gridSpan w:val="2"/>
          </w:tcPr>
          <w:p w14:paraId="1C7F533A" w14:textId="77777777" w:rsidR="00806E12" w:rsidRPr="00143AC9" w:rsidRDefault="00806E12" w:rsidP="005C43EB">
            <w:pPr>
              <w:pStyle w:val="A-TableText"/>
              <w:jc w:val="center"/>
            </w:pPr>
            <w:r w:rsidRPr="00143AC9">
              <w:t>0.4</w:t>
            </w:r>
          </w:p>
        </w:tc>
      </w:tr>
      <w:tr w:rsidR="00806E12" w:rsidRPr="00143AC9" w14:paraId="3FE9D49A" w14:textId="77777777" w:rsidTr="002838B1">
        <w:trPr>
          <w:cantSplit/>
          <w:trHeight w:val="436"/>
        </w:trPr>
        <w:tc>
          <w:tcPr>
            <w:tcW w:w="1045" w:type="pct"/>
          </w:tcPr>
          <w:p w14:paraId="6CD02217" w14:textId="77777777" w:rsidR="00806E12" w:rsidRPr="00143AC9" w:rsidRDefault="00806E12" w:rsidP="002838B1">
            <w:pPr>
              <w:pStyle w:val="A-TableText"/>
              <w:rPr>
                <w:lang w:val="sv-SE"/>
              </w:rPr>
            </w:pPr>
            <w:r w:rsidRPr="00143AC9">
              <w:lastRenderedPageBreak/>
              <w:t>Leukocytes decreased</w:t>
            </w:r>
            <w:r w:rsidRPr="00143AC9">
              <w:rPr>
                <w:vertAlign w:val="superscript"/>
              </w:rPr>
              <w:t>k</w:t>
            </w:r>
          </w:p>
        </w:tc>
        <w:tc>
          <w:tcPr>
            <w:tcW w:w="1027" w:type="pct"/>
            <w:gridSpan w:val="2"/>
          </w:tcPr>
          <w:p w14:paraId="07B8ABD1" w14:textId="77777777" w:rsidR="00806E12" w:rsidRPr="00143AC9" w:rsidRDefault="00806E12" w:rsidP="005C43EB">
            <w:pPr>
              <w:pStyle w:val="A-TableText"/>
              <w:jc w:val="center"/>
            </w:pPr>
            <w:r w:rsidRPr="00143AC9">
              <w:t>72</w:t>
            </w:r>
          </w:p>
        </w:tc>
        <w:tc>
          <w:tcPr>
            <w:tcW w:w="1027" w:type="pct"/>
          </w:tcPr>
          <w:p w14:paraId="52A43449" w14:textId="77777777" w:rsidR="00806E12" w:rsidRPr="00143AC9" w:rsidRDefault="00806E12" w:rsidP="005C43EB">
            <w:pPr>
              <w:pStyle w:val="A-TableText"/>
              <w:jc w:val="center"/>
            </w:pPr>
            <w:r w:rsidRPr="00143AC9">
              <w:t>0.4</w:t>
            </w:r>
          </w:p>
        </w:tc>
        <w:tc>
          <w:tcPr>
            <w:tcW w:w="950" w:type="pct"/>
          </w:tcPr>
          <w:p w14:paraId="0076B9AD" w14:textId="77777777" w:rsidR="00806E12" w:rsidRPr="00143AC9" w:rsidRDefault="00806E12" w:rsidP="005C43EB">
            <w:pPr>
              <w:pStyle w:val="A-TableText"/>
              <w:jc w:val="center"/>
            </w:pPr>
            <w:r w:rsidRPr="00143AC9">
              <w:t>31</w:t>
            </w:r>
          </w:p>
        </w:tc>
        <w:tc>
          <w:tcPr>
            <w:tcW w:w="951" w:type="pct"/>
            <w:gridSpan w:val="2"/>
          </w:tcPr>
          <w:p w14:paraId="65BDDD90" w14:textId="77777777" w:rsidR="00806E12" w:rsidRPr="00143AC9" w:rsidRDefault="00806E12" w:rsidP="005C43EB">
            <w:pPr>
              <w:pStyle w:val="A-TableText"/>
              <w:jc w:val="center"/>
            </w:pPr>
            <w:r w:rsidRPr="00143AC9">
              <w:t>0.4</w:t>
            </w:r>
          </w:p>
        </w:tc>
      </w:tr>
      <w:tr w:rsidR="00806E12" w:rsidRPr="00143AC9" w14:paraId="41B47450" w14:textId="77777777" w:rsidTr="002838B1">
        <w:trPr>
          <w:cantSplit/>
          <w:trHeight w:val="436"/>
        </w:trPr>
        <w:tc>
          <w:tcPr>
            <w:tcW w:w="1045" w:type="pct"/>
          </w:tcPr>
          <w:p w14:paraId="088DDD7C" w14:textId="2F14121F" w:rsidR="00806E12" w:rsidRPr="00143AC9" w:rsidRDefault="00806E12" w:rsidP="002838B1">
            <w:pPr>
              <w:pStyle w:val="A-TableText"/>
              <w:rPr>
                <w:lang w:val="sv-SE"/>
              </w:rPr>
            </w:pPr>
            <w:r w:rsidRPr="00143AC9">
              <w:t>Lymphocytes decreased</w:t>
            </w:r>
            <w:r w:rsidR="006E2F57">
              <w:rPr>
                <w:vertAlign w:val="superscript"/>
              </w:rPr>
              <w:t>k</w:t>
            </w:r>
          </w:p>
        </w:tc>
        <w:tc>
          <w:tcPr>
            <w:tcW w:w="1027" w:type="pct"/>
            <w:gridSpan w:val="2"/>
          </w:tcPr>
          <w:p w14:paraId="457680BD" w14:textId="77777777" w:rsidR="00806E12" w:rsidRPr="00143AC9" w:rsidRDefault="00806E12" w:rsidP="005C43EB">
            <w:pPr>
              <w:pStyle w:val="A-TableText"/>
              <w:jc w:val="center"/>
            </w:pPr>
            <w:r w:rsidRPr="00143AC9">
              <w:t>63</w:t>
            </w:r>
          </w:p>
        </w:tc>
        <w:tc>
          <w:tcPr>
            <w:tcW w:w="1027" w:type="pct"/>
          </w:tcPr>
          <w:p w14:paraId="6E35B051" w14:textId="77777777" w:rsidR="00806E12" w:rsidRPr="00143AC9" w:rsidRDefault="00806E12" w:rsidP="005C43EB">
            <w:pPr>
              <w:pStyle w:val="A-TableText"/>
              <w:jc w:val="center"/>
            </w:pPr>
            <w:r w:rsidRPr="00143AC9">
              <w:t>5.6</w:t>
            </w:r>
          </w:p>
        </w:tc>
        <w:tc>
          <w:tcPr>
            <w:tcW w:w="950" w:type="pct"/>
          </w:tcPr>
          <w:p w14:paraId="1CBA1594" w14:textId="77777777" w:rsidR="00806E12" w:rsidRPr="00143AC9" w:rsidRDefault="00806E12" w:rsidP="005C43EB">
            <w:pPr>
              <w:pStyle w:val="A-TableText"/>
              <w:jc w:val="center"/>
            </w:pPr>
            <w:r w:rsidRPr="00143AC9">
              <w:t>36</w:t>
            </w:r>
          </w:p>
        </w:tc>
        <w:tc>
          <w:tcPr>
            <w:tcW w:w="951" w:type="pct"/>
            <w:gridSpan w:val="2"/>
          </w:tcPr>
          <w:p w14:paraId="29DA95E0" w14:textId="77777777" w:rsidR="00806E12" w:rsidRPr="00143AC9" w:rsidRDefault="00806E12" w:rsidP="005C43EB">
            <w:pPr>
              <w:pStyle w:val="A-TableText"/>
              <w:jc w:val="center"/>
            </w:pPr>
            <w:r w:rsidRPr="00143AC9">
              <w:t>4.2</w:t>
            </w:r>
          </w:p>
        </w:tc>
      </w:tr>
      <w:tr w:rsidR="00806E12" w:rsidRPr="00143AC9" w14:paraId="045F623D" w14:textId="77777777" w:rsidTr="002838B1">
        <w:trPr>
          <w:cantSplit/>
          <w:trHeight w:val="436"/>
        </w:trPr>
        <w:tc>
          <w:tcPr>
            <w:tcW w:w="1045" w:type="pct"/>
          </w:tcPr>
          <w:p w14:paraId="42DEF4E8" w14:textId="77777777" w:rsidR="00806E12" w:rsidRPr="00143AC9" w:rsidRDefault="00806E12" w:rsidP="002838B1">
            <w:pPr>
              <w:pStyle w:val="A-TableText"/>
              <w:rPr>
                <w:lang w:val="sv-SE"/>
              </w:rPr>
            </w:pPr>
            <w:r w:rsidRPr="00143AC9">
              <w:t>Neutrophils decreased</w:t>
            </w:r>
            <w:r w:rsidRPr="00143AC9">
              <w:rPr>
                <w:vertAlign w:val="superscript"/>
              </w:rPr>
              <w:t>k</w:t>
            </w:r>
          </w:p>
        </w:tc>
        <w:tc>
          <w:tcPr>
            <w:tcW w:w="1027" w:type="pct"/>
            <w:gridSpan w:val="2"/>
          </w:tcPr>
          <w:p w14:paraId="7E664BEF" w14:textId="77777777" w:rsidR="00806E12" w:rsidRPr="00143AC9" w:rsidRDefault="00806E12" w:rsidP="005C43EB">
            <w:pPr>
              <w:pStyle w:val="A-TableText"/>
              <w:jc w:val="center"/>
            </w:pPr>
            <w:r w:rsidRPr="00143AC9">
              <w:t>41</w:t>
            </w:r>
          </w:p>
        </w:tc>
        <w:tc>
          <w:tcPr>
            <w:tcW w:w="1027" w:type="pct"/>
          </w:tcPr>
          <w:p w14:paraId="357BFFFE" w14:textId="77777777" w:rsidR="00806E12" w:rsidRPr="00143AC9" w:rsidRDefault="00806E12" w:rsidP="005C43EB">
            <w:pPr>
              <w:pStyle w:val="A-TableText"/>
              <w:jc w:val="center"/>
            </w:pPr>
            <w:r w:rsidRPr="00143AC9">
              <w:t>3.0</w:t>
            </w:r>
          </w:p>
        </w:tc>
        <w:tc>
          <w:tcPr>
            <w:tcW w:w="950" w:type="pct"/>
          </w:tcPr>
          <w:p w14:paraId="711889F6" w14:textId="77777777" w:rsidR="00806E12" w:rsidRPr="00143AC9" w:rsidRDefault="00806E12" w:rsidP="005C43EB">
            <w:pPr>
              <w:pStyle w:val="A-TableText"/>
              <w:jc w:val="center"/>
            </w:pPr>
            <w:r w:rsidRPr="00143AC9">
              <w:t>10</w:t>
            </w:r>
          </w:p>
        </w:tc>
        <w:tc>
          <w:tcPr>
            <w:tcW w:w="951" w:type="pct"/>
            <w:gridSpan w:val="2"/>
          </w:tcPr>
          <w:p w14:paraId="5571A8A3" w14:textId="77777777" w:rsidR="00806E12" w:rsidRPr="00143AC9" w:rsidRDefault="00806E12" w:rsidP="005C43EB">
            <w:pPr>
              <w:pStyle w:val="A-TableText"/>
              <w:jc w:val="center"/>
            </w:pPr>
            <w:r w:rsidRPr="00143AC9">
              <w:t>0</w:t>
            </w:r>
          </w:p>
        </w:tc>
      </w:tr>
    </w:tbl>
    <w:p w14:paraId="5A487CA6" w14:textId="5D83F165" w:rsidR="00806E12" w:rsidRPr="00143AC9" w:rsidRDefault="00C77C67" w:rsidP="0045667F">
      <w:pPr>
        <w:pStyle w:val="A-TableFootnoteText"/>
        <w:rPr>
          <w:vertAlign w:val="superscript"/>
          <w:lang w:val="en-US"/>
        </w:rPr>
      </w:pPr>
      <w:r>
        <w:tab/>
      </w:r>
      <w:r w:rsidR="00806E12" w:rsidRPr="00143AC9">
        <w:t>In FLAURA, the median duration of study treatment was 16.2 months for patients in the TAGRISSO arm and 11.5 months for patients in the EGFR TKI comparator arm.</w:t>
      </w:r>
    </w:p>
    <w:p w14:paraId="29E2D8E1" w14:textId="77777777" w:rsidR="00806E12" w:rsidRPr="00143AC9" w:rsidRDefault="00806E12" w:rsidP="0045667F">
      <w:pPr>
        <w:pStyle w:val="A-TableFootnoteText"/>
      </w:pPr>
      <w:r w:rsidRPr="00143AC9">
        <w:rPr>
          <w:vertAlign w:val="superscript"/>
        </w:rPr>
        <w:t>a</w:t>
      </w:r>
      <w:r w:rsidRPr="00143AC9">
        <w:tab/>
        <w:t>Only events for patients receiving at least one dose of TAGRISSO as their randomised treatment are summarised.</w:t>
      </w:r>
    </w:p>
    <w:p w14:paraId="7EA6EAC7" w14:textId="77777777" w:rsidR="00806E12" w:rsidRPr="00143AC9" w:rsidRDefault="00806E12" w:rsidP="0045667F">
      <w:pPr>
        <w:pStyle w:val="A-TableFootnoteText"/>
      </w:pPr>
      <w:r w:rsidRPr="00143AC9">
        <w:rPr>
          <w:vertAlign w:val="superscript"/>
        </w:rPr>
        <w:t>b</w:t>
      </w:r>
      <w:r w:rsidRPr="00143AC9">
        <w:tab/>
        <w:t>National Cancer Institute Common Terminology Criteria for Adverse Events, version 4.0</w:t>
      </w:r>
    </w:p>
    <w:p w14:paraId="6489D997" w14:textId="77777777" w:rsidR="00806E12" w:rsidRPr="00143AC9" w:rsidRDefault="00806E12" w:rsidP="0045667F">
      <w:pPr>
        <w:pStyle w:val="A-TableFootnoteText"/>
      </w:pPr>
      <w:r w:rsidRPr="00143AC9">
        <w:rPr>
          <w:vertAlign w:val="superscript"/>
        </w:rPr>
        <w:t>c</w:t>
      </w:r>
      <w:r w:rsidRPr="00143AC9">
        <w:tab/>
        <w:t>Cases reported within the clustered terms: Interstitial lung disease, pneumonitis.</w:t>
      </w:r>
    </w:p>
    <w:p w14:paraId="176D5518" w14:textId="77777777" w:rsidR="00806E12" w:rsidRPr="00143AC9" w:rsidRDefault="00806E12" w:rsidP="0045667F">
      <w:pPr>
        <w:pStyle w:val="A-TableFootnoteText"/>
      </w:pPr>
      <w:r w:rsidRPr="00143AC9">
        <w:rPr>
          <w:vertAlign w:val="superscript"/>
        </w:rPr>
        <w:t>d</w:t>
      </w:r>
      <w:r w:rsidRPr="00143AC9">
        <w:tab/>
        <w:t>Cases reported within the clustered terms: Keratitis, punctate keratitis, corneal erosion, corneal epithelium defect.</w:t>
      </w:r>
    </w:p>
    <w:p w14:paraId="58662806" w14:textId="7DCDC486" w:rsidR="00806E12" w:rsidRPr="00143AC9" w:rsidRDefault="00806E12" w:rsidP="0045667F">
      <w:pPr>
        <w:pStyle w:val="A-TableFootnoteText"/>
      </w:pPr>
      <w:r w:rsidRPr="00143AC9">
        <w:rPr>
          <w:vertAlign w:val="superscript"/>
        </w:rPr>
        <w:t>e</w:t>
      </w:r>
      <w:r w:rsidRPr="00143AC9">
        <w:tab/>
        <w:t>1 CTCAE grade 5 event (fatal) was reported in the EGFR TKI comparator arm.</w:t>
      </w:r>
    </w:p>
    <w:p w14:paraId="621A51C2" w14:textId="77777777" w:rsidR="00806E12" w:rsidRPr="00143AC9" w:rsidRDefault="00806E12" w:rsidP="0045667F">
      <w:pPr>
        <w:pStyle w:val="A-TableFootnoteText"/>
      </w:pPr>
      <w:r w:rsidRPr="00143AC9">
        <w:rPr>
          <w:vertAlign w:val="superscript"/>
        </w:rPr>
        <w:t>f</w:t>
      </w:r>
      <w:r w:rsidRPr="00143AC9">
        <w:tab/>
        <w:t>Cases reported within the clustered terms for rash AEs: Rash, rash generalised, rash erythematous, rash macular, rash maculo-papular, rash papular, rash pustular, rash pruritic, rash vesicular, rash follicular, erythema, folliculitis, acne, dermatitis, dermatitis acneiform, drug eruption, skin erosion.</w:t>
      </w:r>
    </w:p>
    <w:p w14:paraId="26BF68AE" w14:textId="77777777" w:rsidR="00806E12" w:rsidRPr="00143AC9" w:rsidRDefault="00806E12" w:rsidP="0045667F">
      <w:pPr>
        <w:pStyle w:val="A-TableFootnoteText"/>
      </w:pPr>
      <w:r w:rsidRPr="00143AC9">
        <w:rPr>
          <w:vertAlign w:val="superscript"/>
        </w:rPr>
        <w:t>g</w:t>
      </w:r>
      <w:r w:rsidRPr="00143AC9">
        <w:tab/>
        <w:t>Cases reported within the clustered terms: Dry skin, skin fissures, xerosis, eczema, xeroderma.</w:t>
      </w:r>
    </w:p>
    <w:p w14:paraId="181F8F97" w14:textId="77777777" w:rsidR="00806E12" w:rsidRPr="00143AC9" w:rsidRDefault="00806E12" w:rsidP="0045667F">
      <w:pPr>
        <w:pStyle w:val="A-TableFootnoteText"/>
      </w:pPr>
      <w:r w:rsidRPr="00143AC9">
        <w:rPr>
          <w:vertAlign w:val="superscript"/>
        </w:rPr>
        <w:t>h</w:t>
      </w:r>
      <w:r w:rsidRPr="00143AC9">
        <w:tab/>
        <w:t>Cases reported within the clustered terms: Nail bed disorder, nail bed inflammation, nail bed infection, nail discolouration, nail pigmentation, nail disorder, nail toxicity, nail dystrophy, nail infection, nail ridging, onychoclasis, onycholysis, onychomadesis, onychomalacia, paronychia.</w:t>
      </w:r>
    </w:p>
    <w:p w14:paraId="0DD44610" w14:textId="77777777" w:rsidR="00806E12" w:rsidRPr="00143AC9" w:rsidRDefault="00806E12" w:rsidP="0045667F">
      <w:pPr>
        <w:pStyle w:val="A-TableFootnoteText"/>
      </w:pPr>
      <w:r w:rsidRPr="00143AC9">
        <w:rPr>
          <w:vertAlign w:val="superscript"/>
        </w:rPr>
        <w:t>i</w:t>
      </w:r>
      <w:r w:rsidRPr="00143AC9">
        <w:tab/>
        <w:t>Cases reported within the clustered terms: Pruritus, pruritus generalised, eyelid pruritus.</w:t>
      </w:r>
    </w:p>
    <w:p w14:paraId="23907BC0" w14:textId="77777777" w:rsidR="00806E12" w:rsidRPr="00143AC9" w:rsidRDefault="00806E12" w:rsidP="0045667F">
      <w:pPr>
        <w:pStyle w:val="A-TableFootnoteText"/>
      </w:pPr>
      <w:r w:rsidRPr="00143AC9">
        <w:rPr>
          <w:vertAlign w:val="superscript"/>
        </w:rPr>
        <w:t>j</w:t>
      </w:r>
      <w:r w:rsidRPr="00143AC9">
        <w:rPr>
          <w:vertAlign w:val="superscript"/>
        </w:rPr>
        <w:tab/>
      </w:r>
      <w:r w:rsidRPr="00143AC9">
        <w:t>Represents</w:t>
      </w:r>
      <w:r w:rsidRPr="00143AC9">
        <w:rPr>
          <w:vertAlign w:val="superscript"/>
        </w:rPr>
        <w:t xml:space="preserve"> </w:t>
      </w:r>
      <w:r w:rsidRPr="00143AC9">
        <w:t>the incidence of patients who had a QTcF prolongation &gt;500 msec.</w:t>
      </w:r>
    </w:p>
    <w:p w14:paraId="78E84778" w14:textId="77777777" w:rsidR="00806E12" w:rsidRPr="00143AC9" w:rsidRDefault="00806E12" w:rsidP="0045667F">
      <w:pPr>
        <w:pStyle w:val="A-TableFootnoteText"/>
      </w:pPr>
      <w:r w:rsidRPr="00143AC9">
        <w:rPr>
          <w:vertAlign w:val="superscript"/>
        </w:rPr>
        <w:t>k</w:t>
      </w:r>
      <w:r w:rsidRPr="00143AC9">
        <w:tab/>
        <w:t>Represents the incidence of laboratory findings, not of reported adverse events.</w:t>
      </w:r>
    </w:p>
    <w:p w14:paraId="020AB4D1" w14:textId="77777777" w:rsidR="00806E12" w:rsidRPr="00143AC9" w:rsidRDefault="00806E12" w:rsidP="00806E12">
      <w:pPr>
        <w:pStyle w:val="NormalWeb"/>
        <w:spacing w:before="0" w:beforeAutospacing="0" w:after="240" w:afterAutospacing="0" w:line="280" w:lineRule="atLeast"/>
        <w:rPr>
          <w:rFonts w:ascii="Arial" w:hAnsi="Arial" w:cs="Arial"/>
          <w:b/>
          <w:lang w:val="en-GB"/>
        </w:rPr>
      </w:pPr>
    </w:p>
    <w:p w14:paraId="6FC770E4" w14:textId="7861D1E4" w:rsidR="00806E12" w:rsidRPr="00143AC9" w:rsidRDefault="00806E12" w:rsidP="00806E12">
      <w:pPr>
        <w:pStyle w:val="A-TableTitle"/>
      </w:pPr>
      <w:r w:rsidRPr="00143AC9">
        <w:t xml:space="preserve">Table </w:t>
      </w:r>
      <w:r w:rsidR="00F308BB" w:rsidRPr="00143AC9">
        <w:t>4</w:t>
      </w:r>
      <w:r w:rsidRPr="00143AC9">
        <w:t>. Adverse reactions reported in AURA3</w:t>
      </w:r>
      <w:r w:rsidRPr="00143AC9">
        <w:rPr>
          <w:vertAlign w:val="superscript"/>
        </w:rPr>
        <w:t>a</w:t>
      </w:r>
      <w:r w:rsidRPr="00143AC9">
        <w:t xml:space="preserv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1849"/>
        <w:gridCol w:w="1849"/>
        <w:gridCol w:w="1848"/>
        <w:gridCol w:w="1848"/>
        <w:gridCol w:w="1848"/>
      </w:tblGrid>
      <w:tr w:rsidR="00806E12" w:rsidRPr="00143AC9" w14:paraId="00113068" w14:textId="77777777" w:rsidTr="002838B1">
        <w:trPr>
          <w:cantSplit/>
          <w:trHeight w:val="1214"/>
          <w:tblHeader/>
        </w:trPr>
        <w:tc>
          <w:tcPr>
            <w:tcW w:w="1000" w:type="pct"/>
          </w:tcPr>
          <w:p w14:paraId="5142D929" w14:textId="77777777" w:rsidR="00806E12" w:rsidRPr="00143AC9" w:rsidRDefault="00806E12" w:rsidP="00373793">
            <w:pPr>
              <w:pStyle w:val="A-TableHeader"/>
              <w:jc w:val="center"/>
            </w:pPr>
            <w:r w:rsidRPr="00143AC9">
              <w:t>MedDRA SOC</w:t>
            </w:r>
          </w:p>
        </w:tc>
        <w:tc>
          <w:tcPr>
            <w:tcW w:w="2000" w:type="pct"/>
            <w:gridSpan w:val="2"/>
          </w:tcPr>
          <w:p w14:paraId="0C91CDE5" w14:textId="77777777" w:rsidR="00806E12" w:rsidRPr="00143AC9" w:rsidRDefault="00806E12" w:rsidP="00373793">
            <w:pPr>
              <w:pStyle w:val="A-TableHeader"/>
              <w:jc w:val="center"/>
            </w:pPr>
            <w:r w:rsidRPr="00143AC9">
              <w:t>TAGRISSO</w:t>
            </w:r>
            <w:r w:rsidRPr="00143AC9">
              <w:br/>
              <w:t>overall frequency</w:t>
            </w:r>
          </w:p>
          <w:p w14:paraId="50946F0E" w14:textId="77777777" w:rsidR="00806E12" w:rsidRPr="00143AC9" w:rsidRDefault="00806E12" w:rsidP="00373793">
            <w:pPr>
              <w:pStyle w:val="A-TableHeader"/>
              <w:jc w:val="center"/>
            </w:pPr>
            <w:r w:rsidRPr="00143AC9">
              <w:t>(N=279)</w:t>
            </w:r>
          </w:p>
        </w:tc>
        <w:tc>
          <w:tcPr>
            <w:tcW w:w="2000" w:type="pct"/>
            <w:gridSpan w:val="2"/>
          </w:tcPr>
          <w:p w14:paraId="69755402" w14:textId="77777777" w:rsidR="00806E12" w:rsidRPr="00143AC9" w:rsidRDefault="00806E12" w:rsidP="00373793">
            <w:pPr>
              <w:pStyle w:val="A-TableHeader"/>
              <w:jc w:val="center"/>
            </w:pPr>
            <w:r w:rsidRPr="00143AC9">
              <w:t>Chemotherapy (Pemetrexed/Cisplatin or Pemetrexed/Carboplatin) overall frequency</w:t>
            </w:r>
          </w:p>
          <w:p w14:paraId="5524CE75" w14:textId="77777777" w:rsidR="00806E12" w:rsidRPr="00143AC9" w:rsidRDefault="00806E12" w:rsidP="00373793">
            <w:pPr>
              <w:pStyle w:val="A-TableHeader"/>
              <w:jc w:val="center"/>
            </w:pPr>
            <w:r w:rsidRPr="00143AC9">
              <w:t>(N=136)</w:t>
            </w:r>
          </w:p>
        </w:tc>
      </w:tr>
      <w:tr w:rsidR="00806E12" w:rsidRPr="00143AC9" w14:paraId="72AD5D3D" w14:textId="77777777" w:rsidTr="002838B1">
        <w:trPr>
          <w:cantSplit/>
          <w:tblHeader/>
        </w:trPr>
        <w:tc>
          <w:tcPr>
            <w:tcW w:w="1000" w:type="pct"/>
          </w:tcPr>
          <w:p w14:paraId="2E7AA75A" w14:textId="77777777" w:rsidR="00806E12" w:rsidRPr="00143AC9" w:rsidRDefault="00806E12" w:rsidP="00373793">
            <w:pPr>
              <w:pStyle w:val="A-TableHeader"/>
              <w:jc w:val="center"/>
            </w:pPr>
            <w:r w:rsidRPr="00143AC9">
              <w:t>NCI Grade</w:t>
            </w:r>
            <w:r w:rsidRPr="00143AC9">
              <w:rPr>
                <w:vertAlign w:val="superscript"/>
              </w:rPr>
              <w:t>b</w:t>
            </w:r>
          </w:p>
        </w:tc>
        <w:tc>
          <w:tcPr>
            <w:tcW w:w="1000" w:type="pct"/>
          </w:tcPr>
          <w:p w14:paraId="3272E98F" w14:textId="77777777" w:rsidR="00806E12" w:rsidRPr="00143AC9" w:rsidRDefault="00806E12" w:rsidP="00373793">
            <w:pPr>
              <w:pStyle w:val="A-TableHeader"/>
              <w:jc w:val="center"/>
            </w:pPr>
            <w:r w:rsidRPr="00143AC9">
              <w:t>Any Grade</w:t>
            </w:r>
            <w:r w:rsidRPr="00143AC9">
              <w:br/>
              <w:t>(%)</w:t>
            </w:r>
          </w:p>
        </w:tc>
        <w:tc>
          <w:tcPr>
            <w:tcW w:w="1000" w:type="pct"/>
          </w:tcPr>
          <w:p w14:paraId="7D76ED76" w14:textId="77777777" w:rsidR="00806E12" w:rsidRPr="00143AC9" w:rsidRDefault="00806E12" w:rsidP="00373793">
            <w:pPr>
              <w:pStyle w:val="A-TableHeader"/>
              <w:jc w:val="center"/>
            </w:pPr>
            <w:r w:rsidRPr="00143AC9">
              <w:t>Grade 3 or higher</w:t>
            </w:r>
            <w:r w:rsidRPr="00143AC9">
              <w:br/>
              <w:t>(%)</w:t>
            </w:r>
          </w:p>
        </w:tc>
        <w:tc>
          <w:tcPr>
            <w:tcW w:w="1000" w:type="pct"/>
          </w:tcPr>
          <w:p w14:paraId="5680B1E4" w14:textId="77777777" w:rsidR="00806E12" w:rsidRPr="00143AC9" w:rsidRDefault="00806E12" w:rsidP="00373793">
            <w:pPr>
              <w:pStyle w:val="A-TableHeader"/>
              <w:jc w:val="center"/>
            </w:pPr>
            <w:r w:rsidRPr="00143AC9">
              <w:t>Any Grade</w:t>
            </w:r>
            <w:r w:rsidRPr="00143AC9">
              <w:br/>
              <w:t>(%)</w:t>
            </w:r>
          </w:p>
        </w:tc>
        <w:tc>
          <w:tcPr>
            <w:tcW w:w="1000" w:type="pct"/>
          </w:tcPr>
          <w:p w14:paraId="22355292" w14:textId="77777777" w:rsidR="00806E12" w:rsidRPr="00143AC9" w:rsidRDefault="00806E12" w:rsidP="00373793">
            <w:pPr>
              <w:pStyle w:val="A-TableHeader"/>
              <w:jc w:val="center"/>
            </w:pPr>
            <w:r w:rsidRPr="00143AC9">
              <w:t>Grade 3 or higher</w:t>
            </w:r>
            <w:r w:rsidRPr="00143AC9">
              <w:br/>
              <w:t>(%)</w:t>
            </w:r>
          </w:p>
        </w:tc>
      </w:tr>
      <w:tr w:rsidR="00806E12" w:rsidRPr="00143AC9" w14:paraId="248A2E73" w14:textId="77777777" w:rsidTr="002838B1">
        <w:trPr>
          <w:cantSplit/>
          <w:tblHeader/>
        </w:trPr>
        <w:tc>
          <w:tcPr>
            <w:tcW w:w="5000" w:type="pct"/>
            <w:gridSpan w:val="5"/>
          </w:tcPr>
          <w:p w14:paraId="7FDEE1D2" w14:textId="77777777" w:rsidR="00806E12" w:rsidRPr="00143AC9" w:rsidRDefault="00806E12" w:rsidP="002838B1">
            <w:pPr>
              <w:pStyle w:val="A-TableHeader"/>
            </w:pPr>
            <w:r w:rsidRPr="00143AC9">
              <w:t>MedDRA Preferred Term</w:t>
            </w:r>
          </w:p>
        </w:tc>
      </w:tr>
      <w:tr w:rsidR="00806E12" w:rsidRPr="00143AC9" w14:paraId="710090F3" w14:textId="77777777" w:rsidTr="002838B1">
        <w:trPr>
          <w:cantSplit/>
          <w:tblHeader/>
        </w:trPr>
        <w:tc>
          <w:tcPr>
            <w:tcW w:w="5000" w:type="pct"/>
            <w:gridSpan w:val="5"/>
          </w:tcPr>
          <w:p w14:paraId="6424C0AD" w14:textId="77777777" w:rsidR="00806E12" w:rsidRPr="00143AC9" w:rsidRDefault="00806E12" w:rsidP="002838B1">
            <w:pPr>
              <w:pStyle w:val="A-TableHeader"/>
            </w:pPr>
            <w:r w:rsidRPr="00143AC9">
              <w:t>Respiratory, thoracic and mediastinal disorders</w:t>
            </w:r>
          </w:p>
        </w:tc>
      </w:tr>
      <w:tr w:rsidR="00806E12" w:rsidRPr="00143AC9" w14:paraId="407DBBD5" w14:textId="77777777" w:rsidTr="002838B1">
        <w:trPr>
          <w:cantSplit/>
          <w:tblHeader/>
        </w:trPr>
        <w:tc>
          <w:tcPr>
            <w:tcW w:w="1000" w:type="pct"/>
          </w:tcPr>
          <w:p w14:paraId="3DC5ADE4" w14:textId="77777777" w:rsidR="00806E12" w:rsidRPr="00143AC9" w:rsidRDefault="00806E12" w:rsidP="002838B1">
            <w:pPr>
              <w:pStyle w:val="A-TableText"/>
              <w:rPr>
                <w:b/>
                <w:lang w:val="sv-SE"/>
              </w:rPr>
            </w:pPr>
            <w:r w:rsidRPr="00143AC9">
              <w:t>Interstitial Lung Disease</w:t>
            </w:r>
            <w:r w:rsidRPr="00143AC9">
              <w:rPr>
                <w:vertAlign w:val="superscript"/>
              </w:rPr>
              <w:t>c,d</w:t>
            </w:r>
          </w:p>
        </w:tc>
        <w:tc>
          <w:tcPr>
            <w:tcW w:w="1000" w:type="pct"/>
          </w:tcPr>
          <w:p w14:paraId="63ACE828" w14:textId="77777777" w:rsidR="00806E12" w:rsidRPr="00143AC9" w:rsidRDefault="00806E12" w:rsidP="005C43EB">
            <w:pPr>
              <w:pStyle w:val="A-TableText"/>
              <w:jc w:val="center"/>
            </w:pPr>
            <w:r w:rsidRPr="00143AC9">
              <w:t>3.6</w:t>
            </w:r>
          </w:p>
        </w:tc>
        <w:tc>
          <w:tcPr>
            <w:tcW w:w="1000" w:type="pct"/>
          </w:tcPr>
          <w:p w14:paraId="7B5328AF" w14:textId="77777777" w:rsidR="00806E12" w:rsidRPr="00143AC9" w:rsidRDefault="00806E12" w:rsidP="005C43EB">
            <w:pPr>
              <w:pStyle w:val="A-TableText"/>
              <w:jc w:val="center"/>
            </w:pPr>
            <w:r w:rsidRPr="00143AC9">
              <w:t>0.4</w:t>
            </w:r>
          </w:p>
        </w:tc>
        <w:tc>
          <w:tcPr>
            <w:tcW w:w="1000" w:type="pct"/>
          </w:tcPr>
          <w:p w14:paraId="404CBFD4" w14:textId="77777777" w:rsidR="00806E12" w:rsidRPr="00143AC9" w:rsidRDefault="00806E12" w:rsidP="005C43EB">
            <w:pPr>
              <w:pStyle w:val="A-TableText"/>
              <w:jc w:val="center"/>
            </w:pPr>
            <w:r w:rsidRPr="00143AC9">
              <w:t>0.7</w:t>
            </w:r>
          </w:p>
        </w:tc>
        <w:tc>
          <w:tcPr>
            <w:tcW w:w="1000" w:type="pct"/>
          </w:tcPr>
          <w:p w14:paraId="5B680467" w14:textId="77777777" w:rsidR="00806E12" w:rsidRPr="00143AC9" w:rsidRDefault="00806E12" w:rsidP="005C43EB">
            <w:pPr>
              <w:pStyle w:val="A-TableText"/>
              <w:jc w:val="center"/>
            </w:pPr>
            <w:r w:rsidRPr="00143AC9">
              <w:t>0.7</w:t>
            </w:r>
          </w:p>
        </w:tc>
      </w:tr>
      <w:tr w:rsidR="00806E12" w:rsidRPr="00143AC9" w14:paraId="1C4C03C6" w14:textId="77777777" w:rsidTr="002838B1">
        <w:trPr>
          <w:cantSplit/>
          <w:tblHeader/>
        </w:trPr>
        <w:tc>
          <w:tcPr>
            <w:tcW w:w="5000" w:type="pct"/>
            <w:gridSpan w:val="5"/>
          </w:tcPr>
          <w:p w14:paraId="329BC11B" w14:textId="77777777" w:rsidR="00806E12" w:rsidRPr="00143AC9" w:rsidRDefault="00806E12" w:rsidP="002838B1">
            <w:pPr>
              <w:pStyle w:val="A-TableHeader"/>
            </w:pPr>
            <w:r w:rsidRPr="00143AC9">
              <w:lastRenderedPageBreak/>
              <w:t>Eye disorders</w:t>
            </w:r>
          </w:p>
        </w:tc>
      </w:tr>
      <w:tr w:rsidR="00806E12" w:rsidRPr="00143AC9" w14:paraId="0FE12C85" w14:textId="77777777" w:rsidTr="002838B1">
        <w:trPr>
          <w:cantSplit/>
          <w:tblHeader/>
        </w:trPr>
        <w:tc>
          <w:tcPr>
            <w:tcW w:w="1000" w:type="pct"/>
          </w:tcPr>
          <w:p w14:paraId="2B398A0A" w14:textId="77777777" w:rsidR="00806E12" w:rsidRPr="00143AC9" w:rsidRDefault="00806E12" w:rsidP="002838B1">
            <w:pPr>
              <w:pStyle w:val="A-TableText"/>
            </w:pPr>
            <w:r w:rsidRPr="00143AC9">
              <w:t>Keratitis</w:t>
            </w:r>
            <w:r w:rsidRPr="00143AC9">
              <w:rPr>
                <w:vertAlign w:val="superscript"/>
              </w:rPr>
              <w:t xml:space="preserve">e </w:t>
            </w:r>
          </w:p>
        </w:tc>
        <w:tc>
          <w:tcPr>
            <w:tcW w:w="1000" w:type="pct"/>
          </w:tcPr>
          <w:p w14:paraId="59716392" w14:textId="77777777" w:rsidR="00806E12" w:rsidRPr="00143AC9" w:rsidRDefault="00806E12" w:rsidP="005C43EB">
            <w:pPr>
              <w:pStyle w:val="A-TableText"/>
              <w:jc w:val="center"/>
            </w:pPr>
            <w:r w:rsidRPr="00143AC9">
              <w:t>1.1</w:t>
            </w:r>
          </w:p>
        </w:tc>
        <w:tc>
          <w:tcPr>
            <w:tcW w:w="1000" w:type="pct"/>
          </w:tcPr>
          <w:p w14:paraId="6E05ABE2" w14:textId="77777777" w:rsidR="00806E12" w:rsidRPr="00143AC9" w:rsidRDefault="00806E12" w:rsidP="005C43EB">
            <w:pPr>
              <w:pStyle w:val="A-TableText"/>
              <w:jc w:val="center"/>
            </w:pPr>
            <w:r w:rsidRPr="00143AC9">
              <w:t>0</w:t>
            </w:r>
          </w:p>
        </w:tc>
        <w:tc>
          <w:tcPr>
            <w:tcW w:w="1000" w:type="pct"/>
          </w:tcPr>
          <w:p w14:paraId="6A9FE0C1" w14:textId="77777777" w:rsidR="00806E12" w:rsidRPr="00143AC9" w:rsidRDefault="00806E12" w:rsidP="005C43EB">
            <w:pPr>
              <w:pStyle w:val="A-TableText"/>
              <w:jc w:val="center"/>
            </w:pPr>
            <w:r w:rsidRPr="00143AC9">
              <w:t>0.7</w:t>
            </w:r>
          </w:p>
        </w:tc>
        <w:tc>
          <w:tcPr>
            <w:tcW w:w="1000" w:type="pct"/>
          </w:tcPr>
          <w:p w14:paraId="127E3C6F" w14:textId="77777777" w:rsidR="00806E12" w:rsidRPr="00143AC9" w:rsidRDefault="00806E12" w:rsidP="005C43EB">
            <w:pPr>
              <w:pStyle w:val="A-TableText"/>
              <w:jc w:val="center"/>
            </w:pPr>
            <w:r w:rsidRPr="00143AC9">
              <w:t>0</w:t>
            </w:r>
          </w:p>
        </w:tc>
      </w:tr>
      <w:tr w:rsidR="00806E12" w:rsidRPr="00143AC9" w14:paraId="55D49632" w14:textId="77777777" w:rsidTr="002838B1">
        <w:trPr>
          <w:cantSplit/>
          <w:trHeight w:val="485"/>
          <w:tblHeader/>
        </w:trPr>
        <w:tc>
          <w:tcPr>
            <w:tcW w:w="5000" w:type="pct"/>
            <w:gridSpan w:val="5"/>
          </w:tcPr>
          <w:p w14:paraId="4C7594A7" w14:textId="77777777" w:rsidR="00806E12" w:rsidRPr="00143AC9" w:rsidRDefault="00806E12" w:rsidP="002838B1">
            <w:pPr>
              <w:pStyle w:val="A-TableHeader"/>
            </w:pPr>
            <w:r w:rsidRPr="00143AC9">
              <w:t>Gastrointestinal disorders</w:t>
            </w:r>
          </w:p>
        </w:tc>
      </w:tr>
      <w:tr w:rsidR="00806E12" w:rsidRPr="00143AC9" w14:paraId="0E4F5B71" w14:textId="77777777" w:rsidTr="002838B1">
        <w:trPr>
          <w:cantSplit/>
          <w:tblHeader/>
        </w:trPr>
        <w:tc>
          <w:tcPr>
            <w:tcW w:w="1000" w:type="pct"/>
          </w:tcPr>
          <w:p w14:paraId="5792D999" w14:textId="77777777" w:rsidR="00806E12" w:rsidRPr="00143AC9" w:rsidRDefault="00806E12" w:rsidP="002838B1">
            <w:pPr>
              <w:pStyle w:val="A-TableText"/>
              <w:rPr>
                <w:b/>
              </w:rPr>
            </w:pPr>
            <w:r w:rsidRPr="00143AC9">
              <w:t>Diarrhoea</w:t>
            </w:r>
          </w:p>
        </w:tc>
        <w:tc>
          <w:tcPr>
            <w:tcW w:w="1000" w:type="pct"/>
          </w:tcPr>
          <w:p w14:paraId="37B2AFD4" w14:textId="77777777" w:rsidR="00806E12" w:rsidRPr="00143AC9" w:rsidRDefault="00806E12" w:rsidP="005C43EB">
            <w:pPr>
              <w:pStyle w:val="A-TableText"/>
              <w:jc w:val="center"/>
            </w:pPr>
            <w:r w:rsidRPr="00143AC9">
              <w:t>41</w:t>
            </w:r>
          </w:p>
        </w:tc>
        <w:tc>
          <w:tcPr>
            <w:tcW w:w="1000" w:type="pct"/>
          </w:tcPr>
          <w:p w14:paraId="5D102B69" w14:textId="77777777" w:rsidR="00806E12" w:rsidRPr="00143AC9" w:rsidRDefault="00806E12" w:rsidP="005C43EB">
            <w:pPr>
              <w:pStyle w:val="A-TableText"/>
              <w:jc w:val="center"/>
            </w:pPr>
            <w:r w:rsidRPr="00143AC9">
              <w:t>1.1</w:t>
            </w:r>
          </w:p>
        </w:tc>
        <w:tc>
          <w:tcPr>
            <w:tcW w:w="1000" w:type="pct"/>
          </w:tcPr>
          <w:p w14:paraId="505E3B5A" w14:textId="77777777" w:rsidR="00806E12" w:rsidRPr="00143AC9" w:rsidRDefault="00806E12" w:rsidP="005C43EB">
            <w:pPr>
              <w:pStyle w:val="A-TableText"/>
              <w:jc w:val="center"/>
            </w:pPr>
            <w:r w:rsidRPr="00143AC9">
              <w:t>11</w:t>
            </w:r>
          </w:p>
        </w:tc>
        <w:tc>
          <w:tcPr>
            <w:tcW w:w="1000" w:type="pct"/>
          </w:tcPr>
          <w:p w14:paraId="4A17CE3A" w14:textId="77777777" w:rsidR="00806E12" w:rsidRPr="00143AC9" w:rsidRDefault="00806E12" w:rsidP="005C43EB">
            <w:pPr>
              <w:pStyle w:val="A-TableText"/>
              <w:jc w:val="center"/>
            </w:pPr>
            <w:r w:rsidRPr="00143AC9">
              <w:t>1.5</w:t>
            </w:r>
          </w:p>
        </w:tc>
      </w:tr>
      <w:tr w:rsidR="00806E12" w:rsidRPr="00143AC9" w14:paraId="7C78C376" w14:textId="77777777" w:rsidTr="002838B1">
        <w:trPr>
          <w:cantSplit/>
          <w:tblHeader/>
        </w:trPr>
        <w:tc>
          <w:tcPr>
            <w:tcW w:w="1000" w:type="pct"/>
          </w:tcPr>
          <w:p w14:paraId="1573C5C3" w14:textId="77777777" w:rsidR="00806E12" w:rsidRPr="00143AC9" w:rsidRDefault="00806E12" w:rsidP="002838B1">
            <w:pPr>
              <w:pStyle w:val="A-TableText"/>
              <w:rPr>
                <w:b/>
              </w:rPr>
            </w:pPr>
            <w:r w:rsidRPr="00143AC9">
              <w:t>Stomatitis</w:t>
            </w:r>
          </w:p>
        </w:tc>
        <w:tc>
          <w:tcPr>
            <w:tcW w:w="1000" w:type="pct"/>
          </w:tcPr>
          <w:p w14:paraId="157676CD" w14:textId="77777777" w:rsidR="00806E12" w:rsidRPr="00143AC9" w:rsidRDefault="00806E12" w:rsidP="005C43EB">
            <w:pPr>
              <w:pStyle w:val="A-TableText"/>
              <w:jc w:val="center"/>
            </w:pPr>
            <w:r w:rsidRPr="00143AC9">
              <w:t>15</w:t>
            </w:r>
          </w:p>
        </w:tc>
        <w:tc>
          <w:tcPr>
            <w:tcW w:w="1000" w:type="pct"/>
          </w:tcPr>
          <w:p w14:paraId="7CB84958" w14:textId="77777777" w:rsidR="00806E12" w:rsidRPr="00143AC9" w:rsidRDefault="00806E12" w:rsidP="005C43EB">
            <w:pPr>
              <w:pStyle w:val="A-TableText"/>
              <w:jc w:val="center"/>
            </w:pPr>
            <w:r w:rsidRPr="00143AC9">
              <w:t>0</w:t>
            </w:r>
          </w:p>
        </w:tc>
        <w:tc>
          <w:tcPr>
            <w:tcW w:w="1000" w:type="pct"/>
          </w:tcPr>
          <w:p w14:paraId="44E2C1FC" w14:textId="77777777" w:rsidR="00806E12" w:rsidRPr="00143AC9" w:rsidRDefault="00806E12" w:rsidP="005C43EB">
            <w:pPr>
              <w:pStyle w:val="A-TableText"/>
              <w:jc w:val="center"/>
            </w:pPr>
            <w:r w:rsidRPr="00143AC9">
              <w:t>15</w:t>
            </w:r>
          </w:p>
        </w:tc>
        <w:tc>
          <w:tcPr>
            <w:tcW w:w="1000" w:type="pct"/>
          </w:tcPr>
          <w:p w14:paraId="4A38B4B1" w14:textId="77777777" w:rsidR="00806E12" w:rsidRPr="00143AC9" w:rsidRDefault="00806E12" w:rsidP="005C43EB">
            <w:pPr>
              <w:pStyle w:val="A-TableText"/>
              <w:jc w:val="center"/>
            </w:pPr>
            <w:r w:rsidRPr="00143AC9">
              <w:t>1.5</w:t>
            </w:r>
          </w:p>
        </w:tc>
      </w:tr>
      <w:tr w:rsidR="00806E12" w:rsidRPr="00143AC9" w14:paraId="63D76832" w14:textId="77777777" w:rsidTr="002838B1">
        <w:trPr>
          <w:cantSplit/>
          <w:trHeight w:val="58"/>
          <w:tblHeader/>
        </w:trPr>
        <w:tc>
          <w:tcPr>
            <w:tcW w:w="5000" w:type="pct"/>
            <w:gridSpan w:val="5"/>
          </w:tcPr>
          <w:p w14:paraId="3FEF8BEA" w14:textId="77777777" w:rsidR="00806E12" w:rsidRPr="00143AC9" w:rsidRDefault="00806E12" w:rsidP="002838B1">
            <w:pPr>
              <w:pStyle w:val="A-TableHeader"/>
            </w:pPr>
            <w:r w:rsidRPr="00143AC9">
              <w:t>Skin and subcutaneous tissue disorders</w:t>
            </w:r>
          </w:p>
        </w:tc>
      </w:tr>
      <w:tr w:rsidR="00806E12" w:rsidRPr="00143AC9" w14:paraId="245DFED2" w14:textId="77777777" w:rsidTr="002838B1">
        <w:trPr>
          <w:cantSplit/>
          <w:trHeight w:val="327"/>
          <w:tblHeader/>
        </w:trPr>
        <w:tc>
          <w:tcPr>
            <w:tcW w:w="1000" w:type="pct"/>
          </w:tcPr>
          <w:p w14:paraId="59C53E59" w14:textId="77777777" w:rsidR="00806E12" w:rsidRPr="00143AC9" w:rsidRDefault="00806E12" w:rsidP="002838B1">
            <w:pPr>
              <w:pStyle w:val="A-TableText"/>
            </w:pPr>
            <w:r w:rsidRPr="00143AC9">
              <w:t>Rash</w:t>
            </w:r>
            <w:r w:rsidRPr="00143AC9">
              <w:rPr>
                <w:vertAlign w:val="superscript"/>
              </w:rPr>
              <w:t>f</w:t>
            </w:r>
          </w:p>
        </w:tc>
        <w:tc>
          <w:tcPr>
            <w:tcW w:w="1000" w:type="pct"/>
          </w:tcPr>
          <w:p w14:paraId="7EF5C3A8" w14:textId="77777777" w:rsidR="00806E12" w:rsidRPr="00143AC9" w:rsidRDefault="00806E12" w:rsidP="005C43EB">
            <w:pPr>
              <w:pStyle w:val="A-TableText"/>
              <w:jc w:val="center"/>
            </w:pPr>
            <w:r w:rsidRPr="00143AC9">
              <w:t>34</w:t>
            </w:r>
          </w:p>
        </w:tc>
        <w:tc>
          <w:tcPr>
            <w:tcW w:w="1000" w:type="pct"/>
          </w:tcPr>
          <w:p w14:paraId="355FF061" w14:textId="77777777" w:rsidR="00806E12" w:rsidRPr="00143AC9" w:rsidRDefault="00806E12" w:rsidP="005C43EB">
            <w:pPr>
              <w:pStyle w:val="A-TableText"/>
              <w:jc w:val="center"/>
            </w:pPr>
            <w:r w:rsidRPr="00143AC9">
              <w:t>0.7</w:t>
            </w:r>
          </w:p>
        </w:tc>
        <w:tc>
          <w:tcPr>
            <w:tcW w:w="1000" w:type="pct"/>
          </w:tcPr>
          <w:p w14:paraId="3C9585E4" w14:textId="77777777" w:rsidR="00806E12" w:rsidRPr="00143AC9" w:rsidRDefault="00806E12" w:rsidP="005C43EB">
            <w:pPr>
              <w:pStyle w:val="A-TableText"/>
              <w:jc w:val="center"/>
            </w:pPr>
            <w:r w:rsidRPr="00143AC9">
              <w:t>5.9</w:t>
            </w:r>
          </w:p>
        </w:tc>
        <w:tc>
          <w:tcPr>
            <w:tcW w:w="1000" w:type="pct"/>
          </w:tcPr>
          <w:p w14:paraId="4F3E4EB3" w14:textId="77777777" w:rsidR="00806E12" w:rsidRPr="00143AC9" w:rsidRDefault="00806E12" w:rsidP="005C43EB">
            <w:pPr>
              <w:pStyle w:val="A-TableText"/>
              <w:jc w:val="center"/>
            </w:pPr>
            <w:r w:rsidRPr="00143AC9">
              <w:t>0</w:t>
            </w:r>
          </w:p>
        </w:tc>
      </w:tr>
      <w:tr w:rsidR="00806E12" w:rsidRPr="00143AC9" w14:paraId="0DBD9FE3" w14:textId="77777777" w:rsidTr="002838B1">
        <w:trPr>
          <w:cantSplit/>
          <w:trHeight w:val="327"/>
          <w:tblHeader/>
        </w:trPr>
        <w:tc>
          <w:tcPr>
            <w:tcW w:w="1000" w:type="pct"/>
          </w:tcPr>
          <w:p w14:paraId="4505974E" w14:textId="77777777" w:rsidR="00806E12" w:rsidRPr="00143AC9" w:rsidRDefault="00806E12" w:rsidP="002838B1">
            <w:pPr>
              <w:pStyle w:val="A-TableText"/>
            </w:pPr>
            <w:r w:rsidRPr="00143AC9">
              <w:t>Dry skin</w:t>
            </w:r>
            <w:r w:rsidRPr="00143AC9">
              <w:rPr>
                <w:vertAlign w:val="superscript"/>
              </w:rPr>
              <w:t>g</w:t>
            </w:r>
          </w:p>
        </w:tc>
        <w:tc>
          <w:tcPr>
            <w:tcW w:w="1000" w:type="pct"/>
          </w:tcPr>
          <w:p w14:paraId="028A5D16" w14:textId="77777777" w:rsidR="00806E12" w:rsidRPr="00143AC9" w:rsidRDefault="00806E12" w:rsidP="005C43EB">
            <w:pPr>
              <w:pStyle w:val="A-TableText"/>
              <w:jc w:val="center"/>
            </w:pPr>
            <w:r w:rsidRPr="00143AC9">
              <w:t>23</w:t>
            </w:r>
          </w:p>
        </w:tc>
        <w:tc>
          <w:tcPr>
            <w:tcW w:w="1000" w:type="pct"/>
          </w:tcPr>
          <w:p w14:paraId="1121CEFD" w14:textId="77777777" w:rsidR="00806E12" w:rsidRPr="00143AC9" w:rsidRDefault="00806E12" w:rsidP="005C43EB">
            <w:pPr>
              <w:pStyle w:val="A-TableText"/>
              <w:jc w:val="center"/>
            </w:pPr>
            <w:r w:rsidRPr="00143AC9">
              <w:t>0</w:t>
            </w:r>
          </w:p>
        </w:tc>
        <w:tc>
          <w:tcPr>
            <w:tcW w:w="1000" w:type="pct"/>
          </w:tcPr>
          <w:p w14:paraId="590E8A04" w14:textId="77777777" w:rsidR="00806E12" w:rsidRPr="00143AC9" w:rsidRDefault="00806E12" w:rsidP="005C43EB">
            <w:pPr>
              <w:pStyle w:val="A-TableText"/>
              <w:jc w:val="center"/>
            </w:pPr>
            <w:r w:rsidRPr="00143AC9">
              <w:t>4.4</w:t>
            </w:r>
          </w:p>
        </w:tc>
        <w:tc>
          <w:tcPr>
            <w:tcW w:w="1000" w:type="pct"/>
          </w:tcPr>
          <w:p w14:paraId="1DD19E96" w14:textId="77777777" w:rsidR="00806E12" w:rsidRPr="00143AC9" w:rsidRDefault="00806E12" w:rsidP="005C43EB">
            <w:pPr>
              <w:pStyle w:val="A-TableText"/>
              <w:jc w:val="center"/>
            </w:pPr>
            <w:r w:rsidRPr="00143AC9">
              <w:t>0</w:t>
            </w:r>
          </w:p>
        </w:tc>
      </w:tr>
      <w:tr w:rsidR="00806E12" w:rsidRPr="00143AC9" w14:paraId="7D4B5418" w14:textId="77777777" w:rsidTr="002838B1">
        <w:trPr>
          <w:cantSplit/>
          <w:trHeight w:val="327"/>
          <w:tblHeader/>
        </w:trPr>
        <w:tc>
          <w:tcPr>
            <w:tcW w:w="1000" w:type="pct"/>
          </w:tcPr>
          <w:p w14:paraId="3EAB6E34" w14:textId="77777777" w:rsidR="00806E12" w:rsidRPr="00143AC9" w:rsidRDefault="00806E12" w:rsidP="002838B1">
            <w:pPr>
              <w:pStyle w:val="A-TableText"/>
            </w:pPr>
            <w:r w:rsidRPr="00143AC9">
              <w:t>Paronychia</w:t>
            </w:r>
            <w:r w:rsidRPr="00143AC9">
              <w:rPr>
                <w:vertAlign w:val="superscript"/>
              </w:rPr>
              <w:t>h</w:t>
            </w:r>
          </w:p>
        </w:tc>
        <w:tc>
          <w:tcPr>
            <w:tcW w:w="1000" w:type="pct"/>
          </w:tcPr>
          <w:p w14:paraId="51AF9735" w14:textId="77777777" w:rsidR="00806E12" w:rsidRPr="00143AC9" w:rsidRDefault="00806E12" w:rsidP="005C43EB">
            <w:pPr>
              <w:pStyle w:val="A-TableText"/>
              <w:jc w:val="center"/>
            </w:pPr>
            <w:r w:rsidRPr="00143AC9">
              <w:t>22</w:t>
            </w:r>
          </w:p>
        </w:tc>
        <w:tc>
          <w:tcPr>
            <w:tcW w:w="1000" w:type="pct"/>
          </w:tcPr>
          <w:p w14:paraId="5848AFAF" w14:textId="77777777" w:rsidR="00806E12" w:rsidRPr="00143AC9" w:rsidRDefault="00806E12" w:rsidP="005C43EB">
            <w:pPr>
              <w:pStyle w:val="A-TableText"/>
              <w:jc w:val="center"/>
            </w:pPr>
            <w:r w:rsidRPr="00143AC9">
              <w:t>0</w:t>
            </w:r>
          </w:p>
        </w:tc>
        <w:tc>
          <w:tcPr>
            <w:tcW w:w="1000" w:type="pct"/>
          </w:tcPr>
          <w:p w14:paraId="7788A7D5" w14:textId="77777777" w:rsidR="00806E12" w:rsidRPr="00143AC9" w:rsidRDefault="00806E12" w:rsidP="005C43EB">
            <w:pPr>
              <w:pStyle w:val="A-TableText"/>
              <w:jc w:val="center"/>
            </w:pPr>
            <w:r w:rsidRPr="00143AC9">
              <w:t>1.5</w:t>
            </w:r>
          </w:p>
        </w:tc>
        <w:tc>
          <w:tcPr>
            <w:tcW w:w="1000" w:type="pct"/>
          </w:tcPr>
          <w:p w14:paraId="509B9FB9" w14:textId="77777777" w:rsidR="00806E12" w:rsidRPr="00143AC9" w:rsidRDefault="00806E12" w:rsidP="005C43EB">
            <w:pPr>
              <w:pStyle w:val="A-TableText"/>
              <w:jc w:val="center"/>
            </w:pPr>
            <w:r w:rsidRPr="00143AC9">
              <w:t>0</w:t>
            </w:r>
          </w:p>
        </w:tc>
      </w:tr>
      <w:tr w:rsidR="00806E12" w:rsidRPr="00143AC9" w14:paraId="6238AB66" w14:textId="77777777" w:rsidTr="002838B1">
        <w:trPr>
          <w:cantSplit/>
          <w:trHeight w:val="327"/>
          <w:tblHeader/>
        </w:trPr>
        <w:tc>
          <w:tcPr>
            <w:tcW w:w="1000" w:type="pct"/>
          </w:tcPr>
          <w:p w14:paraId="4DE61F65" w14:textId="77777777" w:rsidR="00806E12" w:rsidRPr="00143AC9" w:rsidRDefault="00806E12" w:rsidP="002838B1">
            <w:pPr>
              <w:pStyle w:val="A-TableText"/>
            </w:pPr>
            <w:r w:rsidRPr="00143AC9">
              <w:t>Pruritus</w:t>
            </w:r>
            <w:r w:rsidRPr="00143AC9">
              <w:rPr>
                <w:vertAlign w:val="superscript"/>
              </w:rPr>
              <w:t>i</w:t>
            </w:r>
          </w:p>
        </w:tc>
        <w:tc>
          <w:tcPr>
            <w:tcW w:w="1000" w:type="pct"/>
          </w:tcPr>
          <w:p w14:paraId="104F3724" w14:textId="77777777" w:rsidR="00806E12" w:rsidRPr="00143AC9" w:rsidRDefault="00806E12" w:rsidP="005C43EB">
            <w:pPr>
              <w:pStyle w:val="A-TableText"/>
              <w:jc w:val="center"/>
            </w:pPr>
            <w:r w:rsidRPr="00143AC9">
              <w:t>13</w:t>
            </w:r>
          </w:p>
        </w:tc>
        <w:tc>
          <w:tcPr>
            <w:tcW w:w="1000" w:type="pct"/>
          </w:tcPr>
          <w:p w14:paraId="4A032490" w14:textId="77777777" w:rsidR="00806E12" w:rsidRPr="00143AC9" w:rsidRDefault="00806E12" w:rsidP="005C43EB">
            <w:pPr>
              <w:pStyle w:val="A-TableText"/>
              <w:jc w:val="center"/>
            </w:pPr>
            <w:r w:rsidRPr="00143AC9">
              <w:t>0</w:t>
            </w:r>
          </w:p>
        </w:tc>
        <w:tc>
          <w:tcPr>
            <w:tcW w:w="1000" w:type="pct"/>
          </w:tcPr>
          <w:p w14:paraId="759E82E6" w14:textId="77777777" w:rsidR="00806E12" w:rsidRPr="00143AC9" w:rsidRDefault="00806E12" w:rsidP="005C43EB">
            <w:pPr>
              <w:pStyle w:val="A-TableText"/>
              <w:jc w:val="center"/>
            </w:pPr>
            <w:r w:rsidRPr="00143AC9">
              <w:t>5.1</w:t>
            </w:r>
          </w:p>
        </w:tc>
        <w:tc>
          <w:tcPr>
            <w:tcW w:w="1000" w:type="pct"/>
          </w:tcPr>
          <w:p w14:paraId="5D10A28C" w14:textId="77777777" w:rsidR="00806E12" w:rsidRPr="00143AC9" w:rsidRDefault="00806E12" w:rsidP="005C43EB">
            <w:pPr>
              <w:pStyle w:val="A-TableText"/>
              <w:jc w:val="center"/>
            </w:pPr>
            <w:r w:rsidRPr="00143AC9">
              <w:t>0</w:t>
            </w:r>
          </w:p>
        </w:tc>
      </w:tr>
      <w:tr w:rsidR="00806E12" w:rsidRPr="00143AC9" w14:paraId="2B37A4D6" w14:textId="77777777" w:rsidTr="002838B1">
        <w:trPr>
          <w:cantSplit/>
          <w:trHeight w:val="327"/>
          <w:tblHeader/>
        </w:trPr>
        <w:tc>
          <w:tcPr>
            <w:tcW w:w="1000" w:type="pct"/>
          </w:tcPr>
          <w:p w14:paraId="33146064" w14:textId="77777777" w:rsidR="00806E12" w:rsidRPr="00143AC9" w:rsidRDefault="00806E12" w:rsidP="002838B1">
            <w:pPr>
              <w:pStyle w:val="A-TableHeader"/>
            </w:pPr>
            <w:r w:rsidRPr="00143AC9">
              <w:t xml:space="preserve">Investigations </w:t>
            </w:r>
          </w:p>
          <w:p w14:paraId="2FC2AB3B" w14:textId="77777777" w:rsidR="00806E12" w:rsidRPr="00143AC9" w:rsidRDefault="00806E12" w:rsidP="002838B1">
            <w:pPr>
              <w:pStyle w:val="A-TableHeader"/>
            </w:pPr>
            <w:r w:rsidRPr="00143AC9">
              <w:rPr>
                <w:lang w:val="sv-SE"/>
              </w:rPr>
              <w:t>QTc interval prolongation</w:t>
            </w:r>
            <w:r w:rsidRPr="00143AC9">
              <w:rPr>
                <w:vertAlign w:val="superscript"/>
              </w:rPr>
              <w:t>j</w:t>
            </w:r>
          </w:p>
        </w:tc>
        <w:tc>
          <w:tcPr>
            <w:tcW w:w="2000" w:type="pct"/>
            <w:gridSpan w:val="2"/>
          </w:tcPr>
          <w:p w14:paraId="5A2FB42C" w14:textId="77777777" w:rsidR="00806E12" w:rsidRPr="00143AC9" w:rsidRDefault="00806E12" w:rsidP="00C31980">
            <w:pPr>
              <w:pStyle w:val="A-TableText"/>
              <w:jc w:val="center"/>
            </w:pPr>
            <w:r w:rsidRPr="00143AC9">
              <w:t>1.4</w:t>
            </w:r>
          </w:p>
        </w:tc>
        <w:tc>
          <w:tcPr>
            <w:tcW w:w="2000" w:type="pct"/>
            <w:gridSpan w:val="2"/>
          </w:tcPr>
          <w:p w14:paraId="731FEF99" w14:textId="77777777" w:rsidR="00806E12" w:rsidRPr="00143AC9" w:rsidRDefault="00806E12" w:rsidP="00C31980">
            <w:pPr>
              <w:pStyle w:val="A-TableText"/>
              <w:jc w:val="center"/>
            </w:pPr>
            <w:r w:rsidRPr="00143AC9">
              <w:t>0</w:t>
            </w:r>
          </w:p>
        </w:tc>
      </w:tr>
      <w:tr w:rsidR="00806E12" w:rsidRPr="00143AC9" w14:paraId="0453C638" w14:textId="77777777" w:rsidTr="002838B1">
        <w:trPr>
          <w:cantSplit/>
          <w:trHeight w:val="327"/>
          <w:tblHeader/>
        </w:trPr>
        <w:tc>
          <w:tcPr>
            <w:tcW w:w="5000" w:type="pct"/>
            <w:gridSpan w:val="5"/>
          </w:tcPr>
          <w:p w14:paraId="10BB8115" w14:textId="77777777" w:rsidR="00806E12" w:rsidRPr="00143AC9" w:rsidRDefault="00806E12" w:rsidP="002838B1">
            <w:pPr>
              <w:pStyle w:val="A-TableHeader"/>
            </w:pPr>
            <w:r w:rsidRPr="00143AC9">
              <w:t>(Findings based on test results presented as CTCAE grade shifts)</w:t>
            </w:r>
          </w:p>
        </w:tc>
      </w:tr>
      <w:tr w:rsidR="00806E12" w:rsidRPr="00143AC9" w14:paraId="1A6FE1D6" w14:textId="77777777" w:rsidTr="002838B1">
        <w:trPr>
          <w:cantSplit/>
          <w:trHeight w:val="436"/>
          <w:tblHeader/>
        </w:trPr>
        <w:tc>
          <w:tcPr>
            <w:tcW w:w="1000" w:type="pct"/>
          </w:tcPr>
          <w:p w14:paraId="1CE7FFAE" w14:textId="77777777" w:rsidR="00806E12" w:rsidRPr="00143AC9" w:rsidRDefault="00806E12" w:rsidP="002838B1">
            <w:pPr>
              <w:pStyle w:val="A-TableHeader"/>
              <w:rPr>
                <w:lang w:val="sv-SE"/>
              </w:rPr>
            </w:pPr>
            <w:r w:rsidRPr="00143AC9">
              <w:t>Platelet count decreased</w:t>
            </w:r>
            <w:r w:rsidRPr="00143AC9">
              <w:rPr>
                <w:vertAlign w:val="superscript"/>
              </w:rPr>
              <w:t>k</w:t>
            </w:r>
          </w:p>
        </w:tc>
        <w:tc>
          <w:tcPr>
            <w:tcW w:w="1000" w:type="pct"/>
          </w:tcPr>
          <w:p w14:paraId="0B486592" w14:textId="77777777" w:rsidR="00806E12" w:rsidRPr="00143AC9" w:rsidRDefault="00806E12" w:rsidP="00C31980">
            <w:pPr>
              <w:pStyle w:val="A-TableText"/>
              <w:jc w:val="center"/>
            </w:pPr>
            <w:r w:rsidRPr="00143AC9">
              <w:t>46</w:t>
            </w:r>
          </w:p>
        </w:tc>
        <w:tc>
          <w:tcPr>
            <w:tcW w:w="1000" w:type="pct"/>
          </w:tcPr>
          <w:p w14:paraId="736D3DB8" w14:textId="77777777" w:rsidR="00806E12" w:rsidRPr="00143AC9" w:rsidRDefault="00806E12" w:rsidP="00C31980">
            <w:pPr>
              <w:pStyle w:val="A-TableText"/>
              <w:jc w:val="center"/>
            </w:pPr>
            <w:r w:rsidRPr="00143AC9">
              <w:t>0.7</w:t>
            </w:r>
          </w:p>
        </w:tc>
        <w:tc>
          <w:tcPr>
            <w:tcW w:w="1000" w:type="pct"/>
          </w:tcPr>
          <w:p w14:paraId="40E5B813" w14:textId="77777777" w:rsidR="00806E12" w:rsidRPr="00143AC9" w:rsidRDefault="00806E12" w:rsidP="00C31980">
            <w:pPr>
              <w:pStyle w:val="A-TableText"/>
              <w:jc w:val="center"/>
            </w:pPr>
            <w:r w:rsidRPr="00143AC9">
              <w:t>48</w:t>
            </w:r>
          </w:p>
        </w:tc>
        <w:tc>
          <w:tcPr>
            <w:tcW w:w="1000" w:type="pct"/>
          </w:tcPr>
          <w:p w14:paraId="47D39109" w14:textId="77777777" w:rsidR="00806E12" w:rsidRPr="00143AC9" w:rsidRDefault="00806E12" w:rsidP="00C31980">
            <w:pPr>
              <w:pStyle w:val="A-TableText"/>
              <w:jc w:val="center"/>
            </w:pPr>
            <w:r w:rsidRPr="00143AC9">
              <w:t>7.4</w:t>
            </w:r>
          </w:p>
        </w:tc>
      </w:tr>
      <w:tr w:rsidR="00806E12" w:rsidRPr="00143AC9" w14:paraId="743FEE88" w14:textId="77777777" w:rsidTr="002838B1">
        <w:trPr>
          <w:cantSplit/>
          <w:trHeight w:val="436"/>
          <w:tblHeader/>
        </w:trPr>
        <w:tc>
          <w:tcPr>
            <w:tcW w:w="1000" w:type="pct"/>
          </w:tcPr>
          <w:p w14:paraId="513780DE" w14:textId="77777777" w:rsidR="00806E12" w:rsidRPr="00143AC9" w:rsidRDefault="00806E12" w:rsidP="002838B1">
            <w:pPr>
              <w:pStyle w:val="A-TableHeader"/>
              <w:rPr>
                <w:lang w:val="sv-SE"/>
              </w:rPr>
            </w:pPr>
            <w:r w:rsidRPr="00143AC9">
              <w:t>Leukocytes decreased</w:t>
            </w:r>
            <w:r w:rsidRPr="00143AC9">
              <w:rPr>
                <w:vertAlign w:val="superscript"/>
              </w:rPr>
              <w:t>k</w:t>
            </w:r>
          </w:p>
        </w:tc>
        <w:tc>
          <w:tcPr>
            <w:tcW w:w="1000" w:type="pct"/>
          </w:tcPr>
          <w:p w14:paraId="5957B258" w14:textId="77777777" w:rsidR="00806E12" w:rsidRPr="00143AC9" w:rsidRDefault="00806E12" w:rsidP="00C31980">
            <w:pPr>
              <w:pStyle w:val="A-TableText"/>
              <w:jc w:val="center"/>
            </w:pPr>
            <w:r w:rsidRPr="00143AC9">
              <w:t>61</w:t>
            </w:r>
          </w:p>
        </w:tc>
        <w:tc>
          <w:tcPr>
            <w:tcW w:w="1000" w:type="pct"/>
          </w:tcPr>
          <w:p w14:paraId="1461B0D0" w14:textId="77777777" w:rsidR="00806E12" w:rsidRPr="00143AC9" w:rsidRDefault="00806E12" w:rsidP="00C31980">
            <w:pPr>
              <w:pStyle w:val="A-TableText"/>
              <w:jc w:val="center"/>
            </w:pPr>
            <w:r w:rsidRPr="00143AC9">
              <w:t>1.1</w:t>
            </w:r>
          </w:p>
        </w:tc>
        <w:tc>
          <w:tcPr>
            <w:tcW w:w="1000" w:type="pct"/>
          </w:tcPr>
          <w:p w14:paraId="02C8E30C" w14:textId="77777777" w:rsidR="00806E12" w:rsidRPr="00143AC9" w:rsidRDefault="00806E12" w:rsidP="00C31980">
            <w:pPr>
              <w:pStyle w:val="A-TableText"/>
              <w:jc w:val="center"/>
            </w:pPr>
            <w:r w:rsidRPr="00143AC9">
              <w:t>75</w:t>
            </w:r>
          </w:p>
        </w:tc>
        <w:tc>
          <w:tcPr>
            <w:tcW w:w="1000" w:type="pct"/>
          </w:tcPr>
          <w:p w14:paraId="6FBB01C6" w14:textId="77777777" w:rsidR="00806E12" w:rsidRPr="00143AC9" w:rsidRDefault="00806E12" w:rsidP="00C31980">
            <w:pPr>
              <w:pStyle w:val="A-TableText"/>
              <w:jc w:val="center"/>
            </w:pPr>
            <w:r w:rsidRPr="00143AC9">
              <w:t>5.3</w:t>
            </w:r>
          </w:p>
        </w:tc>
      </w:tr>
      <w:tr w:rsidR="00806E12" w:rsidRPr="00143AC9" w14:paraId="34994012" w14:textId="77777777" w:rsidTr="002838B1">
        <w:trPr>
          <w:cantSplit/>
          <w:trHeight w:val="436"/>
          <w:tblHeader/>
        </w:trPr>
        <w:tc>
          <w:tcPr>
            <w:tcW w:w="1000" w:type="pct"/>
          </w:tcPr>
          <w:p w14:paraId="53AED403" w14:textId="77777777" w:rsidR="00806E12" w:rsidRPr="00143AC9" w:rsidRDefault="00806E12" w:rsidP="002838B1">
            <w:pPr>
              <w:pStyle w:val="A-TableHeader"/>
              <w:rPr>
                <w:lang w:val="sv-SE"/>
              </w:rPr>
            </w:pPr>
            <w:r w:rsidRPr="00143AC9">
              <w:t>Neutrophils decreased</w:t>
            </w:r>
            <w:r w:rsidRPr="00143AC9">
              <w:rPr>
                <w:vertAlign w:val="superscript"/>
              </w:rPr>
              <w:t>k</w:t>
            </w:r>
          </w:p>
        </w:tc>
        <w:tc>
          <w:tcPr>
            <w:tcW w:w="1000" w:type="pct"/>
          </w:tcPr>
          <w:p w14:paraId="750853A0" w14:textId="77777777" w:rsidR="00806E12" w:rsidRPr="00143AC9" w:rsidRDefault="00806E12" w:rsidP="00C31980">
            <w:pPr>
              <w:pStyle w:val="A-TableText"/>
              <w:jc w:val="center"/>
            </w:pPr>
            <w:r w:rsidRPr="00143AC9">
              <w:t>27</w:t>
            </w:r>
          </w:p>
        </w:tc>
        <w:tc>
          <w:tcPr>
            <w:tcW w:w="1000" w:type="pct"/>
          </w:tcPr>
          <w:p w14:paraId="5B7D077A" w14:textId="77777777" w:rsidR="00806E12" w:rsidRPr="00143AC9" w:rsidRDefault="00806E12" w:rsidP="00C31980">
            <w:pPr>
              <w:pStyle w:val="A-TableText"/>
              <w:jc w:val="center"/>
            </w:pPr>
            <w:r w:rsidRPr="00143AC9">
              <w:t>2.2</w:t>
            </w:r>
          </w:p>
        </w:tc>
        <w:tc>
          <w:tcPr>
            <w:tcW w:w="1000" w:type="pct"/>
          </w:tcPr>
          <w:p w14:paraId="6694B1F4" w14:textId="77777777" w:rsidR="00806E12" w:rsidRPr="00143AC9" w:rsidRDefault="00806E12" w:rsidP="00C31980">
            <w:pPr>
              <w:pStyle w:val="A-TableText"/>
              <w:jc w:val="center"/>
            </w:pPr>
            <w:r w:rsidRPr="00143AC9">
              <w:t>49</w:t>
            </w:r>
          </w:p>
        </w:tc>
        <w:tc>
          <w:tcPr>
            <w:tcW w:w="1000" w:type="pct"/>
          </w:tcPr>
          <w:p w14:paraId="717BC749" w14:textId="77777777" w:rsidR="00806E12" w:rsidRPr="00143AC9" w:rsidRDefault="00806E12" w:rsidP="00C31980">
            <w:pPr>
              <w:pStyle w:val="A-TableText"/>
              <w:jc w:val="center"/>
            </w:pPr>
            <w:r w:rsidRPr="00143AC9">
              <w:t>12</w:t>
            </w:r>
          </w:p>
        </w:tc>
      </w:tr>
    </w:tbl>
    <w:p w14:paraId="763BB273" w14:textId="060AED75" w:rsidR="00806E12" w:rsidRPr="00143AC9" w:rsidRDefault="00806E12" w:rsidP="0045667F">
      <w:pPr>
        <w:pStyle w:val="A-TableFootnoteText"/>
      </w:pPr>
      <w:r w:rsidRPr="00143AC9">
        <w:rPr>
          <w:vertAlign w:val="superscript"/>
        </w:rPr>
        <w:t>a</w:t>
      </w:r>
      <w:r w:rsidRPr="00143AC9">
        <w:tab/>
      </w:r>
      <w:r w:rsidR="00A00989">
        <w:t>Data is cumulative from AURA3 study; o</w:t>
      </w:r>
      <w:r w:rsidRPr="00143AC9">
        <w:t>nly events for patients receiving at least one dose of TAGRISSO are summarised.</w:t>
      </w:r>
    </w:p>
    <w:p w14:paraId="6B39E3A8" w14:textId="77777777" w:rsidR="00806E12" w:rsidRPr="00143AC9" w:rsidRDefault="00806E12" w:rsidP="0045667F">
      <w:pPr>
        <w:pStyle w:val="A-TableFootnoteText"/>
      </w:pPr>
      <w:r w:rsidRPr="00143AC9">
        <w:rPr>
          <w:vertAlign w:val="superscript"/>
        </w:rPr>
        <w:t>b</w:t>
      </w:r>
      <w:r w:rsidRPr="00143AC9">
        <w:tab/>
        <w:t>National Cancer Institute Common Terminology Criteria for Adverse Events, version 4.0.</w:t>
      </w:r>
    </w:p>
    <w:p w14:paraId="26DF83DE" w14:textId="77777777" w:rsidR="00806E12" w:rsidRPr="00143AC9" w:rsidRDefault="00806E12" w:rsidP="0045667F">
      <w:pPr>
        <w:pStyle w:val="A-TableFootnoteText"/>
      </w:pPr>
      <w:r w:rsidRPr="00143AC9">
        <w:rPr>
          <w:vertAlign w:val="superscript"/>
        </w:rPr>
        <w:t>c</w:t>
      </w:r>
      <w:r w:rsidRPr="00143AC9">
        <w:tab/>
        <w:t>Includes cases reported within the clustered terms: Interstitial lung disease and pneumonitis.</w:t>
      </w:r>
    </w:p>
    <w:p w14:paraId="67D29B69" w14:textId="77777777" w:rsidR="00806E12" w:rsidRPr="00143AC9" w:rsidRDefault="00806E12" w:rsidP="0045667F">
      <w:pPr>
        <w:pStyle w:val="A-TableFootnoteText"/>
      </w:pPr>
      <w:r w:rsidRPr="00143AC9">
        <w:rPr>
          <w:vertAlign w:val="superscript"/>
        </w:rPr>
        <w:t>d</w:t>
      </w:r>
      <w:r w:rsidRPr="00143AC9">
        <w:tab/>
        <w:t>1 CTCAE grade 5 event (fatal) was reported.</w:t>
      </w:r>
    </w:p>
    <w:p w14:paraId="15A0FB17" w14:textId="77777777" w:rsidR="00806E12" w:rsidRPr="00143AC9" w:rsidRDefault="00806E12" w:rsidP="0045667F">
      <w:pPr>
        <w:pStyle w:val="A-TableFootnoteText"/>
      </w:pPr>
      <w:r w:rsidRPr="00143AC9">
        <w:rPr>
          <w:vertAlign w:val="superscript"/>
        </w:rPr>
        <w:t>e</w:t>
      </w:r>
      <w:r w:rsidRPr="00143AC9">
        <w:tab/>
        <w:t>Includes cases reported within the clustered terms: keratitis, punctate keratitis, corneal epithelium defect and corneal erosion.</w:t>
      </w:r>
    </w:p>
    <w:p w14:paraId="5BCD6311" w14:textId="77777777" w:rsidR="00806E12" w:rsidRPr="00143AC9" w:rsidRDefault="00806E12" w:rsidP="0045667F">
      <w:pPr>
        <w:pStyle w:val="A-TableFootnoteText"/>
      </w:pPr>
      <w:r w:rsidRPr="00143AC9">
        <w:rPr>
          <w:vertAlign w:val="superscript"/>
        </w:rPr>
        <w:t>f</w:t>
      </w:r>
      <w:r w:rsidRPr="00143AC9">
        <w:tab/>
        <w:t>Includes cases reported within the clustered terms for rash AEs: Rash, rash generalised, rash erythematous, rash macular, rash maculo-papular, rash papular, rash pustular, erythema, folliculitis, acne, dermatitis and dermatitis acneiform.</w:t>
      </w:r>
    </w:p>
    <w:p w14:paraId="715E687A" w14:textId="77777777" w:rsidR="00806E12" w:rsidRPr="00143AC9" w:rsidRDefault="00806E12" w:rsidP="0045667F">
      <w:pPr>
        <w:pStyle w:val="A-TableFootnoteText"/>
      </w:pPr>
      <w:r w:rsidRPr="00143AC9">
        <w:rPr>
          <w:vertAlign w:val="superscript"/>
        </w:rPr>
        <w:t>g</w:t>
      </w:r>
      <w:r w:rsidRPr="00143AC9">
        <w:tab/>
        <w:t>Includes cases reported within the clustered terms: Dry skin, skin fissures, xerosis, eczema.</w:t>
      </w:r>
    </w:p>
    <w:p w14:paraId="4DDB0056" w14:textId="77777777" w:rsidR="00806E12" w:rsidRPr="00143AC9" w:rsidRDefault="00806E12" w:rsidP="0045667F">
      <w:pPr>
        <w:pStyle w:val="A-TableFootnoteText"/>
      </w:pPr>
      <w:r w:rsidRPr="00143AC9">
        <w:rPr>
          <w:vertAlign w:val="superscript"/>
        </w:rPr>
        <w:t>h</w:t>
      </w:r>
      <w:r w:rsidRPr="00143AC9">
        <w:tab/>
        <w:t>Includes cases reported within the clustered terms: Nail disorders, nail bed disorders, nail bed inflammation, nail bed tenderness, nail discoloration, nail disorder, nail dystrophy, nail infection, nail ridging, onychoclasis, onycholysis, onychomadesis, paronychia.</w:t>
      </w:r>
    </w:p>
    <w:p w14:paraId="65A8D25C" w14:textId="77777777" w:rsidR="00806E12" w:rsidRPr="00143AC9" w:rsidRDefault="00806E12" w:rsidP="0045667F">
      <w:pPr>
        <w:pStyle w:val="A-TableFootnoteText"/>
      </w:pPr>
      <w:r w:rsidRPr="00143AC9">
        <w:rPr>
          <w:vertAlign w:val="superscript"/>
        </w:rPr>
        <w:t>i</w:t>
      </w:r>
      <w:r w:rsidRPr="00143AC9">
        <w:tab/>
        <w:t>Includes cases reported within the clustered terms: Pruritus, pruritus generalised, eyelid pruritus.</w:t>
      </w:r>
    </w:p>
    <w:p w14:paraId="189AFB93" w14:textId="77777777" w:rsidR="00806E12" w:rsidRPr="00143AC9" w:rsidRDefault="00806E12" w:rsidP="0045667F">
      <w:pPr>
        <w:pStyle w:val="A-TableFootnoteText"/>
      </w:pPr>
      <w:r w:rsidRPr="00143AC9">
        <w:rPr>
          <w:vertAlign w:val="superscript"/>
        </w:rPr>
        <w:t>j</w:t>
      </w:r>
      <w:r w:rsidRPr="00143AC9">
        <w:rPr>
          <w:vertAlign w:val="superscript"/>
        </w:rPr>
        <w:tab/>
      </w:r>
      <w:r w:rsidRPr="00143AC9">
        <w:t>Represents</w:t>
      </w:r>
      <w:r w:rsidRPr="00143AC9">
        <w:rPr>
          <w:vertAlign w:val="superscript"/>
        </w:rPr>
        <w:t xml:space="preserve"> </w:t>
      </w:r>
      <w:r w:rsidRPr="00143AC9">
        <w:t>the incidence of patients who had a QTcF prolongation &gt;500msec</w:t>
      </w:r>
    </w:p>
    <w:p w14:paraId="0CB1FC50" w14:textId="77777777" w:rsidR="00806E12" w:rsidRPr="00143AC9" w:rsidRDefault="00806E12" w:rsidP="0045667F">
      <w:pPr>
        <w:pStyle w:val="A-TableFootnoteText"/>
      </w:pPr>
      <w:r w:rsidRPr="00143AC9">
        <w:rPr>
          <w:vertAlign w:val="superscript"/>
        </w:rPr>
        <w:t>k</w:t>
      </w:r>
      <w:r w:rsidRPr="00143AC9">
        <w:tab/>
        <w:t>Represents the incidence of laboratory findings, not of reported adverse events.</w:t>
      </w:r>
    </w:p>
    <w:p w14:paraId="23294E99" w14:textId="77777777" w:rsidR="00806E12" w:rsidRPr="00143AC9" w:rsidRDefault="00806E12" w:rsidP="00806E12">
      <w:pPr>
        <w:pStyle w:val="NormalWeb"/>
        <w:spacing w:before="0" w:beforeAutospacing="0" w:after="0" w:afterAutospacing="0" w:line="280" w:lineRule="atLeast"/>
        <w:rPr>
          <w:rFonts w:ascii="Arial" w:hAnsi="Arial" w:cs="Arial"/>
          <w:lang w:val="en-GB"/>
        </w:rPr>
      </w:pPr>
    </w:p>
    <w:p w14:paraId="02B90CA4" w14:textId="020A144F" w:rsidR="00806E12" w:rsidRPr="00143AC9" w:rsidRDefault="00806E12" w:rsidP="0095727B">
      <w:r w:rsidRPr="00143AC9">
        <w:rPr>
          <w:lang w:val="en-GB"/>
        </w:rPr>
        <w:t>Safety findings in the single-arm Phase 2 AURAex and AURA2 studies were generally consistent with those observed in the AURA3 TAGRISSO arm. No additional or unexpected toxicity has been observed and adverse events have been aligned in type, severity and frequency.</w:t>
      </w:r>
      <w:r w:rsidRPr="00143AC9">
        <w:rPr>
          <w:szCs w:val="20"/>
          <w:vertAlign w:val="superscript"/>
          <w:lang w:val="en-GB"/>
        </w:rPr>
        <w:t xml:space="preserve"> </w:t>
      </w:r>
    </w:p>
    <w:p w14:paraId="35DCBB2A" w14:textId="18B54133" w:rsidR="00806E12" w:rsidRPr="00143AC9" w:rsidRDefault="00806E12" w:rsidP="00AF6566">
      <w:pPr>
        <w:rPr>
          <w:lang w:val="en-GB"/>
        </w:rPr>
      </w:pPr>
    </w:p>
    <w:p w14:paraId="7005184A" w14:textId="0F99FC7D" w:rsidR="00806E12" w:rsidRPr="00143AC9" w:rsidRDefault="00806E12" w:rsidP="00AF6566">
      <w:pPr>
        <w:pStyle w:val="Heading3"/>
      </w:pPr>
      <w:r w:rsidRPr="00143AC9">
        <w:lastRenderedPageBreak/>
        <w:t>Interstitial lung disease (ILD</w:t>
      </w:r>
      <w:r w:rsidR="00321224" w:rsidRPr="00143AC9">
        <w:t>)</w:t>
      </w:r>
    </w:p>
    <w:p w14:paraId="0E81CD84" w14:textId="12FF1284" w:rsidR="00806E12" w:rsidRDefault="00806E12" w:rsidP="00AF6566">
      <w:pPr>
        <w:rPr>
          <w:lang w:val="en-GB"/>
        </w:rPr>
      </w:pPr>
      <w:r w:rsidRPr="00143AC9">
        <w:rPr>
          <w:lang w:val="en-GB"/>
        </w:rPr>
        <w:t xml:space="preserve">In FLAURA and AURA studies, the incidence of ILD was 10.4% in patients of Japanese ethnicity, 1.8% in patients of non-Japanese Asian ethnicity and 2.8% in non-Asian patients. The median time to onset of ILD or ILD-like adverse reactions was 2.8 months (see </w:t>
      </w:r>
      <w:r w:rsidR="00E519BA" w:rsidRPr="00143AC9">
        <w:rPr>
          <w:lang w:val="en-GB"/>
        </w:rPr>
        <w:t>Section 4.4</w:t>
      </w:r>
      <w:r w:rsidR="003F4C61" w:rsidRPr="00143AC9">
        <w:rPr>
          <w:lang w:val="en-GB"/>
        </w:rPr>
        <w:t>, Special warnings and precautions for use</w:t>
      </w:r>
      <w:r w:rsidRPr="00143AC9">
        <w:rPr>
          <w:lang w:val="en-GB"/>
        </w:rPr>
        <w:t>).</w:t>
      </w:r>
    </w:p>
    <w:p w14:paraId="5E76177C" w14:textId="77777777" w:rsidR="00511186" w:rsidRPr="00143AC9" w:rsidRDefault="00511186" w:rsidP="00AF6566">
      <w:pPr>
        <w:rPr>
          <w:lang w:val="en-GB"/>
        </w:rPr>
      </w:pPr>
    </w:p>
    <w:p w14:paraId="24B5F388" w14:textId="77777777" w:rsidR="00806E12" w:rsidRPr="00143AC9" w:rsidRDefault="00806E12" w:rsidP="00AF6566">
      <w:pPr>
        <w:pStyle w:val="Heading3"/>
      </w:pPr>
      <w:r w:rsidRPr="00143AC9">
        <w:t>Haematological events</w:t>
      </w:r>
    </w:p>
    <w:p w14:paraId="734C732F" w14:textId="78519F1A" w:rsidR="00806E12" w:rsidRDefault="00806E12" w:rsidP="00AF6566">
      <w:r w:rsidRPr="00143AC9">
        <w:t>Early reductions in the median laboratory counts of leukocytes, lymphocytes, neutrophils and platelets have been observed in patients treated with TAGRISSO, which stabilised over time and the</w:t>
      </w:r>
      <w:r w:rsidRPr="00143AC9">
        <w:rPr>
          <w:bCs/>
          <w:iCs/>
        </w:rPr>
        <w:t>n</w:t>
      </w:r>
      <w:r w:rsidRPr="00143AC9">
        <w:t xml:space="preserve"> remained above the lower limit of normal. Adverse events of leukopenia, lymphopenia, neutropenia and thrombocytopenia have been reported, most of which were mild or </w:t>
      </w:r>
      <w:r w:rsidRPr="00336E4C">
        <w:t>moderate in severity and did not lead to dose interruptions</w:t>
      </w:r>
      <w:r w:rsidR="009258A4" w:rsidRPr="00336E4C">
        <w:t xml:space="preserve"> (see Table 1, Dose adjustment information for adverse reactions; Section 4.2, Dose and method of administration)</w:t>
      </w:r>
      <w:r w:rsidRPr="00336E4C">
        <w:t>.</w:t>
      </w:r>
    </w:p>
    <w:p w14:paraId="6E519DDB" w14:textId="77777777" w:rsidR="00511186" w:rsidRPr="00143AC9" w:rsidRDefault="00511186" w:rsidP="00AF6566"/>
    <w:p w14:paraId="56EBB68D" w14:textId="77777777" w:rsidR="00806E12" w:rsidRPr="00143AC9" w:rsidRDefault="00806E12" w:rsidP="001F2BE6">
      <w:pPr>
        <w:pStyle w:val="Heading3"/>
      </w:pPr>
      <w:r w:rsidRPr="00143AC9">
        <w:t>QT Interval Prolongation</w:t>
      </w:r>
    </w:p>
    <w:p w14:paraId="1371E5F3" w14:textId="4134560A" w:rsidR="00806E12" w:rsidRPr="00143AC9" w:rsidRDefault="00806E12" w:rsidP="00AF6566">
      <w:r w:rsidRPr="00143AC9">
        <w:t xml:space="preserve">Of the 1142 patients in FLAURA and AURA studies treated with TAGRISSO 80 mg, 0.9% of patients (n=10) were found to have a QTc greater than 500 msec, and 3.6% of patients (n=41) had an increase from baseline QTc greater than 60 msec. A pharmacokinetic analysis with TAGRISSO predicted a concentration-dependent increase in QTc interval prolongation. No QTc-related arrhythmias were reported in FLAURA or AURA studies (see </w:t>
      </w:r>
      <w:r w:rsidR="00F567C9" w:rsidRPr="00143AC9">
        <w:t>Section 4.4</w:t>
      </w:r>
      <w:r w:rsidR="003F4C61" w:rsidRPr="00143AC9">
        <w:t>, Special warnings and precautions for use</w:t>
      </w:r>
      <w:r w:rsidRPr="00143AC9">
        <w:t>).</w:t>
      </w:r>
    </w:p>
    <w:p w14:paraId="609C5527" w14:textId="77777777" w:rsidR="00821C9B" w:rsidRPr="00143AC9" w:rsidRDefault="00821C9B" w:rsidP="00AF6566"/>
    <w:p w14:paraId="138F4DDB" w14:textId="0FD589B0" w:rsidR="00806E12" w:rsidRPr="00143AC9" w:rsidRDefault="00806E12" w:rsidP="00AF6566">
      <w:pPr>
        <w:pStyle w:val="Heading3"/>
      </w:pPr>
      <w:r w:rsidRPr="00143AC9">
        <w:t xml:space="preserve">Cardiac </w:t>
      </w:r>
      <w:r w:rsidR="00B2038F">
        <w:t>c</w:t>
      </w:r>
      <w:r w:rsidRPr="00143AC9">
        <w:t xml:space="preserve">ontractility </w:t>
      </w:r>
    </w:p>
    <w:p w14:paraId="7BAA9555" w14:textId="77777777" w:rsidR="00806E12" w:rsidRPr="00143AC9" w:rsidRDefault="00806E12" w:rsidP="00821C9B">
      <w:pPr>
        <w:pStyle w:val="Heading4"/>
      </w:pPr>
      <w:r w:rsidRPr="00143AC9">
        <w:t>Left Ventricular Ejection Fraction (LVEF) Analysis</w:t>
      </w:r>
    </w:p>
    <w:p w14:paraId="7AFFCB02" w14:textId="3E9AFF40" w:rsidR="00806E12" w:rsidRDefault="00806E12" w:rsidP="006F70FC">
      <w:pPr>
        <w:rPr>
          <w:lang w:val="en-GB"/>
        </w:rPr>
      </w:pPr>
      <w:r w:rsidRPr="00143AC9">
        <w:rPr>
          <w:lang w:val="en-GB"/>
        </w:rPr>
        <w:t xml:space="preserve">Across clinical trials, Left Ventricular Ejection Fraction (LVEF) decreases greater than or equal to 10% and a drop to less than 50% occurred in 3.9% (35/908) of patients treated with TAGRISSO who had baseline and at least one follow-up LVEF assessment (see </w:t>
      </w:r>
      <w:r w:rsidR="008F14D2">
        <w:rPr>
          <w:lang w:val="en-GB"/>
        </w:rPr>
        <w:t>Section 4.4, Special warnings and precautions for use</w:t>
      </w:r>
      <w:r w:rsidRPr="00143AC9">
        <w:rPr>
          <w:lang w:val="en-GB"/>
        </w:rPr>
        <w:t>).</w:t>
      </w:r>
    </w:p>
    <w:p w14:paraId="5B3F03AE" w14:textId="77777777" w:rsidR="00511186" w:rsidRPr="00143AC9" w:rsidRDefault="00511186" w:rsidP="006F70FC">
      <w:pPr>
        <w:rPr>
          <w:lang w:val="en-GB"/>
        </w:rPr>
      </w:pPr>
    </w:p>
    <w:p w14:paraId="421C08B5" w14:textId="77777777" w:rsidR="00806E12" w:rsidRPr="00143AC9" w:rsidRDefault="00806E12" w:rsidP="006F70FC">
      <w:pPr>
        <w:pStyle w:val="Heading3"/>
      </w:pPr>
      <w:r w:rsidRPr="00143AC9">
        <w:t>Cardiac adverse events</w:t>
      </w:r>
    </w:p>
    <w:p w14:paraId="4886E0B2" w14:textId="1146E711" w:rsidR="00806E12" w:rsidRDefault="00806E12" w:rsidP="006F70FC">
      <w:pPr>
        <w:rPr>
          <w:lang w:val="en-GB"/>
        </w:rPr>
      </w:pPr>
      <w:r w:rsidRPr="00143AC9">
        <w:rPr>
          <w:lang w:val="en-GB"/>
        </w:rPr>
        <w:t xml:space="preserve">In the Phase </w:t>
      </w:r>
      <w:r w:rsidR="00360FBA">
        <w:rPr>
          <w:lang w:val="en-GB"/>
        </w:rPr>
        <w:t>2</w:t>
      </w:r>
      <w:r w:rsidRPr="00143AC9">
        <w:rPr>
          <w:lang w:val="en-GB"/>
        </w:rPr>
        <w:t xml:space="preserve"> studies 5 patients (1.2%) were reported to have 6 adverse events consistent with cardiac failure or cardiomyopathy. The reported adverse events were; Congestive heart failure (2 events in 1 patient with fatal outcome; 0.2%), ejection fraction decreased (3 events; 0.7%) and pulmonary oedema (1 event; 0.2%). </w:t>
      </w:r>
    </w:p>
    <w:p w14:paraId="681B27CD" w14:textId="77777777" w:rsidR="00511186" w:rsidRPr="00143AC9" w:rsidRDefault="00511186" w:rsidP="006F70FC">
      <w:pPr>
        <w:rPr>
          <w:lang w:val="en-GB"/>
        </w:rPr>
      </w:pPr>
    </w:p>
    <w:p w14:paraId="5EBC62E3" w14:textId="77777777" w:rsidR="00806E12" w:rsidRPr="00143AC9" w:rsidRDefault="00806E12" w:rsidP="00762E40">
      <w:pPr>
        <w:pStyle w:val="Heading3"/>
      </w:pPr>
      <w:r w:rsidRPr="00143AC9">
        <w:t>Special populations</w:t>
      </w:r>
    </w:p>
    <w:p w14:paraId="7C2A7CA5" w14:textId="77777777" w:rsidR="00806E12" w:rsidRPr="00143AC9" w:rsidRDefault="00806E12" w:rsidP="00762E40">
      <w:pPr>
        <w:pStyle w:val="Heading3"/>
        <w:rPr>
          <w:i/>
        </w:rPr>
      </w:pPr>
      <w:r w:rsidRPr="00143AC9">
        <w:rPr>
          <w:i/>
        </w:rPr>
        <w:t>Elderly</w:t>
      </w:r>
    </w:p>
    <w:p w14:paraId="04FCD283" w14:textId="301E52B6" w:rsidR="00806E12" w:rsidRDefault="00806E12" w:rsidP="00762E40">
      <w:pPr>
        <w:rPr>
          <w:vertAlign w:val="superscript"/>
        </w:rPr>
      </w:pPr>
      <w:r w:rsidRPr="00143AC9">
        <w:t>In FLAURA and AURA (n = 1142), 43% of patients were 65 years of age and older, and 13% were 75 years of age and older. Compared with younger subjects (&lt;65), more subjects ≥65 years old had reported adverse reactions that led to study drug dose modifications (interruptions or reductions) (13.4% versus 7.6%). The types of adverse reactions reported were similar regardless of age. Older patients reported more Grade 3 or higher adverse reactions compared to younger patients (13.4% versus 9.3%). No overall differences in efficacy were observed between these subjects and younger subjects. A consistent pattern in safety and efficacy results was observed in the analysis of AURA Phase 2 studies</w:t>
      </w:r>
      <w:r w:rsidRPr="00143AC9">
        <w:rPr>
          <w:vertAlign w:val="superscript"/>
        </w:rPr>
        <w:t xml:space="preserve"> </w:t>
      </w:r>
    </w:p>
    <w:p w14:paraId="1657D667" w14:textId="77777777" w:rsidR="00511186" w:rsidRPr="00143AC9" w:rsidRDefault="00511186" w:rsidP="00762E40"/>
    <w:p w14:paraId="41BD2E56" w14:textId="1387026E" w:rsidR="001F07E9" w:rsidRPr="00143AC9" w:rsidRDefault="007D3B28" w:rsidP="007D3B28">
      <w:pPr>
        <w:pStyle w:val="Heading3"/>
      </w:pPr>
      <w:r w:rsidRPr="00143AC9">
        <w:t>Reporting suspected adverse effects</w:t>
      </w:r>
    </w:p>
    <w:p w14:paraId="1C276FA1" w14:textId="082E11AD" w:rsidR="001F07E9" w:rsidRPr="00143AC9" w:rsidRDefault="001F07E9" w:rsidP="001F07E9">
      <w:r w:rsidRPr="00143AC9">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024E7A" w:rsidRPr="00EB2410">
        <w:t>www.tga.gov.au/reporting-problems</w:t>
      </w:r>
      <w:r w:rsidRPr="00EB2410">
        <w:t>.</w:t>
      </w:r>
    </w:p>
    <w:p w14:paraId="16096DA3" w14:textId="77777777" w:rsidR="00806E12" w:rsidRPr="00143AC9" w:rsidRDefault="00806E12" w:rsidP="00806E12"/>
    <w:p w14:paraId="4A9F98AD" w14:textId="7FA1C9EF" w:rsidR="001A3992" w:rsidRPr="00143AC9" w:rsidRDefault="001A3992" w:rsidP="001A3992">
      <w:pPr>
        <w:pStyle w:val="Heading2"/>
        <w:keepLines/>
        <w:spacing w:before="0" w:after="120"/>
        <w:rPr>
          <w:rFonts w:ascii="Times New Roman" w:hAnsi="Times New Roman" w:cs="Times New Roman"/>
        </w:rPr>
      </w:pPr>
      <w:r w:rsidRPr="00143AC9">
        <w:rPr>
          <w:rFonts w:ascii="Times New Roman" w:hAnsi="Times New Roman" w:cs="Times New Roman"/>
        </w:rPr>
        <w:t>Overdose</w:t>
      </w:r>
    </w:p>
    <w:p w14:paraId="1C692A82" w14:textId="25966C00" w:rsidR="002838B1" w:rsidRPr="00143AC9" w:rsidRDefault="002838B1" w:rsidP="002838B1">
      <w:r w:rsidRPr="00143AC9">
        <w:t>In TAGRISSO clinical trials a limited number of patients were treated with daily doses of up to 240 mg without dose limiting toxicities. In these studies, patients who were treated with TAGRISSO daily doses of 160 mg and 240 mg experienced an increase in the frequency and severity of a number of typical EGFR-induced AEs (primarily diarrhoea and skin rash) compared to the 80 mg dose. There is limited experience with accidental overdoses in humans. All cases were isolated incidents of patients taking an additional daily dose of TAGRISSO in error, without any resulting clinical consequences.</w:t>
      </w:r>
    </w:p>
    <w:p w14:paraId="099089A8" w14:textId="77777777" w:rsidR="002838B1" w:rsidRPr="00143AC9" w:rsidRDefault="002838B1" w:rsidP="002838B1">
      <w:r w:rsidRPr="00143AC9">
        <w:t>There is no specific treatment in the event of TAGRISSO overdose, and symptoms of overdose are not established. In the event of an overdose, physicians should follow general supportive measures and should treat symptomatically.</w:t>
      </w:r>
    </w:p>
    <w:p w14:paraId="08FDB000" w14:textId="1C06FB9C" w:rsidR="002838B1" w:rsidRPr="00143AC9" w:rsidRDefault="00F567C9" w:rsidP="002838B1">
      <w:r w:rsidRPr="00143AC9">
        <w:t>For information on the management of overdose, c</w:t>
      </w:r>
      <w:r w:rsidR="002838B1" w:rsidRPr="00143AC9">
        <w:t xml:space="preserve">ontact the Poisons Information Centre on 131126 (Australia). </w:t>
      </w:r>
    </w:p>
    <w:p w14:paraId="7CCCD9EB" w14:textId="77777777" w:rsidR="002838B1" w:rsidRPr="00143AC9" w:rsidRDefault="002838B1" w:rsidP="002838B1"/>
    <w:p w14:paraId="67B0FF22" w14:textId="77777777" w:rsidR="001A3992" w:rsidRPr="00143AC9" w:rsidRDefault="001A3992" w:rsidP="001A3992">
      <w:pPr>
        <w:pStyle w:val="Heading1"/>
        <w:spacing w:before="0" w:after="120"/>
        <w:rPr>
          <w:rFonts w:cs="Times New Roman"/>
          <w:lang w:val="en-US"/>
        </w:rPr>
      </w:pPr>
      <w:r w:rsidRPr="00143AC9">
        <w:rPr>
          <w:rFonts w:cs="Times New Roman"/>
          <w:lang w:val="en-US"/>
        </w:rPr>
        <w:lastRenderedPageBreak/>
        <w:t>Pharmacological properties</w:t>
      </w:r>
    </w:p>
    <w:p w14:paraId="0C38B6D6" w14:textId="77777777" w:rsidR="001A3992" w:rsidRPr="00143AC9" w:rsidRDefault="001A3992" w:rsidP="001A3992">
      <w:pPr>
        <w:pStyle w:val="Heading2"/>
        <w:spacing w:before="0" w:after="120"/>
        <w:rPr>
          <w:rFonts w:ascii="Times New Roman" w:hAnsi="Times New Roman" w:cs="Times New Roman"/>
          <w:lang w:val="en-US"/>
        </w:rPr>
      </w:pPr>
      <w:r w:rsidRPr="00143AC9">
        <w:rPr>
          <w:rFonts w:ascii="Times New Roman" w:hAnsi="Times New Roman" w:cs="Times New Roman"/>
          <w:lang w:val="en-US"/>
        </w:rPr>
        <w:t xml:space="preserve">Pharmacodynamic properties </w:t>
      </w:r>
    </w:p>
    <w:p w14:paraId="76CAF067" w14:textId="63189479" w:rsidR="001A3992" w:rsidRPr="00143AC9" w:rsidRDefault="001A3992" w:rsidP="001A3992">
      <w:pPr>
        <w:pStyle w:val="Heading3"/>
        <w:spacing w:before="0" w:after="120"/>
        <w:rPr>
          <w:rFonts w:cs="Times New Roman"/>
        </w:rPr>
      </w:pPr>
      <w:r w:rsidRPr="00143AC9">
        <w:rPr>
          <w:rFonts w:cs="Times New Roman"/>
        </w:rPr>
        <w:t>Mechanism of action</w:t>
      </w:r>
    </w:p>
    <w:p w14:paraId="264C05A9" w14:textId="212CA7D8" w:rsidR="002838B1" w:rsidRPr="00143AC9" w:rsidRDefault="002838B1" w:rsidP="002838B1">
      <w:pPr>
        <w:rPr>
          <w:lang w:val="en-US"/>
        </w:rPr>
      </w:pPr>
      <w:r w:rsidRPr="00143AC9">
        <w:rPr>
          <w:lang w:val="en-US"/>
        </w:rPr>
        <w:t xml:space="preserve">Osimertinib is an orally administered </w:t>
      </w:r>
      <w:r w:rsidR="00A1359A">
        <w:rPr>
          <w:lang w:val="en-US"/>
        </w:rPr>
        <w:t>t</w:t>
      </w:r>
      <w:r w:rsidRPr="00143AC9">
        <w:rPr>
          <w:lang w:val="en-US"/>
        </w:rPr>
        <w:t xml:space="preserve">yrosine </w:t>
      </w:r>
      <w:r w:rsidR="00A1359A">
        <w:rPr>
          <w:lang w:val="en-US"/>
        </w:rPr>
        <w:t>k</w:t>
      </w:r>
      <w:r w:rsidRPr="00143AC9">
        <w:rPr>
          <w:lang w:val="en-US"/>
        </w:rPr>
        <w:t xml:space="preserve">inase </w:t>
      </w:r>
      <w:r w:rsidR="00A1359A">
        <w:rPr>
          <w:lang w:val="en-US"/>
        </w:rPr>
        <w:t>i</w:t>
      </w:r>
      <w:r w:rsidRPr="00143AC9">
        <w:rPr>
          <w:lang w:val="en-US"/>
        </w:rPr>
        <w:t>nhibitor (TKI). It is a selective and irreversible inhibitor of Epidermal Growth Factor Receptors (EGFRs) harbouring single (L858R or del746-750) or double (L858R/T790M or del746-750/T790M) mutations.</w:t>
      </w:r>
    </w:p>
    <w:p w14:paraId="4D81EB5A" w14:textId="492FC317" w:rsidR="002838B1" w:rsidRPr="00143AC9" w:rsidRDefault="002838B1" w:rsidP="002838B1">
      <w:r w:rsidRPr="00143AC9">
        <w:rPr>
          <w:i/>
        </w:rPr>
        <w:t>In vitro</w:t>
      </w:r>
      <w:r w:rsidRPr="00143AC9">
        <w:t xml:space="preserve"> studies have demonstrated that osimertinib has high potency and inhibitory activity against EGFR across a range of all clinically relevant EGFR sensitising-mutant and T790M mutant non-small cell lung cancer (NSCLC) cell lines (apparent IC</w:t>
      </w:r>
      <w:r w:rsidRPr="00143AC9">
        <w:rPr>
          <w:vertAlign w:val="subscript"/>
        </w:rPr>
        <w:t>50</w:t>
      </w:r>
      <w:r w:rsidRPr="00143AC9">
        <w:t xml:space="preserve">s from 6 nM to 54 nM against phospho-EGFR) (see </w:t>
      </w:r>
      <w:r w:rsidR="0018565D">
        <w:t>Section 5.2, Pharmacokinetics</w:t>
      </w:r>
      <w:r w:rsidRPr="00143AC9">
        <w:t>). This leads to inhibition of cell growth, while showing significantly less activity against EGFR in wild-type cell lines (apparent IC</w:t>
      </w:r>
      <w:r w:rsidRPr="00143AC9">
        <w:rPr>
          <w:vertAlign w:val="subscript"/>
        </w:rPr>
        <w:t>50</w:t>
      </w:r>
      <w:r w:rsidRPr="00143AC9">
        <w:t xml:space="preserve">s 480 nM to 1.8 μM against phospho-EGFR). </w:t>
      </w:r>
      <w:r w:rsidRPr="00143AC9">
        <w:rPr>
          <w:i/>
        </w:rPr>
        <w:t>In vivo</w:t>
      </w:r>
      <w:r w:rsidRPr="00143AC9">
        <w:t xml:space="preserve"> oral administration of osimertinib leads to tumour shrinkage in both EGFRm and T790M NSCLC xenograft and transgenic mouse lung tumour models. Osimertinib also showed significant anti-tumour activity, associated with increased survival, in a mouse brain xenograft metastasis model (PC9; exon 19 del).</w:t>
      </w:r>
    </w:p>
    <w:p w14:paraId="4104CF9B" w14:textId="3398B71D" w:rsidR="002838B1" w:rsidRPr="00143AC9" w:rsidRDefault="002838B1" w:rsidP="002838B1">
      <w:r w:rsidRPr="00143AC9">
        <w:t>Based on an analysis of dose-exposure response relationships over the dose range of 20 mg (0.25 times the recommended dose) to 240 mg (3 times the recommended dose), no significant efficacy relationship (objective response rate (ORR), Duration of Response (DoR) and Progression-Free Survival (PFS)) for osimertinib was identified. Over the same dose range, increased exposure led to increased probability of adverse reactions, specifically rash, diarrhoea and ILD.</w:t>
      </w:r>
    </w:p>
    <w:p w14:paraId="04B5976D" w14:textId="77777777" w:rsidR="00821C9B" w:rsidRPr="00143AC9" w:rsidRDefault="00821C9B" w:rsidP="002838B1"/>
    <w:p w14:paraId="62759641" w14:textId="3890289A" w:rsidR="001A3992" w:rsidRPr="00143AC9" w:rsidRDefault="001A3992" w:rsidP="001A3992">
      <w:pPr>
        <w:pStyle w:val="Heading3"/>
        <w:spacing w:before="0" w:after="120"/>
        <w:rPr>
          <w:rFonts w:cs="Times New Roman"/>
          <w:lang w:val="en-US"/>
        </w:rPr>
      </w:pPr>
      <w:r w:rsidRPr="00143AC9">
        <w:rPr>
          <w:rFonts w:cs="Times New Roman"/>
        </w:rPr>
        <w:t>Clinical</w:t>
      </w:r>
      <w:r w:rsidRPr="00143AC9">
        <w:rPr>
          <w:rFonts w:cs="Times New Roman"/>
          <w:lang w:val="en-US"/>
        </w:rPr>
        <w:t xml:space="preserve"> trials</w:t>
      </w:r>
    </w:p>
    <w:p w14:paraId="4F3FBF9C" w14:textId="77777777" w:rsidR="00B30A48" w:rsidRPr="00143AC9" w:rsidRDefault="00B30A48" w:rsidP="00E017ED">
      <w:pPr>
        <w:pStyle w:val="Header"/>
      </w:pPr>
      <w:r w:rsidRPr="00143AC9">
        <w:t>Previously untreated EGFR mutation positive locally advanced or metastatic NSCLC – FLAURA</w:t>
      </w:r>
    </w:p>
    <w:p w14:paraId="5BA6A634" w14:textId="1DD570FF" w:rsidR="00B30A48" w:rsidRPr="003A2EE9" w:rsidRDefault="00B30A48" w:rsidP="00C96D21">
      <w:pPr>
        <w:rPr>
          <w:szCs w:val="24"/>
        </w:rPr>
      </w:pPr>
      <w:r w:rsidRPr="00143AC9">
        <w:rPr>
          <w:szCs w:val="24"/>
        </w:rPr>
        <w:t>The efficacy of TAGRISSO was demonstrated in a randomised, double-blind, active-controlled study (FLAURA)</w:t>
      </w:r>
      <w:r w:rsidR="003A2EE9">
        <w:rPr>
          <w:szCs w:val="24"/>
        </w:rPr>
        <w:t xml:space="preserve"> </w:t>
      </w:r>
      <w:r w:rsidR="003A2EE9" w:rsidRPr="003A2EE9">
        <w:rPr>
          <w:szCs w:val="24"/>
        </w:rPr>
        <w:t xml:space="preserve">in patients with EGFR </w:t>
      </w:r>
      <w:r w:rsidR="003A2EE9">
        <w:rPr>
          <w:szCs w:val="24"/>
        </w:rPr>
        <w:t xml:space="preserve">mutation-positive locally advanced or </w:t>
      </w:r>
      <w:r w:rsidR="003A2EE9" w:rsidRPr="003A2EE9">
        <w:rPr>
          <w:szCs w:val="24"/>
        </w:rPr>
        <w:t xml:space="preserve">metastatic NSCLC, who had not received previous systemic treatment for </w:t>
      </w:r>
      <w:r w:rsidR="003A2EE9">
        <w:rPr>
          <w:szCs w:val="24"/>
        </w:rPr>
        <w:t xml:space="preserve">advanced </w:t>
      </w:r>
      <w:r w:rsidR="003A2EE9" w:rsidRPr="003A2EE9">
        <w:rPr>
          <w:szCs w:val="24"/>
        </w:rPr>
        <w:t>disease</w:t>
      </w:r>
      <w:r w:rsidRPr="00143AC9">
        <w:rPr>
          <w:szCs w:val="24"/>
        </w:rPr>
        <w:t xml:space="preserve">. Patient tumour tissue samples were required to have one of the two common EGFR mutations known to be associated with EGFR TKI sensitivity (Ex19del or L858R), </w:t>
      </w:r>
      <w:r w:rsidR="003A2EE9">
        <w:rPr>
          <w:szCs w:val="24"/>
        </w:rPr>
        <w:t>prospectively</w:t>
      </w:r>
      <w:r w:rsidRPr="00143AC9">
        <w:rPr>
          <w:szCs w:val="24"/>
        </w:rPr>
        <w:t xml:space="preserve"> identified by central testing</w:t>
      </w:r>
      <w:r w:rsidR="003A2EE9">
        <w:rPr>
          <w:szCs w:val="24"/>
        </w:rPr>
        <w:t xml:space="preserve"> (using the cobas</w:t>
      </w:r>
      <w:r w:rsidR="003A2EE9" w:rsidRPr="007D2494">
        <w:rPr>
          <w:szCs w:val="24"/>
          <w:vertAlign w:val="superscript"/>
        </w:rPr>
        <w:t>®</w:t>
      </w:r>
      <w:r w:rsidR="003A2EE9">
        <w:rPr>
          <w:szCs w:val="24"/>
        </w:rPr>
        <w:t xml:space="preserve"> EGFR Mutation Test) or locally in an accredited laboratory</w:t>
      </w:r>
      <w:r w:rsidRPr="00143AC9">
        <w:rPr>
          <w:szCs w:val="24"/>
        </w:rPr>
        <w:t xml:space="preserve">. </w:t>
      </w:r>
      <w:r w:rsidR="00C96D21" w:rsidRPr="00C96D21">
        <w:rPr>
          <w:szCs w:val="24"/>
        </w:rPr>
        <w:t>Patients with CNS metastases not requiring steroids and with stable neurologic</w:t>
      </w:r>
      <w:r w:rsidR="00C96D21">
        <w:rPr>
          <w:szCs w:val="24"/>
        </w:rPr>
        <w:t>al status for at least two weeks after completion of definitive surgery or radiotherapy were eligible</w:t>
      </w:r>
      <w:r w:rsidR="00A23309">
        <w:rPr>
          <w:szCs w:val="24"/>
        </w:rPr>
        <w:t xml:space="preserve"> to enrol</w:t>
      </w:r>
      <w:r w:rsidR="00C96D21">
        <w:rPr>
          <w:szCs w:val="24"/>
        </w:rPr>
        <w:t>. Patients were assessed at the investigator’s discretion for CNS metastases if they had a history of, or suspected, CNS me</w:t>
      </w:r>
      <w:r w:rsidR="00C96D21" w:rsidRPr="00C96D21">
        <w:rPr>
          <w:szCs w:val="24"/>
        </w:rPr>
        <w:t>tastases at study entry.</w:t>
      </w:r>
    </w:p>
    <w:p w14:paraId="5994EB0C" w14:textId="604D09F3" w:rsidR="00B30A48" w:rsidRPr="00143AC9" w:rsidRDefault="00B30A48" w:rsidP="003A2EE9">
      <w:pPr>
        <w:rPr>
          <w:bCs/>
          <w:szCs w:val="24"/>
        </w:rPr>
      </w:pPr>
      <w:r w:rsidRPr="00143AC9">
        <w:rPr>
          <w:bCs/>
          <w:szCs w:val="24"/>
        </w:rPr>
        <w:lastRenderedPageBreak/>
        <w:t xml:space="preserve">Patients were randomised 1:1 to receive either TAGRISSO 80 mg orally once daily or </w:t>
      </w:r>
      <w:r w:rsidR="003A2EE9">
        <w:rPr>
          <w:bCs/>
          <w:szCs w:val="24"/>
        </w:rPr>
        <w:t xml:space="preserve">to receive </w:t>
      </w:r>
      <w:r w:rsidR="0015367F">
        <w:rPr>
          <w:bCs/>
          <w:szCs w:val="24"/>
        </w:rPr>
        <w:t xml:space="preserve">an </w:t>
      </w:r>
      <w:r w:rsidRPr="00143AC9">
        <w:rPr>
          <w:bCs/>
          <w:szCs w:val="24"/>
        </w:rPr>
        <w:t>EGFR TKI comparator</w:t>
      </w:r>
      <w:r w:rsidR="007D2494">
        <w:rPr>
          <w:bCs/>
          <w:szCs w:val="24"/>
        </w:rPr>
        <w:t xml:space="preserve"> </w:t>
      </w:r>
      <w:r w:rsidR="0015367F">
        <w:rPr>
          <w:bCs/>
          <w:szCs w:val="24"/>
        </w:rPr>
        <w:t>(</w:t>
      </w:r>
      <w:r w:rsidRPr="00143AC9">
        <w:rPr>
          <w:bCs/>
          <w:szCs w:val="24"/>
        </w:rPr>
        <w:t>gefitinib 250 mg orally once daily or erlotinib 150 mg orally once daily</w:t>
      </w:r>
      <w:r w:rsidR="0015367F">
        <w:rPr>
          <w:bCs/>
          <w:szCs w:val="24"/>
        </w:rPr>
        <w:t>),</w:t>
      </w:r>
      <w:r w:rsidR="003A2EE9">
        <w:rPr>
          <w:bCs/>
          <w:szCs w:val="24"/>
        </w:rPr>
        <w:t xml:space="preserve"> until disease progression or unacceptable toxicity</w:t>
      </w:r>
      <w:r w:rsidRPr="00143AC9">
        <w:rPr>
          <w:bCs/>
          <w:szCs w:val="24"/>
        </w:rPr>
        <w:t xml:space="preserve">. Randomisation was stratified by EGFR mutation type (Ex19del or L858R) and ethnicity (Asian or non-Asian). </w:t>
      </w:r>
      <w:r w:rsidR="003A2EE9">
        <w:rPr>
          <w:bCs/>
          <w:szCs w:val="24"/>
        </w:rPr>
        <w:t xml:space="preserve">Patients randomised to the control arm were offered TAGRISSO at the time of disease progression if tumour samples tested positive for the EGFR T790M mutation. The major efficacy outcome measure was progression-free survival (PFS), assessed by investigator. Additional efficacy outcome measures included overall survival (OS) and overall response rate </w:t>
      </w:r>
      <w:r w:rsidR="003A2EE9" w:rsidRPr="003A2EE9">
        <w:rPr>
          <w:bCs/>
          <w:szCs w:val="24"/>
        </w:rPr>
        <w:t>(ORR)</w:t>
      </w:r>
      <w:r w:rsidR="0037504B">
        <w:rPr>
          <w:bCs/>
          <w:szCs w:val="24"/>
        </w:rPr>
        <w:t>, patient-reported outcomes (PRO) and blinded independent central review (BICR) assessment of central nervous system (</w:t>
      </w:r>
      <w:r w:rsidR="0037504B" w:rsidRPr="00143AC9">
        <w:rPr>
          <w:bCs/>
          <w:szCs w:val="24"/>
        </w:rPr>
        <w:t>CNS</w:t>
      </w:r>
      <w:r w:rsidR="0037504B">
        <w:rPr>
          <w:bCs/>
          <w:szCs w:val="24"/>
        </w:rPr>
        <w:t>)</w:t>
      </w:r>
      <w:r w:rsidR="0037504B" w:rsidRPr="00143AC9">
        <w:rPr>
          <w:bCs/>
          <w:szCs w:val="24"/>
        </w:rPr>
        <w:t xml:space="preserve"> ORR and DoR</w:t>
      </w:r>
      <w:r w:rsidR="003A2EE9" w:rsidRPr="003A2EE9">
        <w:rPr>
          <w:bCs/>
          <w:szCs w:val="24"/>
        </w:rPr>
        <w:t>.</w:t>
      </w:r>
      <w:r w:rsidR="003A2EE9" w:rsidRPr="003A2EE9" w:rsidDel="003A2EE9">
        <w:rPr>
          <w:bCs/>
          <w:szCs w:val="24"/>
        </w:rPr>
        <w:t xml:space="preserve"> </w:t>
      </w:r>
    </w:p>
    <w:p w14:paraId="4109FEAE" w14:textId="77777777" w:rsidR="00B30A48" w:rsidRPr="00143AC9" w:rsidRDefault="00B30A48" w:rsidP="00B30A48">
      <w:pPr>
        <w:autoSpaceDE w:val="0"/>
        <w:autoSpaceDN w:val="0"/>
        <w:adjustRightInd w:val="0"/>
        <w:spacing w:after="0" w:line="240" w:lineRule="auto"/>
        <w:rPr>
          <w:bCs/>
          <w:szCs w:val="24"/>
        </w:rPr>
      </w:pPr>
    </w:p>
    <w:p w14:paraId="76099439" w14:textId="08FB27F4" w:rsidR="007E4D67" w:rsidRDefault="007E4D67" w:rsidP="007E4D67">
      <w:r>
        <w:t xml:space="preserve">A total of 556 patients were randomised to TAGRISSO (n=279) or to control (gefitinib n=183; erlotinib n=94). The median age was 64 years (range 26-93 years); 54% were &lt; 65 years of age; 63% were female; 62% were Asian and 64% were never smokers. Baseline WHO performance status was 0 (41%) or 1 (59%); 5% had Stage IIIb and 95% had Stage IV; and 7% received prior systemic cytotoxic chemotherapy as neoadjuvant or adjuvant therapy.  EGFR tumour </w:t>
      </w:r>
      <w:r w:rsidR="000C05D3">
        <w:t xml:space="preserve">mutation was </w:t>
      </w:r>
      <w:r w:rsidR="000C05D3" w:rsidRPr="00143AC9">
        <w:rPr>
          <w:bCs/>
          <w:szCs w:val="24"/>
        </w:rPr>
        <w:t>Ex19del</w:t>
      </w:r>
      <w:r w:rsidR="000C05D3">
        <w:rPr>
          <w:bCs/>
          <w:szCs w:val="24"/>
        </w:rPr>
        <w:t xml:space="preserve"> in</w:t>
      </w:r>
      <w:r>
        <w:t xml:space="preserve"> 63% </w:t>
      </w:r>
      <w:r w:rsidR="000C05D3">
        <w:t>and L858R in</w:t>
      </w:r>
      <w:r>
        <w:t xml:space="preserve"> 37%</w:t>
      </w:r>
      <w:r w:rsidR="000C05D3">
        <w:t xml:space="preserve"> of patients</w:t>
      </w:r>
      <w:r>
        <w:t>; 5 patients (&lt;1%) also had a concomitant de novo T790M mutation. EGFR mutation status was confirmed centrally using the cobas EGFR Mutation Test in 90</w:t>
      </w:r>
      <w:r w:rsidR="000C05D3">
        <w:t>% of patients. Of those randomis</w:t>
      </w:r>
      <w:r>
        <w:t>ed to investigator’s choice of erlotinib or gefitinib, 55 patients (20%) received TAGRISSO as the next line of antineoplastic therapy.</w:t>
      </w:r>
    </w:p>
    <w:p w14:paraId="32A84C6E" w14:textId="6D94A2DC" w:rsidR="00B30A48" w:rsidRPr="00532F10" w:rsidRDefault="0011752B" w:rsidP="00532F10">
      <w:pPr>
        <w:spacing w:after="0" w:line="240" w:lineRule="auto"/>
      </w:pPr>
      <w:r>
        <w:t>At the time of the primary efficacy analysis, the m</w:t>
      </w:r>
      <w:r w:rsidRPr="00143AC9">
        <w:t xml:space="preserve">edian follow-up time was 15.0 months for patients receiving TAGRISSO and 9.7 months for patients receiving </w:t>
      </w:r>
      <w:r>
        <w:t xml:space="preserve">an </w:t>
      </w:r>
      <w:r w:rsidRPr="00143AC9">
        <w:t>EGFR TKI comparator</w:t>
      </w:r>
      <w:r>
        <w:t xml:space="preserve">. </w:t>
      </w:r>
      <w:r w:rsidR="00B30A48" w:rsidRPr="00143AC9">
        <w:t>TAGRISSO demonstrated a</w:t>
      </w:r>
      <w:r w:rsidR="007D2494">
        <w:t xml:space="preserve"> </w:t>
      </w:r>
      <w:r w:rsidR="00B30A48" w:rsidRPr="00143AC9">
        <w:t xml:space="preserve">statistically significant improvement in PFS compared to </w:t>
      </w:r>
      <w:r w:rsidR="007E4D67">
        <w:t>erlotinib or gefitinib (see Table 5 and Figure 1)</w:t>
      </w:r>
      <w:r w:rsidR="007D2494">
        <w:t xml:space="preserve"> </w:t>
      </w:r>
      <w:r w:rsidR="000C05D3">
        <w:t>Overall survival data were not mature at the time of the final PFS analysis.</w:t>
      </w:r>
    </w:p>
    <w:p w14:paraId="08D0E13C" w14:textId="77777777" w:rsidR="00B30A48" w:rsidRPr="00143AC9" w:rsidRDefault="00B30A48" w:rsidP="00B30A48">
      <w:pPr>
        <w:pStyle w:val="NormalWeb"/>
        <w:spacing w:before="0" w:beforeAutospacing="0" w:after="0" w:afterAutospacing="0"/>
      </w:pPr>
    </w:p>
    <w:p w14:paraId="505D7C5C" w14:textId="4053A705" w:rsidR="00B30A48" w:rsidRPr="00143AC9" w:rsidRDefault="00B30A48" w:rsidP="00B30A48">
      <w:pPr>
        <w:pStyle w:val="A-TableTitle"/>
      </w:pPr>
      <w:r w:rsidRPr="00143AC9">
        <w:t xml:space="preserve">Table </w:t>
      </w:r>
      <w:r w:rsidR="0067250B" w:rsidRPr="00143AC9">
        <w:t>5</w:t>
      </w:r>
      <w:r w:rsidRPr="00143AC9">
        <w:t>. Efficacy results from FLAURA by investigator assessment</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23"/>
        <w:gridCol w:w="2232"/>
        <w:gridCol w:w="2233"/>
      </w:tblGrid>
      <w:tr w:rsidR="00B30A48" w:rsidRPr="00143AC9" w14:paraId="6429A9FD" w14:textId="77777777" w:rsidTr="00BF1C2E">
        <w:trPr>
          <w:trHeight w:hRule="exact" w:val="2050"/>
          <w:tblHeader/>
        </w:trPr>
        <w:tc>
          <w:tcPr>
            <w:tcW w:w="4323" w:type="dxa"/>
            <w:vAlign w:val="center"/>
          </w:tcPr>
          <w:p w14:paraId="2D78ACCA" w14:textId="77777777" w:rsidR="00B30A48" w:rsidRPr="00143AC9" w:rsidRDefault="00B30A48" w:rsidP="00BB69FE">
            <w:pPr>
              <w:pStyle w:val="A-TableHeader"/>
            </w:pPr>
            <w:r w:rsidRPr="00143AC9">
              <w:t>Efficacy Parameter</w:t>
            </w:r>
          </w:p>
          <w:p w14:paraId="09899348" w14:textId="77777777" w:rsidR="00B30A48" w:rsidRPr="00143AC9" w:rsidRDefault="00B30A48" w:rsidP="00BB69FE">
            <w:pPr>
              <w:autoSpaceDE w:val="0"/>
              <w:autoSpaceDN w:val="0"/>
              <w:adjustRightInd w:val="0"/>
              <w:spacing w:line="240" w:lineRule="auto"/>
              <w:jc w:val="center"/>
              <w:rPr>
                <w:rFonts w:cs="Arial"/>
                <w:b/>
                <w:sz w:val="22"/>
              </w:rPr>
            </w:pPr>
          </w:p>
        </w:tc>
        <w:tc>
          <w:tcPr>
            <w:tcW w:w="2232" w:type="dxa"/>
            <w:vAlign w:val="center"/>
          </w:tcPr>
          <w:p w14:paraId="7DE3F915" w14:textId="77777777" w:rsidR="00B30A48" w:rsidRPr="00143AC9" w:rsidRDefault="00B30A48" w:rsidP="00BB69FE">
            <w:pPr>
              <w:pStyle w:val="A-TableHeader"/>
              <w:jc w:val="center"/>
              <w:rPr>
                <w:lang w:val="en-US"/>
              </w:rPr>
            </w:pPr>
            <w:r w:rsidRPr="00143AC9">
              <w:t>TAGRISSO</w:t>
            </w:r>
            <w:r w:rsidRPr="00143AC9">
              <w:br/>
              <w:t>(N=279)</w:t>
            </w:r>
          </w:p>
        </w:tc>
        <w:tc>
          <w:tcPr>
            <w:tcW w:w="2233" w:type="dxa"/>
            <w:vAlign w:val="center"/>
          </w:tcPr>
          <w:p w14:paraId="4C492449" w14:textId="4982C0F1" w:rsidR="00BF1C2E" w:rsidRPr="00BF1C2E" w:rsidRDefault="00B30A48" w:rsidP="00BF1C2E">
            <w:pPr>
              <w:pStyle w:val="A-TableHeader"/>
              <w:jc w:val="center"/>
            </w:pPr>
            <w:r w:rsidRPr="00143AC9">
              <w:t>EGFR TKI comparator (gefitinib or erlotinib)</w:t>
            </w:r>
          </w:p>
          <w:p w14:paraId="4583964C" w14:textId="77777777" w:rsidR="00B30A48" w:rsidRPr="00143AC9" w:rsidRDefault="00B30A48" w:rsidP="00BB69FE">
            <w:pPr>
              <w:pStyle w:val="A-TableHeader"/>
              <w:jc w:val="center"/>
              <w:rPr>
                <w:lang w:val="en-US"/>
              </w:rPr>
            </w:pPr>
            <w:r w:rsidRPr="00143AC9">
              <w:t>(N=277)</w:t>
            </w:r>
          </w:p>
        </w:tc>
      </w:tr>
      <w:tr w:rsidR="00B30A48" w:rsidRPr="00143AC9" w14:paraId="05B340A5" w14:textId="77777777" w:rsidTr="00BF0B77">
        <w:trPr>
          <w:trHeight w:hRule="exact" w:val="446"/>
        </w:trPr>
        <w:tc>
          <w:tcPr>
            <w:tcW w:w="8788" w:type="dxa"/>
            <w:gridSpan w:val="3"/>
            <w:vAlign w:val="center"/>
          </w:tcPr>
          <w:p w14:paraId="2D6B3A95" w14:textId="0F0863F8" w:rsidR="00B30A48" w:rsidRPr="00143AC9" w:rsidRDefault="00B30A48" w:rsidP="00BB69FE">
            <w:pPr>
              <w:pStyle w:val="A-TableHeader"/>
            </w:pPr>
            <w:r w:rsidRPr="00143AC9">
              <w:t>Progression-Free Survival</w:t>
            </w:r>
          </w:p>
        </w:tc>
      </w:tr>
      <w:tr w:rsidR="00B30A48" w:rsidRPr="00143AC9" w14:paraId="5D0FE27C" w14:textId="77777777" w:rsidTr="00BF0B77">
        <w:trPr>
          <w:trHeight w:hRule="exact" w:val="446"/>
        </w:trPr>
        <w:tc>
          <w:tcPr>
            <w:tcW w:w="4323" w:type="dxa"/>
            <w:vAlign w:val="center"/>
          </w:tcPr>
          <w:p w14:paraId="48C3BD9A" w14:textId="77777777" w:rsidR="00B30A48" w:rsidRPr="00143AC9" w:rsidRDefault="00B30A48" w:rsidP="00BB69FE">
            <w:pPr>
              <w:pStyle w:val="A-TableText"/>
            </w:pPr>
            <w:r w:rsidRPr="00143AC9">
              <w:t>Number of events (62% maturity)</w:t>
            </w:r>
          </w:p>
        </w:tc>
        <w:tc>
          <w:tcPr>
            <w:tcW w:w="2232" w:type="dxa"/>
            <w:vAlign w:val="center"/>
          </w:tcPr>
          <w:p w14:paraId="184D979C" w14:textId="77777777" w:rsidR="00B30A48" w:rsidRPr="00143AC9" w:rsidRDefault="00B30A48" w:rsidP="003C19DD">
            <w:pPr>
              <w:pStyle w:val="A-TableText"/>
              <w:jc w:val="center"/>
            </w:pPr>
            <w:r w:rsidRPr="00143AC9">
              <w:t>136 (49)</w:t>
            </w:r>
          </w:p>
        </w:tc>
        <w:tc>
          <w:tcPr>
            <w:tcW w:w="2233" w:type="dxa"/>
            <w:vAlign w:val="center"/>
          </w:tcPr>
          <w:p w14:paraId="73BE0D44" w14:textId="77777777" w:rsidR="00B30A48" w:rsidRPr="00143AC9" w:rsidRDefault="00B30A48" w:rsidP="003C19DD">
            <w:pPr>
              <w:pStyle w:val="A-TableText"/>
              <w:jc w:val="center"/>
            </w:pPr>
            <w:r w:rsidRPr="00143AC9">
              <w:t>206 (74)</w:t>
            </w:r>
          </w:p>
        </w:tc>
      </w:tr>
      <w:tr w:rsidR="00BF1C2E" w:rsidRPr="00143AC9" w14:paraId="72E40AB8" w14:textId="77777777" w:rsidTr="00BF0B77">
        <w:trPr>
          <w:trHeight w:hRule="exact" w:val="455"/>
        </w:trPr>
        <w:tc>
          <w:tcPr>
            <w:tcW w:w="4323" w:type="dxa"/>
            <w:vAlign w:val="center"/>
          </w:tcPr>
          <w:p w14:paraId="2043BA68" w14:textId="3939A44F" w:rsidR="00BF1C2E" w:rsidRPr="00143AC9" w:rsidRDefault="00BF1C2E" w:rsidP="00BB69FE">
            <w:pPr>
              <w:pStyle w:val="A-TableText"/>
            </w:pPr>
            <w:r>
              <w:t>Progressive disease (%)</w:t>
            </w:r>
          </w:p>
        </w:tc>
        <w:tc>
          <w:tcPr>
            <w:tcW w:w="2232" w:type="dxa"/>
            <w:vAlign w:val="center"/>
          </w:tcPr>
          <w:p w14:paraId="6152EF1C" w14:textId="7050CD69" w:rsidR="00BF1C2E" w:rsidRPr="00143AC9" w:rsidRDefault="00BF1C2E" w:rsidP="003C19DD">
            <w:pPr>
              <w:pStyle w:val="A-TableText"/>
              <w:jc w:val="center"/>
            </w:pPr>
            <w:r>
              <w:t>125 (45)</w:t>
            </w:r>
          </w:p>
        </w:tc>
        <w:tc>
          <w:tcPr>
            <w:tcW w:w="2233" w:type="dxa"/>
            <w:vAlign w:val="center"/>
          </w:tcPr>
          <w:p w14:paraId="45AC0261" w14:textId="2D48C7BD" w:rsidR="00BF1C2E" w:rsidRPr="00143AC9" w:rsidRDefault="00BF1C2E" w:rsidP="003C19DD">
            <w:pPr>
              <w:pStyle w:val="A-TableText"/>
              <w:jc w:val="center"/>
            </w:pPr>
            <w:r>
              <w:t>192 (69)</w:t>
            </w:r>
          </w:p>
        </w:tc>
      </w:tr>
      <w:tr w:rsidR="00BF1C2E" w:rsidRPr="00143AC9" w14:paraId="28ED39A5" w14:textId="77777777" w:rsidTr="00BF0B77">
        <w:trPr>
          <w:trHeight w:hRule="exact" w:val="455"/>
        </w:trPr>
        <w:tc>
          <w:tcPr>
            <w:tcW w:w="4323" w:type="dxa"/>
            <w:vAlign w:val="center"/>
          </w:tcPr>
          <w:p w14:paraId="653B19B0" w14:textId="4E48712A" w:rsidR="00BF1C2E" w:rsidRDefault="00BF1C2E" w:rsidP="00BF1C2E">
            <w:pPr>
              <w:pStyle w:val="A-TableText"/>
            </w:pPr>
            <w:r>
              <w:t>Death</w:t>
            </w:r>
            <w:r w:rsidRPr="00BF1C2E">
              <w:rPr>
                <w:vertAlign w:val="superscript"/>
              </w:rPr>
              <w:t>a</w:t>
            </w:r>
            <w:r>
              <w:t xml:space="preserve"> (%) </w:t>
            </w:r>
          </w:p>
        </w:tc>
        <w:tc>
          <w:tcPr>
            <w:tcW w:w="2232" w:type="dxa"/>
            <w:vAlign w:val="center"/>
          </w:tcPr>
          <w:p w14:paraId="27555B71" w14:textId="4C8D484D" w:rsidR="00BF1C2E" w:rsidRDefault="00BF1C2E" w:rsidP="003C19DD">
            <w:pPr>
              <w:pStyle w:val="A-TableText"/>
              <w:jc w:val="center"/>
            </w:pPr>
            <w:r>
              <w:t>11 (4)</w:t>
            </w:r>
          </w:p>
        </w:tc>
        <w:tc>
          <w:tcPr>
            <w:tcW w:w="2233" w:type="dxa"/>
            <w:vAlign w:val="center"/>
          </w:tcPr>
          <w:p w14:paraId="10A1C41D" w14:textId="226B916F" w:rsidR="00BF1C2E" w:rsidRDefault="00BF1C2E" w:rsidP="003C19DD">
            <w:pPr>
              <w:pStyle w:val="A-TableText"/>
              <w:jc w:val="center"/>
            </w:pPr>
            <w:r>
              <w:t>14 (5)</w:t>
            </w:r>
          </w:p>
        </w:tc>
      </w:tr>
      <w:tr w:rsidR="00B30A48" w:rsidRPr="00143AC9" w14:paraId="623B5392" w14:textId="77777777" w:rsidTr="00BF0B77">
        <w:trPr>
          <w:trHeight w:hRule="exact" w:val="455"/>
        </w:trPr>
        <w:tc>
          <w:tcPr>
            <w:tcW w:w="4323" w:type="dxa"/>
            <w:vAlign w:val="center"/>
          </w:tcPr>
          <w:p w14:paraId="4570A7C2" w14:textId="63D2DB93" w:rsidR="00B30A48" w:rsidRPr="00143AC9" w:rsidRDefault="00B30A48" w:rsidP="00BB69FE">
            <w:pPr>
              <w:pStyle w:val="A-TableText"/>
            </w:pPr>
            <w:r w:rsidRPr="00143AC9">
              <w:lastRenderedPageBreak/>
              <w:t>Median</w:t>
            </w:r>
            <w:r w:rsidR="00BF1C2E">
              <w:t xml:space="preserve"> PFS</w:t>
            </w:r>
            <w:r w:rsidRPr="00143AC9">
              <w:t>, months (95% CI)</w:t>
            </w:r>
          </w:p>
        </w:tc>
        <w:tc>
          <w:tcPr>
            <w:tcW w:w="2232" w:type="dxa"/>
            <w:vAlign w:val="center"/>
          </w:tcPr>
          <w:p w14:paraId="0DE088DC" w14:textId="77777777" w:rsidR="00B30A48" w:rsidRPr="00143AC9" w:rsidRDefault="00B30A48" w:rsidP="003C19DD">
            <w:pPr>
              <w:pStyle w:val="A-TableText"/>
              <w:jc w:val="center"/>
            </w:pPr>
            <w:r w:rsidRPr="00143AC9">
              <w:t>18.9 (15.2, 21.4)</w:t>
            </w:r>
          </w:p>
        </w:tc>
        <w:tc>
          <w:tcPr>
            <w:tcW w:w="2233" w:type="dxa"/>
            <w:vAlign w:val="center"/>
          </w:tcPr>
          <w:p w14:paraId="79EF090E" w14:textId="77777777" w:rsidR="00B30A48" w:rsidRPr="00143AC9" w:rsidRDefault="00B30A48" w:rsidP="003C19DD">
            <w:pPr>
              <w:pStyle w:val="A-TableText"/>
              <w:jc w:val="center"/>
            </w:pPr>
            <w:r w:rsidRPr="00143AC9">
              <w:t>10.2 (9.6, 11.1)</w:t>
            </w:r>
          </w:p>
        </w:tc>
      </w:tr>
      <w:tr w:rsidR="00B30A48" w:rsidRPr="00143AC9" w14:paraId="7A5D160C" w14:textId="77777777" w:rsidTr="00BF0B77">
        <w:trPr>
          <w:trHeight w:hRule="exact" w:val="446"/>
        </w:trPr>
        <w:tc>
          <w:tcPr>
            <w:tcW w:w="4323" w:type="dxa"/>
            <w:vAlign w:val="center"/>
          </w:tcPr>
          <w:p w14:paraId="1902010D" w14:textId="11EF7932" w:rsidR="00B30A48" w:rsidRPr="00143AC9" w:rsidRDefault="00B30A48" w:rsidP="00BB69FE">
            <w:pPr>
              <w:pStyle w:val="A-TableText"/>
            </w:pPr>
            <w:r w:rsidRPr="00143AC9">
              <w:t>HR (95% CI)</w:t>
            </w:r>
            <w:r w:rsidR="00B178F9" w:rsidRPr="00B178F9">
              <w:rPr>
                <w:vertAlign w:val="superscript"/>
              </w:rPr>
              <w:t>b,c</w:t>
            </w:r>
            <w:r w:rsidR="00B178F9">
              <w:t>,</w:t>
            </w:r>
            <w:r w:rsidRPr="00143AC9">
              <w:t xml:space="preserve"> </w:t>
            </w:r>
            <w:r w:rsidR="00B178F9">
              <w:t>p</w:t>
            </w:r>
            <w:r w:rsidRPr="00143AC9">
              <w:t>-value</w:t>
            </w:r>
            <w:r w:rsidR="0073066B" w:rsidRPr="0073066B">
              <w:rPr>
                <w:vertAlign w:val="superscript"/>
              </w:rPr>
              <w:t>b,d</w:t>
            </w:r>
          </w:p>
        </w:tc>
        <w:tc>
          <w:tcPr>
            <w:tcW w:w="4465" w:type="dxa"/>
            <w:gridSpan w:val="2"/>
            <w:vAlign w:val="center"/>
          </w:tcPr>
          <w:p w14:paraId="7CEF109B" w14:textId="1BB71540" w:rsidR="00B30A48" w:rsidRPr="00143AC9" w:rsidRDefault="00B30A48" w:rsidP="003C19DD">
            <w:pPr>
              <w:pStyle w:val="A-TableText"/>
              <w:jc w:val="center"/>
            </w:pPr>
            <w:r w:rsidRPr="00143AC9">
              <w:t>0.46 (0.37, 0.57)</w:t>
            </w:r>
            <w:r w:rsidR="00B178F9">
              <w:t>,</w:t>
            </w:r>
            <w:r w:rsidRPr="00143AC9">
              <w:t xml:space="preserve"> </w:t>
            </w:r>
            <w:r w:rsidR="00B178F9">
              <w:t>p</w:t>
            </w:r>
            <w:r w:rsidRPr="00143AC9">
              <w:t>&lt;0.0001</w:t>
            </w:r>
          </w:p>
        </w:tc>
      </w:tr>
      <w:tr w:rsidR="00B30A48" w:rsidRPr="00143AC9" w14:paraId="1E256BA3" w14:textId="77777777" w:rsidTr="00BF0B77">
        <w:trPr>
          <w:trHeight w:hRule="exact" w:val="464"/>
        </w:trPr>
        <w:tc>
          <w:tcPr>
            <w:tcW w:w="8788" w:type="dxa"/>
            <w:gridSpan w:val="3"/>
            <w:vAlign w:val="center"/>
          </w:tcPr>
          <w:p w14:paraId="764DB4FE" w14:textId="3C68BC8A" w:rsidR="00B30A48" w:rsidRPr="00143AC9" w:rsidRDefault="00B30A48" w:rsidP="00BB69FE">
            <w:pPr>
              <w:pStyle w:val="A-TableHeader"/>
            </w:pPr>
            <w:r w:rsidRPr="00143AC9">
              <w:t>Objective Response Rate</w:t>
            </w:r>
            <w:r w:rsidR="00332747">
              <w:t xml:space="preserve"> (ORR)</w:t>
            </w:r>
            <w:r w:rsidR="009C45F1">
              <w:rPr>
                <w:vertAlign w:val="superscript"/>
              </w:rPr>
              <w:t>e</w:t>
            </w:r>
            <w:r w:rsidRPr="00143AC9">
              <w:t xml:space="preserve"> </w:t>
            </w:r>
          </w:p>
        </w:tc>
      </w:tr>
      <w:tr w:rsidR="00B30A48" w:rsidRPr="00143AC9" w14:paraId="545638D7" w14:textId="77777777" w:rsidTr="00BF0B77">
        <w:trPr>
          <w:trHeight w:hRule="exact" w:val="720"/>
        </w:trPr>
        <w:tc>
          <w:tcPr>
            <w:tcW w:w="4323" w:type="dxa"/>
            <w:vAlign w:val="center"/>
          </w:tcPr>
          <w:p w14:paraId="1C9F0D54" w14:textId="59DFCBD8" w:rsidR="00B30A48" w:rsidRPr="00143AC9" w:rsidRDefault="00332747" w:rsidP="00332747">
            <w:pPr>
              <w:pStyle w:val="A-TableText"/>
              <w:rPr>
                <w:b/>
                <w:bCs/>
                <w:lang w:val="en-US"/>
              </w:rPr>
            </w:pPr>
            <w:r>
              <w:t>ORR,</w:t>
            </w:r>
            <w:r w:rsidR="00B30A48" w:rsidRPr="00143AC9">
              <w:t> % (95% CI)</w:t>
            </w:r>
            <w:r w:rsidR="000E12C5" w:rsidRPr="000E12C5">
              <w:rPr>
                <w:vertAlign w:val="superscript"/>
              </w:rPr>
              <w:t>b</w:t>
            </w:r>
          </w:p>
        </w:tc>
        <w:tc>
          <w:tcPr>
            <w:tcW w:w="2232" w:type="dxa"/>
            <w:vAlign w:val="center"/>
          </w:tcPr>
          <w:p w14:paraId="518F43F2" w14:textId="732A664F" w:rsidR="00B30A48" w:rsidRPr="00143AC9" w:rsidRDefault="000E12C5" w:rsidP="000E12C5">
            <w:pPr>
              <w:pStyle w:val="A-TableText"/>
              <w:jc w:val="center"/>
              <w:rPr>
                <w:lang w:val="en-US"/>
              </w:rPr>
            </w:pPr>
            <w:r>
              <w:t>77</w:t>
            </w:r>
            <w:r w:rsidR="00B30A48" w:rsidRPr="00143AC9">
              <w:t xml:space="preserve"> (</w:t>
            </w:r>
            <w:r>
              <w:t>71</w:t>
            </w:r>
            <w:r w:rsidR="00B30A48" w:rsidRPr="00143AC9">
              <w:t>,</w:t>
            </w:r>
            <w:r>
              <w:t>82</w:t>
            </w:r>
            <w:r w:rsidR="00B30A48" w:rsidRPr="00143AC9">
              <w:t>)</w:t>
            </w:r>
          </w:p>
        </w:tc>
        <w:tc>
          <w:tcPr>
            <w:tcW w:w="2233" w:type="dxa"/>
            <w:vAlign w:val="center"/>
          </w:tcPr>
          <w:p w14:paraId="13FC625D" w14:textId="18838771" w:rsidR="00B30A48" w:rsidRPr="00143AC9" w:rsidRDefault="000E12C5" w:rsidP="000E12C5">
            <w:pPr>
              <w:pStyle w:val="A-TableText"/>
              <w:jc w:val="center"/>
              <w:rPr>
                <w:lang w:val="en-US"/>
              </w:rPr>
            </w:pPr>
            <w:r>
              <w:t>69</w:t>
            </w:r>
            <w:r w:rsidR="00B30A48" w:rsidRPr="00143AC9">
              <w:t xml:space="preserve"> (</w:t>
            </w:r>
            <w:r>
              <w:t>63</w:t>
            </w:r>
            <w:r w:rsidR="00B30A48" w:rsidRPr="00143AC9">
              <w:t xml:space="preserve">, </w:t>
            </w:r>
            <w:r>
              <w:t>74</w:t>
            </w:r>
            <w:r w:rsidR="00B30A48" w:rsidRPr="00143AC9">
              <w:t>)</w:t>
            </w:r>
          </w:p>
        </w:tc>
      </w:tr>
      <w:tr w:rsidR="00C06E04" w:rsidRPr="00143AC9" w14:paraId="3F33305C" w14:textId="77777777" w:rsidTr="00BF0B77">
        <w:trPr>
          <w:trHeight w:hRule="exact" w:val="720"/>
        </w:trPr>
        <w:tc>
          <w:tcPr>
            <w:tcW w:w="4323" w:type="dxa"/>
            <w:vAlign w:val="center"/>
          </w:tcPr>
          <w:p w14:paraId="5D73CA4F" w14:textId="78C9F31E" w:rsidR="00C06E04" w:rsidRPr="00143AC9" w:rsidDel="00332747" w:rsidRDefault="00C06E04" w:rsidP="00332747">
            <w:pPr>
              <w:pStyle w:val="A-TableText"/>
            </w:pPr>
            <w:r>
              <w:t>Complete response rate</w:t>
            </w:r>
          </w:p>
        </w:tc>
        <w:tc>
          <w:tcPr>
            <w:tcW w:w="2232" w:type="dxa"/>
            <w:vAlign w:val="center"/>
          </w:tcPr>
          <w:p w14:paraId="3E252652" w14:textId="3076053F" w:rsidR="00C06E04" w:rsidRPr="00143AC9" w:rsidDel="000E12C5" w:rsidRDefault="00C06E04" w:rsidP="003C19DD">
            <w:pPr>
              <w:pStyle w:val="A-TableText"/>
              <w:jc w:val="center"/>
            </w:pPr>
            <w:r>
              <w:t>2%</w:t>
            </w:r>
          </w:p>
        </w:tc>
        <w:tc>
          <w:tcPr>
            <w:tcW w:w="2233" w:type="dxa"/>
            <w:vAlign w:val="center"/>
          </w:tcPr>
          <w:p w14:paraId="323BE7AA" w14:textId="1448C37C" w:rsidR="00C06E04" w:rsidRPr="00143AC9" w:rsidDel="000E12C5" w:rsidRDefault="00C06E04" w:rsidP="003C19DD">
            <w:pPr>
              <w:pStyle w:val="A-TableText"/>
              <w:jc w:val="center"/>
            </w:pPr>
            <w:r>
              <w:t>1%</w:t>
            </w:r>
          </w:p>
        </w:tc>
      </w:tr>
      <w:tr w:rsidR="00C06E04" w:rsidRPr="00143AC9" w14:paraId="35DB6FA5" w14:textId="77777777" w:rsidTr="00BF0B77">
        <w:trPr>
          <w:trHeight w:hRule="exact" w:val="720"/>
        </w:trPr>
        <w:tc>
          <w:tcPr>
            <w:tcW w:w="4323" w:type="dxa"/>
            <w:vAlign w:val="center"/>
          </w:tcPr>
          <w:p w14:paraId="6D3571E3" w14:textId="18AC6F72" w:rsidR="00C06E04" w:rsidRPr="00143AC9" w:rsidDel="00332747" w:rsidRDefault="00C06E04" w:rsidP="00332747">
            <w:pPr>
              <w:pStyle w:val="A-TableText"/>
            </w:pPr>
            <w:r>
              <w:t>Partial response rate</w:t>
            </w:r>
          </w:p>
        </w:tc>
        <w:tc>
          <w:tcPr>
            <w:tcW w:w="2232" w:type="dxa"/>
            <w:vAlign w:val="center"/>
          </w:tcPr>
          <w:p w14:paraId="365F157E" w14:textId="59DE917A" w:rsidR="00C06E04" w:rsidRPr="00143AC9" w:rsidDel="000E12C5" w:rsidRDefault="00C06E04" w:rsidP="003C19DD">
            <w:pPr>
              <w:pStyle w:val="A-TableText"/>
              <w:jc w:val="center"/>
            </w:pPr>
            <w:r>
              <w:t>75%</w:t>
            </w:r>
          </w:p>
        </w:tc>
        <w:tc>
          <w:tcPr>
            <w:tcW w:w="2233" w:type="dxa"/>
            <w:vAlign w:val="center"/>
          </w:tcPr>
          <w:p w14:paraId="78C843BC" w14:textId="27793B90" w:rsidR="00C06E04" w:rsidRPr="00143AC9" w:rsidDel="000E12C5" w:rsidRDefault="00C06E04" w:rsidP="003C19DD">
            <w:pPr>
              <w:pStyle w:val="A-TableText"/>
              <w:jc w:val="center"/>
            </w:pPr>
            <w:r>
              <w:t>68%</w:t>
            </w:r>
          </w:p>
        </w:tc>
      </w:tr>
      <w:tr w:rsidR="00B30A48" w:rsidRPr="00143AC9" w14:paraId="14F4D99C" w14:textId="77777777" w:rsidTr="00BF0B77">
        <w:trPr>
          <w:trHeight w:hRule="exact" w:val="446"/>
        </w:trPr>
        <w:tc>
          <w:tcPr>
            <w:tcW w:w="8788" w:type="dxa"/>
            <w:gridSpan w:val="3"/>
            <w:vAlign w:val="center"/>
          </w:tcPr>
          <w:p w14:paraId="2C2B51FB" w14:textId="3D476D5E" w:rsidR="00B30A48" w:rsidRPr="00143AC9" w:rsidRDefault="00B30A48" w:rsidP="00BB69FE">
            <w:pPr>
              <w:pStyle w:val="A-TableHeader"/>
              <w:rPr>
                <w:lang w:val="en-US"/>
              </w:rPr>
            </w:pPr>
            <w:r w:rsidRPr="00143AC9">
              <w:t>Duration of Response (DoR)</w:t>
            </w:r>
            <w:r w:rsidR="00C06E04" w:rsidRPr="00C06E04">
              <w:rPr>
                <w:vertAlign w:val="superscript"/>
              </w:rPr>
              <w:t>e</w:t>
            </w:r>
          </w:p>
        </w:tc>
      </w:tr>
      <w:tr w:rsidR="00B30A48" w:rsidRPr="00143AC9" w14:paraId="3E6BF162" w14:textId="77777777" w:rsidTr="00BF0B77">
        <w:trPr>
          <w:trHeight w:hRule="exact" w:val="455"/>
        </w:trPr>
        <w:tc>
          <w:tcPr>
            <w:tcW w:w="4323" w:type="dxa"/>
            <w:vAlign w:val="center"/>
          </w:tcPr>
          <w:p w14:paraId="104CFDD5" w14:textId="722DD42E" w:rsidR="00B30A48" w:rsidRPr="00143AC9" w:rsidRDefault="00B30A48" w:rsidP="00BB69FE">
            <w:pPr>
              <w:pStyle w:val="A-TableText"/>
            </w:pPr>
            <w:r w:rsidRPr="00143AC9">
              <w:t xml:space="preserve">Median, </w:t>
            </w:r>
            <w:r w:rsidR="004D637F">
              <w:t>m</w:t>
            </w:r>
            <w:r w:rsidRPr="00143AC9">
              <w:t>onths (95% CI)</w:t>
            </w:r>
          </w:p>
        </w:tc>
        <w:tc>
          <w:tcPr>
            <w:tcW w:w="2232" w:type="dxa"/>
            <w:vAlign w:val="center"/>
          </w:tcPr>
          <w:p w14:paraId="74B284C8" w14:textId="6331E2FE" w:rsidR="00B30A48" w:rsidRPr="00143AC9" w:rsidRDefault="00B30A48" w:rsidP="00C06E04">
            <w:pPr>
              <w:pStyle w:val="A-TableText"/>
              <w:jc w:val="center"/>
              <w:rPr>
                <w:lang w:val="en-US"/>
              </w:rPr>
            </w:pPr>
            <w:r w:rsidRPr="00143AC9">
              <w:rPr>
                <w:lang w:val="en-US"/>
              </w:rPr>
              <w:t>17.</w:t>
            </w:r>
            <w:r w:rsidR="00C06E04">
              <w:rPr>
                <w:lang w:val="en-US"/>
              </w:rPr>
              <w:t>6</w:t>
            </w:r>
            <w:r w:rsidRPr="00143AC9">
              <w:rPr>
                <w:lang w:val="en-US"/>
              </w:rPr>
              <w:t xml:space="preserve"> (13.8, 22.0)</w:t>
            </w:r>
          </w:p>
        </w:tc>
        <w:tc>
          <w:tcPr>
            <w:tcW w:w="2233" w:type="dxa"/>
            <w:vAlign w:val="center"/>
          </w:tcPr>
          <w:p w14:paraId="7F9CD387" w14:textId="306ED827" w:rsidR="00B30A48" w:rsidRPr="00143AC9" w:rsidRDefault="00C06E04" w:rsidP="00C06E04">
            <w:pPr>
              <w:pStyle w:val="A-TableText"/>
              <w:jc w:val="center"/>
              <w:rPr>
                <w:lang w:val="en-US"/>
              </w:rPr>
            </w:pPr>
            <w:r>
              <w:rPr>
                <w:lang w:val="en-US"/>
              </w:rPr>
              <w:t>9.6</w:t>
            </w:r>
            <w:r w:rsidR="00B30A48" w:rsidRPr="00143AC9">
              <w:rPr>
                <w:lang w:val="en-US"/>
              </w:rPr>
              <w:t xml:space="preserve"> (</w:t>
            </w:r>
            <w:r>
              <w:rPr>
                <w:lang w:val="en-US"/>
              </w:rPr>
              <w:t>8.3</w:t>
            </w:r>
            <w:r w:rsidR="00B30A48" w:rsidRPr="00143AC9">
              <w:rPr>
                <w:lang w:val="en-US"/>
              </w:rPr>
              <w:t xml:space="preserve">, </w:t>
            </w:r>
            <w:r>
              <w:rPr>
                <w:lang w:val="en-US"/>
              </w:rPr>
              <w:t>11.1</w:t>
            </w:r>
            <w:r w:rsidR="00B30A48" w:rsidRPr="00143AC9">
              <w:rPr>
                <w:lang w:val="en-US"/>
              </w:rPr>
              <w:t>)</w:t>
            </w:r>
          </w:p>
        </w:tc>
      </w:tr>
    </w:tbl>
    <w:p w14:paraId="782678D6" w14:textId="5F3906CF" w:rsidR="004D637F" w:rsidRDefault="00B30A48" w:rsidP="004D637F">
      <w:pPr>
        <w:pStyle w:val="A-TableFootnoteText"/>
      </w:pPr>
      <w:r w:rsidRPr="00143AC9">
        <w:t>HR=Hazard Ratio; CI=Confidence Interval</w:t>
      </w:r>
    </w:p>
    <w:p w14:paraId="35C88415" w14:textId="76F69975" w:rsidR="004D637F" w:rsidRPr="004D637F" w:rsidRDefault="004D637F" w:rsidP="004D637F">
      <w:pPr>
        <w:pStyle w:val="A-TableFootnoteText"/>
      </w:pPr>
      <w:r w:rsidRPr="004D637F">
        <w:rPr>
          <w:vertAlign w:val="superscript"/>
        </w:rPr>
        <w:t xml:space="preserve">a </w:t>
      </w:r>
      <w:r>
        <w:rPr>
          <w:vertAlign w:val="superscript"/>
        </w:rPr>
        <w:tab/>
      </w:r>
      <w:r w:rsidRPr="004D637F">
        <w:t>Without documented radiological disease progression</w:t>
      </w:r>
    </w:p>
    <w:p w14:paraId="687FF723" w14:textId="0E95781E" w:rsidR="004D637F" w:rsidRPr="004D637F" w:rsidRDefault="004D637F" w:rsidP="004D637F">
      <w:pPr>
        <w:pStyle w:val="A-TableFootnoteText"/>
      </w:pPr>
      <w:r w:rsidRPr="004D637F">
        <w:rPr>
          <w:vertAlign w:val="superscript"/>
        </w:rPr>
        <w:t>b</w:t>
      </w:r>
      <w:r>
        <w:tab/>
      </w:r>
      <w:r w:rsidRPr="004D637F">
        <w:t>Stratified by ethnicity (Asian vs. non-Asian) and mutation status (Ex19del vs. L858R)</w:t>
      </w:r>
    </w:p>
    <w:p w14:paraId="1038EDEF" w14:textId="69D921AB" w:rsidR="004D637F" w:rsidRPr="004D637F" w:rsidRDefault="004D637F" w:rsidP="004D637F">
      <w:pPr>
        <w:pStyle w:val="A-TableFootnoteText"/>
      </w:pPr>
      <w:r w:rsidRPr="004D637F">
        <w:rPr>
          <w:vertAlign w:val="superscript"/>
        </w:rPr>
        <w:t>c</w:t>
      </w:r>
      <w:r>
        <w:tab/>
      </w:r>
      <w:r w:rsidRPr="004D637F">
        <w:t>Pike estimator</w:t>
      </w:r>
    </w:p>
    <w:p w14:paraId="5C78A1FB" w14:textId="18EFD63B" w:rsidR="004D637F" w:rsidRPr="004D637F" w:rsidRDefault="004D637F" w:rsidP="004D637F">
      <w:pPr>
        <w:pStyle w:val="A-TableFootnoteText"/>
      </w:pPr>
      <w:r w:rsidRPr="004D637F">
        <w:rPr>
          <w:vertAlign w:val="superscript"/>
        </w:rPr>
        <w:t>d</w:t>
      </w:r>
      <w:r w:rsidRPr="004D637F">
        <w:tab/>
      </w:r>
      <w:r>
        <w:t>Stratified log-rank test</w:t>
      </w:r>
    </w:p>
    <w:p w14:paraId="139F945D" w14:textId="4CBFBE23" w:rsidR="00B30A48" w:rsidRDefault="004D637F" w:rsidP="0045667F">
      <w:pPr>
        <w:pStyle w:val="A-TableFootnoteText"/>
      </w:pPr>
      <w:r w:rsidRPr="004D637F">
        <w:rPr>
          <w:vertAlign w:val="superscript"/>
        </w:rPr>
        <w:t>e</w:t>
      </w:r>
      <w:r>
        <w:tab/>
      </w:r>
      <w:r w:rsidRPr="004D637F">
        <w:t>Confirmed responses</w:t>
      </w:r>
    </w:p>
    <w:p w14:paraId="72EE254B" w14:textId="77777777" w:rsidR="00772D29" w:rsidRPr="00772D29" w:rsidRDefault="00772D29" w:rsidP="00772D29">
      <w:pPr>
        <w:rPr>
          <w:lang w:val="en-GB"/>
        </w:rPr>
      </w:pPr>
    </w:p>
    <w:p w14:paraId="16ED289B" w14:textId="4C7BA73E" w:rsidR="00B30A48" w:rsidRPr="00143AC9" w:rsidRDefault="00B30A48" w:rsidP="00F31E53">
      <w:pPr>
        <w:pStyle w:val="A-FigureTitle"/>
      </w:pPr>
      <w:r w:rsidRPr="00143AC9">
        <w:lastRenderedPageBreak/>
        <w:t xml:space="preserve">Figure 1. </w:t>
      </w:r>
      <w:r w:rsidR="009240FB">
        <w:tab/>
      </w:r>
      <w:r w:rsidRPr="00143AC9">
        <w:t>Kaplan-Meier Curves of Progression-Free Survival as assessed by investigator in FLAURA</w:t>
      </w:r>
      <w:r w:rsidRPr="00143AC9">
        <w:rPr>
          <w:vertAlign w:val="superscript"/>
        </w:rPr>
        <w:t xml:space="preserve"> </w:t>
      </w:r>
    </w:p>
    <w:p w14:paraId="6AB291AB" w14:textId="77777777" w:rsidR="00FA49BD" w:rsidRDefault="00B30A48" w:rsidP="00F31E53">
      <w:r w:rsidRPr="00143AC9">
        <w:rPr>
          <w:noProof/>
          <w:lang w:eastAsia="en-AU"/>
        </w:rPr>
        <w:drawing>
          <wp:inline distT="0" distB="0" distL="0" distR="0" wp14:anchorId="682E4A73" wp14:editId="014BC950">
            <wp:extent cx="5776595" cy="43154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6595" cy="4315460"/>
                    </a:xfrm>
                    <a:prstGeom prst="rect">
                      <a:avLst/>
                    </a:prstGeom>
                    <a:noFill/>
                    <a:ln>
                      <a:noFill/>
                    </a:ln>
                  </pic:spPr>
                </pic:pic>
              </a:graphicData>
            </a:graphic>
          </wp:inline>
        </w:drawing>
      </w:r>
    </w:p>
    <w:p w14:paraId="3EA38DD2" w14:textId="6FD6E885" w:rsidR="00FA49BD" w:rsidRDefault="00FA49BD" w:rsidP="00FA49BD">
      <w:r>
        <w:t xml:space="preserve">In a supportive analysis of PFS according to </w:t>
      </w:r>
      <w:r w:rsidR="00B44EAE">
        <w:t>BICR</w:t>
      </w:r>
      <w:r>
        <w:t xml:space="preserve">, median PFS was 17.7 months in the TAGRISSO arm compared to 9.7 months in the EGFR TKI comparator arm (HR=0.45; 95% CI: 0.36, 0.57). </w:t>
      </w:r>
    </w:p>
    <w:p w14:paraId="54338D81" w14:textId="4F081689" w:rsidR="00F077B2" w:rsidRPr="00143AC9" w:rsidRDefault="00F077B2" w:rsidP="00B30A48">
      <w:pPr>
        <w:spacing w:after="0"/>
        <w:rPr>
          <w:i/>
        </w:rPr>
      </w:pPr>
    </w:p>
    <w:p w14:paraId="1CA1EA77" w14:textId="31D2ECF0" w:rsidR="00B30A48" w:rsidRPr="00143AC9" w:rsidRDefault="00B30A48" w:rsidP="009D18C5">
      <w:pPr>
        <w:pStyle w:val="Heading4"/>
      </w:pPr>
      <w:r w:rsidRPr="00143AC9">
        <w:t>CNS metastases efficacy data in FLAURA study</w:t>
      </w:r>
    </w:p>
    <w:p w14:paraId="2F962433" w14:textId="1D4E453C" w:rsidR="00F303B5" w:rsidRDefault="00F303B5" w:rsidP="00F303B5">
      <w:pPr>
        <w:rPr>
          <w:highlight w:val="yellow"/>
        </w:rPr>
      </w:pPr>
      <w:r>
        <w:t xml:space="preserve">Of 556 patients, 200 patients (36%) had baseline brain scans reviewed by BICR; this included 106 patients in the TAGRISSO arm and 94 patients in the investigator choice of EGFR TKI arm. Of these 200 patients, 41 had measurable CNS lesions </w:t>
      </w:r>
      <w:r w:rsidR="0064351A">
        <w:t xml:space="preserve">at baseline </w:t>
      </w:r>
      <w:r>
        <w:t xml:space="preserve">per RECIST v1.1. Results of pre-specified exploratory analyses of CNS ORR and DoR by BICR in the subset of patients with measurable CNS lesions at baseline are summarised </w:t>
      </w:r>
      <w:r w:rsidR="00471DEF">
        <w:t>in Table 6</w:t>
      </w:r>
      <w:r>
        <w:t>.</w:t>
      </w:r>
    </w:p>
    <w:p w14:paraId="0AAC8FE1" w14:textId="628C60D1" w:rsidR="00B30A48" w:rsidRPr="00143AC9" w:rsidRDefault="00B30A48" w:rsidP="00C354FD"/>
    <w:p w14:paraId="7AFC8030" w14:textId="3B3ED906" w:rsidR="00D21A5D" w:rsidRPr="00336E4C" w:rsidRDefault="00D21A5D" w:rsidP="00E017ED">
      <w:pPr>
        <w:pStyle w:val="A-TableTitle"/>
      </w:pPr>
      <w:r w:rsidRPr="00336E4C">
        <w:lastRenderedPageBreak/>
        <w:t xml:space="preserve">Table 6. </w:t>
      </w:r>
      <w:r w:rsidR="0045667F" w:rsidRPr="00336E4C">
        <w:tab/>
      </w:r>
      <w:r w:rsidRPr="00336E4C">
        <w:t xml:space="preserve">CNS ORR &amp; DOR by BICR in patients with </w:t>
      </w:r>
      <w:r w:rsidR="00471DEF" w:rsidRPr="00336E4C">
        <w:t>m</w:t>
      </w:r>
      <w:r w:rsidRPr="00336E4C">
        <w:t>easurable CNS metastases on a baseline brain scan in FLAURA</w:t>
      </w:r>
      <w:r w:rsidRPr="00336E4C">
        <w:rPr>
          <w:vertAlign w:val="superscript"/>
        </w:rPr>
        <w:t xml:space="preserve"> </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270"/>
        <w:gridCol w:w="2850"/>
      </w:tblGrid>
      <w:tr w:rsidR="00D21A5D" w:rsidRPr="00336E4C" w14:paraId="70DD8530" w14:textId="77777777" w:rsidTr="001D4A7B">
        <w:tc>
          <w:tcPr>
            <w:tcW w:w="2034" w:type="pct"/>
            <w:tcBorders>
              <w:top w:val="single" w:sz="4" w:space="0" w:color="auto"/>
              <w:left w:val="single" w:sz="4" w:space="0" w:color="auto"/>
              <w:bottom w:val="single" w:sz="4" w:space="0" w:color="auto"/>
              <w:right w:val="single" w:sz="4" w:space="0" w:color="auto"/>
            </w:tcBorders>
          </w:tcPr>
          <w:p w14:paraId="43CEB1F1" w14:textId="77777777" w:rsidR="00D21A5D" w:rsidRPr="00336E4C" w:rsidRDefault="00D21A5D" w:rsidP="000D3CF1">
            <w:pPr>
              <w:keepNext/>
              <w:keepLines/>
              <w:tabs>
                <w:tab w:val="left" w:pos="284"/>
              </w:tabs>
              <w:autoSpaceDE w:val="0"/>
              <w:autoSpaceDN w:val="0"/>
              <w:adjustRightInd w:val="0"/>
              <w:spacing w:after="60"/>
              <w:rPr>
                <w:rFonts w:eastAsia="Calibri" w:cs="Times New Roman"/>
                <w:b/>
                <w:lang w:val="en-US"/>
              </w:rPr>
            </w:pPr>
          </w:p>
        </w:tc>
        <w:tc>
          <w:tcPr>
            <w:tcW w:w="1315" w:type="pct"/>
            <w:tcBorders>
              <w:top w:val="single" w:sz="4" w:space="0" w:color="auto"/>
              <w:left w:val="single" w:sz="4" w:space="0" w:color="auto"/>
              <w:bottom w:val="single" w:sz="4" w:space="0" w:color="auto"/>
              <w:right w:val="single" w:sz="4" w:space="0" w:color="auto"/>
            </w:tcBorders>
          </w:tcPr>
          <w:p w14:paraId="6B8D31CE" w14:textId="77777777" w:rsidR="00D21A5D" w:rsidRPr="00336E4C" w:rsidRDefault="00D21A5D" w:rsidP="0024067B">
            <w:pPr>
              <w:pStyle w:val="A-TableHeader"/>
              <w:jc w:val="center"/>
              <w:rPr>
                <w:rFonts w:eastAsia="Calibri"/>
              </w:rPr>
            </w:pPr>
            <w:r w:rsidRPr="00336E4C">
              <w:rPr>
                <w:rFonts w:eastAsia="Calibri"/>
              </w:rPr>
              <w:t>TAGRISSO</w:t>
            </w:r>
          </w:p>
          <w:p w14:paraId="22BCA213" w14:textId="77777777" w:rsidR="00D21A5D" w:rsidRPr="00336E4C" w:rsidRDefault="00D21A5D" w:rsidP="0024067B">
            <w:pPr>
              <w:pStyle w:val="A-TableText"/>
              <w:jc w:val="center"/>
              <w:rPr>
                <w:rFonts w:eastAsia="Calibri"/>
                <w:b/>
              </w:rPr>
            </w:pPr>
            <w:r w:rsidRPr="00336E4C">
              <w:rPr>
                <w:rFonts w:eastAsia="Calibri"/>
              </w:rPr>
              <w:t>N=22</w:t>
            </w:r>
          </w:p>
        </w:tc>
        <w:tc>
          <w:tcPr>
            <w:tcW w:w="1652" w:type="pct"/>
            <w:tcBorders>
              <w:top w:val="single" w:sz="4" w:space="0" w:color="auto"/>
              <w:left w:val="single" w:sz="4" w:space="0" w:color="auto"/>
              <w:bottom w:val="single" w:sz="4" w:space="0" w:color="auto"/>
              <w:right w:val="single" w:sz="4" w:space="0" w:color="auto"/>
            </w:tcBorders>
            <w:hideMark/>
          </w:tcPr>
          <w:p w14:paraId="39A27EA8" w14:textId="77777777" w:rsidR="00D21A5D" w:rsidRPr="00336E4C" w:rsidRDefault="00D21A5D" w:rsidP="0024067B">
            <w:pPr>
              <w:pStyle w:val="A-TableHeader"/>
              <w:jc w:val="center"/>
              <w:rPr>
                <w:rFonts w:eastAsia="Calibri"/>
              </w:rPr>
            </w:pPr>
            <w:r w:rsidRPr="00336E4C">
              <w:rPr>
                <w:rFonts w:eastAsia="Calibri"/>
              </w:rPr>
              <w:t>EGFR TKI</w:t>
            </w:r>
          </w:p>
          <w:p w14:paraId="29E1BF03" w14:textId="77777777" w:rsidR="00D21A5D" w:rsidRPr="00336E4C" w:rsidRDefault="00D21A5D" w:rsidP="0024067B">
            <w:pPr>
              <w:pStyle w:val="A-TableHeader"/>
              <w:jc w:val="center"/>
              <w:rPr>
                <w:rFonts w:eastAsia="Calibri"/>
              </w:rPr>
            </w:pPr>
            <w:r w:rsidRPr="00336E4C">
              <w:rPr>
                <w:rFonts w:eastAsia="Calibri"/>
              </w:rPr>
              <w:t>(gefitinib or erlotinib)</w:t>
            </w:r>
          </w:p>
          <w:p w14:paraId="5469909C" w14:textId="77777777" w:rsidR="00D21A5D" w:rsidRPr="00336E4C" w:rsidRDefault="00D21A5D" w:rsidP="0024067B">
            <w:pPr>
              <w:pStyle w:val="A-TableText"/>
              <w:jc w:val="center"/>
              <w:rPr>
                <w:rFonts w:eastAsia="Calibri"/>
                <w:b/>
              </w:rPr>
            </w:pPr>
            <w:r w:rsidRPr="00336E4C">
              <w:rPr>
                <w:rFonts w:eastAsia="Calibri"/>
              </w:rPr>
              <w:t>N=19</w:t>
            </w:r>
          </w:p>
        </w:tc>
      </w:tr>
      <w:tr w:rsidR="00D21A5D" w:rsidRPr="00336E4C" w14:paraId="543EA691" w14:textId="77777777" w:rsidTr="000D3CF1">
        <w:tc>
          <w:tcPr>
            <w:tcW w:w="5000" w:type="pct"/>
            <w:gridSpan w:val="3"/>
            <w:tcBorders>
              <w:top w:val="single" w:sz="4" w:space="0" w:color="auto"/>
              <w:left w:val="single" w:sz="4" w:space="0" w:color="auto"/>
              <w:bottom w:val="single" w:sz="4" w:space="0" w:color="auto"/>
              <w:right w:val="single" w:sz="4" w:space="0" w:color="auto"/>
            </w:tcBorders>
            <w:hideMark/>
          </w:tcPr>
          <w:p w14:paraId="7D4B7E71" w14:textId="2C3649CC" w:rsidR="00D21A5D" w:rsidRPr="00336E4C" w:rsidRDefault="00D21A5D" w:rsidP="00471DEF">
            <w:pPr>
              <w:pStyle w:val="A-TableHeader"/>
              <w:rPr>
                <w:rFonts w:eastAsia="Calibri"/>
              </w:rPr>
            </w:pPr>
            <w:r w:rsidRPr="00336E4C">
              <w:rPr>
                <w:rFonts w:eastAsia="Calibri"/>
              </w:rPr>
              <w:t>CNS O</w:t>
            </w:r>
            <w:r w:rsidR="00471DEF" w:rsidRPr="00336E4C">
              <w:rPr>
                <w:rFonts w:eastAsia="Calibri"/>
              </w:rPr>
              <w:t>RR</w:t>
            </w:r>
            <w:r w:rsidRPr="00336E4C">
              <w:rPr>
                <w:rFonts w:eastAsia="Calibri"/>
                <w:vertAlign w:val="superscript"/>
              </w:rPr>
              <w:t>a,b</w:t>
            </w:r>
          </w:p>
        </w:tc>
      </w:tr>
      <w:tr w:rsidR="00D21A5D" w:rsidRPr="00336E4C" w14:paraId="1AF0ACD0" w14:textId="77777777" w:rsidTr="001D4A7B">
        <w:tc>
          <w:tcPr>
            <w:tcW w:w="2034" w:type="pct"/>
            <w:tcBorders>
              <w:top w:val="single" w:sz="4" w:space="0" w:color="auto"/>
              <w:left w:val="single" w:sz="4" w:space="0" w:color="auto"/>
              <w:bottom w:val="single" w:sz="4" w:space="0" w:color="auto"/>
              <w:right w:val="single" w:sz="4" w:space="0" w:color="auto"/>
            </w:tcBorders>
            <w:hideMark/>
          </w:tcPr>
          <w:p w14:paraId="0288E9B6" w14:textId="39B9EEA0" w:rsidR="00D21A5D" w:rsidRPr="00336E4C" w:rsidRDefault="00D21A5D" w:rsidP="00471DEF">
            <w:pPr>
              <w:pStyle w:val="A-TableText"/>
              <w:rPr>
                <w:rFonts w:eastAsia="Calibri"/>
              </w:rPr>
            </w:pPr>
            <w:r w:rsidRPr="00336E4C">
              <w:rPr>
                <w:rFonts w:eastAsia="Calibri"/>
              </w:rPr>
              <w:t xml:space="preserve">CNS </w:t>
            </w:r>
            <w:r w:rsidR="00471DEF" w:rsidRPr="00336E4C">
              <w:rPr>
                <w:rFonts w:eastAsia="Calibri"/>
              </w:rPr>
              <w:t>ORR</w:t>
            </w:r>
            <w:r w:rsidRPr="00336E4C">
              <w:rPr>
                <w:rFonts w:eastAsia="Calibri"/>
              </w:rPr>
              <w:t>, % (95% CI)</w:t>
            </w:r>
          </w:p>
        </w:tc>
        <w:tc>
          <w:tcPr>
            <w:tcW w:w="1315" w:type="pct"/>
            <w:tcBorders>
              <w:top w:val="single" w:sz="4" w:space="0" w:color="auto"/>
              <w:left w:val="single" w:sz="4" w:space="0" w:color="auto"/>
              <w:bottom w:val="single" w:sz="4" w:space="0" w:color="auto"/>
              <w:right w:val="single" w:sz="4" w:space="0" w:color="auto"/>
            </w:tcBorders>
          </w:tcPr>
          <w:p w14:paraId="597AA735" w14:textId="77777777" w:rsidR="00D21A5D" w:rsidRPr="00336E4C" w:rsidRDefault="00D21A5D" w:rsidP="0045667F">
            <w:pPr>
              <w:pStyle w:val="A-TableText"/>
              <w:jc w:val="center"/>
              <w:rPr>
                <w:rFonts w:eastAsia="Calibri"/>
              </w:rPr>
            </w:pPr>
            <w:r w:rsidRPr="00336E4C">
              <w:rPr>
                <w:rFonts w:eastAsia="Calibri"/>
              </w:rPr>
              <w:t>77% (55, 92)</w:t>
            </w:r>
          </w:p>
          <w:p w14:paraId="516D9005" w14:textId="77777777" w:rsidR="00D21A5D" w:rsidRPr="00336E4C" w:rsidRDefault="00D21A5D" w:rsidP="0045667F">
            <w:pPr>
              <w:pStyle w:val="A-TableText"/>
              <w:jc w:val="center"/>
              <w:rPr>
                <w:rFonts w:eastAsia="Calibri"/>
              </w:rPr>
            </w:pPr>
          </w:p>
        </w:tc>
        <w:tc>
          <w:tcPr>
            <w:tcW w:w="1652" w:type="pct"/>
            <w:tcBorders>
              <w:top w:val="single" w:sz="4" w:space="0" w:color="auto"/>
              <w:left w:val="single" w:sz="4" w:space="0" w:color="auto"/>
              <w:bottom w:val="single" w:sz="4" w:space="0" w:color="auto"/>
              <w:right w:val="single" w:sz="4" w:space="0" w:color="auto"/>
            </w:tcBorders>
          </w:tcPr>
          <w:p w14:paraId="733AF2A5" w14:textId="77777777" w:rsidR="00D21A5D" w:rsidRPr="00336E4C" w:rsidRDefault="00D21A5D" w:rsidP="0045667F">
            <w:pPr>
              <w:pStyle w:val="A-TableText"/>
              <w:jc w:val="center"/>
              <w:rPr>
                <w:rFonts w:eastAsia="Calibri"/>
              </w:rPr>
            </w:pPr>
            <w:r w:rsidRPr="00336E4C">
              <w:rPr>
                <w:rFonts w:eastAsia="Calibri"/>
              </w:rPr>
              <w:t>63% (38, 84)</w:t>
            </w:r>
          </w:p>
          <w:p w14:paraId="377B942F" w14:textId="77777777" w:rsidR="00D21A5D" w:rsidRPr="00336E4C" w:rsidRDefault="00D21A5D" w:rsidP="0045667F">
            <w:pPr>
              <w:pStyle w:val="A-TableText"/>
              <w:jc w:val="center"/>
              <w:rPr>
                <w:rFonts w:eastAsia="Calibri"/>
              </w:rPr>
            </w:pPr>
          </w:p>
        </w:tc>
      </w:tr>
      <w:tr w:rsidR="00D21A5D" w:rsidRPr="00336E4C" w14:paraId="4DB01AED" w14:textId="77777777" w:rsidTr="001D4A7B">
        <w:tc>
          <w:tcPr>
            <w:tcW w:w="2034" w:type="pct"/>
            <w:tcBorders>
              <w:top w:val="single" w:sz="4" w:space="0" w:color="auto"/>
              <w:left w:val="single" w:sz="4" w:space="0" w:color="auto"/>
              <w:bottom w:val="single" w:sz="4" w:space="0" w:color="auto"/>
              <w:right w:val="single" w:sz="4" w:space="0" w:color="auto"/>
            </w:tcBorders>
            <w:vAlign w:val="center"/>
            <w:hideMark/>
          </w:tcPr>
          <w:p w14:paraId="1E2263F5" w14:textId="73CF5B5A" w:rsidR="00D21A5D" w:rsidRPr="00336E4C" w:rsidRDefault="00D21A5D" w:rsidP="00344695">
            <w:pPr>
              <w:pStyle w:val="A-TableText"/>
              <w:jc w:val="both"/>
              <w:rPr>
                <w:rFonts w:eastAsia="Calibri"/>
              </w:rPr>
            </w:pPr>
            <w:r w:rsidRPr="00336E4C">
              <w:rPr>
                <w:rFonts w:eastAsia="Calibri"/>
              </w:rPr>
              <w:t>Complete response</w:t>
            </w:r>
            <w:r w:rsidR="00471DEF" w:rsidRPr="00336E4C">
              <w:rPr>
                <w:rFonts w:eastAsia="Calibri"/>
              </w:rPr>
              <w:t xml:space="preserve"> rate</w:t>
            </w:r>
          </w:p>
        </w:tc>
        <w:tc>
          <w:tcPr>
            <w:tcW w:w="1315" w:type="pct"/>
            <w:tcBorders>
              <w:top w:val="single" w:sz="4" w:space="0" w:color="auto"/>
              <w:left w:val="single" w:sz="4" w:space="0" w:color="auto"/>
              <w:bottom w:val="single" w:sz="4" w:space="0" w:color="auto"/>
              <w:right w:val="single" w:sz="4" w:space="0" w:color="auto"/>
            </w:tcBorders>
            <w:vAlign w:val="center"/>
            <w:hideMark/>
          </w:tcPr>
          <w:p w14:paraId="286170EB" w14:textId="77777777" w:rsidR="00D21A5D" w:rsidRPr="00336E4C" w:rsidRDefault="00D21A5D" w:rsidP="0045667F">
            <w:pPr>
              <w:pStyle w:val="A-TableText"/>
              <w:jc w:val="center"/>
              <w:rPr>
                <w:rFonts w:eastAsia="Calibri"/>
              </w:rPr>
            </w:pPr>
            <w:r w:rsidRPr="00336E4C">
              <w:rPr>
                <w:rFonts w:eastAsia="Calibri"/>
              </w:rPr>
              <w:t>18%</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D35A2B7" w14:textId="77777777" w:rsidR="00D21A5D" w:rsidRPr="00336E4C" w:rsidRDefault="00D21A5D" w:rsidP="0045667F">
            <w:pPr>
              <w:pStyle w:val="A-TableText"/>
              <w:jc w:val="center"/>
              <w:rPr>
                <w:rFonts w:eastAsia="Calibri"/>
              </w:rPr>
            </w:pPr>
            <w:r w:rsidRPr="00336E4C">
              <w:rPr>
                <w:rFonts w:eastAsia="Calibri"/>
              </w:rPr>
              <w:t>0%</w:t>
            </w:r>
          </w:p>
        </w:tc>
      </w:tr>
      <w:tr w:rsidR="00D21A5D" w:rsidRPr="00336E4C" w14:paraId="105AAF22" w14:textId="77777777" w:rsidTr="000D3CF1">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805C4C5" w14:textId="77777777" w:rsidR="00D21A5D" w:rsidRPr="00336E4C" w:rsidRDefault="00D21A5D" w:rsidP="0024067B">
            <w:pPr>
              <w:pStyle w:val="A-TableHeader"/>
              <w:rPr>
                <w:rFonts w:eastAsia="Calibri"/>
              </w:rPr>
            </w:pPr>
            <w:r w:rsidRPr="00336E4C">
              <w:rPr>
                <w:rFonts w:eastAsia="Calibri"/>
              </w:rPr>
              <w:t>CNS Duration of Response</w:t>
            </w:r>
            <w:r w:rsidRPr="00336E4C">
              <w:rPr>
                <w:rFonts w:eastAsia="Calibri"/>
                <w:vertAlign w:val="superscript"/>
              </w:rPr>
              <w:t>a,c</w:t>
            </w:r>
          </w:p>
        </w:tc>
      </w:tr>
      <w:tr w:rsidR="00D21A5D" w:rsidRPr="00336E4C" w14:paraId="64592C56" w14:textId="77777777" w:rsidTr="001D4A7B">
        <w:tc>
          <w:tcPr>
            <w:tcW w:w="2034" w:type="pct"/>
            <w:tcBorders>
              <w:top w:val="single" w:sz="4" w:space="0" w:color="auto"/>
              <w:left w:val="single" w:sz="4" w:space="0" w:color="auto"/>
              <w:bottom w:val="single" w:sz="4" w:space="0" w:color="auto"/>
              <w:right w:val="single" w:sz="4" w:space="0" w:color="auto"/>
            </w:tcBorders>
            <w:vAlign w:val="center"/>
            <w:hideMark/>
          </w:tcPr>
          <w:p w14:paraId="01FD5EAE" w14:textId="2EECCFDD" w:rsidR="00D21A5D" w:rsidRPr="00336E4C" w:rsidRDefault="00D21A5D" w:rsidP="00344695">
            <w:pPr>
              <w:pStyle w:val="A-TableText"/>
              <w:rPr>
                <w:rFonts w:eastAsia="Calibri"/>
              </w:rPr>
            </w:pPr>
            <w:r w:rsidRPr="00336E4C">
              <w:rPr>
                <w:rFonts w:eastAsia="Calibri"/>
              </w:rPr>
              <w:t>Number of responders</w:t>
            </w:r>
          </w:p>
        </w:tc>
        <w:tc>
          <w:tcPr>
            <w:tcW w:w="1314" w:type="pct"/>
            <w:tcBorders>
              <w:top w:val="single" w:sz="4" w:space="0" w:color="auto"/>
              <w:left w:val="single" w:sz="4" w:space="0" w:color="auto"/>
              <w:bottom w:val="single" w:sz="4" w:space="0" w:color="auto"/>
              <w:right w:val="single" w:sz="4" w:space="0" w:color="auto"/>
            </w:tcBorders>
            <w:hideMark/>
          </w:tcPr>
          <w:p w14:paraId="7025FCF2" w14:textId="77777777" w:rsidR="00D21A5D" w:rsidRPr="00336E4C" w:rsidRDefault="00D21A5D" w:rsidP="0045667F">
            <w:pPr>
              <w:pStyle w:val="A-TableText"/>
              <w:jc w:val="center"/>
              <w:rPr>
                <w:rFonts w:eastAsia="Calibri"/>
              </w:rPr>
            </w:pPr>
            <w:r w:rsidRPr="00336E4C">
              <w:rPr>
                <w:rFonts w:eastAsia="Calibri"/>
              </w:rPr>
              <w:t>17</w:t>
            </w:r>
          </w:p>
        </w:tc>
        <w:tc>
          <w:tcPr>
            <w:tcW w:w="1652" w:type="pct"/>
            <w:tcBorders>
              <w:top w:val="single" w:sz="4" w:space="0" w:color="auto"/>
              <w:left w:val="single" w:sz="4" w:space="0" w:color="auto"/>
              <w:bottom w:val="single" w:sz="4" w:space="0" w:color="auto"/>
              <w:right w:val="single" w:sz="4" w:space="0" w:color="auto"/>
            </w:tcBorders>
            <w:hideMark/>
          </w:tcPr>
          <w:p w14:paraId="7C65B18B" w14:textId="77777777" w:rsidR="00D21A5D" w:rsidRPr="00336E4C" w:rsidRDefault="00D21A5D" w:rsidP="0045667F">
            <w:pPr>
              <w:pStyle w:val="A-TableText"/>
              <w:jc w:val="center"/>
              <w:rPr>
                <w:rFonts w:eastAsia="Calibri"/>
              </w:rPr>
            </w:pPr>
            <w:r w:rsidRPr="00336E4C">
              <w:rPr>
                <w:rFonts w:eastAsia="Calibri"/>
              </w:rPr>
              <w:t>12</w:t>
            </w:r>
          </w:p>
        </w:tc>
      </w:tr>
      <w:tr w:rsidR="00D21A5D" w:rsidRPr="00336E4C" w14:paraId="720B9D6F" w14:textId="77777777" w:rsidTr="001D4A7B">
        <w:tc>
          <w:tcPr>
            <w:tcW w:w="2034" w:type="pct"/>
            <w:tcBorders>
              <w:top w:val="single" w:sz="4" w:space="0" w:color="auto"/>
              <w:left w:val="single" w:sz="4" w:space="0" w:color="auto"/>
              <w:bottom w:val="single" w:sz="4" w:space="0" w:color="auto"/>
              <w:right w:val="single" w:sz="4" w:space="0" w:color="auto"/>
            </w:tcBorders>
            <w:vAlign w:val="center"/>
            <w:hideMark/>
          </w:tcPr>
          <w:p w14:paraId="4C06CF69" w14:textId="620CEAEF" w:rsidR="00D21A5D" w:rsidRPr="00336E4C" w:rsidRDefault="00D21A5D" w:rsidP="0045667F">
            <w:pPr>
              <w:pStyle w:val="A-TableText"/>
              <w:rPr>
                <w:rFonts w:eastAsia="Calibri"/>
              </w:rPr>
            </w:pPr>
            <w:r w:rsidRPr="00336E4C">
              <w:rPr>
                <w:rFonts w:eastAsia="Calibri"/>
              </w:rPr>
              <w:t>Response Duration ≥6 months</w:t>
            </w:r>
          </w:p>
        </w:tc>
        <w:tc>
          <w:tcPr>
            <w:tcW w:w="1314" w:type="pct"/>
            <w:tcBorders>
              <w:top w:val="single" w:sz="4" w:space="0" w:color="auto"/>
              <w:left w:val="single" w:sz="4" w:space="0" w:color="auto"/>
              <w:bottom w:val="single" w:sz="4" w:space="0" w:color="auto"/>
              <w:right w:val="single" w:sz="4" w:space="0" w:color="auto"/>
            </w:tcBorders>
            <w:hideMark/>
          </w:tcPr>
          <w:p w14:paraId="3C4FC5C3" w14:textId="77777777" w:rsidR="00D21A5D" w:rsidRPr="00336E4C" w:rsidRDefault="00D21A5D" w:rsidP="0045667F">
            <w:pPr>
              <w:pStyle w:val="A-TableText"/>
              <w:jc w:val="center"/>
              <w:rPr>
                <w:rFonts w:eastAsia="Calibri"/>
              </w:rPr>
            </w:pPr>
            <w:r w:rsidRPr="00336E4C">
              <w:rPr>
                <w:rFonts w:eastAsia="Calibri"/>
              </w:rPr>
              <w:t xml:space="preserve"> 88%</w:t>
            </w:r>
          </w:p>
        </w:tc>
        <w:tc>
          <w:tcPr>
            <w:tcW w:w="1652" w:type="pct"/>
            <w:tcBorders>
              <w:top w:val="single" w:sz="4" w:space="0" w:color="auto"/>
              <w:left w:val="single" w:sz="4" w:space="0" w:color="auto"/>
              <w:bottom w:val="single" w:sz="4" w:space="0" w:color="auto"/>
              <w:right w:val="single" w:sz="4" w:space="0" w:color="auto"/>
            </w:tcBorders>
            <w:hideMark/>
          </w:tcPr>
          <w:p w14:paraId="5B62A2C7" w14:textId="77777777" w:rsidR="00D21A5D" w:rsidRPr="00336E4C" w:rsidRDefault="00D21A5D" w:rsidP="0045667F">
            <w:pPr>
              <w:pStyle w:val="A-TableText"/>
              <w:jc w:val="center"/>
              <w:rPr>
                <w:rFonts w:eastAsia="Calibri"/>
              </w:rPr>
            </w:pPr>
            <w:r w:rsidRPr="00336E4C">
              <w:rPr>
                <w:rFonts w:eastAsia="Calibri"/>
              </w:rPr>
              <w:t>50%</w:t>
            </w:r>
          </w:p>
        </w:tc>
      </w:tr>
      <w:tr w:rsidR="00D21A5D" w:rsidRPr="00D21A5D" w14:paraId="5FA08C1A" w14:textId="77777777" w:rsidTr="001D4A7B">
        <w:tc>
          <w:tcPr>
            <w:tcW w:w="2034" w:type="pct"/>
            <w:tcBorders>
              <w:top w:val="single" w:sz="4" w:space="0" w:color="auto"/>
              <w:left w:val="single" w:sz="4" w:space="0" w:color="auto"/>
              <w:bottom w:val="single" w:sz="4" w:space="0" w:color="auto"/>
              <w:right w:val="single" w:sz="4" w:space="0" w:color="auto"/>
            </w:tcBorders>
            <w:vAlign w:val="center"/>
            <w:hideMark/>
          </w:tcPr>
          <w:p w14:paraId="42A38FCE" w14:textId="3940C946" w:rsidR="00D21A5D" w:rsidRPr="00336E4C" w:rsidRDefault="00D21A5D" w:rsidP="0045667F">
            <w:pPr>
              <w:pStyle w:val="A-TableText"/>
              <w:rPr>
                <w:rFonts w:eastAsia="Calibri"/>
              </w:rPr>
            </w:pPr>
            <w:r w:rsidRPr="00336E4C">
              <w:rPr>
                <w:rFonts w:eastAsia="Calibri"/>
              </w:rPr>
              <w:t>Response Duration ≥12 months</w:t>
            </w:r>
          </w:p>
        </w:tc>
        <w:tc>
          <w:tcPr>
            <w:tcW w:w="1314" w:type="pct"/>
            <w:tcBorders>
              <w:top w:val="single" w:sz="4" w:space="0" w:color="auto"/>
              <w:left w:val="single" w:sz="4" w:space="0" w:color="auto"/>
              <w:bottom w:val="single" w:sz="4" w:space="0" w:color="auto"/>
              <w:right w:val="single" w:sz="4" w:space="0" w:color="auto"/>
            </w:tcBorders>
            <w:hideMark/>
          </w:tcPr>
          <w:p w14:paraId="17D09BA5" w14:textId="77777777" w:rsidR="00D21A5D" w:rsidRPr="00336E4C" w:rsidRDefault="00D21A5D" w:rsidP="0045667F">
            <w:pPr>
              <w:pStyle w:val="A-TableText"/>
              <w:jc w:val="center"/>
              <w:rPr>
                <w:rFonts w:eastAsia="Calibri"/>
              </w:rPr>
            </w:pPr>
            <w:r w:rsidRPr="00336E4C">
              <w:rPr>
                <w:rFonts w:eastAsia="Calibri"/>
              </w:rPr>
              <w:t>47%</w:t>
            </w:r>
          </w:p>
        </w:tc>
        <w:tc>
          <w:tcPr>
            <w:tcW w:w="1652" w:type="pct"/>
            <w:tcBorders>
              <w:top w:val="single" w:sz="4" w:space="0" w:color="auto"/>
              <w:left w:val="single" w:sz="4" w:space="0" w:color="auto"/>
              <w:bottom w:val="single" w:sz="4" w:space="0" w:color="auto"/>
              <w:right w:val="single" w:sz="4" w:space="0" w:color="auto"/>
            </w:tcBorders>
            <w:hideMark/>
          </w:tcPr>
          <w:p w14:paraId="38EFB932" w14:textId="77777777" w:rsidR="00D21A5D" w:rsidRPr="00336E4C" w:rsidRDefault="00D21A5D" w:rsidP="0045667F">
            <w:pPr>
              <w:pStyle w:val="A-TableText"/>
              <w:jc w:val="center"/>
              <w:rPr>
                <w:rFonts w:eastAsia="Calibri"/>
              </w:rPr>
            </w:pPr>
            <w:r w:rsidRPr="00336E4C">
              <w:rPr>
                <w:rFonts w:eastAsia="Calibri"/>
              </w:rPr>
              <w:t>33%</w:t>
            </w:r>
          </w:p>
        </w:tc>
      </w:tr>
    </w:tbl>
    <w:p w14:paraId="11705EBB" w14:textId="2D044FF6" w:rsidR="00D21A5D" w:rsidRPr="00336E4C" w:rsidRDefault="00D21A5D" w:rsidP="0045667F">
      <w:pPr>
        <w:pStyle w:val="A-TableFootnoteText"/>
      </w:pPr>
      <w:r w:rsidRPr="00336E4C">
        <w:rPr>
          <w:vertAlign w:val="superscript"/>
        </w:rPr>
        <w:t>a</w:t>
      </w:r>
      <w:r w:rsidRPr="00336E4C">
        <w:t xml:space="preserve"> </w:t>
      </w:r>
      <w:r w:rsidR="0045667F" w:rsidRPr="00336E4C">
        <w:tab/>
      </w:r>
      <w:r w:rsidR="001D4A7B" w:rsidRPr="00336E4C">
        <w:t>According to</w:t>
      </w:r>
      <w:r w:rsidRPr="00336E4C">
        <w:t xml:space="preserve"> RECIST v1.1by CNS BICR (CNS measurable lesions at baseline by BICR)</w:t>
      </w:r>
    </w:p>
    <w:p w14:paraId="006F08FA" w14:textId="3CCBE86D" w:rsidR="00D21A5D" w:rsidRPr="00336E4C" w:rsidRDefault="00D21A5D" w:rsidP="0045667F">
      <w:pPr>
        <w:pStyle w:val="A-TableFootnoteText"/>
      </w:pPr>
      <w:r w:rsidRPr="00336E4C">
        <w:rPr>
          <w:vertAlign w:val="superscript"/>
        </w:rPr>
        <w:t>b</w:t>
      </w:r>
      <w:r w:rsidRPr="00336E4C">
        <w:t xml:space="preserve"> </w:t>
      </w:r>
      <w:r w:rsidR="0045667F" w:rsidRPr="00336E4C">
        <w:tab/>
      </w:r>
      <w:r w:rsidRPr="00336E4C">
        <w:t>Based on confirmed response.</w:t>
      </w:r>
    </w:p>
    <w:p w14:paraId="3EB80230" w14:textId="1C970F5A" w:rsidR="00D21A5D" w:rsidRPr="00336E4C" w:rsidRDefault="00D21A5D" w:rsidP="0045667F">
      <w:pPr>
        <w:pStyle w:val="A-TableFootnoteText"/>
        <w:ind w:left="280" w:hanging="280"/>
      </w:pPr>
      <w:r w:rsidRPr="00336E4C">
        <w:rPr>
          <w:vertAlign w:val="superscript"/>
        </w:rPr>
        <w:t xml:space="preserve">c </w:t>
      </w:r>
      <w:r w:rsidR="0045667F" w:rsidRPr="00336E4C">
        <w:tab/>
      </w:r>
      <w:r w:rsidRPr="00336E4C">
        <w:t>Based on patients with response only; DoR defined as the time from the date of first documented response (complete response or partial response) until progression or death event.</w:t>
      </w:r>
    </w:p>
    <w:p w14:paraId="27B40DE2" w14:textId="77777777" w:rsidR="00C354FD" w:rsidRPr="00336E4C" w:rsidRDefault="00C354FD" w:rsidP="00C354FD"/>
    <w:p w14:paraId="5C91B468" w14:textId="77777777" w:rsidR="00B30A48" w:rsidRPr="00143AC9" w:rsidRDefault="00B30A48" w:rsidP="00691CFA">
      <w:pPr>
        <w:pStyle w:val="Heading4"/>
      </w:pPr>
      <w:r w:rsidRPr="00143AC9">
        <w:t>Patient Reported Outcomes (PRO)</w:t>
      </w:r>
    </w:p>
    <w:p w14:paraId="5CC2EA8D" w14:textId="2F01DA40" w:rsidR="00B30A48" w:rsidRPr="00143AC9" w:rsidRDefault="00135D38" w:rsidP="00ED0A86">
      <w:pPr>
        <w:rPr>
          <w:bCs/>
          <w:szCs w:val="24"/>
        </w:rPr>
      </w:pPr>
      <w:r>
        <w:rPr>
          <w:bCs/>
          <w:szCs w:val="24"/>
        </w:rPr>
        <w:t xml:space="preserve">PRO data was collected using the </w:t>
      </w:r>
      <w:r w:rsidRPr="00143AC9">
        <w:rPr>
          <w:bCs/>
          <w:szCs w:val="24"/>
        </w:rPr>
        <w:t>EORTC QLQ-C30</w:t>
      </w:r>
      <w:r>
        <w:rPr>
          <w:bCs/>
          <w:szCs w:val="24"/>
        </w:rPr>
        <w:t xml:space="preserve"> and the </w:t>
      </w:r>
      <w:r w:rsidRPr="00143AC9">
        <w:rPr>
          <w:bCs/>
          <w:szCs w:val="24"/>
        </w:rPr>
        <w:t>EORTC QLQ-LC13</w:t>
      </w:r>
      <w:r w:rsidR="0064351A">
        <w:rPr>
          <w:bCs/>
          <w:szCs w:val="24"/>
        </w:rPr>
        <w:t xml:space="preserve"> questionnaire tools. From baseline, there was a s</w:t>
      </w:r>
      <w:r w:rsidR="00F13F58">
        <w:rPr>
          <w:bCs/>
          <w:szCs w:val="24"/>
        </w:rPr>
        <w:t>ustained</w:t>
      </w:r>
      <w:r w:rsidR="0064351A">
        <w:rPr>
          <w:bCs/>
          <w:szCs w:val="24"/>
        </w:rPr>
        <w:t>, clinically relevant</w:t>
      </w:r>
      <w:r w:rsidR="00F13F58">
        <w:rPr>
          <w:bCs/>
          <w:szCs w:val="24"/>
        </w:rPr>
        <w:t xml:space="preserve"> improvement</w:t>
      </w:r>
      <w:r>
        <w:rPr>
          <w:bCs/>
          <w:szCs w:val="24"/>
        </w:rPr>
        <w:t xml:space="preserve"> </w:t>
      </w:r>
      <w:r w:rsidR="00DC23AB">
        <w:rPr>
          <w:bCs/>
          <w:szCs w:val="24"/>
        </w:rPr>
        <w:t>in</w:t>
      </w:r>
      <w:r>
        <w:rPr>
          <w:bCs/>
          <w:szCs w:val="24"/>
        </w:rPr>
        <w:t xml:space="preserve"> cough</w:t>
      </w:r>
      <w:r w:rsidR="00F13F58">
        <w:rPr>
          <w:bCs/>
          <w:szCs w:val="24"/>
        </w:rPr>
        <w:t xml:space="preserve"> and </w:t>
      </w:r>
      <w:r w:rsidR="0064351A">
        <w:rPr>
          <w:bCs/>
          <w:szCs w:val="24"/>
        </w:rPr>
        <w:t>deterioration</w:t>
      </w:r>
      <w:r w:rsidR="00F13F58">
        <w:rPr>
          <w:bCs/>
          <w:szCs w:val="24"/>
        </w:rPr>
        <w:t xml:space="preserve"> in diarrhoea</w:t>
      </w:r>
      <w:r>
        <w:rPr>
          <w:bCs/>
          <w:szCs w:val="24"/>
        </w:rPr>
        <w:t xml:space="preserve"> in both study arms. </w:t>
      </w:r>
      <w:r w:rsidR="00DC23AB">
        <w:rPr>
          <w:szCs w:val="24"/>
        </w:rPr>
        <w:t xml:space="preserve">No clinically meaningful differences were demonstrated between arms at baseline or during </w:t>
      </w:r>
      <w:r w:rsidR="00B30A48" w:rsidRPr="00143AC9">
        <w:rPr>
          <w:szCs w:val="24"/>
        </w:rPr>
        <w:t>the first 9 months</w:t>
      </w:r>
      <w:r w:rsidR="00DC23AB">
        <w:rPr>
          <w:szCs w:val="24"/>
        </w:rPr>
        <w:t xml:space="preserve">, </w:t>
      </w:r>
      <w:r w:rsidR="00F13F58">
        <w:rPr>
          <w:szCs w:val="24"/>
        </w:rPr>
        <w:t>during which time</w:t>
      </w:r>
      <w:r w:rsidR="00DC23AB">
        <w:rPr>
          <w:szCs w:val="24"/>
        </w:rPr>
        <w:t xml:space="preserve"> compliance</w:t>
      </w:r>
      <w:r w:rsidR="00B30A48" w:rsidRPr="00143AC9">
        <w:rPr>
          <w:szCs w:val="24"/>
        </w:rPr>
        <w:t xml:space="preserve"> was generally high (≥70%) and</w:t>
      </w:r>
      <w:r w:rsidR="00DC23AB">
        <w:rPr>
          <w:szCs w:val="24"/>
        </w:rPr>
        <w:t xml:space="preserve"> was</w:t>
      </w:r>
      <w:r w:rsidR="00B30A48" w:rsidRPr="00143AC9">
        <w:rPr>
          <w:szCs w:val="24"/>
        </w:rPr>
        <w:t xml:space="preserve"> similar in both arms.</w:t>
      </w:r>
    </w:p>
    <w:p w14:paraId="0352E2DC" w14:textId="77777777" w:rsidR="00B30A48" w:rsidRPr="00143AC9" w:rsidRDefault="00B30A48" w:rsidP="00B30A48">
      <w:pPr>
        <w:rPr>
          <w:b/>
          <w:szCs w:val="24"/>
        </w:rPr>
      </w:pPr>
    </w:p>
    <w:p w14:paraId="1DD5CE51" w14:textId="02A62CBF" w:rsidR="00B30A48" w:rsidRPr="00143AC9" w:rsidRDefault="00B30A48" w:rsidP="00772D29">
      <w:pPr>
        <w:pStyle w:val="Heading3"/>
        <w:rPr>
          <w:lang w:val="en-US"/>
        </w:rPr>
      </w:pPr>
      <w:r w:rsidRPr="00143AC9">
        <w:t xml:space="preserve">T790M Positive </w:t>
      </w:r>
      <w:r w:rsidRPr="00143AC9">
        <w:rPr>
          <w:lang w:val="en-US"/>
        </w:rPr>
        <w:t xml:space="preserve">Advanced NSCLC </w:t>
      </w:r>
    </w:p>
    <w:p w14:paraId="32DEC8F0" w14:textId="19BDC7A1" w:rsidR="002436B9" w:rsidRPr="00143AC9" w:rsidRDefault="002436B9" w:rsidP="002436B9">
      <w:pPr>
        <w:pStyle w:val="Header"/>
        <w:rPr>
          <w:b w:val="0"/>
        </w:rPr>
      </w:pPr>
      <w:r w:rsidRPr="00143AC9">
        <w:rPr>
          <w:b w:val="0"/>
        </w:rPr>
        <w:t>TAGRISSO has not been studied in previously untreated patients within EGFR T790M mutation positive NSCLC.</w:t>
      </w:r>
    </w:p>
    <w:p w14:paraId="629909B3" w14:textId="77777777" w:rsidR="002436B9" w:rsidRPr="00143AC9" w:rsidRDefault="002436B9" w:rsidP="002436B9">
      <w:pPr>
        <w:pStyle w:val="Header"/>
        <w:rPr>
          <w:b w:val="0"/>
        </w:rPr>
      </w:pPr>
    </w:p>
    <w:p w14:paraId="2E58BC57" w14:textId="762E37B8" w:rsidR="00B30A48" w:rsidRPr="00143AC9" w:rsidRDefault="00B30A48" w:rsidP="00772D29">
      <w:pPr>
        <w:pStyle w:val="Heading3"/>
      </w:pPr>
      <w:r w:rsidRPr="00143AC9">
        <w:t>Pretreated T790M positive NSCLC patients-AURA3</w:t>
      </w:r>
    </w:p>
    <w:p w14:paraId="1D3E27F4" w14:textId="1828CB50" w:rsidR="00B30A48" w:rsidRPr="00143AC9" w:rsidRDefault="00B30A48" w:rsidP="00653CA7">
      <w:r w:rsidRPr="00143AC9">
        <w:t>The efficacy and safety of TAGRISSO for the treatment of patients with locally advanced or metastatic T790M NSCLC whose disease has progressed on or after EGFR TKI therapy, was demonstrated in a randomised, open label, active-controlled Phase 3 study (AURA3).</w:t>
      </w:r>
      <w:r w:rsidRPr="00143AC9">
        <w:rPr>
          <w:szCs w:val="20"/>
          <w:vertAlign w:val="superscript"/>
          <w:lang w:val="en-GB"/>
        </w:rPr>
        <w:t xml:space="preserve"> </w:t>
      </w:r>
      <w:r w:rsidRPr="00143AC9">
        <w:t>All patients were required to have EGFR T790M mutation positive NSCLC identified by the cobas EGFR mutation test performed in a central laboratory prior to randomisation. The T790M mutation status was also assessed using ctDNA extracted from a plasma sample taken during screening.</w:t>
      </w:r>
      <w:r w:rsidRPr="00143AC9">
        <w:rPr>
          <w:szCs w:val="20"/>
          <w:vertAlign w:val="superscript"/>
          <w:lang w:val="en-GB"/>
        </w:rPr>
        <w:t xml:space="preserve"> </w:t>
      </w:r>
      <w:r w:rsidRPr="00143AC9">
        <w:t xml:space="preserve">The primary efficacy outcome was progression-free survival (PFS) as assessed by investigator. Additional efficacy outcome measures included Objective Response </w:t>
      </w:r>
      <w:r w:rsidRPr="00143AC9">
        <w:lastRenderedPageBreak/>
        <w:t>Rate (ORR), Duration of Response (DoR) and overall survival (OS) as assessed by investigator.</w:t>
      </w:r>
      <w:r w:rsidRPr="00143AC9">
        <w:rPr>
          <w:szCs w:val="20"/>
          <w:vertAlign w:val="superscript"/>
          <w:lang w:val="en-GB"/>
        </w:rPr>
        <w:t xml:space="preserve"> </w:t>
      </w:r>
    </w:p>
    <w:p w14:paraId="748F8704" w14:textId="253D098F" w:rsidR="00B30A48" w:rsidRPr="00143AC9" w:rsidRDefault="00B30A48" w:rsidP="00653CA7">
      <w:r w:rsidRPr="00143AC9">
        <w:t>Patients were randomised in a 2:1 (TAGRISSO: platinum-based doublet chemotherapy) ratio to receive TAGRISSO (n=279) or platinum-based doublet chemotherapy (n=140). Randomisation was stratified by ethnicity (Asian and non-Asian). Patients in the TAGRISSO arm received TAGRISSO 80 mg orally once daily until intolerance to therapy, or the investigator determined that the patient was no longer experiencing clinical benefit. Chemotherapy consisted of pemetrexed 500mg/m</w:t>
      </w:r>
      <w:r w:rsidRPr="00143AC9">
        <w:rPr>
          <w:vertAlign w:val="superscript"/>
        </w:rPr>
        <w:t>2</w:t>
      </w:r>
      <w:r w:rsidRPr="00143AC9">
        <w:t xml:space="preserve"> with carboplatin AUC5 or pemetrexed 500mg/m</w:t>
      </w:r>
      <w:r w:rsidRPr="00143AC9">
        <w:rPr>
          <w:vertAlign w:val="superscript"/>
        </w:rPr>
        <w:t xml:space="preserve">2 </w:t>
      </w:r>
      <w:r w:rsidRPr="00143AC9">
        <w:t>with cisplatin 75mg/m</w:t>
      </w:r>
      <w:r w:rsidRPr="00143AC9">
        <w:rPr>
          <w:vertAlign w:val="superscript"/>
        </w:rPr>
        <w:t>2</w:t>
      </w:r>
      <w:r w:rsidRPr="00143AC9">
        <w:t>) on Day 1 of every 21d cycle for up to 6 cycles. Patients whose disease has not progressed after four cycles of platinum-based chemotherapy may receive pemetrexed maintenance therapy (pemetrexed 500mg/m</w:t>
      </w:r>
      <w:r w:rsidRPr="00143AC9">
        <w:rPr>
          <w:vertAlign w:val="superscript"/>
        </w:rPr>
        <w:t>2</w:t>
      </w:r>
      <w:r w:rsidRPr="00143AC9">
        <w:t xml:space="preserve"> on Day 1 of every 21d cycle). Subjects on the chemotherapy arm who had objective radiological progression (by the investigator and confirmed by independent central imaging review) were given the opportunity to begin treatment with TAGRISSO.</w:t>
      </w:r>
    </w:p>
    <w:p w14:paraId="413B9A51" w14:textId="6BE80DD8" w:rsidR="00B30A48" w:rsidRPr="00143AC9" w:rsidRDefault="00B30A48" w:rsidP="00F62FEC">
      <w:r w:rsidRPr="00143AC9">
        <w:t>The baseline demographic and disease characteristics of the overall study population were: median age 62 years, 15% of patients were ≥75 years old, female (64%), White (32%), Asian (65%). Sixty-eight percent (68%) of patients were never smokers, 100% of patients had a World Health Organisation (WHO) performance status of 0 or 1.</w:t>
      </w:r>
      <w:r w:rsidRPr="00143AC9">
        <w:rPr>
          <w:lang w:val="en-GB"/>
        </w:rPr>
        <w:t xml:space="preserve"> Fifty-four percent (54%) of patients had extra-thoracic visceral metastases, including 34% with CNS metastases (identified by CNS lesion site at baseline, medical history, and/or prior surgery, and/or prior radiotherapy to CNS metastases) and 23% with liver metastases. Forty-two percent (42%) of patients had metastatic bone disease.</w:t>
      </w:r>
      <w:r w:rsidRPr="00143AC9">
        <w:t xml:space="preserve"> </w:t>
      </w:r>
    </w:p>
    <w:p w14:paraId="0749FC86" w14:textId="52C998B5" w:rsidR="00772D29" w:rsidRPr="00772D29" w:rsidRDefault="00B30A48" w:rsidP="004D2A00">
      <w:pPr>
        <w:pStyle w:val="A-TableTitle"/>
        <w:keepNext w:val="0"/>
        <w:tabs>
          <w:tab w:val="clear" w:pos="1800"/>
        </w:tabs>
        <w:ind w:left="0" w:firstLine="0"/>
        <w:rPr>
          <w:rFonts w:eastAsiaTheme="minorHAnsi" w:cstheme="minorBidi"/>
          <w:b w:val="0"/>
          <w:szCs w:val="22"/>
        </w:rPr>
      </w:pPr>
      <w:r w:rsidRPr="00772D29">
        <w:rPr>
          <w:rFonts w:eastAsiaTheme="minorHAnsi" w:cstheme="minorBidi"/>
          <w:b w:val="0"/>
          <w:szCs w:val="22"/>
        </w:rPr>
        <w:t>AURA3 demonstrated a statistically significant improvement</w:t>
      </w:r>
      <w:r w:rsidR="004D2A00">
        <w:rPr>
          <w:rFonts w:eastAsiaTheme="minorHAnsi" w:cstheme="minorBidi"/>
          <w:b w:val="0"/>
          <w:szCs w:val="22"/>
        </w:rPr>
        <w:t xml:space="preserve"> in PFS in the patients treated </w:t>
      </w:r>
      <w:r w:rsidRPr="00772D29">
        <w:rPr>
          <w:rFonts w:eastAsiaTheme="minorHAnsi" w:cstheme="minorBidi"/>
          <w:b w:val="0"/>
          <w:szCs w:val="22"/>
        </w:rPr>
        <w:t xml:space="preserve">with TAGRISSO compared to chemotherapy as assessed by investigator (refer </w:t>
      </w:r>
      <w:r w:rsidR="002A4843" w:rsidRPr="00772D29">
        <w:rPr>
          <w:rFonts w:eastAsiaTheme="minorHAnsi" w:cstheme="minorBidi"/>
          <w:b w:val="0"/>
          <w:szCs w:val="22"/>
        </w:rPr>
        <w:t>Table</w:t>
      </w:r>
      <w:r w:rsidRPr="00772D29">
        <w:rPr>
          <w:rFonts w:eastAsiaTheme="minorHAnsi" w:cstheme="minorBidi"/>
          <w:b w:val="0"/>
          <w:szCs w:val="22"/>
        </w:rPr>
        <w:t xml:space="preserve"> </w:t>
      </w:r>
      <w:r w:rsidR="002A4843" w:rsidRPr="00772D29">
        <w:rPr>
          <w:rFonts w:eastAsiaTheme="minorHAnsi" w:cstheme="minorBidi"/>
          <w:b w:val="0"/>
          <w:szCs w:val="22"/>
        </w:rPr>
        <w:t>7</w:t>
      </w:r>
      <w:r w:rsidRPr="00772D29">
        <w:rPr>
          <w:rFonts w:eastAsiaTheme="minorHAnsi" w:cstheme="minorBidi"/>
          <w:b w:val="0"/>
          <w:szCs w:val="22"/>
        </w:rPr>
        <w:t xml:space="preserve"> and Figure </w:t>
      </w:r>
      <w:r w:rsidR="007B1833" w:rsidRPr="00772D29">
        <w:rPr>
          <w:rFonts w:eastAsiaTheme="minorHAnsi" w:cstheme="minorBidi"/>
          <w:b w:val="0"/>
          <w:szCs w:val="22"/>
        </w:rPr>
        <w:t>2</w:t>
      </w:r>
      <w:r w:rsidRPr="00772D29">
        <w:rPr>
          <w:rFonts w:eastAsiaTheme="minorHAnsi" w:cstheme="minorBidi"/>
          <w:b w:val="0"/>
          <w:szCs w:val="22"/>
        </w:rPr>
        <w:t>).</w:t>
      </w:r>
    </w:p>
    <w:p w14:paraId="3373BCBE" w14:textId="67928B5D" w:rsidR="00772D29" w:rsidRDefault="00772D29" w:rsidP="000B5299">
      <w:pPr>
        <w:pStyle w:val="A-TableTitle"/>
        <w:keepNext w:val="0"/>
        <w:ind w:left="1797" w:hanging="1797"/>
      </w:pPr>
    </w:p>
    <w:p w14:paraId="459EA7BD" w14:textId="0A558E23" w:rsidR="00B30A48" w:rsidRPr="00143AC9" w:rsidRDefault="00D24408" w:rsidP="000B5299">
      <w:pPr>
        <w:pStyle w:val="A-TableTitle"/>
        <w:keepNext w:val="0"/>
        <w:ind w:left="1797" w:hanging="1797"/>
      </w:pPr>
      <w:r w:rsidRPr="00143AC9">
        <w:t>Table</w:t>
      </w:r>
      <w:r w:rsidR="00B30A48" w:rsidRPr="00143AC9">
        <w:t xml:space="preserve"> </w:t>
      </w:r>
      <w:r w:rsidR="0067250B" w:rsidRPr="00143AC9">
        <w:t>7</w:t>
      </w:r>
      <w:r w:rsidR="00B30A48" w:rsidRPr="00143AC9">
        <w:t>. Efficacy results from AURA3 by investigator assessment</w:t>
      </w:r>
    </w:p>
    <w:tbl>
      <w:tblPr>
        <w:tblpPr w:leftFromText="180" w:rightFromText="180" w:vertAnchor="text" w:horzAnchor="margin" w:tblpY="220"/>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2076"/>
        <w:gridCol w:w="2941"/>
      </w:tblGrid>
      <w:tr w:rsidR="000B5299" w:rsidRPr="00143AC9" w14:paraId="3988BB44" w14:textId="77777777" w:rsidTr="00D928DC">
        <w:tc>
          <w:tcPr>
            <w:tcW w:w="3771" w:type="dxa"/>
            <w:vAlign w:val="center"/>
          </w:tcPr>
          <w:p w14:paraId="707D78E0" w14:textId="77777777" w:rsidR="000B5299" w:rsidRPr="00143AC9" w:rsidRDefault="000B5299" w:rsidP="00D928DC">
            <w:pPr>
              <w:pStyle w:val="A-TableHeader"/>
            </w:pPr>
            <w:r w:rsidRPr="00143AC9">
              <w:t>Efficacy Parameter</w:t>
            </w:r>
          </w:p>
          <w:p w14:paraId="189310DB" w14:textId="77777777" w:rsidR="000B5299" w:rsidRPr="00143AC9" w:rsidRDefault="000B5299" w:rsidP="00D928DC">
            <w:pPr>
              <w:pStyle w:val="A-TableHeader"/>
            </w:pPr>
          </w:p>
        </w:tc>
        <w:tc>
          <w:tcPr>
            <w:tcW w:w="2076" w:type="dxa"/>
            <w:vAlign w:val="center"/>
          </w:tcPr>
          <w:p w14:paraId="5CFA4F30" w14:textId="77777777" w:rsidR="000B5299" w:rsidRPr="00143AC9" w:rsidRDefault="000B5299" w:rsidP="006C40C5">
            <w:pPr>
              <w:pStyle w:val="A-TableHeader"/>
              <w:jc w:val="center"/>
            </w:pPr>
            <w:r w:rsidRPr="00143AC9">
              <w:t>TAGRISSO</w:t>
            </w:r>
            <w:r w:rsidRPr="00143AC9">
              <w:br/>
              <w:t>(N=279)</w:t>
            </w:r>
          </w:p>
        </w:tc>
        <w:tc>
          <w:tcPr>
            <w:tcW w:w="2941" w:type="dxa"/>
            <w:vAlign w:val="center"/>
          </w:tcPr>
          <w:p w14:paraId="09BCD608" w14:textId="47487ECE" w:rsidR="000B5299" w:rsidRPr="00143AC9" w:rsidRDefault="000B5299" w:rsidP="006C40C5">
            <w:pPr>
              <w:pStyle w:val="A-TableHeader"/>
              <w:jc w:val="center"/>
            </w:pPr>
            <w:r w:rsidRPr="00143AC9">
              <w:t>Chemotherapy</w:t>
            </w:r>
          </w:p>
          <w:p w14:paraId="2C6BB278" w14:textId="60EC3F52" w:rsidR="000B5299" w:rsidRPr="00143AC9" w:rsidRDefault="000B5299" w:rsidP="006C40C5">
            <w:pPr>
              <w:pStyle w:val="A-TableHeader"/>
              <w:jc w:val="center"/>
            </w:pPr>
            <w:r w:rsidRPr="00143AC9">
              <w:t>(Pemetrexed/Cisplatin or Pemetrexed/Carboplatin)</w:t>
            </w:r>
          </w:p>
          <w:p w14:paraId="3AAA7CF6" w14:textId="77777777" w:rsidR="000B5299" w:rsidRPr="00143AC9" w:rsidRDefault="000B5299" w:rsidP="006C40C5">
            <w:pPr>
              <w:pStyle w:val="A-TableHeader"/>
              <w:jc w:val="center"/>
            </w:pPr>
            <w:r w:rsidRPr="00143AC9">
              <w:t>(N=140)</w:t>
            </w:r>
          </w:p>
        </w:tc>
      </w:tr>
      <w:tr w:rsidR="000B5299" w:rsidRPr="00143AC9" w14:paraId="7EB71A13" w14:textId="77777777" w:rsidTr="00D928DC">
        <w:tc>
          <w:tcPr>
            <w:tcW w:w="8788" w:type="dxa"/>
            <w:gridSpan w:val="3"/>
            <w:vAlign w:val="center"/>
          </w:tcPr>
          <w:p w14:paraId="4D84E7A2" w14:textId="77777777" w:rsidR="000B5299" w:rsidRPr="00143AC9" w:rsidRDefault="000B5299" w:rsidP="00D928DC">
            <w:pPr>
              <w:pStyle w:val="A-TableHeader"/>
            </w:pPr>
            <w:r w:rsidRPr="00143AC9">
              <w:t>Progression-Free Survival</w:t>
            </w:r>
          </w:p>
        </w:tc>
      </w:tr>
      <w:tr w:rsidR="000B5299" w:rsidRPr="00143AC9" w14:paraId="75476BD4" w14:textId="77777777" w:rsidTr="00D928DC">
        <w:tc>
          <w:tcPr>
            <w:tcW w:w="3771" w:type="dxa"/>
            <w:vAlign w:val="center"/>
          </w:tcPr>
          <w:p w14:paraId="51703E24" w14:textId="77777777" w:rsidR="000B5299" w:rsidRPr="00143AC9" w:rsidRDefault="000B5299" w:rsidP="00D928DC">
            <w:pPr>
              <w:pStyle w:val="A-TableText"/>
            </w:pPr>
            <w:r w:rsidRPr="00143AC9">
              <w:t>Number of Events (% maturity)</w:t>
            </w:r>
          </w:p>
        </w:tc>
        <w:tc>
          <w:tcPr>
            <w:tcW w:w="2076" w:type="dxa"/>
            <w:vAlign w:val="center"/>
          </w:tcPr>
          <w:p w14:paraId="5A0CD301" w14:textId="77777777" w:rsidR="000B5299" w:rsidRPr="00143AC9" w:rsidRDefault="000B5299" w:rsidP="006C40C5">
            <w:pPr>
              <w:pStyle w:val="A-TableText"/>
              <w:jc w:val="center"/>
            </w:pPr>
            <w:r w:rsidRPr="00143AC9">
              <w:t>140 (50)</w:t>
            </w:r>
          </w:p>
        </w:tc>
        <w:tc>
          <w:tcPr>
            <w:tcW w:w="2941" w:type="dxa"/>
            <w:vAlign w:val="center"/>
          </w:tcPr>
          <w:p w14:paraId="3907A4BB" w14:textId="77777777" w:rsidR="000B5299" w:rsidRPr="00143AC9" w:rsidRDefault="000B5299" w:rsidP="006C40C5">
            <w:pPr>
              <w:pStyle w:val="A-TableText"/>
              <w:jc w:val="center"/>
            </w:pPr>
            <w:r w:rsidRPr="00143AC9">
              <w:t>110 (79)</w:t>
            </w:r>
          </w:p>
        </w:tc>
      </w:tr>
      <w:tr w:rsidR="000B5299" w:rsidRPr="00143AC9" w14:paraId="4C65503B" w14:textId="77777777" w:rsidTr="00D928DC">
        <w:tc>
          <w:tcPr>
            <w:tcW w:w="3771" w:type="dxa"/>
            <w:vAlign w:val="center"/>
          </w:tcPr>
          <w:p w14:paraId="5000924F" w14:textId="77777777" w:rsidR="000B5299" w:rsidRPr="00143AC9" w:rsidRDefault="000B5299" w:rsidP="00D928DC">
            <w:pPr>
              <w:pStyle w:val="A-TableText"/>
            </w:pPr>
            <w:r w:rsidRPr="00143AC9">
              <w:t>Median, Months (95% CI)</w:t>
            </w:r>
          </w:p>
        </w:tc>
        <w:tc>
          <w:tcPr>
            <w:tcW w:w="2076" w:type="dxa"/>
            <w:vAlign w:val="center"/>
          </w:tcPr>
          <w:p w14:paraId="40F9C8ED" w14:textId="77777777" w:rsidR="000B5299" w:rsidRPr="00143AC9" w:rsidRDefault="000B5299" w:rsidP="006C40C5">
            <w:pPr>
              <w:pStyle w:val="A-TableText"/>
              <w:jc w:val="center"/>
            </w:pPr>
            <w:r w:rsidRPr="00143AC9">
              <w:t>10.1 (8.3, 12.3)</w:t>
            </w:r>
          </w:p>
        </w:tc>
        <w:tc>
          <w:tcPr>
            <w:tcW w:w="2941" w:type="dxa"/>
            <w:vAlign w:val="center"/>
          </w:tcPr>
          <w:p w14:paraId="499DF8F9" w14:textId="77777777" w:rsidR="000B5299" w:rsidRPr="00143AC9" w:rsidRDefault="000B5299" w:rsidP="006C40C5">
            <w:pPr>
              <w:pStyle w:val="A-TableText"/>
              <w:jc w:val="center"/>
            </w:pPr>
            <w:r w:rsidRPr="00143AC9">
              <w:t>4.4 (4.2, 5.6)</w:t>
            </w:r>
          </w:p>
        </w:tc>
      </w:tr>
      <w:tr w:rsidR="000B5299" w:rsidRPr="00143AC9" w14:paraId="0A092CCD" w14:textId="77777777" w:rsidTr="00D928DC">
        <w:tc>
          <w:tcPr>
            <w:tcW w:w="3771" w:type="dxa"/>
            <w:vAlign w:val="center"/>
          </w:tcPr>
          <w:p w14:paraId="65C3D73A" w14:textId="77777777" w:rsidR="000B5299" w:rsidRPr="00143AC9" w:rsidDel="00143350" w:rsidRDefault="000B5299" w:rsidP="00D928DC">
            <w:pPr>
              <w:pStyle w:val="A-TableText"/>
            </w:pPr>
            <w:r w:rsidRPr="00143AC9">
              <w:t>HR (95% CI) ; P-value</w:t>
            </w:r>
          </w:p>
        </w:tc>
        <w:tc>
          <w:tcPr>
            <w:tcW w:w="5017" w:type="dxa"/>
            <w:gridSpan w:val="2"/>
            <w:vAlign w:val="center"/>
          </w:tcPr>
          <w:p w14:paraId="2524A636" w14:textId="77777777" w:rsidR="000B5299" w:rsidRPr="00143AC9" w:rsidRDefault="000B5299" w:rsidP="006C40C5">
            <w:pPr>
              <w:pStyle w:val="A-TableText"/>
              <w:jc w:val="center"/>
            </w:pPr>
            <w:r w:rsidRPr="00143AC9">
              <w:t>0.30 (0.23,0.41) P &lt; 0.001</w:t>
            </w:r>
          </w:p>
        </w:tc>
      </w:tr>
      <w:tr w:rsidR="000B5299" w:rsidRPr="00143AC9" w14:paraId="69BEC1F6" w14:textId="77777777" w:rsidTr="00D928DC">
        <w:tc>
          <w:tcPr>
            <w:tcW w:w="8788" w:type="dxa"/>
            <w:gridSpan w:val="3"/>
            <w:vAlign w:val="center"/>
          </w:tcPr>
          <w:p w14:paraId="1D087D61" w14:textId="77777777" w:rsidR="000B5299" w:rsidRPr="00143AC9" w:rsidRDefault="000B5299" w:rsidP="00D928DC">
            <w:pPr>
              <w:pStyle w:val="A-TableText"/>
            </w:pPr>
            <w:r w:rsidRPr="00143AC9">
              <w:t>Objective Response Rate</w:t>
            </w:r>
          </w:p>
        </w:tc>
      </w:tr>
      <w:tr w:rsidR="000B5299" w:rsidRPr="00143AC9" w14:paraId="13B7E15A" w14:textId="77777777" w:rsidTr="00D928DC">
        <w:tc>
          <w:tcPr>
            <w:tcW w:w="3771" w:type="dxa"/>
            <w:vAlign w:val="center"/>
          </w:tcPr>
          <w:p w14:paraId="5623DE65" w14:textId="77777777" w:rsidR="000B5299" w:rsidRPr="00143AC9" w:rsidRDefault="000B5299" w:rsidP="00D928DC">
            <w:pPr>
              <w:pStyle w:val="A-TableText"/>
              <w:rPr>
                <w:b/>
                <w:bCs/>
              </w:rPr>
            </w:pPr>
            <w:r w:rsidRPr="00143AC9">
              <w:lastRenderedPageBreak/>
              <w:t>Number of responses, Response Rate (95% CI)</w:t>
            </w:r>
          </w:p>
        </w:tc>
        <w:tc>
          <w:tcPr>
            <w:tcW w:w="2076" w:type="dxa"/>
            <w:vAlign w:val="center"/>
          </w:tcPr>
          <w:p w14:paraId="3917B557" w14:textId="77777777" w:rsidR="000B5299" w:rsidRPr="00143AC9" w:rsidRDefault="000B5299" w:rsidP="006C40C5">
            <w:pPr>
              <w:pStyle w:val="A-TableText"/>
              <w:jc w:val="center"/>
            </w:pPr>
            <w:r w:rsidRPr="00143AC9">
              <w:t>197</w:t>
            </w:r>
          </w:p>
          <w:p w14:paraId="5D948C9E" w14:textId="77777777" w:rsidR="000B5299" w:rsidRPr="00143AC9" w:rsidRDefault="000B5299" w:rsidP="006C40C5">
            <w:pPr>
              <w:pStyle w:val="A-TableText"/>
              <w:jc w:val="center"/>
            </w:pPr>
            <w:r w:rsidRPr="00143AC9">
              <w:t>71% (65, 76)</w:t>
            </w:r>
          </w:p>
        </w:tc>
        <w:tc>
          <w:tcPr>
            <w:tcW w:w="2941" w:type="dxa"/>
            <w:vAlign w:val="center"/>
          </w:tcPr>
          <w:p w14:paraId="26E36437" w14:textId="77777777" w:rsidR="000B5299" w:rsidRPr="00143AC9" w:rsidRDefault="000B5299" w:rsidP="006C40C5">
            <w:pPr>
              <w:pStyle w:val="A-TableText"/>
              <w:jc w:val="center"/>
            </w:pPr>
            <w:r w:rsidRPr="00143AC9">
              <w:t>44</w:t>
            </w:r>
          </w:p>
          <w:p w14:paraId="7C884B26" w14:textId="77777777" w:rsidR="000B5299" w:rsidRPr="00143AC9" w:rsidRDefault="000B5299" w:rsidP="006C40C5">
            <w:pPr>
              <w:pStyle w:val="A-TableText"/>
              <w:jc w:val="center"/>
            </w:pPr>
            <w:r w:rsidRPr="00143AC9">
              <w:t>31% (24, 40)</w:t>
            </w:r>
          </w:p>
        </w:tc>
      </w:tr>
      <w:tr w:rsidR="000B5299" w:rsidRPr="00143AC9" w14:paraId="2A00ABB1" w14:textId="77777777" w:rsidTr="00D928DC">
        <w:tc>
          <w:tcPr>
            <w:tcW w:w="3771" w:type="dxa"/>
            <w:vAlign w:val="center"/>
          </w:tcPr>
          <w:p w14:paraId="104CE695" w14:textId="77777777" w:rsidR="000B5299" w:rsidRPr="00143AC9" w:rsidRDefault="000B5299" w:rsidP="00D928DC">
            <w:pPr>
              <w:pStyle w:val="A-TableText"/>
            </w:pPr>
            <w:r w:rsidRPr="00143AC9">
              <w:t>Complete Response</w:t>
            </w:r>
          </w:p>
        </w:tc>
        <w:tc>
          <w:tcPr>
            <w:tcW w:w="2076" w:type="dxa"/>
            <w:vAlign w:val="center"/>
          </w:tcPr>
          <w:p w14:paraId="71368E09" w14:textId="77777777" w:rsidR="000B5299" w:rsidRPr="00143AC9" w:rsidRDefault="000B5299" w:rsidP="006C40C5">
            <w:pPr>
              <w:pStyle w:val="A-TableText"/>
              <w:jc w:val="center"/>
            </w:pPr>
            <w:r w:rsidRPr="00143AC9">
              <w:t>1%</w:t>
            </w:r>
          </w:p>
        </w:tc>
        <w:tc>
          <w:tcPr>
            <w:tcW w:w="2941" w:type="dxa"/>
            <w:vAlign w:val="center"/>
          </w:tcPr>
          <w:p w14:paraId="54F3DA0B" w14:textId="77777777" w:rsidR="000B5299" w:rsidRPr="00143AC9" w:rsidRDefault="000B5299" w:rsidP="006C40C5">
            <w:pPr>
              <w:pStyle w:val="A-TableText"/>
              <w:jc w:val="center"/>
            </w:pPr>
            <w:r w:rsidRPr="00143AC9">
              <w:t>1%</w:t>
            </w:r>
          </w:p>
        </w:tc>
      </w:tr>
      <w:tr w:rsidR="000B5299" w:rsidRPr="00143AC9" w14:paraId="48B07C06" w14:textId="77777777" w:rsidTr="00D928DC">
        <w:tc>
          <w:tcPr>
            <w:tcW w:w="3771" w:type="dxa"/>
            <w:vAlign w:val="center"/>
          </w:tcPr>
          <w:p w14:paraId="76C77B04" w14:textId="77777777" w:rsidR="000B5299" w:rsidRPr="00143AC9" w:rsidRDefault="000B5299" w:rsidP="00D928DC">
            <w:pPr>
              <w:pStyle w:val="A-TableText"/>
            </w:pPr>
            <w:r w:rsidRPr="00143AC9">
              <w:t>Partial Response</w:t>
            </w:r>
          </w:p>
        </w:tc>
        <w:tc>
          <w:tcPr>
            <w:tcW w:w="2076" w:type="dxa"/>
            <w:vAlign w:val="center"/>
          </w:tcPr>
          <w:p w14:paraId="5DC740DD" w14:textId="77777777" w:rsidR="000B5299" w:rsidRPr="00143AC9" w:rsidRDefault="000B5299" w:rsidP="006C40C5">
            <w:pPr>
              <w:pStyle w:val="A-TableText"/>
              <w:jc w:val="center"/>
            </w:pPr>
            <w:r w:rsidRPr="00143AC9">
              <w:t>69%</w:t>
            </w:r>
          </w:p>
        </w:tc>
        <w:tc>
          <w:tcPr>
            <w:tcW w:w="2941" w:type="dxa"/>
            <w:vAlign w:val="center"/>
          </w:tcPr>
          <w:p w14:paraId="4010343A" w14:textId="77777777" w:rsidR="000B5299" w:rsidRPr="00143AC9" w:rsidRDefault="000B5299" w:rsidP="006C40C5">
            <w:pPr>
              <w:pStyle w:val="A-TableText"/>
              <w:jc w:val="center"/>
            </w:pPr>
            <w:r w:rsidRPr="00143AC9">
              <w:t>30%</w:t>
            </w:r>
          </w:p>
        </w:tc>
      </w:tr>
      <w:tr w:rsidR="000B5299" w:rsidRPr="00143AC9" w14:paraId="2F7B41A3" w14:textId="77777777" w:rsidTr="00D928DC">
        <w:tc>
          <w:tcPr>
            <w:tcW w:w="3771" w:type="dxa"/>
            <w:vAlign w:val="center"/>
          </w:tcPr>
          <w:p w14:paraId="3592BBAF" w14:textId="77777777" w:rsidR="000B5299" w:rsidRPr="00143AC9" w:rsidRDefault="000B5299" w:rsidP="00D928DC">
            <w:pPr>
              <w:pStyle w:val="A-TableText"/>
            </w:pPr>
            <w:r w:rsidRPr="00143AC9">
              <w:t>Odds ratio (95% CI); P-value</w:t>
            </w:r>
          </w:p>
        </w:tc>
        <w:tc>
          <w:tcPr>
            <w:tcW w:w="5017" w:type="dxa"/>
            <w:gridSpan w:val="2"/>
            <w:vAlign w:val="center"/>
          </w:tcPr>
          <w:p w14:paraId="593709AE" w14:textId="77777777" w:rsidR="000B5299" w:rsidRPr="00143AC9" w:rsidRDefault="000B5299" w:rsidP="006C40C5">
            <w:pPr>
              <w:pStyle w:val="A-TableText"/>
              <w:jc w:val="center"/>
            </w:pPr>
            <w:r w:rsidRPr="00143AC9">
              <w:t>5.4 (3.5, 8.5); P &lt;0.001</w:t>
            </w:r>
          </w:p>
        </w:tc>
      </w:tr>
      <w:tr w:rsidR="000B5299" w:rsidRPr="00143AC9" w14:paraId="436B7B57" w14:textId="77777777" w:rsidTr="00D928DC">
        <w:tc>
          <w:tcPr>
            <w:tcW w:w="8788" w:type="dxa"/>
            <w:gridSpan w:val="3"/>
            <w:vAlign w:val="center"/>
          </w:tcPr>
          <w:p w14:paraId="2691D37F" w14:textId="77777777" w:rsidR="000B5299" w:rsidRPr="00143AC9" w:rsidRDefault="000B5299" w:rsidP="00D928DC">
            <w:pPr>
              <w:pStyle w:val="A-TableHeader"/>
            </w:pPr>
            <w:r w:rsidRPr="00143AC9">
              <w:t>Duration of Response (DoR)</w:t>
            </w:r>
          </w:p>
        </w:tc>
      </w:tr>
      <w:tr w:rsidR="000B5299" w:rsidRPr="00143AC9" w14:paraId="45229BA4" w14:textId="77777777" w:rsidTr="00D928DC">
        <w:tc>
          <w:tcPr>
            <w:tcW w:w="3771" w:type="dxa"/>
            <w:vAlign w:val="center"/>
          </w:tcPr>
          <w:p w14:paraId="0D678808" w14:textId="77777777" w:rsidR="000B5299" w:rsidRPr="00143AC9" w:rsidRDefault="000B5299" w:rsidP="00D928DC">
            <w:pPr>
              <w:pStyle w:val="A-TableText"/>
            </w:pPr>
            <w:r w:rsidRPr="00143AC9">
              <w:t>Median, Months (95% CI)</w:t>
            </w:r>
          </w:p>
        </w:tc>
        <w:tc>
          <w:tcPr>
            <w:tcW w:w="2076" w:type="dxa"/>
            <w:vAlign w:val="center"/>
          </w:tcPr>
          <w:p w14:paraId="57DA6310" w14:textId="77777777" w:rsidR="000B5299" w:rsidRPr="00143AC9" w:rsidRDefault="000B5299" w:rsidP="006C40C5">
            <w:pPr>
              <w:pStyle w:val="A-TableText"/>
              <w:jc w:val="center"/>
            </w:pPr>
            <w:r w:rsidRPr="00143AC9">
              <w:t>9.7 (8.3, 11.6)</w:t>
            </w:r>
          </w:p>
        </w:tc>
        <w:tc>
          <w:tcPr>
            <w:tcW w:w="2941" w:type="dxa"/>
            <w:vAlign w:val="center"/>
          </w:tcPr>
          <w:p w14:paraId="70173394" w14:textId="77777777" w:rsidR="000B5299" w:rsidRPr="00143AC9" w:rsidRDefault="000B5299" w:rsidP="006C40C5">
            <w:pPr>
              <w:pStyle w:val="A-TableText"/>
              <w:jc w:val="center"/>
            </w:pPr>
            <w:r w:rsidRPr="00143AC9">
              <w:t>4.1 (3.0, 5.6)</w:t>
            </w:r>
          </w:p>
        </w:tc>
      </w:tr>
    </w:tbl>
    <w:p w14:paraId="027A2055" w14:textId="77777777" w:rsidR="00DC56E8" w:rsidRPr="00143AC9" w:rsidRDefault="00DC56E8" w:rsidP="0045667F">
      <w:pPr>
        <w:pStyle w:val="A-TableFootnoteText"/>
      </w:pPr>
      <w:r w:rsidRPr="00143AC9">
        <w:t>HR = Hazard Ratio; CI = confidence interval</w:t>
      </w:r>
    </w:p>
    <w:p w14:paraId="22370CFC" w14:textId="77777777" w:rsidR="00B30A48" w:rsidRPr="00143AC9" w:rsidRDefault="00B30A48" w:rsidP="0045667F">
      <w:pPr>
        <w:pStyle w:val="A-TableFootnoteText"/>
      </w:pPr>
      <w:r w:rsidRPr="00143AC9">
        <w:t>All efficacy results based on RECIST investigator assessment</w:t>
      </w:r>
    </w:p>
    <w:p w14:paraId="34F9EA8E" w14:textId="36313F38" w:rsidR="00B30A48" w:rsidRPr="00143AC9" w:rsidRDefault="00B30A48" w:rsidP="0045667F">
      <w:pPr>
        <w:pStyle w:val="A-TableFootnoteText"/>
      </w:pPr>
      <w:r w:rsidRPr="00143AC9">
        <w:t>A HR&lt;1 favours TAGRISSO</w:t>
      </w:r>
    </w:p>
    <w:p w14:paraId="74EF5EED" w14:textId="77777777" w:rsidR="00DC56E8" w:rsidRPr="00143AC9" w:rsidRDefault="00DC56E8" w:rsidP="00DC56E8">
      <w:pPr>
        <w:rPr>
          <w:lang w:val="en-GB"/>
        </w:rPr>
      </w:pPr>
    </w:p>
    <w:p w14:paraId="50C18AB4" w14:textId="707691ED" w:rsidR="00B30A48" w:rsidRPr="00143AC9" w:rsidRDefault="00E6532A" w:rsidP="001E3467">
      <w:pPr>
        <w:pStyle w:val="A-FigureTitle"/>
      </w:pPr>
      <w:r w:rsidRPr="00143AC9">
        <w:t>Figure</w:t>
      </w:r>
      <w:r w:rsidR="00487719">
        <w:t xml:space="preserve"> </w:t>
      </w:r>
      <w:r w:rsidR="003518A3" w:rsidRPr="00143AC9">
        <w:t>2</w:t>
      </w:r>
      <w:r w:rsidRPr="00143AC9">
        <w:t>.</w:t>
      </w:r>
      <w:r w:rsidR="00B30A48" w:rsidRPr="00143AC9">
        <w:t xml:space="preserve"> Kaplan-Meier Curves of Progression-Free Survival as assessed by investigator in AURA3</w:t>
      </w:r>
    </w:p>
    <w:p w14:paraId="2BF3057E" w14:textId="5B7E47C4" w:rsidR="00B30A48" w:rsidRPr="00143AC9" w:rsidRDefault="0015318B" w:rsidP="00B30A48">
      <w:pPr>
        <w:pStyle w:val="NormalWeb"/>
        <w:spacing w:before="0" w:beforeAutospacing="0" w:after="240" w:afterAutospacing="0" w:line="280" w:lineRule="atLeast"/>
        <w:rPr>
          <w:rFonts w:cs="Arial"/>
        </w:rPr>
      </w:pPr>
      <w:r>
        <w:rPr>
          <w:rFonts w:cs="Arial"/>
          <w:noProof/>
          <w:lang w:val="en-AU" w:eastAsia="en-AU"/>
        </w:rPr>
        <w:drawing>
          <wp:inline distT="0" distB="0" distL="0" distR="0" wp14:anchorId="2A49BFB6" wp14:editId="78DD43C8">
            <wp:extent cx="5253990" cy="405257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3990" cy="4052570"/>
                    </a:xfrm>
                    <a:prstGeom prst="rect">
                      <a:avLst/>
                    </a:prstGeom>
                    <a:noFill/>
                    <a:ln>
                      <a:noFill/>
                    </a:ln>
                  </pic:spPr>
                </pic:pic>
              </a:graphicData>
            </a:graphic>
          </wp:inline>
        </w:drawing>
      </w:r>
    </w:p>
    <w:p w14:paraId="25266E0B" w14:textId="77777777" w:rsidR="00B30A48" w:rsidRPr="00143AC9" w:rsidRDefault="00B30A48" w:rsidP="001E3467">
      <w:r w:rsidRPr="00143AC9">
        <w:t>A sensitivity analysis of PFS was conducted by a Blinded Independent Central Review (BICR) and showed a median PFS of 11.0 months with TAGRISSO compared with 4.2 months with chemotherapy. This analysis demonstrated a consistent treatment effect (HR 0.28; 95% CI: 0.20, 0.38) with that observed by investigator assessment.</w:t>
      </w:r>
      <w:r w:rsidRPr="00143AC9">
        <w:rPr>
          <w:szCs w:val="20"/>
          <w:vertAlign w:val="superscript"/>
          <w:lang w:val="en-GB"/>
        </w:rPr>
        <w:t xml:space="preserve"> </w:t>
      </w:r>
    </w:p>
    <w:p w14:paraId="4E586979" w14:textId="397AF98A" w:rsidR="00B30A48" w:rsidRPr="00143AC9" w:rsidRDefault="00B30A48" w:rsidP="001E3467">
      <w:r w:rsidRPr="00143AC9">
        <w:t xml:space="preserve">Clinically meaningful improvements in PFS with HRs less than 0.50 in favour of patients receiving TAGRISSO compared to those receiving chemotherapy were consistently observed </w:t>
      </w:r>
      <w:r w:rsidRPr="00143AC9">
        <w:lastRenderedPageBreak/>
        <w:t>in all predefined subgroups analysed, including ethnicity, age, gender, smoking history, CNS metastases status at study entry, EGFR mutation (Exon 19 deletion and L858R), and duration of first-line therapy with an EGFR-TKI.</w:t>
      </w:r>
      <w:r w:rsidRPr="00143AC9">
        <w:rPr>
          <w:szCs w:val="20"/>
          <w:vertAlign w:val="superscript"/>
          <w:lang w:val="en-GB"/>
        </w:rPr>
        <w:t xml:space="preserve"> </w:t>
      </w:r>
      <w:r w:rsidRPr="00143AC9">
        <w:rPr>
          <w:szCs w:val="20"/>
          <w:lang w:val="en-GB"/>
        </w:rPr>
        <w:t>The study was not powered for these subgroup</w:t>
      </w:r>
      <w:r w:rsidRPr="00143AC9">
        <w:rPr>
          <w:szCs w:val="20"/>
          <w:vertAlign w:val="superscript"/>
          <w:lang w:val="en-GB"/>
        </w:rPr>
        <w:t xml:space="preserve"> </w:t>
      </w:r>
      <w:r w:rsidRPr="00143AC9">
        <w:t>analyses.</w:t>
      </w:r>
    </w:p>
    <w:p w14:paraId="3DC3F149" w14:textId="77777777" w:rsidR="001E3467" w:rsidRPr="00143AC9" w:rsidRDefault="001E3467" w:rsidP="001E3467"/>
    <w:p w14:paraId="30D319C1" w14:textId="77777777" w:rsidR="00B30A48" w:rsidRPr="00143AC9" w:rsidRDefault="00B30A48" w:rsidP="001E3467">
      <w:pPr>
        <w:pStyle w:val="Header"/>
        <w:rPr>
          <w:i/>
        </w:rPr>
      </w:pPr>
      <w:r w:rsidRPr="00143AC9">
        <w:rPr>
          <w:i/>
        </w:rPr>
        <w:t>CNS metastasis efficacy data in AURA3 study</w:t>
      </w:r>
    </w:p>
    <w:p w14:paraId="2D8FCFF0" w14:textId="15B9E7E0" w:rsidR="00B30A48" w:rsidRDefault="00B30A48" w:rsidP="001E3467">
      <w:pPr>
        <w:rPr>
          <w:szCs w:val="28"/>
          <w:vertAlign w:val="superscript"/>
          <w:lang w:val="en-GB"/>
        </w:rPr>
      </w:pPr>
      <w:r w:rsidRPr="00143AC9">
        <w:rPr>
          <w:lang w:val="en-GB"/>
        </w:rPr>
        <w:t xml:space="preserve">A BICR assessment of CNS efficacy by RECIST v1.1 </w:t>
      </w:r>
      <w:r w:rsidR="00751D5D" w:rsidRPr="00143AC9">
        <w:rPr>
          <w:lang w:val="en-GB"/>
        </w:rPr>
        <w:t xml:space="preserve">in </w:t>
      </w:r>
      <w:r w:rsidRPr="00143AC9">
        <w:rPr>
          <w:lang w:val="en-GB"/>
        </w:rPr>
        <w:t xml:space="preserve">patients identified to have CNS metastases on a baseline brain scan are summarised in Table </w:t>
      </w:r>
      <w:r w:rsidR="00F60E52" w:rsidRPr="00143AC9">
        <w:rPr>
          <w:lang w:val="en-GB"/>
        </w:rPr>
        <w:t>8</w:t>
      </w:r>
      <w:r w:rsidRPr="00143AC9">
        <w:rPr>
          <w:lang w:val="en-GB"/>
        </w:rPr>
        <w:t>.</w:t>
      </w:r>
      <w:r w:rsidRPr="00143AC9">
        <w:rPr>
          <w:szCs w:val="28"/>
          <w:vertAlign w:val="superscript"/>
          <w:lang w:val="en-GB"/>
        </w:rPr>
        <w:t xml:space="preserve"> </w:t>
      </w:r>
    </w:p>
    <w:p w14:paraId="18012FA1" w14:textId="77777777" w:rsidR="00701B65" w:rsidRPr="00143AC9" w:rsidRDefault="00701B65" w:rsidP="001E3467">
      <w:pPr>
        <w:rPr>
          <w:lang w:val="en-GB"/>
        </w:rPr>
      </w:pPr>
    </w:p>
    <w:p w14:paraId="01290754" w14:textId="3FE8D0C3" w:rsidR="00B30A48" w:rsidRPr="00143AC9" w:rsidRDefault="00B30A48" w:rsidP="001E3467">
      <w:pPr>
        <w:pStyle w:val="A-TableTitle"/>
      </w:pPr>
      <w:r w:rsidRPr="00143AC9">
        <w:t xml:space="preserve">Table </w:t>
      </w:r>
      <w:r w:rsidR="0067250B" w:rsidRPr="00143AC9">
        <w:t>8</w:t>
      </w:r>
      <w:r w:rsidRPr="00143AC9">
        <w:t>. CNS efficacy by BICR in patients with CNS metastases on a baseline brain scan in AURA3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2780"/>
        <w:gridCol w:w="2843"/>
      </w:tblGrid>
      <w:tr w:rsidR="00B30A48" w:rsidRPr="00143AC9" w14:paraId="23D7D196" w14:textId="77777777" w:rsidTr="00BB69FE">
        <w:tc>
          <w:tcPr>
            <w:tcW w:w="1958" w:type="pct"/>
            <w:shd w:val="clear" w:color="auto" w:fill="auto"/>
          </w:tcPr>
          <w:p w14:paraId="1E0ACC87" w14:textId="77777777" w:rsidR="00B30A48" w:rsidRPr="00143AC9" w:rsidRDefault="00B30A48" w:rsidP="00D077D2">
            <w:pPr>
              <w:pStyle w:val="A-TableHeader"/>
            </w:pPr>
            <w:r w:rsidRPr="00143AC9">
              <w:t>Efficacy Parameter</w:t>
            </w:r>
          </w:p>
        </w:tc>
        <w:tc>
          <w:tcPr>
            <w:tcW w:w="1504" w:type="pct"/>
            <w:shd w:val="clear" w:color="auto" w:fill="auto"/>
          </w:tcPr>
          <w:p w14:paraId="1FDE68B7" w14:textId="77777777" w:rsidR="00C1448D" w:rsidRPr="00143AC9" w:rsidRDefault="00B30A48" w:rsidP="006C40C5">
            <w:pPr>
              <w:pStyle w:val="A-TableHeader"/>
              <w:jc w:val="center"/>
            </w:pPr>
            <w:r w:rsidRPr="00143AC9">
              <w:t>TAGRISSO</w:t>
            </w:r>
          </w:p>
          <w:p w14:paraId="1F551490" w14:textId="6CD4B51A" w:rsidR="00B30A48" w:rsidRPr="00143AC9" w:rsidRDefault="00C1448D" w:rsidP="006C40C5">
            <w:pPr>
              <w:pStyle w:val="A-TableHeader"/>
              <w:jc w:val="center"/>
            </w:pPr>
            <w:r w:rsidRPr="00143AC9">
              <w:t>N=30</w:t>
            </w:r>
            <w:r w:rsidR="00B30A48" w:rsidRPr="00143AC9">
              <w:br/>
            </w:r>
          </w:p>
        </w:tc>
        <w:tc>
          <w:tcPr>
            <w:tcW w:w="1538" w:type="pct"/>
            <w:shd w:val="clear" w:color="auto" w:fill="auto"/>
          </w:tcPr>
          <w:p w14:paraId="1E029C2A" w14:textId="77777777" w:rsidR="00B30A48" w:rsidRPr="00143AC9" w:rsidRDefault="00B30A48" w:rsidP="006C40C5">
            <w:pPr>
              <w:pStyle w:val="A-TableHeader"/>
              <w:jc w:val="center"/>
            </w:pPr>
            <w:r w:rsidRPr="00143AC9">
              <w:t>Chemotherapy</w:t>
            </w:r>
          </w:p>
          <w:p w14:paraId="652DA9CC" w14:textId="6993983D" w:rsidR="00B30A48" w:rsidRPr="00143AC9" w:rsidRDefault="00B30A48" w:rsidP="006C40C5">
            <w:pPr>
              <w:pStyle w:val="A-TableHeader"/>
              <w:jc w:val="center"/>
            </w:pPr>
            <w:r w:rsidRPr="00143AC9">
              <w:t>(Pemetrexed/Cisplatin or Pemetrexed/Carboplatin)</w:t>
            </w:r>
            <w:r w:rsidR="00487719" w:rsidRPr="00143AC9">
              <w:t xml:space="preserve"> </w:t>
            </w:r>
            <w:r w:rsidRPr="00143AC9">
              <w:br/>
            </w:r>
            <w:r w:rsidR="00C1448D" w:rsidRPr="00143AC9">
              <w:t>N=16</w:t>
            </w:r>
          </w:p>
        </w:tc>
      </w:tr>
      <w:tr w:rsidR="00B30A48" w:rsidRPr="00143AC9" w14:paraId="1D2D16CE" w14:textId="77777777" w:rsidTr="00BB69FE">
        <w:tc>
          <w:tcPr>
            <w:tcW w:w="5000" w:type="pct"/>
            <w:gridSpan w:val="3"/>
            <w:shd w:val="clear" w:color="auto" w:fill="auto"/>
          </w:tcPr>
          <w:p w14:paraId="29903AD0" w14:textId="79B04AE1" w:rsidR="00B30A48" w:rsidRPr="00701B65" w:rsidRDefault="00B30A48" w:rsidP="00D077D2">
            <w:pPr>
              <w:pStyle w:val="A-TableHeader"/>
              <w:rPr>
                <w:vertAlign w:val="superscript"/>
              </w:rPr>
            </w:pPr>
            <w:r w:rsidRPr="00143AC9">
              <w:t>CNS Objective Response Rate</w:t>
            </w:r>
            <w:r w:rsidR="00701B65">
              <w:rPr>
                <w:vertAlign w:val="superscript"/>
              </w:rPr>
              <w:t>1</w:t>
            </w:r>
          </w:p>
        </w:tc>
      </w:tr>
      <w:tr w:rsidR="00B30A48" w:rsidRPr="00143AC9" w14:paraId="02DE7A79" w14:textId="77777777" w:rsidTr="00BB69FE">
        <w:tc>
          <w:tcPr>
            <w:tcW w:w="1958" w:type="pct"/>
            <w:shd w:val="clear" w:color="auto" w:fill="auto"/>
          </w:tcPr>
          <w:p w14:paraId="65D09D1F" w14:textId="77777777" w:rsidR="00B30A48" w:rsidRPr="00143AC9" w:rsidRDefault="00B30A48" w:rsidP="00D077D2">
            <w:pPr>
              <w:pStyle w:val="A-TableText"/>
            </w:pPr>
            <w:r w:rsidRPr="00143AC9">
              <w:t>CNS response rate % (n/N)</w:t>
            </w:r>
          </w:p>
          <w:p w14:paraId="0F28A89F" w14:textId="77777777" w:rsidR="00B30A48" w:rsidRPr="00143AC9" w:rsidRDefault="00B30A48" w:rsidP="00D077D2">
            <w:pPr>
              <w:pStyle w:val="A-TableText"/>
            </w:pPr>
            <w:r w:rsidRPr="00143AC9">
              <w:t>(95% CI)</w:t>
            </w:r>
          </w:p>
        </w:tc>
        <w:tc>
          <w:tcPr>
            <w:tcW w:w="1504" w:type="pct"/>
            <w:shd w:val="clear" w:color="auto" w:fill="auto"/>
          </w:tcPr>
          <w:p w14:paraId="25D9A6FE" w14:textId="1479449C" w:rsidR="00B30A48" w:rsidRPr="00143AC9" w:rsidRDefault="00C1448D" w:rsidP="006C40C5">
            <w:pPr>
              <w:pStyle w:val="A-TableText"/>
              <w:jc w:val="center"/>
            </w:pPr>
            <w:r w:rsidRPr="00143AC9">
              <w:t>57%</w:t>
            </w:r>
          </w:p>
          <w:p w14:paraId="29E81FD6" w14:textId="3A46C02B" w:rsidR="00B30A48" w:rsidRPr="00143AC9" w:rsidRDefault="00C1448D" w:rsidP="006C40C5">
            <w:pPr>
              <w:pStyle w:val="A-TableText"/>
              <w:jc w:val="center"/>
            </w:pPr>
            <w:r w:rsidRPr="00143AC9">
              <w:t>(37%, 75%)</w:t>
            </w:r>
          </w:p>
        </w:tc>
        <w:tc>
          <w:tcPr>
            <w:tcW w:w="1538" w:type="pct"/>
            <w:shd w:val="clear" w:color="auto" w:fill="auto"/>
          </w:tcPr>
          <w:p w14:paraId="491A2C1C" w14:textId="54A89A37" w:rsidR="00B30A48" w:rsidRPr="00143AC9" w:rsidRDefault="00C1448D" w:rsidP="006C40C5">
            <w:pPr>
              <w:pStyle w:val="A-TableText"/>
              <w:jc w:val="center"/>
            </w:pPr>
            <w:r w:rsidRPr="00143AC9">
              <w:t>25%</w:t>
            </w:r>
          </w:p>
          <w:p w14:paraId="0C1B0012" w14:textId="7A337A96" w:rsidR="00B30A48" w:rsidRPr="00143AC9" w:rsidRDefault="00C1448D" w:rsidP="006C40C5">
            <w:pPr>
              <w:pStyle w:val="A-TableText"/>
              <w:jc w:val="center"/>
            </w:pPr>
            <w:r w:rsidRPr="00143AC9">
              <w:t>(7%, 52%)</w:t>
            </w:r>
          </w:p>
        </w:tc>
      </w:tr>
      <w:tr w:rsidR="00B30A48" w:rsidRPr="00143AC9" w14:paraId="2A6957FF" w14:textId="77777777" w:rsidTr="00BB69FE">
        <w:tc>
          <w:tcPr>
            <w:tcW w:w="1958" w:type="pct"/>
            <w:shd w:val="clear" w:color="auto" w:fill="auto"/>
          </w:tcPr>
          <w:p w14:paraId="2C0D35D2" w14:textId="77777777" w:rsidR="00B30A48" w:rsidRPr="00143AC9" w:rsidRDefault="00B30A48" w:rsidP="00D077D2">
            <w:pPr>
              <w:pStyle w:val="A-TableText"/>
            </w:pPr>
            <w:r w:rsidRPr="00143AC9">
              <w:t>Complete Response</w:t>
            </w:r>
          </w:p>
        </w:tc>
        <w:tc>
          <w:tcPr>
            <w:tcW w:w="1504" w:type="pct"/>
            <w:shd w:val="clear" w:color="auto" w:fill="auto"/>
          </w:tcPr>
          <w:p w14:paraId="11D6862C" w14:textId="77777777" w:rsidR="00B30A48" w:rsidRPr="00143AC9" w:rsidDel="001855DB" w:rsidRDefault="00B30A48" w:rsidP="006C40C5">
            <w:pPr>
              <w:pStyle w:val="A-TableText"/>
              <w:jc w:val="center"/>
            </w:pPr>
            <w:r w:rsidRPr="00143AC9">
              <w:t>7%</w:t>
            </w:r>
          </w:p>
        </w:tc>
        <w:tc>
          <w:tcPr>
            <w:tcW w:w="1538" w:type="pct"/>
            <w:shd w:val="clear" w:color="auto" w:fill="auto"/>
          </w:tcPr>
          <w:p w14:paraId="6DE5F809" w14:textId="77777777" w:rsidR="00B30A48" w:rsidRPr="00143AC9" w:rsidDel="001855DB" w:rsidRDefault="00B30A48" w:rsidP="006C40C5">
            <w:pPr>
              <w:pStyle w:val="A-TableText"/>
              <w:jc w:val="center"/>
            </w:pPr>
            <w:r w:rsidRPr="00143AC9">
              <w:t>0%</w:t>
            </w:r>
          </w:p>
        </w:tc>
      </w:tr>
      <w:tr w:rsidR="00B30A48" w:rsidRPr="00143AC9" w14:paraId="265FE83B" w14:textId="77777777" w:rsidTr="00BB69FE">
        <w:tc>
          <w:tcPr>
            <w:tcW w:w="1958" w:type="pct"/>
            <w:shd w:val="clear" w:color="auto" w:fill="auto"/>
          </w:tcPr>
          <w:p w14:paraId="2661ACAD" w14:textId="77777777" w:rsidR="00B30A48" w:rsidRPr="00143AC9" w:rsidRDefault="00B30A48" w:rsidP="00D077D2">
            <w:pPr>
              <w:pStyle w:val="A-TableText"/>
            </w:pPr>
            <w:r w:rsidRPr="00143AC9">
              <w:t>Partial response</w:t>
            </w:r>
          </w:p>
        </w:tc>
        <w:tc>
          <w:tcPr>
            <w:tcW w:w="1504" w:type="pct"/>
            <w:shd w:val="clear" w:color="auto" w:fill="auto"/>
          </w:tcPr>
          <w:p w14:paraId="0C2A36ED" w14:textId="77777777" w:rsidR="00B30A48" w:rsidRPr="00143AC9" w:rsidDel="001855DB" w:rsidRDefault="00B30A48" w:rsidP="006C40C5">
            <w:pPr>
              <w:pStyle w:val="A-TableText"/>
              <w:jc w:val="center"/>
            </w:pPr>
            <w:r w:rsidRPr="00143AC9">
              <w:t>50%</w:t>
            </w:r>
          </w:p>
        </w:tc>
        <w:tc>
          <w:tcPr>
            <w:tcW w:w="1538" w:type="pct"/>
            <w:shd w:val="clear" w:color="auto" w:fill="auto"/>
          </w:tcPr>
          <w:p w14:paraId="4A89DFEA" w14:textId="77777777" w:rsidR="00B30A48" w:rsidRPr="00143AC9" w:rsidDel="001855DB" w:rsidRDefault="00B30A48" w:rsidP="006C40C5">
            <w:pPr>
              <w:pStyle w:val="A-TableText"/>
              <w:jc w:val="center"/>
            </w:pPr>
            <w:r w:rsidRPr="00143AC9">
              <w:t>25%</w:t>
            </w:r>
          </w:p>
        </w:tc>
      </w:tr>
      <w:tr w:rsidR="00B30A48" w:rsidRPr="00143AC9" w14:paraId="2D057B74" w14:textId="77777777" w:rsidTr="00BB69FE">
        <w:tc>
          <w:tcPr>
            <w:tcW w:w="5000" w:type="pct"/>
            <w:gridSpan w:val="3"/>
            <w:shd w:val="clear" w:color="auto" w:fill="auto"/>
            <w:vAlign w:val="center"/>
          </w:tcPr>
          <w:p w14:paraId="485CD934" w14:textId="2AF796C2" w:rsidR="00B30A48" w:rsidRPr="00701B65" w:rsidRDefault="00B30A48" w:rsidP="00D077D2">
            <w:pPr>
              <w:pStyle w:val="A-TableHeader"/>
              <w:rPr>
                <w:vertAlign w:val="superscript"/>
              </w:rPr>
            </w:pPr>
            <w:r w:rsidRPr="00143AC9">
              <w:t>CNS Duration of Response</w:t>
            </w:r>
            <w:r w:rsidR="00701B65">
              <w:rPr>
                <w:vertAlign w:val="superscript"/>
              </w:rPr>
              <w:t>2</w:t>
            </w:r>
          </w:p>
        </w:tc>
      </w:tr>
      <w:tr w:rsidR="00B30A48" w:rsidRPr="00143AC9" w14:paraId="4B1A46DA" w14:textId="77777777" w:rsidTr="00BB69FE">
        <w:tc>
          <w:tcPr>
            <w:tcW w:w="1958" w:type="pct"/>
            <w:shd w:val="clear" w:color="auto" w:fill="auto"/>
            <w:vAlign w:val="center"/>
          </w:tcPr>
          <w:p w14:paraId="465DE9A2" w14:textId="77777777" w:rsidR="00B30A48" w:rsidRPr="00143AC9" w:rsidRDefault="00B30A48" w:rsidP="00D077D2">
            <w:pPr>
              <w:pStyle w:val="A-TableText"/>
            </w:pPr>
            <w:r w:rsidRPr="00143AC9">
              <w:t>Median, Months (95% CI)</w:t>
            </w:r>
          </w:p>
        </w:tc>
        <w:tc>
          <w:tcPr>
            <w:tcW w:w="1504" w:type="pct"/>
            <w:shd w:val="clear" w:color="auto" w:fill="auto"/>
          </w:tcPr>
          <w:p w14:paraId="1BD8B330" w14:textId="4E77BBF0" w:rsidR="00B30A48" w:rsidRPr="00143AC9" w:rsidRDefault="00B30A48" w:rsidP="006C40C5">
            <w:pPr>
              <w:pStyle w:val="A-TableText"/>
              <w:jc w:val="center"/>
            </w:pPr>
            <w:r w:rsidRPr="00143AC9">
              <w:t>NC (6.0, NC)</w:t>
            </w:r>
          </w:p>
        </w:tc>
        <w:tc>
          <w:tcPr>
            <w:tcW w:w="1538" w:type="pct"/>
            <w:shd w:val="clear" w:color="auto" w:fill="auto"/>
          </w:tcPr>
          <w:p w14:paraId="635EE8EA" w14:textId="77777777" w:rsidR="00B30A48" w:rsidRPr="00143AC9" w:rsidRDefault="00B30A48" w:rsidP="006C40C5">
            <w:pPr>
              <w:pStyle w:val="A-TableText"/>
              <w:jc w:val="center"/>
            </w:pPr>
            <w:r w:rsidRPr="00143AC9">
              <w:t>5.7 (NC, NC)</w:t>
            </w:r>
          </w:p>
        </w:tc>
      </w:tr>
      <w:tr w:rsidR="00B30A48" w:rsidRPr="00143AC9" w14:paraId="048DC062" w14:textId="77777777" w:rsidTr="00BB69FE">
        <w:tc>
          <w:tcPr>
            <w:tcW w:w="1958" w:type="pct"/>
            <w:shd w:val="clear" w:color="auto" w:fill="auto"/>
            <w:vAlign w:val="center"/>
          </w:tcPr>
          <w:p w14:paraId="4A1CFDF9" w14:textId="6631F293" w:rsidR="00B30A48" w:rsidRPr="00701B65" w:rsidRDefault="00B30A48" w:rsidP="00D077D2">
            <w:pPr>
              <w:pStyle w:val="A-TableHeader"/>
              <w:rPr>
                <w:vertAlign w:val="superscript"/>
              </w:rPr>
            </w:pPr>
            <w:r w:rsidRPr="00143AC9">
              <w:t>CNS Progression-free survival</w:t>
            </w:r>
            <w:r w:rsidR="00701B65">
              <w:rPr>
                <w:vertAlign w:val="superscript"/>
              </w:rPr>
              <w:t>3</w:t>
            </w:r>
          </w:p>
        </w:tc>
        <w:tc>
          <w:tcPr>
            <w:tcW w:w="1504" w:type="pct"/>
            <w:shd w:val="clear" w:color="auto" w:fill="auto"/>
            <w:vAlign w:val="center"/>
          </w:tcPr>
          <w:p w14:paraId="55481F0F" w14:textId="77777777" w:rsidR="00B30A48" w:rsidRPr="00143AC9" w:rsidRDefault="00B30A48" w:rsidP="006C40C5">
            <w:pPr>
              <w:pStyle w:val="A-TableText"/>
              <w:jc w:val="center"/>
            </w:pPr>
            <w:r w:rsidRPr="00143AC9">
              <w:t>N=75</w:t>
            </w:r>
          </w:p>
        </w:tc>
        <w:tc>
          <w:tcPr>
            <w:tcW w:w="1538" w:type="pct"/>
            <w:shd w:val="clear" w:color="auto" w:fill="auto"/>
            <w:vAlign w:val="center"/>
          </w:tcPr>
          <w:p w14:paraId="4ADC67FA" w14:textId="77777777" w:rsidR="00B30A48" w:rsidRPr="00143AC9" w:rsidRDefault="00B30A48" w:rsidP="006C40C5">
            <w:pPr>
              <w:pStyle w:val="A-TableText"/>
              <w:jc w:val="center"/>
            </w:pPr>
            <w:r w:rsidRPr="00143AC9">
              <w:t>N=41</w:t>
            </w:r>
          </w:p>
        </w:tc>
      </w:tr>
      <w:tr w:rsidR="00B30A48" w:rsidRPr="00143AC9" w14:paraId="21C082EC" w14:textId="77777777" w:rsidTr="00BB69FE">
        <w:tc>
          <w:tcPr>
            <w:tcW w:w="1958" w:type="pct"/>
            <w:shd w:val="clear" w:color="auto" w:fill="auto"/>
            <w:vAlign w:val="center"/>
          </w:tcPr>
          <w:p w14:paraId="4D1A2BEB" w14:textId="77777777" w:rsidR="00B30A48" w:rsidRPr="00143AC9" w:rsidDel="00143350" w:rsidRDefault="00B30A48" w:rsidP="00D077D2">
            <w:pPr>
              <w:pStyle w:val="A-TableText"/>
            </w:pPr>
            <w:r w:rsidRPr="00143AC9">
              <w:t>Number of Events (% maturity)</w:t>
            </w:r>
          </w:p>
        </w:tc>
        <w:tc>
          <w:tcPr>
            <w:tcW w:w="1504" w:type="pct"/>
            <w:shd w:val="clear" w:color="auto" w:fill="auto"/>
          </w:tcPr>
          <w:p w14:paraId="0013B8AE" w14:textId="77777777" w:rsidR="00B30A48" w:rsidRPr="00143AC9" w:rsidRDefault="00B30A48" w:rsidP="006C40C5">
            <w:pPr>
              <w:pStyle w:val="A-TableText"/>
              <w:jc w:val="center"/>
            </w:pPr>
            <w:r w:rsidRPr="00143AC9">
              <w:t>19 (25)</w:t>
            </w:r>
          </w:p>
        </w:tc>
        <w:tc>
          <w:tcPr>
            <w:tcW w:w="1538" w:type="pct"/>
            <w:shd w:val="clear" w:color="auto" w:fill="auto"/>
          </w:tcPr>
          <w:p w14:paraId="0FA0AAAE" w14:textId="77777777" w:rsidR="00B30A48" w:rsidRPr="00143AC9" w:rsidRDefault="00B30A48" w:rsidP="006C40C5">
            <w:pPr>
              <w:pStyle w:val="A-TableText"/>
              <w:jc w:val="center"/>
            </w:pPr>
            <w:r w:rsidRPr="00143AC9">
              <w:t>16 (39)</w:t>
            </w:r>
          </w:p>
        </w:tc>
      </w:tr>
      <w:tr w:rsidR="00B30A48" w:rsidRPr="00143AC9" w14:paraId="72A74D52" w14:textId="77777777" w:rsidTr="00BB69FE">
        <w:tc>
          <w:tcPr>
            <w:tcW w:w="1958" w:type="pct"/>
            <w:shd w:val="clear" w:color="auto" w:fill="auto"/>
            <w:vAlign w:val="center"/>
          </w:tcPr>
          <w:p w14:paraId="716B5138" w14:textId="77777777" w:rsidR="00B30A48" w:rsidRPr="00143AC9" w:rsidDel="00143350" w:rsidRDefault="00B30A48" w:rsidP="00D077D2">
            <w:pPr>
              <w:pStyle w:val="A-TableText"/>
            </w:pPr>
            <w:r w:rsidRPr="00143AC9">
              <w:t>Median, Months (95% CI)</w:t>
            </w:r>
          </w:p>
        </w:tc>
        <w:tc>
          <w:tcPr>
            <w:tcW w:w="1504" w:type="pct"/>
            <w:shd w:val="clear" w:color="auto" w:fill="auto"/>
          </w:tcPr>
          <w:p w14:paraId="3D17D5E4" w14:textId="77777777" w:rsidR="00B30A48" w:rsidRPr="00143AC9" w:rsidRDefault="00B30A48" w:rsidP="006C40C5">
            <w:pPr>
              <w:pStyle w:val="A-TableText"/>
              <w:jc w:val="center"/>
            </w:pPr>
            <w:r w:rsidRPr="00143AC9">
              <w:t>11.7 (10, NC)</w:t>
            </w:r>
          </w:p>
        </w:tc>
        <w:tc>
          <w:tcPr>
            <w:tcW w:w="1538" w:type="pct"/>
            <w:shd w:val="clear" w:color="auto" w:fill="auto"/>
          </w:tcPr>
          <w:p w14:paraId="5675721B" w14:textId="77777777" w:rsidR="00B30A48" w:rsidRPr="00143AC9" w:rsidRDefault="00B30A48" w:rsidP="006C40C5">
            <w:pPr>
              <w:pStyle w:val="A-TableText"/>
              <w:jc w:val="center"/>
            </w:pPr>
            <w:r w:rsidRPr="00143AC9">
              <w:t>5.6 (4.2, 9.7)</w:t>
            </w:r>
          </w:p>
        </w:tc>
      </w:tr>
      <w:tr w:rsidR="00B30A48" w:rsidRPr="00143AC9" w14:paraId="5142A36D" w14:textId="77777777" w:rsidTr="00BB69FE">
        <w:tc>
          <w:tcPr>
            <w:tcW w:w="1958" w:type="pct"/>
            <w:shd w:val="clear" w:color="auto" w:fill="auto"/>
            <w:vAlign w:val="center"/>
          </w:tcPr>
          <w:p w14:paraId="174E48FD" w14:textId="77777777" w:rsidR="00B30A48" w:rsidRPr="00143AC9" w:rsidDel="00143350" w:rsidRDefault="00B30A48" w:rsidP="00D077D2">
            <w:pPr>
              <w:pStyle w:val="A-TableText"/>
            </w:pPr>
            <w:r w:rsidRPr="00143AC9">
              <w:t>HR (95% CI); P value</w:t>
            </w:r>
          </w:p>
        </w:tc>
        <w:tc>
          <w:tcPr>
            <w:tcW w:w="3042" w:type="pct"/>
            <w:gridSpan w:val="2"/>
            <w:shd w:val="clear" w:color="auto" w:fill="auto"/>
          </w:tcPr>
          <w:p w14:paraId="3152D1AD" w14:textId="7F0F7C83" w:rsidR="00B30A48" w:rsidRPr="00143AC9" w:rsidRDefault="00B30A48" w:rsidP="006C40C5">
            <w:pPr>
              <w:pStyle w:val="A-TableText"/>
              <w:jc w:val="center"/>
            </w:pPr>
            <w:r w:rsidRPr="00143AC9">
              <w:t>0.32 (0.15, 0.69);</w:t>
            </w:r>
            <w:r w:rsidR="000C6E40" w:rsidRPr="00143AC9">
              <w:t xml:space="preserve"> </w:t>
            </w:r>
            <w:r w:rsidRPr="00143AC9">
              <w:t>P= 0.004</w:t>
            </w:r>
          </w:p>
        </w:tc>
      </w:tr>
    </w:tbl>
    <w:p w14:paraId="048474AD" w14:textId="21EEAF23" w:rsidR="00B30A48" w:rsidRPr="00143AC9" w:rsidRDefault="00B30A48" w:rsidP="0045667F">
      <w:pPr>
        <w:pStyle w:val="A-TableFootnoteText"/>
      </w:pPr>
      <w:r w:rsidRPr="00143AC9">
        <w:rPr>
          <w:vertAlign w:val="superscript"/>
        </w:rPr>
        <w:t>1</w:t>
      </w:r>
      <w:r w:rsidR="00B57CA8" w:rsidRPr="00143AC9">
        <w:rPr>
          <w:vertAlign w:val="superscript"/>
        </w:rPr>
        <w:t xml:space="preserve"> </w:t>
      </w:r>
      <w:r w:rsidRPr="00143AC9">
        <w:t xml:space="preserve"> </w:t>
      </w:r>
      <w:r w:rsidR="00AF67C8">
        <w:tab/>
      </w:r>
      <w:r w:rsidRPr="00143AC9">
        <w:t>CNS Objective Response Rate and Duration of Response determined by RECIST v1.1 by CNS BICR in the evaluable for response population (CNS measurable lesions at baseline by BICR) n=30 for TAGRISSO and n=16 for Chemotherapy</w:t>
      </w:r>
    </w:p>
    <w:p w14:paraId="687CCFC9" w14:textId="78F47B29" w:rsidR="00B30A48" w:rsidRPr="00143AC9" w:rsidRDefault="00B30A48" w:rsidP="0045667F">
      <w:pPr>
        <w:pStyle w:val="A-TableFootnoteText"/>
      </w:pPr>
      <w:r w:rsidRPr="00143AC9">
        <w:rPr>
          <w:vertAlign w:val="superscript"/>
        </w:rPr>
        <w:t xml:space="preserve">2  </w:t>
      </w:r>
      <w:r w:rsidR="00AF67C8">
        <w:rPr>
          <w:vertAlign w:val="superscript"/>
        </w:rPr>
        <w:tab/>
      </w:r>
      <w:r w:rsidRPr="00143AC9">
        <w:t>Based on patients in the evaluable for response population with confirmed response only; DoR defined as the time from the date of first documented response (complete response or partial response, or stable disease ≥6 weeks)</w:t>
      </w:r>
    </w:p>
    <w:p w14:paraId="173C420A" w14:textId="7BDC1B3D" w:rsidR="00B30A48" w:rsidRPr="00143AC9" w:rsidRDefault="00B30A48" w:rsidP="0045667F">
      <w:pPr>
        <w:pStyle w:val="A-TableFootnoteText"/>
      </w:pPr>
      <w:r w:rsidRPr="00143AC9">
        <w:rPr>
          <w:vertAlign w:val="superscript"/>
        </w:rPr>
        <w:t xml:space="preserve">3  </w:t>
      </w:r>
      <w:r w:rsidR="00134B8E">
        <w:rPr>
          <w:vertAlign w:val="superscript"/>
        </w:rPr>
        <w:tab/>
      </w:r>
      <w:r w:rsidRPr="00143AC9">
        <w:t>CNS Progression Free Survival determined by RECIST v1.1 by CNS BICR in the full analysis set population (CNS measurable and non-measurable lesions at baseline by BICR) n=75 for TAGRISSO and n=41 for Chemotherapy</w:t>
      </w:r>
    </w:p>
    <w:p w14:paraId="7DBE424F" w14:textId="77777777" w:rsidR="00B30A48" w:rsidRPr="00143AC9" w:rsidRDefault="00B30A48" w:rsidP="0045667F">
      <w:pPr>
        <w:pStyle w:val="A-TableFootnoteText"/>
      </w:pPr>
      <w:r w:rsidRPr="00143AC9">
        <w:t xml:space="preserve">NC=non-calculable;  </w:t>
      </w:r>
    </w:p>
    <w:p w14:paraId="0702D840" w14:textId="77777777" w:rsidR="00B30A48" w:rsidRPr="00143AC9" w:rsidRDefault="00B30A48" w:rsidP="0045667F">
      <w:pPr>
        <w:pStyle w:val="A-TableFootnoteText"/>
      </w:pPr>
      <w:r w:rsidRPr="00143AC9">
        <w:t>A HR &lt;1 favours TAGRISSO</w:t>
      </w:r>
    </w:p>
    <w:p w14:paraId="132EB2FE" w14:textId="77777777" w:rsidR="00B30A48" w:rsidRPr="00143AC9" w:rsidRDefault="00B30A48" w:rsidP="00B30A48">
      <w:pPr>
        <w:pStyle w:val="NormalWeb"/>
        <w:spacing w:before="0" w:beforeAutospacing="0" w:after="240" w:afterAutospacing="0" w:line="280" w:lineRule="atLeast"/>
        <w:contextualSpacing/>
        <w:rPr>
          <w:rFonts w:cs="Arial"/>
          <w:i/>
          <w:u w:val="single"/>
        </w:rPr>
      </w:pPr>
    </w:p>
    <w:p w14:paraId="01958668" w14:textId="77777777" w:rsidR="00B30A48" w:rsidRPr="00143AC9" w:rsidRDefault="00B30A48" w:rsidP="00D077D2">
      <w:pPr>
        <w:pStyle w:val="Header"/>
      </w:pPr>
      <w:r w:rsidRPr="00143AC9">
        <w:t>Pretreated T790M positive NSCLC patients-AURAex and AURA2</w:t>
      </w:r>
    </w:p>
    <w:p w14:paraId="6051E5DF" w14:textId="3AE4869A" w:rsidR="00B30A48" w:rsidRPr="00143AC9" w:rsidRDefault="00B30A48" w:rsidP="00AE77A9">
      <w:r w:rsidRPr="00143AC9">
        <w:t xml:space="preserve">Two single-arm, open-label clinical studies, AURAex (Phase 2 Extension cohort, (n=201)) and AURA2 (n=210) were conducted in patients with EGFR T790M mutation-positive lung </w:t>
      </w:r>
      <w:r w:rsidRPr="00143AC9">
        <w:lastRenderedPageBreak/>
        <w:t xml:space="preserve">cancer who have progressed on one or more prior systemic therapy, including an EGFR TKI. All patients were required to have EGFR T790M mutation positive NSCLC identified by the cobas EGFR mutation test performed in a central laboratory prior to dosing. </w:t>
      </w:r>
      <w:r w:rsidRPr="00143AC9">
        <w:rPr>
          <w:lang w:val="en-GB"/>
        </w:rPr>
        <w:t xml:space="preserve">T790M mutation status was also assessed retrospectively using ctDNA extracted from a plasma sample taken during screening. </w:t>
      </w:r>
      <w:r w:rsidRPr="00143AC9">
        <w:t>All patients received TAGRISSO at a dose of 80 mg once daily.</w:t>
      </w:r>
      <w:r w:rsidRPr="00143AC9">
        <w:rPr>
          <w:rStyle w:val="FootnoteReference"/>
          <w:rFonts w:ascii="Arial" w:hAnsi="Arial" w:cs="Arial"/>
        </w:rPr>
        <w:t xml:space="preserve"> </w:t>
      </w:r>
      <w:r w:rsidRPr="00143AC9">
        <w:t>The primary efficacy outcome measure of these two trials was objective response rate (ORR) according to RECIST v1.1 as evaluated by a Blinded Independent Central Review Committee (BICR). Secondary efficacy outcome measures included Duration of Response (DoR) and Progression Free Survival (PFS).</w:t>
      </w:r>
    </w:p>
    <w:p w14:paraId="40EC8EA7" w14:textId="091D2EF2" w:rsidR="00B30A48" w:rsidRPr="00143AC9" w:rsidRDefault="00B30A48" w:rsidP="00AE77A9">
      <w:pPr>
        <w:rPr>
          <w:lang w:val="en-GB"/>
        </w:rPr>
      </w:pPr>
      <w:r w:rsidRPr="00143AC9">
        <w:rPr>
          <w:lang w:val="en-GB"/>
        </w:rPr>
        <w:t xml:space="preserve">Baseline characteristics of the overall study population (AURAex and AURA2) were as follows: </w:t>
      </w:r>
      <w:r w:rsidRPr="00143AC9">
        <w:t xml:space="preserve">median age 63 years, 13% of patients were ≥75 years old, female (68%), White (36%), Asian (60%). All patients received at least one prior line of therapy. 31% (N=129) had received 1 prior line of therapy (EGFR-TKI treatment only, second line, chemotherapy naïve), 69% (N=282) had received 2 or more prior lines. Seventy-two percent of patients were never smokers, 100% of patients had a World Health Organisation (WHO) performance status of 0 or 1. </w:t>
      </w:r>
      <w:r w:rsidRPr="00143AC9">
        <w:rPr>
          <w:lang w:val="en-GB"/>
        </w:rPr>
        <w:t xml:space="preserve">Fifty-nine percent (59%) of patients had extra-thoracic visceral metastasis including 39% with CNS metastases (identified by CNS lesion site at baseline, medical history, and/or prior surgery and/or prior radiotherapy to CNS metastases) and 29% with liver metastases. Forty-seven percent (47%) of patients had metastatic bone disease. The median duration of follow up for PFS was 12.6 months. </w:t>
      </w:r>
    </w:p>
    <w:p w14:paraId="37C81486" w14:textId="6B87FF4E" w:rsidR="00B30A48" w:rsidRPr="00143AC9" w:rsidRDefault="00B30A48" w:rsidP="00AE77A9">
      <w:pPr>
        <w:rPr>
          <w:szCs w:val="24"/>
          <w:lang w:val="en-US"/>
        </w:rPr>
      </w:pPr>
      <w:r w:rsidRPr="00143AC9">
        <w:rPr>
          <w:lang w:val="en-GB"/>
        </w:rPr>
        <w:t>In the 411 pre-treated EGFR T790M mutation positive patients, the ORR by Blinded Independent Central Review (BICR) in the evaluable for response population was 66% (95% CI: 61, 71). In patients with a confirmed response by BICR, the median DoR was 12.5 months (95% CI: 11.1, NE). The median PFS by BICR was 11.0 months 95% CI (9.6, 12.4).</w:t>
      </w:r>
      <w:r w:rsidRPr="00143AC9" w:rsidDel="004A7D90">
        <w:t xml:space="preserve"> </w:t>
      </w:r>
    </w:p>
    <w:p w14:paraId="11C81E71" w14:textId="3FD3335A" w:rsidR="00B30A48" w:rsidRPr="00143AC9" w:rsidRDefault="00B30A48" w:rsidP="00AE77A9">
      <w:r w:rsidRPr="00143AC9">
        <w:t>Overall response rates by BCIR above 50% were observed in all predefined subgroups analysed, including line of therapy, race, age and region.</w:t>
      </w:r>
      <w:r w:rsidR="009F7D32" w:rsidRPr="00143AC9">
        <w:t xml:space="preserve"> </w:t>
      </w:r>
      <w:r w:rsidRPr="00143AC9">
        <w:rPr>
          <w:lang w:val="en-GB"/>
        </w:rPr>
        <w:t>The ORR by BICR in AURAex was 62% (95% CI: 55, 68) and 70% (95% CI: 63, 77) in AURA2.</w:t>
      </w:r>
    </w:p>
    <w:p w14:paraId="45448CA6" w14:textId="0EA417D5" w:rsidR="00B30A48" w:rsidRDefault="00B30A48" w:rsidP="00AE77A9">
      <w:r w:rsidRPr="00143AC9">
        <w:t>In the evaluable for response population with objective responses, 85% (223/262) had documentation of response at the time of the first scan (6 weeks); 94% (247/262) had documentation of response at the time of the second scan (12 weeks).</w:t>
      </w:r>
    </w:p>
    <w:p w14:paraId="48330219" w14:textId="77777777" w:rsidR="00E25447" w:rsidRPr="00143AC9" w:rsidRDefault="00E25447" w:rsidP="00AE77A9"/>
    <w:p w14:paraId="71D48D99" w14:textId="77777777" w:rsidR="00B30A48" w:rsidRPr="00143AC9" w:rsidRDefault="00B30A48" w:rsidP="00AE77A9">
      <w:pPr>
        <w:pStyle w:val="Header"/>
        <w:rPr>
          <w:i/>
        </w:rPr>
      </w:pPr>
      <w:r w:rsidRPr="00143AC9">
        <w:rPr>
          <w:i/>
        </w:rPr>
        <w:t>CNS metastases efficacy data in Phase 2 studies (AURAex and AURA2)</w:t>
      </w:r>
    </w:p>
    <w:p w14:paraId="024929DC" w14:textId="77777777" w:rsidR="00B30A48" w:rsidRPr="00143AC9" w:rsidRDefault="00B30A48" w:rsidP="00AE77A9">
      <w:pPr>
        <w:rPr>
          <w:lang w:val="en-GB"/>
        </w:rPr>
      </w:pPr>
      <w:r w:rsidRPr="00143AC9">
        <w:rPr>
          <w:lang w:val="en-GB"/>
        </w:rPr>
        <w:t>A BICR assessment of CNS efficacy by RECIST v1.1 was performed in a subgroup of 50 (out of 411) patients identified to have measurable CNS metastases on a baseline brain scan. A CNS ORR of 54% (27/50 patients; 95% CI: 39.3, 68.2) was observed with 12% being complete responses.</w:t>
      </w:r>
    </w:p>
    <w:p w14:paraId="70002CC2" w14:textId="6563D3E8" w:rsidR="00B30A48" w:rsidRPr="00143AC9" w:rsidRDefault="00B30A48" w:rsidP="00AE77A9"/>
    <w:p w14:paraId="541218C0" w14:textId="27A1B3A7" w:rsidR="001A3992" w:rsidRPr="00143AC9" w:rsidRDefault="001A3992" w:rsidP="001A3992">
      <w:pPr>
        <w:pStyle w:val="Heading2"/>
        <w:spacing w:before="0" w:after="120"/>
        <w:rPr>
          <w:rFonts w:ascii="Times New Roman" w:hAnsi="Times New Roman" w:cs="Times New Roman"/>
          <w:lang w:val="en-US"/>
        </w:rPr>
      </w:pPr>
      <w:r w:rsidRPr="00143AC9">
        <w:rPr>
          <w:rFonts w:ascii="Times New Roman" w:hAnsi="Times New Roman" w:cs="Times New Roman"/>
          <w:lang w:val="en-US"/>
        </w:rPr>
        <w:lastRenderedPageBreak/>
        <w:t xml:space="preserve">Pharmacokinetic properties </w:t>
      </w:r>
    </w:p>
    <w:p w14:paraId="36041AB2" w14:textId="77DD92BF" w:rsidR="009E00F9" w:rsidRDefault="009E00F9" w:rsidP="009E00F9">
      <w:r w:rsidRPr="00143AC9">
        <w:t>Osimertinib pharmacokinetic parameters have been characterised in healthy subjects and NSCLC patients. Based on population PK analysis, osimertinib apparent plasma clearance is 14.3 L/h, apparent volume of distribution is 918 L and terminal half-life of approximately 44 hours. The AUC and C</w:t>
      </w:r>
      <w:r w:rsidRPr="00143AC9">
        <w:rPr>
          <w:vertAlign w:val="subscript"/>
        </w:rPr>
        <w:t>max</w:t>
      </w:r>
      <w:r w:rsidRPr="00143AC9">
        <w:t xml:space="preserve"> increased dose proportionally over 20 to 240 mg dose range. Administration of osimertinib once daily results in approximately 3 fold accumulation with steady state exposures achieved by 15 days of dosing. At steady state, circulating plasma concentrations are typically maintained within a 1.6 fold range over the 24-hour dosing interval.</w:t>
      </w:r>
    </w:p>
    <w:p w14:paraId="0A53A46C" w14:textId="77777777" w:rsidR="00E25447" w:rsidRPr="00143AC9" w:rsidRDefault="00E25447" w:rsidP="009E00F9"/>
    <w:p w14:paraId="554C4F1F" w14:textId="1370331C" w:rsidR="001A3992" w:rsidRPr="00143AC9" w:rsidRDefault="001A3992" w:rsidP="001A3992">
      <w:pPr>
        <w:pStyle w:val="Heading3"/>
        <w:spacing w:before="0" w:after="120"/>
        <w:rPr>
          <w:rFonts w:cs="Times New Roman"/>
        </w:rPr>
      </w:pPr>
      <w:r w:rsidRPr="00143AC9">
        <w:rPr>
          <w:rFonts w:cs="Times New Roman"/>
        </w:rPr>
        <w:t>Absorption</w:t>
      </w:r>
    </w:p>
    <w:p w14:paraId="5430D52A" w14:textId="28AC163F" w:rsidR="009E00F9" w:rsidRDefault="009E00F9" w:rsidP="009E00F9">
      <w:pPr>
        <w:rPr>
          <w:szCs w:val="24"/>
        </w:rPr>
      </w:pPr>
      <w:r w:rsidRPr="00143AC9">
        <w:t xml:space="preserve">In a relative bioavailability study against an oral solution of osimertinib mesilate, </w:t>
      </w:r>
      <w:r w:rsidRPr="00143AC9">
        <w:rPr>
          <w:szCs w:val="24"/>
        </w:rPr>
        <w:t xml:space="preserve">both </w:t>
      </w:r>
      <w:r w:rsidRPr="00143AC9">
        <w:t xml:space="preserve">TAGRISSO and the oral solution produced </w:t>
      </w:r>
      <w:r w:rsidRPr="00143AC9">
        <w:rPr>
          <w:szCs w:val="24"/>
        </w:rPr>
        <w:t>peak plasma concentrations of osimertinib with median (min-max) t</w:t>
      </w:r>
      <w:r w:rsidRPr="00143AC9">
        <w:rPr>
          <w:szCs w:val="24"/>
          <w:vertAlign w:val="subscript"/>
        </w:rPr>
        <w:t>max</w:t>
      </w:r>
      <w:r w:rsidRPr="00143AC9">
        <w:rPr>
          <w:szCs w:val="24"/>
        </w:rPr>
        <w:t xml:space="preserve"> of 6 (3-24) hours, with several peaks observed over the first 24 hours in some patients. </w:t>
      </w:r>
      <w:r w:rsidRPr="00143AC9">
        <w:t>The AUC and C</w:t>
      </w:r>
      <w:r w:rsidRPr="00143AC9">
        <w:rPr>
          <w:vertAlign w:val="subscript"/>
        </w:rPr>
        <w:t>max</w:t>
      </w:r>
      <w:r w:rsidRPr="00143AC9">
        <w:t xml:space="preserve"> values for TAGRISSO and the oral solution were also similar, indicating similar relative bioavailability. </w:t>
      </w:r>
      <w:r w:rsidRPr="00143AC9">
        <w:rPr>
          <w:szCs w:val="24"/>
        </w:rPr>
        <w:t xml:space="preserve">The absolute bioavailability of TAGRISSO is </w:t>
      </w:r>
      <w:r w:rsidRPr="00143AC9">
        <w:rPr>
          <w:szCs w:val="24"/>
          <w:lang w:val="en-GB"/>
        </w:rPr>
        <w:t>70% (90% CI 67, 73).</w:t>
      </w:r>
      <w:r w:rsidRPr="00143AC9">
        <w:rPr>
          <w:szCs w:val="24"/>
        </w:rPr>
        <w:t xml:space="preserve">  A food effect study conducted with a 20 mg dose of TAGRISSO tablets showed minimal effect on C</w:t>
      </w:r>
      <w:r w:rsidRPr="00143AC9">
        <w:rPr>
          <w:szCs w:val="24"/>
          <w:vertAlign w:val="subscript"/>
        </w:rPr>
        <w:t>max</w:t>
      </w:r>
      <w:r w:rsidRPr="00143AC9">
        <w:rPr>
          <w:szCs w:val="24"/>
        </w:rPr>
        <w:t xml:space="preserve"> and AUC (14% and 19%, increased with a high fat, high calorie meal). In the AURAex and AURA2 studies (see </w:t>
      </w:r>
      <w:r w:rsidR="007955B2">
        <w:rPr>
          <w:szCs w:val="24"/>
        </w:rPr>
        <w:t>Section 5.1, Clinical trials</w:t>
      </w:r>
      <w:r w:rsidRPr="00143AC9">
        <w:rPr>
          <w:szCs w:val="24"/>
        </w:rPr>
        <w:t>), patients were instructed to take TAGRISSO when fasted. In healthy volunteers administered an 80 mg tablet where gastric pH was elevated by dosing of omeprazole for 5 days, osimertinib exposure was not affected with the 90% CI for exposure ratio contained within the 80-125% limit.</w:t>
      </w:r>
    </w:p>
    <w:p w14:paraId="6CDE3D69" w14:textId="77777777" w:rsidR="00E25447" w:rsidRPr="00143AC9" w:rsidRDefault="00E25447" w:rsidP="009E00F9">
      <w:pPr>
        <w:rPr>
          <w:szCs w:val="24"/>
        </w:rPr>
      </w:pPr>
    </w:p>
    <w:p w14:paraId="6B843C24" w14:textId="11B52A61" w:rsidR="001A3992" w:rsidRPr="00143AC9" w:rsidRDefault="001A3992" w:rsidP="001A3992">
      <w:pPr>
        <w:pStyle w:val="Heading3"/>
        <w:spacing w:before="0" w:after="120"/>
        <w:rPr>
          <w:rFonts w:cs="Times New Roman"/>
        </w:rPr>
      </w:pPr>
      <w:r w:rsidRPr="00143AC9">
        <w:rPr>
          <w:rFonts w:cs="Times New Roman"/>
        </w:rPr>
        <w:t>Distribution</w:t>
      </w:r>
    </w:p>
    <w:p w14:paraId="04BB777B" w14:textId="35FD5B39" w:rsidR="009E00F9" w:rsidRDefault="009E00F9" w:rsidP="009E00F9">
      <w:r w:rsidRPr="00143AC9">
        <w:t>Population estimated mean volume of distribution at steady state (Vss/F) of osimertinib is 918 L indicating extensive distribution into tissue. Plasma protein binding could not be measured due to instability, but based on the physicochemical properties of osimertinib plasma protein binding is likely to be high. Penetration of the blood-brain barrier by osimertinib has been demonstrated in the mouse, rat and cynomolgus monkey, with exposure in the brain approximately 2–3 times higher than for blood (based on C</w:t>
      </w:r>
      <w:r w:rsidRPr="004700B4">
        <w:rPr>
          <w:vertAlign w:val="subscript"/>
        </w:rPr>
        <w:t>max</w:t>
      </w:r>
      <w:r w:rsidRPr="00143AC9">
        <w:t xml:space="preserve"> or AUC).</w:t>
      </w:r>
    </w:p>
    <w:p w14:paraId="53A15978" w14:textId="77777777" w:rsidR="00E25447" w:rsidRPr="00143AC9" w:rsidRDefault="00E25447" w:rsidP="009E00F9"/>
    <w:p w14:paraId="4B040FCA" w14:textId="3CC7BEF9" w:rsidR="001A3992" w:rsidRPr="00143AC9" w:rsidRDefault="001A3992" w:rsidP="001A3992">
      <w:pPr>
        <w:pStyle w:val="Heading3"/>
        <w:spacing w:before="0" w:after="120"/>
        <w:rPr>
          <w:rFonts w:cs="Times New Roman"/>
        </w:rPr>
      </w:pPr>
      <w:r w:rsidRPr="00143AC9">
        <w:rPr>
          <w:rFonts w:cs="Times New Roman"/>
        </w:rPr>
        <w:t>Metabolism</w:t>
      </w:r>
    </w:p>
    <w:p w14:paraId="08FA9A8E" w14:textId="58A8844F" w:rsidR="009E00F9" w:rsidRPr="00143AC9" w:rsidRDefault="009E00F9" w:rsidP="007039EF">
      <w:r w:rsidRPr="00143AC9">
        <w:rPr>
          <w:i/>
        </w:rPr>
        <w:t>In vitro</w:t>
      </w:r>
      <w:r w:rsidRPr="00143AC9">
        <w:t xml:space="preserve"> studies indicate that osimertinib is metabolised predominantly by CYP3A4 and CYP3A5. Two pharmacologically active metabolites (AZ7550 and AZ5104) have been identified in plasma after oral dosing with osimertinib; AZ7550 showed a similar </w:t>
      </w:r>
      <w:r w:rsidRPr="00143AC9">
        <w:lastRenderedPageBreak/>
        <w:t>pharmacological profile to osimertinib while AZ5104 showed greater potency across both mutant and wild-type EGFR. Both metabolites appeared slowly in plasma after administration of osimertinib to patients, with a median (min-max) t</w:t>
      </w:r>
      <w:r w:rsidRPr="00143AC9">
        <w:rPr>
          <w:vertAlign w:val="subscript"/>
        </w:rPr>
        <w:t>max</w:t>
      </w:r>
      <w:r w:rsidRPr="00143AC9">
        <w:t xml:space="preserve"> of 24 (4-72) and 24 (6-72) hours, respectively. In a pharmacokinetic and mass balance study of orally administered radio-labelled osimertinib mesilate, in human plasma, parent osimertinib accounted for 0.8%, with the 2 metabolites contributing 0.08% and 0.07% of the total radioactivity with the majority of the remaining radioactivity being covalently bound to plasma proteins. The geometric mean exposure of both AZ5104 and AZ7550, based on AUC, was approximately 10% each of the exposure of osimertinib at steady-state.</w:t>
      </w:r>
    </w:p>
    <w:p w14:paraId="1107EBB7" w14:textId="77777777" w:rsidR="009E00F9" w:rsidRPr="00143AC9" w:rsidRDefault="009E00F9" w:rsidP="007039EF">
      <w:pPr>
        <w:rPr>
          <w:lang w:val="en-US"/>
        </w:rPr>
      </w:pPr>
      <w:r w:rsidRPr="00143AC9">
        <w:t xml:space="preserve">The main metabolic pathway of osimertinib was oxidation and dealkylation. Minor glutathione, cysteinylglycine, glucuronide and sulphate conjugates were also observed in rat and dog </w:t>
      </w:r>
      <w:r w:rsidRPr="00143AC9">
        <w:rPr>
          <w:i/>
        </w:rPr>
        <w:t>in vitro</w:t>
      </w:r>
      <w:r w:rsidRPr="00143AC9">
        <w:t>. At least 12 components were observed in the pooled urine and faecal samples in humans with 5 components accounting for &gt;1% of the dose of which unchanged osimertinib, AZ5104 and AZ7550, accounted for approximately 1.9, 6.6 and 2.7% of the dose while a cysteinyl adduct (M21), and an unknown metabolite (M25) accounted for 1.5% and 1.9% of the dose, respectively.</w:t>
      </w:r>
      <w:r w:rsidRPr="00143AC9">
        <w:rPr>
          <w:lang w:val="en-US"/>
        </w:rPr>
        <w:t xml:space="preserve"> </w:t>
      </w:r>
    </w:p>
    <w:p w14:paraId="7D0F0C67" w14:textId="37A13CF4" w:rsidR="009E00F9" w:rsidRDefault="009E00F9" w:rsidP="007039EF">
      <w:r w:rsidRPr="00143AC9">
        <w:rPr>
          <w:noProof/>
        </w:rPr>
        <w:t xml:space="preserve">Based on </w:t>
      </w:r>
      <w:r w:rsidRPr="00143AC9">
        <w:rPr>
          <w:i/>
          <w:noProof/>
        </w:rPr>
        <w:t>in vitro</w:t>
      </w:r>
      <w:r w:rsidRPr="00143AC9">
        <w:rPr>
          <w:noProof/>
        </w:rPr>
        <w:t xml:space="preserve"> studies, osimertinib is a competitive inhibitor of CYP 3A4/5 but not CYP1A2, 2A6, 2B6, 2C8, 2C9, 2D6 and 2E1 at clinically relevant concentrations. </w:t>
      </w:r>
      <w:r w:rsidRPr="00143AC9">
        <w:t xml:space="preserve">Based on </w:t>
      </w:r>
      <w:r w:rsidRPr="00143AC9">
        <w:rPr>
          <w:i/>
        </w:rPr>
        <w:t>in vitro</w:t>
      </w:r>
      <w:r w:rsidRPr="00143AC9">
        <w:t xml:space="preserve"> studies, osimertinib is not an inhibitor of UGT1A1 and UGT2B7 at clinically relevant concentrations hepatically. Intestinal inhibition of UGT1A1 is possible but the clinical impact is unknown.</w:t>
      </w:r>
    </w:p>
    <w:p w14:paraId="3FAC27B8" w14:textId="77777777" w:rsidR="00E25447" w:rsidRPr="00143AC9" w:rsidRDefault="00E25447" w:rsidP="007039EF">
      <w:pPr>
        <w:rPr>
          <w:noProof/>
        </w:rPr>
      </w:pPr>
    </w:p>
    <w:p w14:paraId="75DE82A2" w14:textId="2B2FA21C" w:rsidR="001A3992" w:rsidRPr="00143AC9" w:rsidRDefault="001A3992" w:rsidP="001A3992">
      <w:pPr>
        <w:pStyle w:val="Heading3"/>
        <w:spacing w:before="0" w:after="120"/>
        <w:rPr>
          <w:rFonts w:cs="Times New Roman"/>
        </w:rPr>
      </w:pPr>
      <w:r w:rsidRPr="00143AC9">
        <w:rPr>
          <w:rFonts w:cs="Times New Roman"/>
        </w:rPr>
        <w:t>Excretion</w:t>
      </w:r>
    </w:p>
    <w:p w14:paraId="2CDF701C" w14:textId="35AB8661" w:rsidR="007039EF" w:rsidRDefault="007039EF" w:rsidP="007039EF">
      <w:r w:rsidRPr="00143AC9">
        <w:t>Following a single oral dose of 20 mg, 67.8 % of the dose was recovered in faeces (1.2% as parent) while 14.2% of the administered dose (0.8% as parent) was found in urine by 84 days of sample collection. Unchanged osimertinib accounted for approximately 2% of the elimination with 0.8% in urine and 1.2% in faeces</w:t>
      </w:r>
      <w:r w:rsidR="0062568A">
        <w:t>.</w:t>
      </w:r>
    </w:p>
    <w:p w14:paraId="104EF7AE" w14:textId="77777777" w:rsidR="00E25447" w:rsidRPr="00143AC9" w:rsidRDefault="00E25447" w:rsidP="007039EF"/>
    <w:p w14:paraId="186AE02C" w14:textId="77777777" w:rsidR="00AB08D4" w:rsidRPr="00143AC9" w:rsidRDefault="00AB08D4" w:rsidP="00AB08D4">
      <w:pPr>
        <w:pStyle w:val="Heading3"/>
      </w:pPr>
      <w:r w:rsidRPr="00143AC9">
        <w:t>Transporter interactions</w:t>
      </w:r>
    </w:p>
    <w:p w14:paraId="5726B7AC" w14:textId="77777777" w:rsidR="00AB08D4" w:rsidRPr="00143AC9" w:rsidRDefault="00AB08D4" w:rsidP="00AB08D4">
      <w:pPr>
        <w:rPr>
          <w:noProof/>
        </w:rPr>
      </w:pPr>
      <w:r w:rsidRPr="00143AC9">
        <w:rPr>
          <w:i/>
        </w:rPr>
        <w:t>In vitro</w:t>
      </w:r>
      <w:r w:rsidRPr="00143AC9">
        <w:t xml:space="preserve"> studies have shown that </w:t>
      </w:r>
      <w:r w:rsidRPr="00143AC9">
        <w:rPr>
          <w:szCs w:val="24"/>
        </w:rPr>
        <w:t xml:space="preserve">osimertinib </w:t>
      </w:r>
      <w:r w:rsidRPr="00143AC9">
        <w:t>is a substrate of the efflux transporters P-glycoprotein (P-gp) and breast cancer resistance protein (BCRP), but is not a substrate of the hepatocyte uptake transporters OATP1B1 and OATP1B3.</w:t>
      </w:r>
      <w:r w:rsidRPr="00143AC9">
        <w:rPr>
          <w:noProof/>
        </w:rPr>
        <w:t xml:space="preserve"> </w:t>
      </w:r>
    </w:p>
    <w:p w14:paraId="03612A77" w14:textId="2D93271E" w:rsidR="00AB08D4" w:rsidRDefault="00AB08D4" w:rsidP="00AB08D4">
      <w:r w:rsidRPr="00143AC9">
        <w:rPr>
          <w:i/>
        </w:rPr>
        <w:t>In vitro</w:t>
      </w:r>
      <w:r w:rsidRPr="00143AC9">
        <w:t xml:space="preserve">, </w:t>
      </w:r>
      <w:r w:rsidRPr="00143AC9">
        <w:rPr>
          <w:szCs w:val="24"/>
        </w:rPr>
        <w:t xml:space="preserve">osimertinib </w:t>
      </w:r>
      <w:r w:rsidRPr="00143AC9">
        <w:t xml:space="preserve">does not inhibit P-glycoprotein, OAT1, OAT3, OATP1B1, OATP1B3, MATE1, MATE2-K and OCT2 at clinically relevant concentrations, but does inhibit BCRP (see </w:t>
      </w:r>
      <w:r w:rsidR="004C048D" w:rsidRPr="00143AC9">
        <w:t>Section 4.5</w:t>
      </w:r>
      <w:r w:rsidR="003F4C61" w:rsidRPr="00143AC9">
        <w:t>, Interactions with other medicines and other forms of interactions</w:t>
      </w:r>
      <w:r w:rsidRPr="00143AC9">
        <w:t>).</w:t>
      </w:r>
    </w:p>
    <w:p w14:paraId="0150846A" w14:textId="77777777" w:rsidR="00E25447" w:rsidRPr="00143AC9" w:rsidRDefault="00E25447" w:rsidP="00AB08D4">
      <w:pPr>
        <w:rPr>
          <w:szCs w:val="24"/>
        </w:rPr>
      </w:pPr>
    </w:p>
    <w:p w14:paraId="7A1443BA" w14:textId="77777777" w:rsidR="001F1645" w:rsidRPr="00143AC9" w:rsidRDefault="001F1645" w:rsidP="001F1645">
      <w:pPr>
        <w:pStyle w:val="Heading3"/>
      </w:pPr>
      <w:r w:rsidRPr="00143AC9">
        <w:lastRenderedPageBreak/>
        <w:t>Special populations</w:t>
      </w:r>
    </w:p>
    <w:p w14:paraId="76773831" w14:textId="3383F042" w:rsidR="001F1645" w:rsidRDefault="001F1645" w:rsidP="001F1645">
      <w:r w:rsidRPr="00143AC9">
        <w:t>In a population based pharmacokinetic analyses, no clinically significant relationships were identified between predicted steady state exposure (AUC</w:t>
      </w:r>
      <w:r w:rsidRPr="00143AC9">
        <w:rPr>
          <w:vertAlign w:val="subscript"/>
        </w:rPr>
        <w:t>ss</w:t>
      </w:r>
      <w:r w:rsidRPr="00143AC9">
        <w:t>) and patient’s age, gender, ethnicity, line of therapy and smoking status. Population PK analysis indicated that body weight and serum albumin were significant covariates but the exposure changes due to body weight or baseline albumin differences are not considered clinically relevant.</w:t>
      </w:r>
    </w:p>
    <w:p w14:paraId="67A4D96F" w14:textId="77777777" w:rsidR="00E25447" w:rsidRPr="00143AC9" w:rsidRDefault="00E25447" w:rsidP="001F1645"/>
    <w:p w14:paraId="24A5BFA6" w14:textId="77777777" w:rsidR="00552B82" w:rsidRPr="00143AC9" w:rsidRDefault="00552B82" w:rsidP="00552B82">
      <w:pPr>
        <w:pStyle w:val="Heading3"/>
        <w:spacing w:before="0" w:after="120"/>
        <w:rPr>
          <w:rFonts w:cs="Times New Roman"/>
        </w:rPr>
      </w:pPr>
      <w:r w:rsidRPr="00143AC9">
        <w:rPr>
          <w:rFonts w:cs="Times New Roman"/>
        </w:rPr>
        <w:t xml:space="preserve">Hepatic impairment </w:t>
      </w:r>
    </w:p>
    <w:p w14:paraId="05B6070B" w14:textId="5F430AFF" w:rsidR="00552B82" w:rsidRDefault="00552B82" w:rsidP="00552B82">
      <w:pPr>
        <w:rPr>
          <w:bCs/>
          <w:szCs w:val="24"/>
        </w:rPr>
      </w:pPr>
      <w:r w:rsidRPr="00143AC9">
        <w:rPr>
          <w:szCs w:val="24"/>
        </w:rPr>
        <w:t xml:space="preserve">Osimertinib is eliminated mainly via the liver, and hence, patients with hepatic impairment may have increased exposure. A pharmacokinetic trial in subjects with hepatic impairment has not been conducted. Based on population PK analysis, there was no relationship between markers of hepatic function (ALT, AST, bilirubin) and osimertinib exposure. Clinical studies that were conducted excluded patients with AST or ALT &gt;2.5 x upper limit of normal (ULN), or if due to underlying malignancy, &gt;5.0 x ULN or with total bilirubin &gt;1.5 x ULN. Based on a pharmacokinetic analysis of 134 patients with mild hepatic impairment (total bilirubin </w:t>
      </w:r>
      <w:r w:rsidRPr="00143AC9">
        <w:rPr>
          <w:rFonts w:cs="Arial"/>
          <w:szCs w:val="24"/>
        </w:rPr>
        <w:t>≤</w:t>
      </w:r>
      <w:r w:rsidRPr="00143AC9">
        <w:rPr>
          <w:szCs w:val="24"/>
        </w:rPr>
        <w:t xml:space="preserve"> ULN and </w:t>
      </w:r>
      <w:r w:rsidRPr="00143AC9">
        <w:rPr>
          <w:bCs/>
          <w:szCs w:val="24"/>
        </w:rPr>
        <w:t>AST &gt;ULN or total bilirubin between 1.0 to 1.5x ULN and any AST</w:t>
      </w:r>
      <w:r w:rsidRPr="00143AC9">
        <w:rPr>
          <w:szCs w:val="24"/>
        </w:rPr>
        <w:t xml:space="preserve">), </w:t>
      </w:r>
      <w:r w:rsidRPr="00143AC9">
        <w:rPr>
          <w:szCs w:val="24"/>
          <w:lang w:val="en-GB"/>
        </w:rPr>
        <w:t xml:space="preserve">8 patients with moderate hepatic impairment (total bilirubin between 1.5 times to 3.0 times ULN and any AST) and </w:t>
      </w:r>
      <w:r w:rsidRPr="00143AC9">
        <w:rPr>
          <w:bCs/>
          <w:szCs w:val="24"/>
        </w:rPr>
        <w:t>1216</w:t>
      </w:r>
      <w:r w:rsidRPr="00143AC9">
        <w:rPr>
          <w:szCs w:val="24"/>
        </w:rPr>
        <w:t xml:space="preserve"> patients with normal hepatic function (total bilirubin </w:t>
      </w:r>
      <w:r w:rsidRPr="00143AC9">
        <w:rPr>
          <w:rFonts w:cs="Arial"/>
          <w:szCs w:val="24"/>
        </w:rPr>
        <w:t>≤</w:t>
      </w:r>
      <w:r w:rsidRPr="00143AC9">
        <w:rPr>
          <w:szCs w:val="24"/>
        </w:rPr>
        <w:t xml:space="preserve">ULN and AST </w:t>
      </w:r>
      <w:r w:rsidRPr="00143AC9">
        <w:rPr>
          <w:rFonts w:cs="Arial"/>
          <w:szCs w:val="24"/>
        </w:rPr>
        <w:t>≤</w:t>
      </w:r>
      <w:r w:rsidRPr="00143AC9">
        <w:rPr>
          <w:szCs w:val="24"/>
        </w:rPr>
        <w:t xml:space="preserve">ULN), osimertinib exposures were similar. </w:t>
      </w:r>
      <w:r w:rsidRPr="00143AC9">
        <w:rPr>
          <w:szCs w:val="24"/>
          <w:lang w:val="en-GB"/>
        </w:rPr>
        <w:t xml:space="preserve">There are limited data available on patients with severe hepatic impairment </w:t>
      </w:r>
      <w:r w:rsidRPr="00143AC9">
        <w:rPr>
          <w:bCs/>
          <w:szCs w:val="24"/>
        </w:rPr>
        <w:t>(see Section 4.2</w:t>
      </w:r>
      <w:r w:rsidR="00784B80" w:rsidRPr="00143AC9">
        <w:rPr>
          <w:bCs/>
          <w:szCs w:val="24"/>
        </w:rPr>
        <w:t>, Dose and method of administration</w:t>
      </w:r>
      <w:r w:rsidRPr="00143AC9">
        <w:rPr>
          <w:bCs/>
          <w:szCs w:val="24"/>
        </w:rPr>
        <w:t>).</w:t>
      </w:r>
    </w:p>
    <w:p w14:paraId="2A09D325" w14:textId="77777777" w:rsidR="00E25447" w:rsidRPr="00143AC9" w:rsidRDefault="00E25447" w:rsidP="00552B82">
      <w:pPr>
        <w:rPr>
          <w:szCs w:val="24"/>
        </w:rPr>
      </w:pPr>
    </w:p>
    <w:p w14:paraId="29CCBA2E" w14:textId="77777777" w:rsidR="00552B82" w:rsidRPr="00143AC9" w:rsidRDefault="00552B82" w:rsidP="00552B82">
      <w:pPr>
        <w:pStyle w:val="Heading3"/>
        <w:spacing w:before="0" w:after="120"/>
        <w:rPr>
          <w:rFonts w:cs="Times New Roman"/>
        </w:rPr>
      </w:pPr>
      <w:r w:rsidRPr="00143AC9">
        <w:rPr>
          <w:rFonts w:cs="Times New Roman"/>
        </w:rPr>
        <w:t xml:space="preserve">Renal impairment </w:t>
      </w:r>
    </w:p>
    <w:p w14:paraId="2E0F4982" w14:textId="4F6F292B" w:rsidR="00552B82" w:rsidRDefault="00552B82" w:rsidP="00552B82">
      <w:pPr>
        <w:rPr>
          <w:szCs w:val="24"/>
        </w:rPr>
      </w:pPr>
      <w:r w:rsidRPr="00143AC9">
        <w:rPr>
          <w:szCs w:val="24"/>
        </w:rPr>
        <w:t>A pharmacokinetic study in patients with renal impairment has not been conducted. Based on a population pharmacokinetic analysis of 593 patients with mild renal impairment (CLcr 60 to less than 90 mL/min), 254 patients with moderate renal impairment (CLcr 30 to less than 60 mL/min), 5 patients with severe renal impairment (CLcr 15 to less than 30 mL/min) and 502 patients with normal renal function (greater than or equal to 90 mL/min), osimertinib exposures were similar. In this analysis, data from patients with severe renal impairment (n=5), is very limited (see also Section 4.2</w:t>
      </w:r>
      <w:r w:rsidR="00784B80" w:rsidRPr="00143AC9">
        <w:rPr>
          <w:szCs w:val="24"/>
        </w:rPr>
        <w:t>, Dose and method of administration</w:t>
      </w:r>
      <w:r w:rsidRPr="00143AC9">
        <w:rPr>
          <w:szCs w:val="24"/>
        </w:rPr>
        <w:t>). Patients with CLcr less than 15 mL/min were not included in the clinical trials.</w:t>
      </w:r>
    </w:p>
    <w:p w14:paraId="768B3840" w14:textId="77777777" w:rsidR="00E25447" w:rsidRPr="00143AC9" w:rsidRDefault="00E25447" w:rsidP="00552B82">
      <w:pPr>
        <w:rPr>
          <w:szCs w:val="24"/>
        </w:rPr>
      </w:pPr>
    </w:p>
    <w:p w14:paraId="68EBFCD4" w14:textId="77777777" w:rsidR="00552B82" w:rsidRPr="00143AC9" w:rsidRDefault="00552B82" w:rsidP="00552B82">
      <w:pPr>
        <w:pStyle w:val="Heading3"/>
      </w:pPr>
      <w:r w:rsidRPr="00143AC9">
        <w:t>Cardiac electrophysiology</w:t>
      </w:r>
    </w:p>
    <w:p w14:paraId="404F2E14" w14:textId="3EB7DC70" w:rsidR="00552B82" w:rsidRPr="00143AC9" w:rsidRDefault="00552B82" w:rsidP="00552B82">
      <w:pPr>
        <w:autoSpaceDE w:val="0"/>
        <w:autoSpaceDN w:val="0"/>
        <w:adjustRightInd w:val="0"/>
      </w:pPr>
      <w:r w:rsidRPr="00143AC9">
        <w:t xml:space="preserve">The QT interval prolongation potential of osimertinib was assessed in 210 patients who received osimertinib 80 mg daily in AURA2. Serial ECGs were collected following a single dose and at steady-state to evaluate the effect of osimertinib on QT intervals (see </w:t>
      </w:r>
      <w:r w:rsidR="002328D4">
        <w:t xml:space="preserve">Section 4.4, </w:t>
      </w:r>
      <w:r w:rsidR="00923EB7">
        <w:t>Special</w:t>
      </w:r>
      <w:r w:rsidR="002328D4">
        <w:t xml:space="preserve"> warnings and </w:t>
      </w:r>
      <w:r w:rsidR="00923EB7">
        <w:t>precautions</w:t>
      </w:r>
      <w:r w:rsidR="002328D4" w:rsidRPr="00143AC9">
        <w:t xml:space="preserve"> </w:t>
      </w:r>
      <w:r w:rsidR="00923EB7">
        <w:t>for use</w:t>
      </w:r>
      <w:r w:rsidRPr="00143AC9">
        <w:t xml:space="preserve">– QT interval prolongation). A pharmacokinetic </w:t>
      </w:r>
      <w:r w:rsidRPr="00143AC9">
        <w:lastRenderedPageBreak/>
        <w:t>analysis with osimertinib predicted a drug-related QTc interval prolongation at 80 mg of 14 msec with an upper bound of 16 msec (90% CI).</w:t>
      </w:r>
    </w:p>
    <w:p w14:paraId="6EF97C16" w14:textId="77777777" w:rsidR="00552B82" w:rsidRPr="00143AC9" w:rsidRDefault="00552B82" w:rsidP="007039EF"/>
    <w:p w14:paraId="74468147" w14:textId="77777777" w:rsidR="001A3992" w:rsidRPr="00143AC9" w:rsidRDefault="001A3992" w:rsidP="001A3992">
      <w:pPr>
        <w:pStyle w:val="Heading2"/>
        <w:spacing w:before="0" w:after="120"/>
        <w:rPr>
          <w:rFonts w:ascii="Times New Roman" w:hAnsi="Times New Roman" w:cs="Times New Roman"/>
          <w:lang w:val="en-US"/>
        </w:rPr>
      </w:pPr>
      <w:r w:rsidRPr="00143AC9">
        <w:rPr>
          <w:rFonts w:ascii="Times New Roman" w:hAnsi="Times New Roman" w:cs="Times New Roman"/>
          <w:lang w:val="en-US"/>
        </w:rPr>
        <w:t>Preclinical safety data</w:t>
      </w:r>
    </w:p>
    <w:p w14:paraId="4FDA6785" w14:textId="5DB6C6EC" w:rsidR="001A3992" w:rsidRPr="00143AC9" w:rsidRDefault="001A3992" w:rsidP="001A3992">
      <w:pPr>
        <w:pStyle w:val="Heading3"/>
        <w:spacing w:before="0" w:after="120"/>
        <w:rPr>
          <w:rFonts w:cs="Times New Roman"/>
        </w:rPr>
      </w:pPr>
      <w:r w:rsidRPr="00143AC9">
        <w:rPr>
          <w:rFonts w:cs="Times New Roman"/>
        </w:rPr>
        <w:t>Genotoxicity</w:t>
      </w:r>
    </w:p>
    <w:p w14:paraId="77F976CB" w14:textId="77777777" w:rsidR="00C66D04" w:rsidRPr="00143AC9" w:rsidRDefault="00C66D04" w:rsidP="00C66D04">
      <w:r w:rsidRPr="00143AC9">
        <w:t xml:space="preserve">Osimertinib showed no activity in </w:t>
      </w:r>
      <w:r w:rsidRPr="00143AC9">
        <w:rPr>
          <w:i/>
        </w:rPr>
        <w:t>in vitro</w:t>
      </w:r>
      <w:r w:rsidRPr="00143AC9">
        <w:t xml:space="preserve"> bacterial and mouse lymphoma cell mutation assays and in in vivo rat bone marrow micronucleus assays, suggesting that it is neither a mutagen nor a clastogen.</w:t>
      </w:r>
    </w:p>
    <w:p w14:paraId="47FA2965" w14:textId="77777777" w:rsidR="00957CF3" w:rsidRPr="00143AC9" w:rsidRDefault="00957CF3" w:rsidP="00957CF3"/>
    <w:p w14:paraId="08C2345C" w14:textId="6ECF2C12" w:rsidR="001A3992" w:rsidRPr="00143AC9" w:rsidRDefault="001A3992" w:rsidP="001A3992">
      <w:pPr>
        <w:pStyle w:val="Heading3"/>
        <w:spacing w:before="0" w:after="120"/>
        <w:rPr>
          <w:rFonts w:cs="Times New Roman"/>
          <w:lang w:val="en-US"/>
        </w:rPr>
      </w:pPr>
      <w:r w:rsidRPr="00143AC9">
        <w:rPr>
          <w:rFonts w:cs="Times New Roman"/>
        </w:rPr>
        <w:t>Carcin</w:t>
      </w:r>
      <w:r w:rsidRPr="00143AC9">
        <w:rPr>
          <w:rFonts w:cs="Times New Roman"/>
          <w:lang w:val="en-US"/>
        </w:rPr>
        <w:t>ogenicity</w:t>
      </w:r>
    </w:p>
    <w:p w14:paraId="46184000" w14:textId="77777777" w:rsidR="00C66D04" w:rsidRPr="00143AC9" w:rsidRDefault="00C66D04" w:rsidP="00C66D04">
      <w:r w:rsidRPr="00143AC9">
        <w:t xml:space="preserve">Carcinogenicity studies have not been performed with osimertinib. </w:t>
      </w:r>
    </w:p>
    <w:p w14:paraId="6F651B26" w14:textId="77777777" w:rsidR="00557868" w:rsidRPr="00143AC9" w:rsidRDefault="00557868" w:rsidP="00957CF3">
      <w:pPr>
        <w:rPr>
          <w:lang w:val="en-US"/>
        </w:rPr>
      </w:pPr>
    </w:p>
    <w:p w14:paraId="1D5F5523" w14:textId="77777777" w:rsidR="001A3992" w:rsidRPr="00143AC9" w:rsidRDefault="001A3992" w:rsidP="001A3992">
      <w:pPr>
        <w:pStyle w:val="Heading1"/>
        <w:spacing w:before="0" w:after="120"/>
        <w:rPr>
          <w:rFonts w:cs="Times New Roman"/>
          <w:lang w:val="en-US"/>
        </w:rPr>
      </w:pPr>
      <w:r w:rsidRPr="00143AC9">
        <w:rPr>
          <w:rFonts w:cs="Times New Roman"/>
          <w:lang w:val="en-US"/>
        </w:rPr>
        <w:t>Pharmaceutical particulars</w:t>
      </w:r>
    </w:p>
    <w:p w14:paraId="6D51DD87" w14:textId="77777777" w:rsidR="001A3992" w:rsidRPr="00143AC9" w:rsidRDefault="001A3992" w:rsidP="001A3992">
      <w:pPr>
        <w:pStyle w:val="Heading2"/>
        <w:spacing w:before="0" w:after="120"/>
        <w:rPr>
          <w:rFonts w:ascii="Times New Roman" w:hAnsi="Times New Roman" w:cs="Times New Roman"/>
          <w:lang w:val="en-US"/>
        </w:rPr>
      </w:pPr>
      <w:r w:rsidRPr="00143AC9">
        <w:rPr>
          <w:rFonts w:ascii="Times New Roman" w:hAnsi="Times New Roman" w:cs="Times New Roman"/>
          <w:lang w:val="en-US"/>
        </w:rPr>
        <w:t xml:space="preserve">List of excipients </w:t>
      </w:r>
    </w:p>
    <w:p w14:paraId="617166AD" w14:textId="7934BDF9" w:rsidR="004A250C" w:rsidRDefault="004A250C" w:rsidP="004A250C">
      <w:r w:rsidRPr="00143AC9">
        <w:t>Refer to Section 2 - Qualitative and quantitative composition.</w:t>
      </w:r>
    </w:p>
    <w:p w14:paraId="1F8CF268" w14:textId="6A627FA7" w:rsidR="00873B87" w:rsidRPr="00143AC9" w:rsidRDefault="00873B87" w:rsidP="004A250C">
      <w:pPr>
        <w:rPr>
          <w:lang w:val="en-US"/>
        </w:rPr>
      </w:pPr>
    </w:p>
    <w:p w14:paraId="06385898" w14:textId="37193551" w:rsidR="00873B87" w:rsidRPr="00873B87" w:rsidRDefault="001A3992" w:rsidP="00873B87">
      <w:pPr>
        <w:pStyle w:val="Heading2"/>
        <w:keepLines/>
        <w:spacing w:before="0" w:after="120"/>
        <w:rPr>
          <w:rFonts w:ascii="Times New Roman" w:hAnsi="Times New Roman" w:cs="Times New Roman"/>
          <w:lang w:val="en-US"/>
        </w:rPr>
      </w:pPr>
      <w:r w:rsidRPr="00143AC9">
        <w:rPr>
          <w:rFonts w:ascii="Times New Roman" w:hAnsi="Times New Roman" w:cs="Times New Roman"/>
          <w:lang w:val="en-US"/>
        </w:rPr>
        <w:t xml:space="preserve">Incompatibilities </w:t>
      </w:r>
    </w:p>
    <w:p w14:paraId="3B781C81" w14:textId="1A346AD4" w:rsidR="002963B1" w:rsidRDefault="002963B1" w:rsidP="002963B1">
      <w:r w:rsidRPr="00143AC9">
        <w:t>Incompatibilities were either not assessed or not identified as part of the registration of this medicine.</w:t>
      </w:r>
    </w:p>
    <w:p w14:paraId="67F306B4" w14:textId="77777777" w:rsidR="00873B87" w:rsidRPr="00143AC9" w:rsidRDefault="00873B87" w:rsidP="002963B1"/>
    <w:p w14:paraId="0A4ADF9E" w14:textId="49B2FA60" w:rsidR="001A3992" w:rsidRPr="00143AC9" w:rsidRDefault="001A3992" w:rsidP="001A3992">
      <w:pPr>
        <w:pStyle w:val="Heading2"/>
        <w:spacing w:before="0" w:after="120"/>
        <w:rPr>
          <w:rFonts w:ascii="Times New Roman" w:hAnsi="Times New Roman" w:cs="Times New Roman"/>
          <w:lang w:val="en-US"/>
        </w:rPr>
      </w:pPr>
      <w:r w:rsidRPr="00143AC9">
        <w:rPr>
          <w:rFonts w:ascii="Times New Roman" w:hAnsi="Times New Roman" w:cs="Times New Roman"/>
          <w:lang w:val="en-US"/>
        </w:rPr>
        <w:t xml:space="preserve">Shelf life </w:t>
      </w:r>
    </w:p>
    <w:p w14:paraId="723C2185" w14:textId="3CA6EE55" w:rsidR="00D04F0D" w:rsidRDefault="00D04F0D" w:rsidP="00D04F0D">
      <w:r w:rsidRPr="00143AC9">
        <w:t>In Australia, information on the shelf life can be found on the public summary of the Australian Register of Therapeutic Goods (ARTG). The expiry date can be found on the packaging.</w:t>
      </w:r>
    </w:p>
    <w:p w14:paraId="6B12164E" w14:textId="77777777" w:rsidR="00873B87" w:rsidRPr="00143AC9" w:rsidRDefault="00873B87" w:rsidP="00D04F0D"/>
    <w:p w14:paraId="7571697E" w14:textId="4FD95ED7" w:rsidR="001A3992" w:rsidRPr="00143AC9" w:rsidRDefault="001A3992" w:rsidP="001A3992">
      <w:pPr>
        <w:pStyle w:val="Heading2"/>
        <w:keepLines/>
        <w:spacing w:before="0" w:after="120"/>
        <w:rPr>
          <w:rFonts w:ascii="Times New Roman" w:hAnsi="Times New Roman" w:cs="Times New Roman"/>
          <w:lang w:val="en-US"/>
        </w:rPr>
      </w:pPr>
      <w:r w:rsidRPr="00143AC9">
        <w:rPr>
          <w:rFonts w:ascii="Times New Roman" w:hAnsi="Times New Roman" w:cs="Times New Roman"/>
          <w:lang w:val="en-US"/>
        </w:rPr>
        <w:t xml:space="preserve">Special precautions for storage </w:t>
      </w:r>
    </w:p>
    <w:p w14:paraId="59A6C08F" w14:textId="4EC2CA91" w:rsidR="003310EF" w:rsidRDefault="003310EF" w:rsidP="003310EF">
      <w:r w:rsidRPr="00143AC9">
        <w:t>Store below 30</w:t>
      </w:r>
      <w:r w:rsidRPr="00143AC9">
        <w:rPr>
          <w:rFonts w:cs="Arial"/>
        </w:rPr>
        <w:t>°</w:t>
      </w:r>
      <w:r w:rsidRPr="00143AC9">
        <w:t>C.</w:t>
      </w:r>
    </w:p>
    <w:p w14:paraId="21E1F9F7" w14:textId="77777777" w:rsidR="00873B87" w:rsidRPr="00143AC9" w:rsidRDefault="00873B87" w:rsidP="003310EF"/>
    <w:p w14:paraId="1AE8F05A" w14:textId="0DC47FCC" w:rsidR="001A3992" w:rsidRPr="00143AC9" w:rsidRDefault="001A3992" w:rsidP="001A3992">
      <w:pPr>
        <w:pStyle w:val="Heading2"/>
        <w:spacing w:before="0" w:after="120"/>
        <w:rPr>
          <w:rFonts w:ascii="Times New Roman" w:hAnsi="Times New Roman" w:cs="Times New Roman"/>
          <w:lang w:val="en-US"/>
        </w:rPr>
      </w:pPr>
      <w:r w:rsidRPr="00143AC9">
        <w:rPr>
          <w:rFonts w:ascii="Times New Roman" w:hAnsi="Times New Roman" w:cs="Times New Roman"/>
          <w:lang w:val="en-US"/>
        </w:rPr>
        <w:lastRenderedPageBreak/>
        <w:t xml:space="preserve">Nature and contents of container </w:t>
      </w:r>
    </w:p>
    <w:p w14:paraId="46676D4E" w14:textId="14B7B798" w:rsidR="003310EF" w:rsidRDefault="003310EF" w:rsidP="003310EF">
      <w:r w:rsidRPr="00143AC9">
        <w:t>The tablets are packed into PVC/aluminium/polyamide laminate blister strips in cartons of 30 tablets.</w:t>
      </w:r>
    </w:p>
    <w:p w14:paraId="670AF937" w14:textId="77777777" w:rsidR="00873B87" w:rsidRPr="00143AC9" w:rsidRDefault="00873B87" w:rsidP="003310EF">
      <w:pPr>
        <w:rPr>
          <w:lang w:val="en-US"/>
        </w:rPr>
      </w:pPr>
    </w:p>
    <w:p w14:paraId="75595D9F" w14:textId="7E8FC63E" w:rsidR="001A3992" w:rsidRPr="00143AC9" w:rsidRDefault="001A3992" w:rsidP="001A3992">
      <w:pPr>
        <w:pStyle w:val="Heading2"/>
        <w:spacing w:before="0" w:after="120"/>
        <w:rPr>
          <w:rFonts w:ascii="Times New Roman" w:hAnsi="Times New Roman" w:cs="Times New Roman"/>
          <w:lang w:val="en-US"/>
        </w:rPr>
      </w:pPr>
      <w:r w:rsidRPr="00143AC9">
        <w:rPr>
          <w:rFonts w:ascii="Times New Roman" w:hAnsi="Times New Roman" w:cs="Times New Roman"/>
          <w:lang w:val="en-US"/>
        </w:rPr>
        <w:t xml:space="preserve">Special precautions for disposal </w:t>
      </w:r>
    </w:p>
    <w:p w14:paraId="1689119D" w14:textId="1B87A137" w:rsidR="00821C9B" w:rsidRDefault="003310EF" w:rsidP="003310EF">
      <w:r w:rsidRPr="00143AC9">
        <w:t>In Australia, any unused medicine or waste material should be disposed of by taking to your local pharmacy.</w:t>
      </w:r>
    </w:p>
    <w:p w14:paraId="3D408875" w14:textId="77777777" w:rsidR="00873B87" w:rsidRPr="00143AC9" w:rsidRDefault="00873B87" w:rsidP="003310EF">
      <w:pPr>
        <w:rPr>
          <w:lang w:val="en-US"/>
        </w:rPr>
      </w:pPr>
    </w:p>
    <w:p w14:paraId="00698E0F" w14:textId="77777777" w:rsidR="001A3992" w:rsidRPr="00143AC9" w:rsidRDefault="001A3992" w:rsidP="001A3992">
      <w:pPr>
        <w:pStyle w:val="Heading2"/>
        <w:spacing w:before="0" w:after="120"/>
        <w:rPr>
          <w:rFonts w:ascii="Times New Roman" w:hAnsi="Times New Roman" w:cs="Times New Roman"/>
          <w:lang w:val="en-US"/>
        </w:rPr>
      </w:pPr>
      <w:r w:rsidRPr="00143AC9">
        <w:rPr>
          <w:rFonts w:ascii="Times New Roman" w:hAnsi="Times New Roman" w:cs="Times New Roman"/>
          <w:lang w:val="en-US"/>
        </w:rPr>
        <w:t>Physicochemical properties</w:t>
      </w:r>
    </w:p>
    <w:p w14:paraId="6C7B7B23" w14:textId="02F94FE2" w:rsidR="001A3992" w:rsidRPr="00143AC9" w:rsidRDefault="001A3992" w:rsidP="001A3992">
      <w:pPr>
        <w:pStyle w:val="Heading3"/>
        <w:spacing w:before="0" w:after="120"/>
        <w:rPr>
          <w:rFonts w:cs="Times New Roman"/>
          <w:lang w:val="en-US"/>
        </w:rPr>
      </w:pPr>
      <w:r w:rsidRPr="00143AC9">
        <w:rPr>
          <w:rFonts w:cs="Times New Roman"/>
          <w:lang w:val="en-US"/>
        </w:rPr>
        <w:t>Chemical structure</w:t>
      </w:r>
    </w:p>
    <w:p w14:paraId="04D9F25F" w14:textId="71A44639" w:rsidR="00D95355" w:rsidRPr="00143AC9" w:rsidRDefault="00D95355" w:rsidP="00D95355">
      <w:pPr>
        <w:rPr>
          <w:rFonts w:cs="Times New Roman"/>
        </w:rPr>
      </w:pPr>
      <w:r w:rsidRPr="00143AC9">
        <w:rPr>
          <w:rFonts w:cs="Times New Roman"/>
        </w:rPr>
        <w:t>The chemical name of osimertinib mesilate is: N-(2-{2-dimethylaminoethyl-methylamino}-4-methoxy-5-{[4-(1-methylindol-3-yl)pyrimidin-2-yl]amino}phenyl)prop-2-enamide mesilate salt</w:t>
      </w:r>
    </w:p>
    <w:p w14:paraId="3833E42E" w14:textId="77777777" w:rsidR="00D95355" w:rsidRPr="00143AC9" w:rsidRDefault="00D95355" w:rsidP="00873B87">
      <w:pPr>
        <w:keepNext/>
        <w:rPr>
          <w:rFonts w:cs="Times New Roman"/>
        </w:rPr>
      </w:pPr>
      <w:r w:rsidRPr="00143AC9">
        <w:rPr>
          <w:rFonts w:cs="Times New Roman"/>
        </w:rPr>
        <w:t>The chemical structure of osimertinib mesilate is:</w:t>
      </w:r>
    </w:p>
    <w:p w14:paraId="39C57EFF" w14:textId="77777777" w:rsidR="00D95355" w:rsidRPr="00143AC9" w:rsidRDefault="00D95355" w:rsidP="00873B87">
      <w:pPr>
        <w:keepNext/>
        <w:rPr>
          <w:rFonts w:cs="Times New Roman"/>
        </w:rPr>
      </w:pPr>
      <w:r w:rsidRPr="00143AC9">
        <w:rPr>
          <w:rFonts w:cs="Times New Roman"/>
          <w:noProof/>
          <w:lang w:eastAsia="en-AU"/>
        </w:rPr>
        <w:drawing>
          <wp:inline distT="0" distB="0" distL="0" distR="0" wp14:anchorId="56BC1B81" wp14:editId="0977F6F6">
            <wp:extent cx="35687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8700" cy="2133600"/>
                    </a:xfrm>
                    <a:prstGeom prst="rect">
                      <a:avLst/>
                    </a:prstGeom>
                    <a:noFill/>
                    <a:ln>
                      <a:noFill/>
                    </a:ln>
                  </pic:spPr>
                </pic:pic>
              </a:graphicData>
            </a:graphic>
          </wp:inline>
        </w:drawing>
      </w:r>
    </w:p>
    <w:p w14:paraId="68A5BEA5" w14:textId="77777777" w:rsidR="00D95355" w:rsidRPr="00143AC9" w:rsidRDefault="00D95355" w:rsidP="00873B87">
      <w:pPr>
        <w:keepNext/>
        <w:rPr>
          <w:rFonts w:cs="Times New Roman"/>
          <w:szCs w:val="24"/>
          <w:lang w:eastAsia="en-AU"/>
        </w:rPr>
      </w:pPr>
      <w:r w:rsidRPr="00143AC9">
        <w:rPr>
          <w:rFonts w:cs="Times New Roman"/>
          <w:szCs w:val="24"/>
          <w:lang w:eastAsia="en-AU"/>
        </w:rPr>
        <w:t>Molecular formula: C</w:t>
      </w:r>
      <w:r w:rsidRPr="00143AC9">
        <w:rPr>
          <w:rFonts w:cs="Times New Roman"/>
          <w:szCs w:val="24"/>
          <w:vertAlign w:val="subscript"/>
          <w:lang w:eastAsia="en-AU"/>
        </w:rPr>
        <w:t>28</w:t>
      </w:r>
      <w:r w:rsidRPr="00143AC9">
        <w:rPr>
          <w:rFonts w:cs="Times New Roman"/>
          <w:szCs w:val="24"/>
          <w:lang w:eastAsia="en-AU"/>
        </w:rPr>
        <w:t>H</w:t>
      </w:r>
      <w:r w:rsidRPr="00143AC9">
        <w:rPr>
          <w:rFonts w:cs="Times New Roman"/>
          <w:szCs w:val="24"/>
          <w:vertAlign w:val="subscript"/>
          <w:lang w:eastAsia="en-AU"/>
        </w:rPr>
        <w:t>33</w:t>
      </w:r>
      <w:r w:rsidRPr="00143AC9">
        <w:rPr>
          <w:rFonts w:cs="Times New Roman"/>
          <w:szCs w:val="24"/>
          <w:lang w:eastAsia="en-AU"/>
        </w:rPr>
        <w:t>N</w:t>
      </w:r>
      <w:r w:rsidRPr="00143AC9">
        <w:rPr>
          <w:rFonts w:cs="Times New Roman"/>
          <w:szCs w:val="24"/>
          <w:vertAlign w:val="subscript"/>
          <w:lang w:eastAsia="en-AU"/>
        </w:rPr>
        <w:t>7</w:t>
      </w:r>
      <w:r w:rsidRPr="00143AC9">
        <w:rPr>
          <w:rFonts w:cs="Times New Roman"/>
          <w:szCs w:val="24"/>
          <w:lang w:eastAsia="en-AU"/>
        </w:rPr>
        <w:t>O</w:t>
      </w:r>
      <w:r w:rsidRPr="00143AC9">
        <w:rPr>
          <w:rFonts w:cs="Times New Roman"/>
          <w:szCs w:val="24"/>
          <w:vertAlign w:val="subscript"/>
          <w:lang w:eastAsia="en-AU"/>
        </w:rPr>
        <w:t>2</w:t>
      </w:r>
      <w:r w:rsidRPr="00143AC9">
        <w:rPr>
          <w:rFonts w:cs="Times New Roman"/>
          <w:szCs w:val="24"/>
          <w:lang w:eastAsia="en-AU"/>
        </w:rPr>
        <w:t>•CH</w:t>
      </w:r>
      <w:r w:rsidRPr="00143AC9">
        <w:rPr>
          <w:rFonts w:cs="Times New Roman"/>
          <w:szCs w:val="24"/>
          <w:vertAlign w:val="subscript"/>
          <w:lang w:eastAsia="en-AU"/>
        </w:rPr>
        <w:t>4</w:t>
      </w:r>
      <w:r w:rsidRPr="00143AC9">
        <w:rPr>
          <w:rFonts w:cs="Times New Roman"/>
          <w:szCs w:val="24"/>
          <w:lang w:eastAsia="en-AU"/>
        </w:rPr>
        <w:t>O</w:t>
      </w:r>
      <w:r w:rsidRPr="00143AC9">
        <w:rPr>
          <w:rFonts w:cs="Times New Roman"/>
          <w:szCs w:val="24"/>
          <w:vertAlign w:val="subscript"/>
          <w:lang w:eastAsia="en-AU"/>
        </w:rPr>
        <w:t>3</w:t>
      </w:r>
      <w:r w:rsidRPr="00143AC9">
        <w:rPr>
          <w:rFonts w:cs="Times New Roman"/>
          <w:szCs w:val="24"/>
          <w:lang w:eastAsia="en-AU"/>
        </w:rPr>
        <w:t>S</w:t>
      </w:r>
    </w:p>
    <w:p w14:paraId="398FC11E" w14:textId="77777777" w:rsidR="00D95355" w:rsidRPr="00143AC9" w:rsidRDefault="00D95355" w:rsidP="00873B87">
      <w:pPr>
        <w:keepNext/>
        <w:rPr>
          <w:rFonts w:cs="Times New Roman"/>
          <w:szCs w:val="24"/>
          <w:lang w:eastAsia="en-AU"/>
        </w:rPr>
      </w:pPr>
      <w:r w:rsidRPr="00143AC9">
        <w:rPr>
          <w:rFonts w:cs="Times New Roman"/>
          <w:szCs w:val="24"/>
          <w:lang w:eastAsia="en-AU"/>
        </w:rPr>
        <w:t xml:space="preserve">Molecular weight: </w:t>
      </w:r>
      <w:r w:rsidRPr="00143AC9">
        <w:rPr>
          <w:rFonts w:cs="Times New Roman"/>
        </w:rPr>
        <w:t>595.71</w:t>
      </w:r>
    </w:p>
    <w:p w14:paraId="1C1A1CEB" w14:textId="77777777" w:rsidR="00873B87" w:rsidRDefault="00873B87" w:rsidP="001A3992">
      <w:pPr>
        <w:pStyle w:val="Heading3"/>
        <w:spacing w:before="0" w:after="120"/>
        <w:rPr>
          <w:rFonts w:cs="Times New Roman"/>
          <w:lang w:val="en-US"/>
        </w:rPr>
      </w:pPr>
    </w:p>
    <w:p w14:paraId="582FD591" w14:textId="2347FF4E" w:rsidR="001A3992" w:rsidRPr="00143AC9" w:rsidRDefault="001A3992" w:rsidP="001A3992">
      <w:pPr>
        <w:pStyle w:val="Heading3"/>
        <w:spacing w:before="0" w:after="120"/>
        <w:rPr>
          <w:rFonts w:cs="Times New Roman"/>
          <w:lang w:val="en-US"/>
        </w:rPr>
      </w:pPr>
      <w:r w:rsidRPr="00143AC9">
        <w:rPr>
          <w:rFonts w:cs="Times New Roman"/>
          <w:lang w:val="en-US"/>
        </w:rPr>
        <w:t>CAS number</w:t>
      </w:r>
    </w:p>
    <w:p w14:paraId="36730D06" w14:textId="4A80DEAE" w:rsidR="00D95355" w:rsidRDefault="00D95355" w:rsidP="00D95355">
      <w:pPr>
        <w:rPr>
          <w:rFonts w:cs="Times New Roman"/>
        </w:rPr>
      </w:pPr>
      <w:r w:rsidRPr="00143AC9">
        <w:rPr>
          <w:rFonts w:cs="Times New Roman"/>
        </w:rPr>
        <w:t>CAS number: 1421373-66-1</w:t>
      </w:r>
    </w:p>
    <w:p w14:paraId="4CEBA1F6" w14:textId="77777777" w:rsidR="00873B87" w:rsidRPr="00143AC9" w:rsidRDefault="00873B87" w:rsidP="00D95355">
      <w:pPr>
        <w:rPr>
          <w:rFonts w:cs="Times New Roman"/>
        </w:rPr>
      </w:pPr>
    </w:p>
    <w:p w14:paraId="3E20FA76" w14:textId="0DFBEF8C" w:rsidR="001A3992" w:rsidRPr="00143AC9" w:rsidRDefault="001A3992" w:rsidP="001A3992">
      <w:pPr>
        <w:pStyle w:val="Heading1"/>
        <w:spacing w:before="0" w:after="120"/>
        <w:rPr>
          <w:rFonts w:cs="Times New Roman"/>
          <w:lang w:val="en-US"/>
        </w:rPr>
      </w:pPr>
      <w:r w:rsidRPr="00143AC9">
        <w:rPr>
          <w:rFonts w:cs="Times New Roman"/>
          <w:lang w:val="en-US"/>
        </w:rPr>
        <w:lastRenderedPageBreak/>
        <w:t>Medicine schedule (Poisons Standard)</w:t>
      </w:r>
    </w:p>
    <w:p w14:paraId="6CC9BBF0" w14:textId="77777777" w:rsidR="00A17D92" w:rsidRPr="00143AC9" w:rsidRDefault="00A17D92" w:rsidP="00A17D92">
      <w:r w:rsidRPr="00143AC9">
        <w:t>Schedule 4.</w:t>
      </w:r>
    </w:p>
    <w:p w14:paraId="15218A08" w14:textId="77777777" w:rsidR="00A17D92" w:rsidRPr="00143AC9" w:rsidRDefault="00A17D92" w:rsidP="00A17D92">
      <w:pPr>
        <w:rPr>
          <w:lang w:val="en-US"/>
        </w:rPr>
      </w:pPr>
    </w:p>
    <w:p w14:paraId="12355218" w14:textId="190079DC" w:rsidR="001A3992" w:rsidRPr="00143AC9" w:rsidRDefault="001A3992" w:rsidP="001A3992">
      <w:pPr>
        <w:pStyle w:val="Heading1"/>
        <w:spacing w:before="0" w:after="120"/>
        <w:rPr>
          <w:rFonts w:cs="Times New Roman"/>
          <w:lang w:val="en-US"/>
        </w:rPr>
      </w:pPr>
      <w:r w:rsidRPr="00143AC9">
        <w:rPr>
          <w:rFonts w:cs="Times New Roman"/>
          <w:lang w:val="en-US"/>
        </w:rPr>
        <w:t>Sponsor</w:t>
      </w:r>
    </w:p>
    <w:p w14:paraId="362B1CFF" w14:textId="77777777" w:rsidR="00A17D92" w:rsidRPr="00143AC9" w:rsidRDefault="00A17D92" w:rsidP="00A17D92">
      <w:r w:rsidRPr="00143AC9">
        <w:t>AstraZeneca Pty Ltd</w:t>
      </w:r>
      <w:r w:rsidRPr="00143AC9">
        <w:br/>
        <w:t>ABN 54 009 682 311</w:t>
      </w:r>
      <w:r w:rsidRPr="00143AC9">
        <w:br/>
        <w:t>66 Talavera Road</w:t>
      </w:r>
      <w:r w:rsidRPr="00143AC9">
        <w:br/>
        <w:t>MACQUARIE PARK NSW 2113</w:t>
      </w:r>
    </w:p>
    <w:p w14:paraId="2F043C67" w14:textId="77777777" w:rsidR="00A17D92" w:rsidRPr="00143AC9" w:rsidRDefault="00A17D92" w:rsidP="00A17D92">
      <w:pPr>
        <w:rPr>
          <w:szCs w:val="24"/>
        </w:rPr>
      </w:pPr>
      <w:r w:rsidRPr="00143AC9">
        <w:rPr>
          <w:szCs w:val="24"/>
        </w:rPr>
        <w:t>Telephone: 1800 805342</w:t>
      </w:r>
    </w:p>
    <w:p w14:paraId="424FA99D" w14:textId="77777777" w:rsidR="00A17D92" w:rsidRPr="00143AC9" w:rsidRDefault="00A17D92" w:rsidP="00A17D92">
      <w:pPr>
        <w:rPr>
          <w:lang w:val="en-US"/>
        </w:rPr>
      </w:pPr>
    </w:p>
    <w:p w14:paraId="229B124D" w14:textId="5B1255CC" w:rsidR="001A3992" w:rsidRPr="00143AC9" w:rsidRDefault="001A3992" w:rsidP="001A3992">
      <w:pPr>
        <w:pStyle w:val="Heading1"/>
        <w:spacing w:before="0" w:after="120"/>
        <w:rPr>
          <w:rFonts w:cs="Times New Roman"/>
          <w:lang w:val="en-US"/>
        </w:rPr>
      </w:pPr>
      <w:r w:rsidRPr="00143AC9">
        <w:rPr>
          <w:rFonts w:cs="Times New Roman"/>
          <w:lang w:val="en-US"/>
        </w:rPr>
        <w:t xml:space="preserve">Date of first approval  </w:t>
      </w:r>
    </w:p>
    <w:p w14:paraId="5208857A" w14:textId="77777777" w:rsidR="00A17D92" w:rsidRPr="00143AC9" w:rsidRDefault="00A17D92" w:rsidP="00A17D92">
      <w:pPr>
        <w:rPr>
          <w:sz w:val="22"/>
        </w:rPr>
      </w:pPr>
      <w:r w:rsidRPr="00143AC9">
        <w:rPr>
          <w:sz w:val="22"/>
        </w:rPr>
        <w:t>3</w:t>
      </w:r>
      <w:r w:rsidRPr="00143AC9">
        <w:rPr>
          <w:sz w:val="22"/>
          <w:vertAlign w:val="superscript"/>
        </w:rPr>
        <w:t>rd</w:t>
      </w:r>
      <w:r w:rsidRPr="00143AC9">
        <w:rPr>
          <w:sz w:val="22"/>
        </w:rPr>
        <w:t xml:space="preserve"> August 2016</w:t>
      </w:r>
    </w:p>
    <w:p w14:paraId="69724B39" w14:textId="77777777" w:rsidR="00A17D92" w:rsidRPr="00143AC9" w:rsidRDefault="00A17D92" w:rsidP="00A17D92">
      <w:pPr>
        <w:rPr>
          <w:lang w:val="en-US"/>
        </w:rPr>
      </w:pPr>
    </w:p>
    <w:p w14:paraId="3219D490" w14:textId="50AEA7B3" w:rsidR="001A3992" w:rsidRPr="00143AC9" w:rsidRDefault="001A3992" w:rsidP="001A3992">
      <w:pPr>
        <w:pStyle w:val="Heading1"/>
        <w:spacing w:before="0" w:after="120"/>
        <w:rPr>
          <w:rFonts w:cs="Times New Roman"/>
          <w:lang w:val="en-US"/>
        </w:rPr>
      </w:pPr>
      <w:r w:rsidRPr="00143AC9">
        <w:rPr>
          <w:rFonts w:cs="Times New Roman"/>
          <w:lang w:val="en-US"/>
        </w:rPr>
        <w:t xml:space="preserve">Date of revision </w:t>
      </w:r>
    </w:p>
    <w:p w14:paraId="0BC9C3ED" w14:textId="43A460CF" w:rsidR="00C30709" w:rsidRPr="00143AC9" w:rsidRDefault="00503CE0" w:rsidP="00C30709">
      <w:r>
        <w:rPr>
          <w:sz w:val="22"/>
          <w:lang w:val="en-GB"/>
        </w:rPr>
        <w:t>5 July 2018</w:t>
      </w:r>
    </w:p>
    <w:p w14:paraId="57644EE0" w14:textId="77777777" w:rsidR="00C30709" w:rsidRPr="00143AC9" w:rsidRDefault="00C30709" w:rsidP="00C30709">
      <w:pPr>
        <w:rPr>
          <w:lang w:val="en-US"/>
        </w:rPr>
      </w:pPr>
    </w:p>
    <w:p w14:paraId="23FC61D2" w14:textId="77777777" w:rsidR="001A3992" w:rsidRPr="00143AC9" w:rsidRDefault="001A3992" w:rsidP="001A3992">
      <w:pPr>
        <w:pStyle w:val="Heading2"/>
        <w:numPr>
          <w:ilvl w:val="0"/>
          <w:numId w:val="0"/>
        </w:numPr>
        <w:spacing w:before="0" w:after="120"/>
        <w:rPr>
          <w:rFonts w:ascii="Times New Roman" w:hAnsi="Times New Roman" w:cs="Times New Roman"/>
          <w:lang w:val="en-US"/>
        </w:rPr>
      </w:pPr>
      <w:r w:rsidRPr="00143AC9">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69"/>
        <w:gridCol w:w="7637"/>
      </w:tblGrid>
      <w:tr w:rsidR="00ED0937" w:rsidRPr="00143AC9" w14:paraId="5E72A228" w14:textId="77777777" w:rsidTr="00A774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shd w:val="clear" w:color="auto" w:fill="F2F2F2" w:themeFill="background1" w:themeFillShade="F2"/>
            <w:vAlign w:val="center"/>
          </w:tcPr>
          <w:p w14:paraId="24417009" w14:textId="77777777" w:rsidR="00ED0937" w:rsidRPr="00143AC9" w:rsidRDefault="00ED0937" w:rsidP="002838B1">
            <w:pPr>
              <w:rPr>
                <w:rFonts w:cs="Times New Roman"/>
                <w:sz w:val="20"/>
                <w:lang w:val="en-US"/>
              </w:rPr>
            </w:pPr>
            <w:r w:rsidRPr="00143AC9">
              <w:rPr>
                <w:rFonts w:cs="Times New Roman"/>
                <w:sz w:val="20"/>
                <w:lang w:val="en-US"/>
              </w:rPr>
              <w:t>Section Changed</w:t>
            </w:r>
          </w:p>
        </w:tc>
        <w:tc>
          <w:tcPr>
            <w:tcW w:w="7637" w:type="dxa"/>
            <w:shd w:val="clear" w:color="auto" w:fill="F2F2F2" w:themeFill="background1" w:themeFillShade="F2"/>
            <w:vAlign w:val="center"/>
          </w:tcPr>
          <w:p w14:paraId="7D73CC54" w14:textId="77777777" w:rsidR="00ED0937" w:rsidRPr="00143AC9" w:rsidRDefault="00ED0937" w:rsidP="002838B1">
            <w:pPr>
              <w:cnfStyle w:val="100000000000" w:firstRow="1" w:lastRow="0" w:firstColumn="0" w:lastColumn="0" w:oddVBand="0" w:evenVBand="0" w:oddHBand="0" w:evenHBand="0" w:firstRowFirstColumn="0" w:firstRowLastColumn="0" w:lastRowFirstColumn="0" w:lastRowLastColumn="0"/>
              <w:rPr>
                <w:rFonts w:cs="Times New Roman"/>
                <w:sz w:val="20"/>
                <w:lang w:val="en-US"/>
              </w:rPr>
            </w:pPr>
            <w:r w:rsidRPr="00143AC9">
              <w:rPr>
                <w:rFonts w:cs="Times New Roman"/>
                <w:sz w:val="20"/>
                <w:lang w:val="en-US"/>
              </w:rPr>
              <w:t>Summary of new information</w:t>
            </w:r>
          </w:p>
        </w:tc>
      </w:tr>
      <w:tr w:rsidR="00ED0937" w:rsidRPr="00143AC9" w14:paraId="3B5E1050" w14:textId="77777777" w:rsidTr="00A7740A">
        <w:tc>
          <w:tcPr>
            <w:cnfStyle w:val="001000000000" w:firstRow="0" w:lastRow="0" w:firstColumn="1" w:lastColumn="0" w:oddVBand="0" w:evenVBand="0" w:oddHBand="0" w:evenHBand="0" w:firstRowFirstColumn="0" w:firstRowLastColumn="0" w:lastRowFirstColumn="0" w:lastRowLastColumn="0"/>
            <w:tcW w:w="1369" w:type="dxa"/>
            <w:vAlign w:val="center"/>
          </w:tcPr>
          <w:p w14:paraId="6EC3CB3E" w14:textId="267FDDF1" w:rsidR="00ED0937" w:rsidRPr="00FC133D" w:rsidRDefault="00CC3FA3" w:rsidP="002838B1">
            <w:pPr>
              <w:rPr>
                <w:rFonts w:cs="Times New Roman"/>
                <w:lang w:val="en-US"/>
              </w:rPr>
            </w:pPr>
            <w:r w:rsidRPr="00FC133D">
              <w:rPr>
                <w:rFonts w:cs="Times New Roman"/>
                <w:lang w:val="en-US"/>
              </w:rPr>
              <w:t>4.1</w:t>
            </w:r>
          </w:p>
        </w:tc>
        <w:tc>
          <w:tcPr>
            <w:tcW w:w="7637" w:type="dxa"/>
            <w:vAlign w:val="center"/>
          </w:tcPr>
          <w:p w14:paraId="68590D3F" w14:textId="209B0216" w:rsidR="00CC3FA3" w:rsidRPr="00FC133D" w:rsidRDefault="00CC3FA3" w:rsidP="002838B1">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FC133D">
              <w:rPr>
                <w:rFonts w:cs="Times New Roman"/>
                <w:lang w:val="en-US"/>
              </w:rPr>
              <w:t xml:space="preserve">Added first line </w:t>
            </w:r>
            <w:r w:rsidR="00C00B29" w:rsidRPr="00FC133D">
              <w:rPr>
                <w:rFonts w:cs="Times New Roman"/>
                <w:lang w:val="en-US"/>
              </w:rPr>
              <w:t xml:space="preserve">NSCLC </w:t>
            </w:r>
            <w:r w:rsidRPr="00FC133D">
              <w:rPr>
                <w:rFonts w:cs="Times New Roman"/>
                <w:lang w:val="en-US"/>
              </w:rPr>
              <w:t xml:space="preserve">indication </w:t>
            </w:r>
          </w:p>
        </w:tc>
      </w:tr>
      <w:tr w:rsidR="00ED0937" w:rsidRPr="00143AC9" w14:paraId="664F404C" w14:textId="77777777" w:rsidTr="00A7740A">
        <w:tc>
          <w:tcPr>
            <w:cnfStyle w:val="001000000000" w:firstRow="0" w:lastRow="0" w:firstColumn="1" w:lastColumn="0" w:oddVBand="0" w:evenVBand="0" w:oddHBand="0" w:evenHBand="0" w:firstRowFirstColumn="0" w:firstRowLastColumn="0" w:lastRowFirstColumn="0" w:lastRowLastColumn="0"/>
            <w:tcW w:w="1369" w:type="dxa"/>
            <w:vAlign w:val="center"/>
          </w:tcPr>
          <w:p w14:paraId="22A4B284" w14:textId="75B0525B" w:rsidR="00ED0937" w:rsidRPr="00143AC9" w:rsidRDefault="00CC3FA3" w:rsidP="002838B1">
            <w:pPr>
              <w:rPr>
                <w:rFonts w:cs="Times New Roman"/>
                <w:lang w:val="en-US"/>
              </w:rPr>
            </w:pPr>
            <w:r w:rsidRPr="00143AC9">
              <w:rPr>
                <w:rFonts w:cs="Times New Roman"/>
                <w:lang w:val="en-US"/>
              </w:rPr>
              <w:t>4.2</w:t>
            </w:r>
          </w:p>
        </w:tc>
        <w:tc>
          <w:tcPr>
            <w:tcW w:w="7637" w:type="dxa"/>
            <w:vAlign w:val="center"/>
          </w:tcPr>
          <w:p w14:paraId="2361498C" w14:textId="0F17AE0D" w:rsidR="00CC3FA3" w:rsidRPr="00143AC9" w:rsidRDefault="00CC3FA3" w:rsidP="00CC3FA3">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143AC9">
              <w:rPr>
                <w:rFonts w:cs="Times New Roman"/>
                <w:lang w:val="en-US"/>
              </w:rPr>
              <w:t>Amended to accommodate for FLAURA</w:t>
            </w:r>
            <w:r w:rsidR="00957C9C" w:rsidRPr="00143AC9">
              <w:rPr>
                <w:rFonts w:cs="Times New Roman"/>
                <w:lang w:val="en-US"/>
              </w:rPr>
              <w:t xml:space="preserve"> indication</w:t>
            </w:r>
          </w:p>
        </w:tc>
      </w:tr>
      <w:tr w:rsidR="00ED0937" w:rsidRPr="00143AC9" w14:paraId="48489F5C" w14:textId="77777777" w:rsidTr="00A7740A">
        <w:tc>
          <w:tcPr>
            <w:cnfStyle w:val="001000000000" w:firstRow="0" w:lastRow="0" w:firstColumn="1" w:lastColumn="0" w:oddVBand="0" w:evenVBand="0" w:oddHBand="0" w:evenHBand="0" w:firstRowFirstColumn="0" w:firstRowLastColumn="0" w:lastRowFirstColumn="0" w:lastRowLastColumn="0"/>
            <w:tcW w:w="1369" w:type="dxa"/>
            <w:vAlign w:val="center"/>
          </w:tcPr>
          <w:p w14:paraId="0962858B" w14:textId="22E6B214" w:rsidR="00ED0937" w:rsidRPr="00143AC9" w:rsidRDefault="00CC3FA3" w:rsidP="002838B1">
            <w:pPr>
              <w:rPr>
                <w:rFonts w:cs="Times New Roman"/>
                <w:lang w:val="en-US"/>
              </w:rPr>
            </w:pPr>
            <w:r w:rsidRPr="00143AC9">
              <w:rPr>
                <w:rFonts w:cs="Times New Roman"/>
                <w:lang w:val="en-US"/>
              </w:rPr>
              <w:t>4.4</w:t>
            </w:r>
          </w:p>
        </w:tc>
        <w:tc>
          <w:tcPr>
            <w:tcW w:w="7637" w:type="dxa"/>
            <w:vAlign w:val="center"/>
          </w:tcPr>
          <w:p w14:paraId="23A9E87C" w14:textId="5EAF87B3" w:rsidR="00ED0937" w:rsidRPr="00143AC9" w:rsidRDefault="00CC3FA3" w:rsidP="002838B1">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143AC9">
              <w:rPr>
                <w:rFonts w:cs="Times New Roman"/>
                <w:lang w:val="en-US"/>
              </w:rPr>
              <w:t xml:space="preserve">Updated this section </w:t>
            </w:r>
            <w:r w:rsidR="00957C9C" w:rsidRPr="00143AC9">
              <w:rPr>
                <w:rFonts w:cs="Times New Roman"/>
                <w:lang w:val="en-US"/>
              </w:rPr>
              <w:t>to include the</w:t>
            </w:r>
            <w:r w:rsidRPr="00143AC9">
              <w:rPr>
                <w:rFonts w:cs="Times New Roman"/>
                <w:lang w:val="en-US"/>
              </w:rPr>
              <w:t xml:space="preserve"> pooled safety data of 1142 patients treated with TAGRISSO </w:t>
            </w:r>
          </w:p>
        </w:tc>
      </w:tr>
      <w:tr w:rsidR="00C87BA6" w:rsidRPr="00143AC9" w14:paraId="3B8542E0" w14:textId="77777777" w:rsidTr="00A7740A">
        <w:tc>
          <w:tcPr>
            <w:cnfStyle w:val="001000000000" w:firstRow="0" w:lastRow="0" w:firstColumn="1" w:lastColumn="0" w:oddVBand="0" w:evenVBand="0" w:oddHBand="0" w:evenHBand="0" w:firstRowFirstColumn="0" w:firstRowLastColumn="0" w:lastRowFirstColumn="0" w:lastRowLastColumn="0"/>
            <w:tcW w:w="1369" w:type="dxa"/>
            <w:vAlign w:val="center"/>
          </w:tcPr>
          <w:p w14:paraId="18F8A78B" w14:textId="550BD63E" w:rsidR="00C87BA6" w:rsidRPr="00143AC9" w:rsidRDefault="00CC3FA3" w:rsidP="002838B1">
            <w:pPr>
              <w:rPr>
                <w:rFonts w:cs="Times New Roman"/>
                <w:lang w:val="en-US"/>
              </w:rPr>
            </w:pPr>
            <w:r w:rsidRPr="00143AC9">
              <w:rPr>
                <w:rFonts w:cs="Times New Roman"/>
                <w:lang w:val="en-US"/>
              </w:rPr>
              <w:t>4.8</w:t>
            </w:r>
          </w:p>
        </w:tc>
        <w:tc>
          <w:tcPr>
            <w:tcW w:w="7637" w:type="dxa"/>
            <w:vAlign w:val="center"/>
          </w:tcPr>
          <w:p w14:paraId="3DD1F35C" w14:textId="74A90202" w:rsidR="00CC3FA3" w:rsidRPr="00143AC9" w:rsidRDefault="00CC3FA3" w:rsidP="00CC3FA3">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143AC9">
              <w:rPr>
                <w:rFonts w:cs="Times New Roman"/>
                <w:lang w:val="en-US"/>
              </w:rPr>
              <w:t>Updated this section from:</w:t>
            </w:r>
          </w:p>
          <w:p w14:paraId="3A71DF2C" w14:textId="77777777" w:rsidR="00CC3FA3" w:rsidRPr="00143AC9" w:rsidRDefault="00CC3FA3" w:rsidP="00CC3FA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imes New Roman"/>
                <w:lang w:val="en-US"/>
              </w:rPr>
            </w:pPr>
            <w:r w:rsidRPr="00143AC9">
              <w:rPr>
                <w:rFonts w:cs="Times New Roman"/>
                <w:lang w:val="en-US"/>
              </w:rPr>
              <w:t>Safety data from FLAURA</w:t>
            </w:r>
          </w:p>
          <w:p w14:paraId="16404AE0" w14:textId="6F99429D" w:rsidR="00CC3FA3" w:rsidRPr="00143AC9" w:rsidRDefault="00CC3FA3" w:rsidP="00CC3FA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imes New Roman"/>
                <w:lang w:val="en-US"/>
              </w:rPr>
            </w:pPr>
            <w:r w:rsidRPr="00143AC9">
              <w:rPr>
                <w:rFonts w:cs="Times New Roman"/>
                <w:lang w:val="en-US"/>
              </w:rPr>
              <w:t xml:space="preserve">a pooled safety data of 1142 patients treated with TAGRISSO </w:t>
            </w:r>
          </w:p>
        </w:tc>
      </w:tr>
      <w:tr w:rsidR="00A7740A" w:rsidRPr="00143AC9" w14:paraId="24015AC3" w14:textId="77777777" w:rsidTr="00A7740A">
        <w:tc>
          <w:tcPr>
            <w:cnfStyle w:val="001000000000" w:firstRow="0" w:lastRow="0" w:firstColumn="1" w:lastColumn="0" w:oddVBand="0" w:evenVBand="0" w:oddHBand="0" w:evenHBand="0" w:firstRowFirstColumn="0" w:firstRowLastColumn="0" w:lastRowFirstColumn="0" w:lastRowLastColumn="0"/>
            <w:tcW w:w="1369" w:type="dxa"/>
            <w:vAlign w:val="center"/>
          </w:tcPr>
          <w:p w14:paraId="2A7AA2E1" w14:textId="6799C956" w:rsidR="00A7740A" w:rsidRPr="00143AC9" w:rsidRDefault="00A7740A" w:rsidP="00A7740A">
            <w:pPr>
              <w:rPr>
                <w:rFonts w:cs="Times New Roman"/>
                <w:lang w:val="en-US"/>
              </w:rPr>
            </w:pPr>
            <w:r w:rsidRPr="00143AC9">
              <w:rPr>
                <w:rFonts w:cs="Times New Roman"/>
                <w:lang w:val="en-US"/>
              </w:rPr>
              <w:t>5.1</w:t>
            </w:r>
          </w:p>
        </w:tc>
        <w:tc>
          <w:tcPr>
            <w:tcW w:w="7637" w:type="dxa"/>
            <w:vAlign w:val="center"/>
          </w:tcPr>
          <w:p w14:paraId="3DC75B2B" w14:textId="767714E6" w:rsidR="00A7740A" w:rsidRPr="00143AC9" w:rsidRDefault="00A7740A" w:rsidP="00A7740A">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143AC9">
              <w:rPr>
                <w:rFonts w:cs="Times New Roman"/>
                <w:lang w:val="en-US"/>
              </w:rPr>
              <w:t>Updated this section with clinical data from FLAURA</w:t>
            </w:r>
          </w:p>
        </w:tc>
      </w:tr>
      <w:tr w:rsidR="00A7740A" w:rsidRPr="007402E8" w14:paraId="705D28EF" w14:textId="77777777" w:rsidTr="00A7740A">
        <w:tc>
          <w:tcPr>
            <w:cnfStyle w:val="001000000000" w:firstRow="0" w:lastRow="0" w:firstColumn="1" w:lastColumn="0" w:oddVBand="0" w:evenVBand="0" w:oddHBand="0" w:evenHBand="0" w:firstRowFirstColumn="0" w:firstRowLastColumn="0" w:lastRowFirstColumn="0" w:lastRowLastColumn="0"/>
            <w:tcW w:w="1369" w:type="dxa"/>
            <w:vAlign w:val="center"/>
          </w:tcPr>
          <w:p w14:paraId="3649FF31" w14:textId="5AE83B43" w:rsidR="00A7740A" w:rsidRPr="00143AC9" w:rsidRDefault="00A7740A" w:rsidP="00A7740A">
            <w:pPr>
              <w:rPr>
                <w:rFonts w:cs="Times New Roman"/>
                <w:lang w:val="en-US"/>
              </w:rPr>
            </w:pPr>
            <w:r w:rsidRPr="00143AC9">
              <w:rPr>
                <w:rFonts w:cs="Times New Roman"/>
                <w:lang w:val="en-US"/>
              </w:rPr>
              <w:t>5.2</w:t>
            </w:r>
          </w:p>
        </w:tc>
        <w:tc>
          <w:tcPr>
            <w:tcW w:w="7637" w:type="dxa"/>
            <w:vAlign w:val="center"/>
          </w:tcPr>
          <w:p w14:paraId="4FCFC248" w14:textId="48773954" w:rsidR="00A7740A" w:rsidRPr="00143AC9" w:rsidRDefault="00A7740A" w:rsidP="00A7740A">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143AC9">
              <w:rPr>
                <w:rFonts w:cs="Times New Roman"/>
                <w:lang w:val="en-US"/>
              </w:rPr>
              <w:t>Updated this section with data from FLAURA</w:t>
            </w:r>
          </w:p>
        </w:tc>
      </w:tr>
    </w:tbl>
    <w:p w14:paraId="25165CBF" w14:textId="77777777" w:rsidR="001A3992" w:rsidRPr="007402E8" w:rsidRDefault="001A3992" w:rsidP="001A3992">
      <w:pPr>
        <w:spacing w:after="120"/>
        <w:rPr>
          <w:rFonts w:cs="Times New Roman"/>
          <w:lang w:val="en-US"/>
        </w:rPr>
      </w:pPr>
    </w:p>
    <w:sectPr w:rsidR="001A3992" w:rsidRPr="007402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B56AE" w14:textId="77777777" w:rsidR="00F12DD6" w:rsidRDefault="00F12DD6" w:rsidP="001A3992">
      <w:pPr>
        <w:spacing w:after="0" w:line="240" w:lineRule="auto"/>
      </w:pPr>
      <w:r>
        <w:separator/>
      </w:r>
    </w:p>
  </w:endnote>
  <w:endnote w:type="continuationSeparator" w:id="0">
    <w:p w14:paraId="6C269C77" w14:textId="77777777" w:rsidR="00F12DD6" w:rsidRDefault="00F12DD6"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F3A7" w14:textId="77777777" w:rsidR="00EE35A2" w:rsidRDefault="00EE3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298BE5B4" w14:textId="22EDD8E9" w:rsidR="00F12DD6" w:rsidRPr="00B8074A" w:rsidRDefault="00F12DD6" w:rsidP="002838B1">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311012">
          <w:rPr>
            <w:noProof/>
            <w:sz w:val="20"/>
          </w:rPr>
          <w:t>1</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4B718" w14:textId="77777777" w:rsidR="00EE35A2" w:rsidRDefault="00EE3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6181D" w14:textId="77777777" w:rsidR="00F12DD6" w:rsidRDefault="00F12DD6" w:rsidP="001A3992">
      <w:pPr>
        <w:spacing w:after="0" w:line="240" w:lineRule="auto"/>
      </w:pPr>
      <w:r>
        <w:separator/>
      </w:r>
    </w:p>
  </w:footnote>
  <w:footnote w:type="continuationSeparator" w:id="0">
    <w:p w14:paraId="202F44FA" w14:textId="77777777" w:rsidR="00F12DD6" w:rsidRDefault="00F12DD6"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AE19" w14:textId="77777777" w:rsidR="00EE35A2" w:rsidRDefault="00EE3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EE35A2" w:rsidRPr="001C184C" w14:paraId="42C5FD52" w14:textId="77777777" w:rsidTr="00394346">
      <w:tc>
        <w:tcPr>
          <w:tcW w:w="8720" w:type="dxa"/>
          <w:shd w:val="clear" w:color="auto" w:fill="E4F2E0"/>
        </w:tcPr>
        <w:p w14:paraId="72DA7BA2" w14:textId="77777777" w:rsidR="00EE35A2" w:rsidRPr="001C184C" w:rsidRDefault="00EE35A2" w:rsidP="00EE35A2">
          <w:pPr>
            <w:pStyle w:val="Footer"/>
            <w:rPr>
              <w:b/>
              <w:sz w:val="18"/>
              <w:szCs w:val="18"/>
            </w:rPr>
          </w:pPr>
          <w:r w:rsidRPr="001C184C">
            <w:rPr>
              <w:b/>
              <w:sz w:val="18"/>
              <w:szCs w:val="18"/>
            </w:rPr>
            <w:t xml:space="preserve">Attachment 1: Product information </w:t>
          </w:r>
          <w:r w:rsidRPr="00D809C2">
            <w:rPr>
              <w:b/>
              <w:sz w:val="18"/>
              <w:szCs w:val="18"/>
            </w:rPr>
            <w:t>AusPAR TAGRISSO - osimertinib - AstraZeneca Pty Ltd PM-2017-04579-1-4 FINAL 22 August 2019</w:t>
          </w:r>
          <w:r w:rsidRPr="001C184C">
            <w:rPr>
              <w:b/>
              <w:sz w:val="18"/>
              <w:szCs w:val="18"/>
            </w:rPr>
            <w:t>. This Product information was approved at the time this AusPAR was published.</w:t>
          </w:r>
        </w:p>
      </w:tc>
    </w:tr>
  </w:tbl>
  <w:p w14:paraId="3E858744" w14:textId="77777777" w:rsidR="00EE35A2" w:rsidRDefault="00EE35A2" w:rsidP="00D005AB">
    <w:pPr>
      <w:spacing w:after="60" w:line="240" w:lineRule="auto"/>
      <w:rPr>
        <w:rFonts w:eastAsia="Times New Roman" w:cs="Times New Roman"/>
        <w:sz w:val="16"/>
        <w:szCs w:val="20"/>
        <w:lang w:val="en-GB"/>
      </w:rPr>
    </w:pPr>
  </w:p>
  <w:p w14:paraId="79A1786F" w14:textId="0CDE12D7" w:rsidR="00F12DD6" w:rsidRPr="00DC2E91" w:rsidRDefault="00F12DD6" w:rsidP="00D005AB">
    <w:pPr>
      <w:spacing w:after="60" w:line="240" w:lineRule="auto"/>
      <w:rPr>
        <w:rFonts w:eastAsia="Times New Roman" w:cs="Times New Roman"/>
        <w:sz w:val="16"/>
        <w:szCs w:val="20"/>
        <w:lang w:val="en-GB"/>
      </w:rPr>
    </w:pPr>
    <w:r w:rsidRPr="00DC2E91">
      <w:rPr>
        <w:rFonts w:eastAsia="Times New Roman" w:cs="Times New Roman"/>
        <w:sz w:val="16"/>
        <w:szCs w:val="20"/>
        <w:lang w:val="en-GB"/>
      </w:rPr>
      <w:t>TAGRISSO (osimertinib mesilate) Product Information</w:t>
    </w:r>
  </w:p>
  <w:p w14:paraId="14F78555" w14:textId="77932FA2" w:rsidR="00F12DD6" w:rsidRPr="00D005AB" w:rsidRDefault="00F12DD6" w:rsidP="00503CE0">
    <w:pPr>
      <w:pStyle w:val="Header"/>
    </w:pPr>
    <w:r w:rsidRPr="00503CE0">
      <w:rPr>
        <w:rFonts w:eastAsia="Times New Roman" w:cs="Times New Roman"/>
        <w:b w:val="0"/>
        <w:sz w:val="16"/>
        <w:szCs w:val="20"/>
        <w:lang w:val="en-GB"/>
      </w:rPr>
      <w:t>Doc ID-003300940</w:t>
    </w:r>
    <w:r>
      <w:rPr>
        <w:rFonts w:eastAsia="Times New Roman" w:cs="Times New Roman"/>
        <w:b w:val="0"/>
        <w:sz w:val="16"/>
        <w:szCs w:val="20"/>
        <w:lang w:val="en-GB"/>
      </w:rPr>
      <w:t xml:space="preserve"> v5.0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C1B8A" w14:textId="77777777" w:rsidR="00EE35A2" w:rsidRDefault="00EE3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F36E7"/>
    <w:multiLevelType w:val="hybridMultilevel"/>
    <w:tmpl w:val="06D0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25C57"/>
    <w:multiLevelType w:val="hybridMultilevel"/>
    <w:tmpl w:val="651A1A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543424"/>
    <w:multiLevelType w:val="hybridMultilevel"/>
    <w:tmpl w:val="651A1A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DB4DD1"/>
    <w:multiLevelType w:val="hybridMultilevel"/>
    <w:tmpl w:val="078831C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B14C27"/>
    <w:multiLevelType w:val="hybridMultilevel"/>
    <w:tmpl w:val="C6B22BA8"/>
    <w:lvl w:ilvl="0" w:tplc="11A67890">
      <w:start w:val="2"/>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E74675"/>
    <w:multiLevelType w:val="hybridMultilevel"/>
    <w:tmpl w:val="DB3406E4"/>
    <w:lvl w:ilvl="0" w:tplc="3716BF3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7"/>
  </w:num>
  <w:num w:numId="5">
    <w:abstractNumId w:val="15"/>
  </w:num>
  <w:num w:numId="6">
    <w:abstractNumId w:val="12"/>
  </w:num>
  <w:num w:numId="7">
    <w:abstractNumId w:val="10"/>
  </w:num>
  <w:num w:numId="8">
    <w:abstractNumId w:val="13"/>
  </w:num>
  <w:num w:numId="9">
    <w:abstractNumId w:val="5"/>
  </w:num>
  <w:num w:numId="10">
    <w:abstractNumId w:val="9"/>
  </w:num>
  <w:num w:numId="11">
    <w:abstractNumId w:val="6"/>
  </w:num>
  <w:num w:numId="12">
    <w:abstractNumId w:val="1"/>
  </w:num>
  <w:num w:numId="13">
    <w:abstractNumId w:val="1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E5"/>
    <w:rsid w:val="00007176"/>
    <w:rsid w:val="00007880"/>
    <w:rsid w:val="000110B5"/>
    <w:rsid w:val="00011371"/>
    <w:rsid w:val="0002047D"/>
    <w:rsid w:val="00020CCD"/>
    <w:rsid w:val="00024E7A"/>
    <w:rsid w:val="00026D92"/>
    <w:rsid w:val="00034E2D"/>
    <w:rsid w:val="00036BF7"/>
    <w:rsid w:val="00043A89"/>
    <w:rsid w:val="000453DF"/>
    <w:rsid w:val="00050EDA"/>
    <w:rsid w:val="000565DE"/>
    <w:rsid w:val="000569DB"/>
    <w:rsid w:val="00057EBB"/>
    <w:rsid w:val="000629ED"/>
    <w:rsid w:val="000777C3"/>
    <w:rsid w:val="00077932"/>
    <w:rsid w:val="000A582C"/>
    <w:rsid w:val="000B5299"/>
    <w:rsid w:val="000C0272"/>
    <w:rsid w:val="000C05D3"/>
    <w:rsid w:val="000C2975"/>
    <w:rsid w:val="000C6E40"/>
    <w:rsid w:val="000D3CF1"/>
    <w:rsid w:val="000D4D27"/>
    <w:rsid w:val="000E12C5"/>
    <w:rsid w:val="000E1956"/>
    <w:rsid w:val="000F2646"/>
    <w:rsid w:val="000F67C5"/>
    <w:rsid w:val="00100CB2"/>
    <w:rsid w:val="00102D5D"/>
    <w:rsid w:val="00103936"/>
    <w:rsid w:val="001066CA"/>
    <w:rsid w:val="0011644A"/>
    <w:rsid w:val="0011752B"/>
    <w:rsid w:val="0012188B"/>
    <w:rsid w:val="00134B8E"/>
    <w:rsid w:val="00134C60"/>
    <w:rsid w:val="00135D38"/>
    <w:rsid w:val="00137521"/>
    <w:rsid w:val="00140536"/>
    <w:rsid w:val="00141733"/>
    <w:rsid w:val="00143AC9"/>
    <w:rsid w:val="00143E4C"/>
    <w:rsid w:val="0014551B"/>
    <w:rsid w:val="0015318B"/>
    <w:rsid w:val="0015367F"/>
    <w:rsid w:val="0016155B"/>
    <w:rsid w:val="00166285"/>
    <w:rsid w:val="00173CB2"/>
    <w:rsid w:val="00177B33"/>
    <w:rsid w:val="00180ADD"/>
    <w:rsid w:val="00184ECA"/>
    <w:rsid w:val="0018565D"/>
    <w:rsid w:val="00186921"/>
    <w:rsid w:val="00195618"/>
    <w:rsid w:val="00195705"/>
    <w:rsid w:val="00196190"/>
    <w:rsid w:val="001A3992"/>
    <w:rsid w:val="001B4043"/>
    <w:rsid w:val="001B4C78"/>
    <w:rsid w:val="001B4FA6"/>
    <w:rsid w:val="001B7AD2"/>
    <w:rsid w:val="001C501B"/>
    <w:rsid w:val="001C525F"/>
    <w:rsid w:val="001C7107"/>
    <w:rsid w:val="001D4A7B"/>
    <w:rsid w:val="001E2BA7"/>
    <w:rsid w:val="001E3467"/>
    <w:rsid w:val="001E40B5"/>
    <w:rsid w:val="001E5216"/>
    <w:rsid w:val="001E6A79"/>
    <w:rsid w:val="001F07E9"/>
    <w:rsid w:val="001F1645"/>
    <w:rsid w:val="001F2BE6"/>
    <w:rsid w:val="001F5A39"/>
    <w:rsid w:val="001F67A9"/>
    <w:rsid w:val="002005DE"/>
    <w:rsid w:val="002028F3"/>
    <w:rsid w:val="0020622B"/>
    <w:rsid w:val="0020788A"/>
    <w:rsid w:val="0021021D"/>
    <w:rsid w:val="00212302"/>
    <w:rsid w:val="00213644"/>
    <w:rsid w:val="0021762F"/>
    <w:rsid w:val="00223775"/>
    <w:rsid w:val="0022550A"/>
    <w:rsid w:val="002302D1"/>
    <w:rsid w:val="002309CC"/>
    <w:rsid w:val="002328D4"/>
    <w:rsid w:val="00237596"/>
    <w:rsid w:val="0024067B"/>
    <w:rsid w:val="002436B9"/>
    <w:rsid w:val="0024512F"/>
    <w:rsid w:val="002523CB"/>
    <w:rsid w:val="00260311"/>
    <w:rsid w:val="002606F0"/>
    <w:rsid w:val="002607A8"/>
    <w:rsid w:val="0026284D"/>
    <w:rsid w:val="00265154"/>
    <w:rsid w:val="00274D21"/>
    <w:rsid w:val="002838B1"/>
    <w:rsid w:val="00293CE0"/>
    <w:rsid w:val="002963B1"/>
    <w:rsid w:val="002A4843"/>
    <w:rsid w:val="002A5292"/>
    <w:rsid w:val="002A621E"/>
    <w:rsid w:val="002B0FA5"/>
    <w:rsid w:val="002B5170"/>
    <w:rsid w:val="002B7514"/>
    <w:rsid w:val="002C20B9"/>
    <w:rsid w:val="002C6C18"/>
    <w:rsid w:val="002D21C3"/>
    <w:rsid w:val="002D66BA"/>
    <w:rsid w:val="002D7E2E"/>
    <w:rsid w:val="002E277D"/>
    <w:rsid w:val="002F1189"/>
    <w:rsid w:val="002F4E58"/>
    <w:rsid w:val="002F6F33"/>
    <w:rsid w:val="0030065F"/>
    <w:rsid w:val="0030385B"/>
    <w:rsid w:val="0030404A"/>
    <w:rsid w:val="00310855"/>
    <w:rsid w:val="00311012"/>
    <w:rsid w:val="00314034"/>
    <w:rsid w:val="00315B83"/>
    <w:rsid w:val="003172FF"/>
    <w:rsid w:val="00321224"/>
    <w:rsid w:val="00326429"/>
    <w:rsid w:val="003310EF"/>
    <w:rsid w:val="00332747"/>
    <w:rsid w:val="0033288E"/>
    <w:rsid w:val="00332BDE"/>
    <w:rsid w:val="00334E92"/>
    <w:rsid w:val="00335283"/>
    <w:rsid w:val="00336E4C"/>
    <w:rsid w:val="00341032"/>
    <w:rsid w:val="00344695"/>
    <w:rsid w:val="00346B57"/>
    <w:rsid w:val="003518A3"/>
    <w:rsid w:val="00360FBA"/>
    <w:rsid w:val="00367AD2"/>
    <w:rsid w:val="00372F28"/>
    <w:rsid w:val="00373793"/>
    <w:rsid w:val="0037504B"/>
    <w:rsid w:val="00376257"/>
    <w:rsid w:val="003848F9"/>
    <w:rsid w:val="003959C9"/>
    <w:rsid w:val="00396D7D"/>
    <w:rsid w:val="0039716A"/>
    <w:rsid w:val="003A2EE9"/>
    <w:rsid w:val="003B680F"/>
    <w:rsid w:val="003B6EC6"/>
    <w:rsid w:val="003C19DD"/>
    <w:rsid w:val="003C1B40"/>
    <w:rsid w:val="003E07BC"/>
    <w:rsid w:val="003F4C61"/>
    <w:rsid w:val="0040073F"/>
    <w:rsid w:val="004032BD"/>
    <w:rsid w:val="00404F8C"/>
    <w:rsid w:val="00410802"/>
    <w:rsid w:val="00414503"/>
    <w:rsid w:val="00431ACD"/>
    <w:rsid w:val="0044308B"/>
    <w:rsid w:val="004450AE"/>
    <w:rsid w:val="00455E3C"/>
    <w:rsid w:val="0045667F"/>
    <w:rsid w:val="004700B4"/>
    <w:rsid w:val="00470C6C"/>
    <w:rsid w:val="00471117"/>
    <w:rsid w:val="00471DEF"/>
    <w:rsid w:val="00472C88"/>
    <w:rsid w:val="00486F8F"/>
    <w:rsid w:val="00487719"/>
    <w:rsid w:val="00490C99"/>
    <w:rsid w:val="004942D6"/>
    <w:rsid w:val="004A0471"/>
    <w:rsid w:val="004A250C"/>
    <w:rsid w:val="004A494C"/>
    <w:rsid w:val="004A753F"/>
    <w:rsid w:val="004B4278"/>
    <w:rsid w:val="004B4D7F"/>
    <w:rsid w:val="004B6036"/>
    <w:rsid w:val="004C048D"/>
    <w:rsid w:val="004D21EB"/>
    <w:rsid w:val="004D2A00"/>
    <w:rsid w:val="004D3EA9"/>
    <w:rsid w:val="004D637F"/>
    <w:rsid w:val="004D6882"/>
    <w:rsid w:val="004E0A7F"/>
    <w:rsid w:val="004E0C3A"/>
    <w:rsid w:val="004E41C2"/>
    <w:rsid w:val="004E4686"/>
    <w:rsid w:val="004E46FA"/>
    <w:rsid w:val="004E4F5E"/>
    <w:rsid w:val="005033BB"/>
    <w:rsid w:val="00503CE0"/>
    <w:rsid w:val="00506C7E"/>
    <w:rsid w:val="0050725D"/>
    <w:rsid w:val="00511186"/>
    <w:rsid w:val="00512BA0"/>
    <w:rsid w:val="0051663C"/>
    <w:rsid w:val="00521DCB"/>
    <w:rsid w:val="00525A4A"/>
    <w:rsid w:val="00525E51"/>
    <w:rsid w:val="00532F10"/>
    <w:rsid w:val="00533C62"/>
    <w:rsid w:val="00540DE4"/>
    <w:rsid w:val="005433D7"/>
    <w:rsid w:val="00552B82"/>
    <w:rsid w:val="00553A1C"/>
    <w:rsid w:val="00557868"/>
    <w:rsid w:val="00557C3E"/>
    <w:rsid w:val="005629F0"/>
    <w:rsid w:val="00563087"/>
    <w:rsid w:val="00566933"/>
    <w:rsid w:val="0056767F"/>
    <w:rsid w:val="005803B3"/>
    <w:rsid w:val="00585E2A"/>
    <w:rsid w:val="0058761A"/>
    <w:rsid w:val="005929D0"/>
    <w:rsid w:val="00593127"/>
    <w:rsid w:val="005A379A"/>
    <w:rsid w:val="005A6CA5"/>
    <w:rsid w:val="005A7B05"/>
    <w:rsid w:val="005B0023"/>
    <w:rsid w:val="005B7433"/>
    <w:rsid w:val="005C3F0E"/>
    <w:rsid w:val="005C43EB"/>
    <w:rsid w:val="005C7699"/>
    <w:rsid w:val="005D12CE"/>
    <w:rsid w:val="005D3BE1"/>
    <w:rsid w:val="005D5C78"/>
    <w:rsid w:val="005E5287"/>
    <w:rsid w:val="00607252"/>
    <w:rsid w:val="00615C25"/>
    <w:rsid w:val="006228B3"/>
    <w:rsid w:val="0062362C"/>
    <w:rsid w:val="0062568A"/>
    <w:rsid w:val="0064351A"/>
    <w:rsid w:val="00653CA7"/>
    <w:rsid w:val="00662639"/>
    <w:rsid w:val="0067087D"/>
    <w:rsid w:val="0067250B"/>
    <w:rsid w:val="00682680"/>
    <w:rsid w:val="00685440"/>
    <w:rsid w:val="00685AD7"/>
    <w:rsid w:val="00687440"/>
    <w:rsid w:val="0069192D"/>
    <w:rsid w:val="00691CFA"/>
    <w:rsid w:val="00694DBA"/>
    <w:rsid w:val="006B0BFD"/>
    <w:rsid w:val="006B1C40"/>
    <w:rsid w:val="006C40C5"/>
    <w:rsid w:val="006D542C"/>
    <w:rsid w:val="006D7917"/>
    <w:rsid w:val="006E067D"/>
    <w:rsid w:val="006E2F57"/>
    <w:rsid w:val="006E5B00"/>
    <w:rsid w:val="006E6A55"/>
    <w:rsid w:val="006F70FC"/>
    <w:rsid w:val="006F71F9"/>
    <w:rsid w:val="007007E0"/>
    <w:rsid w:val="00701B65"/>
    <w:rsid w:val="007039EF"/>
    <w:rsid w:val="00713981"/>
    <w:rsid w:val="00724372"/>
    <w:rsid w:val="00727575"/>
    <w:rsid w:val="0072768B"/>
    <w:rsid w:val="0073066B"/>
    <w:rsid w:val="0073253C"/>
    <w:rsid w:val="00734E8E"/>
    <w:rsid w:val="007402E8"/>
    <w:rsid w:val="00745184"/>
    <w:rsid w:val="0074720D"/>
    <w:rsid w:val="00751D5D"/>
    <w:rsid w:val="00762E40"/>
    <w:rsid w:val="00771557"/>
    <w:rsid w:val="00771DF8"/>
    <w:rsid w:val="00772D29"/>
    <w:rsid w:val="00776142"/>
    <w:rsid w:val="007763CB"/>
    <w:rsid w:val="00784B80"/>
    <w:rsid w:val="00785709"/>
    <w:rsid w:val="007955B2"/>
    <w:rsid w:val="007978A2"/>
    <w:rsid w:val="00797E9A"/>
    <w:rsid w:val="007A1D22"/>
    <w:rsid w:val="007A7B88"/>
    <w:rsid w:val="007B1833"/>
    <w:rsid w:val="007C695B"/>
    <w:rsid w:val="007C69A0"/>
    <w:rsid w:val="007C7172"/>
    <w:rsid w:val="007D2494"/>
    <w:rsid w:val="007D2CE9"/>
    <w:rsid w:val="007D3B28"/>
    <w:rsid w:val="007D5737"/>
    <w:rsid w:val="007D633D"/>
    <w:rsid w:val="007E321E"/>
    <w:rsid w:val="007E4853"/>
    <w:rsid w:val="007E4D67"/>
    <w:rsid w:val="007E7E94"/>
    <w:rsid w:val="007F4DB1"/>
    <w:rsid w:val="007F5866"/>
    <w:rsid w:val="007F5CD2"/>
    <w:rsid w:val="00806E12"/>
    <w:rsid w:val="0081060E"/>
    <w:rsid w:val="00812ABE"/>
    <w:rsid w:val="00821C9B"/>
    <w:rsid w:val="00821DE3"/>
    <w:rsid w:val="008277EF"/>
    <w:rsid w:val="008437FD"/>
    <w:rsid w:val="008477AC"/>
    <w:rsid w:val="008637BA"/>
    <w:rsid w:val="00865A4D"/>
    <w:rsid w:val="00867664"/>
    <w:rsid w:val="00867AF2"/>
    <w:rsid w:val="00871628"/>
    <w:rsid w:val="00871636"/>
    <w:rsid w:val="0087216D"/>
    <w:rsid w:val="00872A7F"/>
    <w:rsid w:val="00873B87"/>
    <w:rsid w:val="00876C45"/>
    <w:rsid w:val="00880B9A"/>
    <w:rsid w:val="00885063"/>
    <w:rsid w:val="00895E99"/>
    <w:rsid w:val="008A148A"/>
    <w:rsid w:val="008A7282"/>
    <w:rsid w:val="008B366F"/>
    <w:rsid w:val="008B4C51"/>
    <w:rsid w:val="008B5EFB"/>
    <w:rsid w:val="008C13C1"/>
    <w:rsid w:val="008C3AB2"/>
    <w:rsid w:val="008C6216"/>
    <w:rsid w:val="008C68B1"/>
    <w:rsid w:val="008D4C3F"/>
    <w:rsid w:val="008E007A"/>
    <w:rsid w:val="008E20F5"/>
    <w:rsid w:val="008E4890"/>
    <w:rsid w:val="008F0DC4"/>
    <w:rsid w:val="008F14D2"/>
    <w:rsid w:val="008F5D1A"/>
    <w:rsid w:val="00910FC9"/>
    <w:rsid w:val="00923EB7"/>
    <w:rsid w:val="009240FB"/>
    <w:rsid w:val="009248C3"/>
    <w:rsid w:val="009258A4"/>
    <w:rsid w:val="00925F3A"/>
    <w:rsid w:val="00926E70"/>
    <w:rsid w:val="0093090B"/>
    <w:rsid w:val="009457AA"/>
    <w:rsid w:val="00945D55"/>
    <w:rsid w:val="009533E8"/>
    <w:rsid w:val="0095727B"/>
    <w:rsid w:val="00957C9C"/>
    <w:rsid w:val="00957CF3"/>
    <w:rsid w:val="00960CD5"/>
    <w:rsid w:val="00975634"/>
    <w:rsid w:val="00987F49"/>
    <w:rsid w:val="00990067"/>
    <w:rsid w:val="009903E6"/>
    <w:rsid w:val="00995EE0"/>
    <w:rsid w:val="009A2652"/>
    <w:rsid w:val="009A2A08"/>
    <w:rsid w:val="009A4773"/>
    <w:rsid w:val="009B3848"/>
    <w:rsid w:val="009B7DA3"/>
    <w:rsid w:val="009C45F1"/>
    <w:rsid w:val="009D18C5"/>
    <w:rsid w:val="009E00F9"/>
    <w:rsid w:val="009F724F"/>
    <w:rsid w:val="009F7D32"/>
    <w:rsid w:val="00A00989"/>
    <w:rsid w:val="00A01791"/>
    <w:rsid w:val="00A02D6E"/>
    <w:rsid w:val="00A0393C"/>
    <w:rsid w:val="00A062FC"/>
    <w:rsid w:val="00A06B8F"/>
    <w:rsid w:val="00A06BB5"/>
    <w:rsid w:val="00A1359A"/>
    <w:rsid w:val="00A13D01"/>
    <w:rsid w:val="00A13D09"/>
    <w:rsid w:val="00A17D92"/>
    <w:rsid w:val="00A23309"/>
    <w:rsid w:val="00A25A63"/>
    <w:rsid w:val="00A25FAA"/>
    <w:rsid w:val="00A42A35"/>
    <w:rsid w:val="00A52F8B"/>
    <w:rsid w:val="00A65A2F"/>
    <w:rsid w:val="00A76264"/>
    <w:rsid w:val="00A7740A"/>
    <w:rsid w:val="00A81EF7"/>
    <w:rsid w:val="00A83F1A"/>
    <w:rsid w:val="00A84033"/>
    <w:rsid w:val="00A92911"/>
    <w:rsid w:val="00A9485C"/>
    <w:rsid w:val="00AA02AB"/>
    <w:rsid w:val="00AA1C63"/>
    <w:rsid w:val="00AA7D74"/>
    <w:rsid w:val="00AB08D4"/>
    <w:rsid w:val="00AB4BD0"/>
    <w:rsid w:val="00AC5181"/>
    <w:rsid w:val="00AC59DE"/>
    <w:rsid w:val="00AC6100"/>
    <w:rsid w:val="00AC7C2E"/>
    <w:rsid w:val="00AD11A4"/>
    <w:rsid w:val="00AD383D"/>
    <w:rsid w:val="00AE429D"/>
    <w:rsid w:val="00AE77A9"/>
    <w:rsid w:val="00AF029F"/>
    <w:rsid w:val="00AF26DD"/>
    <w:rsid w:val="00AF4B7A"/>
    <w:rsid w:val="00AF6566"/>
    <w:rsid w:val="00AF67C8"/>
    <w:rsid w:val="00B00D1C"/>
    <w:rsid w:val="00B07AE7"/>
    <w:rsid w:val="00B15493"/>
    <w:rsid w:val="00B178F9"/>
    <w:rsid w:val="00B2038F"/>
    <w:rsid w:val="00B20B67"/>
    <w:rsid w:val="00B30A48"/>
    <w:rsid w:val="00B363A4"/>
    <w:rsid w:val="00B408F1"/>
    <w:rsid w:val="00B44EAE"/>
    <w:rsid w:val="00B471F5"/>
    <w:rsid w:val="00B57CA8"/>
    <w:rsid w:val="00B636A2"/>
    <w:rsid w:val="00B672F7"/>
    <w:rsid w:val="00B70855"/>
    <w:rsid w:val="00B722DF"/>
    <w:rsid w:val="00B7255B"/>
    <w:rsid w:val="00B77A45"/>
    <w:rsid w:val="00B803FE"/>
    <w:rsid w:val="00B827E2"/>
    <w:rsid w:val="00B86DFB"/>
    <w:rsid w:val="00B95675"/>
    <w:rsid w:val="00BA0A7A"/>
    <w:rsid w:val="00BA22FD"/>
    <w:rsid w:val="00BA556E"/>
    <w:rsid w:val="00BA5BA0"/>
    <w:rsid w:val="00BA6B4D"/>
    <w:rsid w:val="00BB69FE"/>
    <w:rsid w:val="00BC47F6"/>
    <w:rsid w:val="00BD271E"/>
    <w:rsid w:val="00BD4EB4"/>
    <w:rsid w:val="00BE1C2E"/>
    <w:rsid w:val="00BF0B77"/>
    <w:rsid w:val="00BF1C2E"/>
    <w:rsid w:val="00BF3C54"/>
    <w:rsid w:val="00C00B29"/>
    <w:rsid w:val="00C018D0"/>
    <w:rsid w:val="00C041E4"/>
    <w:rsid w:val="00C04E59"/>
    <w:rsid w:val="00C0546D"/>
    <w:rsid w:val="00C06E04"/>
    <w:rsid w:val="00C10B25"/>
    <w:rsid w:val="00C1448D"/>
    <w:rsid w:val="00C1491C"/>
    <w:rsid w:val="00C30709"/>
    <w:rsid w:val="00C30E22"/>
    <w:rsid w:val="00C31980"/>
    <w:rsid w:val="00C334A1"/>
    <w:rsid w:val="00C34810"/>
    <w:rsid w:val="00C34B41"/>
    <w:rsid w:val="00C354A4"/>
    <w:rsid w:val="00C354FD"/>
    <w:rsid w:val="00C4022C"/>
    <w:rsid w:val="00C45BCB"/>
    <w:rsid w:val="00C539A3"/>
    <w:rsid w:val="00C669AF"/>
    <w:rsid w:val="00C66D04"/>
    <w:rsid w:val="00C66F64"/>
    <w:rsid w:val="00C72028"/>
    <w:rsid w:val="00C77C67"/>
    <w:rsid w:val="00C82B44"/>
    <w:rsid w:val="00C87BA6"/>
    <w:rsid w:val="00C94CC5"/>
    <w:rsid w:val="00C96D21"/>
    <w:rsid w:val="00CA5C63"/>
    <w:rsid w:val="00CA6CCF"/>
    <w:rsid w:val="00CC2252"/>
    <w:rsid w:val="00CC3FA3"/>
    <w:rsid w:val="00CC6F41"/>
    <w:rsid w:val="00CD3D19"/>
    <w:rsid w:val="00CD52E2"/>
    <w:rsid w:val="00CD645C"/>
    <w:rsid w:val="00CD7C2A"/>
    <w:rsid w:val="00CE204C"/>
    <w:rsid w:val="00CF2201"/>
    <w:rsid w:val="00CF7AA9"/>
    <w:rsid w:val="00D005AB"/>
    <w:rsid w:val="00D04057"/>
    <w:rsid w:val="00D04F0D"/>
    <w:rsid w:val="00D077D2"/>
    <w:rsid w:val="00D16B8E"/>
    <w:rsid w:val="00D202BE"/>
    <w:rsid w:val="00D2086F"/>
    <w:rsid w:val="00D20C01"/>
    <w:rsid w:val="00D21A5D"/>
    <w:rsid w:val="00D23A26"/>
    <w:rsid w:val="00D24408"/>
    <w:rsid w:val="00D26E50"/>
    <w:rsid w:val="00D361F0"/>
    <w:rsid w:val="00D4277D"/>
    <w:rsid w:val="00D44926"/>
    <w:rsid w:val="00D44BA0"/>
    <w:rsid w:val="00D4624D"/>
    <w:rsid w:val="00D53A2C"/>
    <w:rsid w:val="00D61BF5"/>
    <w:rsid w:val="00D6713C"/>
    <w:rsid w:val="00D67A5B"/>
    <w:rsid w:val="00D729F1"/>
    <w:rsid w:val="00D75465"/>
    <w:rsid w:val="00D76694"/>
    <w:rsid w:val="00D84D47"/>
    <w:rsid w:val="00D8627F"/>
    <w:rsid w:val="00D91BE5"/>
    <w:rsid w:val="00D928DC"/>
    <w:rsid w:val="00D95355"/>
    <w:rsid w:val="00D96B28"/>
    <w:rsid w:val="00D97676"/>
    <w:rsid w:val="00DB1000"/>
    <w:rsid w:val="00DB2F03"/>
    <w:rsid w:val="00DC23AB"/>
    <w:rsid w:val="00DC2E91"/>
    <w:rsid w:val="00DC56E8"/>
    <w:rsid w:val="00DD1DC7"/>
    <w:rsid w:val="00DD2B4E"/>
    <w:rsid w:val="00DE1E2E"/>
    <w:rsid w:val="00DE43C9"/>
    <w:rsid w:val="00DE7233"/>
    <w:rsid w:val="00DF5E99"/>
    <w:rsid w:val="00DF76CB"/>
    <w:rsid w:val="00E0048A"/>
    <w:rsid w:val="00E017ED"/>
    <w:rsid w:val="00E0374B"/>
    <w:rsid w:val="00E25447"/>
    <w:rsid w:val="00E25C52"/>
    <w:rsid w:val="00E42578"/>
    <w:rsid w:val="00E44347"/>
    <w:rsid w:val="00E46287"/>
    <w:rsid w:val="00E519BA"/>
    <w:rsid w:val="00E5521C"/>
    <w:rsid w:val="00E562CB"/>
    <w:rsid w:val="00E637D3"/>
    <w:rsid w:val="00E6417E"/>
    <w:rsid w:val="00E6532A"/>
    <w:rsid w:val="00E6726A"/>
    <w:rsid w:val="00E67EE9"/>
    <w:rsid w:val="00E724CF"/>
    <w:rsid w:val="00E74A56"/>
    <w:rsid w:val="00E87868"/>
    <w:rsid w:val="00E93BED"/>
    <w:rsid w:val="00E96649"/>
    <w:rsid w:val="00EA5514"/>
    <w:rsid w:val="00EB2410"/>
    <w:rsid w:val="00EB2CA2"/>
    <w:rsid w:val="00EB60B7"/>
    <w:rsid w:val="00EB6CFB"/>
    <w:rsid w:val="00EC22D1"/>
    <w:rsid w:val="00EC48C9"/>
    <w:rsid w:val="00ED0937"/>
    <w:rsid w:val="00ED0A86"/>
    <w:rsid w:val="00ED3D30"/>
    <w:rsid w:val="00ED4E85"/>
    <w:rsid w:val="00ED5667"/>
    <w:rsid w:val="00ED56AB"/>
    <w:rsid w:val="00ED7612"/>
    <w:rsid w:val="00EE2B25"/>
    <w:rsid w:val="00EE35A2"/>
    <w:rsid w:val="00EE6A81"/>
    <w:rsid w:val="00EF061E"/>
    <w:rsid w:val="00EF1335"/>
    <w:rsid w:val="00EF4FA4"/>
    <w:rsid w:val="00EF52D5"/>
    <w:rsid w:val="00EF5835"/>
    <w:rsid w:val="00F010A1"/>
    <w:rsid w:val="00F0343B"/>
    <w:rsid w:val="00F057C7"/>
    <w:rsid w:val="00F077B2"/>
    <w:rsid w:val="00F10279"/>
    <w:rsid w:val="00F12DD6"/>
    <w:rsid w:val="00F13F58"/>
    <w:rsid w:val="00F1482A"/>
    <w:rsid w:val="00F303B5"/>
    <w:rsid w:val="00F308BB"/>
    <w:rsid w:val="00F31C47"/>
    <w:rsid w:val="00F31E53"/>
    <w:rsid w:val="00F32150"/>
    <w:rsid w:val="00F329D0"/>
    <w:rsid w:val="00F567C9"/>
    <w:rsid w:val="00F60E52"/>
    <w:rsid w:val="00F62FEC"/>
    <w:rsid w:val="00F65468"/>
    <w:rsid w:val="00F65CE3"/>
    <w:rsid w:val="00F66251"/>
    <w:rsid w:val="00F6675A"/>
    <w:rsid w:val="00F74789"/>
    <w:rsid w:val="00F8616E"/>
    <w:rsid w:val="00F86F30"/>
    <w:rsid w:val="00F87357"/>
    <w:rsid w:val="00F90483"/>
    <w:rsid w:val="00F9054D"/>
    <w:rsid w:val="00F9201A"/>
    <w:rsid w:val="00FA0C1A"/>
    <w:rsid w:val="00FA2733"/>
    <w:rsid w:val="00FA29E9"/>
    <w:rsid w:val="00FA49BD"/>
    <w:rsid w:val="00FA75E1"/>
    <w:rsid w:val="00FB23E5"/>
    <w:rsid w:val="00FC133D"/>
    <w:rsid w:val="00FC742F"/>
    <w:rsid w:val="00FD1705"/>
    <w:rsid w:val="00FD757D"/>
    <w:rsid w:val="00FD7DB8"/>
    <w:rsid w:val="00FE6F68"/>
    <w:rsid w:val="00FF0819"/>
    <w:rsid w:val="00FF5F53"/>
    <w:rsid w:val="00FF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6E91AA"/>
  <w15:docId w15:val="{B239D09A-84A1-449C-BCD9-6B089858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E8E"/>
    <w:rPr>
      <w:rFonts w:ascii="Times New Roman" w:hAnsi="Times New Roman"/>
      <w:sz w:val="24"/>
    </w:rPr>
  </w:style>
  <w:style w:type="paragraph" w:styleId="Heading1">
    <w:name w:val="heading 1"/>
    <w:basedOn w:val="Normal"/>
    <w:next w:val="Normal"/>
    <w:link w:val="Heading1Char"/>
    <w:uiPriority w:val="9"/>
    <w:qFormat/>
    <w:rsid w:val="00734E8E"/>
    <w:pPr>
      <w:keepNext/>
      <w:keepLines/>
      <w:numPr>
        <w:numId w:val="1"/>
      </w:numPr>
      <w:spacing w:before="480" w:after="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873B87"/>
    <w:pPr>
      <w:keepNext/>
      <w:numPr>
        <w:ilvl w:val="1"/>
        <w:numId w:val="1"/>
      </w:numPr>
      <w:spacing w:before="240"/>
      <w:ind w:left="578" w:hanging="578"/>
      <w:outlineLvl w:val="1"/>
    </w:pPr>
    <w:rPr>
      <w:rFonts w:asciiTheme="majorHAnsi" w:hAnsiTheme="majorHAnsi"/>
      <w:b/>
      <w:smallCaps/>
    </w:rPr>
  </w:style>
  <w:style w:type="paragraph" w:styleId="Heading3">
    <w:name w:val="heading 3"/>
    <w:basedOn w:val="Normal"/>
    <w:next w:val="Normal"/>
    <w:link w:val="Heading3Char"/>
    <w:uiPriority w:val="9"/>
    <w:unhideWhenUsed/>
    <w:qFormat/>
    <w:rsid w:val="00D4624D"/>
    <w:pPr>
      <w:keepNext/>
      <w:keepLines/>
      <w:spacing w:before="200" w:after="0"/>
      <w:ind w:left="227"/>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DD2B4E"/>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E8E"/>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9"/>
    <w:rsid w:val="00873B87"/>
    <w:rPr>
      <w:rFonts w:asciiTheme="majorHAnsi" w:hAnsiTheme="majorHAnsi"/>
      <w:b/>
      <w:smallCaps/>
      <w:sz w:val="24"/>
    </w:rPr>
  </w:style>
  <w:style w:type="character" w:customStyle="1" w:styleId="Heading3Char">
    <w:name w:val="Heading 3 Char"/>
    <w:basedOn w:val="DefaultParagraphFont"/>
    <w:link w:val="Heading3"/>
    <w:uiPriority w:val="9"/>
    <w:rsid w:val="00D4624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DD2B4E"/>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C5181"/>
    <w:pPr>
      <w:ind w:left="720"/>
      <w:contextualSpacing/>
    </w:p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734E8E"/>
    <w:pPr>
      <w:keepLines/>
      <w:spacing w:before="180" w:after="180"/>
    </w:pPr>
    <w:rPr>
      <w:rFonts w:eastAsia="Calibri" w:cs="Times New Roman"/>
      <w:sz w:val="22"/>
    </w:rPr>
  </w:style>
  <w:style w:type="character" w:customStyle="1" w:styleId="FootnoteTextChar">
    <w:name w:val="Footnote Text Char"/>
    <w:basedOn w:val="DefaultParagraphFont"/>
    <w:link w:val="FootnoteText"/>
    <w:rsid w:val="00734E8E"/>
    <w:rPr>
      <w:rFonts w:ascii="Times New Roman" w:eastAsia="Calibri" w:hAnsi="Times New Roman" w:cs="Times New Roman"/>
    </w:rPr>
  </w:style>
  <w:style w:type="character" w:styleId="FootnoteReference">
    <w:name w:val="footnote reference"/>
    <w:basedOn w:val="DefaultParagraphFont"/>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nhideWhenUsed/>
    <w:rsid w:val="00B30A48"/>
    <w:pPr>
      <w:tabs>
        <w:tab w:val="center" w:pos="4513"/>
        <w:tab w:val="right" w:pos="9026"/>
      </w:tabs>
      <w:spacing w:after="0" w:line="240" w:lineRule="auto"/>
    </w:pPr>
    <w:rPr>
      <w:b/>
    </w:rPr>
  </w:style>
  <w:style w:type="character" w:customStyle="1" w:styleId="HeaderChar">
    <w:name w:val="Header Char"/>
    <w:basedOn w:val="DefaultParagraphFont"/>
    <w:link w:val="Header"/>
    <w:rsid w:val="00B30A48"/>
    <w:rPr>
      <w:rFonts w:ascii="Times New Roman" w:hAnsi="Times New Roman"/>
      <w:b/>
      <w:sz w:val="24"/>
    </w:rPr>
  </w:style>
  <w:style w:type="paragraph" w:customStyle="1" w:styleId="A-Heading2">
    <w:name w:val="A-Heading 2"/>
    <w:basedOn w:val="Normal"/>
    <w:next w:val="Normal"/>
    <w:rsid w:val="00D4624D"/>
    <w:pPr>
      <w:keepNext/>
      <w:spacing w:before="120" w:after="120" w:line="280" w:lineRule="atLeast"/>
      <w:outlineLvl w:val="1"/>
    </w:pPr>
    <w:rPr>
      <w:rFonts w:ascii="Arial" w:eastAsia="Times New Roman" w:hAnsi="Arial" w:cs="Times New Roman"/>
      <w:b/>
      <w:szCs w:val="20"/>
      <w:lang w:val="en-GB"/>
    </w:rPr>
  </w:style>
  <w:style w:type="paragraph" w:styleId="NormalWeb">
    <w:name w:val="Normal (Web)"/>
    <w:basedOn w:val="Normal"/>
    <w:uiPriority w:val="99"/>
    <w:unhideWhenUsed/>
    <w:rsid w:val="007F4DB1"/>
    <w:pPr>
      <w:spacing w:before="100" w:beforeAutospacing="1" w:after="100" w:afterAutospacing="1" w:line="240" w:lineRule="auto"/>
    </w:pPr>
    <w:rPr>
      <w:rFonts w:eastAsia="Times New Roman" w:cs="Times New Roman"/>
      <w:szCs w:val="24"/>
      <w:lang w:val="en-US"/>
    </w:rPr>
  </w:style>
  <w:style w:type="paragraph" w:customStyle="1" w:styleId="A-Heading4">
    <w:name w:val="A-Heading 4"/>
    <w:basedOn w:val="Normal"/>
    <w:next w:val="Normal"/>
    <w:rsid w:val="001B7AD2"/>
    <w:pPr>
      <w:keepNext/>
      <w:spacing w:after="120" w:line="280" w:lineRule="atLeast"/>
      <w:outlineLvl w:val="3"/>
    </w:pPr>
    <w:rPr>
      <w:rFonts w:ascii="Arial" w:eastAsia="Times New Roman" w:hAnsi="Arial" w:cs="Times New Roman"/>
      <w:i/>
      <w:szCs w:val="20"/>
      <w:lang w:val="en-GB"/>
    </w:rPr>
  </w:style>
  <w:style w:type="paragraph" w:customStyle="1" w:styleId="A-Heading3">
    <w:name w:val="A-Heading 3"/>
    <w:basedOn w:val="Normal"/>
    <w:next w:val="Normal"/>
    <w:rsid w:val="001B7AD2"/>
    <w:pPr>
      <w:keepNext/>
      <w:spacing w:after="120" w:line="280" w:lineRule="atLeast"/>
      <w:outlineLvl w:val="2"/>
    </w:pPr>
    <w:rPr>
      <w:rFonts w:ascii="Arial" w:eastAsia="Times New Roman" w:hAnsi="Arial" w:cs="Times New Roman"/>
      <w:b/>
      <w:i/>
      <w:szCs w:val="20"/>
      <w:lang w:val="en-GB"/>
    </w:rPr>
  </w:style>
  <w:style w:type="paragraph" w:customStyle="1" w:styleId="A-TableText">
    <w:name w:val="A-Table Text"/>
    <w:basedOn w:val="Normal"/>
    <w:rsid w:val="00326429"/>
    <w:pPr>
      <w:spacing w:before="60" w:after="60" w:line="280" w:lineRule="atLeast"/>
    </w:pPr>
    <w:rPr>
      <w:rFonts w:eastAsia="Times New Roman" w:cs="Times New Roman"/>
      <w:sz w:val="22"/>
      <w:szCs w:val="20"/>
      <w:lang w:val="en-GB"/>
    </w:rPr>
  </w:style>
  <w:style w:type="paragraph" w:customStyle="1" w:styleId="A-TableHeader">
    <w:name w:val="A-Table Header"/>
    <w:basedOn w:val="Normal"/>
    <w:next w:val="A-TableText"/>
    <w:rsid w:val="00607252"/>
    <w:pPr>
      <w:keepNext/>
      <w:spacing w:before="60" w:after="60" w:line="280" w:lineRule="atLeast"/>
    </w:pPr>
    <w:rPr>
      <w:rFonts w:eastAsia="Times New Roman" w:cs="Times New Roman"/>
      <w:b/>
      <w:sz w:val="22"/>
      <w:szCs w:val="20"/>
      <w:lang w:val="en-GB"/>
    </w:rPr>
  </w:style>
  <w:style w:type="paragraph" w:customStyle="1" w:styleId="A-TableTitle">
    <w:name w:val="A-Table Title"/>
    <w:basedOn w:val="Normal"/>
    <w:next w:val="Normal"/>
    <w:rsid w:val="000565DE"/>
    <w:pPr>
      <w:keepNext/>
      <w:tabs>
        <w:tab w:val="left" w:pos="1800"/>
      </w:tabs>
      <w:spacing w:after="120" w:line="280" w:lineRule="atLeast"/>
      <w:ind w:left="1800" w:hanging="1800"/>
    </w:pPr>
    <w:rPr>
      <w:rFonts w:eastAsia="Times New Roman" w:cs="Times New Roman"/>
      <w:b/>
      <w:szCs w:val="20"/>
      <w:lang w:val="en-GB"/>
    </w:rPr>
  </w:style>
  <w:style w:type="paragraph" w:customStyle="1" w:styleId="A-TableFootnoteText">
    <w:name w:val="A-Table Footnote Text"/>
    <w:basedOn w:val="Normal"/>
    <w:next w:val="Normal"/>
    <w:link w:val="A-TableFootnoteTextChar"/>
    <w:autoRedefine/>
    <w:rsid w:val="0045667F"/>
    <w:pPr>
      <w:tabs>
        <w:tab w:val="left" w:pos="284"/>
      </w:tabs>
      <w:spacing w:after="0" w:line="160" w:lineRule="atLeast"/>
    </w:pPr>
    <w:rPr>
      <w:rFonts w:eastAsia="Times New Roman" w:cs="Times New Roman"/>
      <w:sz w:val="18"/>
      <w:szCs w:val="20"/>
      <w:lang w:val="en-GB"/>
    </w:rPr>
  </w:style>
  <w:style w:type="character" w:customStyle="1" w:styleId="A-TableFootnoteTextChar">
    <w:name w:val="A-Table Footnote Text Char"/>
    <w:link w:val="A-TableFootnoteText"/>
    <w:rsid w:val="0045667F"/>
    <w:rPr>
      <w:rFonts w:ascii="Times New Roman" w:eastAsia="Times New Roman" w:hAnsi="Times New Roman" w:cs="Times New Roman"/>
      <w:sz w:val="18"/>
      <w:szCs w:val="20"/>
      <w:lang w:val="en-GB"/>
    </w:rPr>
  </w:style>
  <w:style w:type="paragraph" w:styleId="Revision">
    <w:name w:val="Revision"/>
    <w:hidden/>
    <w:uiPriority w:val="99"/>
    <w:semiHidden/>
    <w:rsid w:val="0095727B"/>
    <w:pPr>
      <w:spacing w:after="0" w:line="240" w:lineRule="auto"/>
    </w:pPr>
    <w:rPr>
      <w:rFonts w:ascii="Times New Roman" w:hAnsi="Times New Roman"/>
      <w:sz w:val="24"/>
    </w:rPr>
  </w:style>
  <w:style w:type="paragraph" w:styleId="Caption">
    <w:name w:val="caption"/>
    <w:next w:val="Normal"/>
    <w:qFormat/>
    <w:rsid w:val="00B30A48"/>
    <w:pPr>
      <w:keepNext/>
      <w:spacing w:after="120" w:line="280" w:lineRule="atLeast"/>
      <w:ind w:left="1418" w:hanging="1418"/>
    </w:pPr>
    <w:rPr>
      <w:rFonts w:ascii="Times New Roman" w:eastAsia="Times New Roman" w:hAnsi="Times New Roman" w:cs="Times New Roman"/>
      <w:b/>
      <w:sz w:val="24"/>
      <w:szCs w:val="20"/>
      <w:lang w:val="en-GB"/>
    </w:rPr>
  </w:style>
  <w:style w:type="paragraph" w:customStyle="1" w:styleId="A-FigureTitle">
    <w:name w:val="A-Figure Title"/>
    <w:basedOn w:val="Normal"/>
    <w:next w:val="Normal"/>
    <w:rsid w:val="00F31E53"/>
    <w:pPr>
      <w:keepNext/>
      <w:tabs>
        <w:tab w:val="left" w:pos="1800"/>
      </w:tabs>
      <w:spacing w:after="120" w:line="280" w:lineRule="atLeast"/>
      <w:ind w:left="1800" w:hanging="1800"/>
    </w:pPr>
    <w:rPr>
      <w:rFonts w:eastAsia="Times New Roman" w:cs="Times New Roman"/>
      <w:b/>
      <w:szCs w:val="20"/>
      <w:lang w:val="en-GB"/>
    </w:rPr>
  </w:style>
  <w:style w:type="character" w:customStyle="1" w:styleId="normal-h1">
    <w:name w:val="normal-h1"/>
    <w:rsid w:val="00B30A48"/>
    <w:rPr>
      <w:rFonts w:ascii="Times New Roman" w:hAnsi="Times New Roman" w:cs="Times New Roman" w:hint="default"/>
      <w:sz w:val="24"/>
      <w:szCs w:val="24"/>
    </w:rPr>
  </w:style>
  <w:style w:type="paragraph" w:styleId="Title">
    <w:name w:val="Title"/>
    <w:basedOn w:val="Normal"/>
    <w:next w:val="Normal"/>
    <w:link w:val="TitleChar"/>
    <w:uiPriority w:val="10"/>
    <w:qFormat/>
    <w:rsid w:val="00B30A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A48"/>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20B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D633D"/>
    <w:rPr>
      <w:rFonts w:ascii="Times New Roman" w:hAnsi="Times New Roman"/>
      <w:b/>
      <w:bCs/>
    </w:rPr>
  </w:style>
  <w:style w:type="character" w:customStyle="1" w:styleId="CommentSubjectChar">
    <w:name w:val="Comment Subject Char"/>
    <w:basedOn w:val="CommentTextChar"/>
    <w:link w:val="CommentSubject"/>
    <w:uiPriority w:val="99"/>
    <w:semiHidden/>
    <w:rsid w:val="007D633D"/>
    <w:rPr>
      <w:rFonts w:ascii="Times New Roman" w:hAnsi="Times New Roman"/>
      <w:b/>
      <w:bCs/>
      <w:sz w:val="20"/>
      <w:szCs w:val="20"/>
    </w:rPr>
  </w:style>
  <w:style w:type="paragraph" w:customStyle="1" w:styleId="Quotation">
    <w:name w:val="Quotation"/>
    <w:basedOn w:val="Normal"/>
    <w:next w:val="Normal"/>
    <w:uiPriority w:val="4"/>
    <w:qFormat/>
    <w:rsid w:val="00F31C47"/>
    <w:pPr>
      <w:spacing w:before="120" w:after="180" w:line="240" w:lineRule="atLeast"/>
      <w:ind w:left="425"/>
    </w:pPr>
    <w:rPr>
      <w:rFonts w:ascii="Cambria" w:eastAsiaTheme="minorEastAsia" w:hAnsi="Cambria"/>
      <w:sz w:val="20"/>
      <w:lang w:eastAsia="zh-TW"/>
    </w:rPr>
  </w:style>
  <w:style w:type="character" w:customStyle="1" w:styleId="UnresolvedMention">
    <w:name w:val="Unresolved Mention"/>
    <w:basedOn w:val="DefaultParagraphFont"/>
    <w:uiPriority w:val="99"/>
    <w:semiHidden/>
    <w:unhideWhenUsed/>
    <w:rsid w:val="00024E7A"/>
    <w:rPr>
      <w:color w:val="808080"/>
      <w:shd w:val="clear" w:color="auto" w:fill="E6E6E6"/>
    </w:rPr>
  </w:style>
  <w:style w:type="table" w:styleId="TableGrid">
    <w:name w:val="Table Grid"/>
    <w:basedOn w:val="TableNormal"/>
    <w:uiPriority w:val="59"/>
    <w:rsid w:val="00EE35A2"/>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2040">
      <w:bodyDiv w:val="1"/>
      <w:marLeft w:val="0"/>
      <w:marRight w:val="0"/>
      <w:marTop w:val="0"/>
      <w:marBottom w:val="0"/>
      <w:divBdr>
        <w:top w:val="none" w:sz="0" w:space="0" w:color="auto"/>
        <w:left w:val="none" w:sz="0" w:space="0" w:color="auto"/>
        <w:bottom w:val="none" w:sz="0" w:space="0" w:color="auto"/>
        <w:right w:val="none" w:sz="0" w:space="0" w:color="auto"/>
      </w:divBdr>
    </w:div>
    <w:div w:id="20216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2F0EC-5CEF-466E-A443-7AB86E93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8834</Words>
  <Characters>49736</Characters>
  <Application>Microsoft Office Word</Application>
  <DocSecurity>0</DocSecurity>
  <Lines>1275</Lines>
  <Paragraphs>741</Paragraphs>
  <ScaleCrop>false</ScaleCrop>
  <HeadingPairs>
    <vt:vector size="2" baseType="variant">
      <vt:variant>
        <vt:lpstr>Title</vt:lpstr>
      </vt:variant>
      <vt:variant>
        <vt:i4>1</vt:i4>
      </vt:variant>
    </vt:vector>
  </HeadingPairs>
  <TitlesOfParts>
    <vt:vector size="1" baseType="lpstr">
      <vt:lpstr>Attachment: Product Information: Osimertinib mesilate</vt:lpstr>
    </vt:vector>
  </TitlesOfParts>
  <Company/>
  <LinksUpToDate>false</LinksUpToDate>
  <CharactersWithSpaces>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Osimertinib mesilate</dc:title>
  <dc:subject>prescription medicines</dc:subject>
  <dc:creator>LACK, Janet</dc:creator>
  <cp:lastModifiedBy>LACK, Janet</cp:lastModifiedBy>
  <cp:revision>2</cp:revision>
  <cp:lastPrinted>2018-06-08T01:55:00Z</cp:lastPrinted>
  <dcterms:created xsi:type="dcterms:W3CDTF">2019-09-24T03:24:00Z</dcterms:created>
  <dcterms:modified xsi:type="dcterms:W3CDTF">2019-09-24T03:24:00Z</dcterms:modified>
</cp:coreProperties>
</file>